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0"/>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100"/>
        <w:ind w:firstLine="300"/>
        <w:spacing w:line="360" w:lineRule="auto"/>
        <w:rPr>
          <w:rFonts w:ascii="宋体" w:hAnsi="宋体"/>
          <w:sz w:val="60"/>
          <w:szCs w:val="60"/>
        </w:rPr>
      </w:pPr>
      <w:r>
        <w:rPr>
          <w:rFonts w:ascii="宋体" w:hAnsi="宋体"/>
          <w:sz w:val="60"/>
          <w:szCs w:val="60"/>
        </w:rPr>
      </w:r>
      <w:r/>
    </w:p>
    <w:p>
      <w:pPr>
        <w:pStyle w:val="1100"/>
        <w:jc w:val="center"/>
        <w:rPr>
          <w:rFonts w:ascii="宋体" w:hAnsi="宋体"/>
          <w:b/>
          <w:bCs/>
          <w:sz w:val="60"/>
          <w:szCs w:val="60"/>
        </w:rPr>
      </w:pPr>
      <w:r>
        <w:rPr>
          <w:rFonts w:ascii="宋体" w:hAnsi="宋体"/>
          <w:b/>
          <w:bCs/>
          <w:sz w:val="60"/>
          <w:szCs w:val="60"/>
        </w:rPr>
        <w:t xml:space="preserve">常州市政府采购项目</w:t>
      </w:r>
      <w:r/>
    </w:p>
    <w:p>
      <w:pPr>
        <w:pStyle w:val="1100"/>
        <w:jc w:val="center"/>
        <w:rPr>
          <w:rFonts w:ascii="宋体" w:hAnsi="宋体"/>
          <w:b/>
          <w:bCs/>
          <w:sz w:val="60"/>
          <w:szCs w:val="60"/>
        </w:rPr>
      </w:pPr>
      <w:r>
        <w:rPr>
          <w:rFonts w:ascii="宋体" w:hAnsi="宋体"/>
          <w:b/>
          <w:bCs/>
          <w:sz w:val="60"/>
          <w:szCs w:val="60"/>
        </w:rPr>
      </w:r>
      <w:r/>
    </w:p>
    <w:p>
      <w:pPr>
        <w:pStyle w:val="1100"/>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100"/>
        <w:jc w:val="center"/>
        <w:rPr>
          <w:rFonts w:ascii="宋体" w:hAnsi="宋体"/>
          <w:b/>
          <w:bCs/>
          <w:sz w:val="60"/>
          <w:szCs w:val="60"/>
        </w:rPr>
      </w:pPr>
      <w:r>
        <w:rPr>
          <w:rFonts w:ascii="宋体" w:hAnsi="宋体"/>
          <w:b/>
          <w:bCs/>
          <w:sz w:val="60"/>
          <w:szCs w:val="60"/>
        </w:rPr>
      </w:r>
      <w:r/>
    </w:p>
    <w:p>
      <w:pPr>
        <w:pStyle w:val="1100"/>
        <w:jc w:val="center"/>
        <w:rPr>
          <w:rFonts w:ascii="宋体" w:hAnsi="宋体"/>
          <w:b/>
          <w:bCs/>
          <w:sz w:val="60"/>
          <w:szCs w:val="60"/>
        </w:rPr>
      </w:pPr>
      <w:r>
        <w:rPr>
          <w:rFonts w:ascii="宋体" w:hAnsi="宋体"/>
          <w:b/>
          <w:bCs/>
          <w:sz w:val="60"/>
          <w:szCs w:val="60"/>
        </w:rPr>
      </w:r>
      <w:r/>
    </w:p>
    <w:p>
      <w:pPr>
        <w:pStyle w:val="1100"/>
        <w:jc w:val="center"/>
        <w:spacing w:line="360" w:lineRule="auto"/>
        <w:rPr>
          <w:rFonts w:ascii="宋体" w:hAnsi="宋体"/>
          <w:sz w:val="60"/>
          <w:szCs w:val="60"/>
        </w:rPr>
      </w:pPr>
      <w:r>
        <w:rPr>
          <w:rFonts w:ascii="宋体" w:hAnsi="宋体"/>
          <w:sz w:val="60"/>
          <w:szCs w:val="60"/>
        </w:rPr>
      </w:r>
      <w:r/>
    </w:p>
    <w:p>
      <w:pPr>
        <w:pStyle w:val="110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江苏省常州技师学院机电设备电气控制技术实训室教学设施设备采购项目</w:t>
      </w:r>
      <w:r>
        <w:rPr>
          <w:rFonts w:ascii="宋体" w:hAnsi="宋体"/>
          <w:bCs/>
          <w:sz w:val="36"/>
          <w:szCs w:val="36"/>
        </w:rPr>
      </w:r>
      <w:r/>
    </w:p>
    <w:p>
      <w:pPr>
        <w:pStyle w:val="110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JSZC-320400-CTZB-G2026-0102</w:t>
      </w:r>
      <w:r>
        <w:rPr>
          <w:rFonts w:ascii="宋体" w:hAnsi="宋体"/>
          <w:bCs/>
          <w:sz w:val="36"/>
          <w:szCs w:val="36"/>
        </w:rPr>
      </w:r>
      <w:r/>
    </w:p>
    <w:p>
      <w:pPr>
        <w:pStyle w:val="110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江苏省常州技师学院</w:t>
      </w:r>
      <w:r>
        <w:rPr>
          <w:rFonts w:ascii="宋体" w:hAnsi="宋体"/>
          <w:bCs/>
          <w:sz w:val="36"/>
          <w:szCs w:val="36"/>
        </w:rPr>
      </w:r>
      <w:r/>
    </w:p>
    <w:p>
      <w:pPr>
        <w:pStyle w:val="1100"/>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100"/>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100"/>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153"/>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53"/>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76"/>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53"/>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76"/>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fldChar w:fldCharType="end"/>
      </w:r>
      <w:r>
        <w:rPr>
          <w:b w:val="0"/>
          <w:sz w:val="32"/>
          <w:szCs w:val="32"/>
        </w:rPr>
      </w:r>
      <w:r/>
    </w:p>
    <w:p>
      <w:pPr>
        <w:pStyle w:val="1153"/>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76"/>
          <w:color w:val="000000"/>
          <w:sz w:val="32"/>
          <w:szCs w:val="32"/>
        </w:rPr>
        <w:t xml:space="preserve">第三章   资</w:t>
      </w:r>
      <w:bookmarkStart w:id="1" w:name="_Hlt100754117"/>
      <w:r>
        <w:rPr>
          <w:rStyle w:val="1176"/>
          <w:color w:val="000000"/>
          <w:sz w:val="32"/>
          <w:szCs w:val="32"/>
        </w:rPr>
        <w:t xml:space="preserve">格</w:t>
      </w:r>
      <w:bookmarkEnd w:id="1"/>
      <w:r>
        <w:rPr>
          <w:rStyle w:val="1176"/>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fldChar w:fldCharType="end"/>
      </w:r>
      <w:r>
        <w:rPr>
          <w:b w:val="0"/>
          <w:sz w:val="32"/>
          <w:szCs w:val="32"/>
        </w:rPr>
      </w:r>
      <w:r/>
    </w:p>
    <w:p>
      <w:pPr>
        <w:pStyle w:val="1153"/>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76"/>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153"/>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76"/>
          <w:color w:val="000000"/>
          <w:sz w:val="32"/>
          <w:szCs w:val="32"/>
        </w:rPr>
        <w:t xml:space="preserve">第五章   采购</w:t>
      </w:r>
      <w:bookmarkStart w:id="2" w:name="_Hlt100754103"/>
      <w:r/>
      <w:bookmarkStart w:id="3" w:name="_Hlt100754102"/>
      <w:r>
        <w:rPr>
          <w:rStyle w:val="1176"/>
          <w:color w:val="000000"/>
          <w:sz w:val="32"/>
          <w:szCs w:val="32"/>
        </w:rPr>
        <w:t xml:space="preserve">需</w:t>
      </w:r>
      <w:bookmarkEnd w:id="2"/>
      <w:r/>
      <w:bookmarkEnd w:id="3"/>
      <w:r>
        <w:rPr>
          <w:rStyle w:val="1176"/>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fldChar w:fldCharType="end"/>
      </w:r>
      <w:r>
        <w:rPr>
          <w:b w:val="0"/>
          <w:sz w:val="32"/>
          <w:szCs w:val="32"/>
        </w:rPr>
      </w:r>
      <w:r/>
    </w:p>
    <w:p>
      <w:pPr>
        <w:pStyle w:val="1153"/>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76"/>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1153"/>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76"/>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fldChar w:fldCharType="end"/>
      </w:r>
      <w:r>
        <w:rPr>
          <w:b w:val="0"/>
          <w:sz w:val="32"/>
          <w:szCs w:val="32"/>
        </w:rPr>
      </w:r>
      <w:r/>
    </w:p>
    <w:p>
      <w:pPr>
        <w:pStyle w:val="1153"/>
        <w:spacing w:line="720" w:lineRule="auto"/>
        <w:rPr>
          <w:b w:val="0"/>
        </w:rPr>
      </w:pPr>
      <w:r>
        <w:rPr>
          <w:b w:val="0"/>
          <w:sz w:val="32"/>
          <w:szCs w:val="32"/>
        </w:rPr>
        <w:fldChar w:fldCharType="end"/>
      </w:r>
      <w:r>
        <w:rPr>
          <w:b w:val="0"/>
        </w:rPr>
      </w:r>
      <w:r/>
    </w:p>
    <w:p>
      <w:pPr>
        <w:pStyle w:val="1100"/>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10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10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江苏省常州技师学院机电设备电气控制技术实训室教学设施设备采购项目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0</w:t>
      </w:r>
      <w:r>
        <w:rPr>
          <w:rFonts w:ascii="仿宋" w:hAnsi="仿宋" w:eastAsia="仿宋" w:cs="宋体"/>
          <w:b/>
          <w:bCs/>
          <w:sz w:val="32"/>
          <w:szCs w:val="32"/>
        </w:rPr>
        <w:t xml:space="preserve">8</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2</w:t>
      </w:r>
      <w:r>
        <w:rPr>
          <w:rFonts w:ascii="仿宋" w:hAnsi="仿宋" w:eastAsia="仿宋" w:cs="宋体"/>
          <w:b/>
          <w:bCs/>
          <w:sz w:val="32"/>
          <w:szCs w:val="32"/>
        </w:rPr>
        <w:t xml:space="preserve">8</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0</w:t>
      </w:r>
      <w:r>
        <w:rPr>
          <w:rFonts w:ascii="仿宋" w:hAnsi="仿宋" w:eastAsia="仿宋" w:cs="宋体"/>
          <w:b/>
          <w:bCs/>
          <w:sz w:val="32"/>
          <w:szCs w:val="32"/>
        </w:rPr>
        <w:t xml:space="preserve">9</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3</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102"/>
        <w:ind w:firstLine="643"/>
        <w:jc w:val="left"/>
        <w:spacing w:before="240" w:line="360" w:lineRule="auto"/>
        <w:rPr>
          <w:rFonts w:ascii="仿宋" w:hAnsi="仿宋" w:eastAsia="仿宋"/>
          <w:sz w:val="32"/>
          <w:szCs w:val="32"/>
        </w:rPr>
      </w:pPr>
      <w:r/>
      <w:bookmarkStart w:id="5" w:name="_Toc28359002"/>
      <w:r/>
      <w:bookmarkStart w:id="6" w:name="_Toc28359079"/>
      <w:r/>
      <w:bookmarkStart w:id="7" w:name="_Toc35393790"/>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JSZC-320400-CTZB-G2026-0102</w:t>
      </w:r>
      <w:r>
        <w:rPr>
          <w:rFonts w:ascii="仿宋" w:hAnsi="仿宋" w:eastAsia="仿宋"/>
          <w:sz w:val="32"/>
          <w:szCs w:val="32"/>
        </w:rPr>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江苏省常州技师学院机电设备电气控制技术实训室教学设施设备采购项目</w:t>
      </w:r>
      <w:r>
        <w:rPr>
          <w:rFonts w:ascii="仿宋" w:hAnsi="仿宋" w:eastAsia="仿宋"/>
          <w:sz w:val="32"/>
          <w:szCs w:val="32"/>
        </w:rPr>
      </w:r>
      <w:r/>
    </w:p>
    <w:p>
      <w:pPr>
        <w:pStyle w:val="1100"/>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1</w:t>
      </w:r>
      <w:r>
        <w:rPr>
          <w:rFonts w:ascii="仿宋" w:hAnsi="仿宋" w:eastAsia="仿宋"/>
          <w:sz w:val="32"/>
          <w:szCs w:val="32"/>
        </w:rPr>
        <w:t xml:space="preserve">50</w:t>
      </w:r>
      <w:r>
        <w:rPr>
          <w:rFonts w:ascii="仿宋" w:hAnsi="仿宋" w:eastAsia="仿宋"/>
          <w:sz w:val="32"/>
          <w:szCs w:val="32"/>
        </w:rPr>
        <w:t xml:space="preserve">万元</w:t>
      </w:r>
      <w:r>
        <w:rPr>
          <w:rFonts w:hint="eastAsia" w:ascii="仿宋" w:hAnsi="仿宋" w:eastAsia="仿宋"/>
          <w:sz w:val="32"/>
          <w:szCs w:val="32"/>
        </w:rPr>
      </w:r>
      <w:r/>
    </w:p>
    <w:p>
      <w:pPr>
        <w:pStyle w:val="1100"/>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1</w:t>
      </w:r>
      <w:r>
        <w:rPr>
          <w:rFonts w:ascii="仿宋" w:hAnsi="仿宋" w:eastAsia="仿宋"/>
          <w:sz w:val="32"/>
          <w:szCs w:val="32"/>
        </w:rPr>
        <w:t xml:space="preserve">50</w:t>
      </w:r>
      <w:r>
        <w:rPr>
          <w:rFonts w:ascii="仿宋" w:hAnsi="仿宋" w:eastAsia="仿宋"/>
          <w:sz w:val="32"/>
          <w:szCs w:val="32"/>
        </w:rPr>
        <w:t xml:space="preserve">万元</w:t>
      </w:r>
      <w:r/>
    </w:p>
    <w:p>
      <w:pPr>
        <w:pStyle w:val="1100"/>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为加强专业建设，进一步完善构建机电复合型高技能人才培养专业课程体系，扎实推进教学改革，契合行业与技术发展对人才培养质量的需求，拟建设机电设备电气控制技术实训室，主要设施设备包含电气线路装调平台、自动控制装调平台等。</w:t>
      </w:r>
      <w:r>
        <w:rPr>
          <w:rFonts w:hint="eastAsia" w:ascii="仿宋" w:hAnsi="仿宋" w:eastAsia="仿宋" w:cs="宋体"/>
          <w:b/>
          <w:spacing w:val="2"/>
          <w:sz w:val="32"/>
          <w:szCs w:val="32"/>
        </w:rPr>
      </w:r>
      <w:r/>
    </w:p>
    <w:p>
      <w:pPr>
        <w:pStyle w:val="1100"/>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w:t>
      </w:r>
      <w:r>
        <w:rPr>
          <w:rFonts w:hint="eastAsia" w:ascii="仿宋" w:hAnsi="仿宋" w:eastAsia="仿宋"/>
          <w:sz w:val="32"/>
          <w:szCs w:val="32"/>
        </w:rPr>
        <w:t xml:space="preserve">合同签订后30日内完成全部设备供货、安装调试、验收交付。</w:t>
      </w:r>
      <w:r>
        <w:rPr>
          <w:rFonts w:ascii="仿宋" w:hAnsi="仿宋" w:eastAsia="仿宋"/>
          <w:sz w:val="32"/>
          <w:szCs w:val="32"/>
          <w:u w:val="single"/>
        </w:rPr>
      </w:r>
      <w:r/>
    </w:p>
    <w:p>
      <w:pPr>
        <w:pStyle w:val="1100"/>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100"/>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102"/>
        <w:ind w:firstLine="643"/>
        <w:jc w:val="left"/>
        <w:spacing w:before="0" w:line="360" w:lineRule="auto"/>
        <w:rPr>
          <w:rFonts w:ascii="仿宋" w:hAnsi="仿宋" w:eastAsia="仿宋"/>
          <w:sz w:val="32"/>
          <w:szCs w:val="32"/>
        </w:rPr>
      </w:pPr>
      <w:r/>
      <w:bookmarkStart w:id="10" w:name="_Toc28359003"/>
      <w:r/>
      <w:bookmarkStart w:id="11" w:name="_Toc35393622"/>
      <w:r/>
      <w:bookmarkStart w:id="12" w:name="_Toc35393791"/>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100"/>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100"/>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100"/>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100"/>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ascii="仿宋" w:hAnsi="仿宋" w:eastAsia="仿宋"/>
          <w:b/>
          <w:sz w:val="32"/>
          <w:szCs w:val="32"/>
        </w:rPr>
        <w:t xml:space="preserve">提供的货物全部由符合政策要求的中小/小微企业制造接。</w:t>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100"/>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100"/>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110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10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10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100"/>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1102"/>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100"/>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8</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7</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8</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4</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100"/>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10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100"/>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102"/>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10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8</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8</w:t>
      </w:r>
      <w:r>
        <w:rPr>
          <w:rFonts w:hint="eastAsia" w:ascii="仿宋" w:hAnsi="仿宋" w:eastAsia="仿宋" w:cs="宋体"/>
          <w:sz w:val="32"/>
          <w:szCs w:val="32"/>
        </w:rPr>
        <w:t xml:space="preserve">日</w:t>
      </w:r>
      <w:r>
        <w:rPr>
          <w:rFonts w:hint="eastAsia" w:ascii="仿宋" w:hAnsi="仿宋" w:eastAsia="仿宋" w:cs="宋体"/>
          <w:sz w:val="32"/>
          <w:szCs w:val="32"/>
        </w:rPr>
        <w:t xml:space="preserve">0</w:t>
      </w:r>
      <w:r>
        <w:rPr>
          <w:rFonts w:ascii="仿宋" w:hAnsi="仿宋" w:eastAsia="仿宋" w:cs="宋体"/>
          <w:sz w:val="32"/>
          <w:szCs w:val="32"/>
        </w:rPr>
        <w:t xml:space="preserve">9</w:t>
      </w:r>
      <w:r>
        <w:rPr>
          <w:rFonts w:hint="eastAsia" w:ascii="仿宋" w:hAnsi="仿宋" w:eastAsia="仿宋"/>
          <w:sz w:val="32"/>
          <w:szCs w:val="32"/>
          <w:lang w:bidi="ar"/>
        </w:rPr>
        <w:t xml:space="preserve">点</w:t>
      </w:r>
      <w:r>
        <w:rPr>
          <w:rFonts w:hint="eastAsia" w:ascii="仿宋" w:hAnsi="仿宋" w:eastAsia="仿宋"/>
          <w:sz w:val="32"/>
          <w:szCs w:val="32"/>
          <w:lang w:bidi="ar"/>
        </w:rPr>
        <w:t xml:space="preserve">3</w:t>
      </w:r>
      <w:r>
        <w:rPr>
          <w:rFonts w:ascii="仿宋" w:hAnsi="仿宋" w:eastAsia="仿宋"/>
          <w:sz w:val="32"/>
          <w:szCs w:val="32"/>
          <w:lang w:bidi="ar"/>
        </w:rPr>
        <w:t xml:space="preserve">0</w:t>
      </w:r>
      <w:r>
        <w:rPr>
          <w:rFonts w:hint="eastAsia" w:ascii="仿宋" w:hAnsi="仿宋" w:eastAsia="仿宋"/>
          <w:sz w:val="32"/>
          <w:szCs w:val="32"/>
          <w:lang w:bidi="ar"/>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100"/>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102"/>
        <w:ind w:firstLine="643"/>
        <w:jc w:val="left"/>
        <w:spacing w:before="0" w:line="360" w:lineRule="auto"/>
        <w:rPr>
          <w:rFonts w:ascii="仿宋" w:hAnsi="仿宋" w:eastAsia="仿宋"/>
          <w:sz w:val="32"/>
          <w:szCs w:val="32"/>
        </w:rPr>
      </w:pPr>
      <w:r/>
      <w:bookmarkStart w:id="22" w:name="_Toc35393625"/>
      <w:r/>
      <w:bookmarkStart w:id="23" w:name="_Toc28359084"/>
      <w:r/>
      <w:bookmarkStart w:id="24" w:name="_Toc35393794"/>
      <w:r/>
      <w:bookmarkStart w:id="25" w:name="_Toc28359007"/>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102"/>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100"/>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10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100"/>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100"/>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102"/>
        <w:ind w:firstLine="643"/>
        <w:jc w:val="left"/>
        <w:spacing w:before="0" w:line="360" w:lineRule="auto"/>
        <w:rPr>
          <w:rFonts w:ascii="仿宋" w:hAnsi="仿宋" w:eastAsia="仿宋"/>
          <w:sz w:val="32"/>
          <w:szCs w:val="32"/>
        </w:rPr>
      </w:pPr>
      <w:r/>
      <w:bookmarkStart w:id="28" w:name="_Toc28359085"/>
      <w:r/>
      <w:bookmarkStart w:id="29" w:name="_Toc35393796"/>
      <w:r/>
      <w:bookmarkStart w:id="30" w:name="_Toc35393627"/>
      <w:r/>
      <w:bookmarkStart w:id="31" w:name="_Toc28359008"/>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100"/>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100"/>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称：江苏省常州技师学院</w:t>
      </w:r>
      <w:r/>
    </w:p>
    <w:p>
      <w:pPr>
        <w:pStyle w:val="110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址：江苏省常州市新北区新桥镇嫩江路8号</w:t>
      </w:r>
      <w:r/>
    </w:p>
    <w:p>
      <w:pPr>
        <w:pStyle w:val="1100"/>
        <w:ind w:firstLine="640"/>
        <w:jc w:val="left"/>
        <w:spacing w:line="360" w:lineRule="auto"/>
        <w:rPr>
          <w:rFonts w:ascii="仿宋" w:hAnsi="仿宋" w:eastAsia="仿宋"/>
          <w:sz w:val="32"/>
          <w:szCs w:val="32"/>
        </w:rPr>
      </w:pPr>
      <w:r>
        <w:rPr>
          <w:rFonts w:hint="eastAsia" w:ascii="仿宋" w:hAnsi="仿宋" w:eastAsia="仿宋"/>
          <w:sz w:val="32"/>
          <w:szCs w:val="32"/>
        </w:rPr>
        <w:t xml:space="preserve">联系方式：姚老师、王老师  0519-81162606</w:t>
      </w:r>
      <w:r>
        <w:rPr>
          <w:rFonts w:ascii="仿宋" w:hAnsi="仿宋" w:eastAsia="仿宋"/>
          <w:sz w:val="32"/>
          <w:szCs w:val="32"/>
        </w:rPr>
      </w:r>
      <w:r/>
    </w:p>
    <w:p>
      <w:pPr>
        <w:pStyle w:val="1100"/>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100"/>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1100"/>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100"/>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100"/>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100"/>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w:t>
      </w:r>
      <w:r>
        <w:rPr>
          <w:rFonts w:hint="eastAsia" w:ascii="仿宋" w:hAnsi="仿宋" w:eastAsia="仿宋"/>
          <w:sz w:val="32"/>
          <w:szCs w:val="32"/>
        </w:rPr>
        <w:t xml:space="preserve">王逸菲</w:t>
      </w:r>
      <w:r>
        <w:rPr>
          <w:rFonts w:hint="eastAsia" w:ascii="仿宋" w:hAnsi="仿宋" w:eastAsia="仿宋"/>
          <w:sz w:val="32"/>
          <w:szCs w:val="32"/>
        </w:rPr>
      </w:r>
      <w:r/>
    </w:p>
    <w:p>
      <w:pPr>
        <w:pStyle w:val="1100"/>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w:t>
      </w:r>
      <w:r>
        <w:rPr>
          <w:rFonts w:hint="eastAsia" w:ascii="仿宋" w:hAnsi="仿宋" w:eastAsia="仿宋"/>
          <w:sz w:val="32"/>
          <w:szCs w:val="32"/>
        </w:rPr>
        <w:t xml:space="preserve">6</w:t>
      </w:r>
      <w:r>
        <w:rPr>
          <w:rFonts w:ascii="仿宋" w:hAnsi="仿宋" w:eastAsia="仿宋"/>
          <w:sz w:val="32"/>
          <w:szCs w:val="32"/>
        </w:rPr>
        <w:t xml:space="preserve">012</w:t>
      </w:r>
      <w:r>
        <w:rPr>
          <w:rFonts w:hint="eastAsia" w:ascii="仿宋" w:hAnsi="仿宋" w:eastAsia="仿宋"/>
          <w:sz w:val="32"/>
          <w:szCs w:val="32"/>
        </w:rPr>
        <w:t xml:space="preserve">）</w:t>
      </w:r>
      <w:r/>
    </w:p>
    <w:p>
      <w:pPr>
        <w:pStyle w:val="1100"/>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1100"/>
        <w:jc w:val="center"/>
        <w:spacing w:line="360" w:lineRule="auto"/>
        <w:rPr>
          <w:rFonts w:ascii="宋体" w:hAnsi="宋体"/>
          <w:b/>
          <w:sz w:val="32"/>
          <w:szCs w:val="32"/>
        </w:rPr>
        <w:outlineLvl w:val="0"/>
      </w:pPr>
      <w:r>
        <w:rPr>
          <w:rFonts w:ascii="宋体" w:hAnsi="宋体"/>
          <w:sz w:val="24"/>
        </w:rPr>
        <w:br w:type="page" w:clear="all"/>
      </w:r>
      <w:bookmarkStart w:id="36" w:name="_Toc353825548"/>
      <w:r/>
      <w:bookmarkStart w:id="37" w:name="_Toc195842950"/>
      <w:r/>
      <w:bookmarkStart w:id="38" w:name="_Toc305158854"/>
      <w:r/>
      <w:bookmarkStart w:id="39" w:name="_Toc150774783"/>
      <w:r/>
      <w:bookmarkStart w:id="40" w:name="_Toc99301420"/>
      <w:r/>
      <w:bookmarkStart w:id="41" w:name="_Toc265228423"/>
      <w:r/>
      <w:bookmarkStart w:id="42" w:name="_Toc264969275"/>
      <w:r/>
      <w:bookmarkStart w:id="43" w:name="_Toc226965856"/>
      <w:r/>
      <w:bookmarkStart w:id="44" w:name="_Toc127161488"/>
      <w:r/>
      <w:bookmarkStart w:id="45" w:name="_Toc127151777"/>
      <w:r/>
      <w:bookmarkStart w:id="46" w:name="_Toc512937850"/>
      <w:r/>
      <w:bookmarkStart w:id="47" w:name="_Toc353873938"/>
      <w:r/>
      <w:bookmarkStart w:id="48" w:name="_Toc30515892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102"/>
        <w:spacing w:before="0" w:line="360" w:lineRule="auto"/>
        <w:tabs>
          <w:tab w:val="center" w:pos="4592" w:leader="none"/>
          <w:tab w:val="left" w:pos="7860" w:leader="none"/>
        </w:tabs>
        <w:rPr>
          <w:rFonts w:ascii="宋体" w:hAnsi="宋体" w:eastAsia="宋体"/>
          <w:sz w:val="28"/>
        </w:rPr>
      </w:pPr>
      <w:r/>
      <w:bookmarkStart w:id="49" w:name="_Toc150480757"/>
      <w:r/>
      <w:bookmarkStart w:id="50" w:name="_Toc226965792"/>
      <w:r/>
      <w:bookmarkStart w:id="51" w:name="_Toc127151720"/>
      <w:r/>
      <w:bookmarkStart w:id="52" w:name="_Toc142311021"/>
      <w:r/>
      <w:bookmarkStart w:id="53" w:name="_Toc195842884"/>
      <w:r/>
      <w:bookmarkStart w:id="54" w:name="_Toc226309763"/>
      <w:r/>
      <w:bookmarkStart w:id="55" w:name="_Toc164229360"/>
      <w:r/>
      <w:bookmarkStart w:id="56" w:name="_Toc226965709"/>
      <w:r/>
      <w:bookmarkStart w:id="57" w:name="_Toc151190146"/>
      <w:r/>
      <w:bookmarkStart w:id="58" w:name="_Toc150774619"/>
      <w:r/>
      <w:bookmarkStart w:id="59" w:name="_Toc149720812"/>
      <w:r/>
      <w:bookmarkStart w:id="60" w:name="_Toc151193907"/>
      <w:r/>
      <w:bookmarkStart w:id="61" w:name="_Toc151193617"/>
      <w:r/>
      <w:bookmarkStart w:id="62" w:name="_Toc150509270"/>
      <w:r/>
      <w:bookmarkStart w:id="63" w:name="_Toc164608788"/>
      <w:r/>
      <w:bookmarkStart w:id="64" w:name="_Toc164229214"/>
      <w:r/>
      <w:bookmarkStart w:id="65" w:name="_Toc127151519"/>
      <w:r/>
      <w:bookmarkStart w:id="66" w:name="_Toc127161433"/>
      <w:r/>
      <w:bookmarkStart w:id="67" w:name="_Toc164351613"/>
      <w:r/>
      <w:bookmarkStart w:id="68" w:name="_Toc150774724"/>
      <w:r/>
      <w:bookmarkStart w:id="69" w:name="_Toc151193833"/>
      <w:r/>
      <w:bookmarkStart w:id="70" w:name="_Toc164608633"/>
      <w:r/>
      <w:bookmarkStart w:id="71" w:name="_Toc151193761"/>
      <w:r/>
      <w:bookmarkStart w:id="72" w:name="_Toc151193689"/>
      <w:r/>
      <w:bookmarkStart w:id="73" w:name="_Toc520356144"/>
      <w:r/>
      <w:bookmarkStart w:id="74" w:name="_Toc226337215"/>
      <w:r>
        <w:rPr>
          <w:rFonts w:ascii="宋体" w:hAnsi="宋体" w:eastAsia="宋体"/>
          <w:sz w:val="28"/>
        </w:rPr>
        <w:t xml:space="preserve">投标人须知资料表</w:t>
      </w:r>
      <w:r/>
    </w:p>
    <w:p>
      <w:pPr>
        <w:pStyle w:val="1100"/>
        <w:jc w:val="center"/>
        <w:rPr>
          <w:rFonts w:ascii="宋体" w:hAnsi="宋体"/>
          <w:b/>
          <w:sz w:val="28"/>
          <w:szCs w:val="28"/>
        </w:rPr>
      </w:pPr>
      <w:r>
        <w:rPr>
          <w:rFonts w:ascii="宋体" w:hAnsi="宋体"/>
          <w:b/>
          <w:sz w:val="28"/>
          <w:szCs w:val="28"/>
        </w:rPr>
      </w:r>
      <w:r/>
    </w:p>
    <w:p>
      <w:pPr>
        <w:pStyle w:val="1100"/>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100"/>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100"/>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100"/>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100"/>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项目属性：</w:t>
            </w:r>
            <w:r/>
          </w:p>
          <w:p>
            <w:pPr>
              <w:pStyle w:val="1100"/>
              <w:jc w:val="left"/>
              <w:rPr>
                <w:rFonts w:hint="eastAsia" w:ascii="宋体" w:hAnsi="宋体" w:cs="宋体"/>
                <w:sz w:val="24"/>
              </w:rPr>
            </w:pPr>
            <w:r>
              <w:rPr>
                <w:rFonts w:hint="eastAsia" w:ascii="宋体" w:hAnsi="宋体" w:cs="宋体"/>
                <w:sz w:val="24"/>
              </w:rPr>
              <w:t xml:space="preserve">□服务</w:t>
            </w:r>
            <w:r/>
          </w:p>
          <w:p>
            <w:pPr>
              <w:pStyle w:val="1100"/>
              <w:jc w:val="left"/>
              <w:rPr>
                <w:rFonts w:hint="eastAsia" w:ascii="宋体" w:hAnsi="宋体" w:cs="宋体"/>
                <w:sz w:val="24"/>
                <w:u w:val="single"/>
              </w:rPr>
            </w:pPr>
            <w:r>
              <w:rPr>
                <w:rFonts w:hint="eastAsia" w:ascii="宋体" w:hAnsi="宋体" w:cs="宋体"/>
                <w:b/>
                <w:sz w:val="24"/>
              </w:rPr>
              <w:t xml:space="preserve">■</w:t>
            </w: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是否属于科研仪器设备采购项目：</w:t>
            </w:r>
            <w:r/>
          </w:p>
          <w:p>
            <w:pPr>
              <w:pStyle w:val="1100"/>
              <w:jc w:val="left"/>
              <w:rPr>
                <w:rFonts w:hint="eastAsia" w:ascii="宋体" w:hAnsi="宋体" w:cs="宋体"/>
                <w:sz w:val="24"/>
              </w:rPr>
            </w:pPr>
            <w:r>
              <w:rPr>
                <w:rFonts w:hint="eastAsia" w:ascii="宋体" w:hAnsi="宋体" w:cs="宋体"/>
                <w:sz w:val="24"/>
              </w:rPr>
              <w:t xml:space="preserve">□是</w:t>
            </w:r>
            <w:r/>
          </w:p>
          <w:p>
            <w:pPr>
              <w:pStyle w:val="1100"/>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40"/>
              <w:rPr>
                <w:rFonts w:hAnsi="宋体" w:cs="宋体"/>
                <w:sz w:val="24"/>
                <w:szCs w:val="24"/>
              </w:rPr>
            </w:pPr>
            <w:r>
              <w:rPr>
                <w:rFonts w:hAnsi="宋体" w:cs="宋体"/>
                <w:sz w:val="24"/>
                <w:szCs w:val="24"/>
              </w:rPr>
              <w:t xml:space="preserve">□关于核心产品本项目__包不适用。</w:t>
            </w:r>
            <w:r/>
          </w:p>
          <w:p>
            <w:pPr>
              <w:pStyle w:val="1140"/>
              <w:rPr>
                <w:rFonts w:hAnsi="宋体" w:cs="宋体"/>
                <w:sz w:val="24"/>
                <w:szCs w:val="24"/>
              </w:rPr>
            </w:pPr>
            <w:r>
              <w:rPr>
                <w:rFonts w:hAnsi="宋体" w:cs="宋体"/>
                <w:sz w:val="24"/>
                <w:szCs w:val="24"/>
              </w:rPr>
              <w:t xml:space="preserve">□本项目__包为单一产品采购项目。</w:t>
            </w:r>
            <w:r/>
          </w:p>
          <w:p>
            <w:pPr>
              <w:pStyle w:val="1100"/>
              <w:jc w:val="left"/>
              <w:rPr>
                <w:rFonts w:hint="eastAsia" w:ascii="宋体" w:hAnsi="宋体" w:cs="宋体"/>
                <w:sz w:val="24"/>
              </w:rPr>
            </w:pPr>
            <w:r>
              <w:rPr>
                <w:rFonts w:hint="eastAsia" w:ascii="宋体" w:hAnsi="宋体" w:cs="宋体"/>
                <w:sz w:val="24"/>
              </w:rPr>
              <w:t xml:space="preserve">■本项目为非单一产品采购项目，核心产品为：</w:t>
            </w:r>
            <w:r>
              <w:rPr>
                <w:rFonts w:hint="eastAsia" w:ascii="宋体" w:hAnsi="宋体" w:cs="宋体"/>
                <w:b/>
                <w:sz w:val="24"/>
              </w:rPr>
              <w:t xml:space="preserve">自动控制装调平台</w:t>
            </w:r>
            <w:r>
              <w:rPr>
                <w:rFonts w:hint="eastAsia" w:ascii="宋体" w:hAnsi="宋体" w:cs="宋体"/>
                <w:b/>
                <w:sz w:val="24"/>
              </w:rPr>
              <w:t xml:space="preserve">。</w:t>
            </w:r>
            <w:r>
              <w:rPr>
                <w:rFonts w:hint="eastAsia" w:ascii="宋体" w:hAnsi="宋体" w:cs="宋体"/>
                <w:sz w:val="24"/>
              </w:rPr>
            </w:r>
            <w:r/>
          </w:p>
        </w:tc>
      </w:tr>
      <w:tr>
        <w:trPr>
          <w:cantSplit/>
          <w:trHeight w:val="20"/>
        </w:trPr>
        <w:tc>
          <w:tcPr>
            <w:tcW w:w="988" w:type="dxa"/>
            <w:vAlign w:val="center"/>
            <w:vMerge w:val="restart"/>
            <w:textDirection w:val="lrTb"/>
            <w:noWrap w:val="false"/>
          </w:tcPr>
          <w:p>
            <w:pPr>
              <w:pStyle w:val="1140"/>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■不组织</w:t>
            </w:r>
            <w:r/>
          </w:p>
          <w:p>
            <w:pPr>
              <w:pStyle w:val="1100"/>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40"/>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40"/>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■不召开</w:t>
            </w:r>
            <w:r/>
          </w:p>
          <w:p>
            <w:pPr>
              <w:pStyle w:val="1100"/>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100"/>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投标样品递交：</w:t>
            </w:r>
            <w:r/>
          </w:p>
          <w:p>
            <w:pPr>
              <w:pStyle w:val="1100"/>
              <w:jc w:val="left"/>
              <w:rPr>
                <w:rFonts w:hint="eastAsia" w:ascii="宋体" w:hAnsi="宋体" w:cs="宋体"/>
                <w:sz w:val="24"/>
              </w:rPr>
            </w:pPr>
            <w:r>
              <w:rPr>
                <w:rFonts w:hint="eastAsia" w:ascii="宋体" w:hAnsi="宋体" w:cs="宋体"/>
                <w:sz w:val="24"/>
              </w:rPr>
              <w:t xml:space="preserve">■不需要</w:t>
            </w:r>
            <w:r/>
          </w:p>
          <w:p>
            <w:pPr>
              <w:pStyle w:val="1100"/>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sz w:val="24"/>
              </w:rPr>
              <w:t xml:space="preserve">：</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100"/>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100"/>
              <w:jc w:val="left"/>
              <w:spacing w:line="360" w:lineRule="exact"/>
              <w:rPr>
                <w:rFonts w:hint="eastAsia"/>
                <w:sz w:val="24"/>
              </w:rPr>
            </w:pPr>
            <w:r>
              <w:rPr>
                <w:sz w:val="24"/>
              </w:rPr>
              <w:t xml:space="preserve">关于</w:t>
            </w:r>
            <w:r>
              <w:rPr>
                <w:rFonts w:hint="eastAsia"/>
                <w:sz w:val="24"/>
              </w:rPr>
              <w:t xml:space="preserve">对采购本国产品给予政策支持，</w:t>
            </w:r>
            <w:r>
              <w:rPr>
                <w:rFonts w:hint="eastAsia"/>
                <w:b/>
                <w:sz w:val="24"/>
              </w:rPr>
              <w:t xml:space="preserve">本项目：适用。</w:t>
            </w:r>
            <w:r>
              <w:rPr>
                <w:rFonts w:hint="eastAsia"/>
                <w:sz w:val="24"/>
              </w:rPr>
            </w:r>
            <w:r/>
          </w:p>
          <w:p>
            <w:pPr>
              <w:pStyle w:val="1102"/>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投标报价的特殊规定：</w:t>
            </w:r>
            <w:r/>
          </w:p>
          <w:p>
            <w:pPr>
              <w:pStyle w:val="1100"/>
              <w:jc w:val="left"/>
              <w:rPr>
                <w:rFonts w:hint="eastAsia" w:ascii="宋体" w:hAnsi="宋体" w:cs="宋体"/>
                <w:sz w:val="24"/>
              </w:rPr>
            </w:pPr>
            <w:r>
              <w:rPr>
                <w:rFonts w:hint="eastAsia" w:ascii="宋体" w:hAnsi="宋体" w:cs="宋体"/>
                <w:sz w:val="24"/>
              </w:rPr>
              <w:t xml:space="preserve">■无</w:t>
            </w:r>
            <w:r/>
          </w:p>
          <w:p>
            <w:pPr>
              <w:pStyle w:val="1100"/>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100"/>
              <w:jc w:val="left"/>
              <w:rPr>
                <w:rFonts w:hint="eastAsia" w:ascii="宋体" w:hAnsi="宋体" w:cs="宋体"/>
                <w:sz w:val="24"/>
              </w:rPr>
            </w:pPr>
            <w:r>
              <w:rPr>
                <w:rFonts w:hint="eastAsia" w:ascii="宋体" w:hAnsi="宋体" w:cs="宋体"/>
                <w:sz w:val="24"/>
              </w:rPr>
              <w:t xml:space="preserve">■不允许</w:t>
            </w:r>
            <w:r/>
          </w:p>
          <w:p>
            <w:pPr>
              <w:pStyle w:val="1100"/>
              <w:jc w:val="left"/>
              <w:rPr>
                <w:rFonts w:hint="eastAsia" w:ascii="宋体" w:hAnsi="宋体" w:cs="宋体"/>
                <w:sz w:val="24"/>
              </w:rPr>
            </w:pPr>
            <w:r>
              <w:rPr>
                <w:rFonts w:hint="eastAsia" w:ascii="宋体" w:hAnsi="宋体" w:cs="宋体"/>
                <w:sz w:val="24"/>
              </w:rPr>
              <w:t xml:space="preserve">□允许，具体要求：</w:t>
            </w:r>
            <w:r/>
          </w:p>
          <w:p>
            <w:pPr>
              <w:pStyle w:val="1100"/>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100"/>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100"/>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20</w:t>
            </w:r>
            <w:r>
              <w:rPr>
                <w:rFonts w:ascii="宋体" w:hAnsi="宋体" w:cs="宋体"/>
                <w:b/>
                <w:sz w:val="24"/>
              </w:rPr>
              <w:t xml:space="preserve">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8</w:t>
            </w:r>
            <w:r>
              <w:rPr>
                <w:rFonts w:hint="eastAsia" w:ascii="宋体" w:hAnsi="宋体" w:cs="宋体"/>
                <w:b/>
                <w:sz w:val="24"/>
              </w:rPr>
              <w:t xml:space="preserve">月</w:t>
            </w:r>
            <w:r>
              <w:rPr>
                <w:rFonts w:hint="eastAsia" w:ascii="宋体" w:hAnsi="宋体" w:cs="宋体"/>
                <w:b/>
                <w:sz w:val="24"/>
              </w:rPr>
              <w:t xml:space="preserve">1</w:t>
            </w:r>
            <w:r>
              <w:rPr>
                <w:rFonts w:ascii="宋体" w:hAnsi="宋体" w:cs="宋体"/>
                <w:b/>
                <w:sz w:val="24"/>
              </w:rPr>
              <w:t xml:space="preserve">7</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接收询问和质疑的联系方式</w:t>
            </w:r>
            <w:r/>
          </w:p>
          <w:p>
            <w:pPr>
              <w:pStyle w:val="1100"/>
              <w:jc w:val="left"/>
              <w:rPr>
                <w:rFonts w:hint="eastAsia" w:ascii="宋体" w:hAnsi="宋体" w:cs="宋体"/>
                <w:sz w:val="24"/>
              </w:rPr>
            </w:pPr>
            <w:r>
              <w:rPr>
                <w:rFonts w:hint="eastAsia" w:ascii="宋体" w:hAnsi="宋体" w:cs="宋体"/>
                <w:sz w:val="24"/>
              </w:rPr>
              <w:t xml:space="preserve">联系部门：技术部；</w:t>
            </w:r>
            <w:r/>
          </w:p>
          <w:p>
            <w:pPr>
              <w:pStyle w:val="1100"/>
              <w:jc w:val="left"/>
              <w:rPr>
                <w:rFonts w:hint="eastAsia" w:ascii="宋体" w:hAnsi="宋体" w:cs="宋体"/>
                <w:sz w:val="24"/>
              </w:rPr>
            </w:pPr>
            <w:r>
              <w:rPr>
                <w:rFonts w:hint="eastAsia" w:ascii="宋体" w:hAnsi="宋体" w:cs="宋体"/>
                <w:sz w:val="24"/>
              </w:rPr>
              <w:t xml:space="preserve">联系电话：0519-81580152  81580191  81580192（转分机号</w:t>
            </w:r>
            <w:r>
              <w:rPr>
                <w:rFonts w:hint="eastAsia" w:ascii="宋体" w:hAnsi="宋体" w:cs="宋体"/>
                <w:sz w:val="24"/>
              </w:rPr>
              <w:t xml:space="preserve">6</w:t>
            </w:r>
            <w:r>
              <w:rPr>
                <w:rFonts w:ascii="宋体" w:hAnsi="宋体" w:cs="宋体"/>
                <w:sz w:val="24"/>
              </w:rPr>
              <w:t xml:space="preserve">012</w:t>
            </w:r>
            <w:r>
              <w:rPr>
                <w:rFonts w:hint="eastAsia" w:ascii="宋体" w:hAnsi="宋体" w:cs="宋体"/>
                <w:sz w:val="24"/>
              </w:rPr>
              <w:t xml:space="preserve">）；</w:t>
            </w:r>
            <w:r/>
          </w:p>
          <w:p>
            <w:pPr>
              <w:pStyle w:val="1100"/>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100"/>
              <w:jc w:val="left"/>
              <w:rPr>
                <w:rFonts w:hint="eastAsia" w:ascii="宋体" w:hAnsi="宋体" w:cs="宋体"/>
                <w:b/>
                <w:sz w:val="24"/>
              </w:rPr>
            </w:pPr>
            <w:r>
              <w:rPr>
                <w:rFonts w:hint="eastAsia" w:ascii="宋体" w:hAnsi="宋体" w:cs="宋体"/>
                <w:b/>
                <w:sz w:val="24"/>
              </w:rPr>
              <w:t xml:space="preserve">（一）收费对象：</w:t>
            </w:r>
            <w:r/>
          </w:p>
          <w:p>
            <w:pPr>
              <w:pStyle w:val="1100"/>
              <w:jc w:val="left"/>
              <w:rPr>
                <w:rFonts w:hint="eastAsia" w:ascii="宋体" w:hAnsi="宋体" w:cs="宋体"/>
                <w:sz w:val="24"/>
              </w:rPr>
            </w:pPr>
            <w:r>
              <w:rPr>
                <w:rFonts w:hint="eastAsia" w:ascii="宋体" w:hAnsi="宋体" w:cs="宋体"/>
                <w:sz w:val="24"/>
              </w:rPr>
              <w:t xml:space="preserve">□采购人</w:t>
            </w:r>
            <w:r/>
          </w:p>
          <w:p>
            <w:pPr>
              <w:pStyle w:val="1100"/>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1100"/>
              <w:numPr>
                <w:ilvl w:val="0"/>
                <w:numId w:val="8"/>
              </w:numPr>
              <w:jc w:val="left"/>
              <w:rPr>
                <w:rFonts w:hint="eastAsia" w:ascii="宋体" w:hAnsi="宋体" w:cs="宋体"/>
                <w:b/>
                <w:sz w:val="24"/>
              </w:rPr>
            </w:pPr>
            <w:r>
              <w:rPr>
                <w:rFonts w:hint="eastAsia" w:ascii="宋体" w:hAnsi="宋体" w:cs="宋体"/>
                <w:b/>
                <w:sz w:val="24"/>
              </w:rPr>
              <w:t xml:space="preserve">收费标准：</w:t>
            </w:r>
            <w:r/>
          </w:p>
          <w:p>
            <w:pPr>
              <w:pStyle w:val="1100"/>
              <w:jc w:val="left"/>
              <w:rPr>
                <w:rFonts w:hint="eastAsia" w:ascii="宋体" w:hAnsi="宋体" w:cs="宋体"/>
                <w:sz w:val="24"/>
              </w:rPr>
            </w:pPr>
            <w:r>
              <w:rPr>
                <w:rFonts w:hint="eastAsia" w:ascii="宋体" w:hAnsi="宋体" w:cs="宋体"/>
                <w:sz w:val="24"/>
              </w:rPr>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100"/>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pStyle w:val="1100"/>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1100"/>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Cs w:val="21"/>
                    </w:rPr>
                    <w:t xml:space="preserve">　   类</w:t>
                  </w:r>
                  <w:r/>
                </w:p>
                <w:p>
                  <w:pPr>
                    <w:pStyle w:val="1100"/>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pStyle w:val="1100"/>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1100"/>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100"/>
                    <w:jc w:val="center"/>
                    <w:rPr>
                      <w:rFonts w:hint="eastAsia" w:ascii="宋体" w:hAnsi="宋体" w:cs="宋体"/>
                      <w:bCs/>
                      <w:szCs w:val="21"/>
                    </w:rPr>
                  </w:pPr>
                  <w:r>
                    <w:rPr>
                      <w:rFonts w:hint="eastAsia" w:ascii="宋体" w:hAnsi="宋体" w:cs="宋体"/>
                      <w:bCs/>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100"/>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100"/>
                    <w:jc w:val="center"/>
                    <w:rPr>
                      <w:rFonts w:hint="eastAsia" w:ascii="宋体" w:hAnsi="宋体" w:cs="宋体"/>
                      <w:szCs w:val="21"/>
                    </w:rPr>
                  </w:pPr>
                  <w:r>
                    <w:rPr>
                      <w:rFonts w:hint="eastAsia" w:ascii="宋体" w:hAnsi="宋体" w:cs="宋体"/>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100"/>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100"/>
                    <w:jc w:val="center"/>
                    <w:rPr>
                      <w:rFonts w:hint="eastAsia" w:ascii="宋体" w:hAnsi="宋体" w:cs="宋体"/>
                      <w:szCs w:val="21"/>
                    </w:rPr>
                  </w:pPr>
                  <w:r>
                    <w:rPr>
                      <w:rFonts w:hint="eastAsia" w:ascii="宋体" w:hAnsi="宋体" w:cs="宋体"/>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1100"/>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100"/>
                    <w:jc w:val="center"/>
                    <w:rPr>
                      <w:rFonts w:hint="eastAsia" w:ascii="宋体" w:hAnsi="宋体" w:cs="宋体"/>
                      <w:szCs w:val="21"/>
                    </w:rPr>
                  </w:pPr>
                  <w:r>
                    <w:rPr>
                      <w:rFonts w:hint="eastAsia" w:ascii="宋体" w:hAnsi="宋体" w:cs="宋体"/>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100"/>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100"/>
                    <w:jc w:val="center"/>
                    <w:rPr>
                      <w:rFonts w:hint="eastAsia" w:ascii="宋体" w:hAnsi="宋体" w:cs="宋体"/>
                      <w:szCs w:val="21"/>
                    </w:rPr>
                  </w:pPr>
                  <w:r>
                    <w:rPr>
                      <w:rFonts w:hint="eastAsia" w:ascii="宋体" w:hAnsi="宋体" w:cs="宋体"/>
                      <w:szCs w:val="21"/>
                    </w:rPr>
                    <w:t xml:space="preserve">…</w:t>
                  </w:r>
                  <w:r/>
                </w:p>
              </w:tc>
            </w:tr>
          </w:tbl>
          <w:p>
            <w:pPr>
              <w:pStyle w:val="1100"/>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1100"/>
              <w:ind w:firstLine="480"/>
              <w:jc w:val="left"/>
              <w:rPr>
                <w:rFonts w:hint="eastAsia" w:ascii="宋体" w:hAnsi="宋体" w:cs="宋体"/>
                <w:b/>
                <w:sz w:val="24"/>
              </w:rPr>
            </w:pPr>
            <w:r>
              <w:rPr>
                <w:rFonts w:hint="eastAsia" w:ascii="宋体" w:hAnsi="宋体" w:cs="宋体"/>
                <w:sz w:val="24"/>
              </w:rPr>
              <w:t xml:space="preserve">每年代理费</w:t>
            </w:r>
            <w:r>
              <w:rPr>
                <w:rFonts w:hint="eastAsia" w:ascii="宋体" w:hAnsi="宋体" w:cs="宋体"/>
                <w:b/>
                <w:sz w:val="24"/>
              </w:rPr>
              <w:t xml:space="preserve">按照上述标准的</w:t>
            </w:r>
            <w:r>
              <w:rPr>
                <w:rFonts w:ascii="宋体" w:hAnsi="宋体" w:cs="宋体"/>
                <w:b/>
                <w:sz w:val="24"/>
              </w:rPr>
              <w:t xml:space="preserve">40</w:t>
            </w:r>
            <w:r>
              <w:rPr>
                <w:rFonts w:hint="eastAsia" w:ascii="宋体" w:hAnsi="宋体" w:cs="宋体"/>
                <w:b/>
                <w:sz w:val="24"/>
              </w:rPr>
              <w:t xml:space="preserve">%收取。</w:t>
            </w:r>
            <w:r/>
          </w:p>
          <w:p>
            <w:pPr>
              <w:pStyle w:val="1100"/>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100"/>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在领取中标通知书时将代理费支付至常州市城投建设工程招标有限公司账户。</w:t>
            </w:r>
            <w:r/>
          </w:p>
          <w:p>
            <w:pPr>
              <w:pStyle w:val="1100"/>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100"/>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100"/>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0"/>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00"/>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100"/>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100"/>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100"/>
        <w:jc w:val="center"/>
        <w:spacing w:before="240" w:after="240"/>
        <w:rPr>
          <w:rFonts w:hint="eastAsia" w:ascii="宋体" w:hAnsi="宋体" w:cs="宋体"/>
          <w:b/>
          <w:sz w:val="28"/>
          <w:szCs w:val="28"/>
        </w:rPr>
      </w:pPr>
      <w:r/>
      <w:bookmarkStart w:id="75" w:name="_Toc353873932"/>
      <w:r/>
      <w:bookmarkStart w:id="76" w:name="_Toc353873662"/>
      <w:r/>
      <w:bookmarkStart w:id="77" w:name="_Toc226965790"/>
      <w:r/>
      <w:bookmarkStart w:id="78" w:name="_Toc226337213"/>
      <w:r/>
      <w:bookmarkStart w:id="79" w:name="_Toc127151517"/>
      <w:r/>
      <w:bookmarkStart w:id="80" w:name="_Toc195842882"/>
      <w:r/>
      <w:bookmarkStart w:id="81" w:name="_Toc150480755"/>
      <w:r/>
      <w:bookmarkStart w:id="82" w:name="_Toc264969207"/>
      <w:r/>
      <w:bookmarkStart w:id="83" w:name="_Toc150774722"/>
      <w:r/>
      <w:bookmarkStart w:id="84" w:name="_Toc265228355"/>
      <w:r/>
      <w:bookmarkStart w:id="85" w:name="_Toc142311019"/>
      <w:r/>
      <w:bookmarkStart w:id="86" w:name="_Toc353825542"/>
      <w:r/>
      <w:bookmarkStart w:id="87" w:name="_Toc305158785"/>
      <w:r/>
      <w:bookmarkStart w:id="88" w:name="_Toc305158859"/>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102"/>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1190145"/>
      <w:r/>
      <w:bookmarkStart w:id="92" w:name="_Toc151193906"/>
      <w:r/>
      <w:bookmarkStart w:id="93" w:name="_Toc226337214"/>
      <w:r/>
      <w:bookmarkStart w:id="94" w:name="_Toc226965791"/>
      <w:r/>
      <w:bookmarkStart w:id="95" w:name="_Toc151193688"/>
      <w:r/>
      <w:bookmarkStart w:id="96" w:name="_Toc151193616"/>
      <w:r/>
      <w:bookmarkStart w:id="97" w:name="_Toc195842883"/>
      <w:r/>
      <w:bookmarkStart w:id="98" w:name="_Toc226965708"/>
      <w:r/>
      <w:bookmarkStart w:id="99" w:name="_Toc151193760"/>
      <w:r/>
      <w:bookmarkStart w:id="100" w:name="_Toc150774618"/>
      <w:r/>
      <w:bookmarkStart w:id="101" w:name="_Toc305158786"/>
      <w:r/>
      <w:bookmarkStart w:id="102" w:name="_Toc151193832"/>
      <w:r/>
      <w:bookmarkStart w:id="103" w:name="_Toc226309762"/>
      <w:r/>
      <w:bookmarkStart w:id="104" w:name="_Toc150480756"/>
      <w:r/>
      <w:bookmarkStart w:id="105" w:name="_Toc305158860"/>
      <w:r/>
      <w:bookmarkStart w:id="106" w:name="_Toc265228356"/>
      <w:r/>
      <w:bookmarkStart w:id="107" w:name="_Toc264969208"/>
      <w:r/>
      <w:bookmarkStart w:id="108" w:name="_Toc150509269"/>
      <w:r/>
      <w:bookmarkStart w:id="109" w:name="_Toc142311020"/>
      <w:r/>
      <w:bookmarkStart w:id="110" w:name="_Toc150774723"/>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100"/>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861"/>
      <w:r/>
      <w:bookmarkStart w:id="112" w:name="_Toc265228357"/>
      <w:r/>
      <w:bookmarkStart w:id="113" w:name="_Toc305158787"/>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100"/>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100"/>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100"/>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100"/>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3690"/>
      <w:r/>
      <w:bookmarkStart w:id="116" w:name="_Toc127151721"/>
      <w:r/>
      <w:bookmarkStart w:id="117" w:name="_Toc164229215"/>
      <w:r/>
      <w:bookmarkStart w:id="118" w:name="_Toc151193834"/>
      <w:r/>
      <w:bookmarkStart w:id="119" w:name="_Toc164608789"/>
      <w:r/>
      <w:bookmarkStart w:id="120" w:name="_Toc149720813"/>
      <w:r/>
      <w:bookmarkStart w:id="121" w:name="_Toc226965793"/>
      <w:r/>
      <w:bookmarkStart w:id="122" w:name="_Toc151190147"/>
      <w:r/>
      <w:bookmarkStart w:id="123" w:name="_Toc305158788"/>
      <w:r/>
      <w:bookmarkStart w:id="124" w:name="_Toc265228358"/>
      <w:r/>
      <w:bookmarkStart w:id="125" w:name="_Toc150509271"/>
      <w:r/>
      <w:bookmarkStart w:id="126" w:name="_Toc151193908"/>
      <w:r/>
      <w:bookmarkStart w:id="127" w:name="_Toc142311022"/>
      <w:r/>
      <w:bookmarkStart w:id="128" w:name="_Toc195842885"/>
      <w:r/>
      <w:bookmarkStart w:id="129" w:name="_Toc226309764"/>
      <w:r/>
      <w:bookmarkStart w:id="130" w:name="_Toc127151520"/>
      <w:r/>
      <w:bookmarkStart w:id="131" w:name="_Toc226337216"/>
      <w:r/>
      <w:bookmarkStart w:id="132" w:name="_Toc151193618"/>
      <w:r/>
      <w:bookmarkStart w:id="133" w:name="_Toc127161434"/>
      <w:r/>
      <w:bookmarkStart w:id="134" w:name="_Toc164351614"/>
      <w:r/>
      <w:bookmarkStart w:id="135" w:name="_Toc305158862"/>
      <w:r/>
      <w:bookmarkStart w:id="136" w:name="_Toc150774725"/>
      <w:r/>
      <w:bookmarkStart w:id="137" w:name="_Toc164608634"/>
      <w:r/>
      <w:bookmarkStart w:id="138" w:name="_Toc151193762"/>
      <w:r/>
      <w:bookmarkStart w:id="139" w:name="_Toc226965710"/>
      <w:r/>
      <w:bookmarkStart w:id="140" w:name="_Toc150774620"/>
      <w:r/>
      <w:bookmarkStart w:id="141" w:name="_Toc150480758"/>
      <w:r/>
      <w:bookmarkStart w:id="142" w:name="_Toc164229361"/>
      <w:r/>
      <w:bookmarkStart w:id="143" w:name="_Toc264969210"/>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100"/>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100"/>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3910"/>
      <w:r/>
      <w:bookmarkStart w:id="145" w:name="_Toc195842887"/>
      <w:r/>
      <w:bookmarkStart w:id="146" w:name="_Toc151193836"/>
      <w:r/>
      <w:bookmarkStart w:id="147" w:name="_Toc151190149"/>
      <w:r/>
      <w:bookmarkStart w:id="148" w:name="_Toc226337218"/>
      <w:r/>
      <w:bookmarkStart w:id="149" w:name="_Toc226965712"/>
      <w:r/>
      <w:bookmarkStart w:id="150" w:name="_Toc151193764"/>
      <w:r/>
      <w:bookmarkStart w:id="151" w:name="_Toc520356146"/>
      <w:r/>
      <w:bookmarkStart w:id="152" w:name="_Toc150774622"/>
      <w:r/>
      <w:bookmarkStart w:id="153" w:name="_Toc150774727"/>
      <w:r/>
      <w:bookmarkStart w:id="154" w:name="_Toc264969212"/>
      <w:r/>
      <w:bookmarkStart w:id="155" w:name="_Toc305158790"/>
      <w:r/>
      <w:bookmarkStart w:id="156" w:name="_Toc150480760"/>
      <w:r/>
      <w:bookmarkStart w:id="157" w:name="_Toc151193692"/>
      <w:r/>
      <w:bookmarkStart w:id="158" w:name="_Toc150509273"/>
      <w:r/>
      <w:bookmarkStart w:id="159" w:name="_Toc142311024"/>
      <w:r/>
      <w:bookmarkStart w:id="160" w:name="_Toc151193620"/>
      <w:r/>
      <w:bookmarkStart w:id="161" w:name="_Toc265228360"/>
      <w:r/>
      <w:bookmarkStart w:id="162" w:name="_Toc127151522"/>
      <w:r/>
      <w:bookmarkStart w:id="163" w:name="_Toc226309766"/>
      <w:r/>
      <w:bookmarkStart w:id="164" w:name="_Toc305158864"/>
      <w:r/>
      <w:bookmarkStart w:id="165" w:name="_Toc226965795"/>
      <w:r>
        <w:rPr>
          <w:rFonts w:hint="eastAsia" w:ascii="宋体" w:hAnsi="宋体" w:cs="宋体"/>
          <w:sz w:val="28"/>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100"/>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100"/>
        <w:numPr>
          <w:ilvl w:val="0"/>
          <w:numId w:val="9"/>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10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100"/>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10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9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9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9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9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9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95"/>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95"/>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95"/>
        <w:numPr>
          <w:ilvl w:val="2"/>
          <w:numId w:val="10"/>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00"/>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100"/>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10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10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10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100"/>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100"/>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100"/>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100"/>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95"/>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95"/>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00"/>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100"/>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100"/>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100"/>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100"/>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100"/>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10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10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100"/>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10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10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100"/>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100"/>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100"/>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100"/>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100"/>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100"/>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100"/>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100"/>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100"/>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100"/>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102"/>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265228361"/>
      <w:r/>
      <w:bookmarkStart w:id="168" w:name="_Toc226965796"/>
      <w:r/>
      <w:bookmarkStart w:id="169" w:name="_Toc150774728"/>
      <w:r/>
      <w:bookmarkStart w:id="170" w:name="_Toc226309767"/>
      <w:r/>
      <w:bookmarkStart w:id="171" w:name="_Toc164608637"/>
      <w:r/>
      <w:bookmarkStart w:id="172" w:name="_Toc142311025"/>
      <w:r/>
      <w:bookmarkStart w:id="173" w:name="_Toc264969213"/>
      <w:r/>
      <w:bookmarkStart w:id="174" w:name="_Toc150509274"/>
      <w:r/>
      <w:bookmarkStart w:id="175" w:name="_Toc520356147"/>
      <w:r/>
      <w:bookmarkStart w:id="176" w:name="_Toc150480761"/>
      <w:r/>
      <w:bookmarkStart w:id="177" w:name="_Toc195842888"/>
      <w:r/>
      <w:bookmarkStart w:id="178" w:name="_Toc151193693"/>
      <w:r/>
      <w:bookmarkStart w:id="179" w:name="_Toc164229364"/>
      <w:r/>
      <w:bookmarkStart w:id="180" w:name="_Toc164229218"/>
      <w:r/>
      <w:bookmarkStart w:id="181" w:name="_Toc150774623"/>
      <w:r/>
      <w:bookmarkStart w:id="182" w:name="_Toc226337219"/>
      <w:r/>
      <w:bookmarkStart w:id="183" w:name="_Toc127151724"/>
      <w:r/>
      <w:bookmarkStart w:id="184" w:name="_Toc151193621"/>
      <w:r/>
      <w:bookmarkStart w:id="185" w:name="_Toc305158791"/>
      <w:r/>
      <w:bookmarkStart w:id="186" w:name="_Toc127161437"/>
      <w:r/>
      <w:bookmarkStart w:id="187" w:name="_Toc151193911"/>
      <w:r/>
      <w:bookmarkStart w:id="188" w:name="_Toc149720816"/>
      <w:r/>
      <w:bookmarkStart w:id="189" w:name="_Toc164351617"/>
      <w:r/>
      <w:bookmarkStart w:id="190" w:name="_Toc151190150"/>
      <w:r/>
      <w:bookmarkStart w:id="191" w:name="_Toc127151523"/>
      <w:r/>
      <w:bookmarkStart w:id="192" w:name="_Toc164608792"/>
      <w:r/>
      <w:bookmarkStart w:id="193" w:name="_Toc151193765"/>
      <w:r/>
      <w:bookmarkStart w:id="194" w:name="_Toc151193837"/>
      <w:r/>
      <w:bookmarkStart w:id="195" w:name="_Toc305158865"/>
      <w:r/>
      <w:bookmarkStart w:id="196" w:name="_Toc226965713"/>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10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10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10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10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10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10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10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100"/>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100"/>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102"/>
        <w:ind w:firstLine="562"/>
        <w:spacing w:before="0" w:line="360" w:lineRule="auto"/>
        <w:rPr>
          <w:rFonts w:hint="eastAsia" w:ascii="宋体" w:hAnsi="宋体" w:eastAsia="宋体" w:cs="宋体"/>
          <w:sz w:val="28"/>
        </w:rPr>
      </w:pPr>
      <w:r/>
      <w:bookmarkStart w:id="197" w:name="_Toc265228364"/>
      <w:r/>
      <w:bookmarkStart w:id="198" w:name="_Toc226337222"/>
      <w:r/>
      <w:bookmarkStart w:id="199" w:name="_Toc151193768"/>
      <w:r/>
      <w:bookmarkStart w:id="200" w:name="_Toc151193624"/>
      <w:r/>
      <w:bookmarkStart w:id="201" w:name="_Toc150480764"/>
      <w:r/>
      <w:bookmarkStart w:id="202" w:name="_Toc142311028"/>
      <w:r/>
      <w:bookmarkStart w:id="203" w:name="_Toc264969216"/>
      <w:r/>
      <w:bookmarkStart w:id="204" w:name="_Toc151193914"/>
      <w:r/>
      <w:bookmarkStart w:id="205" w:name="_Toc151193696"/>
      <w:r/>
      <w:bookmarkStart w:id="206" w:name="_Toc305158794"/>
      <w:r/>
      <w:bookmarkStart w:id="207" w:name="_Toc226965716"/>
      <w:r/>
      <w:bookmarkStart w:id="208" w:name="_Toc305158868"/>
      <w:r/>
      <w:bookmarkStart w:id="209" w:name="_Toc150509277"/>
      <w:r/>
      <w:bookmarkStart w:id="210" w:name="_Toc516367020"/>
      <w:r/>
      <w:bookmarkStart w:id="211" w:name="_Toc127151526"/>
      <w:r/>
      <w:bookmarkStart w:id="212" w:name="_Toc195842891"/>
      <w:r/>
      <w:bookmarkStart w:id="213" w:name="_Toc226309770"/>
      <w:r/>
      <w:bookmarkStart w:id="214" w:name="_Toc150774626"/>
      <w:r/>
      <w:bookmarkStart w:id="215" w:name="_Toc226965799"/>
      <w:r/>
      <w:bookmarkStart w:id="216" w:name="_Toc151190153"/>
      <w:r/>
      <w:bookmarkStart w:id="217" w:name="_Toc520356150"/>
      <w:r/>
      <w:bookmarkStart w:id="218" w:name="_Toc151193840"/>
      <w:r/>
      <w:bookmarkStart w:id="219" w:name="_Toc150774731"/>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42311029"/>
      <w:r/>
      <w:bookmarkStart w:id="221" w:name="_Toc151193769"/>
      <w:r/>
      <w:bookmarkStart w:id="222" w:name="_Toc127151728"/>
      <w:r/>
      <w:bookmarkStart w:id="223" w:name="_Toc516367021"/>
      <w:r/>
      <w:bookmarkStart w:id="224" w:name="_Toc305158795"/>
      <w:r/>
      <w:bookmarkStart w:id="225" w:name="_Toc195842892"/>
      <w:r/>
      <w:bookmarkStart w:id="226" w:name="_Toc164229368"/>
      <w:r/>
      <w:bookmarkStart w:id="227" w:name="_Toc164608641"/>
      <w:r/>
      <w:bookmarkStart w:id="228" w:name="_Toc226309771"/>
      <w:r/>
      <w:bookmarkStart w:id="229" w:name="_Toc150509278"/>
      <w:r/>
      <w:bookmarkStart w:id="230" w:name="_Toc127161441"/>
      <w:r/>
      <w:bookmarkStart w:id="231" w:name="_Toc265228365"/>
      <w:r/>
      <w:bookmarkStart w:id="232" w:name="_Toc151190154"/>
      <w:r/>
      <w:bookmarkStart w:id="233" w:name="_Toc164351621"/>
      <w:r/>
      <w:bookmarkStart w:id="234" w:name="_Toc305158869"/>
      <w:r/>
      <w:bookmarkStart w:id="235" w:name="_Toc149720820"/>
      <w:r/>
      <w:bookmarkStart w:id="236" w:name="_Toc226965800"/>
      <w:r/>
      <w:bookmarkStart w:id="237" w:name="_Toc226337223"/>
      <w:r/>
      <w:bookmarkStart w:id="238" w:name="_Toc127151527"/>
      <w:r/>
      <w:bookmarkStart w:id="239" w:name="_Toc151193697"/>
      <w:r/>
      <w:bookmarkStart w:id="240" w:name="_Toc150480765"/>
      <w:r/>
      <w:bookmarkStart w:id="241" w:name="_Toc164608796"/>
      <w:r/>
      <w:bookmarkStart w:id="242" w:name="_Toc151193915"/>
      <w:r/>
      <w:bookmarkStart w:id="243" w:name="_Toc226965717"/>
      <w:r/>
      <w:bookmarkStart w:id="244" w:name="_Toc520356151"/>
      <w:r/>
      <w:bookmarkStart w:id="245" w:name="_Toc150774732"/>
      <w:r/>
      <w:bookmarkStart w:id="246" w:name="_Toc150774627"/>
      <w:r/>
      <w:bookmarkStart w:id="247" w:name="_Toc164229222"/>
      <w:r/>
      <w:bookmarkStart w:id="248" w:name="_Toc151193841"/>
      <w:r/>
      <w:bookmarkStart w:id="249" w:name="_Toc151193625"/>
      <w:r/>
      <w:bookmarkStart w:id="250" w:name="_Toc264969217"/>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520356152"/>
      <w:r/>
      <w:bookmarkStart w:id="252" w:name="_Toc164351622"/>
      <w:r/>
      <w:bookmarkStart w:id="253" w:name="_Toc150509279"/>
      <w:r/>
      <w:bookmarkStart w:id="254" w:name="_Toc164229223"/>
      <w:r/>
      <w:bookmarkStart w:id="255" w:name="_Toc151193770"/>
      <w:r/>
      <w:bookmarkStart w:id="256" w:name="_Toc151193626"/>
      <w:r/>
      <w:bookmarkStart w:id="257" w:name="_Toc305158796"/>
      <w:r/>
      <w:bookmarkStart w:id="258" w:name="_Ref467306195"/>
      <w:r/>
      <w:bookmarkStart w:id="259" w:name="_Ref467306676"/>
      <w:r/>
      <w:bookmarkStart w:id="260" w:name="_Toc516367022"/>
      <w:r/>
      <w:bookmarkStart w:id="261" w:name="_Toc150774628"/>
      <w:r/>
      <w:bookmarkStart w:id="262" w:name="_Toc151193698"/>
      <w:r/>
      <w:bookmarkStart w:id="263" w:name="_Toc151193916"/>
      <w:r/>
      <w:bookmarkStart w:id="264" w:name="_Toc149720821"/>
      <w:r/>
      <w:bookmarkStart w:id="265" w:name="_Toc142311030"/>
      <w:r/>
      <w:bookmarkStart w:id="266" w:name="_Toc226309772"/>
      <w:r/>
      <w:bookmarkStart w:id="267" w:name="_Toc226337224"/>
      <w:r/>
      <w:bookmarkStart w:id="268" w:name="_Toc164608642"/>
      <w:r/>
      <w:bookmarkStart w:id="269" w:name="_Toc150480766"/>
      <w:r/>
      <w:bookmarkStart w:id="270" w:name="_Toc305158870"/>
      <w:r/>
      <w:bookmarkStart w:id="271" w:name="_Toc164229369"/>
      <w:r/>
      <w:bookmarkStart w:id="272" w:name="_Toc127151729"/>
      <w:r/>
      <w:bookmarkStart w:id="273" w:name="_Toc127151528"/>
      <w:r/>
      <w:bookmarkStart w:id="274" w:name="_Toc265228366"/>
      <w:r/>
      <w:bookmarkStart w:id="275" w:name="_Toc264969218"/>
      <w:r/>
      <w:bookmarkStart w:id="276" w:name="_Toc151193842"/>
      <w:r/>
      <w:bookmarkStart w:id="277" w:name="_Toc226965801"/>
      <w:r/>
      <w:bookmarkStart w:id="278" w:name="_Toc226965718"/>
      <w:r/>
      <w:bookmarkStart w:id="279" w:name="_Toc151190155"/>
      <w:r/>
      <w:bookmarkStart w:id="280" w:name="_Toc195842893"/>
      <w:r/>
      <w:bookmarkStart w:id="281" w:name="_Toc150774733"/>
      <w:r/>
      <w:bookmarkStart w:id="282" w:name="_Toc164608797"/>
      <w:r/>
      <w:bookmarkStart w:id="283" w:name="_Toc12716144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0480768"/>
      <w:r/>
      <w:bookmarkStart w:id="286" w:name="_Toc149720823"/>
      <w:r/>
      <w:bookmarkStart w:id="287" w:name="_Toc150774630"/>
      <w:r/>
      <w:bookmarkStart w:id="288" w:name="_Toc127161444"/>
      <w:r/>
      <w:bookmarkStart w:id="289" w:name="_Toc151193844"/>
      <w:r/>
      <w:bookmarkStart w:id="290" w:name="_Toc151193918"/>
      <w:r/>
      <w:bookmarkStart w:id="291" w:name="_Toc127151530"/>
      <w:r/>
      <w:bookmarkStart w:id="292" w:name="_Toc164608799"/>
      <w:r/>
      <w:bookmarkStart w:id="293" w:name="_Toc151193772"/>
      <w:r/>
      <w:bookmarkStart w:id="294" w:name="_Toc150509281"/>
      <w:r/>
      <w:bookmarkStart w:id="295" w:name="_Toc150774735"/>
      <w:r/>
      <w:bookmarkStart w:id="296" w:name="_Toc164608644"/>
      <w:r/>
      <w:bookmarkStart w:id="297" w:name="_Toc164229371"/>
      <w:r/>
      <w:bookmarkStart w:id="298" w:name="_Toc195842895"/>
      <w:r/>
      <w:bookmarkStart w:id="299" w:name="_Toc520356155"/>
      <w:r/>
      <w:bookmarkStart w:id="300" w:name="_Toc151193628"/>
      <w:r/>
      <w:bookmarkStart w:id="301" w:name="_Toc142311032"/>
      <w:r/>
      <w:bookmarkStart w:id="302" w:name="_Toc164229225"/>
      <w:r/>
      <w:bookmarkStart w:id="303" w:name="_Toc151190157"/>
      <w:r/>
      <w:bookmarkStart w:id="304" w:name="_Toc127151731"/>
      <w:r/>
      <w:bookmarkStart w:id="305" w:name="_Toc164351624"/>
      <w:r/>
      <w:bookmarkStart w:id="306" w:name="_Toc151193700"/>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1193919"/>
      <w:r/>
      <w:bookmarkStart w:id="308" w:name="_Toc150480769"/>
      <w:r/>
      <w:bookmarkStart w:id="309" w:name="_Toc142311033"/>
      <w:r/>
      <w:bookmarkStart w:id="310" w:name="_Toc164608800"/>
      <w:r/>
      <w:bookmarkStart w:id="311" w:name="_Toc164351625"/>
      <w:r/>
      <w:bookmarkStart w:id="312" w:name="_Toc195842896"/>
      <w:r/>
      <w:bookmarkStart w:id="313" w:name="_Toc127151531"/>
      <w:r/>
      <w:bookmarkStart w:id="314" w:name="_Toc151193845"/>
      <w:r/>
      <w:bookmarkStart w:id="315" w:name="_Toc151193773"/>
      <w:r/>
      <w:bookmarkStart w:id="316" w:name="_Toc226965804"/>
      <w:r/>
      <w:bookmarkStart w:id="317" w:name="_Toc151193629"/>
      <w:r/>
      <w:bookmarkStart w:id="318" w:name="_Toc150774736"/>
      <w:r/>
      <w:bookmarkStart w:id="319" w:name="_Toc226309775"/>
      <w:r/>
      <w:bookmarkStart w:id="320" w:name="_Ref467306513"/>
      <w:r/>
      <w:bookmarkStart w:id="321" w:name="_Toc151193701"/>
      <w:r/>
      <w:bookmarkStart w:id="322" w:name="_Toc164229372"/>
      <w:r/>
      <w:bookmarkStart w:id="323" w:name="_Toc127151732"/>
      <w:r/>
      <w:bookmarkStart w:id="324" w:name="_Toc149720824"/>
      <w:r/>
      <w:bookmarkStart w:id="325" w:name="_Toc305158873"/>
      <w:r/>
      <w:bookmarkStart w:id="326" w:name="_Toc265228369"/>
      <w:r/>
      <w:bookmarkStart w:id="327" w:name="_Toc226337227"/>
      <w:r/>
      <w:bookmarkStart w:id="328" w:name="_Toc305158799"/>
      <w:r/>
      <w:bookmarkStart w:id="329" w:name="_Toc150774631"/>
      <w:r/>
      <w:bookmarkStart w:id="330" w:name="_Toc226965721"/>
      <w:r/>
      <w:bookmarkStart w:id="331" w:name="_Toc264969221"/>
      <w:r/>
      <w:bookmarkStart w:id="332" w:name="_Toc164608645"/>
      <w:r/>
      <w:bookmarkStart w:id="333" w:name="_Toc127161445"/>
      <w:r/>
      <w:bookmarkStart w:id="334" w:name="_Toc520356156"/>
      <w:r/>
      <w:bookmarkStart w:id="335" w:name="_Toc164229226"/>
      <w:r/>
      <w:bookmarkStart w:id="336" w:name="_Toc150509282"/>
      <w:r/>
      <w:bookmarkStart w:id="337" w:name="_Toc151190158"/>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100"/>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264969222"/>
      <w:r/>
      <w:bookmarkStart w:id="339" w:name="_Toc151193702"/>
      <w:r/>
      <w:bookmarkStart w:id="340" w:name="_Toc164608801"/>
      <w:r/>
      <w:bookmarkStart w:id="341" w:name="_Toc127151532"/>
      <w:r/>
      <w:bookmarkStart w:id="342" w:name="_Toc149720825"/>
      <w:r/>
      <w:bookmarkStart w:id="343" w:name="_Toc520356157"/>
      <w:r/>
      <w:bookmarkStart w:id="344" w:name="_Toc265228370"/>
      <w:r/>
      <w:bookmarkStart w:id="345" w:name="_Toc226965805"/>
      <w:r/>
      <w:bookmarkStart w:id="346" w:name="_Toc142311034"/>
      <w:r/>
      <w:bookmarkStart w:id="347" w:name="_Toc226337228"/>
      <w:r/>
      <w:bookmarkStart w:id="348" w:name="_Toc164229227"/>
      <w:r/>
      <w:bookmarkStart w:id="349" w:name="_Toc151193630"/>
      <w:r/>
      <w:bookmarkStart w:id="350" w:name="_Toc150774632"/>
      <w:r/>
      <w:bookmarkStart w:id="351" w:name="_Toc226965722"/>
      <w:r/>
      <w:bookmarkStart w:id="352" w:name="_Toc226309776"/>
      <w:r/>
      <w:bookmarkStart w:id="353" w:name="_Toc150480770"/>
      <w:r/>
      <w:bookmarkStart w:id="354" w:name="_Toc164229373"/>
      <w:r/>
      <w:bookmarkStart w:id="355" w:name="_Toc127151733"/>
      <w:r/>
      <w:bookmarkStart w:id="356" w:name="_Toc305158800"/>
      <w:r/>
      <w:bookmarkStart w:id="357" w:name="_Toc164351626"/>
      <w:r/>
      <w:bookmarkStart w:id="358" w:name="_Toc151193774"/>
      <w:r/>
      <w:bookmarkStart w:id="359" w:name="_Toc305158874"/>
      <w:r/>
      <w:bookmarkStart w:id="360" w:name="_Toc151190159"/>
      <w:r/>
      <w:bookmarkStart w:id="361" w:name="_Toc127161446"/>
      <w:r/>
      <w:bookmarkStart w:id="362" w:name="_Toc195842897"/>
      <w:r/>
      <w:bookmarkStart w:id="363" w:name="_Toc150509283"/>
      <w:r/>
      <w:bookmarkStart w:id="364" w:name="_Toc151193846"/>
      <w:r/>
      <w:bookmarkStart w:id="365" w:name="_Toc150774737"/>
      <w:r/>
      <w:bookmarkStart w:id="366" w:name="_Toc164608646"/>
      <w:r/>
      <w:bookmarkStart w:id="367" w:name="_Toc151193920"/>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0774738"/>
      <w:r/>
      <w:bookmarkStart w:id="369" w:name="_Toc151193703"/>
      <w:r/>
      <w:bookmarkStart w:id="370" w:name="_Toc305158875"/>
      <w:r/>
      <w:bookmarkStart w:id="371" w:name="_Toc151193631"/>
      <w:r/>
      <w:bookmarkStart w:id="372" w:name="_Toc164608802"/>
      <w:r/>
      <w:bookmarkStart w:id="373" w:name="_Toc127151734"/>
      <w:r/>
      <w:bookmarkStart w:id="374" w:name="_Toc127151533"/>
      <w:r/>
      <w:bookmarkStart w:id="375" w:name="_Toc164351627"/>
      <w:r/>
      <w:bookmarkStart w:id="376" w:name="_Toc164229228"/>
      <w:r/>
      <w:bookmarkStart w:id="377" w:name="_Toc226965806"/>
      <w:r/>
      <w:bookmarkStart w:id="378" w:name="_Toc151193775"/>
      <w:r/>
      <w:bookmarkStart w:id="379" w:name="_Toc150774633"/>
      <w:r/>
      <w:bookmarkStart w:id="380" w:name="_Toc226337229"/>
      <w:r/>
      <w:bookmarkStart w:id="381" w:name="_Toc265228371"/>
      <w:r/>
      <w:bookmarkStart w:id="382" w:name="_Toc151190160"/>
      <w:r/>
      <w:bookmarkStart w:id="383" w:name="_Toc164229374"/>
      <w:r/>
      <w:bookmarkStart w:id="384" w:name="_Toc264969223"/>
      <w:r/>
      <w:bookmarkStart w:id="385" w:name="_Toc226309777"/>
      <w:r/>
      <w:bookmarkStart w:id="386" w:name="_Toc226965723"/>
      <w:r/>
      <w:bookmarkStart w:id="387" w:name="_Toc164608647"/>
      <w:r/>
      <w:bookmarkStart w:id="388" w:name="_Toc520356158"/>
      <w:r/>
      <w:bookmarkStart w:id="389" w:name="_Toc149720826"/>
      <w:r/>
      <w:bookmarkStart w:id="390" w:name="_Toc305158801"/>
      <w:r/>
      <w:bookmarkStart w:id="391" w:name="_Toc151193921"/>
      <w:r/>
      <w:bookmarkStart w:id="392" w:name="_Toc151193847"/>
      <w:r/>
      <w:bookmarkStart w:id="393" w:name="_Toc150509284"/>
      <w:r/>
      <w:bookmarkStart w:id="394" w:name="_Toc195842898"/>
      <w:r/>
      <w:bookmarkStart w:id="395" w:name="_Toc142311035"/>
      <w:r/>
      <w:bookmarkStart w:id="396" w:name="_Toc150480771"/>
      <w:r/>
      <w:bookmarkStart w:id="397" w:name="_Toc12716144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26965807"/>
      <w:r/>
      <w:bookmarkStart w:id="399" w:name="_Toc150480772"/>
      <w:r/>
      <w:bookmarkStart w:id="400" w:name="_Toc150774634"/>
      <w:r/>
      <w:bookmarkStart w:id="401" w:name="_Toc226965724"/>
      <w:r/>
      <w:bookmarkStart w:id="402" w:name="_Toc264969224"/>
      <w:r/>
      <w:bookmarkStart w:id="403" w:name="_Toc305158802"/>
      <w:r/>
      <w:bookmarkStart w:id="404" w:name="_Toc151193776"/>
      <w:r/>
      <w:bookmarkStart w:id="405" w:name="_Toc151193704"/>
      <w:r/>
      <w:bookmarkStart w:id="406" w:name="_Toc305158876"/>
      <w:r/>
      <w:bookmarkStart w:id="407" w:name="_Toc151190161"/>
      <w:r/>
      <w:bookmarkStart w:id="408" w:name="_Toc226337230"/>
      <w:r/>
      <w:bookmarkStart w:id="409" w:name="_Toc142311036"/>
      <w:r/>
      <w:bookmarkStart w:id="410" w:name="_Toc151193848"/>
      <w:r/>
      <w:bookmarkStart w:id="411" w:name="_Toc195842899"/>
      <w:r/>
      <w:bookmarkStart w:id="412" w:name="_Toc265228372"/>
      <w:r/>
      <w:bookmarkStart w:id="413" w:name="_Toc127151534"/>
      <w:r/>
      <w:bookmarkStart w:id="414" w:name="_Toc150509285"/>
      <w:r/>
      <w:bookmarkStart w:id="415" w:name="_Toc151193632"/>
      <w:r/>
      <w:bookmarkStart w:id="416" w:name="_Toc226309778"/>
      <w:r/>
      <w:bookmarkStart w:id="417" w:name="_Toc520356159"/>
      <w:r/>
      <w:bookmarkStart w:id="418" w:name="_Toc151193922"/>
      <w:r/>
      <w:bookmarkStart w:id="419" w:name="_Toc150774739"/>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100"/>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102"/>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0509286"/>
      <w:r/>
      <w:bookmarkStart w:id="421" w:name="_Toc151193849"/>
      <w:r/>
      <w:bookmarkStart w:id="422" w:name="_Toc195842900"/>
      <w:r/>
      <w:bookmarkStart w:id="423" w:name="_Toc150480773"/>
      <w:r/>
      <w:bookmarkStart w:id="424" w:name="_Toc164229376"/>
      <w:r/>
      <w:bookmarkStart w:id="425" w:name="_Toc226309779"/>
      <w:r/>
      <w:bookmarkStart w:id="426" w:name="_Toc226337231"/>
      <w:r/>
      <w:bookmarkStart w:id="427" w:name="_Toc164608804"/>
      <w:r/>
      <w:bookmarkStart w:id="428" w:name="_Toc151193633"/>
      <w:r/>
      <w:bookmarkStart w:id="429" w:name="_Toc264969225"/>
      <w:r/>
      <w:bookmarkStart w:id="430" w:name="_Toc151193923"/>
      <w:r/>
      <w:bookmarkStart w:id="431" w:name="_Toc127161449"/>
      <w:r/>
      <w:bookmarkStart w:id="432" w:name="_Toc142311037"/>
      <w:r/>
      <w:bookmarkStart w:id="433" w:name="_Toc520356160"/>
      <w:r/>
      <w:bookmarkStart w:id="434" w:name="_Toc164351629"/>
      <w:r/>
      <w:bookmarkStart w:id="435" w:name="_Toc226965725"/>
      <w:r/>
      <w:bookmarkStart w:id="436" w:name="_Toc149720828"/>
      <w:r/>
      <w:bookmarkStart w:id="437" w:name="_Toc265228373"/>
      <w:r/>
      <w:bookmarkStart w:id="438" w:name="_Toc127151736"/>
      <w:r/>
      <w:bookmarkStart w:id="439" w:name="_Toc164608649"/>
      <w:r/>
      <w:bookmarkStart w:id="440" w:name="_Toc150774635"/>
      <w:r/>
      <w:bookmarkStart w:id="441" w:name="_Toc151190162"/>
      <w:r/>
      <w:bookmarkStart w:id="442" w:name="_Toc151193777"/>
      <w:r/>
      <w:bookmarkStart w:id="443" w:name="_Toc305158803"/>
      <w:r/>
      <w:bookmarkStart w:id="444" w:name="_Toc151193705"/>
      <w:r/>
      <w:bookmarkStart w:id="445" w:name="_Toc305158877"/>
      <w:r/>
      <w:bookmarkStart w:id="446" w:name="_Toc164229230"/>
      <w:r/>
      <w:bookmarkStart w:id="447" w:name="_Toc150774740"/>
      <w:r/>
      <w:bookmarkStart w:id="448" w:name="_Toc226965808"/>
      <w:r/>
      <w:bookmarkStart w:id="449" w:name="_Toc127151535"/>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305158878"/>
      <w:r/>
      <w:bookmarkStart w:id="451" w:name="_Toc151193778"/>
      <w:r/>
      <w:bookmarkStart w:id="452" w:name="_Toc520356161"/>
      <w:r/>
      <w:bookmarkStart w:id="453" w:name="_Toc150509287"/>
      <w:r/>
      <w:bookmarkStart w:id="454" w:name="_Toc127151737"/>
      <w:r/>
      <w:bookmarkStart w:id="455" w:name="_Toc164351630"/>
      <w:r/>
      <w:bookmarkStart w:id="456" w:name="_Toc264969226"/>
      <w:r/>
      <w:bookmarkStart w:id="457" w:name="_Toc151193706"/>
      <w:r/>
      <w:bookmarkStart w:id="458" w:name="_Toc150774636"/>
      <w:r/>
      <w:bookmarkStart w:id="459" w:name="_Toc164608805"/>
      <w:r/>
      <w:bookmarkStart w:id="460" w:name="_Toc151193850"/>
      <w:r/>
      <w:bookmarkStart w:id="461" w:name="_Toc164608650"/>
      <w:r/>
      <w:bookmarkStart w:id="462" w:name="_Toc127151536"/>
      <w:r/>
      <w:bookmarkStart w:id="463" w:name="_Toc226337232"/>
      <w:r/>
      <w:bookmarkStart w:id="464" w:name="_Toc305158804"/>
      <w:r/>
      <w:bookmarkStart w:id="465" w:name="_Toc127161450"/>
      <w:r/>
      <w:bookmarkStart w:id="466" w:name="_Toc164229377"/>
      <w:r/>
      <w:bookmarkStart w:id="467" w:name="_Toc150480774"/>
      <w:r/>
      <w:bookmarkStart w:id="468" w:name="_Toc151193634"/>
      <w:r/>
      <w:bookmarkStart w:id="469" w:name="_Toc195842901"/>
      <w:r/>
      <w:bookmarkStart w:id="470" w:name="_Toc151193924"/>
      <w:r/>
      <w:bookmarkStart w:id="471" w:name="_Toc151190163"/>
      <w:r/>
      <w:bookmarkStart w:id="472" w:name="_Toc226965726"/>
      <w:r/>
      <w:bookmarkStart w:id="473" w:name="_Toc150774741"/>
      <w:r/>
      <w:bookmarkStart w:id="474" w:name="_Toc265228374"/>
      <w:r/>
      <w:bookmarkStart w:id="475" w:name="_Toc142311038"/>
      <w:r/>
      <w:bookmarkStart w:id="476" w:name="_Toc226309780"/>
      <w:r/>
      <w:bookmarkStart w:id="477" w:name="_Toc149720829"/>
      <w:r/>
      <w:bookmarkStart w:id="478" w:name="_Toc226965809"/>
      <w:r/>
      <w:bookmarkStart w:id="479" w:name="_Toc164229231"/>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1190164"/>
      <w:r/>
      <w:bookmarkStart w:id="481" w:name="_Toc226965727"/>
      <w:r/>
      <w:bookmarkStart w:id="482" w:name="_Toc127151738"/>
      <w:r/>
      <w:bookmarkStart w:id="483" w:name="_Toc151193851"/>
      <w:r/>
      <w:bookmarkStart w:id="484" w:name="_Toc150480775"/>
      <w:r/>
      <w:bookmarkStart w:id="485" w:name="_Toc264969227"/>
      <w:r/>
      <w:bookmarkStart w:id="486" w:name="_Toc226337233"/>
      <w:r/>
      <w:bookmarkStart w:id="487" w:name="_Toc195842902"/>
      <w:r/>
      <w:bookmarkStart w:id="488" w:name="_Toc520356162"/>
      <w:r/>
      <w:bookmarkStart w:id="489" w:name="_Toc305158879"/>
      <w:r/>
      <w:bookmarkStart w:id="490" w:name="_Toc164229378"/>
      <w:r/>
      <w:bookmarkStart w:id="491" w:name="_Toc226309781"/>
      <w:r/>
      <w:bookmarkStart w:id="492" w:name="_Toc127151537"/>
      <w:r/>
      <w:bookmarkStart w:id="493" w:name="_Toc164608651"/>
      <w:r/>
      <w:bookmarkStart w:id="494" w:name="_Toc151193779"/>
      <w:r/>
      <w:bookmarkStart w:id="495" w:name="_Toc164229232"/>
      <w:r/>
      <w:bookmarkStart w:id="496" w:name="_Toc150509288"/>
      <w:r/>
      <w:bookmarkStart w:id="497" w:name="_Toc151193635"/>
      <w:r/>
      <w:bookmarkStart w:id="498" w:name="_Toc127161451"/>
      <w:r/>
      <w:bookmarkStart w:id="499" w:name="_Toc305158805"/>
      <w:r/>
      <w:bookmarkStart w:id="500" w:name="_Toc151193707"/>
      <w:r/>
      <w:bookmarkStart w:id="501" w:name="_Toc150774637"/>
      <w:r/>
      <w:bookmarkStart w:id="502" w:name="_Toc151193925"/>
      <w:r/>
      <w:bookmarkStart w:id="503" w:name="_Toc142311039"/>
      <w:r/>
      <w:bookmarkStart w:id="504" w:name="_Toc265228375"/>
      <w:r/>
      <w:bookmarkStart w:id="505" w:name="_Toc164351631"/>
      <w:r/>
      <w:bookmarkStart w:id="506" w:name="_Toc226965810"/>
      <w:r/>
      <w:bookmarkStart w:id="507" w:name="_Toc149720830"/>
      <w:r/>
      <w:bookmarkStart w:id="508" w:name="_Toc164608806"/>
      <w:r/>
      <w:bookmarkStart w:id="509" w:name="_Toc150774742"/>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100"/>
        <w:ind w:firstLine="480"/>
        <w:spacing w:line="360" w:lineRule="auto"/>
        <w:rPr>
          <w:rFonts w:hint="eastAsia" w:ascii="宋体" w:hAnsi="宋体" w:cs="宋体"/>
          <w:sz w:val="24"/>
        </w:rPr>
      </w:pPr>
      <w:r>
        <w:rPr>
          <w:rFonts w:hint="eastAsia" w:ascii="宋体" w:hAnsi="宋体" w:cs="宋体"/>
          <w:sz w:val="24"/>
        </w:rPr>
      </w:r>
      <w:r/>
    </w:p>
    <w:p>
      <w:pPr>
        <w:pStyle w:val="1102"/>
        <w:ind w:firstLine="562"/>
        <w:spacing w:before="0" w:line="360" w:lineRule="auto"/>
        <w:rPr>
          <w:rFonts w:hint="eastAsia" w:ascii="宋体" w:hAnsi="宋体" w:eastAsia="宋体" w:cs="宋体"/>
          <w:sz w:val="28"/>
        </w:rPr>
      </w:pPr>
      <w:r/>
      <w:bookmarkStart w:id="510" w:name="_Toc151193852"/>
      <w:r/>
      <w:bookmarkStart w:id="511" w:name="_Toc150480776"/>
      <w:r/>
      <w:bookmarkStart w:id="512" w:name="_Toc265228376"/>
      <w:r/>
      <w:bookmarkStart w:id="513" w:name="_Toc226965728"/>
      <w:r/>
      <w:bookmarkStart w:id="514" w:name="_Toc150509289"/>
      <w:r/>
      <w:bookmarkStart w:id="515" w:name="_Toc151190165"/>
      <w:r/>
      <w:bookmarkStart w:id="516" w:name="_Toc151193636"/>
      <w:r/>
      <w:bookmarkStart w:id="517" w:name="_Toc150774638"/>
      <w:r/>
      <w:bookmarkStart w:id="518" w:name="_Toc195842903"/>
      <w:r/>
      <w:bookmarkStart w:id="519" w:name="_Toc226965811"/>
      <w:r/>
      <w:bookmarkStart w:id="520" w:name="_Toc142311040"/>
      <w:r/>
      <w:bookmarkStart w:id="521" w:name="_Toc520356163"/>
      <w:r/>
      <w:bookmarkStart w:id="522" w:name="_Toc127151538"/>
      <w:r/>
      <w:bookmarkStart w:id="523" w:name="_Toc151193926"/>
      <w:r/>
      <w:bookmarkStart w:id="524" w:name="_Toc226337234"/>
      <w:r/>
      <w:bookmarkStart w:id="525" w:name="_Toc151193780"/>
      <w:r/>
      <w:bookmarkStart w:id="526" w:name="_Toc150774743"/>
      <w:r/>
      <w:bookmarkStart w:id="527" w:name="_Toc226309782"/>
      <w:r/>
      <w:bookmarkStart w:id="528" w:name="_Toc305158880"/>
      <w:r/>
      <w:bookmarkStart w:id="529" w:name="_Toc151193708"/>
      <w:r/>
      <w:bookmarkStart w:id="530" w:name="_Toc264969228"/>
      <w:r/>
      <w:bookmarkStart w:id="531" w:name="_Toc30515880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226309783"/>
      <w:r/>
      <w:bookmarkStart w:id="533" w:name="_Toc305158807"/>
      <w:r/>
      <w:bookmarkStart w:id="534" w:name="_Toc151193781"/>
      <w:r/>
      <w:bookmarkStart w:id="535" w:name="_Toc150774744"/>
      <w:r/>
      <w:bookmarkStart w:id="536" w:name="_Toc150509290"/>
      <w:r/>
      <w:bookmarkStart w:id="537" w:name="_Toc226337235"/>
      <w:r/>
      <w:bookmarkStart w:id="538" w:name="_Toc151193853"/>
      <w:r/>
      <w:bookmarkStart w:id="539" w:name="_Toc127161453"/>
      <w:r/>
      <w:bookmarkStart w:id="540" w:name="_Toc195842904"/>
      <w:r/>
      <w:bookmarkStart w:id="541" w:name="_Toc264969229"/>
      <w:r/>
      <w:bookmarkStart w:id="542" w:name="_Toc164608808"/>
      <w:r/>
      <w:bookmarkStart w:id="543" w:name="_Toc151193637"/>
      <w:r/>
      <w:bookmarkStart w:id="544" w:name="_Toc151193927"/>
      <w:r/>
      <w:bookmarkStart w:id="545" w:name="_Toc164229380"/>
      <w:r/>
      <w:bookmarkStart w:id="546" w:name="_Toc226965812"/>
      <w:r/>
      <w:bookmarkStart w:id="547" w:name="_Toc150774639"/>
      <w:r/>
      <w:bookmarkStart w:id="548" w:name="_Toc150480777"/>
      <w:r/>
      <w:bookmarkStart w:id="549" w:name="_Toc151190166"/>
      <w:r/>
      <w:bookmarkStart w:id="550" w:name="_Toc142311041"/>
      <w:r/>
      <w:bookmarkStart w:id="551" w:name="_Toc151193709"/>
      <w:r/>
      <w:bookmarkStart w:id="552" w:name="_Toc226965729"/>
      <w:r/>
      <w:bookmarkStart w:id="553" w:name="_Toc149720832"/>
      <w:r/>
      <w:bookmarkStart w:id="554" w:name="_Toc520356164"/>
      <w:r/>
      <w:bookmarkStart w:id="555" w:name="_Toc164351633"/>
      <w:r/>
      <w:bookmarkStart w:id="556" w:name="_Toc305158881"/>
      <w:r/>
      <w:bookmarkStart w:id="557" w:name="_Toc265228377"/>
      <w:r/>
      <w:bookmarkStart w:id="558" w:name="_Toc164229234"/>
      <w:r/>
      <w:bookmarkStart w:id="559" w:name="_Toc127151740"/>
      <w:r/>
      <w:bookmarkStart w:id="560" w:name="_Toc127151539"/>
      <w:r/>
      <w:bookmarkStart w:id="561" w:name="_Toc164608653"/>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100"/>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10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10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10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10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100"/>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51193782"/>
      <w:r/>
      <w:bookmarkStart w:id="564" w:name="_Toc164351634"/>
      <w:r/>
      <w:bookmarkStart w:id="565" w:name="_Toc226337236"/>
      <w:r/>
      <w:bookmarkStart w:id="566" w:name="_Toc164608809"/>
      <w:r/>
      <w:bookmarkStart w:id="567" w:name="_Toc195842905"/>
      <w:r/>
      <w:bookmarkStart w:id="568" w:name="_Toc150774640"/>
      <w:r/>
      <w:bookmarkStart w:id="569" w:name="_Toc305158808"/>
      <w:r/>
      <w:bookmarkStart w:id="570" w:name="_Toc164229235"/>
      <w:r/>
      <w:bookmarkStart w:id="571" w:name="_Toc226965730"/>
      <w:r/>
      <w:bookmarkStart w:id="572" w:name="_Toc151193710"/>
      <w:r/>
      <w:bookmarkStart w:id="573" w:name="_Toc265228378"/>
      <w:r/>
      <w:bookmarkStart w:id="574" w:name="_Toc150774745"/>
      <w:r/>
      <w:bookmarkStart w:id="575" w:name="_Toc305158882"/>
      <w:r/>
      <w:bookmarkStart w:id="576" w:name="_Toc151190167"/>
      <w:r/>
      <w:bookmarkStart w:id="577" w:name="_Toc264969230"/>
      <w:r/>
      <w:bookmarkStart w:id="578" w:name="_Toc226309784"/>
      <w:r/>
      <w:bookmarkStart w:id="579" w:name="_Toc164608654"/>
      <w:r/>
      <w:bookmarkStart w:id="580" w:name="_Toc151193638"/>
      <w:r/>
      <w:bookmarkStart w:id="581" w:name="_Toc150509291"/>
      <w:r/>
      <w:bookmarkStart w:id="582" w:name="_Toc151193854"/>
      <w:r/>
      <w:bookmarkStart w:id="583" w:name="_Toc142311042"/>
      <w:r/>
      <w:bookmarkStart w:id="584" w:name="_Toc127151540"/>
      <w:r/>
      <w:bookmarkStart w:id="585" w:name="_Toc127151741"/>
      <w:r/>
      <w:bookmarkStart w:id="586" w:name="_Toc226965813"/>
      <w:r/>
      <w:bookmarkStart w:id="587" w:name="_Toc150480778"/>
      <w:r/>
      <w:bookmarkStart w:id="588" w:name="_Toc127161454"/>
      <w:r/>
      <w:bookmarkStart w:id="589" w:name="_Toc149720833"/>
      <w:r/>
      <w:bookmarkStart w:id="590" w:name="_Toc164229381"/>
      <w:r/>
      <w:bookmarkStart w:id="591" w:name="_Toc151193928"/>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100"/>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102"/>
        <w:ind w:firstLine="562"/>
        <w:spacing w:before="0" w:line="360" w:lineRule="auto"/>
        <w:rPr>
          <w:rFonts w:hint="eastAsia" w:ascii="宋体" w:hAnsi="宋体" w:eastAsia="宋体" w:cs="宋体"/>
          <w:sz w:val="28"/>
        </w:rPr>
      </w:pPr>
      <w:r/>
      <w:bookmarkStart w:id="594" w:name="_Toc151193933"/>
      <w:r/>
      <w:bookmarkStart w:id="595" w:name="_Toc226965818"/>
      <w:r/>
      <w:bookmarkStart w:id="596" w:name="_Toc195842910"/>
      <w:r/>
      <w:bookmarkStart w:id="597" w:name="_Toc127151545"/>
      <w:r/>
      <w:bookmarkStart w:id="598" w:name="_Toc151190172"/>
      <w:r/>
      <w:bookmarkStart w:id="599" w:name="_Toc150774645"/>
      <w:r/>
      <w:bookmarkStart w:id="600" w:name="_Toc142311047"/>
      <w:r/>
      <w:bookmarkStart w:id="601" w:name="_Toc226337241"/>
      <w:r/>
      <w:bookmarkStart w:id="602" w:name="_Toc151193859"/>
      <w:r/>
      <w:bookmarkStart w:id="603" w:name="_Toc265228383"/>
      <w:r/>
      <w:bookmarkStart w:id="604" w:name="_Toc150480783"/>
      <w:r/>
      <w:bookmarkStart w:id="605" w:name="_Toc226965735"/>
      <w:r/>
      <w:bookmarkStart w:id="606" w:name="_Toc264969235"/>
      <w:r/>
      <w:bookmarkStart w:id="607" w:name="_Toc151193787"/>
      <w:r/>
      <w:bookmarkStart w:id="608" w:name="_Toc305158813"/>
      <w:r/>
      <w:bookmarkStart w:id="609" w:name="_Toc226309789"/>
      <w:r/>
      <w:bookmarkStart w:id="610" w:name="_Toc150509296"/>
      <w:r/>
      <w:bookmarkStart w:id="611" w:name="_Toc151193643"/>
      <w:r/>
      <w:bookmarkStart w:id="612" w:name="_Toc151193715"/>
      <w:r/>
      <w:bookmarkStart w:id="613" w:name="_Toc150774750"/>
      <w:r/>
      <w:bookmarkStart w:id="614" w:name="_Toc305158887"/>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608661"/>
      <w:r/>
      <w:bookmarkStart w:id="616" w:name="_Toc305158889"/>
      <w:r/>
      <w:bookmarkStart w:id="617" w:name="_Toc151193789"/>
      <w:r/>
      <w:bookmarkStart w:id="618" w:name="_Toc127151748"/>
      <w:r/>
      <w:bookmarkStart w:id="619" w:name="_Toc305158815"/>
      <w:r/>
      <w:bookmarkStart w:id="620" w:name="_Toc265228385"/>
      <w:r/>
      <w:bookmarkStart w:id="621" w:name="_Toc226965820"/>
      <w:r/>
      <w:bookmarkStart w:id="622" w:name="_Toc150774752"/>
      <w:r/>
      <w:bookmarkStart w:id="623" w:name="_Toc264969237"/>
      <w:r/>
      <w:bookmarkStart w:id="624" w:name="_Toc150480785"/>
      <w:r/>
      <w:bookmarkStart w:id="625" w:name="_Toc226309791"/>
      <w:r/>
      <w:bookmarkStart w:id="626" w:name="_Toc127161461"/>
      <w:r/>
      <w:bookmarkStart w:id="627" w:name="_Toc151193717"/>
      <w:r/>
      <w:bookmarkStart w:id="628" w:name="_Toc164229242"/>
      <w:r/>
      <w:bookmarkStart w:id="629" w:name="_Toc151193861"/>
      <w:r/>
      <w:bookmarkStart w:id="630" w:name="_Toc142311049"/>
      <w:r/>
      <w:bookmarkStart w:id="631" w:name="_Toc150509298"/>
      <w:r/>
      <w:bookmarkStart w:id="632" w:name="_Toc164351641"/>
      <w:r/>
      <w:bookmarkStart w:id="633" w:name="_Toc164608816"/>
      <w:r/>
      <w:bookmarkStart w:id="634" w:name="_Toc149720840"/>
      <w:r/>
      <w:bookmarkStart w:id="635" w:name="_Toc150774647"/>
      <w:r/>
      <w:bookmarkStart w:id="636" w:name="_Toc226965737"/>
      <w:r/>
      <w:bookmarkStart w:id="637" w:name="_Toc127151547"/>
      <w:r/>
      <w:bookmarkStart w:id="638" w:name="_Toc195842912"/>
      <w:r/>
      <w:bookmarkStart w:id="639" w:name="_Toc164229388"/>
      <w:r/>
      <w:bookmarkStart w:id="640" w:name="_Toc151190174"/>
      <w:r/>
      <w:bookmarkStart w:id="641" w:name="_Toc226337243"/>
      <w:r/>
      <w:bookmarkStart w:id="642" w:name="_Toc151193645"/>
      <w:r/>
      <w:bookmarkStart w:id="643" w:name="_Toc151193935"/>
      <w:r>
        <w:rPr>
          <w:rFonts w:hint="eastAsia" w:ascii="宋体" w:hAnsi="宋体" w:eastAsia="宋体" w:cs="宋体"/>
          <w:sz w:val="28"/>
        </w:rPr>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0774649"/>
      <w:r/>
      <w:bookmarkStart w:id="645" w:name="_Toc127161463"/>
      <w:r/>
      <w:bookmarkStart w:id="646" w:name="_Toc150509300"/>
      <w:r/>
      <w:bookmarkStart w:id="647" w:name="_Toc164351643"/>
      <w:r/>
      <w:bookmarkStart w:id="648" w:name="_Toc226309793"/>
      <w:r/>
      <w:bookmarkStart w:id="649" w:name="_Toc226965739"/>
      <w:r/>
      <w:bookmarkStart w:id="650" w:name="_Toc305158891"/>
      <w:r/>
      <w:bookmarkStart w:id="651" w:name="_Toc142311051"/>
      <w:r/>
      <w:bookmarkStart w:id="652" w:name="_Ref467307090"/>
      <w:r/>
      <w:bookmarkStart w:id="653" w:name="_Ref467306425"/>
      <w:r/>
      <w:bookmarkStart w:id="654" w:name="_Toc520356176"/>
      <w:r/>
      <w:bookmarkStart w:id="655" w:name="_Toc151193791"/>
      <w:r/>
      <w:bookmarkStart w:id="656" w:name="_Toc149720842"/>
      <w:r/>
      <w:bookmarkStart w:id="657" w:name="_Toc151193647"/>
      <w:r/>
      <w:bookmarkStart w:id="658" w:name="_Toc265228387"/>
      <w:r/>
      <w:bookmarkStart w:id="659" w:name="_Toc150480787"/>
      <w:r/>
      <w:bookmarkStart w:id="660" w:name="_Toc151193719"/>
      <w:r/>
      <w:bookmarkStart w:id="661" w:name="_Toc305158817"/>
      <w:r/>
      <w:bookmarkStart w:id="662" w:name="_Toc164608663"/>
      <w:r/>
      <w:bookmarkStart w:id="663" w:name="_Toc127151549"/>
      <w:r/>
      <w:bookmarkStart w:id="664" w:name="_Toc151190176"/>
      <w:r/>
      <w:bookmarkStart w:id="665" w:name="_Toc164229244"/>
      <w:r/>
      <w:bookmarkStart w:id="666" w:name="_Toc226337245"/>
      <w:r/>
      <w:bookmarkStart w:id="667" w:name="_Toc264969239"/>
      <w:r/>
      <w:bookmarkStart w:id="668" w:name="_Toc164608818"/>
      <w:r/>
      <w:bookmarkStart w:id="669" w:name="_Toc195842914"/>
      <w:r/>
      <w:bookmarkStart w:id="670" w:name="_Toc151193937"/>
      <w:r/>
      <w:bookmarkStart w:id="671" w:name="_Toc151193863"/>
      <w:r/>
      <w:bookmarkStart w:id="672" w:name="_Toc164229390"/>
      <w:r/>
      <w:bookmarkStart w:id="673" w:name="_Toc150774754"/>
      <w:r/>
      <w:bookmarkStart w:id="674" w:name="_Toc127151750"/>
      <w:r/>
      <w:bookmarkStart w:id="675" w:name="_Toc226965822"/>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100"/>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520356175"/>
      <w:r/>
      <w:bookmarkStart w:id="677" w:name="_Toc164229391"/>
      <w:r/>
      <w:bookmarkStart w:id="678" w:name="_Toc226337246"/>
      <w:r/>
      <w:bookmarkStart w:id="679" w:name="_Toc195842915"/>
      <w:r/>
      <w:bookmarkStart w:id="680" w:name="_Toc149720843"/>
      <w:r/>
      <w:bookmarkStart w:id="681" w:name="_Toc151190177"/>
      <w:r/>
      <w:bookmarkStart w:id="682" w:name="_Toc226309794"/>
      <w:r/>
      <w:bookmarkStart w:id="683" w:name="_Ref467306978"/>
      <w:r/>
      <w:bookmarkStart w:id="684" w:name="_Toc151193864"/>
      <w:r/>
      <w:bookmarkStart w:id="685" w:name="_Toc226965740"/>
      <w:r/>
      <w:bookmarkStart w:id="686" w:name="_Toc151193648"/>
      <w:r/>
      <w:bookmarkStart w:id="687" w:name="_Toc142311052"/>
      <w:r/>
      <w:bookmarkStart w:id="688" w:name="_Toc265228388"/>
      <w:r/>
      <w:bookmarkStart w:id="689" w:name="_Toc305158818"/>
      <w:r/>
      <w:bookmarkStart w:id="690" w:name="_Ref467307204"/>
      <w:r/>
      <w:bookmarkStart w:id="691" w:name="_Toc150480788"/>
      <w:r/>
      <w:bookmarkStart w:id="692" w:name="_Toc151193720"/>
      <w:r/>
      <w:bookmarkStart w:id="693" w:name="_Toc164608664"/>
      <w:r/>
      <w:bookmarkStart w:id="694" w:name="_Toc164351644"/>
      <w:r/>
      <w:bookmarkStart w:id="695" w:name="_Toc127161464"/>
      <w:r/>
      <w:bookmarkStart w:id="696" w:name="_Toc305158892"/>
      <w:r/>
      <w:bookmarkStart w:id="697" w:name="_Toc164608819"/>
      <w:r/>
      <w:bookmarkStart w:id="698" w:name="_Toc264969240"/>
      <w:r/>
      <w:bookmarkStart w:id="699" w:name="_Toc127151550"/>
      <w:r/>
      <w:bookmarkStart w:id="700" w:name="_Toc150774755"/>
      <w:r/>
      <w:bookmarkStart w:id="701" w:name="_Toc151193792"/>
      <w:r/>
      <w:bookmarkStart w:id="702" w:name="_Toc151193938"/>
      <w:r/>
      <w:bookmarkStart w:id="703" w:name="_Toc226965823"/>
      <w:r/>
      <w:bookmarkStart w:id="704" w:name="_Toc150509301"/>
      <w:r/>
      <w:bookmarkStart w:id="705" w:name="_Toc127151751"/>
      <w:r/>
      <w:bookmarkStart w:id="706" w:name="_Toc150774650"/>
      <w:r/>
      <w:bookmarkStart w:id="707" w:name="_Toc164229245"/>
      <w:r/>
      <w:bookmarkStart w:id="708" w:name="_Ref467307062"/>
      <w:r/>
      <w:bookmarkStart w:id="709" w:name="_Ref467306377"/>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100"/>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100"/>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76"/>
          <w:rFonts w:hint="eastAsia" w:ascii="宋体" w:hAnsi="宋体" w:cs="宋体"/>
          <w:color w:val="000000"/>
        </w:rPr>
        <w:t xml:space="preserve">http://gk</w:t>
      </w:r>
      <w:bookmarkStart w:id="710" w:name="_Hlt100654014"/>
      <w:r>
        <w:rPr>
          <w:rStyle w:val="1176"/>
          <w:rFonts w:hint="eastAsia" w:ascii="宋体" w:hAnsi="宋体" w:cs="宋体"/>
          <w:color w:val="000000"/>
        </w:rPr>
        <w:t xml:space="preserve">s</w:t>
      </w:r>
      <w:bookmarkEnd w:id="710"/>
      <w:r>
        <w:rPr>
          <w:rStyle w:val="1176"/>
          <w:rFonts w:hint="eastAsia" w:ascii="宋体" w:hAnsi="宋体" w:cs="宋体"/>
          <w:color w:val="000000"/>
        </w:rPr>
        <w:t xml:space="preserve">.m</w:t>
      </w:r>
      <w:bookmarkStart w:id="711" w:name="_Hlt100653993"/>
      <w:r/>
      <w:bookmarkStart w:id="712" w:name="_Hlt100653994"/>
      <w:r>
        <w:rPr>
          <w:rStyle w:val="1176"/>
          <w:rFonts w:hint="eastAsia" w:ascii="宋体" w:hAnsi="宋体" w:cs="宋体"/>
          <w:color w:val="000000"/>
        </w:rPr>
        <w:t xml:space="preserve">o</w:t>
      </w:r>
      <w:bookmarkEnd w:id="711"/>
      <w:r/>
      <w:bookmarkEnd w:id="712"/>
      <w:r>
        <w:rPr>
          <w:rStyle w:val="1176"/>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100"/>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100"/>
        <w:jc w:val="center"/>
        <w:spacing w:line="360" w:lineRule="auto"/>
        <w:rPr>
          <w:rFonts w:hint="eastAsia" w:ascii="宋体" w:hAnsi="宋体" w:cs="宋体"/>
          <w:b/>
          <w:sz w:val="36"/>
          <w:szCs w:val="36"/>
        </w:rPr>
        <w:outlineLvl w:val="0"/>
      </w:pPr>
      <w:r/>
      <w:bookmarkStart w:id="713" w:name="_Toc226337250"/>
      <w:r/>
      <w:bookmarkStart w:id="714" w:name="_Toc305158822"/>
      <w:r/>
      <w:bookmarkStart w:id="715" w:name="_Toc353873934"/>
      <w:r/>
      <w:bookmarkStart w:id="716" w:name="_Toc127151554"/>
      <w:r/>
      <w:bookmarkStart w:id="717" w:name="_Toc150480792"/>
      <w:r/>
      <w:bookmarkStart w:id="718" w:name="_Toc353873664"/>
      <w:r/>
      <w:bookmarkStart w:id="719" w:name="_Toc264969244"/>
      <w:r/>
      <w:bookmarkStart w:id="720" w:name="_Toc353825544"/>
      <w:r/>
      <w:bookmarkStart w:id="721" w:name="_Toc305158896"/>
      <w:r/>
      <w:bookmarkStart w:id="722" w:name="_Toc142311056"/>
      <w:r/>
      <w:bookmarkStart w:id="723" w:name="_Toc150774759"/>
      <w:r/>
      <w:bookmarkStart w:id="724" w:name="_Toc265228392"/>
      <w:r/>
      <w:bookmarkStart w:id="725" w:name="_Toc226965827"/>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100"/>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100"/>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100"/>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100"/>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100"/>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100"/>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100"/>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100"/>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100"/>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100"/>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100"/>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100"/>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100"/>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p>
          <w:p>
            <w:pPr>
              <w:pStyle w:val="1100"/>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1100"/>
              <w:tabs>
                <w:tab w:val="left" w:pos="1080" w:leader="none"/>
              </w:tabs>
              <w:rPr>
                <w:rFonts w:hint="eastAsia" w:ascii="宋体" w:hAnsi="宋体" w:cs="宋体"/>
                <w:sz w:val="24"/>
              </w:rPr>
            </w:pPr>
            <w:r>
              <w:rPr>
                <w:rFonts w:hint="eastAsia" w:ascii="宋体" w:hAnsi="宋体" w:cs="宋体"/>
                <w:sz w:val="24"/>
              </w:rPr>
            </w:r>
            <w:r/>
          </w:p>
          <w:p>
            <w:pPr>
              <w:pStyle w:val="1100"/>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p>
          <w:p>
            <w:pPr>
              <w:pStyle w:val="1100"/>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r>
            <w:r/>
          </w:p>
        </w:tc>
      </w:tr>
      <w:tr>
        <w:trPr>
          <w:cantSplit/>
          <w:trHeight w:val="4548"/>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是否接受联合体投标</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pStyle w:val="1100"/>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p>
          <w:p>
            <w:pPr>
              <w:pStyle w:val="1100"/>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p>
          <w:p>
            <w:pPr>
              <w:pStyle w:val="1100"/>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p>
          <w:p>
            <w:pPr>
              <w:pStyle w:val="1100"/>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p>
          <w:p>
            <w:pPr>
              <w:pStyle w:val="1100"/>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投标无效</w:t>
            </w:r>
            <w:r>
              <w:rPr>
                <w:rFonts w:hint="eastAsia" w:ascii="宋体" w:hAnsi="宋体" w:cs="宋体"/>
                <w:sz w:val="24"/>
              </w:rPr>
              <w:t xml:space="preserve">。</w:t>
            </w:r>
            <w:r/>
          </w:p>
          <w:p>
            <w:pPr>
              <w:pStyle w:val="1100"/>
              <w:tabs>
                <w:tab w:val="left" w:pos="1080" w:leader="none"/>
              </w:tabs>
              <w:rPr>
                <w:rFonts w:hint="eastAsia" w:ascii="宋体" w:hAnsi="宋体" w:cs="宋体"/>
                <w:sz w:val="24"/>
              </w:rPr>
            </w:pPr>
            <w:r>
              <w:rPr>
                <w:rFonts w:hint="eastAsia" w:ascii="宋体" w:hAnsi="宋体" w:cs="宋体"/>
                <w:sz w:val="24"/>
              </w:rPr>
              <w:t xml:space="preserve">7、本项目不接受联合体投标时，投标人不得为联合体。</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提供《联合协议》原件的电子件</w:t>
            </w:r>
            <w:r/>
          </w:p>
          <w:p>
            <w:pPr>
              <w:pStyle w:val="110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0"/>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3-2</w:t>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100"/>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226965858"/>
      <w:r/>
      <w:bookmarkStart w:id="732" w:name="_Toc127151779"/>
      <w:r/>
      <w:bookmarkStart w:id="733" w:name="_Toc353873940"/>
      <w:r/>
      <w:bookmarkStart w:id="734" w:name="_Toc353825550"/>
      <w:r>
        <w:rPr>
          <w:rFonts w:hint="eastAsia" w:ascii="宋体" w:hAnsi="宋体" w:cs="宋体"/>
          <w:sz w:val="24"/>
        </w:rPr>
        <w:br w:type="page" w:clear="all"/>
      </w:r>
      <w:r/>
    </w:p>
    <w:p>
      <w:pPr>
        <w:pStyle w:val="1100"/>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100"/>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100"/>
        <w:numPr>
          <w:ilvl w:val="0"/>
          <w:numId w:val="13"/>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49720834"/>
      <w:r/>
      <w:bookmarkStart w:id="738" w:name="_Toc164229382"/>
      <w:r/>
      <w:bookmarkStart w:id="739" w:name="_Toc151193929"/>
      <w:r/>
      <w:bookmarkStart w:id="740" w:name="_Toc150774641"/>
      <w:r/>
      <w:bookmarkStart w:id="741" w:name="_Toc142311043"/>
      <w:r/>
      <w:bookmarkStart w:id="742" w:name="_Toc151193711"/>
      <w:r/>
      <w:bookmarkStart w:id="743" w:name="_Toc150774746"/>
      <w:r/>
      <w:bookmarkStart w:id="744" w:name="_Toc226965731"/>
      <w:r/>
      <w:bookmarkStart w:id="745" w:name="_Toc151190168"/>
      <w:r/>
      <w:bookmarkStart w:id="746" w:name="_Toc164608810"/>
      <w:r/>
      <w:bookmarkStart w:id="747" w:name="_Toc127161455"/>
      <w:r/>
      <w:bookmarkStart w:id="748" w:name="_Toc226337237"/>
      <w:r/>
      <w:bookmarkStart w:id="749" w:name="_Toc164229236"/>
      <w:r/>
      <w:bookmarkStart w:id="750" w:name="_Toc265228379"/>
      <w:r/>
      <w:bookmarkStart w:id="751" w:name="_Toc151193855"/>
      <w:r/>
      <w:bookmarkStart w:id="752" w:name="_Toc127151742"/>
      <w:r/>
      <w:bookmarkStart w:id="753" w:name="_Toc195842906"/>
      <w:r/>
      <w:bookmarkStart w:id="754" w:name="_Toc150480779"/>
      <w:r/>
      <w:bookmarkStart w:id="755" w:name="_Toc226965814"/>
      <w:r/>
      <w:bookmarkStart w:id="756" w:name="_Toc151193639"/>
      <w:r/>
      <w:bookmarkStart w:id="757" w:name="_Toc127151541"/>
      <w:r/>
      <w:bookmarkStart w:id="758" w:name="_Toc264969231"/>
      <w:r/>
      <w:bookmarkStart w:id="759" w:name="_Toc164351635"/>
      <w:r/>
      <w:bookmarkStart w:id="760" w:name="_Toc305158809"/>
      <w:r/>
      <w:bookmarkStart w:id="761" w:name="_Toc226309785"/>
      <w:r/>
      <w:bookmarkStart w:id="762" w:name="_Toc164608655"/>
      <w:r/>
      <w:bookmarkStart w:id="763" w:name="_Toc151193783"/>
      <w:r/>
      <w:bookmarkStart w:id="764" w:name="_Toc150509292"/>
      <w:r/>
      <w:bookmarkStart w:id="765" w:name="_Toc305158883"/>
      <w:r/>
      <w:bookmarkStart w:id="766" w:name="_Toc353825551"/>
      <w:r/>
      <w:bookmarkStart w:id="767" w:name="_Toc353873941"/>
      <w:r/>
      <w:bookmarkStart w:id="768" w:name="_Toc142311057"/>
      <w:r/>
      <w:bookmarkStart w:id="769" w:name="_Toc353873665"/>
      <w:r/>
      <w:bookmarkStart w:id="770" w:name="_Toc150480793"/>
      <w:r/>
      <w:bookmarkStart w:id="771" w:name="_Toc226965828"/>
      <w:r/>
      <w:bookmarkStart w:id="772" w:name="_Toc264969245"/>
      <w:r/>
      <w:bookmarkStart w:id="773" w:name="_Toc226337251"/>
      <w:r/>
      <w:bookmarkStart w:id="774" w:name="_Toc127151555"/>
      <w:r/>
      <w:bookmarkStart w:id="775" w:name="_Toc265228393"/>
      <w:r/>
      <w:bookmarkStart w:id="776" w:name="_Toc353873935"/>
      <w:r/>
      <w:bookmarkStart w:id="777" w:name="_Toc195842920"/>
      <w:r/>
      <w:bookmarkStart w:id="778" w:name="_Toc305158823"/>
      <w:r/>
      <w:bookmarkStart w:id="779" w:name="_Toc305158897"/>
      <w:r/>
      <w:bookmarkStart w:id="780" w:name="_Toc150774760"/>
      <w:r/>
      <w:bookmarkStart w:id="781" w:name="_Toc35382554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100"/>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100"/>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100"/>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100"/>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100"/>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100"/>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分包意向协议</w:t>
            </w:r>
            <w:r/>
          </w:p>
          <w:p>
            <w:pPr>
              <w:pStyle w:val="110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进口产品</w:t>
            </w:r>
            <w:r/>
          </w:p>
          <w:p>
            <w:pPr>
              <w:pStyle w:val="110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100"/>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100"/>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100"/>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100"/>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100"/>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100"/>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100"/>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100"/>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100"/>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100"/>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100"/>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100"/>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100"/>
        <w:numPr>
          <w:ilvl w:val="1"/>
          <w:numId w:val="13"/>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100"/>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100"/>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100"/>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100"/>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100"/>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100"/>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100"/>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100"/>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10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10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10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100"/>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100"/>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100"/>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100"/>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100"/>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10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100"/>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100"/>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100"/>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1100"/>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10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10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10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10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10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10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10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10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100"/>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265228384"/>
      <w:r/>
      <w:bookmarkStart w:id="784" w:name="_Toc149720839"/>
      <w:r/>
      <w:bookmarkStart w:id="785" w:name="_Toc150509297"/>
      <w:r/>
      <w:bookmarkStart w:id="786" w:name="_Toc151193934"/>
      <w:r/>
      <w:bookmarkStart w:id="787" w:name="_Toc151193644"/>
      <w:r/>
      <w:bookmarkStart w:id="788" w:name="_Toc520356170"/>
      <w:r/>
      <w:bookmarkStart w:id="789" w:name="_Toc164608815"/>
      <w:r/>
      <w:bookmarkStart w:id="790" w:name="_Toc151193716"/>
      <w:r/>
      <w:bookmarkStart w:id="791" w:name="_Toc195842911"/>
      <w:r/>
      <w:bookmarkStart w:id="792" w:name="_Toc151193788"/>
      <w:r/>
      <w:bookmarkStart w:id="793" w:name="_Toc226965819"/>
      <w:r/>
      <w:bookmarkStart w:id="794" w:name="_Toc164351640"/>
      <w:r/>
      <w:bookmarkStart w:id="795" w:name="_Toc151193860"/>
      <w:r/>
      <w:bookmarkStart w:id="796" w:name="_Toc150774751"/>
      <w:r/>
      <w:bookmarkStart w:id="797" w:name="_Toc127161460"/>
      <w:r/>
      <w:bookmarkStart w:id="798" w:name="_Ref467307010"/>
      <w:r/>
      <w:bookmarkStart w:id="799" w:name="_Toc164608660"/>
      <w:r/>
      <w:bookmarkStart w:id="800" w:name="_Toc164229387"/>
      <w:r/>
      <w:bookmarkStart w:id="801" w:name="_Toc226965736"/>
      <w:r/>
      <w:bookmarkStart w:id="802" w:name="_Toc150774646"/>
      <w:r/>
      <w:bookmarkStart w:id="803" w:name="_Toc127151747"/>
      <w:r/>
      <w:bookmarkStart w:id="804" w:name="_Toc226309790"/>
      <w:r/>
      <w:bookmarkStart w:id="805" w:name="_Toc151190173"/>
      <w:r/>
      <w:bookmarkStart w:id="806" w:name="_Toc127151546"/>
      <w:r/>
      <w:bookmarkStart w:id="807" w:name="_Toc264969236"/>
      <w:r/>
      <w:bookmarkStart w:id="808" w:name="_Toc142311048"/>
      <w:r/>
      <w:bookmarkStart w:id="809" w:name="_Toc226337242"/>
      <w:r/>
      <w:bookmarkStart w:id="810" w:name="_Toc164229241"/>
      <w:r/>
      <w:bookmarkStart w:id="811" w:name="_Toc305158814"/>
      <w:r/>
      <w:bookmarkStart w:id="812" w:name="_Toc305158888"/>
      <w:r/>
      <w:bookmarkStart w:id="813" w:name="_Toc150480784"/>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4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4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100"/>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100"/>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100"/>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538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294"/>
        <w:gridCol w:w="808"/>
        <w:gridCol w:w="6342"/>
      </w:tblGrid>
      <w:tr>
        <w:trPr/>
        <w:tc>
          <w:tcPr>
            <w:tcW w:w="401" w:type="pct"/>
            <w:vAlign w:val="center"/>
            <w:textDirection w:val="lrTb"/>
            <w:noWrap w:val="false"/>
          </w:tcPr>
          <w:p>
            <w:pPr>
              <w:pStyle w:val="1100"/>
              <w:ind w:firstLine="28"/>
              <w:jc w:val="center"/>
              <w:rPr>
                <w:rFonts w:ascii="宋体" w:hAnsi="宋体"/>
                <w:b/>
                <w:sz w:val="24"/>
              </w:rPr>
            </w:pPr>
            <w:r>
              <w:rPr>
                <w:rFonts w:ascii="宋体" w:hAnsi="宋体"/>
                <w:b/>
                <w:sz w:val="24"/>
              </w:rPr>
              <w:t xml:space="preserve">序号</w:t>
            </w:r>
            <w:r/>
          </w:p>
        </w:tc>
        <w:tc>
          <w:tcPr>
            <w:tcW w:w="705" w:type="pct"/>
            <w:vAlign w:val="center"/>
            <w:textDirection w:val="lrTb"/>
            <w:noWrap w:val="false"/>
          </w:tcPr>
          <w:p>
            <w:pPr>
              <w:pStyle w:val="1100"/>
              <w:ind w:firstLine="28"/>
              <w:jc w:val="center"/>
              <w:rPr>
                <w:rFonts w:ascii="宋体" w:hAnsi="宋体"/>
                <w:b/>
                <w:sz w:val="24"/>
              </w:rPr>
            </w:pPr>
            <w:r>
              <w:rPr>
                <w:rFonts w:ascii="宋体" w:hAnsi="宋体"/>
                <w:b/>
                <w:sz w:val="24"/>
              </w:rPr>
              <w:t xml:space="preserve">评分因素</w:t>
            </w:r>
            <w:r/>
          </w:p>
        </w:tc>
        <w:tc>
          <w:tcPr>
            <w:tcW w:w="440" w:type="pct"/>
            <w:vAlign w:val="center"/>
            <w:textDirection w:val="lrTb"/>
            <w:noWrap w:val="false"/>
          </w:tcPr>
          <w:p>
            <w:pPr>
              <w:pStyle w:val="1100"/>
              <w:ind w:firstLine="28"/>
              <w:jc w:val="center"/>
              <w:rPr>
                <w:rFonts w:ascii="宋体" w:hAnsi="宋体"/>
                <w:b/>
                <w:sz w:val="24"/>
              </w:rPr>
            </w:pPr>
            <w:r>
              <w:rPr>
                <w:rFonts w:ascii="宋体" w:hAnsi="宋体"/>
                <w:b/>
                <w:sz w:val="24"/>
              </w:rPr>
              <w:t xml:space="preserve">分值</w:t>
            </w:r>
            <w:r/>
          </w:p>
        </w:tc>
        <w:tc>
          <w:tcPr>
            <w:tcW w:w="3454" w:type="pct"/>
            <w:vAlign w:val="center"/>
            <w:textDirection w:val="lrTb"/>
            <w:noWrap w:val="false"/>
          </w:tcPr>
          <w:p>
            <w:pPr>
              <w:pStyle w:val="1100"/>
              <w:ind w:firstLine="28"/>
              <w:jc w:val="center"/>
              <w:rPr>
                <w:rFonts w:ascii="宋体" w:hAnsi="宋体"/>
                <w:b/>
                <w:sz w:val="24"/>
              </w:rPr>
            </w:pPr>
            <w:r>
              <w:rPr>
                <w:rFonts w:ascii="宋体" w:hAnsi="宋体"/>
                <w:b/>
                <w:sz w:val="24"/>
              </w:rPr>
              <w:t xml:space="preserve">评分标准</w:t>
            </w:r>
            <w:r/>
          </w:p>
        </w:tc>
      </w:tr>
      <w:tr>
        <w:trPr>
          <w:trHeight w:val="631"/>
        </w:trPr>
        <w:tc>
          <w:tcPr>
            <w:tcW w:w="401" w:type="pct"/>
            <w:vAlign w:val="center"/>
            <w:textDirection w:val="lrTb"/>
            <w:noWrap w:val="false"/>
          </w:tcPr>
          <w:p>
            <w:pPr>
              <w:pStyle w:val="1100"/>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3</w:t>
            </w:r>
            <w:r>
              <w:rPr>
                <w:rFonts w:ascii="宋体" w:hAnsi="宋体"/>
                <w:sz w:val="24"/>
              </w:rPr>
              <w:t xml:space="preserve">0</w:t>
            </w:r>
            <w:r/>
          </w:p>
        </w:tc>
        <w:tc>
          <w:tcPr>
            <w:tcW w:w="3454" w:type="pct"/>
            <w:vAlign w:val="center"/>
            <w:textDirection w:val="lrTb"/>
            <w:noWrap w:val="false"/>
          </w:tcPr>
          <w:p>
            <w:pPr>
              <w:pStyle w:val="1100"/>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1100"/>
              <w:rPr>
                <w:rFonts w:ascii="宋体" w:hAnsi="宋体"/>
                <w:sz w:val="24"/>
              </w:rPr>
            </w:pPr>
            <w:r>
              <w:rPr>
                <w:rFonts w:ascii="宋体" w:hAnsi="宋体"/>
                <w:sz w:val="24"/>
              </w:rPr>
              <w:t xml:space="preserve">投标报价得分＝（评标基准价/投标报价）×分值。</w:t>
            </w:r>
            <w:r/>
          </w:p>
          <w:p>
            <w:pPr>
              <w:pStyle w:val="1100"/>
              <w:rPr>
                <w:rFonts w:hint="eastAsia" w:ascii="宋体" w:hAnsi="宋体"/>
                <w:b/>
                <w:sz w:val="24"/>
              </w:rPr>
            </w:pPr>
            <w:r>
              <w:rPr>
                <w:rFonts w:hint="eastAsia" w:ascii="宋体" w:hAnsi="宋体"/>
                <w:b/>
                <w:sz w:val="24"/>
              </w:rPr>
              <w:t xml:space="preserve">此处投标报价指经过报价修正，及</w:t>
            </w:r>
            <w:r>
              <w:rPr>
                <w:rFonts w:ascii="宋体" w:hAnsi="宋体"/>
                <w:b/>
                <w:sz w:val="24"/>
              </w:rPr>
              <w:t xml:space="preserve">因落实政府采购政策进行价格调整</w:t>
            </w:r>
            <w:r>
              <w:rPr>
                <w:rFonts w:hint="eastAsia" w:ascii="宋体" w:hAnsi="宋体"/>
                <w:b/>
                <w:sz w:val="24"/>
              </w:rPr>
              <w:t xml:space="preserve">后</w:t>
            </w:r>
            <w:r>
              <w:rPr>
                <w:rFonts w:ascii="宋体" w:hAnsi="宋体"/>
                <w:b/>
                <w:sz w:val="24"/>
              </w:rPr>
              <w:t xml:space="preserve">的</w:t>
            </w:r>
            <w:r>
              <w:rPr>
                <w:rFonts w:hint="eastAsia" w:ascii="宋体" w:hAnsi="宋体"/>
                <w:b/>
                <w:sz w:val="24"/>
              </w:rPr>
              <w:t xml:space="preserve">报价</w:t>
            </w:r>
            <w:r>
              <w:rPr>
                <w:rFonts w:ascii="宋体" w:hAnsi="宋体"/>
                <w:b/>
                <w:sz w:val="24"/>
              </w:rPr>
              <w:t xml:space="preserve">，详见第</w:t>
            </w:r>
            <w:r>
              <w:rPr>
                <w:rFonts w:hint="eastAsia" w:ascii="宋体" w:hAnsi="宋体"/>
                <w:b/>
                <w:sz w:val="24"/>
              </w:rPr>
              <w:t xml:space="preserve">四</w:t>
            </w:r>
            <w:r>
              <w:rPr>
                <w:rFonts w:ascii="宋体" w:hAnsi="宋体"/>
                <w:b/>
                <w:sz w:val="24"/>
              </w:rPr>
              <w:t xml:space="preserve">章《评标方法和评标标准》</w:t>
            </w:r>
            <w:r>
              <w:rPr>
                <w:rFonts w:hint="eastAsia" w:ascii="宋体" w:hAnsi="宋体"/>
                <w:b/>
                <w:sz w:val="24"/>
              </w:rPr>
            </w:r>
            <w:r/>
          </w:p>
        </w:tc>
      </w:tr>
      <w:tr>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ascii="宋体" w:hAnsi="宋体"/>
                <w:sz w:val="24"/>
              </w:rPr>
            </w:r>
            <w:r/>
          </w:p>
        </w:tc>
        <w:tc>
          <w:tcPr>
            <w:tcW w:w="3454" w:type="pct"/>
            <w:vAlign w:val="center"/>
            <w:textDirection w:val="lrTb"/>
            <w:noWrap w:val="false"/>
          </w:tcPr>
          <w:p>
            <w:pPr>
              <w:pStyle w:val="1100"/>
              <w:rPr>
                <w:rFonts w:ascii="宋体" w:hAnsi="宋体"/>
                <w:sz w:val="24"/>
              </w:rPr>
            </w:pPr>
            <w:r>
              <w:rPr>
                <w:rFonts w:ascii="宋体" w:hAnsi="宋体"/>
                <w:sz w:val="24"/>
              </w:rPr>
            </w:r>
            <w:r/>
          </w:p>
        </w:tc>
      </w:tr>
      <w:tr>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2.1</w:t>
            </w:r>
            <w:r>
              <w:rPr>
                <w:rFonts w:ascii="宋体" w:hAnsi="宋体"/>
                <w:sz w:val="24"/>
              </w:rPr>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cs="宋体"/>
                <w:sz w:val="24"/>
              </w:rPr>
              <w:t xml:space="preserve">项目实施方案</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4</w:t>
            </w:r>
            <w:r>
              <w:rPr>
                <w:rFonts w:ascii="宋体" w:hAnsi="宋体"/>
                <w:sz w:val="24"/>
              </w:rPr>
            </w:r>
            <w:r/>
          </w:p>
        </w:tc>
        <w:tc>
          <w:tcPr>
            <w:tcW w:w="3454" w:type="pct"/>
            <w:vAlign w:val="center"/>
            <w:textDirection w:val="lrTb"/>
            <w:noWrap w:val="false"/>
          </w:tcPr>
          <w:p>
            <w:pPr>
              <w:pStyle w:val="1100"/>
              <w:rPr>
                <w:rFonts w:hint="eastAsia" w:ascii="宋体" w:hAnsi="宋体" w:cs="宋体"/>
                <w:sz w:val="24"/>
              </w:rPr>
            </w:pPr>
            <w:r>
              <w:rPr>
                <w:rFonts w:hint="eastAsia" w:ascii="宋体" w:hAnsi="宋体" w:cs="宋体"/>
                <w:sz w:val="24"/>
              </w:rPr>
              <w:t xml:space="preserve">供货、安装、调试、验收的各阶段的方案和措施，方案和措施科学合理、安全严密、条理清晰、完善、重点突出、专业性强的得4分；方案和措施完整、比较合理、安全可行、条理性和专业性较好的得2</w:t>
            </w:r>
            <w:r>
              <w:rPr>
                <w:rFonts w:ascii="宋体" w:hAnsi="宋体" w:cs="宋体"/>
                <w:sz w:val="24"/>
              </w:rPr>
              <w:t xml:space="preserve">.5</w:t>
            </w:r>
            <w:r>
              <w:rPr>
                <w:rFonts w:hint="eastAsia" w:ascii="宋体" w:hAnsi="宋体" w:cs="宋体"/>
                <w:sz w:val="24"/>
              </w:rPr>
              <w:t xml:space="preserve">分；方案和措施基本合理、安全可行、具有一定条理、基本完善、专业性一般的得1分；较差或未提供本项不得分。</w:t>
            </w:r>
            <w:r/>
          </w:p>
        </w:tc>
      </w:tr>
      <w:tr>
        <w:trPr/>
        <w:tc>
          <w:tcPr>
            <w:tcW w:w="401" w:type="pct"/>
            <w:vAlign w:val="center"/>
            <w:textDirection w:val="lrTb"/>
            <w:noWrap w:val="false"/>
          </w:tcPr>
          <w:p>
            <w:pPr>
              <w:pStyle w:val="1100"/>
              <w:ind w:firstLine="28"/>
              <w:jc w:val="center"/>
              <w:rPr>
                <w:rFonts w:ascii="宋体" w:hAnsi="宋体"/>
                <w:sz w:val="24"/>
              </w:rPr>
            </w:pPr>
            <w:r>
              <w:rPr>
                <w:rFonts w:ascii="宋体" w:hAnsi="宋体"/>
                <w:sz w:val="24"/>
              </w:rPr>
              <w:t xml:space="preserve">2.2</w:t>
            </w:r>
            <w:r>
              <w:rPr>
                <w:rFonts w:ascii="宋体" w:hAnsi="宋体"/>
                <w:sz w:val="24"/>
              </w:rPr>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场地整体设计方案</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4</w:t>
            </w:r>
            <w:r>
              <w:rPr>
                <w:rFonts w:ascii="宋体" w:hAnsi="宋体"/>
                <w:sz w:val="24"/>
              </w:rPr>
            </w:r>
            <w:r/>
          </w:p>
        </w:tc>
        <w:tc>
          <w:tcPr>
            <w:tcW w:w="3454" w:type="pct"/>
            <w:vAlign w:val="center"/>
            <w:textDirection w:val="lrTb"/>
            <w:noWrap w:val="false"/>
          </w:tcPr>
          <w:p>
            <w:pPr>
              <w:pStyle w:val="1100"/>
              <w:rPr>
                <w:rFonts w:ascii="宋体" w:hAnsi="宋体"/>
                <w:sz w:val="24"/>
              </w:rPr>
            </w:pPr>
            <w:r>
              <w:rPr>
                <w:rFonts w:hint="eastAsia" w:ascii="宋体" w:hAnsi="宋体" w:cs="宋体"/>
                <w:sz w:val="24"/>
              </w:rPr>
              <w:t xml:space="preserve">针对本项目场地整体设计方案、效果图及布局图完整的表现各区块的特点，创意新颖、主题鲜明，内容完整、充实的得4分；设计方案、效果图及布局图对各区块的特点有体现、方案有创新，内容较为完整，但有所欠缺的得2</w:t>
            </w:r>
            <w:r>
              <w:rPr>
                <w:rFonts w:ascii="宋体" w:hAnsi="宋体" w:cs="宋体"/>
                <w:sz w:val="24"/>
              </w:rPr>
              <w:t xml:space="preserve">.5</w:t>
            </w:r>
            <w:r>
              <w:rPr>
                <w:rFonts w:hint="eastAsia" w:ascii="宋体" w:hAnsi="宋体" w:cs="宋体"/>
                <w:sz w:val="24"/>
              </w:rPr>
              <w:t xml:space="preserve">分；</w:t>
            </w:r>
            <w:r>
              <w:rPr>
                <w:rFonts w:hint="eastAsia" w:ascii="宋体" w:hAnsi="宋体" w:cs="宋体"/>
                <w:sz w:val="24"/>
              </w:rPr>
              <w:t xml:space="preserve">设计方案、效果图及布局图</w:t>
            </w:r>
            <w:r>
              <w:rPr>
                <w:rFonts w:hint="eastAsia" w:ascii="宋体" w:hAnsi="宋体" w:cs="宋体"/>
                <w:sz w:val="24"/>
              </w:rPr>
              <w:t xml:space="preserve">体现内容不够全面的得1分；</w:t>
            </w:r>
            <w:r>
              <w:rPr>
                <w:rFonts w:hint="eastAsia" w:ascii="宋体" w:hAnsi="宋体" w:cs="宋体"/>
                <w:sz w:val="24"/>
              </w:rPr>
              <w:t xml:space="preserve">较差或未提供本项不得分。</w:t>
            </w:r>
            <w:r>
              <w:rPr>
                <w:rFonts w:ascii="宋体" w:hAnsi="宋体"/>
                <w:sz w:val="24"/>
              </w:rPr>
            </w:r>
            <w:r/>
          </w:p>
        </w:tc>
      </w:tr>
      <w:tr>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2</w:t>
            </w:r>
            <w:r>
              <w:rPr>
                <w:rFonts w:ascii="宋体" w:hAnsi="宋体"/>
                <w:sz w:val="24"/>
              </w:rPr>
              <w:t xml:space="preserve">.3</w:t>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cs="宋体"/>
                <w:spacing w:val="-3"/>
                <w:sz w:val="24"/>
              </w:rPr>
              <w:t xml:space="preserve">培训方案</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6</w:t>
            </w:r>
            <w:r>
              <w:rPr>
                <w:rFonts w:ascii="宋体" w:hAnsi="宋体"/>
                <w:sz w:val="24"/>
              </w:rPr>
            </w:r>
            <w:r/>
          </w:p>
        </w:tc>
        <w:tc>
          <w:tcPr>
            <w:tcW w:w="3454" w:type="pct"/>
            <w:vAlign w:val="top"/>
            <w:textDirection w:val="lrTb"/>
            <w:noWrap w:val="false"/>
          </w:tcPr>
          <w:p>
            <w:pPr>
              <w:pStyle w:val="1100"/>
              <w:rPr>
                <w:rFonts w:ascii="宋体" w:hAnsi="宋体"/>
                <w:sz w:val="24"/>
              </w:rPr>
            </w:pPr>
            <w:r>
              <w:rPr>
                <w:rFonts w:hint="eastAsia" w:ascii="宋体" w:hAnsi="宋体" w:cs="宋体"/>
                <w:sz w:val="24"/>
              </w:rPr>
              <w:t xml:space="preserve">投标人针对本项目的培训方案（</w:t>
            </w:r>
            <w:r>
              <w:rPr>
                <w:rFonts w:ascii="宋体" w:hAnsi="宋体"/>
                <w:sz w:val="24"/>
              </w:rPr>
              <w:t xml:space="preserve">包含但不限于培训师资、培训课时、培训内容、培训计划、实操演练</w:t>
            </w:r>
            <w:r>
              <w:rPr>
                <w:rFonts w:hint="eastAsia" w:ascii="宋体" w:hAnsi="宋体"/>
                <w:sz w:val="24"/>
              </w:rPr>
              <w:t xml:space="preserve">等</w:t>
            </w:r>
            <w:r>
              <w:rPr>
                <w:rFonts w:hint="eastAsia" w:ascii="宋体" w:hAnsi="宋体" w:cs="宋体"/>
                <w:sz w:val="24"/>
              </w:rPr>
              <w:t xml:space="preserve">）：方案完整科学、完善合理、操作性及指导性强的得6分；方案基本全面，基本科学合理，基本可行的得4分；方案不够全面，内容缺乏可操作性的得2分；未提供本项不得分。</w:t>
            </w:r>
            <w:r>
              <w:rPr>
                <w:rFonts w:ascii="宋体" w:hAnsi="宋体"/>
                <w:sz w:val="24"/>
              </w:rPr>
            </w:r>
            <w:r/>
          </w:p>
        </w:tc>
      </w:tr>
      <w:tr>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2</w:t>
            </w:r>
            <w:r>
              <w:rPr>
                <w:rFonts w:ascii="宋体" w:hAnsi="宋体"/>
                <w:sz w:val="24"/>
              </w:rPr>
              <w:t xml:space="preserve">.4</w:t>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cs="宋体"/>
                <w:spacing w:val="-3"/>
                <w:sz w:val="24"/>
              </w:rPr>
              <w:t xml:space="preserve">售后服务方案</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ascii="宋体" w:hAnsi="宋体"/>
                <w:sz w:val="24"/>
              </w:rPr>
              <w:t xml:space="preserve">5</w:t>
            </w:r>
            <w:r>
              <w:rPr>
                <w:rFonts w:ascii="宋体" w:hAnsi="宋体"/>
                <w:sz w:val="24"/>
              </w:rPr>
            </w:r>
            <w:r/>
          </w:p>
        </w:tc>
        <w:tc>
          <w:tcPr>
            <w:tcW w:w="3454" w:type="pct"/>
            <w:vAlign w:val="center"/>
            <w:textDirection w:val="lrTb"/>
            <w:noWrap w:val="false"/>
          </w:tcPr>
          <w:p>
            <w:pPr>
              <w:pStyle w:val="1100"/>
              <w:rPr>
                <w:rFonts w:ascii="宋体" w:hAnsi="宋体"/>
                <w:sz w:val="24"/>
              </w:rPr>
            </w:pPr>
            <w:r>
              <w:rPr>
                <w:rFonts w:hint="eastAsia" w:ascii="宋体" w:hAnsi="宋体" w:cs="宋体"/>
                <w:sz w:val="24"/>
              </w:rPr>
              <w:t xml:space="preserve">投标人针对本项目的</w:t>
            </w:r>
            <w:r>
              <w:rPr>
                <w:rFonts w:hint="eastAsia" w:ascii="宋体" w:hAnsi="宋体" w:cs="宋体"/>
                <w:sz w:val="24"/>
              </w:rPr>
              <w:t xml:space="preserve">售后服务</w:t>
            </w:r>
            <w:r>
              <w:rPr>
                <w:rFonts w:hint="eastAsia" w:ascii="宋体" w:hAnsi="宋体" w:cs="宋体"/>
                <w:sz w:val="24"/>
              </w:rPr>
              <w:t xml:space="preserve">方案，包括但不限于</w:t>
            </w:r>
            <w:r>
              <w:rPr>
                <w:rFonts w:hint="eastAsia" w:ascii="宋体" w:hAnsi="宋体" w:cs="宋体"/>
                <w:sz w:val="24"/>
              </w:rPr>
              <w:t xml:space="preserve">优惠承诺</w:t>
            </w:r>
            <w:r>
              <w:rPr>
                <w:rFonts w:hint="eastAsia" w:ascii="宋体" w:hAnsi="宋体" w:cs="宋体"/>
                <w:sz w:val="24"/>
              </w:rPr>
              <w:t xml:space="preserve">、</w:t>
            </w:r>
            <w:r>
              <w:rPr>
                <w:rFonts w:hint="eastAsia" w:ascii="宋体" w:hAnsi="宋体" w:cs="宋体"/>
                <w:sz w:val="24"/>
              </w:rPr>
              <w:t xml:space="preserve">售后服务承诺、售后服务方案</w:t>
            </w:r>
            <w:r>
              <w:rPr>
                <w:rFonts w:hint="eastAsia" w:ascii="宋体" w:hAnsi="宋体" w:cs="宋体"/>
                <w:sz w:val="24"/>
              </w:rPr>
              <w:t xml:space="preserve">等</w:t>
            </w:r>
            <w:r>
              <w:rPr>
                <w:rFonts w:hint="eastAsia" w:ascii="宋体" w:hAnsi="宋体" w:cs="宋体"/>
                <w:sz w:val="24"/>
              </w:rPr>
              <w:t xml:space="preserve">，售后服务可行性合理、故障响应方式及保障措施等综合打分：方案完整全面、合理的得</w:t>
            </w:r>
            <w:r>
              <w:rPr>
                <w:rFonts w:ascii="宋体" w:hAnsi="宋体" w:cs="宋体"/>
                <w:sz w:val="24"/>
              </w:rPr>
              <w:t xml:space="preserve">5</w:t>
            </w:r>
            <w:r>
              <w:rPr>
                <w:rFonts w:hint="eastAsia" w:ascii="宋体" w:hAnsi="宋体" w:cs="宋体"/>
                <w:sz w:val="24"/>
              </w:rPr>
              <w:t xml:space="preserve">分；方案基本完整、基本合理的得</w:t>
            </w:r>
            <w:r>
              <w:rPr>
                <w:rFonts w:ascii="宋体" w:hAnsi="宋体" w:cs="宋体"/>
                <w:sz w:val="24"/>
              </w:rPr>
              <w:t xml:space="preserve">3</w:t>
            </w:r>
            <w:r>
              <w:rPr>
                <w:rFonts w:hint="eastAsia" w:ascii="宋体" w:hAnsi="宋体" w:cs="宋体"/>
                <w:sz w:val="24"/>
              </w:rPr>
              <w:t xml:space="preserve">分；方案简陋、不够合理、可操作性弱得</w:t>
            </w:r>
            <w:r>
              <w:rPr>
                <w:rFonts w:ascii="宋体" w:hAnsi="宋体" w:cs="宋体"/>
                <w:sz w:val="24"/>
              </w:rPr>
              <w:t xml:space="preserve">1</w:t>
            </w:r>
            <w:r>
              <w:rPr>
                <w:rFonts w:hint="eastAsia" w:ascii="宋体" w:hAnsi="宋体" w:cs="宋体"/>
                <w:sz w:val="24"/>
              </w:rPr>
              <w:t xml:space="preserve">分；未提供本项不得分。</w:t>
            </w:r>
            <w:r>
              <w:rPr>
                <w:rFonts w:ascii="宋体" w:hAnsi="宋体"/>
                <w:sz w:val="24"/>
              </w:rPr>
            </w:r>
            <w:r/>
          </w:p>
        </w:tc>
      </w:tr>
      <w:tr>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ascii="宋体" w:hAnsi="宋体"/>
                <w:sz w:val="24"/>
              </w:rPr>
            </w:r>
            <w:r/>
          </w:p>
        </w:tc>
        <w:tc>
          <w:tcPr>
            <w:tcW w:w="3454" w:type="pct"/>
            <w:vAlign w:val="center"/>
            <w:textDirection w:val="lrTb"/>
            <w:noWrap w:val="false"/>
          </w:tcPr>
          <w:p>
            <w:pPr>
              <w:pStyle w:val="1100"/>
              <w:rPr>
                <w:rFonts w:ascii="宋体" w:hAnsi="宋体"/>
                <w:sz w:val="24"/>
              </w:rPr>
            </w:pPr>
            <w:r>
              <w:rPr>
                <w:rFonts w:ascii="宋体" w:hAnsi="宋体"/>
                <w:sz w:val="24"/>
              </w:rPr>
            </w:r>
            <w:r/>
          </w:p>
        </w:tc>
      </w:tr>
      <w:tr>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3</w:t>
            </w:r>
            <w:r>
              <w:rPr>
                <w:rFonts w:ascii="宋体" w:hAnsi="宋体"/>
                <w:sz w:val="24"/>
              </w:rPr>
              <w:t xml:space="preserve">.1</w:t>
            </w:r>
            <w:r/>
          </w:p>
        </w:tc>
        <w:tc>
          <w:tcPr>
            <w:tcW w:w="705" w:type="pct"/>
            <w:vAlign w:val="center"/>
            <w:textDirection w:val="lrTb"/>
            <w:noWrap w:val="false"/>
          </w:tcPr>
          <w:p>
            <w:pPr>
              <w:pStyle w:val="1100"/>
              <w:ind w:firstLine="28"/>
              <w:jc w:val="center"/>
              <w:rPr>
                <w:rFonts w:ascii="宋体" w:hAnsi="宋体"/>
                <w:sz w:val="24"/>
              </w:rPr>
            </w:pPr>
            <w:r>
              <w:rPr>
                <w:rFonts w:ascii="宋体" w:hAnsi="宋体"/>
                <w:sz w:val="24"/>
              </w:rPr>
              <w:t xml:space="preserve">业绩</w:t>
            </w:r>
            <w:r/>
          </w:p>
        </w:tc>
        <w:tc>
          <w:tcPr>
            <w:tcW w:w="440" w:type="pct"/>
            <w:vAlign w:val="center"/>
            <w:textDirection w:val="lrTb"/>
            <w:noWrap w:val="false"/>
          </w:tcPr>
          <w:p>
            <w:pPr>
              <w:pStyle w:val="1100"/>
              <w:ind w:firstLine="28"/>
              <w:jc w:val="center"/>
              <w:rPr>
                <w:rFonts w:ascii="宋体" w:hAnsi="宋体"/>
                <w:sz w:val="24"/>
              </w:rPr>
            </w:pPr>
            <w:r>
              <w:rPr>
                <w:rFonts w:ascii="宋体" w:hAnsi="宋体"/>
                <w:sz w:val="24"/>
              </w:rPr>
              <w:t xml:space="preserve">2</w:t>
            </w:r>
            <w:r/>
          </w:p>
        </w:tc>
        <w:tc>
          <w:tcPr>
            <w:tcW w:w="3454" w:type="pct"/>
            <w:vAlign w:val="center"/>
            <w:textDirection w:val="lrTb"/>
            <w:noWrap w:val="false"/>
          </w:tcPr>
          <w:p>
            <w:pPr>
              <w:pStyle w:val="1100"/>
              <w:rPr>
                <w:rFonts w:ascii="宋体" w:hAnsi="宋体" w:cs="宋体"/>
                <w:sz w:val="24"/>
              </w:rPr>
            </w:pPr>
            <w:r>
              <w:rPr>
                <w:rFonts w:hint="eastAsia" w:ascii="宋体" w:hAnsi="宋体" w:cs="宋体"/>
                <w:sz w:val="24"/>
              </w:rPr>
              <w:t xml:space="preserve">投标单位自2023年</w:t>
            </w:r>
            <w:r>
              <w:rPr>
                <w:rFonts w:ascii="宋体" w:hAnsi="宋体" w:cs="宋体"/>
                <w:sz w:val="24"/>
              </w:rPr>
              <w:t xml:space="preserve">1</w:t>
            </w:r>
            <w:r>
              <w:rPr>
                <w:rFonts w:hint="eastAsia" w:ascii="宋体" w:hAnsi="宋体" w:cs="宋体"/>
                <w:sz w:val="24"/>
              </w:rPr>
              <w:t xml:space="preserve">月1日（以合同签订时间为准）至今，具有类似项目业绩，有1份得1分，最高得2分。</w:t>
            </w:r>
            <w:r>
              <w:rPr>
                <w:rFonts w:ascii="宋体" w:hAnsi="宋体" w:cs="宋体"/>
                <w:sz w:val="24"/>
              </w:rPr>
            </w:r>
            <w:r/>
          </w:p>
          <w:p>
            <w:pPr>
              <w:pStyle w:val="1100"/>
              <w:rPr>
                <w:rFonts w:ascii="宋体" w:hAnsi="宋体"/>
                <w:sz w:val="24"/>
              </w:rPr>
            </w:pPr>
            <w:r>
              <w:rPr>
                <w:rFonts w:hint="eastAsia" w:ascii="宋体" w:hAnsi="宋体" w:cs="宋体"/>
                <w:b/>
                <w:bCs/>
                <w:sz w:val="24"/>
              </w:rPr>
              <w:t xml:space="preserve">注：业绩证明材料包括合同扫描件、中标（或成交）通知书扫描件和项目验收证明扫描件，未提供齐全的不得分。</w:t>
            </w:r>
            <w:r>
              <w:rPr>
                <w:rFonts w:ascii="宋体" w:hAnsi="宋体"/>
                <w:sz w:val="24"/>
              </w:rPr>
            </w:r>
            <w:r/>
          </w:p>
        </w:tc>
      </w:tr>
      <w:tr>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3</w:t>
            </w:r>
            <w:r>
              <w:rPr>
                <w:rFonts w:ascii="宋体" w:hAnsi="宋体"/>
                <w:sz w:val="24"/>
              </w:rPr>
              <w:t xml:space="preserve">.2</w:t>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cs="宋体"/>
                <w:sz w:val="24"/>
              </w:rPr>
              <w:t xml:space="preserve">综合实力</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3454" w:type="pct"/>
            <w:vAlign w:val="center"/>
            <w:textDirection w:val="lrTb"/>
            <w:noWrap w:val="false"/>
          </w:tcPr>
          <w:p>
            <w:pPr>
              <w:pStyle w:val="1100"/>
              <w:rPr>
                <w:rFonts w:ascii="宋体" w:hAnsi="宋体" w:cs="宋体"/>
                <w:sz w:val="24"/>
                <w:lang w:bidi="ar"/>
              </w:rPr>
            </w:pPr>
            <w:r>
              <w:rPr>
                <w:rFonts w:hint="eastAsia" w:ascii="宋体" w:hAnsi="宋体"/>
                <w:sz w:val="24"/>
              </w:rPr>
              <w:t xml:space="preserve">投标人具有有效的质量管理体系认证、环境管理体系认证、职业健康管理体系认证证书、每个得1分，最高得3分。</w:t>
            </w:r>
            <w:r>
              <w:rPr>
                <w:rFonts w:hint="eastAsia" w:ascii="宋体" w:hAnsi="宋体"/>
                <w:b/>
                <w:sz w:val="24"/>
              </w:rPr>
              <w:t xml:space="preserve">（提供证书复印件及中国国家认证认可监督管理委员会网站查询页面完整截图且证书状态为有效，否则不得分）</w:t>
            </w:r>
            <w:r>
              <w:rPr>
                <w:rFonts w:ascii="宋体" w:hAnsi="宋体" w:cs="宋体"/>
                <w:sz w:val="24"/>
                <w:lang w:bidi="ar"/>
              </w:rPr>
            </w:r>
            <w:r/>
          </w:p>
        </w:tc>
      </w:tr>
      <w:tr>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3</w:t>
            </w:r>
            <w:r>
              <w:rPr>
                <w:rFonts w:ascii="宋体" w:hAnsi="宋体"/>
                <w:sz w:val="24"/>
              </w:rPr>
              <w:t xml:space="preserve">.3</w:t>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cs="宋体"/>
                <w:sz w:val="24"/>
              </w:rPr>
              <w:t xml:space="preserve">技术参数响应</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ascii="宋体" w:hAnsi="宋体"/>
                <w:sz w:val="24"/>
              </w:rPr>
              <w:t xml:space="preserve">30</w:t>
            </w:r>
            <w:r/>
          </w:p>
        </w:tc>
        <w:tc>
          <w:tcPr>
            <w:tcW w:w="3454" w:type="pct"/>
            <w:vAlign w:val="center"/>
            <w:textDirection w:val="lrTb"/>
            <w:noWrap w:val="false"/>
          </w:tcPr>
          <w:p>
            <w:pPr>
              <w:pStyle w:val="1100"/>
              <w:rPr>
                <w:rFonts w:ascii="宋体" w:hAnsi="宋体" w:cs="宋体"/>
                <w:sz w:val="24"/>
              </w:rPr>
            </w:pPr>
            <w:r>
              <w:rPr>
                <w:rFonts w:hint="eastAsia" w:ascii="宋体" w:hAnsi="宋体" w:cs="宋体"/>
                <w:sz w:val="24"/>
              </w:rPr>
              <w:t xml:space="preserve">由评标委员会根据投标人投标产品的功能及技术参数要求响应情况进行打分，所投产品技术参数完全满足或优于招标文件“（二）技术参数及功能要求”要求的得满分。技术参数中标注“▲”的为重要参数，每有一项负偏离的扣</w:t>
            </w:r>
            <w:r>
              <w:rPr>
                <w:rFonts w:ascii="宋体" w:hAnsi="宋体" w:cs="宋体"/>
                <w:sz w:val="24"/>
              </w:rPr>
              <w:t xml:space="preserve">3</w:t>
            </w:r>
            <w:r>
              <w:rPr>
                <w:rFonts w:hint="eastAsia" w:ascii="宋体" w:hAnsi="宋体" w:cs="宋体"/>
                <w:sz w:val="24"/>
              </w:rPr>
              <w:t xml:space="preserve">分，扣完为止。</w:t>
            </w:r>
            <w:r>
              <w:rPr>
                <w:rFonts w:ascii="宋体" w:hAnsi="宋体" w:cs="宋体"/>
                <w:sz w:val="24"/>
              </w:rPr>
            </w:r>
            <w:r/>
          </w:p>
          <w:p>
            <w:pPr>
              <w:pStyle w:val="1100"/>
              <w:rPr>
                <w:rFonts w:ascii="宋体" w:hAnsi="宋体" w:cs="宋体"/>
                <w:b/>
                <w:bCs/>
                <w:sz w:val="24"/>
              </w:rPr>
            </w:pPr>
            <w:r>
              <w:rPr>
                <w:rFonts w:hint="eastAsia" w:ascii="宋体" w:hAnsi="宋体" w:cs="宋体"/>
                <w:b/>
                <w:bCs/>
                <w:sz w:val="24"/>
              </w:rPr>
              <w:t xml:space="preserve">注：</w:t>
            </w:r>
            <w:r>
              <w:rPr>
                <w:rFonts w:ascii="宋体" w:hAnsi="宋体" w:cs="宋体"/>
                <w:b/>
                <w:bCs/>
                <w:sz w:val="24"/>
              </w:rPr>
            </w:r>
            <w:r/>
          </w:p>
          <w:p>
            <w:pPr>
              <w:pStyle w:val="1100"/>
              <w:rPr>
                <w:rFonts w:ascii="宋体" w:hAnsi="宋体" w:cs="宋体"/>
                <w:b/>
                <w:bCs/>
                <w:sz w:val="24"/>
              </w:rPr>
            </w:pPr>
            <w:r>
              <w:rPr>
                <w:rFonts w:hint="eastAsia" w:ascii="宋体" w:hAnsi="宋体" w:cs="宋体"/>
                <w:b/>
                <w:bCs/>
                <w:sz w:val="24"/>
              </w:rPr>
              <w:t xml:space="preserve">①投标文件中提供全部技术参数对比列表，并注明偏离情况。</w:t>
            </w:r>
            <w:r>
              <w:rPr>
                <w:rFonts w:ascii="宋体" w:hAnsi="宋体" w:cs="宋体"/>
                <w:b/>
                <w:bCs/>
                <w:sz w:val="24"/>
              </w:rPr>
            </w:r>
            <w:r/>
          </w:p>
          <w:p>
            <w:pPr>
              <w:pStyle w:val="1100"/>
              <w:rPr>
                <w:rFonts w:ascii="宋体" w:hAnsi="宋体" w:cs="宋体"/>
                <w:b/>
                <w:bCs/>
                <w:sz w:val="24"/>
                <w:lang w:bidi="ar"/>
              </w:rPr>
            </w:pPr>
            <w:r>
              <w:rPr>
                <w:rFonts w:hint="eastAsia" w:ascii="宋体" w:hAnsi="宋体" w:cs="宋体"/>
                <w:b/>
                <w:bCs/>
                <w:sz w:val="24"/>
              </w:rPr>
              <w:t xml:space="preserve">②</w:t>
            </w:r>
            <w:r>
              <w:rPr>
                <w:rFonts w:hint="eastAsia" w:ascii="宋体" w:hAnsi="宋体" w:cs="宋体"/>
                <w:b/>
                <w:bCs/>
                <w:sz w:val="24"/>
                <w:lang w:bidi="ar"/>
              </w:rPr>
              <w:t xml:space="preserve">凡标有最低一级序号的指标项即为一项技术参数，无论是否隶属于上一级编号。</w:t>
            </w:r>
            <w:r>
              <w:rPr>
                <w:rFonts w:ascii="宋体" w:hAnsi="宋体" w:cs="宋体"/>
                <w:b/>
                <w:bCs/>
                <w:sz w:val="24"/>
                <w:lang w:bidi="ar"/>
              </w:rPr>
            </w:r>
            <w:r/>
          </w:p>
          <w:p>
            <w:pPr>
              <w:pStyle w:val="1100"/>
              <w:rPr>
                <w:rFonts w:ascii="宋体" w:hAnsi="宋体" w:cs="宋体"/>
                <w:b/>
                <w:bCs/>
                <w:sz w:val="24"/>
              </w:rPr>
            </w:pPr>
            <w:r>
              <w:rPr>
                <w:rFonts w:hint="eastAsia" w:ascii="宋体" w:hAnsi="宋体" w:cs="宋体"/>
                <w:b/>
                <w:bCs/>
                <w:sz w:val="24"/>
                <w:lang w:bidi="ar"/>
              </w:rPr>
              <w:t xml:space="preserve">③</w:t>
            </w:r>
            <w:r>
              <w:rPr>
                <w:rFonts w:hint="eastAsia" w:ascii="宋体" w:hAnsi="宋体" w:cs="宋体"/>
                <w:b/>
                <w:bCs/>
                <w:sz w:val="24"/>
              </w:rPr>
              <w:t xml:space="preserve">“（二）技术参数及功能要求”中明确要求提供相关证明材料的以证明材料为准，其他以承诺的偏离情况为准，未提供证明材料或未列出技术参数对比的不得分。</w:t>
            </w:r>
            <w:r>
              <w:rPr>
                <w:rFonts w:ascii="宋体" w:hAnsi="宋体" w:cs="宋体"/>
                <w:b/>
                <w:bCs/>
                <w:sz w:val="24"/>
              </w:rPr>
            </w:r>
            <w:r/>
          </w:p>
          <w:p>
            <w:pPr>
              <w:pStyle w:val="1100"/>
              <w:rPr>
                <w:rFonts w:ascii="宋体" w:hAnsi="宋体"/>
                <w:sz w:val="24"/>
              </w:rPr>
            </w:pPr>
            <w:r>
              <w:rPr>
                <w:rFonts w:hint="eastAsia" w:ascii="宋体" w:hAnsi="宋体" w:cs="宋体"/>
                <w:b/>
                <w:bCs/>
                <w:sz w:val="24"/>
              </w:rPr>
              <w:t xml:space="preserve">④标注“■”为演示内容，此处不参与评审。</w:t>
            </w:r>
            <w:r>
              <w:rPr>
                <w:rFonts w:ascii="宋体" w:hAnsi="宋体"/>
                <w:sz w:val="24"/>
              </w:rPr>
            </w:r>
            <w:r/>
          </w:p>
        </w:tc>
      </w:tr>
      <w:tr>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3</w:t>
            </w:r>
            <w:r>
              <w:rPr>
                <w:rFonts w:ascii="宋体" w:hAnsi="宋体"/>
                <w:sz w:val="24"/>
              </w:rPr>
              <w:t xml:space="preserve">.4</w:t>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功能演示</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1</w:t>
            </w:r>
            <w:r>
              <w:rPr>
                <w:rFonts w:ascii="宋体" w:hAnsi="宋体"/>
                <w:sz w:val="24"/>
              </w:rPr>
              <w:t xml:space="preserve">5</w:t>
            </w:r>
            <w:r/>
          </w:p>
        </w:tc>
        <w:tc>
          <w:tcPr>
            <w:tcW w:w="3454" w:type="pct"/>
            <w:vAlign w:val="center"/>
            <w:textDirection w:val="lrTb"/>
            <w:noWrap w:val="false"/>
          </w:tcPr>
          <w:p>
            <w:pPr>
              <w:pStyle w:val="1100"/>
              <w:ind w:right="173"/>
              <w:rPr>
                <w:rFonts w:ascii="宋体" w:hAnsi="宋体" w:cs="宋体"/>
                <w:b/>
                <w:bCs/>
                <w:sz w:val="24"/>
                <w:lang w:val="zh-CN"/>
              </w:rPr>
            </w:pPr>
            <w:r>
              <w:rPr>
                <w:rFonts w:hint="eastAsia" w:ascii="宋体" w:hAnsi="宋体" w:cs="宋体"/>
                <w:b/>
                <w:bCs/>
                <w:sz w:val="24"/>
                <w:lang w:val="zh-CN"/>
              </w:rPr>
              <w:t xml:space="preserve">投标人须在系统中上传演示视频，根据技术参数拍摄演示视频，演示视频要求</w:t>
            </w:r>
            <w:r>
              <w:rPr>
                <w:rFonts w:hint="eastAsia" w:ascii="宋体" w:hAnsi="宋体" w:cs="宋体"/>
                <w:b/>
                <w:bCs/>
                <w:sz w:val="24"/>
              </w:rPr>
              <w:t xml:space="preserve">基于真实的</w:t>
            </w:r>
            <w:r>
              <w:rPr>
                <w:rFonts w:hint="eastAsia" w:ascii="宋体" w:hAnsi="宋体" w:cs="宋体"/>
                <w:b/>
                <w:bCs/>
                <w:sz w:val="24"/>
                <w:lang w:val="zh-CN"/>
              </w:rPr>
              <w:t xml:space="preserve">硬件/软件画面讲解，不得采用图片、PPT、Flash、动画等作为演示。未按要求提供视频的，演示部分不得分。单个产品多项演示的功能均需要在同一款产品中完成，不得以多款产品拼凑演示，视频时长控制在15分钟之内。</w:t>
            </w:r>
            <w:r>
              <w:rPr>
                <w:rFonts w:ascii="宋体" w:hAnsi="宋体" w:cs="宋体"/>
                <w:b/>
                <w:bCs/>
                <w:sz w:val="24"/>
                <w:lang w:val="zh-CN"/>
              </w:rPr>
            </w:r>
            <w:r/>
          </w:p>
          <w:p>
            <w:pPr>
              <w:pStyle w:val="1100"/>
              <w:ind w:right="173"/>
              <w:rPr>
                <w:rFonts w:ascii="宋体" w:hAnsi="宋体" w:cs="宋体"/>
                <w:b/>
                <w:bCs/>
                <w:sz w:val="24"/>
                <w:lang w:val="zh-CN"/>
              </w:rPr>
            </w:pPr>
            <w:r>
              <w:rPr>
                <w:rFonts w:hint="eastAsia" w:ascii="宋体" w:hAnsi="宋体" w:cs="宋体"/>
                <w:b/>
                <w:bCs/>
                <w:sz w:val="24"/>
                <w:lang w:val="zh-CN"/>
              </w:rPr>
              <w:t xml:space="preserve">演示内容包含以下内容：</w:t>
            </w:r>
            <w:r>
              <w:rPr>
                <w:rFonts w:ascii="宋体" w:hAnsi="宋体" w:cs="宋体"/>
                <w:b/>
                <w:bCs/>
                <w:sz w:val="24"/>
                <w:lang w:val="zh-CN"/>
              </w:rPr>
            </w:r>
            <w:r/>
          </w:p>
          <w:p>
            <w:pPr>
              <w:pStyle w:val="1100"/>
              <w:spacing w:line="360" w:lineRule="exact"/>
              <w:rPr>
                <w:rFonts w:ascii="宋体" w:hAnsi="宋体" w:cs="宋体"/>
                <w:spacing w:val="-2"/>
                <w:sz w:val="24"/>
              </w:rPr>
            </w:pPr>
            <w:r>
              <w:rPr>
                <w:rFonts w:hint="eastAsia" w:ascii="宋体" w:hAnsi="宋体" w:cs="宋体"/>
                <w:spacing w:val="-2"/>
                <w:sz w:val="24"/>
              </w:rPr>
              <w:t xml:space="preserve">1.智能电气设计与3D虚拟实操仿真软件</w:t>
            </w:r>
            <w:r>
              <w:rPr>
                <w:rFonts w:ascii="宋体" w:hAnsi="宋体" w:cs="宋体"/>
                <w:spacing w:val="-2"/>
                <w:sz w:val="24"/>
              </w:rPr>
            </w:r>
            <w:r/>
          </w:p>
          <w:p>
            <w:pPr>
              <w:pStyle w:val="1355"/>
              <w:spacing w:before="0" w:line="360" w:lineRule="exact"/>
              <w:rPr>
                <w:rFonts w:cs="宋体"/>
                <w:b/>
                <w:bCs/>
                <w:spacing w:val="-2"/>
              </w:rPr>
            </w:pPr>
            <w:r>
              <w:rPr>
                <w:rFonts w:hint="eastAsia" w:cs="宋体"/>
                <w:spacing w:val="-2"/>
              </w:rPr>
              <w:t xml:space="preserve">■5)交互能力：系统以鼠标点击、拖拽，搭配键盘使用，支持360°全视角旋转、缩放、平移等控制操作。电气原理图设计支持自动接线功能；平台内置实物三维仿真、原理图设计仿真，均支持实验场景自主搭建、编辑、文件导出与导入等功能；3D实物三维仿真实训：用户可以自主完成元器件布局，器件连线。项目完成后可导出标准化文件，实现跨设备、跨终端资源使用。支持项目一键导入，导入后可二次编辑，启动仿真即可开展课堂教学演示。电气接</w:t>
            </w:r>
            <w:r>
              <w:rPr>
                <w:rFonts w:hint="eastAsia" w:cs="宋体"/>
                <w:spacing w:val="-2"/>
              </w:rPr>
              <w:t xml:space="preserve">线仿真具备高度自由，非固定连线模式，支持器件端子间自由连线，与实际接线操作保持一致；电气原理图设计仿真：用户可以自主完成原理图设计、图元排布、逻辑验证；项目编制完成后可导出标准文件，实现教学资源跨设备流转使用。支持原理图项目一键导入，可以对原理图进行修改、内容优化，启动仿真，快速开展教学演示；动态电路仿真功能：原理图设计完成后可一键触发电气回路动态仿真运算，实时可视化，展示回路电流流向、电气元件动作时序（触点通断、信号指示等）。支持电气参数交互式整定与动态调校。实现电气理论、电路原理与故障研判的一体化教学。</w:t>
            </w:r>
            <w:r>
              <w:rPr>
                <w:rFonts w:hint="eastAsia" w:cs="宋体"/>
                <w:b/>
                <w:bCs/>
                <w:spacing w:val="-2"/>
              </w:rPr>
              <w:t xml:space="preserve">（要求投标时提供视频演示，以上功能集成在一个平台，视频演示要求系统主界面统一，不能为多个软件拼凑演示，否则不得分）</w:t>
            </w:r>
            <w:r>
              <w:rPr>
                <w:rFonts w:cs="宋体"/>
                <w:b/>
                <w:bCs/>
                <w:spacing w:val="-2"/>
              </w:rPr>
            </w:r>
            <w:r/>
          </w:p>
          <w:p>
            <w:pPr>
              <w:pStyle w:val="1100"/>
              <w:ind w:firstLine="474"/>
              <w:spacing w:line="360" w:lineRule="exact"/>
              <w:rPr>
                <w:rFonts w:ascii="宋体" w:hAnsi="宋体" w:cs="宋体"/>
                <w:b/>
                <w:bCs/>
                <w:spacing w:val="-2"/>
                <w:sz w:val="24"/>
                <w:lang w:val="zh-CN"/>
              </w:rPr>
            </w:pPr>
            <w:r>
              <w:rPr>
                <w:rFonts w:hint="eastAsia" w:ascii="宋体" w:hAnsi="宋体" w:cs="宋体"/>
                <w:b/>
                <w:bCs/>
                <w:spacing w:val="-2"/>
                <w:sz w:val="24"/>
              </w:rPr>
              <w:t xml:space="preserve">演示完全满足招标文件要求得3分，基本满足要求得1分，没有演示或功能要求不符合招标文件要求的不得分。</w:t>
            </w:r>
            <w:r>
              <w:rPr>
                <w:rFonts w:ascii="宋体" w:hAnsi="宋体" w:cs="宋体"/>
                <w:b/>
                <w:bCs/>
                <w:spacing w:val="-2"/>
                <w:sz w:val="24"/>
                <w:lang w:val="zh-CN"/>
              </w:rPr>
            </w:r>
            <w:r/>
          </w:p>
          <w:p>
            <w:pPr>
              <w:pStyle w:val="1100"/>
              <w:spacing w:line="360" w:lineRule="exact"/>
              <w:rPr>
                <w:rFonts w:ascii="宋体" w:hAnsi="宋体" w:cs="宋体"/>
                <w:spacing w:val="-2"/>
                <w:sz w:val="24"/>
              </w:rPr>
            </w:pPr>
            <w:r>
              <w:rPr>
                <w:rFonts w:hint="eastAsia" w:ascii="宋体" w:hAnsi="宋体" w:cs="宋体"/>
                <w:spacing w:val="-2"/>
                <w:sz w:val="24"/>
              </w:rPr>
              <w:t xml:space="preserve">2</w:t>
            </w:r>
            <w:r>
              <w:rPr>
                <w:rFonts w:ascii="宋体" w:hAnsi="宋体" w:cs="宋体"/>
                <w:spacing w:val="-2"/>
                <w:sz w:val="24"/>
              </w:rPr>
              <w:t xml:space="preserve">.智能化实训室助教及管控系统</w:t>
            </w:r>
            <w:r>
              <w:rPr>
                <w:rFonts w:hint="eastAsia" w:ascii="宋体" w:hAnsi="宋体" w:cs="宋体"/>
                <w:spacing w:val="-2"/>
                <w:sz w:val="24"/>
              </w:rPr>
              <w:t xml:space="preserve">，</w:t>
            </w:r>
            <w:r>
              <w:rPr>
                <w:rFonts w:ascii="宋体" w:hAnsi="宋体" w:cs="宋体"/>
                <w:spacing w:val="-2"/>
                <w:sz w:val="24"/>
              </w:rPr>
              <w:t xml:space="preserve">为便于管理和使用方便，要求以下模块功能全部集成在一个系统平台，不能为多系统拼凑而成。技术功能如下：</w:t>
            </w:r>
            <w:r/>
          </w:p>
          <w:p>
            <w:pPr>
              <w:pStyle w:val="1100"/>
              <w:ind w:firstLine="472"/>
              <w:spacing w:line="360" w:lineRule="exact"/>
              <w:rPr>
                <w:rFonts w:ascii="宋体" w:hAnsi="宋体" w:cs="宋体"/>
                <w:spacing w:val="-2"/>
                <w:sz w:val="24"/>
              </w:rPr>
            </w:pPr>
            <w:r>
              <w:rPr>
                <w:rFonts w:hint="eastAsia" w:ascii="宋体" w:hAnsi="宋体" w:cs="宋体"/>
                <w:spacing w:val="-2"/>
                <w:sz w:val="24"/>
              </w:rPr>
              <w:t xml:space="preserve">■</w:t>
            </w:r>
            <w:r>
              <w:rPr>
                <w:rFonts w:ascii="宋体" w:hAnsi="宋体" w:cs="宋体"/>
                <w:spacing w:val="-2"/>
                <w:sz w:val="24"/>
              </w:rPr>
              <w:t xml:space="preserve">（</w:t>
            </w:r>
            <w:r>
              <w:rPr>
                <w:rFonts w:hint="eastAsia" w:ascii="宋体" w:hAnsi="宋体" w:cs="宋体"/>
                <w:spacing w:val="-2"/>
                <w:sz w:val="24"/>
              </w:rPr>
              <w:t xml:space="preserve">3</w:t>
            </w:r>
            <w:r>
              <w:rPr>
                <w:rFonts w:ascii="宋体" w:hAnsi="宋体" w:cs="宋体"/>
                <w:spacing w:val="-2"/>
                <w:sz w:val="24"/>
              </w:rPr>
              <w:t xml:space="preserve">）智能化管理模块</w:t>
            </w:r>
            <w:r>
              <w:rPr>
                <w:rFonts w:hint="eastAsia" w:ascii="宋体" w:hAnsi="宋体" w:cs="宋体"/>
                <w:spacing w:val="-2"/>
                <w:sz w:val="24"/>
              </w:rPr>
              <w:t xml:space="preserve">及</w:t>
            </w:r>
            <w:r>
              <w:rPr>
                <w:rFonts w:ascii="宋体" w:hAnsi="宋体" w:cs="宋体"/>
                <w:spacing w:val="-2"/>
                <w:sz w:val="24"/>
              </w:rPr>
              <w:t xml:space="preserve">设备仪器管理模块满足以下功能（投标时提供视频逐条演示功能）：</w:t>
            </w:r>
            <w:r/>
          </w:p>
          <w:p>
            <w:pPr>
              <w:pStyle w:val="1100"/>
              <w:ind w:firstLine="472"/>
              <w:spacing w:line="360" w:lineRule="exact"/>
              <w:rPr>
                <w:rFonts w:ascii="宋体" w:hAnsi="宋体" w:cs="宋体"/>
                <w:spacing w:val="-2"/>
                <w:sz w:val="24"/>
              </w:rPr>
            </w:pPr>
            <w:r>
              <w:rPr>
                <w:rFonts w:ascii="宋体" w:hAnsi="宋体" w:cs="宋体"/>
                <w:spacing w:val="-2"/>
                <w:sz w:val="24"/>
              </w:rPr>
              <w:t xml:space="preserve">1）远程智能电源管理模块不少于两个子项目，至少包含设备控制、考试设置等子项目</w:t>
            </w:r>
            <w:r/>
          </w:p>
          <w:p>
            <w:pPr>
              <w:pStyle w:val="1100"/>
              <w:ind w:firstLine="472"/>
              <w:spacing w:line="360" w:lineRule="exact"/>
              <w:rPr>
                <w:rFonts w:ascii="宋体" w:hAnsi="宋体" w:cs="宋体"/>
                <w:spacing w:val="-2"/>
                <w:sz w:val="24"/>
              </w:rPr>
            </w:pPr>
            <w:r>
              <w:rPr>
                <w:rFonts w:ascii="宋体" w:hAnsi="宋体" w:cs="宋体"/>
                <w:spacing w:val="-2"/>
                <w:sz w:val="24"/>
              </w:rPr>
              <w:t xml:space="preserve">2）设备控制模块支持查看实训室列表，数据类型不少于四种，至少包含实训中心名称、实训室名称、创建时间、电源状态。支持对实训室的总电源开启或关闭。</w:t>
            </w:r>
            <w:r/>
          </w:p>
          <w:p>
            <w:pPr>
              <w:pStyle w:val="1100"/>
              <w:ind w:firstLine="472"/>
              <w:spacing w:line="360" w:lineRule="exact"/>
              <w:rPr>
                <w:rFonts w:ascii="宋体" w:hAnsi="宋体" w:cs="宋体"/>
                <w:spacing w:val="-2"/>
                <w:sz w:val="24"/>
              </w:rPr>
            </w:pPr>
            <w:r>
              <w:rPr>
                <w:rFonts w:ascii="宋体" w:hAnsi="宋体" w:cs="宋体"/>
                <w:spacing w:val="-2"/>
                <w:sz w:val="24"/>
              </w:rPr>
              <w:t xml:space="preserve">3）考试设置模块支持查看实训室列表，数据类型不少于四种，至少包含实训中心名称、实训室名称、创建时间、考试状态。支持对实训室开始考试或结束考试，支持对实训室下实训台多选的方式实现批量开始或结束考试。</w:t>
            </w:r>
            <w:r/>
          </w:p>
          <w:p>
            <w:pPr>
              <w:pStyle w:val="1100"/>
              <w:ind w:firstLine="472"/>
              <w:spacing w:line="360" w:lineRule="exact"/>
              <w:rPr>
                <w:rFonts w:ascii="宋体" w:hAnsi="宋体" w:cs="宋体"/>
                <w:spacing w:val="-2"/>
                <w:sz w:val="24"/>
              </w:rPr>
            </w:pPr>
            <w:r>
              <w:rPr>
                <w:rFonts w:ascii="宋体" w:hAnsi="宋体" w:cs="宋体"/>
                <w:spacing w:val="-2"/>
                <w:sz w:val="24"/>
              </w:rPr>
              <w:t xml:space="preserve">4）考试设置模块融入智能AI技术，支持考试信息录入，至少包含考试名称、持续时间、语音提醒等信息的录入；考题管理包含题目类型、难度等级、归属题库、题目内容、题目解析等功能；AI一键出题，输入学科、知识点和技能的关键字，设置出题的数量，即可一键导入到题库。</w:t>
            </w:r>
            <w:r/>
          </w:p>
          <w:p>
            <w:pPr>
              <w:pStyle w:val="1100"/>
              <w:ind w:firstLine="472"/>
              <w:spacing w:line="360" w:lineRule="exact"/>
              <w:rPr>
                <w:rFonts w:ascii="宋体" w:hAnsi="宋体" w:cs="宋体"/>
                <w:spacing w:val="-2"/>
                <w:sz w:val="24"/>
              </w:rPr>
            </w:pPr>
            <w:r>
              <w:rPr>
                <w:rFonts w:hint="eastAsia" w:ascii="宋体" w:hAnsi="宋体" w:cs="宋体"/>
                <w:spacing w:val="-2"/>
                <w:sz w:val="24"/>
              </w:rPr>
              <w:t xml:space="preserve">5</w:t>
            </w:r>
            <w:r>
              <w:rPr>
                <w:rFonts w:ascii="宋体" w:hAnsi="宋体" w:cs="宋体"/>
                <w:spacing w:val="-2"/>
                <w:sz w:val="24"/>
              </w:rPr>
              <w:t xml:space="preserve">）支持查看仪器设备列表，数据类型不少于八种，至少包含设备名称、设备图片、设备状态、设备编号、操作员、规格型号、单位、设备种类。</w:t>
            </w:r>
            <w:r/>
          </w:p>
          <w:p>
            <w:pPr>
              <w:pStyle w:val="1100"/>
              <w:ind w:firstLine="472"/>
              <w:spacing w:line="360" w:lineRule="exact"/>
              <w:rPr>
                <w:rFonts w:ascii="宋体" w:hAnsi="宋体" w:cs="宋体"/>
                <w:spacing w:val="-2"/>
                <w:sz w:val="24"/>
              </w:rPr>
            </w:pPr>
            <w:r>
              <w:rPr>
                <w:rFonts w:hint="eastAsia" w:ascii="宋体" w:hAnsi="宋体" w:cs="宋体"/>
                <w:spacing w:val="-2"/>
                <w:sz w:val="24"/>
              </w:rPr>
              <w:t xml:space="preserve">6</w:t>
            </w:r>
            <w:r>
              <w:rPr>
                <w:rFonts w:ascii="宋体" w:hAnsi="宋体" w:cs="宋体"/>
                <w:spacing w:val="-2"/>
                <w:sz w:val="24"/>
              </w:rPr>
              <w:t xml:space="preserve">）支持仪器设备的预约，支持预约列表的查看，数据类型不少于七种，至少包含设备名称、设备图片、设备状态、设备编号、预约时间、预约理由、规格型号。支持对用户提交的预约申请进行操作，至少包含通过申请和拒绝申请两种操作类型</w:t>
            </w:r>
            <w:r/>
          </w:p>
          <w:p>
            <w:pPr>
              <w:pStyle w:val="1100"/>
              <w:ind w:firstLine="472"/>
              <w:spacing w:line="360" w:lineRule="exact"/>
              <w:rPr>
                <w:rFonts w:ascii="宋体" w:hAnsi="宋体" w:cs="宋体"/>
                <w:spacing w:val="-2"/>
                <w:sz w:val="24"/>
              </w:rPr>
            </w:pPr>
            <w:r>
              <w:rPr>
                <w:rFonts w:hint="eastAsia" w:ascii="宋体" w:hAnsi="宋体" w:cs="宋体"/>
                <w:spacing w:val="-2"/>
                <w:sz w:val="24"/>
              </w:rPr>
              <w:t xml:space="preserve">7</w:t>
            </w:r>
            <w:r>
              <w:rPr>
                <w:rFonts w:ascii="宋体" w:hAnsi="宋体" w:cs="宋体"/>
                <w:spacing w:val="-2"/>
                <w:sz w:val="24"/>
              </w:rPr>
              <w:t xml:space="preserve">）支持查看设备维修列表，数据类型不少于八种，至少包含设备名称、设备图片、设备状态、设备编号、维修人、规格型号、维修工时、维修原因。支持对维修设备进行操作，至少包含完成维修的操作。</w:t>
            </w:r>
            <w:r/>
          </w:p>
          <w:p>
            <w:pPr>
              <w:pStyle w:val="1100"/>
              <w:ind w:firstLine="472"/>
              <w:spacing w:line="360" w:lineRule="exact"/>
              <w:rPr>
                <w:rFonts w:ascii="宋体" w:hAnsi="宋体" w:cs="宋体"/>
                <w:spacing w:val="-2"/>
                <w:sz w:val="24"/>
              </w:rPr>
            </w:pPr>
            <w:r>
              <w:rPr>
                <w:rFonts w:hint="eastAsia" w:ascii="宋体" w:hAnsi="宋体" w:cs="宋体"/>
                <w:spacing w:val="-2"/>
                <w:sz w:val="24"/>
              </w:rPr>
              <w:t xml:space="preserve">8</w:t>
            </w:r>
            <w:r>
              <w:rPr>
                <w:rFonts w:ascii="宋体" w:hAnsi="宋体" w:cs="宋体"/>
                <w:spacing w:val="-2"/>
                <w:sz w:val="24"/>
              </w:rPr>
              <w:t xml:space="preserve">）支持查看厂家列表，数据类型不少于四种，至少包含厂家名称、链接、联系方式、地址等数据。</w:t>
            </w:r>
            <w:r/>
          </w:p>
          <w:p>
            <w:pPr>
              <w:pStyle w:val="1100"/>
              <w:ind w:firstLine="472"/>
              <w:spacing w:line="360" w:lineRule="exact"/>
              <w:rPr>
                <w:rFonts w:ascii="宋体" w:hAnsi="宋体" w:cs="宋体"/>
                <w:spacing w:val="-2"/>
                <w:sz w:val="24"/>
              </w:rPr>
            </w:pPr>
            <w:r>
              <w:rPr>
                <w:rFonts w:hint="eastAsia" w:ascii="宋体" w:hAnsi="宋体" w:cs="宋体"/>
                <w:spacing w:val="-2"/>
                <w:sz w:val="24"/>
              </w:rPr>
              <w:t xml:space="preserve">9</w:t>
            </w:r>
            <w:r>
              <w:rPr>
                <w:rFonts w:ascii="宋体" w:hAnsi="宋体" w:cs="宋体"/>
                <w:spacing w:val="-2"/>
                <w:sz w:val="24"/>
              </w:rPr>
              <w:t xml:space="preserve">）微信小程序端不少于四个子项目，至少包含设备列表、设备预约、设备维修、设备报废。支持设备列表查看、预约列表查看、维修列表查看、报废列表查看</w:t>
            </w:r>
            <w:r/>
          </w:p>
          <w:p>
            <w:pPr>
              <w:pStyle w:val="1100"/>
              <w:ind w:firstLine="474"/>
              <w:spacing w:line="360" w:lineRule="exact"/>
              <w:rPr>
                <w:rFonts w:ascii="宋体" w:hAnsi="宋体"/>
                <w:b/>
                <w:bCs/>
                <w:sz w:val="24"/>
                <w:lang w:val="zh-CN"/>
              </w:rPr>
            </w:pPr>
            <w:r>
              <w:rPr>
                <w:rFonts w:hint="eastAsia" w:ascii="宋体" w:hAnsi="宋体" w:cs="宋体"/>
                <w:b/>
                <w:bCs/>
                <w:spacing w:val="-2"/>
                <w:sz w:val="24"/>
              </w:rPr>
              <w:t xml:space="preserve">演示完全满足招标文件要求得3分，基本满足要求得1分，没有演示或功能要求不符合招标文件要求的不得分。</w:t>
            </w:r>
            <w:r>
              <w:rPr>
                <w:rFonts w:ascii="宋体" w:hAnsi="宋体"/>
                <w:b/>
                <w:bCs/>
                <w:sz w:val="24"/>
                <w:lang w:val="zh-CN"/>
              </w:rPr>
            </w:r>
            <w:r/>
          </w:p>
          <w:p>
            <w:pPr>
              <w:pStyle w:val="1100"/>
              <w:spacing w:line="360" w:lineRule="exact"/>
              <w:rPr>
                <w:rFonts w:ascii="宋体" w:hAnsi="宋体" w:cs="宋体"/>
                <w:bCs/>
                <w:sz w:val="24"/>
              </w:rPr>
            </w:pPr>
            <w:r>
              <w:rPr>
                <w:rFonts w:hint="eastAsia" w:ascii="宋体" w:hAnsi="宋体" w:cs="宋体"/>
                <w:sz w:val="24"/>
              </w:rPr>
              <w:t xml:space="preserve">3.PLC</w:t>
            </w:r>
            <w:r>
              <w:rPr>
                <w:rFonts w:ascii="宋体" w:hAnsi="宋体" w:cs="宋体"/>
                <w:sz w:val="24"/>
              </w:rPr>
              <w:t xml:space="preserve">智能场景教学系统</w:t>
            </w:r>
            <w:r>
              <w:rPr>
                <w:rFonts w:hint="eastAsia" w:ascii="宋体" w:hAnsi="宋体" w:cs="宋体"/>
                <w:sz w:val="24"/>
              </w:rPr>
              <w:t xml:space="preserve">:</w:t>
            </w:r>
            <w:r>
              <w:rPr>
                <w:rFonts w:ascii="宋体" w:hAnsi="宋体" w:cs="宋体"/>
                <w:bCs/>
                <w:sz w:val="24"/>
              </w:rPr>
            </w:r>
            <w:r/>
          </w:p>
          <w:p>
            <w:pPr>
              <w:pStyle w:val="1100"/>
              <w:ind w:firstLine="472"/>
              <w:spacing w:line="360" w:lineRule="exact"/>
              <w:rPr>
                <w:rFonts w:ascii="宋体" w:hAnsi="宋体" w:cs="宋体"/>
                <w:spacing w:val="-2"/>
                <w:sz w:val="24"/>
              </w:rPr>
            </w:pPr>
            <w:r>
              <w:rPr>
                <w:rFonts w:hint="eastAsia" w:ascii="宋体" w:hAnsi="宋体" w:cs="宋体"/>
                <w:spacing w:val="-2"/>
                <w:sz w:val="24"/>
              </w:rPr>
              <w:t xml:space="preserve">■（8）提供至少提供基本指令练习、LED数码显示、天塔之光、水塔水位、十字路口交通灯、机械手、装配流水线、四节传送带、自控轧钢机、自控成型机、多种液体混合装置、音乐喷泉、舞台灯光模拟、运料小车模拟、自动洗衣机控制、四相步进电机模拟、艺术灯模拟、喷泉模拟控制、舞台艺术灯控制、抢答器控制等实训模块。（提供任意10种模块视频演示，体现磁吸定位、自动识别模块语音示教演示；演示任意一种模块的实验讲解，包含接线、示教模式和PLC控制讲解）</w:t>
            </w:r>
            <w:r>
              <w:rPr>
                <w:rFonts w:ascii="宋体" w:hAnsi="宋体" w:cs="宋体"/>
                <w:spacing w:val="-2"/>
                <w:sz w:val="24"/>
              </w:rPr>
            </w:r>
            <w:r/>
          </w:p>
          <w:p>
            <w:pPr>
              <w:pStyle w:val="1100"/>
              <w:ind w:firstLine="474"/>
              <w:spacing w:line="360" w:lineRule="exact"/>
              <w:rPr>
                <w:rFonts w:ascii="宋体" w:hAnsi="宋体"/>
                <w:sz w:val="24"/>
                <w:lang w:val="zh-CN"/>
              </w:rPr>
            </w:pPr>
            <w:r>
              <w:rPr>
                <w:rFonts w:hint="eastAsia" w:ascii="宋体" w:hAnsi="宋体" w:cs="宋体"/>
                <w:b/>
                <w:bCs/>
                <w:spacing w:val="-2"/>
                <w:sz w:val="24"/>
              </w:rPr>
              <w:t xml:space="preserve">演示完全满足招标文件要求得3分，基本满足要求得1分，没有演示或功能要求不符合招标文件要求的不得分。</w:t>
            </w:r>
            <w:r>
              <w:rPr>
                <w:rFonts w:ascii="宋体" w:hAnsi="宋体"/>
                <w:sz w:val="24"/>
                <w:lang w:val="zh-CN"/>
              </w:rPr>
            </w:r>
            <w:r/>
          </w:p>
          <w:p>
            <w:pPr>
              <w:pStyle w:val="1100"/>
              <w:spacing w:line="276" w:lineRule="auto"/>
              <w:rPr>
                <w:rFonts w:ascii="宋体" w:hAnsi="宋体" w:cs="宋体"/>
                <w:sz w:val="24"/>
              </w:rPr>
            </w:pPr>
            <w:r>
              <w:rPr>
                <w:rFonts w:hint="eastAsia" w:ascii="宋体" w:hAnsi="宋体" w:cs="宋体"/>
                <w:sz w:val="24"/>
              </w:rPr>
              <w:t xml:space="preserve">4.智能电气参数</w:t>
            </w:r>
            <w:r>
              <w:rPr>
                <w:rFonts w:ascii="宋体" w:hAnsi="宋体" w:cs="宋体"/>
                <w:sz w:val="24"/>
              </w:rPr>
              <w:t xml:space="preserve">测试仪</w:t>
            </w:r>
            <w:r/>
          </w:p>
          <w:p>
            <w:pPr>
              <w:pStyle w:val="1100"/>
              <w:ind w:firstLine="472"/>
              <w:spacing w:line="276" w:lineRule="auto"/>
              <w:rPr>
                <w:rFonts w:ascii="宋体" w:hAnsi="宋体" w:cs="宋体"/>
                <w:sz w:val="24"/>
              </w:rPr>
            </w:pPr>
            <w:r>
              <w:rPr>
                <w:rFonts w:hint="eastAsia" w:ascii="宋体" w:hAnsi="宋体" w:cs="宋体"/>
                <w:spacing w:val="-2"/>
                <w:sz w:val="24"/>
              </w:rPr>
              <w:t xml:space="preserve">■</w:t>
            </w:r>
            <w:r>
              <w:rPr>
                <w:rFonts w:hint="eastAsia" w:ascii="宋体" w:hAnsi="宋体" w:cs="宋体"/>
                <w:sz w:val="24"/>
              </w:rPr>
              <w:t xml:space="preserve">（3）软件功能</w:t>
            </w:r>
            <w:r>
              <w:rPr>
                <w:rFonts w:hint="eastAsia" w:ascii="宋体" w:hAnsi="宋体" w:cs="宋体"/>
                <w:b/>
                <w:bCs/>
                <w:sz w:val="24"/>
              </w:rPr>
              <w:t xml:space="preserve">（以下功能要求投标时提供视频）</w:t>
            </w:r>
            <w:r>
              <w:rPr>
                <w:rFonts w:ascii="宋体" w:hAnsi="宋体" w:cs="宋体"/>
                <w:sz w:val="24"/>
              </w:rPr>
            </w:r>
            <w:r/>
          </w:p>
          <w:p>
            <w:pPr>
              <w:pStyle w:val="1100"/>
              <w:ind w:firstLine="480"/>
              <w:spacing w:line="276" w:lineRule="auto"/>
              <w:rPr>
                <w:rFonts w:ascii="宋体" w:hAnsi="宋体" w:cs="宋体"/>
                <w:sz w:val="24"/>
              </w:rPr>
            </w:pPr>
            <w:r>
              <w:rPr>
                <w:rFonts w:hint="eastAsia" w:ascii="宋体" w:hAnsi="宋体" w:cs="宋体"/>
                <w:sz w:val="24"/>
              </w:rPr>
              <w:t xml:space="preserve">1）用户管理：一台设备支持同时≥4名学生同时登录，记录不少于以下内容：“班级”“学号”“姓名”，用于后续实验报告的生成及教师端管理。</w:t>
            </w:r>
            <w:r>
              <w:rPr>
                <w:rFonts w:ascii="宋体" w:hAnsi="宋体" w:cs="宋体"/>
                <w:sz w:val="24"/>
              </w:rPr>
            </w:r>
            <w:r/>
          </w:p>
          <w:p>
            <w:pPr>
              <w:pStyle w:val="1100"/>
              <w:ind w:firstLine="480"/>
              <w:spacing w:line="276" w:lineRule="auto"/>
              <w:rPr>
                <w:rFonts w:ascii="宋体" w:hAnsi="宋体" w:cs="宋体"/>
                <w:sz w:val="24"/>
              </w:rPr>
            </w:pPr>
            <w:r>
              <w:rPr>
                <w:rFonts w:hint="eastAsia" w:ascii="宋体" w:hAnsi="宋体" w:cs="宋体"/>
                <w:sz w:val="24"/>
              </w:rPr>
              <w:t xml:space="preserve">2）仪表显示界面：可同时显示4路电压电流表及稳压/恒流源输出控制。</w:t>
            </w:r>
            <w:r>
              <w:rPr>
                <w:rFonts w:ascii="宋体" w:hAnsi="宋体" w:cs="宋体"/>
                <w:sz w:val="24"/>
              </w:rPr>
            </w:r>
            <w:r/>
          </w:p>
          <w:p>
            <w:pPr>
              <w:pStyle w:val="1100"/>
              <w:ind w:firstLine="480"/>
              <w:spacing w:line="276" w:lineRule="auto"/>
              <w:rPr>
                <w:rFonts w:ascii="宋体" w:hAnsi="宋体" w:cs="宋体"/>
                <w:sz w:val="24"/>
              </w:rPr>
            </w:pPr>
            <w:r>
              <w:rPr>
                <w:rFonts w:hint="eastAsia" w:ascii="宋体" w:hAnsi="宋体" w:cs="宋体"/>
                <w:sz w:val="24"/>
              </w:rPr>
              <w:t xml:space="preserve">3）开放性实验界面：可自选多路采集通道，记录表格与曲线绘制，曲线绘制有Y-T模式及X-Y模式。数据可以下载到U盘。</w:t>
            </w:r>
            <w:r>
              <w:rPr>
                <w:rFonts w:ascii="宋体" w:hAnsi="宋体" w:cs="宋体"/>
                <w:sz w:val="24"/>
              </w:rPr>
            </w:r>
            <w:r/>
          </w:p>
          <w:p>
            <w:pPr>
              <w:pStyle w:val="1100"/>
              <w:ind w:firstLine="480"/>
              <w:spacing w:line="276" w:lineRule="auto"/>
              <w:rPr>
                <w:rFonts w:ascii="宋体" w:hAnsi="宋体" w:cs="宋体"/>
                <w:sz w:val="24"/>
              </w:rPr>
            </w:pPr>
            <w:r>
              <w:rPr>
                <w:rFonts w:hint="eastAsia" w:ascii="宋体" w:hAnsi="宋体" w:cs="宋体"/>
                <w:sz w:val="24"/>
              </w:rPr>
              <w:t xml:space="preserve">4）设置界面：可进行WIFI配置与网络IP地址设置，设备台号设置等操作。</w:t>
            </w:r>
            <w:r>
              <w:rPr>
                <w:rFonts w:ascii="宋体" w:hAnsi="宋体" w:cs="宋体"/>
                <w:sz w:val="24"/>
              </w:rPr>
            </w:r>
            <w:r/>
          </w:p>
          <w:p>
            <w:pPr>
              <w:pStyle w:val="1100"/>
              <w:ind w:firstLine="480"/>
              <w:spacing w:line="276" w:lineRule="auto"/>
              <w:rPr>
                <w:rFonts w:ascii="宋体" w:hAnsi="宋体" w:cs="宋体"/>
                <w:sz w:val="24"/>
              </w:rPr>
            </w:pPr>
            <w:r>
              <w:rPr>
                <w:rFonts w:hint="eastAsia" w:ascii="宋体" w:hAnsi="宋体" w:cs="宋体"/>
                <w:sz w:val="24"/>
              </w:rPr>
              <w:t xml:space="preserve">5）内置轻量级AI模型，能在实验过程中对实时表格数据进行分析与智能问题诊断，帮助学生快速定位操作失误或理解偏差。</w:t>
            </w:r>
            <w:r>
              <w:rPr>
                <w:rFonts w:ascii="宋体" w:hAnsi="宋体" w:cs="宋体"/>
                <w:sz w:val="24"/>
              </w:rPr>
            </w:r>
            <w:r/>
          </w:p>
          <w:p>
            <w:pPr>
              <w:pStyle w:val="1100"/>
              <w:ind w:firstLine="480"/>
              <w:spacing w:line="276" w:lineRule="auto"/>
              <w:rPr>
                <w:rFonts w:ascii="宋体" w:hAnsi="宋体" w:cs="宋体"/>
                <w:sz w:val="24"/>
              </w:rPr>
            </w:pPr>
            <w:r>
              <w:rPr>
                <w:rFonts w:hint="eastAsia" w:ascii="宋体" w:hAnsi="宋体" w:cs="宋体"/>
                <w:sz w:val="24"/>
              </w:rPr>
              <w:t xml:space="preserve">6）有局域网监控管理软件，在同一局域网内，可通过监控管理软件进行实验数据接收、学生管理、远程显示实验界面与操控等功能。</w:t>
            </w:r>
            <w:r>
              <w:rPr>
                <w:rFonts w:ascii="宋体" w:hAnsi="宋体" w:cs="宋体"/>
                <w:sz w:val="24"/>
              </w:rPr>
            </w:r>
            <w:r/>
          </w:p>
          <w:p>
            <w:pPr>
              <w:pStyle w:val="1100"/>
              <w:ind w:firstLine="474"/>
              <w:spacing w:line="360" w:lineRule="exact"/>
              <w:rPr>
                <w:rFonts w:ascii="宋体" w:hAnsi="宋体"/>
                <w:sz w:val="24"/>
                <w:lang w:val="zh-CN"/>
              </w:rPr>
            </w:pPr>
            <w:r>
              <w:rPr>
                <w:rFonts w:hint="eastAsia" w:ascii="宋体" w:hAnsi="宋体" w:cs="宋体"/>
                <w:b/>
                <w:bCs/>
                <w:spacing w:val="-2"/>
                <w:sz w:val="24"/>
              </w:rPr>
              <w:t xml:space="preserve">演示完全满足招标文件要求得3分，基本满足要求得1分，没有演示或功能要求不符合招标文件要求的不得分。</w:t>
            </w:r>
            <w:r>
              <w:rPr>
                <w:rFonts w:ascii="宋体" w:hAnsi="宋体"/>
                <w:sz w:val="24"/>
                <w:lang w:val="zh-CN"/>
              </w:rPr>
            </w:r>
            <w:r/>
          </w:p>
          <w:p>
            <w:pPr>
              <w:pStyle w:val="1100"/>
              <w:spacing w:line="276" w:lineRule="auto"/>
              <w:rPr>
                <w:rFonts w:ascii="宋体" w:hAnsi="宋体" w:cs="宋体"/>
                <w:sz w:val="24"/>
              </w:rPr>
            </w:pPr>
            <w:r>
              <w:rPr>
                <w:rFonts w:hint="eastAsia" w:ascii="宋体" w:hAnsi="宋体" w:cs="宋体"/>
                <w:sz w:val="24"/>
              </w:rPr>
              <w:t xml:space="preserve">5.仿真与数字孪生软件：</w:t>
            </w:r>
            <w:r>
              <w:rPr>
                <w:rFonts w:ascii="宋体" w:hAnsi="宋体" w:cs="宋体"/>
                <w:sz w:val="24"/>
              </w:rPr>
            </w:r>
            <w:r/>
          </w:p>
          <w:p>
            <w:pPr>
              <w:pStyle w:val="1100"/>
              <w:ind w:firstLine="480"/>
              <w:spacing w:line="276" w:lineRule="auto"/>
              <w:rPr>
                <w:rFonts w:ascii="宋体" w:hAnsi="宋体" w:cs="宋体"/>
                <w:sz w:val="24"/>
              </w:rPr>
            </w:pPr>
            <w:r>
              <w:rPr>
                <w:rFonts w:hint="eastAsia" w:ascii="宋体" w:hAnsi="宋体" w:cs="宋体"/>
                <w:sz w:val="24"/>
              </w:rPr>
              <w:t xml:space="preserve">■6）电气信号连接图设计：电气符号用图形表示，有名称与内部端口号。用画线方式连接不同端口，不同类型端口用不同颜色线条表示，完成的电气信号连接图后可导出Excel格式I/O表；在线更新：软件从云端检测是否有新版本，并提示相应操作。3D模型支持云端更新，软件可查看云端模型并可在仿真场景内使用；组态软件调试：组态软件开发的模拟人机界面，可控制虚拟PLC，对仿真场景的虚拟设备进行操作；自动考评：软件具有数据实时采集与分析、自动评分功能。先由教师在软件上出题，自动生成评分规则，学员在考核过程中，软件实</w:t>
            </w:r>
            <w:r>
              <w:rPr>
                <w:rFonts w:hint="eastAsia" w:ascii="宋体" w:hAnsi="宋体" w:cs="宋体"/>
                <w:sz w:val="24"/>
              </w:rPr>
              <w:t xml:space="preserve">时记录学员的操作过程、执行结果、异常事件，并根据考试评分规则计算最终成绩；支持云端实验：可与配套的教学资源网站完成在线实验，步骤包括但不限于：课件学习、视频学习、在线做仿真实验、工程下载、工程打开、开始考试、完成考试自动考评、上传考试结果；数字孪生实训项目：包含“基本指令练习模块”、“温度调节闭环系统模块（工业级）”、“水塔水位”、“直流调速闭环系统模块（工业级）”、“三层电梯模块（实物）”、“伺服系统运动控制”和“步进系统运控控制”模块1：1数字孪生实训界面。（需体现7种实物模块与孪生虚拟对象1:1动作）</w:t>
            </w:r>
            <w:r>
              <w:rPr>
                <w:rFonts w:ascii="宋体" w:hAnsi="宋体" w:cs="宋体"/>
                <w:sz w:val="24"/>
              </w:rPr>
            </w:r>
            <w:r/>
          </w:p>
          <w:p>
            <w:pPr>
              <w:pStyle w:val="1100"/>
              <w:rPr>
                <w:rFonts w:ascii="宋体" w:hAnsi="宋体"/>
                <w:sz w:val="24"/>
              </w:rPr>
            </w:pPr>
            <w:r>
              <w:rPr>
                <w:rFonts w:hint="eastAsia" w:ascii="宋体" w:hAnsi="宋体" w:cs="宋体"/>
                <w:b/>
                <w:bCs/>
                <w:spacing w:val="-2"/>
                <w:sz w:val="24"/>
              </w:rPr>
              <w:t xml:space="preserve">演示完全满足招标文件要求得3分，基本满足要求得1分，没有演示或功能要求不符合招标文件要求的不得分。</w:t>
            </w:r>
            <w:r>
              <w:rPr>
                <w:rFonts w:ascii="宋体" w:hAnsi="宋体"/>
                <w:sz w:val="24"/>
              </w:rPr>
            </w:r>
            <w:r/>
          </w:p>
        </w:tc>
      </w:tr>
      <w:tr>
        <w:trPr>
          <w:trHeight w:val="548"/>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3</w:t>
            </w:r>
            <w:r>
              <w:rPr>
                <w:rFonts w:ascii="宋体" w:hAnsi="宋体"/>
                <w:sz w:val="24"/>
              </w:rPr>
              <w:t xml:space="preserve">.5</w:t>
            </w:r>
            <w:r>
              <w:rPr>
                <w:rFonts w:ascii="宋体" w:hAnsi="宋体"/>
                <w:sz w:val="24"/>
              </w:rPr>
            </w:r>
            <w:r/>
          </w:p>
        </w:tc>
        <w:tc>
          <w:tcPr>
            <w:tcW w:w="705" w:type="pct"/>
            <w:vAlign w:val="center"/>
            <w:textDirection w:val="lrTb"/>
            <w:noWrap w:val="false"/>
          </w:tcPr>
          <w:p>
            <w:pPr>
              <w:pStyle w:val="1100"/>
              <w:ind w:firstLine="28"/>
              <w:jc w:val="center"/>
              <w:rPr>
                <w:rFonts w:ascii="宋体" w:hAnsi="宋体"/>
                <w:sz w:val="24"/>
              </w:rPr>
            </w:pPr>
            <w:r>
              <w:rPr>
                <w:rFonts w:ascii="宋体" w:hAnsi="宋体"/>
                <w:sz w:val="24"/>
              </w:rPr>
              <w:t xml:space="preserve">政策性</w:t>
            </w:r>
            <w:r>
              <w:rPr>
                <w:rFonts w:hint="eastAsia" w:ascii="宋体" w:hAnsi="宋体"/>
                <w:sz w:val="24"/>
              </w:rPr>
              <w:t xml:space="preserve">得</w:t>
            </w:r>
            <w:r>
              <w:rPr>
                <w:rFonts w:ascii="宋体" w:hAnsi="宋体"/>
                <w:sz w:val="24"/>
              </w:rPr>
              <w:t xml:space="preserve">分</w:t>
            </w:r>
            <w:r/>
          </w:p>
        </w:tc>
        <w:tc>
          <w:tcPr>
            <w:tcW w:w="440"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1</w:t>
            </w:r>
            <w:r>
              <w:rPr>
                <w:rFonts w:ascii="宋体" w:hAnsi="宋体"/>
                <w:sz w:val="24"/>
              </w:rPr>
            </w:r>
            <w:r/>
          </w:p>
        </w:tc>
        <w:tc>
          <w:tcPr>
            <w:tcW w:w="3454" w:type="pct"/>
            <w:vAlign w:val="center"/>
            <w:textDirection w:val="lrTb"/>
            <w:noWrap w:val="false"/>
          </w:tcPr>
          <w:p>
            <w:pPr>
              <w:pStyle w:val="1100"/>
              <w:jc w:val="left"/>
              <w:rPr>
                <w:rFonts w:ascii="宋体" w:hAnsi="宋体" w:cs="宋体"/>
                <w:sz w:val="24"/>
                <w:lang w:bidi="ar"/>
              </w:rPr>
            </w:pPr>
            <w:r>
              <w:rPr>
                <w:rFonts w:hint="eastAsia" w:ascii="宋体" w:hAnsi="宋体" w:cs="宋体"/>
                <w:sz w:val="24"/>
                <w:lang w:bidi="ar"/>
              </w:rPr>
              <w:t xml:space="preserve">1.投标产品属于财政部、国家发改委公布的“节能产品品目清单”范围内的，投标人提供国家确定的认证机构出具的、处于有效期之内的该节能产品认证证书复印件的，得0.5分。</w:t>
            </w:r>
            <w:r>
              <w:rPr>
                <w:rFonts w:ascii="宋体" w:hAnsi="宋体" w:cs="宋体"/>
                <w:sz w:val="24"/>
                <w:lang w:bidi="ar"/>
              </w:rPr>
            </w:r>
            <w:r/>
          </w:p>
          <w:p>
            <w:pPr>
              <w:pStyle w:val="1100"/>
              <w:rPr>
                <w:rFonts w:ascii="宋体" w:hAnsi="宋体"/>
                <w:sz w:val="24"/>
              </w:rPr>
            </w:pPr>
            <w:r>
              <w:rPr>
                <w:rFonts w:hint="eastAsia" w:ascii="宋体" w:hAnsi="宋体" w:cs="宋体"/>
                <w:sz w:val="24"/>
                <w:lang w:bidi="ar"/>
              </w:rPr>
              <w:t xml:space="preserve">2.投标产品属于财政部、生态环境部公布的“环境标志产品品目清单”范围内的，投标人提供国家确定的认证机构出具的、处于有效期内的该投标产品环境标志产品认证证书复印件的，得0.5分。</w:t>
            </w:r>
            <w:r>
              <w:rPr>
                <w:rFonts w:ascii="宋体" w:hAnsi="宋体"/>
                <w:sz w:val="24"/>
              </w:rPr>
            </w:r>
            <w:r/>
          </w:p>
        </w:tc>
      </w:tr>
      <w:tr>
        <w:trPr/>
        <w:tc>
          <w:tcPr>
            <w:gridSpan w:val="2"/>
            <w:tcW w:w="1106" w:type="pct"/>
            <w:vAlign w:val="center"/>
            <w:textDirection w:val="lrTb"/>
            <w:noWrap w:val="false"/>
          </w:tcPr>
          <w:p>
            <w:pPr>
              <w:pStyle w:val="1100"/>
              <w:ind w:firstLine="28"/>
              <w:jc w:val="center"/>
              <w:rPr>
                <w:rFonts w:ascii="宋体" w:hAnsi="宋体"/>
                <w:sz w:val="24"/>
              </w:rPr>
            </w:pPr>
            <w:r>
              <w:rPr>
                <w:rFonts w:ascii="宋体" w:hAnsi="宋体"/>
                <w:sz w:val="24"/>
              </w:rPr>
              <w:t xml:space="preserve">合计</w:t>
            </w:r>
            <w:r/>
          </w:p>
        </w:tc>
        <w:tc>
          <w:tcPr>
            <w:tcW w:w="440" w:type="pct"/>
            <w:vAlign w:val="center"/>
            <w:textDirection w:val="lrTb"/>
            <w:noWrap w:val="false"/>
          </w:tcPr>
          <w:p>
            <w:pPr>
              <w:pStyle w:val="1100"/>
              <w:ind w:firstLine="28"/>
              <w:jc w:val="center"/>
              <w:rPr>
                <w:rFonts w:ascii="宋体" w:hAnsi="宋体"/>
                <w:sz w:val="24"/>
              </w:rPr>
            </w:pPr>
            <w:r>
              <w:rPr>
                <w:rFonts w:ascii="宋体" w:hAnsi="宋体"/>
                <w:sz w:val="24"/>
              </w:rPr>
              <w:t xml:space="preserve">100</w:t>
            </w:r>
            <w:r/>
          </w:p>
        </w:tc>
        <w:tc>
          <w:tcPr>
            <w:tcW w:w="3454" w:type="pct"/>
            <w:vAlign w:val="center"/>
            <w:textDirection w:val="lrTb"/>
            <w:noWrap w:val="false"/>
          </w:tcPr>
          <w:p>
            <w:pPr>
              <w:pStyle w:val="1100"/>
              <w:rPr>
                <w:rFonts w:ascii="宋体" w:hAnsi="宋体"/>
                <w:sz w:val="24"/>
              </w:rPr>
            </w:pPr>
            <w:r>
              <w:rPr>
                <w:rFonts w:ascii="宋体" w:hAnsi="宋体"/>
                <w:sz w:val="24"/>
              </w:rPr>
            </w:r>
            <w:r/>
          </w:p>
        </w:tc>
      </w:tr>
    </w:tbl>
    <w:p>
      <w:pPr>
        <w:pStyle w:val="1100"/>
        <w:ind w:left="1080"/>
        <w:spacing w:line="360" w:lineRule="auto"/>
        <w:tabs>
          <w:tab w:val="left" w:pos="360" w:leader="none"/>
          <w:tab w:val="left" w:pos="1080" w:leader="none"/>
        </w:tabs>
        <w:rPr>
          <w:rFonts w:ascii="宋体" w:hAnsi="宋体"/>
          <w:sz w:val="24"/>
        </w:rPr>
      </w:pPr>
      <w:r>
        <w:rPr>
          <w:rFonts w:ascii="宋体" w:hAnsi="宋体"/>
          <w:sz w:val="24"/>
        </w:rPr>
      </w:r>
      <w:r/>
    </w:p>
    <w:p>
      <w:pPr>
        <w:pStyle w:val="1100"/>
        <w:jc w:val="left"/>
        <w:widowControl/>
        <w:rPr>
          <w:rFonts w:ascii="宋体" w:hAnsi="宋体"/>
          <w:b/>
          <w:sz w:val="36"/>
          <w:szCs w:val="36"/>
        </w:rPr>
      </w:pPr>
      <w:r>
        <w:rPr>
          <w:rFonts w:ascii="宋体" w:hAnsi="宋体"/>
          <w:b/>
          <w:sz w:val="36"/>
          <w:szCs w:val="36"/>
        </w:rPr>
      </w:r>
      <w:r/>
    </w:p>
    <w:p>
      <w:pPr>
        <w:pStyle w:val="1100"/>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195"/>
        <w:numPr>
          <w:ilvl w:val="0"/>
          <w:numId w:val="28"/>
        </w:numPr>
        <w:ind w:firstLine="482"/>
        <w:spacing w:line="360" w:lineRule="auto"/>
        <w:tabs>
          <w:tab w:val="left" w:pos="567" w:leader="none"/>
        </w:tabs>
        <w:rPr>
          <w:rFonts w:ascii="宋体" w:hAnsi="宋体" w:cs="等线 Light"/>
          <w:b/>
          <w:bCs/>
          <w:sz w:val="24"/>
          <w:szCs w:val="24"/>
        </w:rPr>
        <w:outlineLvl w:val="0"/>
      </w:pPr>
      <w:r>
        <w:rPr>
          <w:rFonts w:hint="eastAsia" w:ascii="宋体" w:hAnsi="宋体" w:cs="等线 Light"/>
          <w:b/>
          <w:bCs/>
          <w:sz w:val="24"/>
          <w:szCs w:val="24"/>
        </w:rPr>
        <w:t xml:space="preserve">项目概况</w:t>
      </w:r>
      <w:r>
        <w:rPr>
          <w:rFonts w:ascii="宋体" w:hAnsi="宋体" w:cs="等线 Light"/>
          <w:b/>
          <w:bCs/>
          <w:sz w:val="24"/>
          <w:szCs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为加强专业建设，进一步完善构建机电复合型高技能人才培养专业课程体系，扎实推进教学改革，契合行业与技术发展对人才培养质量的需求，拟建设机电设备电气控制技术实训室，主要设施设备包含电气线路装调平台、自动控制装调平台等。</w:t>
      </w:r>
      <w:r>
        <w:rPr>
          <w:rFonts w:ascii="宋体" w:hAnsi="宋体" w:cs="等线 Light"/>
          <w:bCs/>
          <w:sz w:val="24"/>
        </w:rPr>
      </w:r>
      <w:r/>
    </w:p>
    <w:p>
      <w:pPr>
        <w:pStyle w:val="1100"/>
        <w:ind w:firstLine="480"/>
        <w:spacing w:line="360" w:lineRule="auto"/>
        <w:rPr>
          <w:rFonts w:ascii="宋体" w:hAnsi="宋体" w:cs="等线 Light"/>
          <w:b/>
          <w:bCs/>
          <w:sz w:val="24"/>
        </w:rPr>
      </w:pPr>
      <w:r>
        <w:rPr>
          <w:rFonts w:hint="eastAsia" w:ascii="宋体" w:hAnsi="宋体" w:cs="等线 Light"/>
          <w:bCs/>
          <w:sz w:val="24"/>
        </w:rPr>
        <w:t xml:space="preserve">二、</w:t>
      </w:r>
      <w:r>
        <w:rPr>
          <w:rFonts w:hint="eastAsia" w:ascii="宋体" w:hAnsi="宋体" w:cs="等线 Light"/>
          <w:b/>
          <w:bCs/>
          <w:sz w:val="24"/>
        </w:rPr>
        <w:t xml:space="preserve">项目需求（本技术要求提出的是最低限度的技术条件。供应商应注意如果在技术要求中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宋体" w:hAnsi="宋体" w:cs="等线 Light"/>
          <w:b/>
          <w:bCs/>
          <w:sz w:val="24"/>
        </w:rPr>
      </w:r>
      <w:r/>
    </w:p>
    <w:p>
      <w:pPr>
        <w:pStyle w:val="1195"/>
        <w:ind w:firstLine="482"/>
        <w:spacing w:line="360" w:lineRule="auto"/>
        <w:rPr>
          <w:rFonts w:ascii="宋体" w:hAnsi="宋体" w:cs="等线 Light"/>
          <w:b/>
          <w:bCs/>
          <w:sz w:val="24"/>
          <w:szCs w:val="24"/>
        </w:rPr>
      </w:pPr>
      <w:r>
        <w:rPr>
          <w:rFonts w:hint="eastAsia" w:ascii="宋体" w:hAnsi="宋体" w:cs="等线 Light"/>
          <w:b/>
          <w:bCs/>
          <w:sz w:val="24"/>
          <w:szCs w:val="24"/>
        </w:rPr>
        <w:t xml:space="preserve">（一）产品清单及技术要求</w:t>
      </w:r>
      <w:r>
        <w:rPr>
          <w:rFonts w:ascii="宋体" w:hAnsi="宋体" w:cs="等线 Light"/>
          <w:b/>
          <w:bCs/>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2623"/>
        <w:gridCol w:w="937"/>
        <w:gridCol w:w="936"/>
        <w:gridCol w:w="1500"/>
        <w:gridCol w:w="1635"/>
      </w:tblGrid>
      <w:tr>
        <w:trPr>
          <w:cantSplit/>
          <w:trHeight w:val="170"/>
        </w:trPr>
        <w:tc>
          <w:tcPr>
            <w:tcW w:w="523"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539"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产品名称</w:t>
            </w:r>
            <w:r>
              <w:rPr>
                <w:rFonts w:ascii="宋体" w:hAnsi="宋体" w:eastAsia="宋体"/>
                <w:sz w:val="24"/>
                <w:szCs w:val="24"/>
              </w:rPr>
            </w:r>
            <w:r/>
          </w:p>
        </w:tc>
        <w:tc>
          <w:tcPr>
            <w:tcW w:w="550"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单位</w:t>
            </w:r>
            <w:r>
              <w:rPr>
                <w:rFonts w:ascii="宋体" w:hAnsi="宋体" w:eastAsia="宋体"/>
                <w:sz w:val="24"/>
                <w:szCs w:val="24"/>
              </w:rPr>
            </w:r>
            <w:r/>
          </w:p>
        </w:tc>
        <w:tc>
          <w:tcPr>
            <w:tcW w:w="549"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数量</w:t>
            </w:r>
            <w:r>
              <w:rPr>
                <w:rFonts w:ascii="宋体" w:hAnsi="宋体" w:eastAsia="宋体"/>
                <w:sz w:val="24"/>
                <w:szCs w:val="24"/>
              </w:rPr>
            </w:r>
            <w:r/>
          </w:p>
        </w:tc>
        <w:tc>
          <w:tcPr>
            <w:tcW w:w="880"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预算单价</w:t>
            </w:r>
            <w:r>
              <w:rPr>
                <w:rFonts w:hint="eastAsia" w:ascii="宋体" w:hAnsi="宋体" w:eastAsia="宋体"/>
                <w:sz w:val="24"/>
                <w:szCs w:val="24"/>
              </w:rPr>
              <w:t xml:space="preserve">（元）</w:t>
            </w:r>
            <w:r>
              <w:rPr>
                <w:rFonts w:ascii="宋体" w:hAnsi="宋体" w:eastAsia="宋体"/>
                <w:sz w:val="24"/>
                <w:szCs w:val="24"/>
              </w:rPr>
            </w:r>
            <w:r/>
          </w:p>
        </w:tc>
        <w:tc>
          <w:tcPr>
            <w:tcW w:w="959"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小计（元）</w:t>
            </w:r>
            <w:r>
              <w:rPr>
                <w:rFonts w:ascii="宋体" w:hAnsi="宋体" w:eastAsia="宋体"/>
                <w:sz w:val="24"/>
                <w:szCs w:val="24"/>
              </w:rPr>
            </w:r>
            <w:r/>
          </w:p>
        </w:tc>
      </w:tr>
      <w:tr>
        <w:trPr>
          <w:cantSplit/>
          <w:trHeight w:val="170"/>
        </w:trPr>
        <w:tc>
          <w:tcPr>
            <w:tcW w:w="523"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电气线路装调平台</w:t>
            </w:r>
            <w:r>
              <w:rPr>
                <w:rFonts w:ascii="宋体" w:hAnsi="宋体" w:eastAsia="宋体"/>
                <w:sz w:val="24"/>
                <w:szCs w:val="24"/>
              </w:rPr>
            </w:r>
            <w:r/>
          </w:p>
        </w:tc>
        <w:tc>
          <w:tcPr>
            <w:tcW w:w="550"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套</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pStyle w:val="1356"/>
              <w:ind w:firstLine="0"/>
              <w:jc w:val="center"/>
              <w:spacing w:line="360" w:lineRule="auto"/>
              <w:rPr>
                <w:rFonts w:ascii="宋体" w:hAnsi="宋体" w:eastAsia="宋体"/>
                <w:sz w:val="24"/>
                <w:szCs w:val="24"/>
              </w:rPr>
            </w:pPr>
            <w:r>
              <w:rPr>
                <w:rFonts w:ascii="宋体" w:hAnsi="宋体" w:eastAsia="宋体"/>
                <w:sz w:val="24"/>
                <w:szCs w:val="24"/>
              </w:rPr>
              <w:t xml:space="preserve">25</w:t>
            </w:r>
            <w:r/>
          </w:p>
        </w:tc>
        <w:tc>
          <w:tcPr>
            <w:tcW w:w="880"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8000</w:t>
            </w:r>
            <w:r/>
          </w:p>
        </w:tc>
        <w:tc>
          <w:tcPr>
            <w:tcW w:w="959"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50000</w:t>
            </w:r>
            <w:r/>
          </w:p>
        </w:tc>
      </w:tr>
      <w:tr>
        <w:trPr>
          <w:cantSplit/>
          <w:trHeight w:val="170"/>
        </w:trPr>
        <w:tc>
          <w:tcPr>
            <w:tcW w:w="523"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自动控制装调平台</w:t>
            </w:r>
            <w:r>
              <w:rPr>
                <w:rFonts w:ascii="宋体" w:hAnsi="宋体" w:eastAsia="宋体"/>
                <w:sz w:val="24"/>
                <w:szCs w:val="24"/>
              </w:rPr>
            </w:r>
            <w:r/>
          </w:p>
          <w:p>
            <w:pPr>
              <w:pStyle w:val="1356"/>
              <w:ind w:firstLine="0"/>
              <w:jc w:val="center"/>
              <w:spacing w:line="360" w:lineRule="auto"/>
              <w:rPr>
                <w:rFonts w:ascii="宋体" w:hAnsi="宋体" w:eastAsia="宋体"/>
                <w:sz w:val="24"/>
                <w:szCs w:val="24"/>
              </w:rPr>
            </w:pPr>
            <w:r>
              <w:rPr>
                <w:rFonts w:hint="eastAsia" w:ascii="宋体" w:hAnsi="宋体" w:eastAsia="宋体"/>
                <w:b/>
                <w:sz w:val="24"/>
                <w:szCs w:val="24"/>
              </w:rPr>
              <w:t xml:space="preserve">（核心产品）</w:t>
            </w:r>
            <w:r>
              <w:rPr>
                <w:rFonts w:ascii="宋体" w:hAnsi="宋体" w:eastAsia="宋体"/>
                <w:sz w:val="24"/>
                <w:szCs w:val="24"/>
              </w:rPr>
            </w:r>
            <w:r/>
          </w:p>
        </w:tc>
        <w:tc>
          <w:tcPr>
            <w:tcW w:w="550"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套</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pStyle w:val="1356"/>
              <w:ind w:firstLine="0"/>
              <w:jc w:val="center"/>
              <w:spacing w:line="360" w:lineRule="auto"/>
              <w:rPr>
                <w:rFonts w:ascii="宋体" w:hAnsi="宋体" w:eastAsia="宋体"/>
                <w:sz w:val="24"/>
                <w:szCs w:val="24"/>
              </w:rPr>
            </w:pPr>
            <w:r>
              <w:rPr>
                <w:rFonts w:ascii="宋体" w:hAnsi="宋体" w:eastAsia="宋体"/>
                <w:sz w:val="24"/>
                <w:szCs w:val="24"/>
              </w:rPr>
              <w:t xml:space="preserve">25</w:t>
            </w:r>
            <w:r/>
          </w:p>
        </w:tc>
        <w:tc>
          <w:tcPr>
            <w:tcW w:w="880"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2000</w:t>
            </w:r>
            <w:r/>
          </w:p>
        </w:tc>
        <w:tc>
          <w:tcPr>
            <w:tcW w:w="959"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050000</w:t>
            </w:r>
            <w:r/>
          </w:p>
        </w:tc>
      </w:tr>
    </w:tbl>
    <w:p>
      <w:pPr>
        <w:pStyle w:val="1100"/>
        <w:ind w:firstLine="482"/>
        <w:spacing w:line="360" w:lineRule="auto"/>
        <w:rPr>
          <w:rFonts w:ascii="宋体" w:hAnsi="宋体" w:cs="等线 Light"/>
          <w:b/>
          <w:bCs/>
          <w:sz w:val="24"/>
        </w:rPr>
      </w:pPr>
      <w:r>
        <w:rPr>
          <w:rFonts w:hint="eastAsia" w:ascii="宋体" w:hAnsi="宋体" w:cs="等线 Light"/>
          <w:b/>
          <w:bCs/>
          <w:sz w:val="24"/>
        </w:rPr>
        <w:t xml:space="preserve">（二）产品需满足的功能和质量要求，包括性能、材料、结构、外观、安全或服务内容和标准等</w:t>
      </w:r>
      <w:r>
        <w:rPr>
          <w:rFonts w:ascii="宋体" w:hAnsi="宋体" w:cs="等线 Light"/>
          <w:b/>
          <w:bCs/>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1</w:t>
      </w:r>
      <w:r>
        <w:rPr>
          <w:rFonts w:ascii="宋体" w:hAnsi="宋体" w:cs="等线 Light"/>
          <w:b/>
          <w:bCs/>
          <w:sz w:val="24"/>
        </w:rPr>
        <w:t xml:space="preserve">.</w:t>
      </w:r>
      <w:r>
        <w:rPr>
          <w:rFonts w:hint="eastAsia" w:ascii="宋体" w:hAnsi="宋体" w:cs="等线 Light"/>
          <w:b/>
          <w:bCs/>
          <w:sz w:val="24"/>
        </w:rPr>
        <w:t xml:space="preserve">采购标的需实现的功能或者目标:</w:t>
      </w:r>
      <w:r>
        <w:rPr>
          <w:rFonts w:ascii="宋体" w:hAnsi="宋体" w:cs="等线 Light"/>
          <w:b/>
          <w:bCs/>
          <w:sz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为加强专业建设，进一步完善构建机电复合型高技能人才培养专业课程体系，扎实推进教学改革，契合行业与技术发展对人才培养质量的需求，拟建设机电设备电气控制技术实训室，主要设施设备包含电气线路装调平台、自动控制装调平台等。</w:t>
      </w:r>
      <w:r>
        <w:rPr>
          <w:rFonts w:ascii="宋体" w:hAnsi="宋体" w:cs="等线 Light"/>
          <w:bCs/>
          <w:sz w:val="24"/>
        </w:rPr>
      </w:r>
      <w:r/>
    </w:p>
    <w:p>
      <w:pPr>
        <w:pStyle w:val="1100"/>
        <w:ind w:firstLine="482"/>
        <w:spacing w:line="360" w:lineRule="auto"/>
        <w:rPr>
          <w:rFonts w:ascii="宋体" w:hAnsi="宋体" w:cs="等线 Light"/>
          <w:b/>
          <w:sz w:val="24"/>
        </w:rPr>
      </w:pPr>
      <w:r>
        <w:rPr>
          <w:rFonts w:ascii="宋体" w:hAnsi="宋体" w:cs="等线 Light"/>
          <w:b/>
          <w:bCs/>
          <w:sz w:val="24"/>
        </w:rPr>
        <w:t xml:space="preserve">2.</w:t>
      </w:r>
      <w:r>
        <w:rPr>
          <w:rFonts w:hint="eastAsia" w:ascii="宋体" w:hAnsi="宋体" w:cs="等线 Light"/>
          <w:b/>
          <w:sz w:val="24"/>
        </w:rPr>
        <w:t xml:space="preserve">基本要求</w:t>
      </w:r>
      <w:r>
        <w:rPr>
          <w:rFonts w:ascii="宋体" w:hAnsi="宋体" w:cs="等线 Light"/>
          <w:b/>
          <w:sz w:val="24"/>
        </w:rPr>
      </w:r>
      <w:r/>
    </w:p>
    <w:p>
      <w:pPr>
        <w:pStyle w:val="1100"/>
        <w:ind w:firstLine="480"/>
        <w:spacing w:line="360" w:lineRule="auto"/>
        <w:rPr>
          <w:rFonts w:ascii="宋体" w:hAnsi="宋体" w:cs="等线 Light"/>
          <w:sz w:val="24"/>
        </w:rPr>
      </w:pPr>
      <w:r>
        <w:rPr>
          <w:rFonts w:ascii="宋体" w:hAnsi="宋体" w:cs="等线 Light"/>
          <w:sz w:val="24"/>
        </w:rPr>
        <w:t xml:space="preserve">2.1</w:t>
      </w:r>
      <w:r>
        <w:rPr>
          <w:rFonts w:hint="eastAsia" w:ascii="宋体" w:hAnsi="宋体" w:cs="等线 Light"/>
          <w:sz w:val="24"/>
        </w:rPr>
        <w:t xml:space="preserve">投标人应保证所供货物的安全性、可靠性、先进性、经济性和实用性，并为全新、未使用过的原装合格正品，无翻新、无二手、无改装设备，所有配件齐全、完好无损，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ascii="宋体" w:hAnsi="宋体" w:cs="等线 Light"/>
          <w:sz w:val="24"/>
        </w:rPr>
      </w:r>
      <w:r/>
    </w:p>
    <w:p>
      <w:pPr>
        <w:pStyle w:val="1100"/>
        <w:ind w:firstLine="480"/>
        <w:spacing w:line="360" w:lineRule="auto"/>
        <w:rPr>
          <w:rFonts w:ascii="宋体" w:hAnsi="宋体" w:cs="等线 Light"/>
          <w:sz w:val="24"/>
        </w:rPr>
      </w:pPr>
      <w:r>
        <w:rPr>
          <w:rFonts w:ascii="宋体" w:hAnsi="宋体" w:cs="等线 Light"/>
          <w:sz w:val="24"/>
        </w:rPr>
        <w:t xml:space="preserve">2.2</w:t>
      </w:r>
      <w:r>
        <w:rPr>
          <w:rFonts w:hint="eastAsia" w:ascii="宋体" w:hAnsi="宋体" w:cs="等线 Light"/>
          <w:sz w:val="24"/>
        </w:rPr>
        <w:t xml:space="preserve">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cs="等线 Light"/>
          <w:sz w:val="24"/>
        </w:rPr>
      </w:r>
      <w:r/>
    </w:p>
    <w:p>
      <w:pPr>
        <w:pStyle w:val="1100"/>
        <w:ind w:firstLine="480"/>
        <w:spacing w:line="360" w:lineRule="auto"/>
        <w:rPr>
          <w:rFonts w:ascii="宋体" w:hAnsi="宋体" w:cs="等线 Light"/>
          <w:sz w:val="24"/>
        </w:rPr>
      </w:pPr>
      <w:r>
        <w:rPr>
          <w:rFonts w:ascii="宋体" w:hAnsi="宋体" w:cs="等线 Light"/>
          <w:sz w:val="24"/>
        </w:rPr>
        <w:t xml:space="preserve">2.3</w:t>
      </w:r>
      <w:r>
        <w:rPr>
          <w:rFonts w:hint="eastAsia" w:ascii="宋体" w:hAnsi="宋体" w:cs="等线 Light"/>
          <w:sz w:val="24"/>
        </w:rPr>
        <w:t xml:space="preserve">投标人中标后须与采购人在投标产品的“功能配置、技术要求等”方面及时交底沟通；中标人开始制造产品之前，采购人有权要求中标人对产品进行微调，最终的产品须经采购人确认同意。</w:t>
      </w:r>
      <w:r>
        <w:rPr>
          <w:rFonts w:ascii="宋体" w:hAnsi="宋体" w:cs="等线 Light"/>
          <w:sz w:val="24"/>
        </w:rPr>
      </w:r>
      <w:r/>
    </w:p>
    <w:p>
      <w:pPr>
        <w:pStyle w:val="1100"/>
        <w:ind w:firstLine="482"/>
        <w:spacing w:line="360" w:lineRule="auto"/>
        <w:rPr>
          <w:rFonts w:ascii="宋体" w:hAnsi="宋体" w:cs="等线 Light"/>
          <w:b/>
          <w:sz w:val="24"/>
        </w:rPr>
      </w:pPr>
      <w:r>
        <w:rPr>
          <w:rFonts w:ascii="宋体" w:hAnsi="宋体" w:cs="等线 Light"/>
          <w:b/>
          <w:sz w:val="24"/>
        </w:rPr>
        <w:t xml:space="preserve">3.</w:t>
      </w:r>
      <w:r>
        <w:rPr>
          <w:rFonts w:hint="eastAsia" w:ascii="宋体" w:hAnsi="宋体" w:cs="等线 Light"/>
          <w:b/>
          <w:sz w:val="24"/>
        </w:rPr>
        <w:t xml:space="preserve">技术</w:t>
      </w:r>
      <w:r>
        <w:rPr>
          <w:rFonts w:ascii="宋体" w:hAnsi="宋体" w:cs="等线 Light"/>
          <w:b/>
          <w:sz w:val="24"/>
        </w:rPr>
        <w:t xml:space="preserve">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118"/>
        <w:gridCol w:w="6695"/>
      </w:tblGrid>
      <w:tr>
        <w:trPr>
          <w:trHeight w:val="170"/>
        </w:trPr>
        <w:tc>
          <w:tcPr>
            <w:tcW w:w="416" w:type="pct"/>
            <w:vAlign w:val="center"/>
            <w:textDirection w:val="lrTb"/>
            <w:noWrap w:val="false"/>
          </w:tcPr>
          <w:p>
            <w:pPr>
              <w:pStyle w:val="1100"/>
              <w:contextualSpacing/>
              <w:jc w:val="center"/>
              <w:spacing w:line="360" w:lineRule="exact"/>
              <w:rPr>
                <w:rFonts w:ascii="宋体" w:hAnsi="宋体" w:cs="宋体"/>
                <w:b/>
                <w:szCs w:val="21"/>
              </w:rPr>
              <w:outlineLvl w:val="1"/>
            </w:pPr>
            <w:r>
              <w:rPr>
                <w:rFonts w:ascii="宋体" w:hAnsi="宋体" w:cs="宋体"/>
                <w:b/>
                <w:szCs w:val="21"/>
              </w:rPr>
              <w:t xml:space="preserve">序号</w:t>
            </w:r>
            <w:r/>
          </w:p>
        </w:tc>
        <w:tc>
          <w:tcPr>
            <w:tcW w:w="656" w:type="pct"/>
            <w:vAlign w:val="center"/>
            <w:textDirection w:val="lrTb"/>
            <w:noWrap w:val="false"/>
          </w:tcPr>
          <w:p>
            <w:pPr>
              <w:pStyle w:val="1100"/>
              <w:contextualSpacing/>
              <w:jc w:val="center"/>
              <w:spacing w:line="360" w:lineRule="exact"/>
              <w:rPr>
                <w:rFonts w:ascii="宋体" w:hAnsi="宋体" w:cs="宋体"/>
                <w:b/>
                <w:szCs w:val="21"/>
              </w:rPr>
              <w:outlineLvl w:val="1"/>
            </w:pPr>
            <w:r>
              <w:rPr>
                <w:rFonts w:ascii="宋体" w:hAnsi="宋体" w:cs="宋体"/>
                <w:b/>
                <w:szCs w:val="21"/>
              </w:rPr>
              <w:t xml:space="preserve">名称</w:t>
            </w:r>
            <w:r/>
          </w:p>
        </w:tc>
        <w:tc>
          <w:tcPr>
            <w:tcW w:w="3928" w:type="pct"/>
            <w:vAlign w:val="center"/>
            <w:textDirection w:val="lrTb"/>
            <w:noWrap w:val="false"/>
          </w:tcPr>
          <w:p>
            <w:pPr>
              <w:pStyle w:val="1100"/>
              <w:contextualSpacing/>
              <w:jc w:val="center"/>
              <w:spacing w:line="360" w:lineRule="exact"/>
              <w:rPr>
                <w:rFonts w:ascii="宋体" w:hAnsi="宋体" w:cs="宋体"/>
                <w:b/>
                <w:szCs w:val="21"/>
              </w:rPr>
              <w:outlineLvl w:val="1"/>
            </w:pPr>
            <w:r>
              <w:rPr>
                <w:rFonts w:ascii="宋体" w:hAnsi="宋体" w:cs="宋体"/>
                <w:b/>
                <w:szCs w:val="21"/>
              </w:rPr>
              <w:t xml:space="preserve">技术参数</w:t>
            </w:r>
            <w:r/>
          </w:p>
        </w:tc>
      </w:tr>
      <w:tr>
        <w:trPr>
          <w:trHeight w:val="170"/>
        </w:trPr>
        <w:tc>
          <w:tcPr>
            <w:tcW w:w="416" w:type="pct"/>
            <w:vAlign w:val="center"/>
            <w:textDirection w:val="lrTb"/>
            <w:noWrap w:val="false"/>
          </w:tcPr>
          <w:p>
            <w:pPr>
              <w:pStyle w:val="1100"/>
              <w:contextualSpacing/>
              <w:jc w:val="center"/>
              <w:spacing w:line="360" w:lineRule="exact"/>
              <w:rPr>
                <w:rFonts w:ascii="宋体" w:hAnsi="宋体" w:cs="宋体"/>
                <w:b/>
                <w:szCs w:val="21"/>
              </w:rPr>
              <w:outlineLvl w:val="1"/>
            </w:pPr>
            <w:r>
              <w:rPr>
                <w:rFonts w:ascii="宋体" w:hAnsi="宋体" w:cs="宋体"/>
                <w:b/>
                <w:szCs w:val="21"/>
              </w:rPr>
              <w:t xml:space="preserve">1</w:t>
            </w:r>
            <w:r/>
          </w:p>
        </w:tc>
        <w:tc>
          <w:tcPr>
            <w:tcW w:w="656" w:type="pct"/>
            <w:vAlign w:val="center"/>
            <w:textDirection w:val="lrTb"/>
            <w:noWrap w:val="false"/>
          </w:tcPr>
          <w:p>
            <w:pPr>
              <w:pStyle w:val="1100"/>
              <w:contextualSpacing/>
              <w:jc w:val="center"/>
              <w:spacing w:line="360" w:lineRule="exact"/>
              <w:rPr>
                <w:rFonts w:ascii="宋体" w:hAnsi="宋体" w:cs="宋体"/>
                <w:b/>
                <w:szCs w:val="21"/>
              </w:rPr>
              <w:outlineLvl w:val="1"/>
            </w:pPr>
            <w:r>
              <w:rPr>
                <w:rFonts w:ascii="宋体" w:hAnsi="宋体" w:cs="宋体"/>
                <w:b/>
                <w:szCs w:val="21"/>
              </w:rPr>
              <w:t xml:space="preserve">电气线路装调平台</w:t>
            </w:r>
            <w:r/>
          </w:p>
        </w:tc>
        <w:tc>
          <w:tcPr>
            <w:tcW w:w="3928" w:type="pct"/>
            <w:vAlign w:val="center"/>
            <w:textDirection w:val="lrTb"/>
            <w:noWrap w:val="false"/>
          </w:tcPr>
          <w:p>
            <w:pPr>
              <w:pStyle w:val="1100"/>
              <w:spacing w:line="360" w:lineRule="exact"/>
              <w:rPr>
                <w:rFonts w:ascii="宋体" w:hAnsi="宋体" w:cs="宋体"/>
                <w:b/>
                <w:bCs/>
                <w:szCs w:val="21"/>
              </w:rPr>
            </w:pPr>
            <w:r>
              <w:rPr>
                <w:rFonts w:ascii="宋体" w:hAnsi="宋体" w:cs="宋体"/>
                <w:b/>
                <w:bCs/>
                <w:szCs w:val="21"/>
              </w:rPr>
              <w:t xml:space="preserve">一、产品功能要求</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1.电气控制线路元器件都装在网孔板上，操作方便、更换便捷，易扩展功能或开发新实训。</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2.设有电压型漏电保护器和电流型漏电保护器，能确保操作者的安全；各电源输出均有监示及短路保护等功能，各测量仪表也均有可靠的保护功能。</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3.实训平台为双人座，即可以两个同学同时进行实训，电源独立，互不干扰。</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4.交流电源：三相五线AC380V±10% 50Hz</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5.外形尺寸：</w:t>
            </w:r>
            <w:r>
              <w:rPr>
                <w:rFonts w:ascii="宋体" w:hAnsi="宋体" w:cs="宋体"/>
                <w:szCs w:val="21"/>
              </w:rPr>
              <w:t xml:space="preserve">≥</w:t>
            </w:r>
            <w:r>
              <w:rPr>
                <w:rFonts w:ascii="宋体" w:hAnsi="宋体" w:cs="宋体"/>
                <w:spacing w:val="-2"/>
                <w:szCs w:val="21"/>
              </w:rPr>
              <w:t xml:space="preserve">1680×720×1650mm</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6.整机功耗：≤1.5kVA</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7.安全保护措施：设备具有接地保护、漏电保护功能，安全性符合相关的国标标准</w:t>
            </w:r>
            <w:r/>
          </w:p>
          <w:p>
            <w:pPr>
              <w:pStyle w:val="1100"/>
              <w:spacing w:line="360" w:lineRule="exact"/>
              <w:rPr>
                <w:rFonts w:ascii="宋体" w:hAnsi="宋体" w:cs="宋体"/>
                <w:b/>
                <w:bCs/>
                <w:szCs w:val="21"/>
              </w:rPr>
            </w:pPr>
            <w:r>
              <w:rPr>
                <w:rFonts w:ascii="宋体" w:hAnsi="宋体" w:cs="宋体"/>
                <w:b/>
                <w:bCs/>
                <w:szCs w:val="21"/>
              </w:rPr>
              <w:t xml:space="preserve">二、基本配置要求</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1.实训台</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（1）框架：由左右桌腿、底框、后侧封板组合而成。表面经脱脂、磷化、静电喷塑处理，涂层厚度≥0.5mm，防锈耐磨，灰白色（颜色可定制）；</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（2）左右桌腿：采用≥30mm*60mm*1.5mm冷轧方钢和≥1.0mm的冷轧钢板焊接成型，拐角处才有圆弧造型，既美观又安全，侧面凸起设计；</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（3）底框：采用≥30mm*30mm*1.2mm冷轧方钢焊接成型，配有安装孔与台面和左右桌腿实现快速固定；</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（4）后侧封板：采用≥1.0mm冷轧钢板折弯成型。</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（5）桌面：E0级三聚氰胺复面合成板，台面厚度≥25mm，前后面采用圆弧过渡处理。表面和边缘采用高温热压防火PVC，安全环保，坚固耐用，灰白色。</w:t>
            </w:r>
            <w:r/>
          </w:p>
          <w:p>
            <w:pPr>
              <w:pStyle w:val="1100"/>
              <w:ind w:firstLine="422"/>
              <w:spacing w:line="360" w:lineRule="exact"/>
              <w:rPr>
                <w:rFonts w:ascii="宋体" w:hAnsi="宋体" w:cs="宋体"/>
                <w:b/>
                <w:spacing w:val="-2"/>
                <w:szCs w:val="21"/>
              </w:rPr>
            </w:pPr>
            <w:r>
              <w:rPr>
                <w:rFonts w:ascii="宋体" w:hAnsi="宋体" w:cs="宋体"/>
                <w:b/>
                <w:szCs w:val="21"/>
              </w:rPr>
              <w:t xml:space="preserve">▲</w:t>
            </w:r>
            <w:r>
              <w:rPr>
                <w:rFonts w:ascii="宋体" w:hAnsi="宋体" w:cs="宋体"/>
                <w:b/>
                <w:spacing w:val="-2"/>
                <w:szCs w:val="21"/>
              </w:rPr>
              <w:t xml:space="preserve">（6）投标文件中提供实训平台多角度高清实物图。</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2.活动储物柜（配2套）：采用圆弧卷边冷冲压钣金一体成型，封闭式结构，表面静电喷涂，外形尺寸：约宽450</w:t>
            </w:r>
            <w:r>
              <w:rPr>
                <w:rFonts w:hint="eastAsia" w:ascii="宋体" w:hAnsi="宋体" w:cs="宋体"/>
                <w:spacing w:val="-2"/>
                <w:szCs w:val="21"/>
              </w:rPr>
              <w:t xml:space="preserve">×</w:t>
            </w:r>
            <w:r>
              <w:rPr>
                <w:rFonts w:ascii="宋体" w:hAnsi="宋体" w:cs="宋体"/>
                <w:spacing w:val="-2"/>
                <w:szCs w:val="21"/>
              </w:rPr>
              <w:t xml:space="preserve">深550</w:t>
            </w:r>
            <w:r>
              <w:rPr>
                <w:rFonts w:hint="eastAsia" w:ascii="宋体" w:hAnsi="宋体" w:cs="宋体"/>
                <w:spacing w:val="-2"/>
                <w:szCs w:val="21"/>
              </w:rPr>
              <w:t xml:space="preserve">×</w:t>
            </w:r>
            <w:r>
              <w:rPr>
                <w:rFonts w:ascii="宋体" w:hAnsi="宋体" w:cs="宋体"/>
                <w:spacing w:val="-2"/>
                <w:szCs w:val="21"/>
              </w:rPr>
              <w:t xml:space="preserve">高700（mm），总重量≥31kg；柜体四边圆弧设计，配有承重型卡扣式三节轨，抽屉把手采用卡套式钣金卷边工艺，把手尺寸≥440</w:t>
            </w:r>
            <w:r>
              <w:rPr>
                <w:rFonts w:hint="eastAsia" w:ascii="宋体" w:hAnsi="宋体" w:cs="宋体"/>
                <w:spacing w:val="-2"/>
                <w:szCs w:val="21"/>
              </w:rPr>
              <w:t xml:space="preserve">×</w:t>
            </w:r>
            <w:r>
              <w:rPr>
                <w:rFonts w:ascii="宋体" w:hAnsi="宋体" w:cs="宋体"/>
                <w:spacing w:val="-2"/>
                <w:szCs w:val="21"/>
              </w:rPr>
              <w:t xml:space="preserve">45</w:t>
            </w:r>
            <w:r>
              <w:rPr>
                <w:rFonts w:hint="eastAsia" w:ascii="宋体" w:hAnsi="宋体" w:cs="宋体"/>
                <w:spacing w:val="-2"/>
                <w:szCs w:val="21"/>
              </w:rPr>
              <w:t xml:space="preserve">×</w:t>
            </w:r>
            <w:r>
              <w:rPr>
                <w:rFonts w:ascii="宋体" w:hAnsi="宋体" w:cs="宋体"/>
                <w:spacing w:val="-2"/>
                <w:szCs w:val="21"/>
              </w:rPr>
              <w:t xml:space="preserve">18mm，抽屉采用联体锁设计，底部配有4个带刹车脚轮。</w:t>
            </w:r>
            <w:r/>
          </w:p>
          <w:p>
            <w:pPr>
              <w:pStyle w:val="1100"/>
              <w:ind w:firstLine="412"/>
              <w:spacing w:line="360" w:lineRule="exact"/>
              <w:rPr>
                <w:rFonts w:ascii="宋体" w:hAnsi="宋体" w:cs="宋体"/>
                <w:b/>
                <w:spacing w:val="-2"/>
                <w:szCs w:val="21"/>
              </w:rPr>
            </w:pPr>
            <w:r>
              <w:rPr>
                <w:rFonts w:ascii="宋体" w:hAnsi="宋体" w:cs="宋体"/>
                <w:spacing w:val="-2"/>
                <w:szCs w:val="21"/>
              </w:rPr>
              <w:t xml:space="preserve">3.实训电源（配2套）：电源控制屏设计向下倾斜角度，总电源配置一个4P漏电保护器，下面印有注意事项喷涂标志；配置灯型电压指示表，监测进线电源。配有启动、停止和急停按钮控制设备电源的启停，提供三相五线线电压380V和相电压AC220V电源，引出到面板L1、L2、L3、N、PE，配有输出电源指示灯监视；配置单相电源电压AC220V，单独电源开关控制；直流电源部分：提供直流电源DC24V，电源带有红色指示灯指示；配置低压交流电源36V和110V，具有短路保护和单独电源开关控制；配置单相内置五孔插座一个。</w:t>
            </w:r>
            <w:r>
              <w:rPr>
                <w:rFonts w:ascii="宋体" w:hAnsi="宋体" w:cs="宋体"/>
                <w:b/>
                <w:szCs w:val="21"/>
                <w:shd w:val="clear" w:color="auto" w:fill="ffffff"/>
              </w:rPr>
              <w:t xml:space="preserve">要求提供完整的电源控制屏面板实物说明图，满足以上资源配置。</w:t>
            </w:r>
            <w:r>
              <w:rPr>
                <w:rFonts w:ascii="宋体" w:hAnsi="宋体" w:cs="宋体"/>
                <w:b/>
                <w:spacing w:val="-2"/>
                <w:szCs w:val="21"/>
              </w:rPr>
            </w:r>
            <w:r/>
          </w:p>
          <w:p>
            <w:pPr>
              <w:pStyle w:val="1100"/>
              <w:ind w:firstLine="412"/>
              <w:spacing w:line="360" w:lineRule="exact"/>
              <w:rPr>
                <w:rFonts w:ascii="宋体" w:hAnsi="宋体" w:cs="宋体"/>
                <w:spacing w:val="-2"/>
                <w:szCs w:val="21"/>
              </w:rPr>
            </w:pPr>
            <w:r>
              <w:rPr>
                <w:rFonts w:ascii="宋体" w:hAnsi="宋体" w:cs="宋体"/>
                <w:spacing w:val="-2"/>
                <w:szCs w:val="21"/>
              </w:rPr>
              <w:t xml:space="preserve">4.网孔板（配2套）：每个工位提供一张网孔板，网孔板的尺寸600mm×750mm（高×宽），采用</w:t>
            </w:r>
            <w:r>
              <w:rPr>
                <w:rFonts w:hint="eastAsia" w:ascii="宋体" w:hAnsi="宋体" w:cs="宋体"/>
                <w:spacing w:val="-2"/>
                <w:szCs w:val="21"/>
              </w:rPr>
              <w:t xml:space="preserve">≥</w:t>
            </w:r>
            <w:r>
              <w:rPr>
                <w:rFonts w:ascii="宋体" w:hAnsi="宋体" w:cs="宋体"/>
                <w:spacing w:val="-2"/>
                <w:szCs w:val="21"/>
              </w:rPr>
              <w:t xml:space="preserve">2mm厚铁板，孔大小为5mm×10mm。上下两端配有C型铝合金把手，长度≥190mm。网孔板与实训平台通过滑动机构连接，角度可以自由调节，调节范围不小于30°-90°。</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5.实训元器件清单（每套装置配2组元器件，每组配置清单如下）：</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(1)单相电度表</w:t>
              <w:tab/>
              <w:t xml:space="preserve">DD862</w:t>
              <w:tab/>
              <w:t xml:space="preserve">1台</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(2)螺口灯座</w:t>
              <w:tab/>
              <w:t xml:space="preserve">4A/250V</w:t>
              <w:tab/>
              <w:t xml:space="preserve">2只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(3)灯泡</w:t>
              <w:tab/>
              <w:t xml:space="preserve">220V/40W</w:t>
              <w:tab/>
              <w:t xml:space="preserve">2只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(4)一位单控荧光大板开关</w:t>
              <w:tab/>
              <w:t xml:space="preserve">MZ86K1</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(5)一位双控荧光开关</w:t>
              <w:tab/>
              <w:t xml:space="preserve">MZ86K2</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(6)声（光）控延时开关</w:t>
              <w:tab/>
              <w:t xml:space="preserve">J86SG</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(7)开关盒</w:t>
              <w:tab/>
              <w:t xml:space="preserve">86HM35</w:t>
              <w:tab/>
              <w:t xml:space="preserve">2只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(8)日光灯管套件（镇流器）</w:t>
              <w:tab/>
              <w:t xml:space="preserve">10W</w:t>
              <w:tab/>
              <w:t xml:space="preserve">1套</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(9)电流互感器</w:t>
              <w:tab/>
              <w:t xml:space="preserve">LMK3(BH)-0.66 5/5A 5VA</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(10)小型断路器</w:t>
              <w:tab/>
              <w:t xml:space="preserve">CDBK-4P/6A</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(11)保险丝座</w:t>
              <w:tab/>
              <w:t xml:space="preserve">RT18-32 3P 座</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(12)直插式保险座</w:t>
              <w:tab/>
              <w:t xml:space="preserve">RT14-20</w:t>
              <w:tab/>
              <w:t xml:space="preserve">2只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(13)熔断器</w:t>
              <w:tab/>
              <w:t xml:space="preserve">RT18 3A</w:t>
              <w:tab/>
              <w:t xml:space="preserve">3只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(14)熔断器</w:t>
              <w:tab/>
              <w:t xml:space="preserve">RT14 2A</w:t>
              <w:tab/>
              <w:t xml:space="preserve">2只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(15)交流接触器</w:t>
              <w:tab/>
              <w:t xml:space="preserve">CJX2SK-0910  AC380V</w:t>
              <w:tab/>
              <w:t xml:space="preserve">5只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(16)接触器辅助触头</w:t>
              <w:tab/>
              <w:t xml:space="preserve">F4-11</w:t>
              <w:tab/>
              <w:t xml:space="preserve">3只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(17)热过载继电器</w:t>
              <w:tab/>
              <w:t xml:space="preserve">JRS1DSP-25 (0.63-1A)</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(18)热过载继电器基座</w:t>
              <w:tab/>
              <w:t xml:space="preserve">JRS1D-25型 基座</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(19)时间继电器</w:t>
              <w:tab/>
              <w:t xml:space="preserve">JSZ3A-B  AC380V 1S-6min</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(20)时间继电器座</w:t>
              <w:tab/>
              <w:t xml:space="preserve">PF083AE</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(21)2孔开关按钮盒</w:t>
              <w:tab/>
              <w:t xml:space="preserve">LA4-2H(自带LAY16红绿按钮各1个)</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(22)3孔开关按钮盒</w:t>
              <w:tab/>
              <w:t xml:space="preserve">LA4-3H(自带LAY16红黑绿按钮各1个)</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(23)行程开关</w:t>
              <w:tab/>
              <w:t xml:space="preserve">LX19-222</w:t>
              <w:tab/>
              <w:t xml:space="preserve">2只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(24)行程开关</w:t>
              <w:tab/>
              <w:t xml:space="preserve">LX19-001</w:t>
              <w:tab/>
              <w:t xml:space="preserve">2只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(25)倒顺开关</w:t>
              <w:tab/>
              <w:t xml:space="preserve">KO3-15</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(26)电阻</w:t>
              <w:tab/>
              <w:t xml:space="preserve">75Ω/75W</w:t>
              <w:tab/>
              <w:t xml:space="preserve">3只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(27)电阻</w:t>
              <w:tab/>
              <w:t xml:space="preserve">10Ω/25W</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(28)二极管</w:t>
              <w:tab/>
              <w:t xml:space="preserve">1N5408</w:t>
              <w:tab/>
              <w:t xml:space="preserve">4只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(29)塑料安装卡子</w:t>
              <w:tab/>
              <w:tab/>
              <w:t xml:space="preserve">250只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(30)自攻螺丝</w:t>
              <w:tab/>
              <w:tab/>
              <w:t xml:space="preserve">120只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(31)走线槽</w:t>
              <w:tab/>
              <w:t xml:space="preserve">2525</w:t>
              <w:tab/>
              <w:t xml:space="preserve">2米</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(32)接线端子排</w:t>
              <w:tab/>
              <w:t xml:space="preserve">JF5-2.5/5</w:t>
              <w:tab/>
              <w:t xml:space="preserve">5条</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(33)G形导轨</w:t>
              <w:tab/>
              <w:t xml:space="preserve">0.4米</w:t>
              <w:tab/>
              <w:t xml:space="preserve">1根</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(34)三相鼠笼式异步电动机</w:t>
              <w:tab/>
              <w:t xml:space="preserve">AC380V△</w:t>
              <w:tab/>
              <w:t xml:space="preserve">1台</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6.实训工具清单（2套）：提供有数字万用表、剥线钳、斜口钳、尖嘴钳、剪刀、十字螺丝刀、一字螺丝刀、镊子、测电笔、烙铁、小卷焊锡丝、钟表螺丝刀、吸锡器、烙铁架、工具箱等。</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7.实训配件:提供实训指导书及实训导线。</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8.多电机原理与设计动态仿真软件（不少于25个节点）</w:t>
            </w:r>
            <w:r/>
          </w:p>
          <w:p>
            <w:pPr>
              <w:pStyle w:val="1100"/>
              <w:ind w:firstLine="420"/>
              <w:spacing w:line="360" w:lineRule="exact"/>
              <w:rPr>
                <w:rFonts w:ascii="宋体" w:hAnsi="宋体" w:cs="宋体"/>
                <w:b/>
                <w:bCs/>
                <w:spacing w:val="-2"/>
                <w:szCs w:val="21"/>
              </w:rPr>
            </w:pPr>
            <w:r>
              <w:rPr>
                <w:rFonts w:ascii="宋体" w:hAnsi="宋体" w:cs="宋体"/>
                <w:szCs w:val="21"/>
              </w:rPr>
              <w:t xml:space="preserve">▲（</w:t>
            </w:r>
            <w:r>
              <w:rPr>
                <w:rFonts w:ascii="宋体" w:hAnsi="宋体" w:cs="宋体"/>
                <w:spacing w:val="-2"/>
                <w:szCs w:val="21"/>
              </w:rPr>
              <w:t xml:space="preserve">1）软件架构：软件内置不少于9类电机选型库，电机类型下拉菜单包含：无刷永磁电机、感应电机、开关磁阻电机、外转子无刷永磁电机、直流永磁有刷电机、电励磁同步电机、爪极电机、单相异步电机、磁阻同步电机；支持径向、轴向两种电机结构切换建模。操作界面集成几何建模、绕组设计、电磁仿真、热仿真、机械 NVH 振动噪声、参数优化、脚本自动化模块，无需切换多个软件完成电机全流程设计，主界面包含（几何、绕组、数据输入、求解设置、电磁、图表、参数优化、脚本）专用功能标签栏。</w:t>
            </w:r>
            <w:r>
              <w:rPr>
                <w:rFonts w:ascii="宋体" w:hAnsi="宋体" w:cs="宋体"/>
                <w:b/>
                <w:bCs/>
                <w:spacing w:val="-2"/>
                <w:szCs w:val="21"/>
              </w:rPr>
              <w:t xml:space="preserve">（投标时提供软件主界面截图和软件电机库截图）</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内置专属二维有限元电磁求解内核，独立电磁功能模块；求解后可可视化磁密、矢量磁位、电流、涡流密度多类场量，自由切换多种显示模式。精细化云图自定义工具，支持自定义场量公式、显示阈值、极值区间，可叠加刻度、等位线、磁力矢量图；仿真结果支持保存、图片与结果文件导出。具备负载瞬态转矩仿真能力，输入额定电压电流即可全域计算磁场分布，精准识别定转子磁路饱和区域，磁密采用特斯拉(T)标准色标展示。</w:t>
            </w:r>
            <w:r/>
          </w:p>
          <w:p>
            <w:pPr>
              <w:pStyle w:val="1100"/>
              <w:ind w:firstLine="420"/>
              <w:spacing w:line="360" w:lineRule="exact"/>
              <w:rPr>
                <w:rFonts w:ascii="宋体" w:hAnsi="宋体" w:cs="宋体"/>
                <w:spacing w:val="-2"/>
                <w:szCs w:val="21"/>
              </w:rPr>
            </w:pPr>
            <w:r>
              <w:rPr>
                <w:rFonts w:ascii="宋体" w:hAnsi="宋体" w:cs="宋体"/>
                <w:szCs w:val="21"/>
              </w:rPr>
              <w:t xml:space="preserve">▲（</w:t>
            </w:r>
            <w:r>
              <w:rPr>
                <w:rFonts w:ascii="宋体" w:hAnsi="宋体" w:cs="宋体"/>
                <w:spacing w:val="-2"/>
                <w:szCs w:val="21"/>
              </w:rPr>
              <w:t xml:space="preserve">3）软件配置独立专用数据输出模块，可自动完成全工况电气、机械性能指标计算，无需第三方工具二次换算；采用双栏表格布局展示参数信息，呈现参数名称、数值及标准单位，参数涵盖基础驱动与极限工况两类;其中基础驱动参数包含线电压有效值、相电压有效值、空载电流、同步转速、运行转速、转差率、驱动频率、机械频率；极限工况参数包含堵转气隙转矩、堵转电流、击穿转矩、击穿电流、输入输出功率及各类转矩。全部表格数据支持一键复制及Excel导出。</w:t>
            </w:r>
            <w:r>
              <w:rPr>
                <w:rFonts w:ascii="宋体" w:hAnsi="宋体" w:cs="宋体"/>
                <w:b/>
                <w:bCs/>
                <w:spacing w:val="-2"/>
                <w:szCs w:val="21"/>
              </w:rPr>
              <w:t xml:space="preserve">（投标时提供软件主要功能截图）</w:t>
            </w:r>
            <w:r>
              <w:rPr>
                <w:rFonts w:ascii="宋体" w:hAnsi="宋体" w:cs="宋体"/>
                <w:spacing w:val="-2"/>
                <w:szCs w:val="21"/>
              </w:rPr>
            </w:r>
            <w:r/>
          </w:p>
          <w:p>
            <w:pPr>
              <w:pStyle w:val="1100"/>
              <w:ind w:firstLine="420"/>
              <w:spacing w:line="360" w:lineRule="exact"/>
              <w:rPr>
                <w:rFonts w:ascii="宋体" w:hAnsi="宋体" w:cs="宋体"/>
                <w:b/>
                <w:bCs/>
                <w:spacing w:val="-2"/>
                <w:szCs w:val="21"/>
              </w:rPr>
            </w:pPr>
            <w:r>
              <w:rPr>
                <w:rFonts w:ascii="宋体" w:hAnsi="宋体" w:cs="宋体"/>
                <w:szCs w:val="21"/>
              </w:rPr>
              <w:t xml:space="preserve">▲</w:t>
            </w:r>
            <w:r>
              <w:rPr>
                <w:rFonts w:ascii="宋体" w:hAnsi="宋体" w:cs="宋体"/>
                <w:spacing w:val="-2"/>
                <w:szCs w:val="21"/>
              </w:rPr>
              <w:t xml:space="preserve">（4）软件配置独立T图片功能模块，内置不少于10类专用性能曲线模板，顶部快捷标签包含：概况、电流、转矩、损耗、气隙磁密、功率、功率因数、效率、加速度，一键切换生成对应二维波形曲线。曲线管理功能，支持曲线选择、上移、下移排序调整。</w:t>
            </w:r>
            <w:r>
              <w:rPr>
                <w:rFonts w:ascii="宋体" w:hAnsi="宋体" w:cs="宋体"/>
                <w:b/>
                <w:bCs/>
                <w:spacing w:val="-2"/>
                <w:szCs w:val="21"/>
              </w:rPr>
              <w:t xml:space="preserve">（投标时提供软件主要功能截图）</w:t>
            </w:r>
            <w:r/>
          </w:p>
          <w:p>
            <w:pPr>
              <w:pStyle w:val="1100"/>
              <w:ind w:firstLine="420"/>
              <w:spacing w:line="360" w:lineRule="exact"/>
              <w:rPr>
                <w:rFonts w:ascii="宋体" w:hAnsi="宋体" w:cs="宋体"/>
                <w:spacing w:val="-2"/>
                <w:szCs w:val="21"/>
              </w:rPr>
            </w:pPr>
            <w:r>
              <w:rPr>
                <w:rFonts w:ascii="宋体" w:hAnsi="宋体" w:cs="宋体"/>
                <w:szCs w:val="21"/>
              </w:rPr>
              <w:t xml:space="preserve">▲</w:t>
            </w:r>
            <w:r>
              <w:rPr>
                <w:rFonts w:ascii="宋体" w:hAnsi="宋体" w:cs="宋体"/>
                <w:spacing w:val="-2"/>
                <w:szCs w:val="21"/>
              </w:rPr>
              <w:t xml:space="preserve">（5）绕组设计模块支持散线、矩形两种类型建模，矩形支持自定义铜线宽、铜线高、绝缘厚、圆角半径、线束数量，可视化实时绘制槽内导体排布截面。绕线排布支持单层绕组、双层叠绕绕组，可自定义槽楔结构启用/关闭；支持更改相数、匝数、节距、平行路径、绕组层数等，自动生成绕组磁动势矢量图校验三相对称性。内置槽绝缘，导体间隙工艺参数输入端口，可自定义槽绝缘厚度、导体间隔等，自动实时核算多项绕组工艺指标。</w:t>
            </w:r>
            <w:r>
              <w:rPr>
                <w:rFonts w:ascii="宋体" w:hAnsi="宋体" w:cs="宋体"/>
                <w:b/>
                <w:bCs/>
                <w:spacing w:val="-2"/>
                <w:szCs w:val="21"/>
              </w:rPr>
              <w:t xml:space="preserve">（投标时提供软件主要功能截图）</w:t>
            </w:r>
            <w:r>
              <w:rPr>
                <w:rFonts w:ascii="宋体" w:hAnsi="宋体" w:cs="宋体"/>
                <w:spacing w:val="-2"/>
                <w:szCs w:val="21"/>
              </w:rPr>
            </w:r>
            <w:r/>
          </w:p>
          <w:p>
            <w:pPr>
              <w:pStyle w:val="1100"/>
              <w:ind w:firstLine="420"/>
              <w:spacing w:line="360" w:lineRule="exact"/>
              <w:rPr>
                <w:rFonts w:ascii="宋体" w:hAnsi="宋体" w:cs="宋体"/>
                <w:spacing w:val="-2"/>
                <w:szCs w:val="21"/>
              </w:rPr>
            </w:pPr>
            <w:r>
              <w:rPr>
                <w:rFonts w:ascii="宋体" w:hAnsi="宋体" w:cs="宋体"/>
                <w:szCs w:val="21"/>
              </w:rPr>
              <w:t xml:space="preserve">▲（</w:t>
            </w:r>
            <w:r>
              <w:rPr>
                <w:rFonts w:ascii="宋体" w:hAnsi="宋体" w:cs="宋体"/>
                <w:spacing w:val="-2"/>
                <w:szCs w:val="21"/>
              </w:rPr>
              <w:t xml:space="preserve">6）实时自动计算绕组工艺参数，软件输入参数修改后一键重绘，同步输出输入/输出双维度绕组计算数据，无需手动 Excel 换算，指标包含：实时计算参数：导线槽满率、端部绕组占满率、槽绝缘厚度、铜占槽深比、导体间隔、每槽导体数、端部绕组平均长度；输出实时可视化参数：槽面积、漆包线面积、铜面积、注胶面积、槽楔面积、绕组深度、导体数；槽内导体分层可视化展示，可直观展示单槽多层扁线排布结构，支持切换 “单元尺寸预览 / 导体数预览” 两种视图模式。</w:t>
            </w:r>
            <w:r>
              <w:rPr>
                <w:rFonts w:ascii="宋体" w:hAnsi="宋体" w:cs="宋体"/>
                <w:b/>
                <w:bCs/>
                <w:spacing w:val="-2"/>
                <w:szCs w:val="21"/>
              </w:rPr>
              <w:t xml:space="preserve">（投标时提供软件主要功能截图）</w:t>
            </w:r>
            <w:r>
              <w:rPr>
                <w:rFonts w:ascii="宋体" w:hAnsi="宋体" w:cs="宋体"/>
                <w:spacing w:val="-2"/>
                <w:szCs w:val="21"/>
              </w:rPr>
            </w:r>
            <w:r/>
          </w:p>
          <w:p>
            <w:pPr>
              <w:pStyle w:val="1100"/>
              <w:ind w:firstLine="412"/>
              <w:spacing w:line="360" w:lineRule="exact"/>
              <w:rPr>
                <w:rFonts w:ascii="宋体" w:hAnsi="宋体" w:cs="宋体"/>
                <w:spacing w:val="-2"/>
                <w:szCs w:val="21"/>
              </w:rPr>
            </w:pPr>
            <w:r>
              <w:rPr>
                <w:rFonts w:ascii="宋体" w:hAnsi="宋体" w:cs="宋体"/>
                <w:spacing w:val="-2"/>
                <w:szCs w:val="21"/>
              </w:rPr>
              <w:t xml:space="preserve">9.虚拟实操仿真软件</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（1）智能电气设计与3D虚拟实操仿真软件</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1)软件平台：系统基于Unity三维引擎独立研发3D虚拟综合实训仿真系统，依托引擎高性能实时三维渲染、物理仿真及人机交互能力，集成3D实物三维仿真、电气设计仿真两大核心实训形态。</w:t>
            </w:r>
            <w:r/>
          </w:p>
          <w:p>
            <w:pPr>
              <w:pStyle w:val="1100"/>
              <w:ind w:firstLine="420"/>
              <w:spacing w:line="360" w:lineRule="exact"/>
              <w:rPr>
                <w:rFonts w:ascii="宋体" w:hAnsi="宋体" w:cs="宋体"/>
                <w:b/>
                <w:bCs/>
                <w:spacing w:val="-2"/>
                <w:szCs w:val="21"/>
              </w:rPr>
            </w:pPr>
            <w:r>
              <w:rPr>
                <w:rFonts w:ascii="宋体" w:hAnsi="宋体" w:cs="宋体"/>
                <w:szCs w:val="21"/>
              </w:rPr>
              <w:t xml:space="preserve">▲</w:t>
            </w:r>
            <w:r>
              <w:rPr>
                <w:rFonts w:ascii="宋体" w:hAnsi="宋体" w:cs="宋体"/>
                <w:spacing w:val="-2"/>
                <w:szCs w:val="21"/>
              </w:rPr>
              <w:t xml:space="preserve">2）3D实物仿真器件库：采用工业级3D建模，器件库包含常用元器件（例如断路器、接触器、继电器、时间继电器、按钮、指示灯、电机、万用表等），模型基于物理的渲染，高度还原实体元器件外观、功能等，保障仿真场景与现实工况一致。平台支持模型动态检视，可实现360°视角自由查看。具有仪表测量仿真：例如万用表，支持测量回路电压、通断等。</w:t>
            </w:r>
            <w:r>
              <w:rPr>
                <w:rFonts w:ascii="宋体" w:hAnsi="宋体" w:cs="宋体"/>
                <w:b/>
                <w:bCs/>
                <w:spacing w:val="-2"/>
                <w:szCs w:val="21"/>
              </w:rPr>
              <w:t xml:space="preserve">（投标时提供</w:t>
            </w:r>
            <w:r>
              <w:rPr>
                <w:rFonts w:hint="eastAsia" w:ascii="宋体" w:hAnsi="宋体" w:cs="宋体"/>
                <w:b/>
                <w:bCs/>
                <w:spacing w:val="-2"/>
                <w:szCs w:val="21"/>
              </w:rPr>
              <w:t xml:space="preserve">软件器件</w:t>
            </w:r>
            <w:r>
              <w:rPr>
                <w:rFonts w:ascii="宋体" w:hAnsi="宋体" w:cs="宋体"/>
                <w:b/>
                <w:bCs/>
                <w:spacing w:val="-2"/>
                <w:szCs w:val="21"/>
              </w:rPr>
              <w:t xml:space="preserve">库截图）</w:t>
            </w:r>
            <w:r/>
          </w:p>
          <w:p>
            <w:pPr>
              <w:pStyle w:val="1100"/>
              <w:ind w:firstLine="420"/>
              <w:spacing w:line="360" w:lineRule="exact"/>
              <w:rPr>
                <w:rFonts w:ascii="宋体" w:hAnsi="宋体" w:cs="宋体"/>
                <w:b/>
                <w:bCs/>
                <w:spacing w:val="-2"/>
                <w:szCs w:val="21"/>
              </w:rPr>
            </w:pPr>
            <w:r>
              <w:rPr>
                <w:rFonts w:ascii="宋体" w:hAnsi="宋体" w:cs="宋体"/>
                <w:szCs w:val="21"/>
              </w:rPr>
              <w:t xml:space="preserve">▲</w:t>
            </w:r>
            <w:r>
              <w:rPr>
                <w:rFonts w:ascii="宋体" w:hAnsi="宋体" w:cs="宋体"/>
                <w:spacing w:val="-2"/>
                <w:szCs w:val="21"/>
              </w:rPr>
              <w:t xml:space="preserve">3）电路原理图设计仿真库：内置符合国家及行业规范的标准化电气图形符号资源库，集成电源、负载、控制开关、安全保护器件等通用电气图元。采用可视化拖拽式组态设计模式，图元形制、标注规范完全对标工业电气设计标准，支持快速完成电气原理图绘制。</w:t>
            </w:r>
            <w:r>
              <w:rPr>
                <w:rFonts w:ascii="宋体" w:hAnsi="宋体" w:cs="宋体"/>
                <w:b/>
                <w:bCs/>
                <w:spacing w:val="-2"/>
                <w:szCs w:val="21"/>
              </w:rPr>
              <w:t xml:space="preserve">（投标时提供</w:t>
            </w:r>
            <w:r>
              <w:rPr>
                <w:rFonts w:hint="eastAsia" w:ascii="宋体" w:hAnsi="宋体" w:cs="宋体"/>
                <w:b/>
                <w:bCs/>
                <w:spacing w:val="-2"/>
                <w:szCs w:val="21"/>
              </w:rPr>
              <w:t xml:space="preserve">软件设计仿真库</w:t>
            </w:r>
            <w:r>
              <w:rPr>
                <w:rFonts w:ascii="宋体" w:hAnsi="宋体" w:cs="宋体"/>
                <w:b/>
                <w:bCs/>
                <w:spacing w:val="-2"/>
                <w:szCs w:val="21"/>
              </w:rPr>
              <w:t xml:space="preserve">截图）</w:t>
            </w:r>
            <w:r/>
          </w:p>
          <w:p>
            <w:pPr>
              <w:pStyle w:val="1100"/>
              <w:ind w:firstLine="420"/>
              <w:spacing w:line="360" w:lineRule="exact"/>
              <w:rPr>
                <w:rFonts w:ascii="宋体" w:hAnsi="宋体"/>
                <w:szCs w:val="21"/>
              </w:rPr>
            </w:pPr>
            <w:r>
              <w:rPr>
                <w:rFonts w:ascii="宋体" w:hAnsi="宋体" w:cs="宋体"/>
                <w:szCs w:val="21"/>
              </w:rPr>
              <w:t xml:space="preserve">▲</w:t>
            </w:r>
            <w:r>
              <w:rPr>
                <w:rFonts w:ascii="宋体" w:hAnsi="宋体" w:cs="宋体"/>
                <w:spacing w:val="-2"/>
                <w:szCs w:val="21"/>
              </w:rPr>
              <w:t xml:space="preserve">4）实训项目：内置成套预设实训项目，包含基础电工实训场景，覆盖基础工业电机驱动控制回路等主流教学实训场景。可引导实训人员完成指定实训任务，实现规范化教学。</w:t>
            </w:r>
            <w:r>
              <w:rPr>
                <w:rFonts w:ascii="宋体" w:hAnsi="宋体" w:cs="宋体"/>
                <w:b/>
                <w:bCs/>
                <w:spacing w:val="-2"/>
                <w:szCs w:val="21"/>
              </w:rPr>
              <w:t xml:space="preserve">（投标时提供实训项目截图）</w:t>
            </w:r>
            <w:r>
              <w:rPr>
                <w:rFonts w:ascii="宋体" w:hAnsi="宋体"/>
                <w:szCs w:val="21"/>
              </w:rPr>
            </w:r>
            <w:r/>
          </w:p>
          <w:p>
            <w:pPr>
              <w:pStyle w:val="1100"/>
              <w:ind w:firstLine="412"/>
              <w:spacing w:line="360" w:lineRule="exact"/>
              <w:rPr>
                <w:rFonts w:ascii="宋体" w:hAnsi="宋体" w:cs="宋体"/>
                <w:spacing w:val="-2"/>
                <w:szCs w:val="21"/>
              </w:rPr>
            </w:pPr>
            <w:r>
              <w:rPr>
                <w:rFonts w:ascii="宋体" w:hAnsi="宋体" w:cs="宋体"/>
                <w:spacing w:val="-2"/>
                <w:szCs w:val="21"/>
              </w:rPr>
              <w:t xml:space="preserve">■5)交互能力：系统以鼠标点击、拖拽，搭配键盘使用，支持360°全视角旋转、缩放、平移等控制操作。电气原理图设计支持自动接线功能；平台内置实物三维仿真、原理图设计仿真，均支持实验场景自主搭建、编辑、文件导出与导入等功能；3D实物三维仿真实训：用户可以自主完成元器件布局，器件连线。项目完成后可导出标准化文件，实现跨设备、跨终端资源使用。支持项目一键导入，导入后可二次编辑，启动仿真即可开展课堂教学演示。电气接</w:t>
            </w:r>
            <w:r>
              <w:rPr>
                <w:rFonts w:ascii="宋体" w:hAnsi="宋体" w:cs="宋体"/>
                <w:spacing w:val="-2"/>
                <w:szCs w:val="21"/>
              </w:rPr>
              <w:t xml:space="preserve">线仿真具备高度自由，非固定连线模式，支持器件端子间自由连线，与实际接线操作保持一致；电气原理图设计仿真：用户可以自主完成原理图设计、图元排布、逻辑验证；项目编制完成后可导出标准文件，实现教学资源跨设备流转使用。支持原理图项目一键导入，可以对原理图进行修改、内容优化，启动仿真，快速开展教学演示；动态电路仿真功能：原理图设计完成后可一键触发电气回路动态仿真运算，实时可视化，展示回路电流流向、电气元件动作时序（触点通断、信号指示等）。支持电气参数交互式整定与动态调校。实现电气理论、电路原理与故障研判的一体化教学。</w:t>
            </w:r>
            <w:r>
              <w:rPr>
                <w:rFonts w:ascii="宋体" w:hAnsi="宋体" w:cs="宋体"/>
                <w:b/>
                <w:bCs/>
                <w:spacing w:val="-2"/>
                <w:szCs w:val="21"/>
              </w:rPr>
              <w:t xml:space="preserve">（要求投标时提供视频演示，以上功能集成在一个平台，视频演示要求系统主界面统一，不能为多个软件拼凑演示，否则不得分）</w:t>
            </w:r>
            <w:r>
              <w:rPr>
                <w:rFonts w:ascii="宋体" w:hAnsi="宋体" w:cs="宋体"/>
                <w:spacing w:val="-2"/>
                <w:szCs w:val="21"/>
              </w:rPr>
            </w:r>
            <w:r/>
          </w:p>
          <w:p>
            <w:pPr>
              <w:pStyle w:val="1100"/>
              <w:ind w:firstLine="412"/>
              <w:spacing w:line="360" w:lineRule="exact"/>
              <w:rPr>
                <w:rFonts w:ascii="宋体" w:hAnsi="宋体" w:cs="宋体"/>
                <w:spacing w:val="-2"/>
                <w:szCs w:val="21"/>
              </w:rPr>
            </w:pPr>
            <w:r>
              <w:rPr>
                <w:rFonts w:ascii="宋体" w:hAnsi="宋体" w:cs="宋体"/>
                <w:spacing w:val="-2"/>
                <w:szCs w:val="21"/>
              </w:rPr>
              <w:t xml:space="preserve">（2）电力拖动仿真实训软件：</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1）本软件采用模块化设计，由电气器件展示、电气安装与连接、线路检查、故障检测与维修等模块组成，操作流程接近实际工业场景，操作结果实时显示。</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电气器件展示模块有自耦变压器、控制按钮、电磁启动器、多圈电位器、珐琅电阻等10余种常用器件模型，以3D的形式展现并附以文字说明介绍。各模型均可任意放大、缩小和旋转，具有直观立体、真实互动的效果。</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电气安装与连接模块包括元器件组装和电气线路连接。操作者按照界面提示或者原理图先将元器件库中的元件拖到电气柜上进行组装，器件组装完成后进入电气线路连接界面。在接线界面学员可以“示教接线”自己动手接线，也可以通过 “一键接线”由计算机完成接线。接完线后学员通过操作相应的器件，根据原理图以及器件的动作情况，判断连接线路是否正确。</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4）通电检查模块主要用于在设备通电前进行电压检查，检查电源电路是否短路。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5）故障诊断与维修模块具有故障设置功能，故障点设置典型、全面，操作者根据故障现象，利用所学知识进行排故练习。</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6）电气安装与连接、线路检查、故障检测与维修三个模块均有三相鼠笼式电动机点动控制线路、三相鼠笼式电动机自耦减压启动线路、风电闭锁电气控制线路、磁力启动器控制的启动线路等12个常见线路。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10.智能化实训室助教及管控系统（整个实训室配一套）为便于管理和使用方便，要求以下模块功能全部集成在一个系统平台，不能为多系统拼凑而成。技术功能如下：</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（1）教学管理模块满足以下功能：</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可添加实训方案，包含实训标题、开始结束时间、授课老师、方案内容、实训目标等内容。教师可添加课程资源，支持PDF、Word、PPT，支持课程资源在线预览。管理员具有管理权限，可查看实训室和实训时间安排。</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2）支持通过Excel导入或按照组织架构批量添加学生到实训项目中，提供学生批量删除。</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实训课程开始，支持考勤机接入签到和移动端智能签到；教师通过微信小程序查看实训课程签到信息，记录实训室信息、签到时间、签到码和签到人数统计，支持最多一次性查看和导出31天的学生考勤数据；提供课程评价和反馈查看，记录课程名、课程评分、评价人、评价日期及评价内容；支持添加和管理实训结果报告，记录效果评估、结果报告、报告人以及创建时间；支持通过微信小程序查看实训详细信息和资源，提供互动功能，如资源预览、分享和链接复制。</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（2）实训室开放预约管理模块满足以下功能：</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1）实训室预约列表，数据类型不少于五种，至少包含实训室名称、实训台数量、预约人、预约时间、状态。</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2）微信小程序支持查看实训室列表，数据类型不少于四种，至少包含实训中心名称、实训室名称、创建时间、使用状态。支持实训室的预约，支持对实训室下实训台多选的方式实现批量预约。</w:t>
            </w:r>
            <w:r/>
          </w:p>
          <w:p>
            <w:pPr>
              <w:pStyle w:val="1100"/>
              <w:spacing w:after="120" w:line="360" w:lineRule="exact"/>
              <w:rPr>
                <w:rFonts w:ascii="宋体" w:hAnsi="宋体"/>
                <w:szCs w:val="21"/>
              </w:rPr>
            </w:pPr>
            <w:r>
              <w:rPr>
                <w:rFonts w:ascii="宋体" w:hAnsi="宋体" w:cs="宋体"/>
                <w:spacing w:val="-2"/>
                <w:szCs w:val="21"/>
              </w:rPr>
              <w:t xml:space="preserve">3）PC前台支持个人预约历史的查看，数据类型不少于七种，至少包含实训室名称、预约日期、开始时间、结束时间、预约人、状态、创建日期。支持查看预约详情实训室预约列表，数据类型不少于五种，至少包含实训室名称、实训台数量、预约人、预约时间、状态。支持查看已处理审批详情。</w:t>
            </w:r>
            <w:r>
              <w:rPr>
                <w:rFonts w:ascii="宋体" w:hAnsi="宋体"/>
                <w:szCs w:val="21"/>
              </w:rPr>
            </w:r>
            <w:r/>
          </w:p>
          <w:p>
            <w:pPr>
              <w:pStyle w:val="1100"/>
              <w:ind w:firstLine="412"/>
              <w:spacing w:line="360" w:lineRule="exact"/>
              <w:rPr>
                <w:rFonts w:ascii="宋体" w:hAnsi="宋体" w:cs="宋体"/>
                <w:spacing w:val="-2"/>
                <w:szCs w:val="21"/>
              </w:rPr>
            </w:pPr>
            <w:r>
              <w:rPr>
                <w:rFonts w:ascii="宋体" w:hAnsi="宋体" w:cs="宋体"/>
                <w:spacing w:val="-2"/>
                <w:szCs w:val="21"/>
              </w:rPr>
              <w:t xml:space="preserve">■（3）智能化管理模块及设备仪器管理模块满足以下功能（投标时提供视频逐条演示功能）：</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1）远程智能电源管理模块不少于两个子项目，至少包含设备控制、考试设置等子项目</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2）设备控制模块支持查看实训室列表，数据类型不少于四种，至少包含实训中心名称、实训室名称、创建时间、电源状态。支持对实训室的总电源开启或关闭。</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考试设置模块支持查看实训室列表，数据类型不少于四种，至少包含实训中心名称、实训室名称、创建时间、考试状态。支持对实训室开始考试或结束考试，支持对实训室下实训台多选的方式实现批量开始或结束考试。</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4）考试设置模块融入智能AI技术，支持考试信息录入，至少包含考试名称、持续时间、语音提醒等信息的录入；考题管理包含题目类型、难度等级、归属题库、题目内容、题目解析等功能；AI一键出题，输入学科、知识点和技能的关键字，设置出题的数量，即可一键导入到题库。</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5）支持查看仪器设备列表，数据类型不少于八种，至少包含设备名称、设备图片、设备状态、设备编号、操作员、规格型号、单位、设备种类。</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6）支持仪器设备的预约，支持预约列表的查看，数据类型不少于七种，至少包含设备名称、设备图片、设备状态、设备编号、预约时间、预约理由、规格型号。支持对用户提交的预约申请进行操作，至少包含通过申请和拒绝申请两种操作类型</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7）支持查看设备维修列表，数据类型不少于八种，至少包含设备名称、设备图片、设备状态、设备编号、维修人、规格型号、维修工时、维修原因。支持对维修设备进行操作，至少包含完成维修的操作。</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8）支持查看厂家列表，数据类型不少于四种，至少包含厂家名称、链接、联系方式、地址等数据。</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9）微信小程序端不少于四个子项目，至少包含设备列表、设备预约、设备维修、设备报废。支持设备列表查看、预约列表查看、维修列表查看、报废列表查看</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11.每套设备配4个方凳：外形尺寸：360mm×260mm×450mm（±5mm），整</w:t>
            </w:r>
            <w:r>
              <w:rPr>
                <w:rFonts w:ascii="宋体" w:hAnsi="宋体" w:cs="宋体"/>
                <w:spacing w:val="-2"/>
                <w:szCs w:val="21"/>
              </w:rPr>
              <w:t xml:space="preserve">体重量≥3.4Kg；凳框采用≥1.0mm厚的优质方钢管和优质冷轧钢板焊接而成，坚固耐用；采用钣金圆弧压边包边木面板工艺，造型独特，防止伤手，防护凳面；凳框表面全自动脱脂、采用新技术新材料静电喷塑处理，防锈性能好，环保健康；凳架采用黑色银粉工艺喷塑；凳面采用≥18mm厚的优质高密度复合板材，表面和边缘高温热压防火PVC；凳脚安装高分子树脂脚套，防滑耐磨损，保护地面。</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12.</w:t>
            </w:r>
            <w:r>
              <w:rPr>
                <w:rFonts w:hint="eastAsia" w:ascii="宋体" w:hAnsi="宋体" w:cs="宋体"/>
                <w:spacing w:val="-2"/>
                <w:szCs w:val="21"/>
              </w:rPr>
              <w:t xml:space="preserve">实训场地地面修复和墙面处理</w:t>
            </w:r>
            <w:r>
              <w:rPr>
                <w:rFonts w:ascii="宋体" w:hAnsi="宋体" w:cs="宋体"/>
                <w:spacing w:val="-2"/>
                <w:szCs w:val="21"/>
              </w:rPr>
            </w:r>
            <w:r/>
          </w:p>
          <w:p>
            <w:pPr>
              <w:pStyle w:val="1100"/>
              <w:spacing w:line="360" w:lineRule="exact"/>
              <w:rPr>
                <w:rFonts w:ascii="宋体" w:hAnsi="宋体" w:cs="宋体"/>
                <w:b/>
                <w:bCs/>
                <w:szCs w:val="21"/>
              </w:rPr>
            </w:pPr>
            <w:r>
              <w:rPr>
                <w:rFonts w:ascii="宋体" w:hAnsi="宋体" w:cs="宋体"/>
                <w:b/>
                <w:bCs/>
                <w:szCs w:val="21"/>
              </w:rPr>
              <w:t xml:space="preserve">三、能够完成的实训项目</w:t>
            </w:r>
            <w:r/>
          </w:p>
          <w:p>
            <w:pPr>
              <w:pStyle w:val="1100"/>
              <w:ind w:firstLine="414"/>
              <w:spacing w:line="360" w:lineRule="exact"/>
              <w:rPr>
                <w:rFonts w:ascii="宋体" w:hAnsi="宋体" w:cs="宋体"/>
                <w:b/>
                <w:bCs/>
                <w:spacing w:val="-2"/>
                <w:szCs w:val="21"/>
              </w:rPr>
            </w:pPr>
            <w:r>
              <w:rPr>
                <w:rFonts w:ascii="宋体" w:hAnsi="宋体" w:cs="宋体"/>
                <w:b/>
                <w:bCs/>
                <w:spacing w:val="-2"/>
                <w:szCs w:val="21"/>
              </w:rPr>
              <w:t xml:space="preserve">电力拖动实训项目</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w:t>
              <w:tab/>
              <w:t xml:space="preserve">三相异步电动机直接启动控制</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w:t>
              <w:tab/>
              <w:t xml:space="preserve">三相异步电动机接触器点动控制线路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w:t>
              <w:tab/>
              <w:t xml:space="preserve">三相异步电动机接触器自锁控制线路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(4)</w:t>
              <w:tab/>
              <w:t xml:space="preserve">Y-Δ启动手动/自动控制电路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(5)</w:t>
              <w:tab/>
              <w:t xml:space="preserve">接触器联锁的三相异步电动机正反转控制线路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(6)</w:t>
              <w:tab/>
              <w:t xml:space="preserve">按钮联锁的三相异步电动机正反转控制线路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(7)</w:t>
              <w:tab/>
              <w:t xml:space="preserve">双重联锁的三相异步电动机正反转控制线路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(8)</w:t>
              <w:tab/>
              <w:t xml:space="preserve">倒顺开关控制的三相异步电动机正反转控制线路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(9)</w:t>
              <w:tab/>
              <w:t xml:space="preserve">三相异步电动机能耗制动电路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(10)</w:t>
              <w:tab/>
              <w:t xml:space="preserve">三相异步电动机串电阻降压启动控制线路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(11)</w:t>
              <w:tab/>
              <w:t xml:space="preserve">三相异步电动机的多地控制</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(12)</w:t>
              <w:tab/>
              <w:t xml:space="preserve">工作台自动往返控制线路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(13)</w:t>
              <w:tab/>
              <w:t xml:space="preserve">学生自行设计电路的安装、接线与调试</w:t>
            </w:r>
            <w:r/>
          </w:p>
          <w:p>
            <w:pPr>
              <w:pStyle w:val="1100"/>
              <w:ind w:firstLine="414"/>
              <w:spacing w:line="360" w:lineRule="exact"/>
              <w:rPr>
                <w:rFonts w:ascii="宋体" w:hAnsi="宋体" w:cs="宋体"/>
                <w:b/>
                <w:bCs/>
                <w:spacing w:val="-2"/>
                <w:szCs w:val="21"/>
              </w:rPr>
            </w:pPr>
            <w:r>
              <w:rPr>
                <w:rFonts w:ascii="宋体" w:hAnsi="宋体" w:cs="宋体"/>
                <w:b/>
                <w:bCs/>
                <w:spacing w:val="-2"/>
                <w:szCs w:val="21"/>
              </w:rPr>
              <w:t xml:space="preserve">仪表照明实训项目</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w:t>
              <w:tab/>
              <w:t xml:space="preserve">电工常用工具的使用</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w:t>
              <w:tab/>
              <w:t xml:space="preserve">白炽灯照明电路的安装</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w:t>
              <w:tab/>
              <w:t xml:space="preserve">两个开关控制一盏灯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(4)</w:t>
              <w:tab/>
              <w:t xml:space="preserve">两地控制一盏灯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(5)</w:t>
              <w:tab/>
              <w:t xml:space="preserve">声控开关控制照明电路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(6)</w:t>
              <w:tab/>
              <w:t xml:space="preserve">日光灯电路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(7)</w:t>
              <w:tab/>
              <w:t xml:space="preserve">电度表原理与接线</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(8)</w:t>
              <w:tab/>
              <w:t xml:space="preserve">单相电度表经电流互感器接线</w:t>
            </w:r>
            <w:r/>
          </w:p>
          <w:p>
            <w:pPr>
              <w:pStyle w:val="1100"/>
              <w:ind w:firstLine="412"/>
              <w:spacing w:line="360" w:lineRule="exact"/>
              <w:rPr>
                <w:rFonts w:ascii="宋体" w:hAnsi="宋体" w:cs="宋体"/>
                <w:b/>
                <w:szCs w:val="21"/>
              </w:rPr>
            </w:pPr>
            <w:r>
              <w:rPr>
                <w:rFonts w:ascii="宋体" w:hAnsi="宋体" w:cs="宋体"/>
                <w:spacing w:val="-2"/>
                <w:szCs w:val="21"/>
              </w:rPr>
              <w:t xml:space="preserve">(9)</w:t>
              <w:tab/>
              <w:t xml:space="preserve">住宅照明线路实训</w:t>
            </w:r>
            <w:r>
              <w:rPr>
                <w:rFonts w:ascii="宋体" w:hAnsi="宋体" w:cs="宋体"/>
                <w:b/>
                <w:szCs w:val="21"/>
              </w:rPr>
            </w:r>
            <w:r/>
          </w:p>
        </w:tc>
      </w:tr>
      <w:tr>
        <w:trPr>
          <w:trHeight w:val="170"/>
        </w:trPr>
        <w:tc>
          <w:tcPr>
            <w:tcW w:w="416" w:type="pct"/>
            <w:vAlign w:val="center"/>
            <w:textDirection w:val="lrTb"/>
            <w:noWrap w:val="false"/>
          </w:tcPr>
          <w:p>
            <w:pPr>
              <w:pStyle w:val="1100"/>
              <w:contextualSpacing/>
              <w:jc w:val="center"/>
              <w:spacing w:line="360" w:lineRule="exact"/>
              <w:rPr>
                <w:rFonts w:ascii="宋体" w:hAnsi="宋体" w:cs="宋体"/>
                <w:b/>
                <w:szCs w:val="21"/>
              </w:rPr>
              <w:outlineLvl w:val="1"/>
            </w:pPr>
            <w:r>
              <w:rPr>
                <w:rFonts w:ascii="宋体" w:hAnsi="宋体" w:cs="宋体"/>
                <w:b/>
                <w:szCs w:val="21"/>
              </w:rPr>
              <w:t xml:space="preserve">2</w:t>
            </w:r>
            <w:r/>
          </w:p>
        </w:tc>
        <w:tc>
          <w:tcPr>
            <w:tcW w:w="656" w:type="pct"/>
            <w:vAlign w:val="center"/>
            <w:textDirection w:val="lrTb"/>
            <w:noWrap w:val="false"/>
          </w:tcPr>
          <w:p>
            <w:pPr>
              <w:pStyle w:val="1100"/>
              <w:contextualSpacing/>
              <w:jc w:val="center"/>
              <w:spacing w:line="360" w:lineRule="exact"/>
              <w:rPr>
                <w:rFonts w:ascii="宋体" w:hAnsi="宋体" w:cs="宋体"/>
                <w:b/>
                <w:szCs w:val="21"/>
              </w:rPr>
              <w:outlineLvl w:val="1"/>
            </w:pPr>
            <w:r>
              <w:rPr>
                <w:rFonts w:ascii="宋体" w:hAnsi="宋体" w:cs="宋体"/>
                <w:b/>
                <w:szCs w:val="21"/>
              </w:rPr>
              <w:t xml:space="preserve">自动控制装调平台</w:t>
            </w:r>
            <w:r/>
          </w:p>
          <w:p>
            <w:pPr>
              <w:pStyle w:val="1100"/>
              <w:contextualSpacing/>
              <w:jc w:val="center"/>
              <w:spacing w:line="360" w:lineRule="exact"/>
              <w:rPr>
                <w:rFonts w:ascii="宋体" w:hAnsi="宋体" w:cs="宋体"/>
                <w:b/>
                <w:szCs w:val="21"/>
              </w:rPr>
              <w:outlineLvl w:val="1"/>
            </w:pPr>
            <w:r>
              <w:rPr>
                <w:rFonts w:ascii="宋体" w:hAnsi="宋体" w:cs="宋体"/>
                <w:b/>
                <w:szCs w:val="21"/>
              </w:rPr>
              <w:t xml:space="preserve">(核心产品)</w:t>
            </w:r>
            <w:r/>
          </w:p>
        </w:tc>
        <w:tc>
          <w:tcPr>
            <w:tcW w:w="3928" w:type="pct"/>
            <w:vAlign w:val="center"/>
            <w:textDirection w:val="lrTb"/>
            <w:noWrap w:val="false"/>
          </w:tcPr>
          <w:p>
            <w:pPr>
              <w:pStyle w:val="1100"/>
              <w:spacing w:line="360" w:lineRule="exact"/>
              <w:rPr>
                <w:rFonts w:ascii="宋体" w:hAnsi="宋体" w:cs="宋体"/>
                <w:b/>
                <w:bCs/>
                <w:szCs w:val="21"/>
              </w:rPr>
            </w:pPr>
            <w:r>
              <w:rPr>
                <w:rFonts w:ascii="宋体" w:hAnsi="宋体" w:cs="宋体"/>
                <w:b/>
                <w:bCs/>
                <w:szCs w:val="21"/>
              </w:rPr>
              <w:t xml:space="preserve">一、技术性能要求</w:t>
            </w:r>
            <w:r/>
          </w:p>
          <w:p>
            <w:pPr>
              <w:pStyle w:val="1100"/>
              <w:numPr>
                <w:ilvl w:val="0"/>
                <w:numId w:val="29"/>
              </w:numPr>
              <w:ind w:firstLine="420"/>
              <w:spacing w:line="360" w:lineRule="exact"/>
              <w:rPr>
                <w:rFonts w:ascii="宋体" w:hAnsi="宋体" w:cs="宋体"/>
                <w:szCs w:val="21"/>
              </w:rPr>
            </w:pPr>
            <w:r>
              <w:rPr>
                <w:rFonts w:ascii="宋体" w:hAnsi="宋体" w:cs="宋体"/>
                <w:szCs w:val="21"/>
              </w:rPr>
              <w:t xml:space="preserve">输入电源：三相四线AC380V±10% 50Hz</w:t>
            </w:r>
            <w:r/>
          </w:p>
          <w:p>
            <w:pPr>
              <w:pStyle w:val="1100"/>
              <w:numPr>
                <w:ilvl w:val="0"/>
                <w:numId w:val="29"/>
              </w:numPr>
              <w:ind w:firstLine="420"/>
              <w:jc w:val="left"/>
              <w:spacing w:line="360" w:lineRule="exact"/>
              <w:rPr>
                <w:rFonts w:ascii="宋体" w:hAnsi="宋体" w:cs="宋体"/>
                <w:szCs w:val="21"/>
              </w:rPr>
            </w:pPr>
            <w:r>
              <w:rPr>
                <w:rFonts w:ascii="宋体" w:hAnsi="宋体" w:cs="宋体"/>
                <w:szCs w:val="21"/>
              </w:rPr>
              <w:t xml:space="preserve">外形尺寸：≥1380mm×720mm×1520mm</w:t>
            </w:r>
            <w:r/>
          </w:p>
          <w:p>
            <w:pPr>
              <w:pStyle w:val="1100"/>
              <w:spacing w:line="360" w:lineRule="exact"/>
              <w:rPr>
                <w:rFonts w:ascii="宋体" w:hAnsi="宋体" w:cs="宋体"/>
                <w:b/>
                <w:bCs/>
                <w:szCs w:val="21"/>
              </w:rPr>
            </w:pPr>
            <w:r>
              <w:rPr>
                <w:rFonts w:ascii="宋体" w:hAnsi="宋体" w:cs="宋体"/>
                <w:b/>
                <w:bCs/>
                <w:szCs w:val="21"/>
              </w:rPr>
              <w:t xml:space="preserve">二、基本配置及功能要求</w:t>
            </w:r>
            <w:r/>
          </w:p>
          <w:p>
            <w:pPr>
              <w:pStyle w:val="1100"/>
              <w:ind w:firstLine="420"/>
              <w:spacing w:line="360" w:lineRule="exact"/>
              <w:rPr>
                <w:rFonts w:ascii="宋体" w:hAnsi="宋体" w:cs="宋体"/>
                <w:spacing w:val="-2"/>
                <w:szCs w:val="21"/>
              </w:rPr>
            </w:pPr>
            <w:r>
              <w:rPr>
                <w:rFonts w:ascii="宋体" w:hAnsi="宋体" w:cs="宋体"/>
                <w:szCs w:val="21"/>
              </w:rPr>
              <w:t xml:space="preserve">1.实训台：</w:t>
            </w:r>
            <w:r>
              <w:rPr>
                <w:rFonts w:ascii="宋体" w:hAnsi="宋体" w:cs="宋体"/>
                <w:spacing w:val="-2"/>
                <w:szCs w:val="21"/>
              </w:rPr>
            </w:r>
            <w:r/>
          </w:p>
          <w:p>
            <w:pPr>
              <w:pStyle w:val="1100"/>
              <w:ind w:firstLine="412"/>
              <w:spacing w:line="360" w:lineRule="exact"/>
              <w:rPr>
                <w:rFonts w:ascii="宋体" w:hAnsi="宋体" w:cs="宋体"/>
                <w:spacing w:val="-2"/>
                <w:szCs w:val="21"/>
              </w:rPr>
            </w:pPr>
            <w:r>
              <w:rPr>
                <w:rFonts w:ascii="宋体" w:hAnsi="宋体" w:cs="宋体"/>
                <w:spacing w:val="-2"/>
                <w:szCs w:val="21"/>
              </w:rPr>
              <w:t xml:space="preserve">（1）框架：由左右桌腿、底框、后侧封板组合而成。表面经脱脂、磷化、静电喷塑处理，涂层厚度≥0.5mm，防锈耐磨，灰白色（颜色可定制）；</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（2）左右桌腿：采用≥30mm*60mm*1.5mm冷轧方钢和≥1.0mm的冷轧钢板焊接成型，拐角处才有圆弧造型，既美观又安全，侧面凸起设计；</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（3）底框：采用≥30mm*30mm*1.2mm冷轧方钢焊接成型，配有安装孔与台面和左右桌腿实现快速固定；</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（4）后侧封板：采用≥1.0mm冷轧钢板折弯成型。</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（5）桌面：E0级三聚氰胺复面合成板，台面厚度≥25mm，前后面采用圆弧过渡处理。表面和边缘采用高温热压防火PVC，安全环保，坚固耐用，灰白色。</w:t>
            </w:r>
            <w:r/>
          </w:p>
          <w:p>
            <w:pPr>
              <w:pStyle w:val="1100"/>
              <w:ind w:firstLine="420"/>
              <w:spacing w:line="360" w:lineRule="exact"/>
              <w:rPr>
                <w:rFonts w:ascii="宋体" w:hAnsi="宋体" w:cs="宋体"/>
                <w:spacing w:val="-2"/>
                <w:szCs w:val="21"/>
              </w:rPr>
            </w:pPr>
            <w:r>
              <w:rPr>
                <w:rFonts w:ascii="宋体" w:hAnsi="宋体" w:cs="宋体"/>
                <w:szCs w:val="21"/>
              </w:rPr>
              <w:t xml:space="preserve">2.实验台架：</w:t>
            </w:r>
            <w:r>
              <w:rPr>
                <w:rFonts w:ascii="宋体" w:hAnsi="宋体" w:cs="宋体"/>
                <w:spacing w:val="-2"/>
                <w:szCs w:val="21"/>
              </w:rPr>
              <w:t xml:space="preserve">实验台架采用独立框架式结构设计，框架由上中下左右五根工业型材分割为上下两个区域，所有型材表面光滑，无凹槽，用于放置交直流电源、测量仪器仪表和实验模块等。实验台两侧提供单相多功能插座和三相四线交流电源插座，为外配仪器设备提供工作电源。</w:t>
            </w:r>
            <w:r/>
          </w:p>
          <w:p>
            <w:pPr>
              <w:pStyle w:val="1100"/>
              <w:ind w:firstLine="420"/>
              <w:spacing w:line="360" w:lineRule="exact"/>
              <w:rPr>
                <w:rFonts w:ascii="宋体" w:hAnsi="宋体" w:cs="宋体"/>
                <w:szCs w:val="21"/>
              </w:rPr>
            </w:pPr>
            <w:r>
              <w:rPr>
                <w:rFonts w:ascii="宋体" w:hAnsi="宋体" w:cs="宋体"/>
                <w:szCs w:val="21"/>
              </w:rPr>
              <w:t xml:space="preserve">3.活动储物柜：采用圆弧卷边冷冲压钣金一体成型，封闭式结构，表面静电喷涂，外形尺寸：≥宽450</w:t>
            </w:r>
            <w:r>
              <w:rPr>
                <w:rFonts w:hint="eastAsia" w:ascii="宋体" w:hAnsi="宋体" w:cs="宋体"/>
                <w:szCs w:val="21"/>
              </w:rPr>
              <w:t xml:space="preserve">×</w:t>
            </w:r>
            <w:r>
              <w:rPr>
                <w:rFonts w:ascii="宋体" w:hAnsi="宋体" w:cs="宋体"/>
                <w:szCs w:val="21"/>
              </w:rPr>
              <w:t xml:space="preserve">深550</w:t>
            </w:r>
            <w:r>
              <w:rPr>
                <w:rFonts w:hint="eastAsia" w:ascii="宋体" w:hAnsi="宋体" w:cs="宋体"/>
                <w:szCs w:val="21"/>
              </w:rPr>
              <w:t xml:space="preserve">×</w:t>
            </w:r>
            <w:r>
              <w:rPr>
                <w:rFonts w:ascii="宋体" w:hAnsi="宋体" w:cs="宋体"/>
                <w:szCs w:val="21"/>
              </w:rPr>
              <w:t xml:space="preserve">高700（mm），总重量≥31kg；柜体四边圆弧设计，柜体边框总厚度≤2.5mm；配有承重型卡扣式三节轨，导轨承重量≥30kg，抽屉把手采用卡套式钣金卷边工艺，把手尺寸≥440</w:t>
            </w:r>
            <w:r>
              <w:rPr>
                <w:rFonts w:hint="eastAsia" w:ascii="宋体" w:hAnsi="宋体" w:cs="宋体"/>
                <w:szCs w:val="21"/>
              </w:rPr>
              <w:t xml:space="preserve">×</w:t>
            </w:r>
            <w:r>
              <w:rPr>
                <w:rFonts w:ascii="宋体" w:hAnsi="宋体" w:cs="宋体"/>
                <w:szCs w:val="21"/>
              </w:rPr>
              <w:t xml:space="preserve">45</w:t>
            </w:r>
            <w:r>
              <w:rPr>
                <w:rFonts w:hint="eastAsia" w:ascii="宋体" w:hAnsi="宋体" w:cs="宋体"/>
                <w:szCs w:val="21"/>
              </w:rPr>
              <w:t xml:space="preserve">×</w:t>
            </w:r>
            <w:r>
              <w:rPr>
                <w:rFonts w:ascii="宋体" w:hAnsi="宋体" w:cs="宋体"/>
                <w:szCs w:val="21"/>
              </w:rPr>
              <w:t xml:space="preserve">18mm，抽屉采用联体锁设计，底部配有4个万向带刹车脚轮。</w:t>
            </w:r>
            <w:r/>
          </w:p>
          <w:p>
            <w:pPr>
              <w:pStyle w:val="1100"/>
              <w:ind w:firstLine="420"/>
              <w:spacing w:line="360" w:lineRule="exact"/>
              <w:rPr>
                <w:rFonts w:ascii="宋体" w:hAnsi="宋体" w:cs="宋体"/>
                <w:szCs w:val="21"/>
              </w:rPr>
            </w:pPr>
            <w:r>
              <w:rPr>
                <w:rFonts w:ascii="宋体" w:hAnsi="宋体" w:cs="宋体"/>
                <w:szCs w:val="21"/>
              </w:rPr>
              <w:t xml:space="preserve">4.电源控制模块：配置一个4P漏电保护器，下面印有注意事项喷涂标志；设有电压指示表，监测进线电源；配有启动、停止和急停按钮控制设备电源的启停，提供三相五线线电压380V和相电压AC220V电源，引出到面板分别为4号实验接口L1、L2、L3、N、PE。交流输出带过流保护装置,并配有输出电源指示灯监视；配置24V/2A直流电源，单独电源开关控制，引出到面板分别为三组3号和一组2号实验接口，直流输出带过流保护装置,并配有一只直流数显电压电流功率多功能仪表监视；外形尺寸</w:t>
            </w:r>
            <w:r>
              <w:rPr>
                <w:rFonts w:hint="eastAsia" w:ascii="宋体" w:hAnsi="宋体" w:cs="宋体"/>
                <w:szCs w:val="21"/>
              </w:rPr>
              <w:t xml:space="preserve">≥</w:t>
            </w:r>
            <w:r>
              <w:rPr>
                <w:rFonts w:ascii="宋体" w:hAnsi="宋体" w:cs="宋体"/>
                <w:szCs w:val="21"/>
              </w:rPr>
              <w:t xml:space="preserve">400mm×295mm×150mm，采用挂箱模块式结构，冷轧钢板喷塑箱体，铝质面板(厚度</w:t>
            </w:r>
            <w:r>
              <w:rPr>
                <w:rFonts w:hint="eastAsia" w:ascii="宋体" w:hAnsi="宋体" w:cs="宋体"/>
                <w:szCs w:val="21"/>
              </w:rPr>
              <w:t xml:space="preserve">≥</w:t>
            </w:r>
            <w:r>
              <w:rPr>
                <w:rFonts w:ascii="宋体" w:hAnsi="宋体" w:cs="宋体"/>
                <w:szCs w:val="21"/>
              </w:rPr>
              <w:t xml:space="preserve">2mm)；</w:t>
            </w:r>
            <w:r/>
          </w:p>
          <w:p>
            <w:pPr>
              <w:pStyle w:val="1100"/>
              <w:ind w:firstLine="420"/>
              <w:spacing w:line="360" w:lineRule="exact"/>
              <w:rPr>
                <w:rFonts w:ascii="宋体" w:hAnsi="宋体" w:cs="宋体"/>
                <w:szCs w:val="21"/>
              </w:rPr>
            </w:pPr>
            <w:r>
              <w:rPr>
                <w:rFonts w:ascii="宋体" w:hAnsi="宋体" w:cs="宋体"/>
                <w:szCs w:val="21"/>
              </w:rPr>
              <w:t xml:space="preserve">5.PLC主机模块1：采用挂箱模块式结构，冷轧钢板喷塑箱体；铝质面板(厚度</w:t>
            </w:r>
            <w:r>
              <w:rPr>
                <w:rFonts w:hint="eastAsia" w:ascii="宋体" w:hAnsi="宋体" w:cs="宋体"/>
                <w:szCs w:val="21"/>
              </w:rPr>
              <w:t xml:space="preserve">≥</w:t>
            </w:r>
            <w:r>
              <w:rPr>
                <w:rFonts w:ascii="宋体" w:hAnsi="宋体" w:cs="宋体"/>
                <w:szCs w:val="21"/>
              </w:rPr>
              <w:t xml:space="preserve">2mm)； 电源：直流 20.4-28.8V DC； 机载 I/O： 14x DI 24V DC；10 DO 24V DC； 存储器：程序 250 KB 数据：750 KB，掉电保持：20 KB；集成2个以太网口，支持以太网通讯，配套与PLC主机编程线缆、正版TIA编程软件。配置模拟量信号板,支持2路AI 2x14 位模拟量输入/2路AQ 2x14 位模拟量输出；</w:t>
            </w:r>
            <w:r/>
          </w:p>
          <w:p>
            <w:pPr>
              <w:pStyle w:val="1100"/>
              <w:ind w:firstLine="420"/>
              <w:spacing w:line="360" w:lineRule="exact"/>
              <w:rPr>
                <w:rFonts w:ascii="宋体" w:hAnsi="宋体" w:cs="宋体"/>
                <w:szCs w:val="21"/>
              </w:rPr>
            </w:pPr>
            <w:r>
              <w:rPr>
                <w:rFonts w:ascii="宋体" w:hAnsi="宋体" w:cs="宋体"/>
                <w:szCs w:val="21"/>
              </w:rPr>
              <w:t xml:space="preserve">6.PLC主机模块2：采用挂箱模块式结构，冷轧钢板喷塑箱体；铝质面板(厚度2mm)；PLC主机可带8轴，双以太网</w:t>
            </w:r>
            <w:r>
              <w:rPr>
                <w:rFonts w:ascii="宋体" w:hAnsi="宋体" w:cs="宋体"/>
                <w:szCs w:val="21"/>
              </w:rPr>
              <w:t xml:space="preserve">口，本体自带8入8出，漏型晶体管输出，以太网支EtherNet/IP、ModbusTCP、Socket、PROFINET从站和FINS TCP&amp;UDP从站，程序上下载和固件升级，支持以太网通讯，配套PLC编程线缆、编程软件。配置扩展模块8点数字量输入，8点数字量输出扩展模块，数字量输入，晶体管输出总线输入电源额定电压5VDC（4.75VDC～5.25VDC）总线输入电源额定电流85mA（时典型值）端子输入电源额定电压24VDC（20.4VDC～28.8VDC）端子输入电源额定电流50mA（24V时典型值）。</w:t>
            </w:r>
            <w:r/>
          </w:p>
          <w:p>
            <w:pPr>
              <w:pStyle w:val="1100"/>
              <w:ind w:firstLine="420"/>
              <w:spacing w:line="360" w:lineRule="exact"/>
              <w:rPr>
                <w:rFonts w:ascii="宋体" w:hAnsi="宋体" w:cs="宋体"/>
                <w:szCs w:val="21"/>
              </w:rPr>
            </w:pPr>
            <w:r>
              <w:rPr>
                <w:rFonts w:ascii="宋体" w:hAnsi="宋体" w:cs="宋体"/>
                <w:szCs w:val="21"/>
              </w:rPr>
              <w:t xml:space="preserve">7.变频器模块：采用挂箱模块式结构，冷轧钢板喷塑箱体；铝质面板(厚度2mm)；采用与PLC主机模块1同一品牌，单相220V供电，输出功率0.37KW。集成RS-485通讯接口，提供BOP操作面板；具有线性V/F控制、平方V/F控制、可编程多点设定V/F控制，磁通电流控制、直流转矩控制；集成4路数字量输入，2路模拟量输入。</w:t>
            </w:r>
            <w:r/>
          </w:p>
          <w:p>
            <w:pPr>
              <w:pStyle w:val="1100"/>
              <w:ind w:firstLine="420"/>
              <w:spacing w:line="360" w:lineRule="exact"/>
              <w:rPr>
                <w:rFonts w:ascii="宋体" w:hAnsi="宋体" w:cs="宋体"/>
                <w:szCs w:val="21"/>
              </w:rPr>
            </w:pPr>
            <w:r>
              <w:rPr>
                <w:rFonts w:ascii="宋体" w:hAnsi="宋体" w:cs="宋体"/>
                <w:szCs w:val="21"/>
              </w:rPr>
              <w:t xml:space="preserve">8.触摸屏模块：采用</w:t>
            </w:r>
            <w:r>
              <w:rPr>
                <w:rFonts w:hint="eastAsia" w:ascii="宋体" w:hAnsi="宋体" w:cs="宋体"/>
                <w:szCs w:val="21"/>
              </w:rPr>
              <w:t xml:space="preserve">≥</w:t>
            </w:r>
            <w:r>
              <w:rPr>
                <w:rFonts w:ascii="宋体" w:hAnsi="宋体" w:cs="宋体"/>
                <w:szCs w:val="21"/>
              </w:rPr>
              <w:t xml:space="preserve">7寸彩色触摸屏（分辨率</w:t>
            </w:r>
            <w:r>
              <w:rPr>
                <w:rFonts w:hint="eastAsia" w:ascii="宋体" w:hAnsi="宋体" w:cs="宋体"/>
                <w:szCs w:val="21"/>
              </w:rPr>
              <w:t xml:space="preserve">不低于</w:t>
            </w:r>
            <w:r>
              <w:rPr>
                <w:rFonts w:ascii="宋体" w:hAnsi="宋体" w:cs="宋体"/>
                <w:szCs w:val="21"/>
              </w:rPr>
              <w:t xml:space="preserve">800×480），支持以太网通讯。配置以太网交换机一个，可以通过以太网交换机控制运动部件，以太网交换机采用导轨式10/100MBIT/S自适应工业以太网交换机，自带5个双绞线端口，RJ45接口，供电电源DC24V。</w:t>
            </w:r>
            <w:r/>
          </w:p>
          <w:p>
            <w:pPr>
              <w:pStyle w:val="1100"/>
              <w:ind w:firstLine="420"/>
              <w:spacing w:line="360" w:lineRule="exact"/>
              <w:rPr>
                <w:rFonts w:ascii="宋体" w:hAnsi="宋体" w:cs="宋体"/>
                <w:szCs w:val="21"/>
              </w:rPr>
            </w:pPr>
            <w:r>
              <w:rPr>
                <w:rFonts w:ascii="宋体" w:hAnsi="宋体" w:cs="宋体"/>
                <w:szCs w:val="21"/>
              </w:rPr>
              <w:t xml:space="preserve">9.直流信号发生器模块:提供一体化工业标准直流信号0-10V和4-20mA，集成4位数显表显示，精度0.01级，0.1mv的跳动变化，数字编码器粗微调双模式调节。</w:t>
            </w:r>
            <w:r/>
          </w:p>
          <w:p>
            <w:pPr>
              <w:pStyle w:val="1100"/>
              <w:ind w:firstLine="420"/>
              <w:spacing w:line="360" w:lineRule="exact"/>
              <w:rPr>
                <w:rFonts w:ascii="宋体" w:hAnsi="宋体" w:cs="宋体"/>
                <w:szCs w:val="21"/>
              </w:rPr>
            </w:pPr>
            <w:r>
              <w:rPr>
                <w:rFonts w:ascii="宋体" w:hAnsi="宋体" w:cs="宋体"/>
                <w:szCs w:val="21"/>
              </w:rPr>
              <w:t xml:space="preserve">10.基本指令练习模块:提供6路输入，6路输出等接口，输入、输出端电压可自由切换0V和24V，输出端由指示灯的亮灭来指示PLC输出口的状态，面板印有清晰的接线说明和端口丝印。通过基本指令练习，让学生彻底掌握PLC输入、输出的外围接线和工作原理。</w:t>
            </w:r>
            <w:r/>
          </w:p>
          <w:p>
            <w:pPr>
              <w:pStyle w:val="1100"/>
              <w:ind w:firstLine="420"/>
              <w:spacing w:line="360" w:lineRule="exact"/>
              <w:rPr>
                <w:rFonts w:ascii="宋体" w:hAnsi="宋体" w:cs="宋体"/>
                <w:bCs/>
                <w:szCs w:val="21"/>
              </w:rPr>
            </w:pPr>
            <w:r>
              <w:rPr>
                <w:rFonts w:ascii="宋体" w:hAnsi="宋体" w:cs="宋体"/>
                <w:szCs w:val="21"/>
              </w:rPr>
              <w:t xml:space="preserve">11.PLC智能场景教学系统:</w:t>
            </w:r>
            <w:r>
              <w:rPr>
                <w:rFonts w:ascii="宋体" w:hAnsi="宋体" w:cs="宋体"/>
                <w:bCs/>
                <w:szCs w:val="21"/>
              </w:rPr>
            </w:r>
            <w:r/>
          </w:p>
          <w:p>
            <w:pPr>
              <w:pStyle w:val="1100"/>
              <w:ind w:firstLine="420"/>
              <w:spacing w:line="360" w:lineRule="exact"/>
              <w:rPr>
                <w:rFonts w:ascii="宋体" w:hAnsi="宋体" w:cs="宋体"/>
                <w:bCs/>
                <w:szCs w:val="21"/>
              </w:rPr>
            </w:pPr>
            <w:r>
              <w:rPr>
                <w:rFonts w:ascii="宋体" w:hAnsi="宋体" w:cs="宋体"/>
                <w:bCs/>
                <w:szCs w:val="21"/>
              </w:rPr>
              <w:t xml:space="preserve">采用模块化设计，主控系统+实训模块结合形式，支持按需组合功能模块，满足个性化需求（如按教学场景自由搭配）。系统通过磁吸快拆设计、无线智能识别、智能语音等功能。</w:t>
            </w:r>
            <w:r/>
          </w:p>
          <w:p>
            <w:pPr>
              <w:pStyle w:val="1100"/>
              <w:ind w:firstLine="420"/>
              <w:spacing w:line="360" w:lineRule="exact"/>
              <w:rPr>
                <w:rFonts w:ascii="宋体" w:hAnsi="宋体" w:cs="宋体"/>
                <w:bCs/>
                <w:szCs w:val="21"/>
              </w:rPr>
            </w:pPr>
            <w:r>
              <w:rPr>
                <w:rFonts w:ascii="宋体" w:hAnsi="宋体" w:cs="宋体"/>
                <w:bCs/>
                <w:szCs w:val="21"/>
              </w:rPr>
              <w:t xml:space="preserve">（1）磁吸快拆设计：采用≥16点分布式钕铁硼强磁阵列设计，单点吸附力≥3N，支持模块任意角度快速盲放吸附定位，模块拆装时间&lt;2秒，实现即取即用；</w:t>
            </w:r>
            <w:r/>
          </w:p>
          <w:p>
            <w:pPr>
              <w:pStyle w:val="1100"/>
              <w:ind w:firstLine="420"/>
              <w:spacing w:line="360" w:lineRule="exact"/>
              <w:rPr>
                <w:rFonts w:ascii="宋体" w:hAnsi="宋体" w:cs="宋体"/>
                <w:bCs/>
                <w:szCs w:val="21"/>
              </w:rPr>
            </w:pPr>
            <w:r>
              <w:rPr>
                <w:rFonts w:ascii="宋体" w:hAnsi="宋体" w:cs="宋体"/>
                <w:bCs/>
                <w:szCs w:val="21"/>
              </w:rPr>
              <w:t xml:space="preserve">（2）无线智能识别功能:采用无线感应技术自动识别，内置动态防抖算法确保识别稳定性，匹配成功率≥99.8%，动态匹配机制自动运行当前模块，无需外部手动干预，匹配迅速无延迟。</w:t>
            </w:r>
            <w:r/>
          </w:p>
          <w:p>
            <w:pPr>
              <w:pStyle w:val="1100"/>
              <w:ind w:firstLine="420"/>
              <w:spacing w:line="360" w:lineRule="exact"/>
              <w:rPr>
                <w:rFonts w:ascii="宋体" w:hAnsi="宋体" w:cs="宋体"/>
                <w:bCs/>
                <w:szCs w:val="21"/>
              </w:rPr>
            </w:pPr>
            <w:r>
              <w:rPr>
                <w:rFonts w:ascii="宋体" w:hAnsi="宋体" w:cs="宋体"/>
                <w:bCs/>
                <w:szCs w:val="21"/>
              </w:rPr>
              <w:t xml:space="preserve">（3）智能语音功能：采用动态匹配编码与媒体库，支持语音输出，模块放入自动开始播报，模块离开后自动停止。</w:t>
            </w:r>
            <w:r/>
          </w:p>
          <w:p>
            <w:pPr>
              <w:pStyle w:val="1100"/>
              <w:ind w:firstLine="420"/>
              <w:spacing w:line="360" w:lineRule="exact"/>
              <w:rPr>
                <w:rFonts w:ascii="宋体" w:hAnsi="宋体" w:cs="宋体"/>
                <w:bCs/>
                <w:szCs w:val="21"/>
              </w:rPr>
            </w:pPr>
            <w:r>
              <w:rPr>
                <w:rFonts w:ascii="宋体" w:hAnsi="宋体" w:cs="宋体"/>
                <w:bCs/>
                <w:szCs w:val="21"/>
              </w:rPr>
              <w:t xml:space="preserve">（4）交互功能：集成8路点动按钮输出和8路自锁开关输出，12路NPN/PNP均兼容输入，12路NPN/PNP均兼容输出，满足多种实训需求。</w:t>
            </w:r>
            <w:r/>
          </w:p>
          <w:p>
            <w:pPr>
              <w:pStyle w:val="1100"/>
              <w:ind w:firstLine="420"/>
              <w:spacing w:line="360" w:lineRule="exact"/>
              <w:rPr>
                <w:rFonts w:ascii="宋体" w:hAnsi="宋体" w:cs="宋体"/>
                <w:bCs/>
                <w:szCs w:val="21"/>
              </w:rPr>
            </w:pPr>
            <w:r>
              <w:rPr>
                <w:rFonts w:ascii="宋体" w:hAnsi="宋体" w:cs="宋体"/>
                <w:bCs/>
                <w:szCs w:val="21"/>
              </w:rPr>
              <w:t xml:space="preserve">（5）两种工作模式自由切换：示教演示模式和编程训练模式。</w:t>
            </w:r>
            <w:r/>
          </w:p>
          <w:p>
            <w:pPr>
              <w:pStyle w:val="1100"/>
              <w:ind w:firstLine="420"/>
              <w:spacing w:line="360" w:lineRule="exact"/>
              <w:rPr>
                <w:rFonts w:ascii="宋体" w:hAnsi="宋体" w:cs="宋体"/>
                <w:bCs/>
                <w:szCs w:val="21"/>
              </w:rPr>
            </w:pPr>
            <w:r>
              <w:rPr>
                <w:rFonts w:ascii="宋体" w:hAnsi="宋体" w:cs="宋体"/>
                <w:bCs/>
                <w:szCs w:val="21"/>
              </w:rPr>
              <w:t xml:space="preserve">（6）示教演示模式功能：示教演示模式自动调用预置标准化程序库，自动运行当前项目，自动语音讲解项目流程与控制逻辑，帮助学生快速理解。</w:t>
            </w:r>
            <w:r/>
          </w:p>
          <w:p>
            <w:pPr>
              <w:pStyle w:val="1100"/>
              <w:ind w:firstLine="420"/>
              <w:spacing w:line="360" w:lineRule="exact"/>
              <w:rPr>
                <w:rFonts w:ascii="宋体" w:hAnsi="宋体" w:cs="宋体"/>
                <w:bCs/>
                <w:szCs w:val="21"/>
              </w:rPr>
            </w:pPr>
            <w:r>
              <w:rPr>
                <w:rFonts w:ascii="宋体" w:hAnsi="宋体" w:cs="宋体"/>
                <w:bCs/>
                <w:szCs w:val="21"/>
              </w:rPr>
              <w:t xml:space="preserve">（7）编程训练模式功能：编程训练模式，支持西门子、三菱、欧姆龙、信捷等多品牌PLC控制器或者单片机控制，提供编程接口和工具，方便学生进行PLC编程训练和调试。</w:t>
            </w:r>
            <w:r/>
          </w:p>
          <w:p>
            <w:pPr>
              <w:pStyle w:val="1100"/>
              <w:ind w:firstLine="412"/>
              <w:spacing w:line="360" w:lineRule="exact"/>
              <w:rPr>
                <w:rFonts w:ascii="宋体" w:hAnsi="宋体" w:cs="宋体"/>
                <w:b/>
                <w:szCs w:val="21"/>
              </w:rPr>
            </w:pPr>
            <w:r>
              <w:rPr>
                <w:rFonts w:ascii="宋体" w:hAnsi="宋体" w:cs="宋体"/>
                <w:spacing w:val="-2"/>
                <w:szCs w:val="21"/>
              </w:rPr>
              <w:t xml:space="preserve">■</w:t>
            </w:r>
            <w:r>
              <w:rPr>
                <w:rFonts w:ascii="宋体" w:hAnsi="宋体" w:cs="宋体"/>
                <w:bCs/>
                <w:szCs w:val="21"/>
              </w:rPr>
              <w:t xml:space="preserve">（8）提供至少提供基本指令练习、LED数码显示、天塔之光、水塔水位、十字路口交通灯、机械手、装配流水线、四节传送带、自控轧钢机、自控成型机、多种液体混合装置、音乐喷泉、舞台灯光模拟、运料小车模拟、自动洗衣机控制、四相步进电机模拟、艺术灯模拟、喷泉模拟控制、舞台艺术灯控制、抢答器控制等实训模块。</w:t>
            </w:r>
            <w:r>
              <w:rPr>
                <w:rFonts w:ascii="宋体" w:hAnsi="宋体" w:cs="宋体"/>
                <w:b/>
                <w:szCs w:val="21"/>
              </w:rPr>
              <w:t xml:space="preserve">（提供10种模块视频演示，体现磁吸定位、自动识别模块语音示教演示；演示一种模块的实验讲解，包含接线、示教模式和PLC控制讲解）</w:t>
            </w:r>
            <w:r/>
          </w:p>
          <w:p>
            <w:pPr>
              <w:pStyle w:val="1100"/>
              <w:ind w:firstLine="420"/>
              <w:spacing w:line="360" w:lineRule="exact"/>
              <w:rPr>
                <w:rFonts w:ascii="宋体" w:hAnsi="宋体" w:cs="宋体"/>
                <w:szCs w:val="21"/>
              </w:rPr>
            </w:pPr>
            <w:r>
              <w:rPr>
                <w:rFonts w:ascii="宋体" w:hAnsi="宋体" w:cs="宋体"/>
                <w:szCs w:val="21"/>
              </w:rPr>
              <w:t xml:space="preserve">12.实训电机:提供三相异步电动机1台，220V/△接法，转速1400转/min，功率40W，频率50HZ，绝缘等级E级。</w:t>
            </w:r>
            <w:r/>
          </w:p>
          <w:p>
            <w:pPr>
              <w:pStyle w:val="1100"/>
              <w:ind w:firstLine="420"/>
              <w:spacing w:line="360" w:lineRule="exact"/>
              <w:rPr>
                <w:rFonts w:ascii="宋体" w:hAnsi="宋体" w:cs="宋体"/>
                <w:szCs w:val="21"/>
              </w:rPr>
            </w:pPr>
            <w:r>
              <w:rPr>
                <w:rFonts w:ascii="宋体" w:hAnsi="宋体" w:cs="宋体"/>
                <w:szCs w:val="21"/>
              </w:rPr>
              <w:t xml:space="preserve">13.工作站辅助平台:框架采用方管和优质冷轧钢板，经折弯、焊接制作；框架表面为全自动脱脂、双面静电喷塑；桌面为E0级复面合成板一体成型覆膜，外形尺寸：620mm×600mm×950mm。底框参数采用30mm×60mm×1.0mm方管和</w:t>
            </w:r>
            <w:r>
              <w:rPr>
                <w:rFonts w:hint="eastAsia" w:ascii="宋体" w:hAnsi="宋体" w:cs="宋体"/>
                <w:szCs w:val="21"/>
              </w:rPr>
              <w:t xml:space="preserve">≥</w:t>
            </w:r>
            <w:r>
              <w:rPr>
                <w:rFonts w:ascii="宋体" w:hAnsi="宋体" w:cs="宋体"/>
                <w:szCs w:val="21"/>
              </w:rPr>
              <w:t xml:space="preserve">1.0mm冷轧钢板焊接；前高后低设计，落差≥40mm，过渡斜面≥30°；前方开口≥480mm；后方2个2.5寸万向带刹车脚轮，前方2个防滑</w:t>
            </w:r>
            <w:r>
              <w:rPr>
                <w:rFonts w:hint="eastAsia" w:ascii="MS Gothic" w:hAnsi="MS Gothic" w:eastAsia="MS Gothic" w:cs="MS Gothic"/>
                <w:szCs w:val="21"/>
              </w:rPr>
              <w:t xml:space="preserve">∅</w:t>
            </w:r>
            <w:r>
              <w:rPr>
                <w:rFonts w:ascii="宋体" w:hAnsi="宋体" w:cs="宋体"/>
                <w:szCs w:val="21"/>
              </w:rPr>
              <w:t xml:space="preserve">40mm调节脚，具有防移动功能。左右立板参数尺寸≥725mm×150mm×30mm，采用≥30mm×15mm×1.5mm方管和冷轧钢板焊接；上窄下宽，宽度差≥35mm；立板圆弧及30°斜面，与底框角度一致。主机箱参数尺寸508mm×500mm×200mm，</w:t>
            </w:r>
            <w:r>
              <w:rPr>
                <w:rFonts w:hint="eastAsia" w:ascii="宋体" w:hAnsi="宋体" w:cs="宋体"/>
                <w:szCs w:val="21"/>
              </w:rPr>
              <w:t xml:space="preserve">≥</w:t>
            </w:r>
            <w:r>
              <w:rPr>
                <w:rFonts w:ascii="宋体" w:hAnsi="宋体" w:cs="宋体"/>
                <w:szCs w:val="21"/>
              </w:rPr>
              <w:t xml:space="preserve">1.0mm冷轧钢板一次性折弯焊接；三面封边，均匀分布梅花形散热孔；横向后置安装，可隐藏连接线。桌框及抽斗参数桌框尺寸≥580mm×498mm×130mm，1.0mm冷轧钢板一次性折弯焊接，使用圆弧边和斜面设计；抽斗≥470mm×320mm×70mm，配300mm三节导轨；把手≥470mm×45mm×18mm。桌面板及显示器安全围板：桌面板≥620mm×600mm×18mm，上斜边45°、四角R30、前方内凹R300；围板≥595mm×200mm×160mm。</w:t>
            </w:r>
            <w:r/>
          </w:p>
          <w:p>
            <w:pPr>
              <w:pStyle w:val="1100"/>
              <w:ind w:firstLine="420"/>
              <w:spacing w:line="360" w:lineRule="exact"/>
              <w:rPr>
                <w:rFonts w:ascii="宋体" w:hAnsi="宋体" w:cs="宋体"/>
                <w:szCs w:val="21"/>
              </w:rPr>
            </w:pPr>
            <w:r>
              <w:rPr>
                <w:rFonts w:ascii="宋体" w:hAnsi="宋体" w:cs="宋体"/>
                <w:szCs w:val="21"/>
              </w:rPr>
              <w:t xml:space="preserve">14.实验连接线:每套配齐高可靠护套结构手枪插连接线，无氧铜抽丝而成插头采用实芯铜质件外套铍轻铜弹片，强弱电导线的插头插座尺寸分开，不可混插，安全可靠。</w:t>
            </w:r>
            <w:r/>
          </w:p>
          <w:p>
            <w:pPr>
              <w:pStyle w:val="1100"/>
              <w:ind w:firstLine="420"/>
              <w:spacing w:line="360" w:lineRule="exact"/>
              <w:rPr>
                <w:rFonts w:ascii="宋体" w:hAnsi="宋体" w:cs="宋体"/>
                <w:szCs w:val="21"/>
              </w:rPr>
            </w:pPr>
            <w:r>
              <w:rPr>
                <w:rFonts w:ascii="宋体" w:hAnsi="宋体" w:cs="宋体"/>
                <w:szCs w:val="21"/>
              </w:rPr>
              <w:t xml:space="preserve">15.可编程工作站：处理器不低于i5-11700，运行内存不低于16G DDR4，内存不低于500G。</w:t>
            </w:r>
            <w:r/>
          </w:p>
          <w:p>
            <w:pPr>
              <w:pStyle w:val="1100"/>
              <w:ind w:firstLine="420"/>
              <w:spacing w:line="360" w:lineRule="exact"/>
              <w:rPr>
                <w:rFonts w:ascii="宋体" w:hAnsi="宋体" w:cs="宋体"/>
                <w:szCs w:val="21"/>
              </w:rPr>
            </w:pPr>
            <w:r>
              <w:rPr>
                <w:rFonts w:ascii="宋体" w:hAnsi="宋体" w:cs="宋体"/>
                <w:szCs w:val="21"/>
              </w:rPr>
              <w:t xml:space="preserve">16.智能电气参数测试仪（整个实训室配一套）</w:t>
            </w:r>
            <w:r/>
          </w:p>
          <w:p>
            <w:pPr>
              <w:pStyle w:val="1100"/>
              <w:ind w:firstLine="420"/>
              <w:spacing w:line="360" w:lineRule="exact"/>
              <w:rPr>
                <w:rFonts w:ascii="宋体" w:hAnsi="宋体" w:cs="宋体"/>
                <w:b/>
                <w:bCs/>
                <w:szCs w:val="21"/>
              </w:rPr>
            </w:pPr>
            <w:r>
              <w:rPr>
                <w:rFonts w:ascii="宋体" w:hAnsi="宋体" w:cs="宋体"/>
                <w:szCs w:val="21"/>
              </w:rPr>
              <w:t xml:space="preserve">▲（1）主要功能搭载嵌入式系统，集成15.6英寸高清触控交互终端，融合信号采集、电源输出、信号发生、智能分析、数据运维于一体，设备可连接至外网，支持扩展云平台管理，满足集成化、智能化、数字化的现代化电气教学与科研测试终端。</w:t>
            </w:r>
            <w:r>
              <w:rPr>
                <w:rFonts w:ascii="宋体" w:hAnsi="宋体" w:cs="宋体"/>
                <w:b/>
                <w:bCs/>
                <w:szCs w:val="21"/>
              </w:rPr>
              <w:t xml:space="preserve">（投标时至少3个角度实物高清实物图）</w:t>
            </w:r>
            <w:r/>
          </w:p>
          <w:p>
            <w:pPr>
              <w:pStyle w:val="1100"/>
              <w:ind w:firstLine="420"/>
              <w:spacing w:line="360" w:lineRule="exact"/>
              <w:rPr>
                <w:rFonts w:ascii="宋体" w:hAnsi="宋体" w:cs="宋体"/>
                <w:szCs w:val="21"/>
              </w:rPr>
            </w:pPr>
            <w:r>
              <w:rPr>
                <w:rFonts w:ascii="宋体" w:hAnsi="宋体" w:cs="宋体"/>
                <w:szCs w:val="21"/>
              </w:rPr>
              <w:t xml:space="preserve">（2）硬件配置要求</w:t>
            </w:r>
            <w:r/>
          </w:p>
          <w:p>
            <w:pPr>
              <w:pStyle w:val="1100"/>
              <w:ind w:firstLine="420"/>
              <w:spacing w:line="360" w:lineRule="exact"/>
              <w:rPr>
                <w:rFonts w:ascii="宋体" w:hAnsi="宋体" w:cs="宋体"/>
                <w:szCs w:val="21"/>
              </w:rPr>
            </w:pPr>
            <w:r>
              <w:rPr>
                <w:rFonts w:ascii="宋体" w:hAnsi="宋体" w:cs="宋体"/>
                <w:szCs w:val="21"/>
              </w:rPr>
              <w:t xml:space="preserve">1）配备≥4路隔离采集通道，支持≥0～500V直流电压、≥0～5A直流电流，测量精度达0.5级，支持≥0～500V交流电压、≥0～5A交流电流；≥4路UART/TTL通讯通道，≥1路PWM脉冲信号输出。</w:t>
            </w:r>
            <w:r/>
          </w:p>
          <w:p>
            <w:pPr>
              <w:pStyle w:val="1100"/>
              <w:ind w:firstLine="420"/>
              <w:spacing w:line="360" w:lineRule="exact"/>
              <w:rPr>
                <w:rFonts w:ascii="宋体" w:hAnsi="宋体" w:cs="宋体"/>
                <w:szCs w:val="21"/>
              </w:rPr>
            </w:pPr>
            <w:r>
              <w:rPr>
                <w:rFonts w:ascii="宋体" w:hAnsi="宋体" w:cs="宋体"/>
                <w:szCs w:val="21"/>
              </w:rPr>
              <w:t xml:space="preserve">2）输出电压区间≥0～30V、输出电流区间≥0～7A，触摸屏控制调节。</w:t>
            </w:r>
            <w:r/>
          </w:p>
          <w:p>
            <w:pPr>
              <w:pStyle w:val="1100"/>
              <w:ind w:firstLine="420"/>
              <w:spacing w:line="360" w:lineRule="exact"/>
              <w:rPr>
                <w:rFonts w:ascii="宋体" w:hAnsi="宋体" w:cs="宋体"/>
                <w:szCs w:val="21"/>
              </w:rPr>
            </w:pPr>
            <w:r>
              <w:rPr>
                <w:rFonts w:ascii="宋体" w:hAnsi="宋体" w:cs="宋体"/>
                <w:szCs w:val="21"/>
              </w:rPr>
              <w:t xml:space="preserve">3）处理器≥1.5GHz四核64位ARM Cortex-A72，内存≥2GB，双频802.11ac无线网络，千兆以太网口，支持485、CAN通讯，具有多路USB Type-A接口。</w:t>
            </w:r>
            <w:r/>
          </w:p>
          <w:p>
            <w:pPr>
              <w:pStyle w:val="1100"/>
              <w:ind w:firstLine="420"/>
              <w:spacing w:line="360" w:lineRule="exact"/>
              <w:rPr>
                <w:rFonts w:ascii="宋体" w:hAnsi="宋体" w:cs="宋体"/>
                <w:szCs w:val="21"/>
              </w:rPr>
            </w:pPr>
            <w:r>
              <w:rPr>
                <w:rFonts w:ascii="宋体" w:hAnsi="宋体" w:cs="宋体"/>
                <w:szCs w:val="21"/>
              </w:rPr>
              <w:t xml:space="preserve">4）可内置集成/外置拓展信号源，输出正弦波、三角波、方波、脉冲波四类基础标准波形。频率调控全域频率覆盖≥0.1Hz～2MHz，触控数字化调节最小步进0.1Hz，支持大小键盘精准切换定值；搭载7档分级快捷调频模式（F1-F7），分级调控区间0.1kHz～350kHz；智能扫频支持≥0.1Hz～2MHz全域扫频输出，扫频精度最小步进0.1Hz，扫频时间间隔最小0.01S。幅值调控输出峰峰值区间≥5mVp-p～17Vp-p 。</w:t>
            </w:r>
            <w:r/>
          </w:p>
          <w:p>
            <w:pPr>
              <w:pStyle w:val="1100"/>
              <w:ind w:firstLine="420"/>
              <w:spacing w:line="360" w:lineRule="exact"/>
              <w:rPr>
                <w:rFonts w:ascii="宋体" w:hAnsi="宋体" w:cs="宋体"/>
                <w:szCs w:val="21"/>
              </w:rPr>
            </w:pPr>
            <w:r>
              <w:rPr>
                <w:rFonts w:ascii="宋体" w:hAnsi="宋体" w:cs="宋体"/>
                <w:szCs w:val="21"/>
              </w:rPr>
              <w:t xml:space="preserve">5）配套模块化实验平台，支持自定义电气回路拓扑搭建、功能模块自由拓展，适配多元化、创新性电气实验需求。</w:t>
            </w:r>
            <w:r/>
          </w:p>
          <w:p>
            <w:pPr>
              <w:pStyle w:val="1100"/>
              <w:ind w:firstLine="420"/>
              <w:spacing w:line="360" w:lineRule="exact"/>
              <w:rPr>
                <w:rFonts w:ascii="宋体" w:hAnsi="宋体" w:cs="宋体"/>
                <w:szCs w:val="21"/>
              </w:rPr>
            </w:pPr>
            <w:r>
              <w:rPr>
                <w:rFonts w:ascii="宋体" w:hAnsi="宋体" w:cs="宋体"/>
                <w:szCs w:val="21"/>
              </w:rPr>
              <w:t xml:space="preserve">6）配套高精度数控可调电阻模块，搭载智能化数控可调电阻单元，设备触摸屏直接设定所需电阻值，模块额定功率≥2W，阻值调节精度达±5%，全域精细步进0.1Ω。 </w:t>
            </w:r>
            <w:r/>
          </w:p>
          <w:p>
            <w:pPr>
              <w:pStyle w:val="1100"/>
              <w:ind w:firstLine="412"/>
              <w:spacing w:line="360" w:lineRule="exact"/>
              <w:rPr>
                <w:rFonts w:ascii="宋体" w:hAnsi="宋体" w:cs="宋体"/>
                <w:szCs w:val="21"/>
              </w:rPr>
            </w:pPr>
            <w:r>
              <w:rPr>
                <w:rFonts w:ascii="宋体" w:hAnsi="宋体" w:cs="宋体"/>
                <w:spacing w:val="-2"/>
                <w:szCs w:val="21"/>
              </w:rPr>
              <w:t xml:space="preserve">■</w:t>
            </w:r>
            <w:r>
              <w:rPr>
                <w:rFonts w:ascii="宋体" w:hAnsi="宋体" w:cs="宋体"/>
                <w:szCs w:val="21"/>
              </w:rPr>
              <w:t xml:space="preserve">（3）软件功能</w:t>
            </w:r>
            <w:r>
              <w:rPr>
                <w:rFonts w:ascii="宋体" w:hAnsi="宋体" w:cs="宋体"/>
                <w:b/>
                <w:bCs/>
                <w:szCs w:val="21"/>
              </w:rPr>
              <w:t xml:space="preserve">（以下功能要求投标时提供视频）</w:t>
            </w:r>
            <w:r>
              <w:rPr>
                <w:rFonts w:ascii="宋体" w:hAnsi="宋体" w:cs="宋体"/>
                <w:szCs w:val="21"/>
              </w:rPr>
            </w:r>
            <w:r/>
          </w:p>
          <w:p>
            <w:pPr>
              <w:pStyle w:val="1100"/>
              <w:ind w:firstLine="420"/>
              <w:spacing w:line="360" w:lineRule="exact"/>
              <w:rPr>
                <w:rFonts w:ascii="宋体" w:hAnsi="宋体" w:cs="宋体"/>
                <w:szCs w:val="21"/>
              </w:rPr>
            </w:pPr>
            <w:r>
              <w:rPr>
                <w:rFonts w:ascii="宋体" w:hAnsi="宋体" w:cs="宋体"/>
                <w:szCs w:val="21"/>
              </w:rPr>
              <w:t xml:space="preserve">1）用户管理：一台设备支持同时≥4名学生同时登录，记录不少于以下内容：“班级”“学号”“姓名”，用于后续实验报告的生成及教师端管理。</w:t>
            </w:r>
            <w:r/>
          </w:p>
          <w:p>
            <w:pPr>
              <w:pStyle w:val="1100"/>
              <w:ind w:firstLine="420"/>
              <w:spacing w:line="360" w:lineRule="exact"/>
              <w:rPr>
                <w:rFonts w:ascii="宋体" w:hAnsi="宋体" w:cs="宋体"/>
                <w:szCs w:val="21"/>
              </w:rPr>
            </w:pPr>
            <w:r>
              <w:rPr>
                <w:rFonts w:ascii="宋体" w:hAnsi="宋体" w:cs="宋体"/>
                <w:szCs w:val="21"/>
              </w:rPr>
              <w:t xml:space="preserve">2）仪表显示界面：可同时显示4路电压电流表及稳压/恒流源输出控制。</w:t>
            </w:r>
            <w:r/>
          </w:p>
          <w:p>
            <w:pPr>
              <w:pStyle w:val="1100"/>
              <w:ind w:firstLine="420"/>
              <w:spacing w:line="360" w:lineRule="exact"/>
              <w:rPr>
                <w:rFonts w:ascii="宋体" w:hAnsi="宋体" w:cs="宋体"/>
                <w:szCs w:val="21"/>
              </w:rPr>
            </w:pPr>
            <w:r>
              <w:rPr>
                <w:rFonts w:ascii="宋体" w:hAnsi="宋体" w:cs="宋体"/>
                <w:szCs w:val="21"/>
              </w:rPr>
              <w:t xml:space="preserve">3）开放性实验界面：可自选多路采集通道，记录表格与曲线绘制，曲线绘制有Y-T模式及X-Y模式。数据可以下载到U盘。</w:t>
            </w:r>
            <w:r/>
          </w:p>
          <w:p>
            <w:pPr>
              <w:pStyle w:val="1100"/>
              <w:ind w:firstLine="420"/>
              <w:spacing w:line="360" w:lineRule="exact"/>
              <w:rPr>
                <w:rFonts w:ascii="宋体" w:hAnsi="宋体" w:cs="宋体"/>
                <w:szCs w:val="21"/>
              </w:rPr>
            </w:pPr>
            <w:r>
              <w:rPr>
                <w:rFonts w:ascii="宋体" w:hAnsi="宋体" w:cs="宋体"/>
                <w:szCs w:val="21"/>
              </w:rPr>
              <w:t xml:space="preserve">4）设置界面：可进行WIFI配置与网络IP地址设置，设备台号设置等操作。</w:t>
            </w:r>
            <w:r/>
          </w:p>
          <w:p>
            <w:pPr>
              <w:pStyle w:val="1100"/>
              <w:ind w:firstLine="420"/>
              <w:spacing w:line="360" w:lineRule="exact"/>
              <w:rPr>
                <w:rFonts w:ascii="宋体" w:hAnsi="宋体" w:cs="宋体"/>
                <w:szCs w:val="21"/>
              </w:rPr>
            </w:pPr>
            <w:r>
              <w:rPr>
                <w:rFonts w:ascii="宋体" w:hAnsi="宋体" w:cs="宋体"/>
                <w:szCs w:val="21"/>
              </w:rPr>
              <w:t xml:space="preserve">5）内置轻量级AI模型，能在实验过程中对实时表格数据进行分析与智能问题诊断，帮助学生快速定位操作失误或理解偏差。</w:t>
            </w:r>
            <w:r/>
          </w:p>
          <w:p>
            <w:pPr>
              <w:pStyle w:val="1100"/>
              <w:ind w:firstLine="420"/>
              <w:spacing w:line="360" w:lineRule="exact"/>
              <w:rPr>
                <w:rFonts w:ascii="宋体" w:hAnsi="宋体" w:cs="宋体"/>
                <w:szCs w:val="21"/>
              </w:rPr>
            </w:pPr>
            <w:r>
              <w:rPr>
                <w:rFonts w:ascii="宋体" w:hAnsi="宋体" w:cs="宋体"/>
                <w:szCs w:val="21"/>
              </w:rPr>
              <w:t xml:space="preserve">6）有局域网监控管理软件，在同一局域网内，可通过监控管理软件进行实验数据接收、学生管理、远程显示实验界面与操控等功能。</w:t>
            </w:r>
            <w:r/>
          </w:p>
          <w:p>
            <w:pPr>
              <w:pStyle w:val="1100"/>
              <w:ind w:firstLine="420"/>
              <w:spacing w:line="360" w:lineRule="exact"/>
              <w:rPr>
                <w:rFonts w:ascii="宋体" w:hAnsi="宋体" w:cs="宋体"/>
                <w:szCs w:val="21"/>
              </w:rPr>
            </w:pPr>
            <w:r>
              <w:rPr>
                <w:rFonts w:ascii="宋体" w:hAnsi="宋体" w:cs="宋体"/>
                <w:szCs w:val="21"/>
              </w:rPr>
              <w:t xml:space="preserve">17.教学资源库（整个实验室配一套）</w:t>
            </w:r>
            <w:r/>
          </w:p>
          <w:p>
            <w:pPr>
              <w:pStyle w:val="1100"/>
              <w:ind w:firstLine="420"/>
              <w:spacing w:line="360" w:lineRule="exact"/>
              <w:rPr>
                <w:rFonts w:ascii="宋体" w:hAnsi="宋体"/>
                <w:szCs w:val="21"/>
              </w:rPr>
            </w:pPr>
            <w:r>
              <w:rPr>
                <w:rFonts w:ascii="宋体" w:hAnsi="宋体"/>
                <w:szCs w:val="21"/>
              </w:rPr>
              <w:t xml:space="preserve">（1）智慧实验室综合管理系统</w:t>
            </w:r>
            <w:r/>
          </w:p>
          <w:p>
            <w:pPr>
              <w:pStyle w:val="1100"/>
              <w:ind w:firstLine="420"/>
              <w:spacing w:line="360" w:lineRule="exact"/>
              <w:rPr>
                <w:rFonts w:ascii="宋体" w:hAnsi="宋体"/>
                <w:szCs w:val="21"/>
              </w:rPr>
            </w:pPr>
            <w:r>
              <w:rPr>
                <w:rFonts w:ascii="宋体" w:hAnsi="宋体"/>
                <w:szCs w:val="21"/>
              </w:rPr>
              <w:t xml:space="preserve">系统集学、仿、考、评、存、修六位一体。可实现课前视频自主学习、理论在线仿真、知识掌握考核、学习质量评价、实验报告云端存储、实训设备报修等功能。系统设置多种身份登录权限，可满足学员、教师、管理员等不同角色的使用要求。满足手机、平板和计算机等多终端设备的访问。</w:t>
            </w:r>
            <w:r/>
          </w:p>
          <w:p>
            <w:pPr>
              <w:pStyle w:val="1100"/>
              <w:ind w:firstLine="420"/>
              <w:spacing w:line="360" w:lineRule="exact"/>
              <w:rPr>
                <w:rFonts w:ascii="宋体" w:hAnsi="宋体"/>
                <w:szCs w:val="21"/>
              </w:rPr>
            </w:pPr>
            <w:r>
              <w:rPr>
                <w:rFonts w:ascii="宋体" w:hAnsi="宋体"/>
                <w:szCs w:val="21"/>
              </w:rPr>
              <w:t xml:space="preserve">1）云图书馆模块：提供一个云端图书，可能根据实训设备找到相应配套资料，可进行文本搜索、文本黏贴复制、放大、缩小、设置下载、打印、分享等功能。</w:t>
            </w:r>
            <w:r/>
          </w:p>
          <w:p>
            <w:pPr>
              <w:pStyle w:val="1100"/>
              <w:ind w:firstLine="420"/>
              <w:spacing w:line="360" w:lineRule="exact"/>
              <w:rPr>
                <w:rFonts w:ascii="宋体" w:hAnsi="宋体"/>
                <w:szCs w:val="21"/>
              </w:rPr>
            </w:pPr>
            <w:r>
              <w:rPr>
                <w:rFonts w:ascii="宋体" w:hAnsi="宋体"/>
                <w:szCs w:val="21"/>
              </w:rPr>
              <w:t xml:space="preserve">2）自主学习模块：主要包含①工业机器人资源：不少于七种品牌，ABB课时不少于15节，FANUC课时不少于60节，KUKA课时不少于25</w:t>
            </w:r>
            <w:r>
              <w:rPr>
                <w:rFonts w:ascii="宋体" w:hAnsi="宋体"/>
                <w:szCs w:val="21"/>
              </w:rPr>
              <w:t xml:space="preserve">节，YASKAWA课时不少于25节，其它每种品牌课时均不少于15节。②可编程控制器资源：不少于4种，200 SMART课时不少于25节，1200课时不少于70节，FX5U课时不少于100节，FX3U课时不少于40节。③工业驱动资源：V90伺服课时不少于40节，V20变频器课时不少于20节，G120变频器课时不少于7节。④其它资源：智能电梯课时不少于12节，气动技术课时不少于25节，液压技术课时不少于60节，触摸屏课时不少于15节，电气控制技术课时不少于70节，工业机械课时不少于25节，钳工课时不小于45节。</w:t>
            </w:r>
            <w:r/>
          </w:p>
          <w:p>
            <w:pPr>
              <w:pStyle w:val="1100"/>
              <w:ind w:firstLine="420"/>
              <w:spacing w:line="360" w:lineRule="exact"/>
              <w:rPr>
                <w:rFonts w:ascii="宋体" w:hAnsi="宋体"/>
                <w:szCs w:val="21"/>
              </w:rPr>
            </w:pPr>
            <w:r>
              <w:rPr>
                <w:rFonts w:ascii="宋体" w:hAnsi="宋体"/>
                <w:szCs w:val="21"/>
              </w:rPr>
              <w:t xml:space="preserve">3）在线仿真模块：平台设有在线仿真实验模块，提供标准实验类别不少于18种，具体实验仿真项目少于105个，利用元件库可进行设计性实验，支持Dropbox导入实验，可作为链接、文本、图片等多种形式导出以及打印。</w:t>
            </w:r>
            <w:r/>
          </w:p>
          <w:p>
            <w:pPr>
              <w:pStyle w:val="1100"/>
              <w:ind w:firstLine="420"/>
              <w:spacing w:line="360" w:lineRule="exact"/>
              <w:rPr>
                <w:rFonts w:ascii="宋体" w:hAnsi="宋体"/>
                <w:szCs w:val="21"/>
              </w:rPr>
            </w:pPr>
            <w:r>
              <w:rPr>
                <w:rFonts w:ascii="宋体" w:hAnsi="宋体"/>
                <w:szCs w:val="21"/>
              </w:rPr>
              <w:t xml:space="preserve">4）学习考评模块：平台应设有考核系统，后台题库数量：≥850。组卷方式应支持选题组卷、抽题组卷、随机组卷、综合组卷；答题时长可设置为整卷限时和单题限时两种模式，试卷具有单选题、多选题、填空题、判断题、问答题、组合题、录音题七种大题。创建的试卷支持在线预览和word下载操作；学生考试可指定答卷时长、不限次数和及格线；支持微信扫码和分享链接等方式考试。</w:t>
            </w:r>
            <w:r/>
          </w:p>
          <w:p>
            <w:pPr>
              <w:pStyle w:val="1100"/>
              <w:ind w:firstLine="420"/>
              <w:spacing w:line="360" w:lineRule="exact"/>
              <w:rPr>
                <w:rFonts w:ascii="宋体" w:hAnsi="宋体"/>
                <w:szCs w:val="21"/>
              </w:rPr>
            </w:pPr>
            <w:r>
              <w:rPr>
                <w:rFonts w:ascii="宋体" w:hAnsi="宋体"/>
                <w:szCs w:val="21"/>
              </w:rPr>
              <w:t xml:space="preserve">5）实验数据云管理模块：可实现了多设备跨平台应用，在线查看阅览学生上传报告信息内容，批注等信息，学生信息根据班级、学号、年级等信息排列显示，也可单独通过搜索关键字阅览，可增加优秀报告标记或分享他人等功能。</w:t>
            </w:r>
            <w:r/>
          </w:p>
          <w:p>
            <w:pPr>
              <w:pStyle w:val="1100"/>
              <w:ind w:firstLine="420"/>
              <w:spacing w:line="360" w:lineRule="exact"/>
              <w:rPr>
                <w:rFonts w:ascii="宋体" w:hAnsi="宋体"/>
                <w:szCs w:val="21"/>
              </w:rPr>
            </w:pPr>
            <w:r>
              <w:rPr>
                <w:rFonts w:ascii="宋体" w:hAnsi="宋体"/>
                <w:szCs w:val="21"/>
              </w:rPr>
              <w:t xml:space="preserve">6）内置智能AI助手，问答支持动态意图解析引擎，基于RAG技术实现三级问题聚焦(领域判定一知识库精准检索一模糊问题推荐)，全媒体内容生成:支持文本/表格/图表的多模态输出。可自动输出理论考卷和实操考卷。理论部分支持单选题、多选题、判断题、简答题，单一类型出题，也可混合出题，并输出参考答案。</w:t>
            </w:r>
            <w:r/>
          </w:p>
          <w:p>
            <w:pPr>
              <w:pStyle w:val="1100"/>
              <w:ind w:firstLine="420"/>
              <w:spacing w:line="360" w:lineRule="exact"/>
              <w:rPr>
                <w:rFonts w:ascii="宋体" w:hAnsi="宋体" w:cs="宋体"/>
                <w:szCs w:val="21"/>
              </w:rPr>
            </w:pPr>
            <w:r>
              <w:rPr>
                <w:rFonts w:ascii="宋体" w:hAnsi="宋体" w:cs="宋体"/>
                <w:szCs w:val="21"/>
              </w:rPr>
              <w:t xml:space="preserve">（2）工业自动化电气设计软件：</w:t>
            </w:r>
            <w:r/>
          </w:p>
          <w:p>
            <w:pPr>
              <w:pStyle w:val="1100"/>
              <w:ind w:firstLine="420"/>
              <w:spacing w:line="360" w:lineRule="exact"/>
              <w:rPr>
                <w:rFonts w:ascii="宋体" w:hAnsi="宋体" w:cs="宋体"/>
                <w:szCs w:val="21"/>
              </w:rPr>
            </w:pPr>
            <w:r>
              <w:rPr>
                <w:rFonts w:ascii="宋体" w:hAnsi="宋体" w:cs="宋体"/>
                <w:szCs w:val="21"/>
              </w:rPr>
              <w:t xml:space="preserve">1）软件可以对传感器、驱动器和运动等进行设计与分析，可快速构建仿真分析可行性，直接导出工程图进行加工，编写程序可进行虚拟调试，调试完成可直接与实物同步。</w:t>
            </w:r>
            <w:r/>
          </w:p>
          <w:p>
            <w:pPr>
              <w:pStyle w:val="1100"/>
              <w:ind w:firstLine="420"/>
              <w:spacing w:line="360" w:lineRule="exact"/>
              <w:rPr>
                <w:rFonts w:ascii="宋体" w:hAnsi="宋体" w:cs="宋体"/>
                <w:szCs w:val="21"/>
              </w:rPr>
            </w:pPr>
            <w:r>
              <w:rPr>
                <w:rFonts w:ascii="宋体" w:hAnsi="宋体" w:cs="宋体"/>
                <w:szCs w:val="21"/>
              </w:rPr>
              <w:t xml:space="preserve">2）软件是多学科融合的开发环境，具有建模、钣金设计、制图、运动等功能，至少支持文件格式有DXF、DWG、NODEL、CATPART、TXT等不少于36种，能够满足对文件的打开、另存为、导入、导出、编辑、保存等操作。</w:t>
            </w:r>
            <w:r/>
          </w:p>
          <w:p>
            <w:pPr>
              <w:pStyle w:val="1100"/>
              <w:ind w:firstLine="420"/>
              <w:spacing w:line="360" w:lineRule="exact"/>
              <w:rPr>
                <w:rFonts w:ascii="宋体" w:hAnsi="宋体" w:cs="宋体"/>
                <w:szCs w:val="21"/>
              </w:rPr>
            </w:pPr>
            <w:r>
              <w:rPr>
                <w:rFonts w:ascii="宋体" w:hAnsi="宋体" w:cs="宋体"/>
                <w:szCs w:val="21"/>
              </w:rPr>
              <w:t xml:space="preserve">3）软件选择并定义传感器、气缸、电磁阀、气源等元器件的选型以及布线；包含有碰撞传感器、距离传感器、位置传感器、速度传感器、加速度传感器、液压缸、液压阀、气缸、气动阀、传输面、电机等。</w:t>
            </w:r>
            <w:r/>
          </w:p>
          <w:p>
            <w:pPr>
              <w:pStyle w:val="1100"/>
              <w:ind w:firstLine="420"/>
              <w:spacing w:line="360" w:lineRule="exact"/>
              <w:rPr>
                <w:rFonts w:ascii="宋体" w:hAnsi="宋体" w:cs="宋体"/>
                <w:szCs w:val="21"/>
              </w:rPr>
            </w:pPr>
            <w:r>
              <w:rPr>
                <w:rFonts w:ascii="宋体" w:hAnsi="宋体" w:cs="宋体"/>
                <w:szCs w:val="21"/>
              </w:rPr>
              <w:t xml:space="preserve">4）支持二次开发，运行动作支持VB脚本运行，外部通讯支持OPCDA、OPCUD、MATLAB、PLSIM、TCP、UDP、PROFINET等。</w:t>
            </w:r>
            <w:r/>
          </w:p>
          <w:p>
            <w:pPr>
              <w:pStyle w:val="1100"/>
              <w:ind w:firstLine="420"/>
              <w:spacing w:line="360" w:lineRule="exact"/>
              <w:rPr>
                <w:rFonts w:ascii="宋体" w:hAnsi="宋体" w:cs="宋体"/>
                <w:szCs w:val="21"/>
              </w:rPr>
            </w:pPr>
            <w:r>
              <w:rPr>
                <w:rFonts w:ascii="宋体" w:hAnsi="宋体" w:cs="宋体"/>
                <w:szCs w:val="21"/>
              </w:rPr>
              <w:t xml:space="preserve">5）样例工程至少有上料模块、按钮模块、传输模块、分拣模块和整体智能分拣系统的虚拟工程以及虚实结合的工程和PLC程序，可根TIA Portal V15、GX Works3等软件进行纯虚拟仿真。</w:t>
            </w:r>
            <w:r/>
          </w:p>
          <w:p>
            <w:pPr>
              <w:pStyle w:val="1100"/>
              <w:ind w:firstLine="420"/>
              <w:spacing w:line="360" w:lineRule="exact"/>
              <w:rPr>
                <w:rFonts w:ascii="宋体" w:hAnsi="宋体" w:cs="宋体"/>
                <w:szCs w:val="21"/>
              </w:rPr>
            </w:pPr>
            <w:r>
              <w:rPr>
                <w:rFonts w:ascii="宋体" w:hAnsi="宋体" w:cs="宋体"/>
                <w:szCs w:val="21"/>
              </w:rPr>
              <w:t xml:space="preserve">6）模型的运行情况，提供VR接口，可支持与HTC VIVE完美兼容，实现虚拟现实环境中的仿真运行。</w:t>
            </w:r>
            <w:r/>
          </w:p>
          <w:p>
            <w:pPr>
              <w:pStyle w:val="1100"/>
              <w:ind w:firstLine="420"/>
              <w:spacing w:line="360" w:lineRule="exact"/>
              <w:rPr>
                <w:rFonts w:ascii="宋体" w:hAnsi="宋体" w:cs="宋体"/>
                <w:szCs w:val="21"/>
              </w:rPr>
            </w:pPr>
            <w:r>
              <w:rPr>
                <w:rFonts w:ascii="宋体" w:hAnsi="宋体" w:cs="宋体"/>
                <w:szCs w:val="21"/>
              </w:rPr>
              <w:t xml:space="preserve">（3）仿真与数字孪生软件： </w:t>
            </w:r>
            <w:r/>
          </w:p>
          <w:p>
            <w:pPr>
              <w:pStyle w:val="1100"/>
              <w:ind w:firstLine="420"/>
              <w:spacing w:line="360" w:lineRule="exact"/>
              <w:rPr>
                <w:rFonts w:ascii="宋体" w:hAnsi="宋体" w:cs="宋体"/>
                <w:szCs w:val="21"/>
              </w:rPr>
            </w:pPr>
            <w:r>
              <w:rPr>
                <w:rFonts w:ascii="宋体" w:hAnsi="宋体" w:cs="宋体"/>
                <w:szCs w:val="21"/>
              </w:rPr>
              <w:t xml:space="preserve">1）信号采集：通过信号采集把仿真场景的虚拟设备映射到硬件端口，并驱动场景的虚拟设备运行。支持PLC虚拟调试、包括全虚拟仿真调试与虚实结合调试，</w:t>
            </w:r>
            <w:r>
              <w:rPr>
                <w:rFonts w:hint="eastAsia" w:ascii="宋体" w:hAnsi="宋体" w:cs="宋体"/>
                <w:szCs w:val="21"/>
              </w:rPr>
              <w:t xml:space="preserve">为</w:t>
            </w:r>
            <w:r>
              <w:rPr>
                <w:rFonts w:hint="eastAsia" w:ascii="宋体" w:hAnsi="宋体"/>
                <w:szCs w:val="21"/>
              </w:rPr>
              <w:t xml:space="preserve">便于后续扩展教学，可</w:t>
            </w:r>
            <w:r>
              <w:rPr>
                <w:rFonts w:ascii="宋体" w:hAnsi="宋体" w:cs="宋体"/>
                <w:szCs w:val="21"/>
              </w:rPr>
              <w:t xml:space="preserve">支持三菱、西门子、汇川、欧姆龙</w:t>
            </w:r>
            <w:r>
              <w:rPr>
                <w:rFonts w:hint="eastAsia" w:ascii="宋体" w:hAnsi="宋体" w:cs="宋体"/>
                <w:szCs w:val="21"/>
              </w:rPr>
              <w:t xml:space="preserve">等</w:t>
            </w:r>
            <w:r>
              <w:rPr>
                <w:rFonts w:ascii="宋体" w:hAnsi="宋体" w:cs="宋体"/>
                <w:szCs w:val="21"/>
              </w:rPr>
              <w:t xml:space="preserve">品牌。支持Modbus-RTU、Modbus-TCP、OPC UA、S7等总线通讯协议。</w:t>
            </w:r>
            <w:r/>
          </w:p>
          <w:p>
            <w:pPr>
              <w:pStyle w:val="1100"/>
              <w:ind w:firstLine="420"/>
              <w:spacing w:line="360" w:lineRule="exact"/>
              <w:rPr>
                <w:rFonts w:ascii="宋体" w:hAnsi="宋体" w:cs="宋体"/>
                <w:szCs w:val="21"/>
              </w:rPr>
            </w:pPr>
            <w:r>
              <w:rPr>
                <w:rFonts w:ascii="宋体" w:hAnsi="宋体" w:cs="宋体"/>
                <w:szCs w:val="21"/>
              </w:rPr>
              <w:t xml:space="preserve">2）3D视觉与VR：通过键鼠能完成平移、旋转、缩放等操作，可快速切换视角。具有三视图功能，支持顶视图、前视图、左视图，可多视角同时查看三维场景。支持VR功能，通过VR眼镜可实现沉浸式虚拟现实3D体验，包含逼真工业现场3D音效仿真。通过手柄可与场景进行互动操作。</w:t>
            </w:r>
            <w:r/>
          </w:p>
          <w:p>
            <w:pPr>
              <w:pStyle w:val="1100"/>
              <w:ind w:firstLine="420"/>
              <w:spacing w:line="360" w:lineRule="exact"/>
              <w:rPr>
                <w:rFonts w:ascii="宋体" w:hAnsi="宋体" w:cs="宋体"/>
                <w:szCs w:val="21"/>
              </w:rPr>
            </w:pPr>
            <w:r>
              <w:rPr>
                <w:rFonts w:ascii="宋体" w:hAnsi="宋体" w:cs="宋体"/>
                <w:szCs w:val="21"/>
              </w:rPr>
              <w:t xml:space="preserve">3）内置物理引擎：创建的三维模型具有物理属性，能模拟现实生活中的物理现象，如：运动、旋转和弹性碰撞等。在发生碰撞、摩擦、受力的运动模拟中，不同的物理属性能得到不同的运动效果。</w:t>
            </w:r>
            <w:r/>
          </w:p>
          <w:p>
            <w:pPr>
              <w:pStyle w:val="1100"/>
              <w:ind w:firstLine="420"/>
              <w:spacing w:line="360" w:lineRule="exact"/>
              <w:rPr>
                <w:rFonts w:ascii="宋体" w:hAnsi="宋体" w:cs="宋体"/>
                <w:szCs w:val="21"/>
              </w:rPr>
            </w:pPr>
            <w:r>
              <w:rPr>
                <w:rFonts w:ascii="宋体" w:hAnsi="宋体" w:cs="宋体"/>
                <w:szCs w:val="21"/>
              </w:rPr>
              <w:t xml:space="preserve">4）设备认知功能：能显示设备的详细信息，并可对设备信息编辑。支持3D模型的自动爆炸展开，可介绍每个部件的名称与功能。</w:t>
            </w:r>
            <w:r/>
          </w:p>
          <w:p>
            <w:pPr>
              <w:pStyle w:val="1100"/>
              <w:ind w:firstLine="420"/>
              <w:spacing w:line="360" w:lineRule="exact"/>
              <w:rPr>
                <w:rFonts w:ascii="宋体" w:hAnsi="宋体" w:cs="宋体"/>
                <w:szCs w:val="21"/>
              </w:rPr>
            </w:pPr>
            <w:r>
              <w:rPr>
                <w:rFonts w:ascii="宋体" w:hAnsi="宋体" w:cs="宋体"/>
                <w:szCs w:val="21"/>
              </w:rPr>
              <w:t xml:space="preserve">5）模型开发：从外部CAD文件导入3D部件，在软件里赋予其参数和运动特性，生成用户自主开发的虚拟设备，虚拟设备能被外部控制器驱动，如PLC、机器人示教器等。导入3D文件格式支持： STEP、STP、IGS、OBJ、FBX、STL等。</w:t>
            </w:r>
            <w:r/>
          </w:p>
          <w:p>
            <w:pPr>
              <w:pStyle w:val="1100"/>
              <w:ind w:firstLine="420"/>
              <w:spacing w:line="360" w:lineRule="exact"/>
              <w:rPr>
                <w:rFonts w:ascii="宋体" w:hAnsi="宋体" w:cs="宋体"/>
                <w:szCs w:val="21"/>
              </w:rPr>
            </w:pPr>
            <w:r>
              <w:rPr>
                <w:rFonts w:ascii="宋体" w:hAnsi="宋体" w:cs="宋体"/>
                <w:szCs w:val="21"/>
              </w:rPr>
              <w:t xml:space="preserve">■6）电气信号连接图设计：电气符号用图形表示，有名称与内部端口号。用画线方式连接不同端口，不同类型端口用不同颜色线条表示，完成的电气信号连接图后可导出Excel格式I/O表；在线更新：软件从云端检测是否有新版本，并提示相应操作。3D模型支持云端更新，软件可查看云端模型并可在仿真场景内使用；组态软件调试：组态软件开发的模拟人机界面，可控制虚拟PLC，对仿真场景的虚拟设备进行操作；自动考评：软件具有数据实时采集与分析、自动评分功能。先由教师在软件上出题，自动生成评分规则，学员在考核过程中，软件实</w:t>
            </w:r>
            <w:r>
              <w:rPr>
                <w:rFonts w:ascii="宋体" w:hAnsi="宋体" w:cs="宋体"/>
                <w:szCs w:val="21"/>
              </w:rPr>
              <w:t xml:space="preserve">时记录学员的操作过程、执行结果、异常事件，并根据考试评分规则计算最终成绩；支持云端实验：可与配套的教学资源网站完成在线实验，步骤包括但不限于：课件学习、视频学习、在线做仿真实验、工程下载、工程打开、开始考试、完成考试自动考评、上传考试结果；数字孪生实训项目：包含“基本指令练习模块”、“温度调节闭环系统模块（工业级）”、“水塔水位”、“直流调速闭环系统模块（工业级）”、“三层电梯模块（实物）”、“伺服系统运动控制”和“步进系统运控控制”模块1：1数字孪生实训界面。（需体现7种实物模块与孪生虚拟对象1:1动作）</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18.每套设备配4个方凳：外形尺寸：360mm×260mm×450mm（±5mm），整体重量≥3.4Kg；凳框采用≥1.0mm厚的优质方钢管和优质冷轧钢板焊接而成，坚固耐用；采用钣金圆弧压边包边木面板工艺，造型独特，防止伤手，防护凳面；凳框表面全自动脱脂、采用新技术新材料静电喷塑处理，防锈性能好，环保健康；凳架采用黑色银粉工艺喷塑；凳面采用≥18mm厚的优质高密度复合板材，表面和边缘高温热压防火PVC；凳脚安装高分子树脂脚套，防滑耐磨损，保护地面。</w:t>
            </w:r>
            <w:r/>
          </w:p>
          <w:p>
            <w:pPr>
              <w:pStyle w:val="1100"/>
              <w:ind w:firstLine="412"/>
              <w:spacing w:line="360" w:lineRule="exact"/>
              <w:rPr>
                <w:rFonts w:ascii="宋体" w:hAnsi="宋体" w:cs="宋体"/>
                <w:szCs w:val="21"/>
              </w:rPr>
            </w:pPr>
            <w:r>
              <w:rPr>
                <w:rFonts w:ascii="宋体" w:hAnsi="宋体" w:cs="宋体"/>
                <w:spacing w:val="-2"/>
                <w:szCs w:val="21"/>
              </w:rPr>
              <w:t xml:space="preserve">19.</w:t>
            </w:r>
            <w:r>
              <w:rPr>
                <w:rFonts w:hint="eastAsia" w:ascii="宋体" w:hAnsi="宋体" w:cs="宋体"/>
                <w:spacing w:val="-2"/>
                <w:szCs w:val="21"/>
              </w:rPr>
              <w:t xml:space="preserve">实训场地地面修复和墙面处理</w:t>
            </w:r>
            <w:r>
              <w:rPr>
                <w:rFonts w:ascii="宋体" w:hAnsi="宋体" w:cs="宋体"/>
                <w:szCs w:val="21"/>
              </w:rPr>
            </w:r>
            <w:r/>
          </w:p>
          <w:p>
            <w:pPr>
              <w:pStyle w:val="1100"/>
              <w:spacing w:line="360" w:lineRule="exact"/>
              <w:rPr>
                <w:rFonts w:ascii="宋体" w:hAnsi="宋体" w:cs="宋体"/>
                <w:b/>
                <w:bCs/>
                <w:szCs w:val="21"/>
              </w:rPr>
            </w:pPr>
            <w:r>
              <w:rPr>
                <w:rFonts w:ascii="宋体" w:hAnsi="宋体" w:cs="宋体"/>
                <w:b/>
                <w:bCs/>
                <w:szCs w:val="21"/>
              </w:rPr>
              <w:t xml:space="preserve">三、可完成实训项目</w:t>
            </w:r>
            <w:r/>
          </w:p>
          <w:p>
            <w:pPr>
              <w:pStyle w:val="1100"/>
              <w:ind w:firstLine="420"/>
              <w:spacing w:line="360" w:lineRule="exact"/>
              <w:rPr>
                <w:rFonts w:ascii="宋体" w:hAnsi="宋体" w:cs="宋体"/>
                <w:bCs/>
                <w:szCs w:val="21"/>
              </w:rPr>
            </w:pPr>
            <w:r>
              <w:rPr>
                <w:rFonts w:ascii="宋体" w:hAnsi="宋体" w:cs="宋体"/>
                <w:bCs/>
                <w:szCs w:val="21"/>
              </w:rPr>
              <w:t xml:space="preserve">1.PLC认知实训（软硬件结构、系统组成、基本指令、接线、编程下载等）</w:t>
            </w:r>
            <w:r/>
          </w:p>
          <w:p>
            <w:pPr>
              <w:pStyle w:val="1100"/>
              <w:ind w:firstLine="420"/>
              <w:spacing w:line="360" w:lineRule="exact"/>
              <w:rPr>
                <w:rFonts w:ascii="宋体" w:hAnsi="宋体" w:cs="宋体"/>
                <w:bCs/>
                <w:szCs w:val="21"/>
              </w:rPr>
            </w:pPr>
            <w:r>
              <w:rPr>
                <w:rFonts w:ascii="宋体" w:hAnsi="宋体" w:cs="宋体"/>
                <w:bCs/>
                <w:szCs w:val="21"/>
              </w:rPr>
              <w:t xml:space="preserve">2.基本指令练习</w:t>
            </w:r>
            <w:r/>
          </w:p>
          <w:p>
            <w:pPr>
              <w:pStyle w:val="1100"/>
              <w:ind w:firstLine="422"/>
              <w:spacing w:line="360" w:lineRule="exact"/>
              <w:rPr>
                <w:rFonts w:ascii="宋体" w:hAnsi="宋体" w:cs="宋体"/>
                <w:b/>
                <w:szCs w:val="21"/>
              </w:rPr>
            </w:pPr>
            <w:r>
              <w:rPr>
                <w:rFonts w:ascii="宋体" w:hAnsi="宋体" w:cs="宋体"/>
                <w:b/>
                <w:szCs w:val="21"/>
              </w:rPr>
              <w:t xml:space="preserve">PLC</w:t>
            </w:r>
            <w:r>
              <w:rPr>
                <w:rFonts w:ascii="宋体" w:hAnsi="宋体"/>
                <w:szCs w:val="21"/>
              </w:rPr>
              <w:t xml:space="preserve"> </w:t>
            </w:r>
            <w:r>
              <w:rPr>
                <w:rFonts w:ascii="宋体" w:hAnsi="宋体" w:cs="宋体"/>
                <w:b/>
                <w:szCs w:val="21"/>
              </w:rPr>
              <w:t xml:space="preserve">智能场景教学系统实训</w:t>
            </w:r>
            <w:r/>
          </w:p>
          <w:p>
            <w:pPr>
              <w:pStyle w:val="1100"/>
              <w:ind w:firstLine="420"/>
              <w:spacing w:line="360" w:lineRule="exact"/>
              <w:rPr>
                <w:rFonts w:ascii="宋体" w:hAnsi="宋体" w:cs="宋体"/>
                <w:bCs/>
                <w:szCs w:val="21"/>
              </w:rPr>
            </w:pPr>
            <w:r>
              <w:rPr>
                <w:rFonts w:ascii="宋体" w:hAnsi="宋体" w:cs="宋体"/>
                <w:bCs/>
                <w:szCs w:val="21"/>
              </w:rPr>
              <w:t xml:space="preserve">1.基本指令练习</w:t>
            </w:r>
            <w:r/>
          </w:p>
          <w:p>
            <w:pPr>
              <w:pStyle w:val="1100"/>
              <w:ind w:firstLine="420"/>
              <w:spacing w:line="360" w:lineRule="exact"/>
              <w:rPr>
                <w:rFonts w:ascii="宋体" w:hAnsi="宋体" w:cs="宋体"/>
                <w:bCs/>
                <w:szCs w:val="21"/>
              </w:rPr>
            </w:pPr>
            <w:r>
              <w:rPr>
                <w:rFonts w:ascii="宋体" w:hAnsi="宋体" w:cs="宋体"/>
                <w:bCs/>
                <w:szCs w:val="21"/>
              </w:rPr>
              <w:t xml:space="preserve">2.LED数码显示</w:t>
            </w:r>
            <w:r/>
          </w:p>
          <w:p>
            <w:pPr>
              <w:pStyle w:val="1100"/>
              <w:ind w:firstLine="420"/>
              <w:spacing w:line="360" w:lineRule="exact"/>
              <w:rPr>
                <w:rFonts w:ascii="宋体" w:hAnsi="宋体" w:cs="宋体"/>
                <w:bCs/>
                <w:szCs w:val="21"/>
              </w:rPr>
            </w:pPr>
            <w:r>
              <w:rPr>
                <w:rFonts w:ascii="宋体" w:hAnsi="宋体" w:cs="宋体"/>
                <w:bCs/>
                <w:szCs w:val="21"/>
              </w:rPr>
              <w:t xml:space="preserve">3.天塔之光</w:t>
            </w:r>
            <w:r/>
          </w:p>
          <w:p>
            <w:pPr>
              <w:pStyle w:val="1100"/>
              <w:ind w:firstLine="420"/>
              <w:spacing w:line="360" w:lineRule="exact"/>
              <w:rPr>
                <w:rFonts w:ascii="宋体" w:hAnsi="宋体" w:cs="宋体"/>
                <w:bCs/>
                <w:szCs w:val="21"/>
              </w:rPr>
            </w:pPr>
            <w:r>
              <w:rPr>
                <w:rFonts w:ascii="宋体" w:hAnsi="宋体" w:cs="宋体"/>
                <w:bCs/>
                <w:szCs w:val="21"/>
              </w:rPr>
              <w:t xml:space="preserve">4.水塔水位</w:t>
            </w:r>
            <w:r/>
          </w:p>
          <w:p>
            <w:pPr>
              <w:pStyle w:val="1100"/>
              <w:ind w:firstLine="420"/>
              <w:spacing w:line="360" w:lineRule="exact"/>
              <w:rPr>
                <w:rFonts w:ascii="宋体" w:hAnsi="宋体" w:cs="宋体"/>
                <w:bCs/>
                <w:szCs w:val="21"/>
              </w:rPr>
            </w:pPr>
            <w:r>
              <w:rPr>
                <w:rFonts w:ascii="宋体" w:hAnsi="宋体" w:cs="宋体"/>
                <w:bCs/>
                <w:szCs w:val="21"/>
              </w:rPr>
              <w:t xml:space="preserve">5.十字路口交通灯</w:t>
            </w:r>
            <w:r/>
          </w:p>
          <w:p>
            <w:pPr>
              <w:pStyle w:val="1100"/>
              <w:ind w:firstLine="420"/>
              <w:spacing w:line="360" w:lineRule="exact"/>
              <w:rPr>
                <w:rFonts w:ascii="宋体" w:hAnsi="宋体" w:cs="宋体"/>
                <w:bCs/>
                <w:szCs w:val="21"/>
              </w:rPr>
            </w:pPr>
            <w:r>
              <w:rPr>
                <w:rFonts w:ascii="宋体" w:hAnsi="宋体" w:cs="宋体"/>
                <w:bCs/>
                <w:szCs w:val="21"/>
              </w:rPr>
              <w:t xml:space="preserve">6.机械手</w:t>
            </w:r>
            <w:r/>
          </w:p>
          <w:p>
            <w:pPr>
              <w:pStyle w:val="1100"/>
              <w:ind w:firstLine="420"/>
              <w:spacing w:line="360" w:lineRule="exact"/>
              <w:rPr>
                <w:rFonts w:ascii="宋体" w:hAnsi="宋体" w:cs="宋体"/>
                <w:bCs/>
                <w:szCs w:val="21"/>
              </w:rPr>
            </w:pPr>
            <w:r>
              <w:rPr>
                <w:rFonts w:ascii="宋体" w:hAnsi="宋体" w:cs="宋体"/>
                <w:bCs/>
                <w:szCs w:val="21"/>
              </w:rPr>
              <w:t xml:space="preserve">7.装配流水线</w:t>
            </w:r>
            <w:r/>
          </w:p>
          <w:p>
            <w:pPr>
              <w:pStyle w:val="1100"/>
              <w:ind w:firstLine="420"/>
              <w:spacing w:line="360" w:lineRule="exact"/>
              <w:rPr>
                <w:rFonts w:ascii="宋体" w:hAnsi="宋体" w:cs="宋体"/>
                <w:bCs/>
                <w:szCs w:val="21"/>
              </w:rPr>
            </w:pPr>
            <w:r>
              <w:rPr>
                <w:rFonts w:ascii="宋体" w:hAnsi="宋体" w:cs="宋体"/>
                <w:bCs/>
                <w:szCs w:val="21"/>
              </w:rPr>
              <w:t xml:space="preserve">8.四节传送带</w:t>
            </w:r>
            <w:r/>
          </w:p>
          <w:p>
            <w:pPr>
              <w:pStyle w:val="1100"/>
              <w:ind w:firstLine="420"/>
              <w:spacing w:line="360" w:lineRule="exact"/>
              <w:rPr>
                <w:rFonts w:ascii="宋体" w:hAnsi="宋体" w:cs="宋体"/>
                <w:bCs/>
                <w:szCs w:val="21"/>
              </w:rPr>
            </w:pPr>
            <w:r>
              <w:rPr>
                <w:rFonts w:ascii="宋体" w:hAnsi="宋体" w:cs="宋体"/>
                <w:bCs/>
                <w:szCs w:val="21"/>
              </w:rPr>
              <w:t xml:space="preserve">9.自控轧钢机</w:t>
            </w:r>
            <w:r/>
          </w:p>
          <w:p>
            <w:pPr>
              <w:pStyle w:val="1100"/>
              <w:ind w:firstLine="420"/>
              <w:spacing w:line="360" w:lineRule="exact"/>
              <w:rPr>
                <w:rFonts w:ascii="宋体" w:hAnsi="宋体" w:cs="宋体"/>
                <w:bCs/>
                <w:szCs w:val="21"/>
              </w:rPr>
            </w:pPr>
            <w:r>
              <w:rPr>
                <w:rFonts w:ascii="宋体" w:hAnsi="宋体" w:cs="宋体"/>
                <w:bCs/>
                <w:szCs w:val="21"/>
              </w:rPr>
              <w:t xml:space="preserve">10.自控成型机</w:t>
            </w:r>
            <w:r/>
          </w:p>
          <w:p>
            <w:pPr>
              <w:pStyle w:val="1100"/>
              <w:ind w:firstLine="420"/>
              <w:spacing w:line="360" w:lineRule="exact"/>
              <w:rPr>
                <w:rFonts w:ascii="宋体" w:hAnsi="宋体" w:cs="宋体"/>
                <w:bCs/>
                <w:szCs w:val="21"/>
              </w:rPr>
            </w:pPr>
            <w:r>
              <w:rPr>
                <w:rFonts w:ascii="宋体" w:hAnsi="宋体" w:cs="宋体"/>
                <w:bCs/>
                <w:szCs w:val="21"/>
              </w:rPr>
              <w:t xml:space="preserve">11.多种液体混合装置</w:t>
            </w:r>
            <w:r/>
          </w:p>
          <w:p>
            <w:pPr>
              <w:pStyle w:val="1100"/>
              <w:ind w:firstLine="420"/>
              <w:spacing w:line="360" w:lineRule="exact"/>
              <w:rPr>
                <w:rFonts w:ascii="宋体" w:hAnsi="宋体" w:cs="宋体"/>
                <w:bCs/>
                <w:szCs w:val="21"/>
              </w:rPr>
            </w:pPr>
            <w:r>
              <w:rPr>
                <w:rFonts w:ascii="宋体" w:hAnsi="宋体" w:cs="宋体"/>
                <w:bCs/>
                <w:szCs w:val="21"/>
              </w:rPr>
              <w:t xml:space="preserve">12.音乐喷泉</w:t>
            </w:r>
            <w:r/>
          </w:p>
          <w:p>
            <w:pPr>
              <w:pStyle w:val="1100"/>
              <w:ind w:firstLine="420"/>
              <w:spacing w:line="360" w:lineRule="exact"/>
              <w:rPr>
                <w:rFonts w:ascii="宋体" w:hAnsi="宋体" w:cs="宋体"/>
                <w:bCs/>
                <w:szCs w:val="21"/>
              </w:rPr>
            </w:pPr>
            <w:r>
              <w:rPr>
                <w:rFonts w:ascii="宋体" w:hAnsi="宋体" w:cs="宋体"/>
                <w:bCs/>
                <w:szCs w:val="21"/>
              </w:rPr>
              <w:t xml:space="preserve">13.舞台灯光模拟</w:t>
            </w:r>
            <w:r/>
          </w:p>
          <w:p>
            <w:pPr>
              <w:pStyle w:val="1100"/>
              <w:ind w:firstLine="420"/>
              <w:spacing w:line="360" w:lineRule="exact"/>
              <w:rPr>
                <w:rFonts w:ascii="宋体" w:hAnsi="宋体" w:cs="宋体"/>
                <w:bCs/>
                <w:szCs w:val="21"/>
              </w:rPr>
            </w:pPr>
            <w:r>
              <w:rPr>
                <w:rFonts w:ascii="宋体" w:hAnsi="宋体" w:cs="宋体"/>
                <w:bCs/>
                <w:szCs w:val="21"/>
              </w:rPr>
              <w:t xml:space="preserve">14.运料小车模拟</w:t>
            </w:r>
            <w:r/>
          </w:p>
          <w:p>
            <w:pPr>
              <w:pStyle w:val="1100"/>
              <w:ind w:firstLine="420"/>
              <w:spacing w:line="360" w:lineRule="exact"/>
              <w:rPr>
                <w:rFonts w:ascii="宋体" w:hAnsi="宋体" w:cs="宋体"/>
                <w:bCs/>
                <w:szCs w:val="21"/>
              </w:rPr>
            </w:pPr>
            <w:r>
              <w:rPr>
                <w:rFonts w:ascii="宋体" w:hAnsi="宋体" w:cs="宋体"/>
                <w:bCs/>
                <w:szCs w:val="21"/>
              </w:rPr>
              <w:t xml:space="preserve">15.自动洗衣机控制</w:t>
            </w:r>
            <w:r/>
          </w:p>
          <w:p>
            <w:pPr>
              <w:pStyle w:val="1100"/>
              <w:ind w:firstLine="420"/>
              <w:spacing w:line="360" w:lineRule="exact"/>
              <w:rPr>
                <w:rFonts w:ascii="宋体" w:hAnsi="宋体" w:cs="宋体"/>
                <w:bCs/>
                <w:szCs w:val="21"/>
              </w:rPr>
            </w:pPr>
            <w:r>
              <w:rPr>
                <w:rFonts w:ascii="宋体" w:hAnsi="宋体" w:cs="宋体"/>
                <w:bCs/>
                <w:szCs w:val="21"/>
              </w:rPr>
              <w:t xml:space="preserve">16.四相步进电机模拟</w:t>
            </w:r>
            <w:r/>
          </w:p>
          <w:p>
            <w:pPr>
              <w:pStyle w:val="1100"/>
              <w:ind w:firstLine="420"/>
              <w:spacing w:line="360" w:lineRule="exact"/>
              <w:rPr>
                <w:rFonts w:ascii="宋体" w:hAnsi="宋体" w:cs="宋体"/>
                <w:bCs/>
                <w:szCs w:val="21"/>
              </w:rPr>
            </w:pPr>
            <w:r>
              <w:rPr>
                <w:rFonts w:ascii="宋体" w:hAnsi="宋体" w:cs="宋体"/>
                <w:bCs/>
                <w:szCs w:val="21"/>
              </w:rPr>
              <w:t xml:space="preserve">17.艺术灯模拟</w:t>
            </w:r>
            <w:r/>
          </w:p>
          <w:p>
            <w:pPr>
              <w:pStyle w:val="1100"/>
              <w:ind w:firstLine="420"/>
              <w:spacing w:line="360" w:lineRule="exact"/>
              <w:rPr>
                <w:rFonts w:ascii="宋体" w:hAnsi="宋体" w:cs="宋体"/>
                <w:bCs/>
                <w:szCs w:val="21"/>
              </w:rPr>
            </w:pPr>
            <w:r>
              <w:rPr>
                <w:rFonts w:ascii="宋体" w:hAnsi="宋体" w:cs="宋体"/>
                <w:bCs/>
                <w:szCs w:val="21"/>
              </w:rPr>
              <w:t xml:space="preserve">18.喷泉模拟控制</w:t>
            </w:r>
            <w:r/>
          </w:p>
          <w:p>
            <w:pPr>
              <w:pStyle w:val="1100"/>
              <w:ind w:firstLine="420"/>
              <w:spacing w:line="360" w:lineRule="exact"/>
              <w:rPr>
                <w:rFonts w:ascii="宋体" w:hAnsi="宋体" w:cs="宋体"/>
                <w:bCs/>
                <w:szCs w:val="21"/>
              </w:rPr>
            </w:pPr>
            <w:r>
              <w:rPr>
                <w:rFonts w:ascii="宋体" w:hAnsi="宋体" w:cs="宋体"/>
                <w:bCs/>
                <w:szCs w:val="21"/>
              </w:rPr>
              <w:t xml:space="preserve">19.舞台艺术灯控制</w:t>
            </w:r>
            <w:r/>
          </w:p>
          <w:p>
            <w:pPr>
              <w:pStyle w:val="1100"/>
              <w:ind w:firstLine="420"/>
              <w:spacing w:line="360" w:lineRule="exact"/>
              <w:rPr>
                <w:rFonts w:ascii="宋体" w:hAnsi="宋体" w:cs="宋体"/>
                <w:bCs/>
                <w:szCs w:val="21"/>
              </w:rPr>
            </w:pPr>
            <w:r>
              <w:rPr>
                <w:rFonts w:ascii="宋体" w:hAnsi="宋体" w:cs="宋体"/>
                <w:bCs/>
                <w:szCs w:val="21"/>
              </w:rPr>
              <w:t xml:space="preserve">20.抢答器控制</w:t>
            </w:r>
            <w:r/>
          </w:p>
          <w:p>
            <w:pPr>
              <w:pStyle w:val="1100"/>
              <w:ind w:firstLine="422"/>
              <w:spacing w:line="360" w:lineRule="exact"/>
              <w:rPr>
                <w:rFonts w:ascii="宋体" w:hAnsi="宋体" w:cs="宋体"/>
                <w:b/>
                <w:szCs w:val="21"/>
              </w:rPr>
            </w:pPr>
            <w:r>
              <w:rPr>
                <w:rFonts w:ascii="宋体" w:hAnsi="宋体" w:cs="宋体"/>
                <w:b/>
                <w:szCs w:val="21"/>
              </w:rPr>
              <w:t xml:space="preserve">PLC、变频器、触摸屏综合实训</w:t>
            </w:r>
            <w:r/>
          </w:p>
          <w:p>
            <w:pPr>
              <w:pStyle w:val="1100"/>
              <w:ind w:firstLine="420"/>
              <w:spacing w:line="360" w:lineRule="exact"/>
              <w:rPr>
                <w:rFonts w:ascii="宋体" w:hAnsi="宋体" w:cs="宋体"/>
                <w:bCs/>
                <w:szCs w:val="21"/>
              </w:rPr>
            </w:pPr>
            <w:r>
              <w:rPr>
                <w:rFonts w:ascii="宋体" w:hAnsi="宋体" w:cs="宋体"/>
                <w:bCs/>
                <w:szCs w:val="21"/>
              </w:rPr>
              <w:t xml:space="preserve">1．变频器功能参数设置与操作</w:t>
            </w:r>
            <w:r/>
          </w:p>
          <w:p>
            <w:pPr>
              <w:pStyle w:val="1100"/>
              <w:ind w:firstLine="420"/>
              <w:spacing w:line="360" w:lineRule="exact"/>
              <w:rPr>
                <w:rFonts w:ascii="宋体" w:hAnsi="宋体" w:cs="宋体"/>
                <w:bCs/>
                <w:szCs w:val="21"/>
              </w:rPr>
            </w:pPr>
            <w:r>
              <w:rPr>
                <w:rFonts w:ascii="宋体" w:hAnsi="宋体" w:cs="宋体"/>
                <w:bCs/>
                <w:szCs w:val="21"/>
              </w:rPr>
              <w:t xml:space="preserve">2．外部端子点动控制</w:t>
            </w:r>
            <w:r/>
          </w:p>
          <w:p>
            <w:pPr>
              <w:pStyle w:val="1100"/>
              <w:ind w:firstLine="420"/>
              <w:spacing w:line="360" w:lineRule="exact"/>
              <w:rPr>
                <w:rFonts w:ascii="宋体" w:hAnsi="宋体" w:cs="宋体"/>
                <w:bCs/>
                <w:szCs w:val="21"/>
              </w:rPr>
            </w:pPr>
            <w:r>
              <w:rPr>
                <w:rFonts w:ascii="宋体" w:hAnsi="宋体" w:cs="宋体"/>
                <w:bCs/>
                <w:szCs w:val="21"/>
              </w:rPr>
              <w:t xml:space="preserve">3．4-20ma模拟量控制变频调速实训</w:t>
            </w:r>
            <w:r/>
          </w:p>
          <w:p>
            <w:pPr>
              <w:pStyle w:val="1100"/>
              <w:ind w:firstLine="420"/>
              <w:spacing w:line="360" w:lineRule="exact"/>
              <w:rPr>
                <w:rFonts w:ascii="宋体" w:hAnsi="宋体" w:cs="宋体"/>
                <w:bCs/>
                <w:szCs w:val="21"/>
              </w:rPr>
            </w:pPr>
            <w:r>
              <w:rPr>
                <w:rFonts w:ascii="宋体" w:hAnsi="宋体" w:cs="宋体"/>
                <w:bCs/>
                <w:szCs w:val="21"/>
              </w:rPr>
              <w:t xml:space="preserve">4．0-10V模拟量控制变频调速实训</w:t>
            </w:r>
            <w:r/>
          </w:p>
          <w:p>
            <w:pPr>
              <w:pStyle w:val="1100"/>
              <w:ind w:firstLine="420"/>
              <w:spacing w:line="360" w:lineRule="exact"/>
              <w:rPr>
                <w:rFonts w:ascii="宋体" w:hAnsi="宋体" w:cs="宋体"/>
                <w:bCs/>
                <w:szCs w:val="21"/>
              </w:rPr>
            </w:pPr>
            <w:r>
              <w:rPr>
                <w:rFonts w:ascii="宋体" w:hAnsi="宋体" w:cs="宋体"/>
                <w:bCs/>
                <w:szCs w:val="21"/>
              </w:rPr>
              <w:t xml:space="preserve">5．变频器控制电机正反转</w:t>
            </w:r>
            <w:r/>
          </w:p>
          <w:p>
            <w:pPr>
              <w:pStyle w:val="1100"/>
              <w:ind w:firstLine="420"/>
              <w:spacing w:line="360" w:lineRule="exact"/>
              <w:rPr>
                <w:rFonts w:ascii="宋体" w:hAnsi="宋体" w:cs="宋体"/>
                <w:bCs/>
                <w:szCs w:val="21"/>
              </w:rPr>
            </w:pPr>
            <w:r>
              <w:rPr>
                <w:rFonts w:ascii="宋体" w:hAnsi="宋体" w:cs="宋体"/>
                <w:bCs/>
                <w:szCs w:val="21"/>
              </w:rPr>
              <w:t xml:space="preserve">6．多段速度选择变频调速</w:t>
            </w:r>
            <w:r/>
          </w:p>
          <w:p>
            <w:pPr>
              <w:pStyle w:val="1100"/>
              <w:ind w:firstLine="420"/>
              <w:spacing w:line="360" w:lineRule="exact"/>
              <w:rPr>
                <w:rFonts w:ascii="宋体" w:hAnsi="宋体" w:cs="宋体"/>
                <w:bCs/>
                <w:szCs w:val="21"/>
              </w:rPr>
            </w:pPr>
            <w:r>
              <w:rPr>
                <w:rFonts w:ascii="宋体" w:hAnsi="宋体" w:cs="宋体"/>
                <w:bCs/>
                <w:szCs w:val="21"/>
              </w:rPr>
              <w:t xml:space="preserve">7．PID变频调速控制</w:t>
            </w:r>
            <w:r/>
          </w:p>
          <w:p>
            <w:pPr>
              <w:pStyle w:val="1100"/>
              <w:ind w:firstLine="420"/>
              <w:spacing w:line="360" w:lineRule="exact"/>
              <w:rPr>
                <w:rFonts w:ascii="宋体" w:hAnsi="宋体" w:cs="宋体"/>
                <w:bCs/>
                <w:szCs w:val="21"/>
              </w:rPr>
            </w:pPr>
            <w:r>
              <w:rPr>
                <w:rFonts w:ascii="宋体" w:hAnsi="宋体" w:cs="宋体"/>
                <w:bCs/>
                <w:szCs w:val="21"/>
              </w:rPr>
              <w:t xml:space="preserve">8．基于多品牌PLC的变频器外部端子的电机正反转控制</w:t>
            </w:r>
            <w:r/>
          </w:p>
          <w:p>
            <w:pPr>
              <w:pStyle w:val="1100"/>
              <w:ind w:firstLine="420"/>
              <w:spacing w:line="360" w:lineRule="exact"/>
              <w:rPr>
                <w:rFonts w:ascii="宋体" w:hAnsi="宋体" w:cs="宋体"/>
                <w:bCs/>
                <w:szCs w:val="21"/>
              </w:rPr>
            </w:pPr>
            <w:r>
              <w:rPr>
                <w:rFonts w:ascii="宋体" w:hAnsi="宋体" w:cs="宋体"/>
                <w:bCs/>
                <w:szCs w:val="21"/>
              </w:rPr>
              <w:t xml:space="preserve">9．基于多品牌PLC数字量方式多段速控制</w:t>
            </w:r>
            <w:r/>
          </w:p>
          <w:p>
            <w:pPr>
              <w:pStyle w:val="1100"/>
              <w:ind w:firstLine="420"/>
              <w:spacing w:line="360" w:lineRule="exact"/>
              <w:rPr>
                <w:rFonts w:ascii="宋体" w:hAnsi="宋体" w:cs="宋体"/>
                <w:bCs/>
                <w:szCs w:val="21"/>
              </w:rPr>
            </w:pPr>
            <w:r>
              <w:rPr>
                <w:rFonts w:ascii="宋体" w:hAnsi="宋体" w:cs="宋体"/>
                <w:bCs/>
                <w:szCs w:val="21"/>
              </w:rPr>
              <w:t xml:space="preserve">10．基于PLC模拟量方式变频开环调速控制</w:t>
            </w:r>
            <w:r/>
          </w:p>
          <w:p>
            <w:pPr>
              <w:pStyle w:val="1100"/>
              <w:ind w:firstLine="420"/>
              <w:spacing w:line="360" w:lineRule="exact"/>
              <w:rPr>
                <w:rFonts w:ascii="宋体" w:hAnsi="宋体" w:cs="宋体"/>
                <w:bCs/>
                <w:szCs w:val="21"/>
              </w:rPr>
            </w:pPr>
            <w:r>
              <w:rPr>
                <w:rFonts w:ascii="宋体" w:hAnsi="宋体" w:cs="宋体"/>
                <w:bCs/>
                <w:szCs w:val="21"/>
              </w:rPr>
              <w:t xml:space="preserve">11．基于触摸屏控制方式的基本指令编程练习</w:t>
            </w:r>
            <w:r/>
          </w:p>
          <w:p>
            <w:pPr>
              <w:pStyle w:val="1100"/>
              <w:ind w:firstLine="420"/>
              <w:spacing w:line="360" w:lineRule="exact"/>
              <w:rPr>
                <w:rFonts w:ascii="宋体" w:hAnsi="宋体" w:cs="宋体"/>
                <w:bCs/>
                <w:szCs w:val="21"/>
              </w:rPr>
            </w:pPr>
            <w:r>
              <w:rPr>
                <w:rFonts w:ascii="宋体" w:hAnsi="宋体" w:cs="宋体"/>
                <w:bCs/>
                <w:szCs w:val="21"/>
              </w:rPr>
              <w:t xml:space="preserve">12．基于触摸屏控制方式的数码显示控制</w:t>
            </w:r>
            <w:r/>
          </w:p>
          <w:p>
            <w:pPr>
              <w:pStyle w:val="1100"/>
              <w:ind w:firstLine="420"/>
              <w:spacing w:line="360" w:lineRule="exact"/>
              <w:rPr>
                <w:rFonts w:ascii="宋体" w:hAnsi="宋体" w:cs="宋体"/>
                <w:b/>
                <w:szCs w:val="21"/>
              </w:rPr>
            </w:pPr>
            <w:r>
              <w:rPr>
                <w:rFonts w:ascii="宋体" w:hAnsi="宋体" w:cs="宋体"/>
                <w:bCs/>
                <w:szCs w:val="21"/>
              </w:rPr>
              <w:t xml:space="preserve">13．PLC、变频器、触摸屏之间通信控制</w:t>
            </w:r>
            <w:r>
              <w:rPr>
                <w:rFonts w:ascii="宋体" w:hAnsi="宋体" w:cs="宋体"/>
                <w:b/>
                <w:szCs w:val="21"/>
              </w:rPr>
            </w:r>
            <w:r/>
          </w:p>
        </w:tc>
      </w:tr>
    </w:tbl>
    <w:p>
      <w:pPr>
        <w:pStyle w:val="1100"/>
        <w:ind w:firstLine="482"/>
        <w:spacing w:line="360" w:lineRule="auto"/>
        <w:rPr>
          <w:rFonts w:ascii="宋体" w:hAnsi="宋体" w:cs="等线 Light"/>
          <w:b/>
          <w:bCs/>
          <w:i/>
          <w:sz w:val="24"/>
        </w:rPr>
      </w:pPr>
      <w:r>
        <w:rPr>
          <w:rFonts w:hint="eastAsia" w:ascii="宋体" w:hAnsi="宋体" w:cs="等线 Light"/>
          <w:b/>
          <w:bCs/>
          <w:i/>
          <w:sz w:val="24"/>
        </w:rPr>
        <w:t xml:space="preserve">*三、商务需求（商务条款应全部响应，如出现负偏离，将视为无效响应）</w:t>
      </w:r>
      <w:r>
        <w:rPr>
          <w:rFonts w:ascii="宋体" w:hAnsi="宋体" w:cs="等线 Light"/>
          <w:b/>
          <w:bCs/>
          <w:i/>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（一）交付时间：合同签订后30日内完成全部设备供货、安装调试、验收交付。</w:t>
      </w:r>
      <w:r>
        <w:rPr>
          <w:rFonts w:ascii="宋体" w:hAnsi="宋体" w:cs="等线 Light"/>
          <w:b/>
          <w:bCs/>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（二）交货地点：江苏省常州技师学院6号楼三楼。</w:t>
      </w:r>
      <w:r>
        <w:rPr>
          <w:rFonts w:ascii="宋体" w:hAnsi="宋体" w:cs="等线 Light"/>
          <w:b/>
          <w:bCs/>
          <w:sz w:val="24"/>
        </w:rPr>
      </w:r>
      <w:r/>
    </w:p>
    <w:p>
      <w:pPr>
        <w:pStyle w:val="1100"/>
        <w:ind w:firstLine="482"/>
        <w:spacing w:line="360" w:lineRule="auto"/>
        <w:rPr>
          <w:rFonts w:ascii="宋体" w:hAnsi="宋体" w:cs="等线 Light"/>
          <w:bCs/>
          <w:sz w:val="24"/>
        </w:rPr>
      </w:pPr>
      <w:r>
        <w:rPr>
          <w:rFonts w:hint="eastAsia" w:ascii="宋体" w:hAnsi="宋体" w:cs="等线 Light"/>
          <w:b/>
          <w:bCs/>
          <w:sz w:val="24"/>
        </w:rPr>
        <w:t xml:space="preserve">（三）投标报价：</w:t>
      </w:r>
      <w:r>
        <w:rPr>
          <w:rFonts w:hint="eastAsia" w:ascii="宋体" w:hAnsi="宋体" w:cs="等线 Light"/>
          <w:bCs/>
          <w:sz w:val="24"/>
        </w:rPr>
        <w:t xml:space="preserve">本项目投</w:t>
      </w:r>
      <w:r>
        <w:rPr>
          <w:rFonts w:hint="eastAsia" w:ascii="宋体" w:hAnsi="宋体" w:cs="等线 Light"/>
          <w:bCs/>
          <w:sz w:val="24"/>
        </w:rPr>
        <w:t xml:space="preserve">标报价为固定总价，投标报价包括但不限于招标文件及其准备（包括现场踏勘、技术核对等）、货物（包括备品备件、专用工具、辅助设备）、技术资料、设计、制造、检验、包装、发货、运输、保险、装卸至现场指定地点、质保期、维保服务（包括质保期内的一切更换、人工等伴随服务）、办公设备、利润、风险、税金及政策性文件规定，以及为完成该项目所涉及到的一切相关费用，采购人不再支付其他任何费用。验收过程中，如发现有漏项、缺件，投标人无条件、无偿补齐，所发生的一切费用，视为已包含在投标人的报价之中，且并不因此而影响交付实际使用人的时间。</w:t>
      </w:r>
      <w:r>
        <w:rPr>
          <w:rFonts w:ascii="宋体" w:hAnsi="宋体" w:cs="等线 Light"/>
          <w:bCs/>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（四）付款方式：项目验收合格，满足合同约定支付条件的，自收到发票后30天内支付。</w:t>
      </w:r>
      <w:r>
        <w:rPr>
          <w:rFonts w:ascii="宋体" w:hAnsi="宋体" w:cs="等线 Light"/>
          <w:b/>
          <w:bCs/>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（五）免费质保期：自验收合格之日起2年。</w:t>
      </w:r>
      <w:r>
        <w:rPr>
          <w:rFonts w:ascii="宋体" w:hAnsi="宋体" w:cs="等线 Light"/>
          <w:b/>
          <w:bCs/>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（六）售后服务</w:t>
      </w:r>
      <w:r>
        <w:rPr>
          <w:rFonts w:ascii="宋体" w:hAnsi="宋体" w:cs="等线 Light"/>
          <w:b/>
          <w:bCs/>
          <w:sz w:val="24"/>
        </w:rPr>
      </w:r>
      <w:r/>
    </w:p>
    <w:p>
      <w:pPr>
        <w:pStyle w:val="1100"/>
        <w:ind w:firstLine="480"/>
        <w:spacing w:line="360" w:lineRule="auto"/>
        <w:rPr>
          <w:rFonts w:ascii="宋体" w:hAnsi="宋体" w:cs="等线 Light"/>
          <w:bCs/>
          <w:sz w:val="24"/>
        </w:rPr>
      </w:pPr>
      <w:r>
        <w:rPr>
          <w:rFonts w:ascii="宋体" w:hAnsi="宋体" w:cs="等线 Light"/>
          <w:bCs/>
          <w:sz w:val="24"/>
        </w:rPr>
        <w:t xml:space="preserve">1</w:t>
      </w:r>
      <w:r>
        <w:rPr>
          <w:rFonts w:hint="eastAsia" w:ascii="宋体" w:hAnsi="宋体" w:cs="等线 Light"/>
          <w:bCs/>
          <w:sz w:val="24"/>
        </w:rPr>
        <w:t xml:space="preserve">.投标人应按照国家有关法律法规、“三包”规定以及响应文件中的“售后服务承诺”提供服务。</w:t>
      </w:r>
      <w:r>
        <w:rPr>
          <w:rFonts w:ascii="宋体" w:hAnsi="宋体" w:cs="等线 Light"/>
          <w:bCs/>
          <w:sz w:val="24"/>
        </w:rPr>
      </w:r>
      <w:r/>
    </w:p>
    <w:p>
      <w:pPr>
        <w:pStyle w:val="1100"/>
        <w:ind w:firstLine="480"/>
        <w:spacing w:line="360" w:lineRule="auto"/>
        <w:rPr>
          <w:rFonts w:ascii="宋体" w:hAnsi="宋体" w:cs="等线 Light"/>
          <w:bCs/>
          <w:sz w:val="24"/>
        </w:rPr>
      </w:pPr>
      <w:r>
        <w:rPr>
          <w:rFonts w:ascii="宋体" w:hAnsi="宋体" w:cs="等线 Light"/>
          <w:bCs/>
          <w:sz w:val="24"/>
        </w:rPr>
        <w:t xml:space="preserve">2</w:t>
      </w:r>
      <w:r>
        <w:rPr>
          <w:rFonts w:hint="eastAsia" w:ascii="宋体" w:hAnsi="宋体" w:cs="等线 Light"/>
          <w:bCs/>
          <w:sz w:val="24"/>
        </w:rPr>
        <w:t xml:space="preserve">.所有的售后服务均由中标人受理。如果发生问题并且收到报告，中标人应当在2小时内予以答复。</w:t>
      </w:r>
      <w:r>
        <w:rPr>
          <w:rFonts w:ascii="宋体" w:hAnsi="宋体" w:cs="等线 Light"/>
          <w:bCs/>
          <w:sz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3</w:t>
      </w:r>
      <w:r>
        <w:rPr>
          <w:rFonts w:ascii="宋体" w:hAnsi="宋体" w:cs="等线 Light"/>
          <w:bCs/>
          <w:sz w:val="24"/>
        </w:rPr>
        <w:t xml:space="preserve">.</w:t>
      </w:r>
      <w:r>
        <w:rPr>
          <w:rFonts w:hint="eastAsia" w:ascii="宋体" w:hAnsi="宋体" w:cs="等线 Light"/>
          <w:bCs/>
          <w:sz w:val="24"/>
        </w:rPr>
        <w:t xml:space="preserve">质保期内，非采购人原因造成货物故障及损坏时，投标人按行业标准提供服务，30天内包退换。质保期内，投标人在接到采购人通知后2小时内响应，在8小时内赶到现场，48小时内免费予以排除故障、修复或更换零部件，所有费用由投标人承担。</w:t>
      </w:r>
      <w:r>
        <w:rPr>
          <w:rFonts w:ascii="宋体" w:hAnsi="宋体" w:cs="等线 Light"/>
          <w:bCs/>
          <w:sz w:val="24"/>
        </w:rPr>
      </w:r>
      <w:r/>
    </w:p>
    <w:p>
      <w:pPr>
        <w:pStyle w:val="1100"/>
        <w:ind w:firstLine="480"/>
        <w:spacing w:line="360" w:lineRule="auto"/>
        <w:rPr>
          <w:rFonts w:ascii="宋体" w:hAnsi="宋体" w:cs="等线 Light"/>
          <w:bCs/>
          <w:sz w:val="24"/>
        </w:rPr>
      </w:pPr>
      <w:r>
        <w:rPr>
          <w:rFonts w:ascii="宋体" w:hAnsi="宋体" w:cs="等线 Light"/>
          <w:bCs/>
          <w:sz w:val="24"/>
        </w:rPr>
        <w:t xml:space="preserve">4</w:t>
      </w:r>
      <w:r>
        <w:rPr>
          <w:rFonts w:hint="eastAsia" w:ascii="宋体" w:hAnsi="宋体" w:cs="等线 Light"/>
          <w:bCs/>
          <w:sz w:val="24"/>
        </w:rPr>
        <w:t xml:space="preserve">.中标人派往采购人现场的人员，应具有较高的业务素质，现场解决问题时，不得无故拖延或推迟，应为采购人提供最佳的服务。</w:t>
      </w:r>
      <w:r>
        <w:rPr>
          <w:rFonts w:ascii="宋体" w:hAnsi="宋体" w:cs="等线 Light"/>
          <w:bCs/>
          <w:sz w:val="24"/>
        </w:rPr>
      </w:r>
      <w:r/>
    </w:p>
    <w:p>
      <w:pPr>
        <w:pStyle w:val="1100"/>
        <w:ind w:firstLine="480"/>
        <w:spacing w:line="360" w:lineRule="auto"/>
        <w:rPr>
          <w:rFonts w:ascii="宋体" w:hAnsi="宋体" w:cs="等线 Light"/>
          <w:bCs/>
          <w:sz w:val="24"/>
        </w:rPr>
      </w:pPr>
      <w:r>
        <w:rPr>
          <w:rFonts w:ascii="宋体" w:hAnsi="宋体" w:cs="等线 Light"/>
          <w:bCs/>
          <w:sz w:val="24"/>
        </w:rPr>
        <w:t xml:space="preserve">5</w:t>
      </w:r>
      <w:r>
        <w:rPr>
          <w:rFonts w:hint="eastAsia" w:ascii="宋体" w:hAnsi="宋体" w:cs="等线 Light"/>
          <w:bCs/>
          <w:sz w:val="24"/>
        </w:rPr>
        <w:t xml:space="preserve">.在质保期内因产品质量问题造成的产品损坏，中标人应无条件更换，更换的产品质保期顺延。</w:t>
      </w:r>
      <w:r>
        <w:rPr>
          <w:rFonts w:ascii="宋体" w:hAnsi="宋体" w:cs="等线 Light"/>
          <w:bCs/>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（七）包装运输</w:t>
      </w:r>
      <w:r>
        <w:rPr>
          <w:rFonts w:ascii="宋体" w:hAnsi="宋体" w:cs="等线 Light"/>
          <w:b/>
          <w:bCs/>
          <w:sz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1</w:t>
      </w:r>
      <w:r>
        <w:rPr>
          <w:rFonts w:ascii="宋体" w:hAnsi="宋体" w:cs="等线 Light"/>
          <w:bCs/>
          <w:sz w:val="24"/>
        </w:rPr>
        <w:t xml:space="preserve">.</w:t>
      </w:r>
      <w:r>
        <w:rPr>
          <w:rFonts w:hint="eastAsia" w:ascii="宋体" w:hAnsi="宋体" w:cs="等线 Light"/>
          <w:bCs/>
          <w:sz w:val="24"/>
        </w:rPr>
        <w:t xml:space="preserve">须满足《关于印发〈商品包装政府采购需求标准（试行）〉、〈快递包装政府采购需求标准（试行）〉的通知》（财办库﹝2020﹞123号）。</w:t>
      </w:r>
      <w:r>
        <w:rPr>
          <w:rFonts w:ascii="宋体" w:hAnsi="宋体" w:cs="等线 Light"/>
          <w:bCs/>
          <w:sz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2</w:t>
      </w:r>
      <w:r>
        <w:rPr>
          <w:rFonts w:ascii="宋体" w:hAnsi="宋体" w:cs="等线 Light"/>
          <w:bCs/>
          <w:sz w:val="24"/>
        </w:rPr>
        <w:t xml:space="preserve">.</w:t>
      </w:r>
      <w:r>
        <w:rPr>
          <w:rFonts w:hint="eastAsia" w:ascii="宋体" w:hAnsi="宋体" w:cs="等线 Light"/>
          <w:bCs/>
          <w:sz w:val="24"/>
        </w:rPr>
        <w:t xml:space="preserve">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ascii="宋体" w:hAnsi="宋体" w:cs="等线 Light"/>
          <w:bCs/>
          <w:sz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3</w:t>
      </w:r>
      <w:r>
        <w:rPr>
          <w:rFonts w:ascii="宋体" w:hAnsi="宋体" w:cs="等线 Light"/>
          <w:bCs/>
          <w:sz w:val="24"/>
        </w:rPr>
        <w:t xml:space="preserve">.</w:t>
      </w:r>
      <w:r>
        <w:rPr>
          <w:rFonts w:hint="eastAsia" w:ascii="宋体" w:hAnsi="宋体" w:cs="等线 Light"/>
          <w:bCs/>
          <w:sz w:val="24"/>
        </w:rPr>
        <w:t xml:space="preserve">投标人所提供的货物必须是满足采购文件的要求。保证所提供的货物均为正规的厂家生产的合格以上、无侵权产品。符合国家有关质量和包装标准。若投标人提供假冒伪劣、以次充好产品的，一经发现，除按采购人要求无条件退货或换货外，其他损失均由投标人承担。</w:t>
      </w:r>
      <w:r>
        <w:rPr>
          <w:rFonts w:ascii="宋体" w:hAnsi="宋体" w:cs="等线 Light"/>
          <w:bCs/>
          <w:sz w:val="24"/>
        </w:rPr>
      </w:r>
      <w:r/>
    </w:p>
    <w:p>
      <w:pPr>
        <w:pStyle w:val="1100"/>
        <w:ind w:firstLine="480"/>
        <w:spacing w:line="360" w:lineRule="auto"/>
        <w:rPr>
          <w:rFonts w:ascii="宋体" w:hAnsi="宋体" w:cs="等线 Light"/>
          <w:bCs/>
          <w:sz w:val="24"/>
        </w:rPr>
      </w:pPr>
      <w:r>
        <w:rPr>
          <w:rFonts w:ascii="宋体" w:hAnsi="宋体" w:cs="等线 Light"/>
          <w:bCs/>
          <w:sz w:val="24"/>
        </w:rPr>
        <w:t xml:space="preserve">4.</w:t>
      </w:r>
      <w:r>
        <w:rPr>
          <w:rFonts w:hint="eastAsia" w:ascii="宋体" w:hAnsi="宋体" w:cs="等线 Light"/>
          <w:bCs/>
          <w:sz w:val="24"/>
        </w:rPr>
        <w:t xml:space="preserve">货物有包装的，包装必须完整，采购人有权拒收包装不整齐、已拆封及货物已损坏的商品。</w:t>
      </w:r>
      <w:r>
        <w:rPr>
          <w:rFonts w:ascii="宋体" w:hAnsi="宋体" w:cs="等线 Light"/>
          <w:bCs/>
          <w:sz w:val="24"/>
        </w:rPr>
      </w:r>
      <w:r/>
    </w:p>
    <w:p>
      <w:pPr>
        <w:pStyle w:val="1100"/>
        <w:ind w:firstLine="480"/>
        <w:spacing w:line="360" w:lineRule="auto"/>
        <w:rPr>
          <w:rFonts w:ascii="宋体" w:hAnsi="宋体" w:cs="等线 Light"/>
          <w:bCs/>
          <w:sz w:val="24"/>
        </w:rPr>
      </w:pPr>
      <w:r>
        <w:rPr>
          <w:rFonts w:ascii="宋体" w:hAnsi="宋体" w:cs="等线 Light"/>
          <w:bCs/>
          <w:sz w:val="24"/>
        </w:rPr>
        <w:t xml:space="preserve">5.</w:t>
      </w:r>
      <w:r>
        <w:rPr>
          <w:rFonts w:hint="eastAsia" w:ascii="宋体" w:hAnsi="宋体" w:cs="等线 Light"/>
          <w:bCs/>
          <w:sz w:val="24"/>
        </w:rPr>
        <w:t xml:space="preserve">投标人应根据采购人要求按采购文件规定的型号向采购人提供要求数量的货物。不得擅自变更（含规格、型号、数量等），否则，采购人有权拒收。投标人应更换被拒收的货物，使之符合要求，且承担由此发生的一切费用。</w:t>
      </w:r>
      <w:r>
        <w:rPr>
          <w:rFonts w:ascii="宋体" w:hAnsi="宋体" w:cs="等线 Light"/>
          <w:bCs/>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四、履约验收方案</w:t>
      </w:r>
      <w:r>
        <w:rPr>
          <w:rFonts w:ascii="宋体" w:hAnsi="宋体" w:cs="等线 Light"/>
          <w:b/>
          <w:bCs/>
          <w:sz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1.产品到达交货地点后，采购人和中标人在2日内共同检验产品数量、质量等状况，由中标人负责并承担相关费用，采购人应积极配合。中标人进行安装调试并经过性能测试后，由采购人组织验收，验收合格后在《验收评价表》上签字确认。</w:t>
      </w:r>
      <w:r>
        <w:rPr>
          <w:rFonts w:ascii="宋体" w:hAnsi="宋体" w:cs="等线 Light"/>
          <w:bCs/>
          <w:sz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2</w:t>
      </w:r>
      <w:r>
        <w:rPr>
          <w:rFonts w:ascii="宋体" w:hAnsi="宋体" w:cs="等线 Light"/>
          <w:bCs/>
          <w:sz w:val="24"/>
        </w:rPr>
        <w:t xml:space="preserve">.</w:t>
      </w:r>
      <w:r>
        <w:rPr>
          <w:rFonts w:hint="eastAsia" w:ascii="宋体" w:hAnsi="宋体" w:cs="等线 Light"/>
          <w:bCs/>
          <w:sz w:val="24"/>
        </w:rPr>
        <w:t xml:space="preserve">对产品的外观或质量问题，采购人应在发现和应当发现之日起30日内向中标人提出书面异议，中标人在接到书面异议后，应当在2日内负责处理。采购人逾期提出的，对所交产品视为符合合同的规定。</w:t>
      </w:r>
      <w:r>
        <w:rPr>
          <w:rFonts w:ascii="宋体" w:hAnsi="宋体" w:cs="等线 Light"/>
          <w:bCs/>
          <w:sz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3.经双方共同验收，产品性能参数达不到采购合同要求的，采购人可以拒收，并可以解除合同。</w:t>
      </w:r>
      <w:r>
        <w:rPr>
          <w:rFonts w:ascii="宋体" w:hAnsi="宋体" w:cs="等线 Light"/>
          <w:bCs/>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五、场地原始平面图</w:t>
      </w:r>
      <w:r>
        <w:rPr>
          <w:rFonts w:ascii="宋体" w:hAnsi="宋体" w:cs="等线 Light"/>
          <w:b/>
          <w:bCs/>
          <w:sz w:val="24"/>
        </w:rPr>
      </w:r>
      <w:r/>
    </w:p>
    <w:p>
      <w:pPr>
        <w:pStyle w:val="1100"/>
        <w:ind w:firstLine="480"/>
        <w:spacing w:line="360" w:lineRule="auto"/>
        <w:rPr>
          <w:rFonts w:hint="eastAsia" w:ascii="宋体" w:hAnsi="宋体" w:cs="等线 Light"/>
          <w:bCs/>
          <w:sz w:val="24"/>
        </w:rPr>
      </w:pPr>
      <w:r>
        <w:rPr>
          <w:rFonts w:ascii="宋体" w:hAnsi="宋体" w:cs="等线 Light"/>
          <w:bCs/>
          <w:sz w:val="24"/>
        </w:rPr>
        <mc:AlternateContent>
          <mc:Choice Requires="wpg">
            <w:drawing>
              <wp:inline xmlns:wp="http://schemas.openxmlformats.org/drawingml/2006/wordprocessingDrawing" distT="0" distB="0" distL="0" distR="0">
                <wp:extent cx="5301412" cy="445466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301412" cy="4454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7.4pt;height:350.8pt;mso-wrap-distance-left:0.0pt;mso-wrap-distance-top:0.0pt;mso-wrap-distance-right:0.0pt;mso-wrap-distance-bottom:0.0pt;" stroked="f">
                <v:path textboxrect="0,0,0,0"/>
                <v:imagedata r:id="rId24" o:title=""/>
              </v:shape>
            </w:pict>
          </mc:Fallback>
        </mc:AlternateContent>
      </w:r>
      <w:r>
        <w:rPr>
          <w:rFonts w:hint="eastAsia" w:ascii="宋体" w:hAnsi="宋体" w:cs="等线 Light"/>
          <w:bCs/>
          <w:sz w:val="24"/>
        </w:rPr>
      </w:r>
      <w:r/>
    </w:p>
    <w:p>
      <w:pPr>
        <w:pStyle w:val="1100"/>
        <w:ind w:firstLine="480"/>
        <w:spacing w:line="360" w:lineRule="auto"/>
        <w:rPr>
          <w:rFonts w:ascii="宋体" w:hAnsi="宋体" w:cs="等线 Light"/>
          <w:bCs/>
          <w:sz w:val="24"/>
        </w:rPr>
      </w:pPr>
      <w:r>
        <w:rPr>
          <w:rFonts w:ascii="宋体" w:hAnsi="宋体" w:cs="等线 Light"/>
          <w:bCs/>
          <w:sz w:val="24"/>
        </w:rPr>
      </w:r>
      <w:r/>
    </w:p>
    <w:p>
      <w:pPr>
        <w:pStyle w:val="1100"/>
        <w:ind w:firstLine="480"/>
        <w:spacing w:line="360" w:lineRule="auto"/>
        <w:rPr>
          <w:rFonts w:ascii="宋体" w:hAnsi="宋体" w:cs="等线 Light"/>
          <w:bCs/>
          <w:sz w:val="24"/>
        </w:rPr>
      </w:pPr>
      <w:r>
        <w:rPr>
          <w:rFonts w:ascii="宋体" w:hAnsi="宋体" w:cs="等线 Light"/>
          <w:bCs/>
          <w:sz w:val="24"/>
        </w:rPr>
      </w:r>
      <w:r/>
    </w:p>
    <w:p>
      <w:pPr>
        <w:pStyle w:val="1100"/>
        <w:rPr>
          <w:rFonts w:ascii="宋体" w:hAnsi="宋体"/>
        </w:rPr>
      </w:pPr>
      <w:r>
        <w:rPr>
          <w:rFonts w:ascii="宋体" w:hAnsi="宋体"/>
        </w:rPr>
      </w:r>
      <w:r/>
    </w:p>
    <w:p>
      <w:pPr>
        <w:pStyle w:val="1100"/>
        <w:jc w:val="center"/>
        <w:spacing w:line="360" w:lineRule="auto"/>
        <w:rPr>
          <w:rFonts w:ascii="宋体" w:hAnsi="宋体"/>
          <w:b/>
          <w:sz w:val="36"/>
          <w:szCs w:val="36"/>
        </w:rPr>
        <w:outlineLvl w:val="0"/>
      </w:pPr>
      <w:r>
        <w:rPr>
          <w:rFonts w:ascii="宋体" w:hAnsi="宋体"/>
          <w:b/>
          <w:sz w:val="36"/>
          <w:szCs w:val="36"/>
        </w:rPr>
        <w:br w:type="page" w:clear="all"/>
      </w:r>
      <w:bookmarkStart w:id="815" w:name="_Toc99301425"/>
      <w:r>
        <w:rPr>
          <w:rFonts w:ascii="宋体" w:hAnsi="宋体"/>
          <w:b/>
          <w:sz w:val="36"/>
          <w:szCs w:val="36"/>
        </w:rPr>
        <w:t xml:space="preserve">第六章   拟签订的合同文本</w:t>
      </w:r>
      <w:bookmarkEnd w:id="815"/>
      <w:r>
        <w:rPr>
          <w:rFonts w:ascii="宋体" w:hAnsi="宋体"/>
          <w:b/>
          <w:sz w:val="36"/>
          <w:szCs w:val="36"/>
        </w:rPr>
      </w:r>
      <w:r/>
    </w:p>
    <w:p>
      <w:pPr>
        <w:pStyle w:val="1132"/>
        <w:jc w:val="center"/>
        <w:rPr>
          <w:rFonts w:cs="宋体"/>
          <w:b/>
          <w:bCs/>
          <w:spacing w:val="-20"/>
          <w:sz w:val="48"/>
          <w:szCs w:val="48"/>
        </w:rPr>
      </w:pPr>
      <w:r/>
      <w:bookmarkStart w:id="816" w:name="_Toc3995"/>
      <w:r>
        <w:rPr>
          <w:rFonts w:cs="宋体"/>
          <w:b/>
          <w:bCs/>
          <w:spacing w:val="-20"/>
          <w:sz w:val="48"/>
          <w:szCs w:val="48"/>
        </w:rPr>
      </w:r>
      <w:r/>
    </w:p>
    <w:p>
      <w:pPr>
        <w:pStyle w:val="1132"/>
        <w:jc w:val="center"/>
        <w:rPr>
          <w:rFonts w:hint="eastAsia" w:cs="宋体"/>
          <w:b/>
          <w:bCs/>
          <w:spacing w:val="-20"/>
          <w:sz w:val="48"/>
          <w:szCs w:val="48"/>
        </w:rPr>
      </w:pPr>
      <w:r>
        <w:rPr>
          <w:rFonts w:hint="eastAsia" w:cs="宋体"/>
          <w:b/>
          <w:bCs/>
          <w:spacing w:val="-20"/>
          <w:sz w:val="48"/>
          <w:szCs w:val="48"/>
        </w:rPr>
      </w:r>
      <w:r/>
    </w:p>
    <w:p>
      <w:pPr>
        <w:pStyle w:val="1132"/>
        <w:jc w:val="center"/>
        <w:rPr>
          <w:rFonts w:hint="eastAsia" w:cs="宋体"/>
          <w:b/>
          <w:bCs/>
          <w:spacing w:val="-20"/>
          <w:sz w:val="48"/>
          <w:szCs w:val="48"/>
        </w:rPr>
      </w:pPr>
      <w:r>
        <w:rPr>
          <w:rFonts w:hint="eastAsia" w:cs="宋体"/>
          <w:b/>
          <w:bCs/>
          <w:spacing w:val="-20"/>
          <w:sz w:val="48"/>
          <w:szCs w:val="48"/>
        </w:rPr>
        <w:t xml:space="preserve">政府采购货物买卖合同</w:t>
      </w:r>
      <w:r/>
    </w:p>
    <w:p>
      <w:pPr>
        <w:pStyle w:val="1132"/>
        <w:jc w:val="center"/>
        <w:rPr>
          <w:rFonts w:hint="eastAsia" w:cs="宋体"/>
          <w:b/>
          <w:bCs/>
          <w:spacing w:val="-20"/>
          <w:sz w:val="48"/>
          <w:szCs w:val="48"/>
        </w:rPr>
      </w:pPr>
      <w:r>
        <w:rPr>
          <w:rFonts w:hint="eastAsia" w:cs="宋体"/>
          <w:b/>
          <w:bCs/>
          <w:spacing w:val="-20"/>
          <w:sz w:val="48"/>
          <w:szCs w:val="48"/>
        </w:rPr>
      </w:r>
      <w:r/>
    </w:p>
    <w:p>
      <w:pPr>
        <w:pStyle w:val="1100"/>
        <w:rPr>
          <w:rFonts w:hint="eastAsia" w:ascii="宋体" w:hAnsi="宋体" w:cs="宋体"/>
          <w:b/>
          <w:bCs/>
          <w:spacing w:val="-20"/>
          <w:sz w:val="40"/>
          <w:szCs w:val="40"/>
        </w:rPr>
      </w:pPr>
      <w:r>
        <w:rPr>
          <w:rFonts w:hint="eastAsia" w:ascii="宋体" w:hAnsi="宋体" w:cs="宋体"/>
          <w:b/>
          <w:bCs/>
          <w:spacing w:val="-20"/>
          <w:sz w:val="40"/>
          <w:szCs w:val="40"/>
        </w:rPr>
      </w:r>
      <w:r/>
    </w:p>
    <w:p>
      <w:pPr>
        <w:pStyle w:val="1100"/>
        <w:rPr>
          <w:rFonts w:hint="eastAsia" w:ascii="宋体" w:hAnsi="宋体" w:cs="宋体"/>
          <w:b/>
          <w:bCs/>
          <w:spacing w:val="-20"/>
          <w:sz w:val="40"/>
          <w:szCs w:val="40"/>
        </w:rPr>
      </w:pPr>
      <w:r>
        <w:rPr>
          <w:rFonts w:hint="eastAsia" w:ascii="宋体" w:hAnsi="宋体" w:cs="宋体"/>
          <w:b/>
          <w:bCs/>
          <w:spacing w:val="-20"/>
          <w:sz w:val="40"/>
          <w:szCs w:val="40"/>
        </w:rPr>
      </w:r>
      <w:r/>
    </w:p>
    <w:p>
      <w:pPr>
        <w:pStyle w:val="1100"/>
        <w:rPr>
          <w:rFonts w:hint="eastAsia" w:ascii="宋体" w:hAnsi="宋体" w:cs="宋体"/>
          <w:b/>
          <w:bCs/>
          <w:spacing w:val="-20"/>
          <w:sz w:val="40"/>
          <w:szCs w:val="40"/>
        </w:rPr>
      </w:pPr>
      <w:r>
        <w:rPr>
          <w:rFonts w:hint="eastAsia" w:ascii="宋体" w:hAnsi="宋体" w:cs="宋体"/>
          <w:b/>
          <w:bCs/>
          <w:spacing w:val="-20"/>
          <w:sz w:val="40"/>
          <w:szCs w:val="40"/>
        </w:rPr>
      </w:r>
      <w:r/>
    </w:p>
    <w:p>
      <w:pPr>
        <w:pStyle w:val="1100"/>
        <w:ind w:left="420"/>
        <w:spacing w:line="360" w:lineRule="auto"/>
        <w:rPr>
          <w:rFonts w:hint="eastAsia"/>
          <w:sz w:val="32"/>
          <w:szCs w:val="32"/>
        </w:rPr>
      </w:pPr>
      <w:r>
        <w:rPr>
          <w:rFonts w:hint="eastAsia" w:ascii="宋体" w:hAnsi="宋体" w:cs="宋体"/>
          <w:sz w:val="32"/>
          <w:szCs w:val="32"/>
        </w:rPr>
        <w:t xml:space="preserve">项目名称：</w:t>
      </w:r>
      <w:r>
        <w:rPr>
          <w:sz w:val="32"/>
          <w:szCs w:val="32"/>
          <w:u w:val="single"/>
        </w:rPr>
        <w:t xml:space="preserve">                             </w:t>
      </w:r>
      <w:r>
        <w:rPr>
          <w:rFonts w:hint="eastAsia"/>
          <w:sz w:val="32"/>
          <w:szCs w:val="32"/>
        </w:rPr>
      </w:r>
      <w:r/>
    </w:p>
    <w:p>
      <w:pPr>
        <w:pStyle w:val="1100"/>
        <w:ind w:left="420"/>
        <w:spacing w:line="360" w:lineRule="auto"/>
        <w:rPr>
          <w:sz w:val="32"/>
          <w:szCs w:val="32"/>
          <w:u w:val="single"/>
        </w:rPr>
      </w:pPr>
      <w:r>
        <w:rPr>
          <w:rFonts w:hint="eastAsia"/>
          <w:sz w:val="32"/>
          <w:szCs w:val="32"/>
        </w:rPr>
        <w:t xml:space="preserve">合同编号：</w:t>
      </w:r>
      <w:r>
        <w:rPr>
          <w:sz w:val="32"/>
          <w:szCs w:val="32"/>
          <w:u w:val="single"/>
        </w:rPr>
        <w:t xml:space="preserve">                             </w:t>
      </w:r>
      <w:r/>
    </w:p>
    <w:p>
      <w:pPr>
        <w:pStyle w:val="1100"/>
        <w:ind w:left="420"/>
        <w:spacing w:line="360" w:lineRule="auto"/>
        <w:rPr>
          <w:sz w:val="32"/>
          <w:szCs w:val="32"/>
        </w:rPr>
      </w:pPr>
      <w:r>
        <w:rPr>
          <w:rFonts w:hint="eastAsia"/>
          <w:sz w:val="32"/>
          <w:szCs w:val="32"/>
        </w:rPr>
        <w:t xml:space="preserve">甲</w:t>
      </w:r>
      <w:r>
        <w:rPr>
          <w:sz w:val="32"/>
          <w:szCs w:val="32"/>
        </w:rPr>
        <w:t xml:space="preserve">    </w:t>
      </w:r>
      <w:r>
        <w:rPr>
          <w:rFonts w:hint="eastAsia"/>
          <w:sz w:val="32"/>
          <w:szCs w:val="32"/>
        </w:rPr>
        <w:t xml:space="preserve">方：</w:t>
      </w:r>
      <w:r>
        <w:rPr>
          <w:sz w:val="32"/>
          <w:szCs w:val="32"/>
          <w:u w:val="single"/>
        </w:rPr>
        <w:t xml:space="preserve">                             </w:t>
      </w:r>
      <w:r>
        <w:rPr>
          <w:sz w:val="32"/>
          <w:szCs w:val="32"/>
        </w:rPr>
      </w:r>
      <w:r/>
    </w:p>
    <w:p>
      <w:pPr>
        <w:pStyle w:val="1100"/>
        <w:ind w:left="420"/>
        <w:spacing w:line="360" w:lineRule="auto"/>
        <w:rPr>
          <w:sz w:val="32"/>
          <w:szCs w:val="32"/>
          <w:u w:val="single"/>
        </w:rPr>
      </w:pPr>
      <w:r>
        <w:rPr>
          <w:rFonts w:hint="eastAsia"/>
          <w:sz w:val="32"/>
          <w:szCs w:val="32"/>
        </w:rPr>
        <w:t xml:space="preserve">乙</w:t>
      </w:r>
      <w:r>
        <w:rPr>
          <w:sz w:val="32"/>
          <w:szCs w:val="32"/>
        </w:rPr>
        <w:t xml:space="preserve">    </w:t>
      </w:r>
      <w:r>
        <w:rPr>
          <w:rFonts w:hint="eastAsia"/>
          <w:sz w:val="32"/>
          <w:szCs w:val="32"/>
        </w:rPr>
        <w:t xml:space="preserve">方：</w:t>
      </w:r>
      <w:r>
        <w:rPr>
          <w:sz w:val="32"/>
          <w:szCs w:val="32"/>
          <w:u w:val="single"/>
        </w:rPr>
        <w:t xml:space="preserve">                             </w:t>
      </w:r>
      <w:r/>
    </w:p>
    <w:p>
      <w:pPr>
        <w:pStyle w:val="1100"/>
        <w:ind w:left="420"/>
        <w:spacing w:line="360" w:lineRule="auto"/>
        <w:rPr>
          <w:sz w:val="32"/>
          <w:szCs w:val="32"/>
        </w:rPr>
      </w:pPr>
      <w:r>
        <w:rPr>
          <w:rFonts w:hint="eastAsia"/>
          <w:sz w:val="32"/>
          <w:szCs w:val="32"/>
        </w:rPr>
        <w:t xml:space="preserve">签订时间：</w:t>
      </w:r>
      <w:r>
        <w:rPr>
          <w:sz w:val="32"/>
          <w:szCs w:val="32"/>
          <w:u w:val="single"/>
        </w:rPr>
        <w:t xml:space="preserve">                             </w:t>
      </w:r>
      <w:r>
        <w:rPr>
          <w:sz w:val="32"/>
          <w:szCs w:val="32"/>
        </w:rPr>
      </w:r>
      <w:r/>
    </w:p>
    <w:p>
      <w:pPr>
        <w:pStyle w:val="1100"/>
      </w:pPr>
      <w:r/>
      <w:r/>
    </w:p>
    <w:p>
      <w:pPr>
        <w:pStyle w:val="1100"/>
        <w:rPr>
          <w:rFonts w:eastAsia="黑体"/>
          <w:sz w:val="44"/>
          <w:szCs w:val="44"/>
        </w:rPr>
      </w:pPr>
      <w:r>
        <w:rPr>
          <w:rFonts w:eastAsia="黑体"/>
          <w:sz w:val="44"/>
          <w:szCs w:val="44"/>
        </w:rPr>
        <w:br w:type="page" w:clear="all"/>
      </w:r>
      <w:r/>
    </w:p>
    <w:p>
      <w:pPr>
        <w:pStyle w:val="1100"/>
        <w:jc w:val="center"/>
        <w:rPr>
          <w:rFonts w:eastAsia="黑体"/>
          <w:sz w:val="44"/>
          <w:szCs w:val="44"/>
        </w:rPr>
      </w:pPr>
      <w:r>
        <w:rPr>
          <w:rFonts w:hint="eastAsia" w:eastAsia="黑体"/>
          <w:sz w:val="44"/>
          <w:szCs w:val="44"/>
        </w:rPr>
        <w:t xml:space="preserve">使</w:t>
      </w:r>
      <w:r>
        <w:rPr>
          <w:rFonts w:eastAsia="黑体"/>
          <w:sz w:val="44"/>
          <w:szCs w:val="44"/>
        </w:rPr>
        <w:t xml:space="preserve"> </w:t>
      </w:r>
      <w:r>
        <w:rPr>
          <w:rFonts w:hint="eastAsia" w:eastAsia="黑体"/>
          <w:sz w:val="44"/>
          <w:szCs w:val="44"/>
        </w:rPr>
        <w:t xml:space="preserve">用</w:t>
      </w:r>
      <w:r>
        <w:rPr>
          <w:rFonts w:eastAsia="黑体"/>
          <w:sz w:val="44"/>
          <w:szCs w:val="44"/>
        </w:rPr>
        <w:t xml:space="preserve"> </w:t>
      </w:r>
      <w:r>
        <w:rPr>
          <w:rFonts w:hint="eastAsia" w:eastAsia="黑体"/>
          <w:sz w:val="44"/>
          <w:szCs w:val="44"/>
        </w:rPr>
        <w:t xml:space="preserve">说</w:t>
      </w:r>
      <w:r>
        <w:rPr>
          <w:rFonts w:eastAsia="黑体"/>
          <w:sz w:val="44"/>
          <w:szCs w:val="44"/>
        </w:rPr>
        <w:t xml:space="preserve"> </w:t>
      </w:r>
      <w:r>
        <w:rPr>
          <w:rFonts w:hint="eastAsia" w:eastAsia="黑体"/>
          <w:sz w:val="44"/>
          <w:szCs w:val="44"/>
        </w:rPr>
        <w:t xml:space="preserve">明</w:t>
      </w:r>
      <w:r>
        <w:rPr>
          <w:rFonts w:eastAsia="黑体"/>
          <w:sz w:val="44"/>
          <w:szCs w:val="44"/>
        </w:rPr>
      </w:r>
      <w:r/>
    </w:p>
    <w:p>
      <w:pPr>
        <w:pStyle w:val="1100"/>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110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pStyle w:val="1100"/>
        <w:rPr>
          <w:rFonts w:hint="eastAsia" w:eastAsia="黑体"/>
          <w:sz w:val="44"/>
          <w:szCs w:val="44"/>
        </w:rPr>
      </w:pPr>
      <w:r>
        <w:rPr>
          <w:rFonts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hint="eastAsia" w:eastAsia="黑体"/>
          <w:sz w:val="44"/>
          <w:szCs w:val="44"/>
        </w:rPr>
      </w:r>
      <w:r/>
    </w:p>
    <w:p>
      <w:pPr>
        <w:pStyle w:val="1100"/>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1100"/>
        <w:jc w:val="left"/>
        <w:widowControl/>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1100"/>
        <w:rPr>
          <w:rFonts w:hint="eastAsia"/>
        </w:rPr>
      </w:pPr>
      <w:r/>
      <w:bookmarkEnd w:id="816"/>
      <w:r/>
      <w:bookmarkStart w:id="817" w:name="_Toc22209"/>
      <w:r>
        <w:rPr>
          <w:rFonts w:hint="eastAsia"/>
        </w:rPr>
      </w:r>
      <w:r/>
    </w:p>
    <w:p>
      <w:pPr>
        <w:pStyle w:val="1102"/>
        <w:spacing w:line="400" w:lineRule="exact"/>
        <w:rPr>
          <w:rFonts w:hint="eastAsia" w:ascii="黑体" w:hAnsi="华文中宋"/>
          <w:b w:val="0"/>
          <w:sz w:val="28"/>
          <w:szCs w:val="28"/>
        </w:rPr>
      </w:pPr>
      <w:r>
        <w:rPr>
          <w:rFonts w:hint="eastAsia" w:ascii="黑体" w:hAnsi="黑体"/>
          <w:b w:val="0"/>
          <w:bCs/>
          <w:sz w:val="28"/>
          <w:szCs w:val="28"/>
        </w:rPr>
        <w:t xml:space="preserve">第一节 </w:t>
      </w:r>
      <w:r>
        <w:rPr>
          <w:rFonts w:hint="eastAsia" w:ascii="黑体" w:hAnsi="华文中宋"/>
          <w:b w:val="0"/>
          <w:bCs/>
          <w:sz w:val="28"/>
          <w:szCs w:val="28"/>
        </w:rPr>
        <w:t xml:space="preserve">政府采购合同协议书</w:t>
      </w:r>
      <w:bookmarkEnd w:id="817"/>
      <w:r>
        <w:rPr>
          <w:rFonts w:hint="eastAsia" w:ascii="黑体" w:hAnsi="华文中宋"/>
          <w:b w:val="0"/>
          <w:sz w:val="28"/>
          <w:szCs w:val="28"/>
        </w:rPr>
      </w:r>
      <w:r/>
    </w:p>
    <w:p>
      <w:pPr>
        <w:pStyle w:val="1100"/>
        <w:rPr>
          <w:rFonts w:hint="eastAsia"/>
        </w:rPr>
      </w:pPr>
      <w:r>
        <w:rPr>
          <w:rFonts w:hint="eastAsia"/>
        </w:rPr>
      </w:r>
      <w:r/>
    </w:p>
    <w:p>
      <w:pPr>
        <w:pStyle w:val="1100"/>
        <w:spacing w:line="400" w:lineRule="exact"/>
        <w:rPr>
          <w:rFonts w:hint="eastAsia" w:ascii="宋体" w:hAnsi="宋体"/>
          <w:szCs w:val="21"/>
        </w:rPr>
      </w:pPr>
      <w:r>
        <w:rPr>
          <w:rFonts w:hint="eastAsia" w:ascii="宋体" w:hAnsi="宋体"/>
          <w:szCs w:val="21"/>
        </w:rPr>
      </w:r>
      <w:r/>
    </w:p>
    <w:p>
      <w:pPr>
        <w:pStyle w:val="1100"/>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w:t>
        <w:tab/>
        <w:t xml:space="preserve">                                   文件约定的合同甲方）</w:t>
      </w:r>
      <w:r/>
    </w:p>
    <w:p>
      <w:pPr>
        <w:pStyle w:val="1100"/>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pStyle w:val="1100"/>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pStyle w:val="1100"/>
        <w:spacing w:line="400" w:lineRule="exact"/>
        <w:rPr>
          <w:rFonts w:hint="eastAsia" w:ascii="宋体" w:hAnsi="宋体"/>
          <w:szCs w:val="21"/>
        </w:rPr>
      </w:pPr>
      <w:r>
        <w:rPr>
          <w:rFonts w:hint="eastAsia" w:ascii="宋体" w:hAnsi="宋体"/>
          <w:szCs w:val="21"/>
        </w:rPr>
        <w:t xml:space="preserve">乙方3（全称）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pStyle w:val="1100"/>
        <w:spacing w:line="400" w:lineRule="exact"/>
        <w:rPr>
          <w:rFonts w:hint="eastAsia" w:ascii="宋体" w:hAnsi="宋体"/>
          <w:szCs w:val="21"/>
        </w:rPr>
      </w:pPr>
      <w:r>
        <w:rPr>
          <w:rFonts w:hint="eastAsia" w:ascii="宋体" w:hAnsi="宋体"/>
          <w:szCs w:val="21"/>
        </w:rPr>
      </w:r>
      <w:r/>
    </w:p>
    <w:p>
      <w:pPr>
        <w:pStyle w:val="1134"/>
        <w:ind w:firstLine="420"/>
        <w:spacing w:line="400" w:lineRule="exact"/>
        <w:rPr>
          <w:rFonts w:ascii="宋体" w:hAnsi="宋体"/>
          <w:sz w:val="21"/>
          <w:szCs w:val="21"/>
        </w:rPr>
      </w:pPr>
      <w:r>
        <w:rPr>
          <w:rFonts w:hint="eastAsia" w:ascii="宋体" w:hAnsi="宋体"/>
          <w:sz w:val="21"/>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rPr>
          <w:rFonts w:ascii="宋体" w:hAnsi="宋体"/>
          <w:sz w:val="21"/>
          <w:szCs w:val="21"/>
        </w:rPr>
      </w:r>
      <w:r/>
    </w:p>
    <w:p>
      <w:pPr>
        <w:pStyle w:val="1100"/>
        <w:numPr>
          <w:ilvl w:val="0"/>
          <w:numId w:val="17"/>
        </w:numPr>
        <w:ind w:firstLine="422"/>
        <w:spacing w:line="400" w:lineRule="exact"/>
        <w:rPr>
          <w:rFonts w:hint="eastAsia" w:ascii="宋体" w:hAnsi="宋体"/>
          <w:b/>
          <w:szCs w:val="21"/>
        </w:rPr>
      </w:pPr>
      <w:r>
        <w:rPr>
          <w:rFonts w:hint="eastAsia" w:ascii="宋体" w:hAnsi="宋体"/>
          <w:b/>
          <w:szCs w:val="21"/>
        </w:rPr>
        <w:t xml:space="preserve">项目信息</w:t>
      </w:r>
      <w:r/>
    </w:p>
    <w:p>
      <w:pPr>
        <w:pStyle w:val="1134"/>
        <w:numPr>
          <w:ilvl w:val="0"/>
          <w:numId w:val="18"/>
        </w:numPr>
        <w:ind w:firstLine="420"/>
        <w:spacing w:line="400" w:lineRule="exact"/>
        <w:rPr>
          <w:rFonts w:hint="eastAsia" w:ascii="宋体" w:hAnsi="宋体"/>
          <w:sz w:val="21"/>
          <w:szCs w:val="21"/>
          <w:u w:val="single"/>
        </w:rPr>
      </w:pPr>
      <w:r>
        <w:rPr>
          <w:rFonts w:hint="eastAsia" w:ascii="宋体" w:hAnsi="宋体"/>
          <w:sz w:val="21"/>
          <w:szCs w:val="21"/>
        </w:rPr>
        <w:t xml:space="preserve">采购项目名称：</w:t>
      </w:r>
      <w:r>
        <w:rPr>
          <w:rFonts w:hint="eastAsia" w:ascii="宋体" w:hAnsi="宋体"/>
          <w:sz w:val="21"/>
          <w:szCs w:val="21"/>
          <w:u w:val="single"/>
        </w:rPr>
        <w:t xml:space="preserve">                                          </w:t>
      </w:r>
      <w:r/>
    </w:p>
    <w:p>
      <w:pPr>
        <w:pStyle w:val="1134"/>
        <w:spacing w:line="400" w:lineRule="exact"/>
        <w:tabs>
          <w:tab w:val="left" w:pos="999" w:leader="none"/>
        </w:tabs>
        <w:rPr>
          <w:rFonts w:hint="eastAsia" w:ascii="宋体" w:hAnsi="宋体"/>
          <w:sz w:val="21"/>
          <w:szCs w:val="21"/>
        </w:rPr>
      </w:pPr>
      <w:r>
        <w:rPr>
          <w:rFonts w:hint="eastAsia" w:ascii="宋体" w:hAnsi="宋体"/>
          <w:sz w:val="21"/>
          <w:szCs w:val="21"/>
        </w:rPr>
        <w:t xml:space="preserve">    采购项目编号：</w:t>
      </w:r>
      <w:r>
        <w:rPr>
          <w:rFonts w:hint="eastAsia" w:ascii="宋体" w:hAnsi="宋体"/>
          <w:sz w:val="21"/>
          <w:szCs w:val="21"/>
          <w:u w:val="single"/>
        </w:rPr>
        <w:t xml:space="preserve">                                          </w:t>
      </w:r>
      <w:r>
        <w:rPr>
          <w:rFonts w:hint="eastAsia" w:ascii="宋体" w:hAnsi="宋体"/>
          <w:sz w:val="21"/>
          <w:szCs w:val="21"/>
        </w:rPr>
      </w:r>
      <w:r/>
    </w:p>
    <w:p>
      <w:pPr>
        <w:pStyle w:val="1134"/>
        <w:ind w:firstLine="420"/>
        <w:spacing w:line="400" w:lineRule="exact"/>
        <w:rPr>
          <w:rFonts w:hint="eastAsia" w:ascii="宋体" w:hAnsi="宋体"/>
          <w:sz w:val="21"/>
          <w:szCs w:val="21"/>
        </w:rPr>
      </w:pPr>
      <w:r>
        <w:rPr>
          <w:rFonts w:hint="eastAsia" w:ascii="宋体" w:hAnsi="宋体"/>
          <w:sz w:val="21"/>
          <w:szCs w:val="21"/>
        </w:rPr>
        <w:t xml:space="preserve">（2）采购计划编号：</w:t>
      </w:r>
      <w:r>
        <w:rPr>
          <w:rFonts w:hint="eastAsia" w:ascii="宋体" w:hAnsi="宋体"/>
          <w:sz w:val="21"/>
          <w:szCs w:val="21"/>
          <w:u w:val="single"/>
        </w:rPr>
        <w:t xml:space="preserve">                                          </w:t>
      </w:r>
      <w:r>
        <w:rPr>
          <w:rFonts w:hint="eastAsia" w:ascii="宋体" w:hAnsi="宋体"/>
          <w:sz w:val="21"/>
          <w:szCs w:val="21"/>
        </w:rPr>
        <w:t xml:space="preserve"> </w:t>
      </w:r>
      <w:r/>
    </w:p>
    <w:p>
      <w:pPr>
        <w:pStyle w:val="1100"/>
        <w:ind w:firstLine="420"/>
        <w:spacing w:line="400" w:lineRule="exact"/>
        <w:rPr>
          <w:rFonts w:hint="eastAsia" w:ascii="宋体" w:hAnsi="宋体"/>
          <w:szCs w:val="21"/>
        </w:rPr>
      </w:pPr>
      <w:r>
        <w:rPr>
          <w:rFonts w:hint="eastAsia" w:ascii="宋体" w:hAnsi="宋体"/>
          <w:szCs w:val="21"/>
        </w:rPr>
        <w:t xml:space="preserve">（3）项目内容：</w:t>
      </w:r>
      <w:r/>
    </w:p>
    <w:p>
      <w:pPr>
        <w:pStyle w:val="1100"/>
        <w:ind w:firstLine="420"/>
        <w:spacing w:line="400" w:lineRule="exact"/>
        <w:rPr>
          <w:rFonts w:hint="eastAsia"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pStyle w:val="1100"/>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lang w:val="en"/>
        </w:rPr>
      </w:r>
      <w:r/>
    </w:p>
    <w:p>
      <w:pPr>
        <w:pStyle w:val="1100"/>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rPr>
          <w:rFonts w:hint="eastAsia" w:ascii="宋体" w:hAnsi="宋体"/>
          <w:szCs w:val="21"/>
          <w:u w:val="single"/>
        </w:rPr>
      </w:r>
      <w:r/>
    </w:p>
    <w:p>
      <w:pPr>
        <w:pStyle w:val="1100"/>
        <w:ind w:firstLine="945"/>
        <w:spacing w:line="400" w:lineRule="exact"/>
        <w:rPr>
          <w:rFonts w:hint="eastAsia" w:ascii="宋体" w:hAnsi="宋体" w:cs="宋体"/>
          <w:szCs w:val="21"/>
        </w:rPr>
      </w:pPr>
      <w:r>
        <w:rPr>
          <w:rFonts w:hint="eastAsia" w:ascii="宋体" w:hAnsi="宋体" w:cs="宋体"/>
          <w:szCs w:val="21"/>
        </w:rPr>
        <w:t xml:space="preserve">①涉及信息类产品，请填写该产品关键部件的品牌、型号：</w:t>
      </w:r>
      <w:r/>
    </w:p>
    <w:p>
      <w:pPr>
        <w:pStyle w:val="1100"/>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pStyle w:val="1100"/>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354"/>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354"/>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1354"/>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354"/>
        <w:ind w:firstLine="0"/>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p>
    <w:p>
      <w:pPr>
        <w:pStyle w:val="1354"/>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354"/>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354"/>
        <w:ind w:firstLine="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■分散采购</w:t>
      </w:r>
      <w:r/>
    </w:p>
    <w:p>
      <w:pPr>
        <w:pStyle w:val="1354"/>
        <w:ind w:firstLine="420"/>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354"/>
        <w:ind w:firstLine="420"/>
        <w:rPr>
          <w:rFonts w:hint="eastAsia" w:ascii="宋体" w:hAnsi="宋体" w:eastAsia="宋体" w:cs="宋体"/>
          <w:sz w:val="21"/>
          <w:u w:val="single"/>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354"/>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354"/>
        <w:ind w:firstLine="21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sz w:val="21"/>
          <w:lang w:val="en"/>
        </w:rPr>
        <w:t xml:space="preserve">6</w:t>
      </w:r>
      <w:r>
        <w:rPr>
          <w:rFonts w:hint="eastAsia" w:ascii="宋体" w:hAnsi="宋体" w:eastAsia="宋体"/>
          <w:sz w:val="21"/>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1100"/>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1100"/>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1100"/>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1100"/>
        <w:spacing w:line="400" w:lineRule="exact"/>
        <w:rPr>
          <w:rFonts w:hint="eastAsia" w:ascii="宋体" w:hAnsi="宋体"/>
          <w:szCs w:val="21"/>
        </w:rPr>
      </w:pPr>
      <w:r>
        <w:rPr>
          <w:rFonts w:ascii="宋体" w:hAnsi="宋体"/>
          <w:szCs w:val="21"/>
        </w:rPr>
        <w:t xml:space="preserve">         </w:t>
      </w:r>
      <w:r>
        <w:rPr>
          <w:rFonts w:hint="eastAsia" w:ascii="宋体" w:hAnsi="宋体"/>
          <w:szCs w:val="21"/>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szCs w:val="21"/>
        </w:rPr>
      </w:r>
      <w:r/>
    </w:p>
    <w:p>
      <w:pPr>
        <w:pStyle w:val="1100"/>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1100"/>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pStyle w:val="1100"/>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pStyle w:val="1100"/>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pStyle w:val="1100"/>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pStyle w:val="1100"/>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pStyle w:val="1100"/>
        <w:ind w:firstLine="84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rPr>
      </w:r>
      <w:r/>
    </w:p>
    <w:p>
      <w:pPr>
        <w:pStyle w:val="1100"/>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354"/>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hint="eastAsia" w:ascii="宋体" w:hAnsi="宋体" w:eastAsia="宋体" w:cs="宋体"/>
          <w:sz w:val="21"/>
          <w:u w:val="single"/>
        </w:rPr>
      </w:r>
      <w:r/>
    </w:p>
    <w:p>
      <w:pPr>
        <w:pStyle w:val="1100"/>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pStyle w:val="1100"/>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pStyle w:val="1100"/>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pStyle w:val="1100"/>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100"/>
        <w:spacing w:line="400" w:lineRule="exact"/>
        <w:tabs>
          <w:tab w:val="left" w:pos="740" w:leader="none"/>
        </w:tabs>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pStyle w:val="1100"/>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pStyle w:val="1100"/>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00"/>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100"/>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pStyle w:val="1100"/>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szCs w:val="21"/>
        </w:rPr>
      </w:r>
      <w:r/>
    </w:p>
    <w:p>
      <w:pPr>
        <w:pStyle w:val="1100"/>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00"/>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354"/>
        <w:ind w:firstLine="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354"/>
        <w:ind w:firstLine="420"/>
        <w:rPr>
          <w:rFonts w:hint="eastAsia" w:ascii="宋体" w:hAnsi="宋体" w:eastAsia="宋体"/>
          <w:sz w:val="21"/>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sz w:val="21"/>
          <w:u w:val="single"/>
        </w:rPr>
        <w:t xml:space="preserve">         </w:t>
      </w:r>
      <w:r/>
    </w:p>
    <w:p>
      <w:pPr>
        <w:pStyle w:val="1100"/>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354"/>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hint="eastAsia" w:ascii="宋体" w:hAnsi="宋体" w:eastAsia="宋体"/>
          <w:sz w:val="21"/>
        </w:rPr>
      </w:r>
      <w:r/>
    </w:p>
    <w:p>
      <w:pPr>
        <w:pStyle w:val="1100"/>
        <w:spacing w:line="400" w:lineRule="exact"/>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pStyle w:val="1100"/>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pStyle w:val="1100"/>
        <w:numPr>
          <w:ilvl w:val="0"/>
          <w:numId w:val="17"/>
        </w:numPr>
        <w:ind w:firstLine="422"/>
        <w:spacing w:line="400" w:lineRule="exact"/>
        <w:rPr>
          <w:rFonts w:hint="eastAsia" w:ascii="宋体" w:hAnsi="宋体"/>
          <w:b/>
          <w:szCs w:val="21"/>
        </w:rPr>
      </w:pPr>
      <w:r>
        <w:rPr>
          <w:rFonts w:hint="eastAsia" w:ascii="宋体" w:hAnsi="宋体"/>
          <w:b/>
          <w:szCs w:val="21"/>
        </w:rPr>
        <w:t xml:space="preserve">合同金额</w:t>
      </w:r>
      <w:r/>
    </w:p>
    <w:p>
      <w:pPr>
        <w:pStyle w:val="1100"/>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rPr>
      </w:r>
      <w:r/>
    </w:p>
    <w:p>
      <w:pPr>
        <w:pStyle w:val="1100"/>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pStyle w:val="1100"/>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hint="eastAsia" w:ascii="宋体" w:hAnsi="宋体"/>
          <w:szCs w:val="21"/>
        </w:rPr>
      </w:r>
      <w:r/>
    </w:p>
    <w:p>
      <w:pPr>
        <w:pStyle w:val="1100"/>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pStyle w:val="1100"/>
        <w:spacing w:line="400" w:lineRule="exact"/>
        <w:rPr>
          <w:rFonts w:hint="eastAsia" w:ascii="宋体" w:hAnsi="宋体"/>
          <w:szCs w:val="21"/>
        </w:rPr>
      </w:pPr>
      <w:r>
        <w:rPr>
          <w:rFonts w:hint="eastAsia" w:ascii="宋体" w:hAnsi="宋体"/>
          <w:szCs w:val="21"/>
        </w:rPr>
        <w:t xml:space="preserve">    （注：固定单价合同应填写单价和最高限价）</w:t>
      </w:r>
      <w:r/>
    </w:p>
    <w:p>
      <w:pPr>
        <w:pStyle w:val="1100"/>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pStyle w:val="1100"/>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hint="eastAsia" w:ascii="宋体" w:hAnsi="宋体"/>
          <w:szCs w:val="21"/>
        </w:rPr>
      </w:r>
      <w:r/>
    </w:p>
    <w:p>
      <w:pPr>
        <w:pStyle w:val="1280"/>
        <w:spacing w:line="400" w:lineRule="exact"/>
        <w:rPr>
          <w:rFonts w:hint="eastAsia" w:ascii="宋体" w:hAnsi="宋体"/>
          <w:szCs w:val="21"/>
        </w:rPr>
      </w:pPr>
      <w:r>
        <w:rPr>
          <w:rFonts w:hint="eastAsia" w:ascii="宋体" w:hAnsi="宋体"/>
          <w:szCs w:val="21"/>
        </w:rPr>
        <w:t xml:space="preserve">（3）付款方式（按项目实际勾选填写）：</w:t>
      </w:r>
      <w:r/>
    </w:p>
    <w:p>
      <w:pPr>
        <w:pStyle w:val="1100"/>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1100"/>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hint="eastAsia" w:ascii="宋体" w:hAnsi="宋体"/>
          <w:szCs w:val="21"/>
        </w:rPr>
      </w:r>
      <w:r/>
    </w:p>
    <w:p>
      <w:pPr>
        <w:pStyle w:val="1100"/>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1100"/>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hint="eastAsia" w:ascii="宋体" w:hAnsi="宋体"/>
          <w:szCs w:val="21"/>
        </w:rPr>
      </w:r>
      <w:r/>
    </w:p>
    <w:p>
      <w:pPr>
        <w:pStyle w:val="1100"/>
        <w:numPr>
          <w:ilvl w:val="0"/>
          <w:numId w:val="17"/>
        </w:numPr>
        <w:ind w:firstLine="422"/>
        <w:spacing w:line="400" w:lineRule="exact"/>
        <w:rPr>
          <w:rFonts w:hint="eastAsia" w:ascii="宋体" w:hAnsi="宋体"/>
          <w:b/>
          <w:szCs w:val="21"/>
          <w:u w:val="single"/>
        </w:rPr>
      </w:pPr>
      <w:r>
        <w:rPr>
          <w:rFonts w:hint="eastAsia" w:ascii="宋体" w:hAnsi="宋体"/>
          <w:b/>
          <w:szCs w:val="21"/>
        </w:rPr>
        <w:t xml:space="preserve">合同履行</w:t>
      </w:r>
      <w:r>
        <w:rPr>
          <w:rFonts w:hint="eastAsia" w:ascii="宋体" w:hAnsi="宋体"/>
          <w:b/>
          <w:szCs w:val="21"/>
          <w:u w:val="single"/>
        </w:rPr>
      </w:r>
      <w:r/>
    </w:p>
    <w:p>
      <w:pPr>
        <w:pStyle w:val="1100"/>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1100"/>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pStyle w:val="1100"/>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354"/>
        <w:ind w:firstLine="420"/>
        <w:rPr>
          <w:rFonts w:hint="eastAsia" w:ascii="宋体" w:hAnsi="宋体" w:eastAsia="宋体" w:cs="宋体"/>
          <w:sz w:val="21"/>
        </w:rPr>
      </w:pPr>
      <w:r>
        <w:rPr>
          <w:rFonts w:hint="eastAsia" w:ascii="宋体" w:hAnsi="宋体" w:eastAsia="宋体" w:cs="宋体"/>
          <w:bCs/>
          <w:sz w:val="21"/>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rPr>
          <w:rFonts w:hint="eastAsia" w:ascii="宋体" w:hAnsi="宋体" w:eastAsia="宋体" w:cs="宋体"/>
          <w:sz w:val="21"/>
        </w:rPr>
      </w:r>
      <w:r/>
    </w:p>
    <w:p>
      <w:pPr>
        <w:pStyle w:val="1354"/>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hint="eastAsia" w:ascii="宋体" w:hAnsi="宋体" w:eastAsia="宋体" w:cs="宋体"/>
          <w:sz w:val="21"/>
        </w:rPr>
      </w:r>
      <w:r/>
    </w:p>
    <w:p>
      <w:pPr>
        <w:pStyle w:val="1100"/>
        <w:ind w:firstLine="420"/>
        <w:spacing w:line="400" w:lineRule="exact"/>
        <w:rPr>
          <w:rFonts w:hint="eastAsia" w:ascii="宋体" w:hAnsi="宋体" w:cs="宋体"/>
          <w:szCs w:val="21"/>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hint="eastAsia" w:ascii="宋体" w:hAnsi="宋体" w:cs="宋体"/>
          <w:szCs w:val="21"/>
        </w:rPr>
      </w:r>
      <w:r/>
    </w:p>
    <w:p>
      <w:pPr>
        <w:pStyle w:val="1100"/>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rPr>
      </w:r>
      <w:r/>
    </w:p>
    <w:p>
      <w:pPr>
        <w:pStyle w:val="1100"/>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pStyle w:val="1100"/>
        <w:numPr>
          <w:ilvl w:val="0"/>
          <w:numId w:val="17"/>
        </w:numPr>
        <w:ind w:firstLine="422"/>
        <w:spacing w:line="400" w:lineRule="exact"/>
        <w:rPr>
          <w:rFonts w:hint="eastAsia" w:ascii="宋体" w:hAnsi="宋体"/>
          <w:b/>
          <w:szCs w:val="21"/>
        </w:rPr>
      </w:pPr>
      <w:r>
        <w:rPr>
          <w:rFonts w:hint="eastAsia" w:ascii="宋体" w:hAnsi="宋体"/>
          <w:b/>
          <w:szCs w:val="21"/>
        </w:rPr>
        <w:t xml:space="preserve">合同验收</w:t>
      </w:r>
      <w:r/>
    </w:p>
    <w:p>
      <w:pPr>
        <w:pStyle w:val="1100"/>
        <w:numPr>
          <w:ilvl w:val="0"/>
          <w:numId w:val="19"/>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pStyle w:val="1100"/>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hint="eastAsia" w:ascii="宋体" w:hAnsi="宋体"/>
          <w:bCs/>
          <w:szCs w:val="21"/>
        </w:rPr>
      </w:r>
      <w:r/>
    </w:p>
    <w:p>
      <w:pPr>
        <w:pStyle w:val="1100"/>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1100"/>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1100"/>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1100"/>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1100"/>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pStyle w:val="1100"/>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pStyle w:val="1100"/>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pStyle w:val="1100"/>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pStyle w:val="1100"/>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pStyle w:val="1100"/>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pStyle w:val="110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hint="eastAsia" w:ascii="宋体" w:hAnsi="宋体"/>
          <w:bCs/>
          <w:szCs w:val="21"/>
        </w:rPr>
      </w:r>
      <w:r/>
    </w:p>
    <w:p>
      <w:pPr>
        <w:pStyle w:val="1100"/>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hint="eastAsia" w:ascii="宋体" w:hAnsi="宋体"/>
          <w:bCs/>
          <w:szCs w:val="21"/>
        </w:rPr>
      </w:r>
      <w:r/>
    </w:p>
    <w:p>
      <w:pPr>
        <w:pStyle w:val="1100"/>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pStyle w:val="1100"/>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354"/>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hint="eastAsia" w:ascii="宋体" w:hAnsi="宋体" w:eastAsia="宋体" w:cs="宋体"/>
          <w:sz w:val="21"/>
        </w:rPr>
      </w:r>
      <w:r/>
    </w:p>
    <w:p>
      <w:pPr>
        <w:pStyle w:val="1100"/>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pStyle w:val="1100"/>
        <w:numPr>
          <w:ilvl w:val="0"/>
          <w:numId w:val="17"/>
        </w:numPr>
        <w:ind w:firstLine="422"/>
        <w:spacing w:line="400" w:lineRule="exact"/>
        <w:rPr>
          <w:rFonts w:hint="eastAsia" w:ascii="宋体" w:hAnsi="宋体"/>
          <w:b/>
          <w:szCs w:val="21"/>
        </w:rPr>
      </w:pPr>
      <w:r>
        <w:rPr>
          <w:rFonts w:hint="eastAsia" w:ascii="宋体" w:hAnsi="宋体"/>
          <w:b/>
          <w:szCs w:val="21"/>
        </w:rPr>
        <w:t xml:space="preserve">组成合同的文件</w:t>
      </w:r>
      <w:r/>
    </w:p>
    <w:p>
      <w:pPr>
        <w:pStyle w:val="1100"/>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pStyle w:val="1100"/>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pStyle w:val="1100"/>
        <w:ind w:firstLine="420"/>
        <w:spacing w:line="400" w:lineRule="exact"/>
        <w:rPr>
          <w:rFonts w:hint="eastAsia" w:ascii="宋体" w:hAnsi="宋体"/>
          <w:szCs w:val="21"/>
        </w:rPr>
      </w:pPr>
      <w:r>
        <w:rPr>
          <w:rFonts w:hint="eastAsia" w:ascii="宋体" w:hAnsi="宋体"/>
          <w:szCs w:val="21"/>
        </w:rPr>
        <w:t xml:space="preserve">（2）政府采购合同专用条款</w:t>
      </w:r>
      <w:r/>
    </w:p>
    <w:p>
      <w:pPr>
        <w:pStyle w:val="1100"/>
        <w:ind w:firstLine="420"/>
        <w:spacing w:line="400" w:lineRule="exact"/>
        <w:rPr>
          <w:rFonts w:hint="eastAsia" w:ascii="宋体" w:hAnsi="宋体"/>
          <w:szCs w:val="21"/>
        </w:rPr>
      </w:pPr>
      <w:r>
        <w:rPr>
          <w:rFonts w:hint="eastAsia" w:ascii="宋体" w:hAnsi="宋体"/>
          <w:szCs w:val="21"/>
        </w:rPr>
        <w:t xml:space="preserve">（3）政府采购合同通用条款</w:t>
      </w:r>
      <w:r/>
    </w:p>
    <w:p>
      <w:pPr>
        <w:pStyle w:val="1100"/>
        <w:ind w:firstLine="420"/>
        <w:spacing w:line="400" w:lineRule="exact"/>
        <w:rPr>
          <w:rFonts w:hint="eastAsia" w:ascii="宋体" w:hAnsi="宋体"/>
          <w:szCs w:val="21"/>
        </w:rPr>
      </w:pPr>
      <w:r>
        <w:rPr>
          <w:rFonts w:hint="eastAsia" w:ascii="宋体" w:hAnsi="宋体"/>
          <w:szCs w:val="21"/>
        </w:rPr>
        <w:t xml:space="preserve">（4）中标（成交）通知书</w:t>
      </w:r>
      <w:r/>
    </w:p>
    <w:p>
      <w:pPr>
        <w:pStyle w:val="1100"/>
        <w:ind w:firstLine="420"/>
        <w:spacing w:line="400" w:lineRule="exact"/>
        <w:rPr>
          <w:rFonts w:hint="eastAsia" w:ascii="宋体" w:hAnsi="宋体"/>
          <w:szCs w:val="21"/>
        </w:rPr>
      </w:pPr>
      <w:r>
        <w:rPr>
          <w:rFonts w:hint="eastAsia" w:ascii="宋体" w:hAnsi="宋体"/>
          <w:szCs w:val="21"/>
        </w:rPr>
        <w:t xml:space="preserve">（5）投标文件</w:t>
      </w:r>
      <w:r/>
    </w:p>
    <w:p>
      <w:pPr>
        <w:pStyle w:val="1100"/>
        <w:ind w:firstLine="420"/>
        <w:spacing w:line="400" w:lineRule="exact"/>
        <w:rPr>
          <w:rFonts w:hint="eastAsia" w:ascii="宋体" w:hAnsi="宋体"/>
          <w:szCs w:val="21"/>
        </w:rPr>
      </w:pPr>
      <w:r>
        <w:rPr>
          <w:rFonts w:hint="eastAsia" w:ascii="宋体" w:hAnsi="宋体"/>
          <w:szCs w:val="21"/>
        </w:rPr>
        <w:t xml:space="preserve">（6）采购文件</w:t>
      </w:r>
      <w:r/>
    </w:p>
    <w:p>
      <w:pPr>
        <w:pStyle w:val="1100"/>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354"/>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p>
    <w:p>
      <w:pPr>
        <w:pStyle w:val="1100"/>
        <w:numPr>
          <w:ilvl w:val="0"/>
          <w:numId w:val="17"/>
        </w:numPr>
        <w:ind w:firstLine="422"/>
        <w:spacing w:line="400" w:lineRule="exact"/>
        <w:rPr>
          <w:rFonts w:hint="eastAsia" w:ascii="宋体" w:hAnsi="宋体"/>
          <w:b/>
          <w:szCs w:val="21"/>
        </w:rPr>
      </w:pPr>
      <w:r>
        <w:rPr>
          <w:rFonts w:hint="eastAsia" w:ascii="宋体" w:hAnsi="宋体"/>
          <w:b/>
          <w:szCs w:val="21"/>
        </w:rPr>
        <w:t xml:space="preserve">合同生效</w:t>
      </w:r>
      <w:r/>
    </w:p>
    <w:p>
      <w:pPr>
        <w:pStyle w:val="1100"/>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合同订立之日起</w:t>
      </w:r>
      <w:r>
        <w:rPr>
          <w:rFonts w:hint="eastAsia" w:ascii="宋体" w:hAnsi="宋体"/>
          <w:szCs w:val="21"/>
        </w:rPr>
        <w:t xml:space="preserve">生效。</w:t>
      </w:r>
      <w:r/>
    </w:p>
    <w:p>
      <w:pPr>
        <w:pStyle w:val="1100"/>
        <w:numPr>
          <w:ilvl w:val="0"/>
          <w:numId w:val="17"/>
        </w:numPr>
        <w:ind w:firstLine="422"/>
        <w:spacing w:line="400" w:lineRule="exact"/>
        <w:rPr>
          <w:rFonts w:hint="eastAsia" w:ascii="宋体" w:hAnsi="宋体"/>
          <w:b/>
          <w:szCs w:val="21"/>
        </w:rPr>
      </w:pPr>
      <w:r>
        <w:rPr>
          <w:rFonts w:hint="eastAsia" w:ascii="宋体" w:hAnsi="宋体"/>
          <w:b/>
          <w:szCs w:val="21"/>
        </w:rPr>
        <w:t xml:space="preserve">合同份数</w:t>
      </w:r>
      <w:r/>
    </w:p>
    <w:p>
      <w:pPr>
        <w:pStyle w:val="1100"/>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肆</w:t>
      </w:r>
      <w:r>
        <w:rPr>
          <w:rFonts w:hint="eastAsia" w:ascii="宋体" w:hAnsi="宋体"/>
          <w:szCs w:val="21"/>
        </w:rPr>
        <w:t xml:space="preserve">份，甲方执</w:t>
      </w:r>
      <w:r>
        <w:rPr>
          <w:rFonts w:hint="eastAsia" w:ascii="宋体" w:hAnsi="宋体"/>
          <w:szCs w:val="21"/>
          <w:u w:val="single"/>
        </w:rPr>
        <w:t xml:space="preserve">贰</w:t>
      </w:r>
      <w:r>
        <w:rPr>
          <w:rFonts w:hint="eastAsia" w:ascii="宋体" w:hAnsi="宋体"/>
          <w:szCs w:val="21"/>
        </w:rPr>
        <w:t xml:space="preserve">份，乙方执</w:t>
      </w:r>
      <w:r>
        <w:rPr>
          <w:rFonts w:hint="eastAsia" w:ascii="宋体" w:hAnsi="宋体"/>
          <w:szCs w:val="21"/>
          <w:u w:val="single"/>
        </w:rPr>
        <w:t xml:space="preserve">贰</w:t>
      </w:r>
      <w:r>
        <w:rPr>
          <w:rFonts w:hint="eastAsia" w:ascii="宋体" w:hAnsi="宋体"/>
          <w:szCs w:val="21"/>
        </w:rPr>
        <w:t xml:space="preserve">份，均具有同等法律效力。</w:t>
      </w:r>
      <w:r/>
    </w:p>
    <w:p>
      <w:pPr>
        <w:pStyle w:val="1100"/>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1100"/>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hint="eastAsia" w:ascii="宋体" w:hAnsi="宋体"/>
          <w:szCs w:val="21"/>
        </w:rPr>
      </w:r>
      <w:r/>
    </w:p>
    <w:p>
      <w:pPr>
        <w:pStyle w:val="1100"/>
        <w:ind w:firstLine="420"/>
        <w:spacing w:line="400" w:lineRule="exact"/>
        <w:rPr>
          <w:rFonts w:hint="eastAsia" w:ascii="宋体" w:hAnsi="宋体"/>
          <w:szCs w:val="21"/>
        </w:rPr>
      </w:pPr>
      <w:r>
        <w:rPr>
          <w:rFonts w:hint="eastAsia" w:ascii="宋体" w:hAnsi="宋体"/>
          <w:szCs w:val="21"/>
        </w:rPr>
        <w:t xml:space="preserve">附件：具体标的及其技术要求和商务要求、联合协议、分包意向协议等。</w:t>
      </w:r>
      <w:r/>
    </w:p>
    <w:p>
      <w:pPr>
        <w:pStyle w:val="1280"/>
        <w:spacing w:line="400" w:lineRule="exact"/>
        <w:rPr>
          <w:rFonts w:ascii="宋体" w:hAnsi="宋体"/>
          <w:szCs w:val="21"/>
        </w:rPr>
      </w:pPr>
      <w:r>
        <w:rPr>
          <w:rFonts w:ascii="宋体" w:hAnsi="宋体"/>
          <w:szCs w:val="21"/>
        </w:rPr>
      </w:r>
      <w:r/>
    </w:p>
    <w:p>
      <w:pPr>
        <w:pStyle w:val="1100"/>
        <w:rPr>
          <w:rFonts w:ascii="宋体" w:hAnsi="宋体"/>
          <w:b/>
          <w:szCs w:val="21"/>
        </w:rPr>
      </w:pPr>
      <w:r>
        <w:rPr>
          <w:rFonts w:ascii="宋体" w:hAnsi="宋体"/>
          <w:szCs w:val="21"/>
          <w:lang w:val="en"/>
        </w:rPr>
        <w:t xml:space="preserve">   </w:t>
      </w:r>
      <w:r>
        <w:rPr>
          <w:rFonts w:ascii="宋体" w:hAnsi="宋体"/>
          <w:b/>
          <w:szCs w:val="21"/>
        </w:rPr>
      </w:r>
      <w:r/>
    </w:p>
    <w:p>
      <w:pPr>
        <w:pStyle w:val="1100"/>
        <w:rPr>
          <w:rFonts w:hint="eastAsia"/>
        </w:rPr>
      </w:pPr>
      <w:r>
        <w:br w:type="page" w:clear="all"/>
      </w:r>
      <w:r>
        <w:rPr>
          <w:rFonts w:hint="eastAsia"/>
        </w:rPr>
      </w:r>
      <w:r/>
    </w:p>
    <w:p>
      <w:pPr>
        <w:pStyle w:val="1280"/>
      </w:p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2"/>
        <w:gridCol w:w="2628"/>
        <w:gridCol w:w="2156"/>
        <w:gridCol w:w="2306"/>
      </w:tblGrid>
      <w:tr>
        <w:trPr>
          <w:trHeight w:val="490"/>
        </w:trPr>
        <w:tc>
          <w:tcPr>
            <w:gridSpan w:val="2"/>
            <w:tcBorders>
              <w:top w:val="single" w:color="000000" w:sz="4" w:space="0"/>
              <w:left w:val="single" w:color="000000" w:sz="4" w:space="0"/>
              <w:bottom w:val="single" w:color="000000" w:sz="2" w:space="0"/>
              <w:right w:val="single" w:color="000000" w:sz="2" w:space="0"/>
            </w:tcBorders>
            <w:tcW w:w="2562" w:type="pct"/>
            <w:vAlign w:val="center"/>
            <w:textDirection w:val="lrTb"/>
            <w:noWrap w:val="false"/>
          </w:tcPr>
          <w:p>
            <w:pPr>
              <w:pStyle w:val="1100"/>
              <w:jc w:val="center"/>
              <w:spacing w:line="300" w:lineRule="exact"/>
            </w:pPr>
            <w:r>
              <w:rPr>
                <w:rFonts w:hint="eastAsia"/>
                <w:szCs w:val="21"/>
              </w:rPr>
              <w:t xml:space="preserve">甲方（采购人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top w:val="single" w:color="000000" w:sz="4" w:space="0"/>
              <w:left w:val="single" w:color="000000" w:sz="2" w:space="0"/>
              <w:bottom w:val="single" w:color="000000" w:sz="2" w:space="0"/>
              <w:right w:val="single" w:color="000000" w:sz="4" w:space="0"/>
            </w:tcBorders>
            <w:tcW w:w="2437" w:type="pct"/>
            <w:vAlign w:val="center"/>
            <w:textDirection w:val="lrTb"/>
            <w:noWrap w:val="false"/>
          </w:tcPr>
          <w:p>
            <w:pPr>
              <w:pStyle w:val="1100"/>
              <w:jc w:val="center"/>
              <w:spacing w:line="300" w:lineRule="exact"/>
            </w:pPr>
            <w:r>
              <w:rPr>
                <w:rFonts w:hint="eastAsia"/>
                <w:szCs w:val="21"/>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rFonts w:hint="eastAsia"/>
                <w:szCs w:val="21"/>
              </w:rPr>
              <w:t xml:space="preserve">单位名称（公章或合同章）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单位名称（公章或合同章）</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cantSplit/>
          <w:trHeight w:val="1171"/>
        </w:trPr>
        <w:tc>
          <w:tcPr>
            <w:tcBorders>
              <w:top w:val="single" w:color="000000" w:sz="2" w:space="0"/>
              <w:left w:val="single" w:color="000000" w:sz="4" w:space="0"/>
              <w:bottom w:val="single" w:color="000000" w:sz="2" w:space="0"/>
              <w:right w:val="single" w:color="000000" w:sz="2" w:space="0"/>
            </w:tcBorders>
            <w:tcW w:w="1126" w:type="pct"/>
            <w:vAlign w:val="center"/>
            <w:vMerge w:val="restart"/>
            <w:textDirection w:val="lrTb"/>
            <w:noWrap w:val="false"/>
          </w:tcPr>
          <w:p>
            <w:pPr>
              <w:pStyle w:val="1100"/>
              <w:jc w:val="center"/>
              <w:spacing w:line="300" w:lineRule="exact"/>
              <w:rPr>
                <w:szCs w:val="21"/>
              </w:rPr>
            </w:pPr>
            <w:r>
              <w:rPr>
                <w:rFonts w:hint="eastAsia"/>
                <w:szCs w:val="21"/>
              </w:rPr>
              <w:t xml:space="preserve">法定代表人</w:t>
            </w:r>
            <w:r>
              <w:rPr>
                <w:szCs w:val="21"/>
              </w:rPr>
            </w:r>
            <w:r/>
          </w:p>
          <w:p>
            <w:pPr>
              <w:pStyle w:val="1100"/>
              <w:ind w:firstLine="101"/>
              <w:jc w:val="center"/>
              <w:spacing w:line="300" w:lineRule="exact"/>
              <w:rPr>
                <w:szCs w:val="21"/>
              </w:rPr>
            </w:pPr>
            <w:r>
              <w:rPr>
                <w:rFonts w:hint="eastAsia"/>
                <w:szCs w:val="21"/>
              </w:rPr>
              <w:t xml:space="preserve">或其委托代理人（签章）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vMerge w:val="restart"/>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法定代表人</w:t>
            </w:r>
            <w:r>
              <w:rPr>
                <w:szCs w:val="21"/>
              </w:rPr>
            </w:r>
            <w:r/>
          </w:p>
          <w:p>
            <w:pPr>
              <w:pStyle w:val="1100"/>
              <w:jc w:val="center"/>
              <w:spacing w:line="300" w:lineRule="exact"/>
              <w:rPr>
                <w:szCs w:val="21"/>
              </w:rPr>
            </w:pPr>
            <w:r>
              <w:rPr>
                <w:rFonts w:hint="eastAsia"/>
                <w:szCs w:val="21"/>
              </w:rPr>
              <w:t xml:space="preserve">或其委托代理人（签章）</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zCs w:val="21"/>
              </w:rPr>
            </w:pPr>
            <w:r>
              <w:rPr>
                <w:szCs w:val="21"/>
              </w:rPr>
            </w:r>
            <w:r/>
          </w:p>
        </w:tc>
      </w:tr>
      <w:tr>
        <w:trPr>
          <w:cantSplit/>
          <w:trHeight w:val="483"/>
        </w:trPr>
        <w:tc>
          <w:tcPr>
            <w:tcBorders>
              <w:top w:val="single" w:color="000000" w:sz="2" w:space="0"/>
              <w:left w:val="single" w:color="000000" w:sz="4" w:space="0"/>
              <w:bottom w:val="single" w:color="000000" w:sz="2" w:space="0"/>
              <w:right w:val="single" w:color="000000" w:sz="2" w:space="0"/>
            </w:tcBorders>
            <w:tcW w:w="2062" w:type="auto"/>
            <w:vAlign w:val="center"/>
            <w:vMerge w:val="continue"/>
            <w:textDirection w:val="lrTb"/>
            <w:noWrap w:val="false"/>
          </w:tcPr>
          <w:p>
            <w:pPr>
              <w:pStyle w:val="1100"/>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2628" w:type="auto"/>
            <w:vAlign w:val="center"/>
            <w:vMerge w:val="continue"/>
            <w:textDirection w:val="lrTb"/>
            <w:noWrap w:val="false"/>
          </w:tcPr>
          <w:p>
            <w:pPr>
              <w:pStyle w:val="1100"/>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rFonts w:hint="eastAsia"/>
                <w:szCs w:val="21"/>
              </w:rPr>
              <w:t xml:space="preserve">联系电话</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联系电话</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rFonts w:hint="eastAsia"/>
                <w:szCs w:val="21"/>
              </w:rPr>
              <w:t xml:space="preserve">邮政编码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邮政编码</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开户名称</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开户银行</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银行账号</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5000" w:type="pct"/>
            <w:vAlign w:val="center"/>
            <w:textDirection w:val="lrTb"/>
            <w:noWrap w:val="false"/>
          </w:tcPr>
          <w:p>
            <w:pPr>
              <w:pStyle w:val="1134"/>
              <w:jc w:val="left"/>
              <w:spacing w:before="120"/>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1102"/>
        <w:rPr>
          <w:rFonts w:ascii="黑体" w:hAnsi="黑体"/>
          <w:sz w:val="28"/>
          <w:szCs w:val="28"/>
        </w:rPr>
      </w:pPr>
      <w:r>
        <w:rPr>
          <w:rFonts w:hint="eastAsia" w:ascii="宋体" w:hAnsi="宋体"/>
          <w:b w:val="0"/>
          <w:bCs/>
          <w:szCs w:val="21"/>
          <w:u w:val="single"/>
        </w:rPr>
        <w:br w:type="page" w:clear="all"/>
      </w:r>
      <w:bookmarkStart w:id="818" w:name="_Toc27624"/>
      <w:r>
        <w:rPr>
          <w:rFonts w:hint="eastAsia" w:ascii="黑体" w:hAnsi="黑体"/>
          <w:b w:val="0"/>
          <w:bCs/>
          <w:sz w:val="28"/>
          <w:szCs w:val="28"/>
        </w:rPr>
        <w:t xml:space="preserve">第二节 政府采购合同通用条款</w:t>
      </w:r>
      <w:bookmarkEnd w:id="818"/>
      <w:r>
        <w:rPr>
          <w:rFonts w:ascii="黑体" w:hAnsi="黑体"/>
          <w:sz w:val="28"/>
          <w:szCs w:val="28"/>
        </w:rPr>
      </w:r>
      <w:r/>
    </w:p>
    <w:p>
      <w:pPr>
        <w:pStyle w:val="1100"/>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pStyle w:val="1100"/>
        <w:ind w:firstLine="420"/>
        <w:jc w:val="left"/>
        <w:spacing w:line="400" w:lineRule="exact"/>
        <w:rPr>
          <w:rFonts w:hint="eastAsia" w:ascii="宋体" w:hAnsi="宋体"/>
          <w:szCs w:val="21"/>
        </w:rPr>
      </w:pPr>
      <w:r>
        <w:rPr>
          <w:rFonts w:hint="eastAsia" w:ascii="宋体" w:hAnsi="宋体"/>
          <w:szCs w:val="21"/>
        </w:rPr>
        <w:t xml:space="preserve">1.1合同当事人</w:t>
      </w:r>
      <w:r/>
    </w:p>
    <w:p>
      <w:pPr>
        <w:pStyle w:val="1100"/>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pStyle w:val="1100"/>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pStyle w:val="1100"/>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pStyle w:val="1100"/>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pStyle w:val="1100"/>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pStyle w:val="1100"/>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pStyle w:val="1100"/>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pStyle w:val="1100"/>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pStyle w:val="1100"/>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pStyle w:val="1100"/>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pStyle w:val="1100"/>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pStyle w:val="1100"/>
        <w:numPr>
          <w:ilvl w:val="0"/>
          <w:numId w:val="20"/>
        </w:numPr>
        <w:jc w:val="left"/>
        <w:spacing w:line="400" w:lineRule="exact"/>
        <w:rPr>
          <w:rFonts w:hint="eastAsia" w:ascii="宋体" w:hAnsi="宋体"/>
          <w:b/>
          <w:bCs/>
          <w:sz w:val="24"/>
        </w:rPr>
      </w:pPr>
      <w:r>
        <w:rPr>
          <w:rFonts w:hint="eastAsia" w:ascii="宋体" w:hAnsi="宋体"/>
          <w:b/>
          <w:sz w:val="24"/>
        </w:rPr>
        <w:t xml:space="preserve">合同标的及金额</w:t>
      </w:r>
      <w:r>
        <w:rPr>
          <w:rFonts w:hint="eastAsia" w:ascii="宋体" w:hAnsi="宋体"/>
          <w:b/>
          <w:bCs/>
          <w:sz w:val="24"/>
        </w:rPr>
      </w:r>
      <w:r/>
    </w:p>
    <w:p>
      <w:pPr>
        <w:pStyle w:val="1100"/>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rPr>
          <w:rFonts w:hint="eastAsia" w:ascii="宋体" w:hAnsi="宋体"/>
          <w:b/>
          <w:bCs/>
          <w:i/>
          <w:iCs/>
          <w:szCs w:val="21"/>
        </w:rPr>
      </w:r>
      <w:r/>
    </w:p>
    <w:p>
      <w:pPr>
        <w:pStyle w:val="1100"/>
        <w:jc w:val="left"/>
        <w:spacing w:line="400" w:lineRule="exact"/>
        <w:rPr>
          <w:rFonts w:hint="eastAsia" w:ascii="宋体" w:hAnsi="宋体"/>
          <w:b/>
          <w:sz w:val="24"/>
        </w:rPr>
      </w:pPr>
      <w:r>
        <w:rPr>
          <w:rFonts w:hint="eastAsia" w:ascii="宋体" w:hAnsi="宋体"/>
          <w:b/>
          <w:sz w:val="24"/>
        </w:rPr>
        <w:t xml:space="preserve">3. 履行合同的时间、地点和方式</w:t>
      </w:r>
      <w:r/>
    </w:p>
    <w:p>
      <w:pPr>
        <w:pStyle w:val="1100"/>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hint="eastAsia" w:ascii="宋体" w:hAnsi="宋体"/>
          <w:szCs w:val="21"/>
        </w:rPr>
      </w:r>
      <w:r/>
    </w:p>
    <w:p>
      <w:pPr>
        <w:pStyle w:val="1100"/>
        <w:jc w:val="left"/>
        <w:spacing w:line="400" w:lineRule="exact"/>
        <w:rPr>
          <w:rFonts w:hint="eastAsia" w:ascii="宋体" w:hAnsi="宋体"/>
          <w:b/>
          <w:bCs/>
          <w:sz w:val="24"/>
        </w:rPr>
      </w:pPr>
      <w:r>
        <w:rPr>
          <w:rFonts w:hint="eastAsia" w:ascii="宋体" w:hAnsi="宋体"/>
          <w:b/>
          <w:bCs/>
          <w:sz w:val="24"/>
        </w:rPr>
        <w:t xml:space="preserve">4. 甲方的权利和义务</w:t>
      </w:r>
      <w:r/>
    </w:p>
    <w:p>
      <w:pPr>
        <w:pStyle w:val="1100"/>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100"/>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pStyle w:val="1100"/>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pStyle w:val="1100"/>
        <w:ind w:firstLine="420"/>
        <w:spacing w:line="360" w:lineRule="auto"/>
        <w:rPr>
          <w:rFonts w:hint="eastAsia"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hint="eastAsia" w:eastAsia="华文楷体"/>
        </w:rPr>
      </w:r>
      <w:r/>
    </w:p>
    <w:p>
      <w:pPr>
        <w:pStyle w:val="1100"/>
        <w:ind w:firstLine="420"/>
        <w:jc w:val="left"/>
        <w:spacing w:line="360" w:lineRule="auto"/>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rPr>
          <w:rFonts w:ascii="宋体" w:hAnsi="宋体"/>
          <w:szCs w:val="21"/>
        </w:rPr>
      </w:r>
      <w:r/>
    </w:p>
    <w:p>
      <w:pPr>
        <w:pStyle w:val="1100"/>
        <w:ind w:firstLine="420"/>
        <w:jc w:val="left"/>
        <w:spacing w:line="360" w:lineRule="auto"/>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pStyle w:val="1100"/>
        <w:jc w:val="left"/>
        <w:spacing w:line="360" w:lineRule="auto"/>
        <w:rPr>
          <w:rFonts w:hint="eastAsia" w:ascii="宋体" w:hAnsi="宋体"/>
          <w:b/>
          <w:bCs/>
          <w:sz w:val="24"/>
        </w:rPr>
      </w:pPr>
      <w:r>
        <w:rPr>
          <w:rFonts w:hint="eastAsia" w:ascii="宋体" w:hAnsi="宋体"/>
          <w:b/>
          <w:bCs/>
          <w:sz w:val="24"/>
        </w:rPr>
        <w:t xml:space="preserve">5. 乙方的权利和义务</w:t>
      </w:r>
      <w:r/>
    </w:p>
    <w:p>
      <w:pPr>
        <w:pStyle w:val="1100"/>
        <w:ind w:firstLine="420"/>
        <w:spacing w:line="360" w:lineRule="auto"/>
        <w:rPr>
          <w:rFonts w:hint="eastAsia" w:ascii="宋体" w:hAnsi="宋体"/>
        </w:rPr>
      </w:pPr>
      <w:r>
        <w:rPr>
          <w:rFonts w:hint="eastAsia" w:ascii="宋体" w:hAnsi="宋体"/>
        </w:rPr>
        <w:t xml:space="preserve">5.1 签署合同后，乙方应确定项目负责人（或项目联系人），负责与本合同有关的事务。</w:t>
      </w:r>
      <w:r/>
    </w:p>
    <w:p>
      <w:pPr>
        <w:pStyle w:val="1100"/>
        <w:ind w:firstLine="420"/>
        <w:spacing w:line="360" w:lineRule="auto"/>
        <w:rPr>
          <w:rFonts w:hint="eastAsia" w:ascii="宋体" w:hAnsi="宋体"/>
        </w:rPr>
      </w:pPr>
      <w:r>
        <w:rPr>
          <w:rFonts w:hint="eastAsia" w:ascii="宋体" w:hAnsi="宋体"/>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00"/>
        <w:ind w:firstLine="420"/>
        <w:spacing w:line="360" w:lineRule="auto"/>
        <w:rPr>
          <w:rFonts w:hint="eastAsia" w:ascii="宋体" w:hAnsi="宋体"/>
        </w:rPr>
      </w:pPr>
      <w:r>
        <w:rPr>
          <w:rFonts w:hint="eastAsia" w:ascii="宋体" w:hAnsi="宋体"/>
        </w:rPr>
        <w:t xml:space="preserve">5.3乙方有权根据合同约定向甲方收取合同价款。</w:t>
      </w:r>
      <w:r/>
    </w:p>
    <w:p>
      <w:pPr>
        <w:pStyle w:val="1100"/>
        <w:ind w:firstLine="420"/>
        <w:spacing w:line="360" w:lineRule="auto"/>
        <w:rPr>
          <w:rFonts w:hint="eastAsia" w:ascii="宋体" w:hAnsi="宋体"/>
        </w:rPr>
      </w:pPr>
      <w:r>
        <w:rPr>
          <w:rFonts w:hint="eastAsia" w:ascii="宋体" w:hAnsi="宋体"/>
        </w:rPr>
        <w:t xml:space="preserve">5.4国家法律法规规定及</w:t>
      </w:r>
      <w:r>
        <w:rPr>
          <w:rFonts w:hint="eastAsia" w:ascii="宋体" w:hAnsi="宋体"/>
          <w:b/>
        </w:rPr>
        <w:t xml:space="preserve">【政府采购合同专用条款】</w:t>
      </w:r>
      <w:r>
        <w:rPr>
          <w:rFonts w:hint="eastAsia" w:ascii="宋体" w:hAnsi="宋体"/>
        </w:rPr>
        <w:t xml:space="preserve">约定应由乙方承担的其他义务和责任。</w:t>
      </w:r>
      <w:r/>
    </w:p>
    <w:p>
      <w:pPr>
        <w:pStyle w:val="1100"/>
        <w:numPr>
          <w:ilvl w:val="0"/>
          <w:numId w:val="21"/>
        </w:numPr>
        <w:jc w:val="left"/>
        <w:spacing w:line="400" w:lineRule="exact"/>
        <w:rPr>
          <w:rFonts w:hint="eastAsia" w:ascii="宋体" w:hAnsi="宋体"/>
          <w:b/>
          <w:bCs/>
          <w:sz w:val="24"/>
        </w:rPr>
      </w:pPr>
      <w:r>
        <w:rPr>
          <w:rFonts w:hint="eastAsia" w:ascii="宋体" w:hAnsi="宋体"/>
          <w:b/>
          <w:bCs/>
          <w:sz w:val="24"/>
        </w:rPr>
        <w:t xml:space="preserve">合同履行</w:t>
      </w:r>
      <w:r/>
    </w:p>
    <w:p>
      <w:pPr>
        <w:pStyle w:val="1100"/>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pStyle w:val="1100"/>
        <w:ind w:firstLine="420"/>
        <w:jc w:val="left"/>
        <w:spacing w:line="400" w:lineRule="exact"/>
        <w:rPr>
          <w:rFonts w:hint="eastAsia"/>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rPr>
      </w:r>
      <w:r/>
    </w:p>
    <w:p>
      <w:pPr>
        <w:pStyle w:val="1100"/>
        <w:jc w:val="left"/>
        <w:spacing w:line="400" w:lineRule="exact"/>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1100"/>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pStyle w:val="1100"/>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pStyle w:val="1100"/>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pStyle w:val="1100"/>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100"/>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hint="eastAsia" w:ascii="宋体" w:hAnsi="宋体"/>
          <w:szCs w:val="21"/>
        </w:rPr>
      </w:r>
      <w:r/>
    </w:p>
    <w:p>
      <w:pPr>
        <w:pStyle w:val="1354"/>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rFonts w:hint="eastAsia"/>
          <w:sz w:val="21"/>
        </w:rPr>
      </w:r>
      <w:r/>
    </w:p>
    <w:p>
      <w:pPr>
        <w:pStyle w:val="1100"/>
        <w:jc w:val="left"/>
        <w:spacing w:line="400" w:lineRule="exact"/>
        <w:rPr>
          <w:rFonts w:hint="eastAsia" w:ascii="宋体" w:hAnsi="宋体"/>
          <w:b/>
          <w:sz w:val="24"/>
        </w:rPr>
      </w:pPr>
      <w:r>
        <w:rPr>
          <w:rFonts w:hint="eastAsia" w:ascii="宋体" w:hAnsi="宋体"/>
          <w:b/>
          <w:sz w:val="24"/>
        </w:rPr>
        <w:t xml:space="preserve">8. 质量标准和保证</w:t>
      </w:r>
      <w:r/>
    </w:p>
    <w:p>
      <w:pPr>
        <w:pStyle w:val="1140"/>
        <w:ind w:firstLine="420"/>
        <w:jc w:val="left"/>
        <w:spacing w:line="400" w:lineRule="exact"/>
        <w:rPr>
          <w:rFonts w:hAnsi="宋体"/>
          <w:b/>
        </w:rPr>
      </w:pPr>
      <w:r>
        <w:rPr>
          <w:rFonts w:hAnsi="宋体"/>
        </w:rPr>
        <w:t xml:space="preserve">8.1 质量标准</w:t>
      </w:r>
      <w:r>
        <w:rPr>
          <w:rFonts w:hAnsi="宋体"/>
          <w:b/>
        </w:rPr>
      </w:r>
      <w:r/>
    </w:p>
    <w:p>
      <w:pPr>
        <w:pStyle w:val="1100"/>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40"/>
        <w:ind w:firstLine="420"/>
        <w:jc w:val="left"/>
        <w:spacing w:line="400" w:lineRule="exact"/>
        <w:rPr>
          <w:rFonts w:hAnsi="宋体"/>
          <w:szCs w:val="21"/>
        </w:rPr>
      </w:pPr>
      <w:r>
        <w:rPr>
          <w:rFonts w:hAnsi="宋体"/>
        </w:rPr>
        <w:t xml:space="preserve">（2）采用中华人民共和国法定计量单位。</w:t>
      </w:r>
      <w:r>
        <w:rPr>
          <w:rFonts w:hAnsi="宋体"/>
          <w:szCs w:val="21"/>
        </w:rPr>
      </w:r>
      <w:r/>
    </w:p>
    <w:p>
      <w:pPr>
        <w:pStyle w:val="1100"/>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pStyle w:val="1100"/>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pStyle w:val="1100"/>
        <w:ind w:firstLine="420"/>
        <w:jc w:val="left"/>
        <w:spacing w:line="400" w:lineRule="exact"/>
        <w:rPr>
          <w:rFonts w:hint="eastAsia" w:ascii="宋体" w:hAnsi="宋体"/>
          <w:szCs w:val="21"/>
        </w:rPr>
      </w:pPr>
      <w:r>
        <w:rPr>
          <w:rFonts w:hint="eastAsia" w:ascii="宋体" w:hAnsi="宋体"/>
          <w:szCs w:val="21"/>
        </w:rPr>
        <w:t xml:space="preserve">8.2 保证</w:t>
      </w:r>
      <w:r/>
    </w:p>
    <w:p>
      <w:pPr>
        <w:pStyle w:val="1100"/>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pStyle w:val="1100"/>
        <w:ind w:firstLine="420"/>
        <w:jc w:val="left"/>
        <w:spacing w:line="360" w:lineRule="auto"/>
        <w:rPr>
          <w:rFonts w:hint="eastAsia" w:ascii="宋体" w:hAnsi="宋体"/>
          <w:szCs w:val="21"/>
        </w:rPr>
      </w:pPr>
      <w:r>
        <w:rPr>
          <w:rFonts w:hint="eastAsia" w:ascii="宋体" w:hAnsi="宋体"/>
          <w:szCs w:val="21"/>
        </w:rPr>
        <w:t xml:space="preserve">（2）在质量保证期内所发现的缺陷，甲方应尽快以书面形式通知乙方。</w:t>
      </w:r>
      <w:r/>
    </w:p>
    <w:p>
      <w:pPr>
        <w:pStyle w:val="1100"/>
        <w:ind w:firstLine="420"/>
        <w:jc w:val="left"/>
        <w:spacing w:line="360" w:lineRule="auto"/>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pStyle w:val="1100"/>
        <w:ind w:firstLine="420"/>
        <w:jc w:val="left"/>
        <w:spacing w:line="360" w:lineRule="auto"/>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100"/>
        <w:ind w:firstLine="420"/>
        <w:jc w:val="left"/>
        <w:spacing w:line="360" w:lineRule="auto"/>
        <w:rPr>
          <w:rFonts w:hint="eastAsia"/>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hint="eastAsia"/>
        </w:rPr>
      </w:r>
      <w:r/>
    </w:p>
    <w:p>
      <w:pPr>
        <w:pStyle w:val="1100"/>
        <w:jc w:val="left"/>
        <w:spacing w:line="360" w:lineRule="auto"/>
        <w:rPr>
          <w:rFonts w:ascii="宋体" w:hAnsi="宋体"/>
          <w:b/>
          <w:bCs/>
          <w:sz w:val="24"/>
        </w:rPr>
      </w:pPr>
      <w:r>
        <w:rPr>
          <w:rFonts w:hint="eastAsia" w:ascii="宋体" w:hAnsi="宋体"/>
          <w:b/>
          <w:bCs/>
          <w:sz w:val="24"/>
        </w:rPr>
        <w:t xml:space="preserve">9. 权利瑕疵担保</w:t>
      </w:r>
      <w:r>
        <w:rPr>
          <w:rFonts w:ascii="宋体" w:hAnsi="宋体"/>
          <w:b/>
          <w:bCs/>
          <w:sz w:val="24"/>
        </w:rPr>
      </w:r>
      <w:r/>
    </w:p>
    <w:p>
      <w:pPr>
        <w:pStyle w:val="1100"/>
        <w:ind w:firstLine="420"/>
        <w:jc w:val="left"/>
        <w:spacing w:line="360" w:lineRule="auto"/>
        <w:rPr>
          <w:rFonts w:hint="eastAsia" w:ascii="宋体" w:hAnsi="宋体"/>
          <w:szCs w:val="21"/>
        </w:rPr>
      </w:pPr>
      <w:r>
        <w:rPr>
          <w:rFonts w:hint="eastAsia" w:ascii="宋体" w:hAnsi="宋体"/>
          <w:szCs w:val="21"/>
        </w:rPr>
        <w:t xml:space="preserve">9.1 乙方保证对其出售的货物享有合法的权利。</w:t>
      </w:r>
      <w:r/>
    </w:p>
    <w:p>
      <w:pPr>
        <w:pStyle w:val="1100"/>
        <w:ind w:firstLine="420"/>
        <w:jc w:val="left"/>
        <w:spacing w:line="360" w:lineRule="auto"/>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hint="eastAsia" w:ascii="宋体" w:hAnsi="宋体"/>
          <w:szCs w:val="21"/>
        </w:rPr>
      </w:r>
      <w:r/>
    </w:p>
    <w:p>
      <w:pPr>
        <w:pStyle w:val="1100"/>
        <w:ind w:firstLine="420"/>
        <w:jc w:val="left"/>
        <w:spacing w:line="360" w:lineRule="auto"/>
        <w:rPr>
          <w:rFonts w:hint="eastAsia" w:ascii="宋体" w:hAnsi="宋体"/>
          <w:szCs w:val="21"/>
        </w:rPr>
      </w:pPr>
      <w:r>
        <w:rPr>
          <w:rFonts w:hint="eastAsia" w:ascii="宋体" w:hAnsi="宋体"/>
          <w:szCs w:val="21"/>
        </w:rPr>
        <w:t xml:space="preserve">9.3 如甲方使用上述货物构成对第三人侵权的，则由乙方承担全部责任。</w:t>
      </w:r>
      <w:r/>
    </w:p>
    <w:p>
      <w:pPr>
        <w:pStyle w:val="1100"/>
        <w:jc w:val="left"/>
        <w:spacing w:line="400" w:lineRule="exact"/>
        <w:rPr>
          <w:rFonts w:hint="eastAsia" w:ascii="宋体" w:hAnsi="宋体"/>
          <w:b/>
          <w:bCs/>
          <w:sz w:val="24"/>
        </w:rPr>
      </w:pPr>
      <w:r>
        <w:rPr>
          <w:rFonts w:hint="eastAsia" w:ascii="宋体" w:hAnsi="宋体"/>
          <w:b/>
          <w:bCs/>
          <w:sz w:val="24"/>
        </w:rPr>
        <w:t xml:space="preserve">10. 知识产权保护</w:t>
      </w:r>
      <w:r/>
    </w:p>
    <w:p>
      <w:pPr>
        <w:pStyle w:val="1100"/>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819"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819"/>
      <w:r>
        <w:rPr>
          <w:rFonts w:hint="eastAsia" w:ascii="宋体" w:hAnsi="宋体"/>
          <w:szCs w:val="21"/>
        </w:rPr>
        <w:t xml:space="preserve">。</w:t>
      </w:r>
      <w:r/>
    </w:p>
    <w:p>
      <w:pPr>
        <w:pStyle w:val="1100"/>
        <w:jc w:val="left"/>
        <w:spacing w:line="360" w:lineRule="auto"/>
        <w:rPr>
          <w:rFonts w:hint="eastAsia" w:ascii="宋体" w:hAnsi="宋体"/>
          <w:b/>
          <w:bCs/>
          <w:sz w:val="24"/>
        </w:rPr>
      </w:pPr>
      <w:r>
        <w:rPr>
          <w:rFonts w:hint="eastAsia" w:ascii="宋体" w:hAnsi="宋体"/>
          <w:b/>
          <w:bCs/>
          <w:sz w:val="24"/>
        </w:rPr>
        <w:t xml:space="preserve">11. 保密义务</w:t>
      </w:r>
      <w:r/>
    </w:p>
    <w:p>
      <w:pPr>
        <w:pStyle w:val="1100"/>
        <w:ind w:firstLine="420"/>
        <w:jc w:val="left"/>
        <w:spacing w:line="360" w:lineRule="auto"/>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pStyle w:val="1100"/>
        <w:jc w:val="left"/>
        <w:spacing w:line="360" w:lineRule="auto"/>
        <w:rPr>
          <w:rFonts w:hint="eastAsia" w:ascii="宋体" w:hAnsi="宋体"/>
          <w:b/>
          <w:bCs/>
          <w:sz w:val="24"/>
        </w:rPr>
      </w:pPr>
      <w:r>
        <w:rPr>
          <w:rFonts w:hint="eastAsia" w:ascii="宋体" w:hAnsi="宋体"/>
          <w:b/>
          <w:bCs/>
          <w:sz w:val="24"/>
        </w:rPr>
        <w:t xml:space="preserve">12. 合同价款支付</w:t>
      </w:r>
      <w:r/>
    </w:p>
    <w:p>
      <w:pPr>
        <w:pStyle w:val="1100"/>
        <w:ind w:firstLine="420"/>
        <w:jc w:val="left"/>
        <w:spacing w:line="360" w:lineRule="auto"/>
        <w:rPr>
          <w:rFonts w:hint="eastAsia" w:ascii="宋体" w:hAnsi="宋体" w:cs="宋体"/>
          <w:szCs w:val="15"/>
        </w:rPr>
      </w:pPr>
      <w:r>
        <w:rPr>
          <w:rFonts w:hint="eastAsia" w:ascii="宋体" w:hAnsi="宋体" w:cs="宋体"/>
          <w:szCs w:val="15"/>
        </w:rPr>
        <w:t xml:space="preserve">12.1 合同价款支付按照国库集中支付制度及财政管理相关规定执行。</w:t>
      </w:r>
      <w:r/>
    </w:p>
    <w:p>
      <w:pPr>
        <w:pStyle w:val="1100"/>
        <w:ind w:firstLine="420"/>
        <w:spacing w:line="360" w:lineRule="auto"/>
        <w:rPr>
          <w:rFonts w:hint="eastAsia" w:ascii="宋体" w:hAnsi="宋体" w:cs="宋体"/>
          <w:szCs w:val="15"/>
        </w:rPr>
      </w:pPr>
      <w:r>
        <w:rPr>
          <w:rFonts w:hint="eastAsia" w:ascii="宋体" w:hAnsi="宋体" w:cs="宋体"/>
          <w:szCs w:val="15"/>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szCs w:val="15"/>
        </w:rPr>
        <w:t xml:space="preserve">【政府采购合同专用条款】</w:t>
      </w:r>
      <w:r>
        <w:rPr>
          <w:rFonts w:hint="eastAsia" w:ascii="宋体" w:hAnsi="宋体" w:cs="宋体"/>
          <w:szCs w:val="15"/>
        </w:rPr>
        <w:t xml:space="preserve">中约定。</w:t>
      </w:r>
      <w:r/>
    </w:p>
    <w:p>
      <w:pPr>
        <w:pStyle w:val="1132"/>
        <w:spacing w:line="360" w:lineRule="auto"/>
        <w:rPr>
          <w:b/>
          <w:bCs/>
        </w:rPr>
      </w:pPr>
      <w:r>
        <w:rPr>
          <w:rFonts w:hint="eastAsia"/>
          <w:b/>
          <w:bCs/>
        </w:rPr>
        <w:t xml:space="preserve">13. 履约保证金</w:t>
      </w:r>
      <w:r>
        <w:rPr>
          <w:b/>
          <w:bCs/>
        </w:rPr>
      </w:r>
      <w:r/>
    </w:p>
    <w:p>
      <w:pPr>
        <w:pStyle w:val="1100"/>
        <w:ind w:firstLine="420"/>
        <w:jc w:val="left"/>
        <w:spacing w:line="360" w:lineRule="auto"/>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1100"/>
        <w:ind w:firstLine="420"/>
        <w:jc w:val="left"/>
        <w:spacing w:line="360" w:lineRule="auto"/>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pStyle w:val="1100"/>
        <w:ind w:firstLine="420"/>
        <w:spacing w:line="360" w:lineRule="auto"/>
        <w:rPr>
          <w:rFonts w:hint="eastAsia"/>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hint="eastAsia"/>
        </w:rPr>
      </w:r>
      <w:r/>
    </w:p>
    <w:p>
      <w:pPr>
        <w:pStyle w:val="1100"/>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1100"/>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pStyle w:val="1100"/>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pStyle w:val="1100"/>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pStyle w:val="1100"/>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pStyle w:val="1100"/>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1354"/>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pStyle w:val="1100"/>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pStyle w:val="1100"/>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pStyle w:val="1100"/>
        <w:jc w:val="left"/>
        <w:spacing w:line="400" w:lineRule="exact"/>
        <w:rPr>
          <w:rFonts w:hint="eastAsia" w:ascii="宋体" w:hAnsi="宋体"/>
          <w:b/>
          <w:bCs/>
          <w:sz w:val="24"/>
        </w:rPr>
      </w:pPr>
      <w:r>
        <w:rPr>
          <w:rFonts w:hint="eastAsia" w:ascii="宋体" w:hAnsi="宋体"/>
          <w:b/>
          <w:bCs/>
          <w:sz w:val="24"/>
        </w:rPr>
        <w:t xml:space="preserve">15. 违约责任</w:t>
      </w:r>
      <w:r/>
    </w:p>
    <w:p>
      <w:pPr>
        <w:pStyle w:val="1100"/>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pStyle w:val="1100"/>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pStyle w:val="1100"/>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pStyle w:val="1100"/>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100"/>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pStyle w:val="1100"/>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pStyle w:val="1100"/>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pStyle w:val="1100"/>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pStyle w:val="1100"/>
        <w:numPr>
          <w:ilvl w:val="0"/>
          <w:numId w:val="22"/>
        </w:numPr>
        <w:jc w:val="left"/>
        <w:spacing w:line="400" w:lineRule="exact"/>
        <w:rPr>
          <w:rFonts w:hint="eastAsia" w:ascii="宋体" w:hAnsi="宋体"/>
          <w:b/>
          <w:sz w:val="24"/>
        </w:rPr>
      </w:pPr>
      <w:r>
        <w:rPr>
          <w:rFonts w:hint="eastAsia" w:ascii="宋体" w:hAnsi="宋体"/>
          <w:b/>
          <w:sz w:val="24"/>
        </w:rPr>
        <w:t xml:space="preserve">合同变更、中止与终止</w:t>
      </w:r>
      <w:r/>
    </w:p>
    <w:p>
      <w:pPr>
        <w:pStyle w:val="1100"/>
        <w:jc w:val="left"/>
        <w:spacing w:line="400" w:lineRule="exact"/>
        <w:rPr>
          <w:rFonts w:hint="eastAsia" w:ascii="宋体" w:hAnsi="宋体"/>
          <w:szCs w:val="21"/>
        </w:rPr>
      </w:pPr>
      <w:r>
        <w:rPr>
          <w:rFonts w:hint="eastAsia" w:ascii="宋体" w:hAnsi="宋体"/>
          <w:szCs w:val="21"/>
        </w:rPr>
        <w:t xml:space="preserve">    16.1合同的变更</w:t>
      </w:r>
      <w:r/>
    </w:p>
    <w:p>
      <w:pPr>
        <w:pStyle w:val="1100"/>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pStyle w:val="1100"/>
        <w:ind w:firstLine="420"/>
        <w:jc w:val="left"/>
        <w:spacing w:line="400" w:lineRule="exact"/>
        <w:rPr>
          <w:rFonts w:hint="eastAsia" w:ascii="宋体" w:hAnsi="宋体"/>
          <w:szCs w:val="21"/>
        </w:rPr>
      </w:pPr>
      <w:r>
        <w:rPr>
          <w:rFonts w:hint="eastAsia" w:ascii="宋体" w:hAnsi="宋体"/>
          <w:szCs w:val="21"/>
        </w:rPr>
        <w:t xml:space="preserve">16.2合同的中止</w:t>
      </w:r>
      <w:r/>
    </w:p>
    <w:p>
      <w:pPr>
        <w:pStyle w:val="1100"/>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pStyle w:val="1100"/>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54"/>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rPr>
      </w:r>
      <w:r/>
    </w:p>
    <w:p>
      <w:pPr>
        <w:pStyle w:val="1100"/>
        <w:ind w:firstLine="420"/>
        <w:jc w:val="left"/>
        <w:spacing w:line="400" w:lineRule="exact"/>
        <w:rPr>
          <w:rFonts w:hint="eastAsia"/>
        </w:rPr>
      </w:pPr>
      <w:r>
        <w:rPr>
          <w:rFonts w:hint="eastAsia" w:ascii="宋体" w:hAnsi="宋体"/>
          <w:szCs w:val="21"/>
        </w:rPr>
        <w:t xml:space="preserve">（4）甲方不得以行政区划调整、政府换届、机构或者职能调整以及相关责任人更替为由中止合同。</w:t>
      </w:r>
      <w:r>
        <w:rPr>
          <w:rFonts w:hint="eastAsia"/>
        </w:rPr>
      </w:r>
      <w:r/>
    </w:p>
    <w:p>
      <w:pPr>
        <w:pStyle w:val="1100"/>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1100"/>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pStyle w:val="1100"/>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1354"/>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1354"/>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rPr>
      </w:r>
      <w:r/>
    </w:p>
    <w:p>
      <w:pPr>
        <w:pStyle w:val="1100"/>
        <w:jc w:val="left"/>
        <w:spacing w:line="400" w:lineRule="exact"/>
        <w:rPr>
          <w:rFonts w:hint="eastAsia" w:ascii="宋体" w:hAnsi="宋体"/>
          <w:b/>
          <w:bCs/>
          <w:sz w:val="24"/>
        </w:rPr>
      </w:pPr>
      <w:r>
        <w:rPr>
          <w:rFonts w:hint="eastAsia" w:ascii="宋体" w:hAnsi="宋体"/>
          <w:b/>
          <w:bCs/>
          <w:sz w:val="24"/>
        </w:rPr>
        <w:t xml:space="preserve">17. 合同分包</w:t>
      </w:r>
      <w:r/>
    </w:p>
    <w:p>
      <w:pPr>
        <w:pStyle w:val="1100"/>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pStyle w:val="1100"/>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pStyle w:val="1100"/>
        <w:jc w:val="left"/>
        <w:spacing w:line="400" w:lineRule="exact"/>
        <w:rPr>
          <w:rFonts w:hint="eastAsia" w:ascii="宋体" w:hAnsi="宋体"/>
          <w:b/>
          <w:bCs/>
          <w:sz w:val="24"/>
        </w:rPr>
      </w:pPr>
      <w:r>
        <w:rPr>
          <w:rFonts w:hint="eastAsia" w:ascii="宋体" w:hAnsi="宋体"/>
          <w:b/>
          <w:bCs/>
          <w:sz w:val="24"/>
        </w:rPr>
        <w:t xml:space="preserve">18. 不可抗力</w:t>
      </w:r>
      <w:r/>
    </w:p>
    <w:p>
      <w:pPr>
        <w:pStyle w:val="1100"/>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pStyle w:val="1100"/>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pStyle w:val="1100"/>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100"/>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354"/>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354"/>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354"/>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pStyle w:val="1100"/>
        <w:jc w:val="left"/>
        <w:spacing w:line="400" w:lineRule="exact"/>
        <w:rPr>
          <w:rFonts w:hint="eastAsia" w:ascii="宋体" w:hAnsi="宋体"/>
          <w:sz w:val="24"/>
        </w:rPr>
      </w:pPr>
      <w:r>
        <w:rPr>
          <w:rFonts w:hint="eastAsia" w:ascii="宋体" w:hAnsi="宋体"/>
          <w:b/>
          <w:sz w:val="24"/>
        </w:rPr>
        <w:t xml:space="preserve">20. 政府采购政策</w:t>
      </w:r>
      <w:r>
        <w:rPr>
          <w:rFonts w:hint="eastAsia" w:ascii="宋体" w:hAnsi="宋体"/>
          <w:sz w:val="24"/>
        </w:rPr>
      </w:r>
      <w:r/>
    </w:p>
    <w:p>
      <w:pPr>
        <w:pStyle w:val="1100"/>
        <w:ind w:firstLine="420"/>
        <w:spacing w:line="360" w:lineRule="auto"/>
        <w:rPr>
          <w:rFonts w:hint="eastAsia" w:ascii="宋体" w:hAnsi="宋体"/>
        </w:rPr>
      </w:pPr>
      <w:r>
        <w:rPr>
          <w:rFonts w:hint="eastAsia" w:ascii="宋体" w:hAnsi="宋体"/>
        </w:rPr>
        <w:t xml:space="preserve">20.1 本合同应当按照规定执行政府采购政策。</w:t>
      </w:r>
      <w:r/>
    </w:p>
    <w:p>
      <w:pPr>
        <w:pStyle w:val="1100"/>
        <w:ind w:firstLine="420"/>
        <w:spacing w:line="360" w:lineRule="auto"/>
        <w:rPr>
          <w:rFonts w:hint="eastAsia" w:ascii="宋体" w:hAnsi="宋体"/>
        </w:rPr>
      </w:pPr>
      <w:r>
        <w:rPr>
          <w:rFonts w:hint="eastAsia" w:ascii="宋体" w:hAnsi="宋体"/>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pStyle w:val="1100"/>
        <w:ind w:firstLine="420"/>
        <w:spacing w:line="360" w:lineRule="auto"/>
        <w:rPr>
          <w:rFonts w:hint="eastAsia" w:ascii="宋体" w:hAnsi="宋体"/>
        </w:rPr>
      </w:pPr>
      <w:r>
        <w:rPr>
          <w:rFonts w:hint="eastAsia" w:ascii="宋体" w:hAnsi="宋体"/>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100"/>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354"/>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354"/>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pStyle w:val="1100"/>
        <w:jc w:val="left"/>
        <w:spacing w:line="400" w:lineRule="exact"/>
        <w:rPr>
          <w:rFonts w:hint="eastAsia" w:ascii="宋体" w:hAnsi="宋体"/>
          <w:b/>
          <w:sz w:val="24"/>
        </w:rPr>
      </w:pPr>
      <w:r>
        <w:rPr>
          <w:rFonts w:hint="eastAsia" w:ascii="宋体" w:hAnsi="宋体"/>
          <w:b/>
          <w:sz w:val="24"/>
        </w:rPr>
        <w:t xml:space="preserve">22. 通知</w:t>
      </w:r>
      <w:r/>
    </w:p>
    <w:p>
      <w:pPr>
        <w:pStyle w:val="1354"/>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354"/>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hint="eastAsia"/>
          <w:sz w:val="21"/>
        </w:rPr>
      </w:r>
      <w:r/>
    </w:p>
    <w:p>
      <w:pPr>
        <w:pStyle w:val="1100"/>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pStyle w:val="1100"/>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pStyle w:val="1100"/>
        <w:numPr>
          <w:ilvl w:val="0"/>
          <w:numId w:val="23"/>
        </w:numPr>
        <w:jc w:val="left"/>
        <w:spacing w:line="400" w:lineRule="exact"/>
        <w:rPr>
          <w:rFonts w:hint="eastAsia" w:ascii="宋体" w:hAnsi="宋体"/>
          <w:b/>
          <w:bCs/>
          <w:sz w:val="24"/>
        </w:rPr>
      </w:pPr>
      <w:r>
        <w:rPr>
          <w:rFonts w:hint="eastAsia" w:ascii="宋体" w:hAnsi="宋体"/>
          <w:b/>
          <w:bCs/>
          <w:sz w:val="24"/>
        </w:rPr>
        <w:t xml:space="preserve">合同未尽事项</w:t>
      </w:r>
      <w:r/>
    </w:p>
    <w:p>
      <w:pPr>
        <w:pStyle w:val="1100"/>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pStyle w:val="1100"/>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820" w:name="_Toc20313"/>
      <w:r>
        <w:rPr>
          <w:rFonts w:hint="eastAsia" w:ascii="黑体" w:hAnsi="华文中宋" w:eastAsia="黑体"/>
          <w:sz w:val="28"/>
          <w:szCs w:val="28"/>
        </w:rPr>
      </w:r>
      <w:r/>
    </w:p>
    <w:p>
      <w:pPr>
        <w:pStyle w:val="1100"/>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1102"/>
        <w:rPr>
          <w:rFonts w:hint="eastAsia" w:ascii="黑体" w:hAnsi="华文中宋"/>
          <w:b w:val="0"/>
          <w:sz w:val="28"/>
          <w:szCs w:val="28"/>
        </w:rPr>
      </w:pPr>
      <w:r>
        <w:rPr>
          <w:rFonts w:hint="eastAsia" w:ascii="黑体" w:hAnsi="华文中宋"/>
          <w:b w:val="0"/>
          <w:bCs/>
          <w:sz w:val="28"/>
          <w:szCs w:val="28"/>
        </w:rPr>
        <w:t xml:space="preserve">第三节 政府采购合同专用条款</w:t>
      </w:r>
      <w:bookmarkEnd w:id="820"/>
      <w:r>
        <w:rPr>
          <w:rFonts w:hint="eastAsia" w:ascii="黑体" w:hAnsi="华文中宋"/>
          <w:b w:val="0"/>
          <w:sz w:val="28"/>
          <w:szCs w:val="28"/>
        </w:rPr>
      </w:r>
      <w:r/>
    </w:p>
    <w:tbl>
      <w:tblPr>
        <w:tblW w:w="8520"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第1.2（6）项</w:t>
            </w:r>
            <w:r>
              <w:rPr>
                <w:rFonts w:ascii="宋体" w:hAnsi="宋体"/>
                <w:szCs w:val="21"/>
              </w:rPr>
            </w:r>
            <w:r/>
          </w:p>
        </w:tc>
        <w:tc>
          <w:tcPr>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Borders>
              <w:top w:val="single" w:color="000000" w:sz="4" w:space="0"/>
              <w:left w:val="single" w:color="000000" w:sz="6" w:space="0"/>
              <w:bottom w:val="single" w:color="000000" w:sz="6" w:space="0"/>
              <w:right w:val="single" w:color="000000" w:sz="4" w:space="0"/>
            </w:tcBorders>
            <w:tcW w:w="5170" w:type="dxa"/>
            <w:vAlign w:val="center"/>
            <w:textDirection w:val="lrTb"/>
            <w:noWrap w:val="false"/>
          </w:tcPr>
          <w:p>
            <w:pPr>
              <w:pStyle w:val="1100"/>
              <w:jc w:val="left"/>
              <w:rPr>
                <w:rFonts w:ascii="宋体" w:hAnsi="宋体"/>
                <w:szCs w:val="21"/>
              </w:rPr>
            </w:pPr>
            <w:r>
              <w:rPr>
                <w:rFonts w:hint="eastAsia" w:ascii="宋体" w:hAnsi="宋体"/>
                <w:szCs w:val="21"/>
              </w:rPr>
              <w:t xml:space="preserve">/</w:t>
            </w:r>
            <w:r>
              <w:rPr>
                <w:rFonts w:ascii="宋体" w:hAnsi="宋体"/>
                <w:szCs w:val="21"/>
              </w:rPr>
            </w:r>
            <w:r/>
          </w:p>
        </w:tc>
      </w:tr>
      <w:tr>
        <w:trPr>
          <w:trHeight w:val="60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第1.2（7）项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其他术语解释</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第4.4款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rPr>
                <w:rFonts w:ascii="宋体" w:hAnsi="宋体"/>
                <w:szCs w:val="21"/>
              </w:rPr>
            </w:pPr>
            <w:r>
              <w:rPr>
                <w:rFonts w:hint="eastAsia" w:ascii="宋体" w:hAnsi="宋体"/>
                <w:szCs w:val="21"/>
              </w:rPr>
              <w:t xml:space="preserve">5个工作日</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第4.6款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pPr>
            <w:r>
              <w:rPr>
                <w:rFonts w:hint="eastAsia" w:ascii="宋体" w:hAnsi="宋体"/>
                <w:szCs w:val="21"/>
              </w:rPr>
              <w:t xml:space="preserve">第5.4款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ind w:firstLine="420"/>
              <w:spacing w:line="360" w:lineRule="auto"/>
              <w:rPr>
                <w:rFonts w:ascii="宋体" w:hAnsi="宋体" w:cs="宋体"/>
                <w:szCs w:val="21"/>
              </w:rPr>
            </w:pPr>
            <w:r>
              <w:rPr>
                <w:rFonts w:hint="eastAsia" w:ascii="宋体" w:hAnsi="宋体" w:cs="宋体"/>
                <w:szCs w:val="21"/>
              </w:rPr>
              <w:t xml:space="preserve">1.乙方应当在合同签订后</w:t>
            </w:r>
            <w:r>
              <w:rPr>
                <w:rFonts w:hint="eastAsia" w:ascii="宋体" w:hAnsi="宋体" w:cs="宋体"/>
                <w:szCs w:val="21"/>
                <w:u w:val="single"/>
              </w:rPr>
              <w:t xml:space="preserve">   </w:t>
            </w:r>
            <w:r>
              <w:rPr>
                <w:rFonts w:hint="eastAsia" w:ascii="宋体" w:hAnsi="宋体" w:cs="宋体"/>
                <w:szCs w:val="21"/>
              </w:rPr>
              <w:t xml:space="preserve">天内将货物安装调试完毕交付甲方正常使用，地点由甲方指定。招标文件有约定的，从其约定。</w:t>
            </w:r>
            <w:r>
              <w:rPr>
                <w:rFonts w:ascii="宋体" w:hAnsi="宋体" w:cs="宋体"/>
                <w:szCs w:val="21"/>
              </w:rPr>
            </w:r>
            <w:r/>
          </w:p>
          <w:p>
            <w:pPr>
              <w:pStyle w:val="1100"/>
              <w:ind w:firstLine="420"/>
              <w:spacing w:line="360" w:lineRule="auto"/>
              <w:rPr>
                <w:rFonts w:ascii="宋体" w:hAnsi="宋体" w:cs="宋体"/>
                <w:szCs w:val="21"/>
              </w:rPr>
            </w:pPr>
            <w:r>
              <w:rPr>
                <w:rFonts w:hint="eastAsia" w:ascii="宋体" w:hAnsi="宋体" w:cs="宋体"/>
                <w:szCs w:val="21"/>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szCs w:val="21"/>
              </w:rPr>
            </w:r>
            <w:r/>
          </w:p>
          <w:p>
            <w:pPr>
              <w:pStyle w:val="1100"/>
              <w:ind w:firstLine="420"/>
              <w:spacing w:line="360" w:lineRule="auto"/>
              <w:rPr>
                <w:rFonts w:ascii="宋体" w:hAnsi="宋体" w:cs="宋体"/>
                <w:szCs w:val="21"/>
              </w:rPr>
            </w:pPr>
            <w:r>
              <w:rPr>
                <w:rFonts w:hint="eastAsia" w:ascii="宋体" w:hAnsi="宋体" w:cs="宋体"/>
                <w:szCs w:val="21"/>
              </w:rPr>
              <w:t xml:space="preserve">3.货物的到货验收包括：生产厂家名称、品牌、型号、规格、数量、外观质量、配置及货物包装是否完好。</w:t>
            </w:r>
            <w:r>
              <w:rPr>
                <w:rFonts w:ascii="宋体" w:hAnsi="宋体" w:cs="宋体"/>
                <w:szCs w:val="21"/>
              </w:rPr>
            </w:r>
            <w:r/>
          </w:p>
          <w:p>
            <w:pPr>
              <w:pStyle w:val="1100"/>
              <w:ind w:firstLine="420"/>
              <w:spacing w:line="360" w:lineRule="auto"/>
              <w:rPr>
                <w:rFonts w:ascii="宋体" w:hAnsi="宋体" w:cs="宋体"/>
                <w:szCs w:val="21"/>
              </w:rPr>
            </w:pPr>
            <w:r>
              <w:rPr>
                <w:rFonts w:hint="eastAsia" w:ascii="宋体" w:hAnsi="宋体" w:cs="宋体"/>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Cs w:val="21"/>
              </w:rPr>
            </w:r>
            <w:r/>
          </w:p>
          <w:p>
            <w:pPr>
              <w:pStyle w:val="1100"/>
              <w:ind w:firstLine="420"/>
              <w:spacing w:line="360" w:lineRule="auto"/>
              <w:rPr>
                <w:rFonts w:ascii="宋体" w:hAnsi="宋体" w:cs="宋体"/>
                <w:szCs w:val="21"/>
              </w:rPr>
            </w:pPr>
            <w:r>
              <w:rPr>
                <w:rFonts w:hint="eastAsia" w:ascii="宋体" w:hAnsi="宋体" w:cs="宋体"/>
                <w:szCs w:val="21"/>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szCs w:val="21"/>
              </w:rPr>
            </w:r>
            <w:r/>
          </w:p>
          <w:p>
            <w:pPr>
              <w:pStyle w:val="1100"/>
              <w:ind w:firstLine="420"/>
              <w:spacing w:line="360" w:lineRule="auto"/>
              <w:rPr>
                <w:rFonts w:ascii="宋体" w:hAnsi="宋体" w:cs="宋体"/>
                <w:szCs w:val="21"/>
              </w:rPr>
            </w:pPr>
            <w:r>
              <w:rPr>
                <w:rFonts w:hint="eastAsia" w:ascii="宋体" w:hAnsi="宋体" w:cs="宋体"/>
                <w:szCs w:val="21"/>
              </w:rPr>
              <w:t xml:space="preserve">a.重新调试直至合格为止；</w:t>
            </w:r>
            <w:r>
              <w:rPr>
                <w:rFonts w:ascii="宋体" w:hAnsi="宋体" w:cs="宋体"/>
                <w:szCs w:val="21"/>
              </w:rPr>
            </w:r>
            <w:r/>
          </w:p>
          <w:p>
            <w:pPr>
              <w:pStyle w:val="1100"/>
              <w:ind w:firstLine="420"/>
              <w:spacing w:line="360" w:lineRule="auto"/>
              <w:rPr>
                <w:rFonts w:ascii="宋体" w:hAnsi="宋体" w:cs="宋体"/>
                <w:szCs w:val="21"/>
              </w:rPr>
            </w:pPr>
            <w:r>
              <w:rPr>
                <w:rFonts w:hint="eastAsia" w:ascii="宋体" w:hAnsi="宋体" w:cs="宋体"/>
                <w:szCs w:val="21"/>
              </w:rPr>
              <w:t xml:space="preserve">b.要求乙方对货物进行免费更换，然后重新调试直至合格为止。</w:t>
            </w:r>
            <w:r>
              <w:rPr>
                <w:rFonts w:ascii="宋体" w:hAnsi="宋体" w:cs="宋体"/>
                <w:szCs w:val="21"/>
              </w:rPr>
            </w:r>
            <w:r/>
          </w:p>
          <w:p>
            <w:pPr>
              <w:pStyle w:val="1140"/>
              <w:ind w:firstLine="420"/>
              <w:spacing w:line="360" w:lineRule="auto"/>
              <w:rPr>
                <w:rFonts w:hAnsi="宋体"/>
                <w:szCs w:val="21"/>
              </w:rPr>
            </w:pPr>
            <w:r>
              <w:rPr>
                <w:rFonts w:hAnsi="宋体" w:cs="宋体"/>
                <w:szCs w:val="21"/>
              </w:rPr>
              <w:t xml:space="preserve">甲方因乙方原因所产生的所有费用均由乙方负担。</w:t>
            </w:r>
            <w:r>
              <w:rPr>
                <w:rFonts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第6.1款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spacing w:line="360" w:lineRule="auto"/>
              <w:rPr>
                <w:rFonts w:ascii="宋体" w:hAnsi="宋体"/>
                <w:szCs w:val="21"/>
              </w:rPr>
            </w:pPr>
            <w:r>
              <w:rPr>
                <w:rFonts w:ascii="宋体" w:hAnsi="宋体"/>
                <w:szCs w:val="21"/>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第7.1款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包装特殊要求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spacing w:line="360" w:lineRule="auto"/>
              <w:rPr>
                <w:rFonts w:ascii="宋体" w:hAnsi="宋体"/>
              </w:rPr>
            </w:pPr>
            <w:r>
              <w:rPr>
                <w:rFonts w:hint="eastAsia" w:ascii="宋体" w:hAnsi="宋体"/>
              </w:rPr>
              <w:t xml:space="preserve">/</w:t>
            </w:r>
            <w:r>
              <w:rPr>
                <w:rFonts w:ascii="宋体" w:hAnsi="宋体"/>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pStyle w:val="1100"/>
              <w:jc w:val="left"/>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指定现场</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spacing w:line="360" w:lineRule="auto"/>
              <w:rPr>
                <w:rFonts w:ascii="宋体" w:hAnsi="宋体"/>
              </w:rPr>
            </w:pPr>
            <w:r>
              <w:rPr>
                <w:rFonts w:hint="eastAsia" w:ascii="宋体" w:hAnsi="宋体"/>
              </w:rPr>
              <w:t xml:space="preserve">甲方指定现场</w:t>
            </w:r>
            <w:r>
              <w:rPr>
                <w:rFonts w:ascii="宋体" w:hAnsi="宋体"/>
              </w:rPr>
            </w:r>
            <w:r/>
          </w:p>
        </w:tc>
      </w:tr>
      <w:tr>
        <w:trPr>
          <w:trHeight w:val="772"/>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第7.2款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运输特殊要求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spacing w:line="360" w:lineRule="auto"/>
              <w:rPr>
                <w:rFonts w:ascii="宋体" w:hAnsi="宋体"/>
              </w:rPr>
            </w:pPr>
            <w:r>
              <w:rPr>
                <w:rFonts w:hint="eastAsia" w:ascii="宋体" w:hAnsi="宋体"/>
              </w:rPr>
              <w:t xml:space="preserve">/</w:t>
            </w:r>
            <w:r>
              <w:rPr>
                <w:rFonts w:ascii="宋体" w:hAnsi="宋体"/>
              </w:rPr>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第7.3款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保险要求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spacing w:line="360" w:lineRule="auto"/>
              <w:rPr>
                <w:rFonts w:ascii="宋体" w:hAnsi="宋体"/>
              </w:rPr>
            </w:pPr>
            <w:r>
              <w:rPr>
                <w:rFonts w:hint="eastAsia" w:ascii="宋体" w:hAnsi="宋体"/>
              </w:rPr>
              <w:t xml:space="preserve">/</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第8.2（1）项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质量保证期</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spacing w:line="360" w:lineRule="auto"/>
              <w:rPr>
                <w:rFonts w:ascii="宋体" w:hAnsi="宋体"/>
                <w:szCs w:val="21"/>
              </w:rPr>
            </w:pPr>
            <w:r>
              <w:rPr>
                <w:rFonts w:hint="eastAsia" w:ascii="宋体" w:hAnsi="宋体" w:cs="宋体"/>
                <w:szCs w:val="21"/>
              </w:rPr>
              <w:t xml:space="preserve"> </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第8.2（3）项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1100"/>
              <w:jc w:val="left"/>
              <w:rPr>
                <w:rFonts w:ascii="宋体" w:hAnsi="宋体"/>
                <w:szCs w:val="21"/>
              </w:rPr>
            </w:pPr>
            <w:r>
              <w:rPr>
                <w:rFonts w:hint="eastAsia" w:ascii="宋体" w:hAnsi="宋体"/>
                <w:szCs w:val="21"/>
              </w:rPr>
              <w:t xml:space="preserve">响应时间</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40"/>
              <w:spacing w:line="360" w:lineRule="auto"/>
              <w:rPr>
                <w:rFonts w:hAnsi="宋体"/>
                <w:szCs w:val="21"/>
              </w:rPr>
            </w:pPr>
            <w:r>
              <w:rPr>
                <w:rFonts w:hAnsi="宋体"/>
                <w:szCs w:val="21"/>
              </w:rPr>
              <w:t xml:space="preserve">2小时内响应，24小时内到场维修。</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354"/>
              <w:ind w:firstLine="0"/>
              <w:jc w:val="center"/>
            </w:pPr>
            <w:r>
              <w:rPr>
                <w:rFonts w:hint="eastAsia" w:ascii="宋体" w:hAnsi="宋体" w:eastAsia="宋体" w:cs="宋体"/>
              </w:rPr>
              <w:t xml:space="preserve">第11.1款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rPr>
                <w:rFonts w:ascii="宋体" w:hAnsi="宋体"/>
                <w:szCs w:val="21"/>
              </w:rPr>
            </w:pPr>
            <w:r>
              <w:rPr>
                <w:rFonts w:hint="eastAsia" w:ascii="宋体" w:hAnsi="宋体"/>
                <w:szCs w:val="21"/>
              </w:rPr>
              <w:t xml:space="preserve">其他应当保密的信息</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第12.2款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spacing w:line="360" w:lineRule="auto"/>
              <w:rPr>
                <w:rFonts w:ascii="宋体" w:hAnsi="宋体"/>
                <w:szCs w:val="21"/>
              </w:rPr>
            </w:pPr>
            <w:r>
              <w:rPr>
                <w:rFonts w:ascii="宋体" w:hAnsi="宋体"/>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第13.2款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spacing w:line="360" w:lineRule="auto"/>
              <w:rPr>
                <w:rFonts w:ascii="宋体" w:hAnsi="宋体"/>
                <w:szCs w:val="21"/>
              </w:rPr>
            </w:pPr>
            <w:r>
              <w:rPr>
                <w:rFonts w:hint="eastAsia" w:ascii="宋体" w:hAnsi="宋体"/>
                <w:szCs w:val="21"/>
              </w:rPr>
              <w:t xml:space="preserve">本项目不收取履约保证金。</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第13.3款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第14.1（3）项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spacing w:line="360" w:lineRule="auto"/>
              <w:rPr>
                <w:rFonts w:ascii="宋体" w:hAnsi="宋体"/>
                <w:szCs w:val="21"/>
              </w:rPr>
            </w:pPr>
            <w:r>
              <w:rPr>
                <w:rFonts w:hint="eastAsia" w:ascii="宋体" w:hAnsi="宋体"/>
                <w:szCs w:val="21"/>
              </w:rPr>
              <w:t xml:space="preserve">双方约定的质保期</w:t>
            </w:r>
            <w:r>
              <w:rPr>
                <w:rFonts w:ascii="宋体" w:hAnsi="宋体"/>
                <w:szCs w:val="21"/>
              </w:rPr>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第14.1（5）项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第14.1（6）项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ind w:firstLine="420"/>
              <w:jc w:val="left"/>
              <w:spacing w:line="360" w:lineRule="auto"/>
              <w:rPr>
                <w:rFonts w:hint="eastAsia" w:ascii="宋体" w:hAnsi="宋体"/>
              </w:rPr>
            </w:pPr>
            <w:r>
              <w:rPr>
                <w:rFonts w:hint="eastAsia" w:ascii="宋体" w:hAnsi="宋体"/>
              </w:rPr>
              <w:t xml:space="preserve">若招标文件中不包含有关伴随服务或售后服务的承诺，双方作如下约定：</w:t>
            </w:r>
            <w:r/>
          </w:p>
          <w:p>
            <w:pPr>
              <w:pStyle w:val="1100"/>
              <w:ind w:firstLine="420"/>
              <w:jc w:val="left"/>
              <w:spacing w:line="360" w:lineRule="auto"/>
              <w:rPr>
                <w:rFonts w:hint="eastAsia" w:ascii="宋体" w:hAnsi="宋体"/>
              </w:rPr>
            </w:pPr>
            <w:r>
              <w:rPr>
                <w:rFonts w:hint="eastAsia" w:ascii="宋体" w:hAnsi="宋体"/>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1100"/>
              <w:ind w:firstLine="420"/>
              <w:jc w:val="left"/>
              <w:spacing w:line="360" w:lineRule="auto"/>
              <w:rPr>
                <w:rFonts w:hint="eastAsia" w:ascii="宋体" w:hAnsi="宋体"/>
              </w:rPr>
            </w:pPr>
            <w:r>
              <w:rPr>
                <w:rFonts w:hint="eastAsia" w:ascii="宋体" w:hAnsi="宋体"/>
              </w:rPr>
              <w:t xml:space="preserve">2.所购货物按乙方投标承诺提供免费维护和质量保证，保修费用计入总价。</w:t>
            </w:r>
            <w:r/>
          </w:p>
          <w:p>
            <w:pPr>
              <w:pStyle w:val="1100"/>
              <w:ind w:firstLine="420"/>
              <w:jc w:val="left"/>
              <w:spacing w:line="360" w:lineRule="auto"/>
              <w:rPr>
                <w:rFonts w:hint="eastAsia" w:ascii="宋体" w:hAnsi="宋体"/>
              </w:rPr>
            </w:pPr>
            <w:r>
              <w:rPr>
                <w:rFonts w:hint="eastAsia" w:ascii="宋体" w:hAnsi="宋体"/>
              </w:rPr>
              <w:t xml:space="preserve">3.保修期内，乙方负责对其提供的货物整机进行维修和系统维护，不再收取任何费用，但不可抗力（如火灾、雷击等）造成的故障除外。</w:t>
            </w:r>
            <w:r/>
          </w:p>
          <w:p>
            <w:pPr>
              <w:pStyle w:val="1100"/>
              <w:ind w:firstLine="420"/>
              <w:jc w:val="left"/>
              <w:spacing w:line="360" w:lineRule="auto"/>
              <w:rPr>
                <w:rFonts w:hint="eastAsia" w:ascii="宋体" w:hAnsi="宋体"/>
              </w:rPr>
            </w:pPr>
            <w:r>
              <w:rPr>
                <w:rFonts w:hint="eastAsia" w:ascii="宋体" w:hAnsi="宋体"/>
              </w:rPr>
              <w:t xml:space="preserve">4.货物故障报修的响应时间按乙方投标承诺执行。</w:t>
            </w:r>
            <w:r/>
          </w:p>
          <w:p>
            <w:pPr>
              <w:pStyle w:val="1100"/>
              <w:ind w:firstLine="420"/>
              <w:jc w:val="left"/>
              <w:spacing w:line="360" w:lineRule="auto"/>
              <w:rPr>
                <w:rFonts w:hint="eastAsia" w:ascii="宋体" w:hAnsi="宋体"/>
              </w:rPr>
            </w:pPr>
            <w:r>
              <w:rPr>
                <w:rFonts w:hint="eastAsia" w:ascii="宋体" w:hAnsi="宋体"/>
              </w:rPr>
              <w:t xml:space="preserve">5.若货物故障在检修工作小时后仍无法排除，乙方应在小时内免费提供不低于故障货物规格型号档次的备用货物供甲方使用，直至故障货物修复。</w:t>
            </w:r>
            <w:r/>
          </w:p>
          <w:p>
            <w:pPr>
              <w:pStyle w:val="1100"/>
              <w:ind w:firstLine="420"/>
              <w:jc w:val="left"/>
              <w:spacing w:line="360" w:lineRule="auto"/>
              <w:rPr>
                <w:rFonts w:ascii="宋体" w:hAnsi="宋体"/>
              </w:rPr>
            </w:pPr>
            <w:r>
              <w:rPr>
                <w:rFonts w:hint="eastAsia" w:ascii="宋体" w:hAnsi="宋体"/>
              </w:rPr>
              <w:t xml:space="preserve">6.所有货物保修服务方式均为乙方上门保修，即由乙方派员到货物使用现场维修，由此产生的一切费用均由乙方承担。</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第15.1款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ind w:firstLine="420"/>
              <w:spacing w:line="360" w:lineRule="auto"/>
              <w:rPr>
                <w:rFonts w:ascii="宋体" w:hAnsi="宋体"/>
              </w:rPr>
            </w:pPr>
            <w:r>
              <w:rPr>
                <w:rFonts w:hint="eastAsia" w:ascii="宋体" w:hAnsi="宋体"/>
              </w:rPr>
              <w:t xml:space="preserve">调试检验出现全部或部分未达到本合同所约定的技术指标，甲方有权选择下列任一处理方式： </w:t>
            </w:r>
            <w:r>
              <w:rPr>
                <w:rFonts w:ascii="宋体" w:hAnsi="宋体"/>
              </w:rPr>
            </w:r>
            <w:r/>
          </w:p>
          <w:p>
            <w:pPr>
              <w:pStyle w:val="1100"/>
              <w:ind w:firstLine="420"/>
              <w:spacing w:line="360" w:lineRule="auto"/>
              <w:rPr>
                <w:rFonts w:ascii="宋体" w:hAnsi="宋体"/>
              </w:rPr>
            </w:pPr>
            <w:r>
              <w:rPr>
                <w:rFonts w:hint="eastAsia" w:ascii="宋体" w:hAnsi="宋体"/>
              </w:rPr>
              <w:t xml:space="preserve">1.重新调试直至合格为止；</w:t>
            </w:r>
            <w:r>
              <w:rPr>
                <w:rFonts w:ascii="宋体" w:hAnsi="宋体"/>
              </w:rPr>
            </w:r>
            <w:r/>
          </w:p>
          <w:p>
            <w:pPr>
              <w:pStyle w:val="1100"/>
              <w:ind w:firstLine="420"/>
              <w:spacing w:line="360" w:lineRule="auto"/>
              <w:rPr>
                <w:rFonts w:ascii="宋体" w:hAnsi="宋体"/>
              </w:rPr>
            </w:pPr>
            <w:r>
              <w:rPr>
                <w:rFonts w:hint="eastAsia" w:ascii="宋体" w:hAnsi="宋体"/>
              </w:rPr>
              <w:t xml:space="preserve">2.要求乙方对货物进行免费更换，然后重新调试直至合格为止。</w:t>
            </w:r>
            <w:r>
              <w:rPr>
                <w:rFonts w:ascii="宋体" w:hAnsi="宋体"/>
              </w:rPr>
            </w:r>
            <w:r/>
          </w:p>
          <w:p>
            <w:pPr>
              <w:pStyle w:val="1100"/>
              <w:ind w:firstLine="420"/>
              <w:spacing w:line="360" w:lineRule="auto"/>
              <w:rPr>
                <w:rFonts w:ascii="宋体" w:hAnsi="宋体"/>
              </w:rPr>
            </w:pPr>
            <w:r>
              <w:rPr>
                <w:rFonts w:hint="eastAsia" w:ascii="宋体" w:hAnsi="宋体"/>
              </w:rPr>
              <w:t xml:space="preserve">甲方因乙方原因所产生的所有费用均由乙方负担。</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第15.2（2）项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ind w:firstLine="420"/>
              <w:jc w:val="left"/>
              <w:spacing w:line="360" w:lineRule="auto"/>
              <w:rPr>
                <w:rFonts w:ascii="宋体" w:hAnsi="宋体"/>
              </w:rPr>
            </w:pPr>
            <w:r>
              <w:rPr>
                <w:rFonts w:hint="eastAsia" w:ascii="宋体" w:hAnsi="宋体"/>
              </w:rPr>
              <w:t xml:space="preserve">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第15.3款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逾期付款利息</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ind w:firstLine="420"/>
              <w:jc w:val="left"/>
              <w:spacing w:line="360" w:lineRule="auto"/>
              <w:rPr>
                <w:rFonts w:ascii="宋体" w:hAnsi="宋体"/>
              </w:rPr>
            </w:pPr>
            <w:r>
              <w:rPr>
                <w:rFonts w:hint="eastAsia" w:ascii="宋体" w:hAnsi="宋体"/>
              </w:rPr>
              <w:t xml:space="preserve">甲方未按合同规定的期限向乙方支付货款的，每逾期</w:t>
            </w:r>
            <w:r>
              <w:rPr>
                <w:rFonts w:ascii="宋体" w:hAnsi="宋体"/>
              </w:rPr>
              <w:t xml:space="preserve">1</w:t>
            </w:r>
            <w:r>
              <w:rPr>
                <w:rFonts w:hint="eastAsia" w:ascii="宋体" w:hAnsi="宋体"/>
              </w:rPr>
              <w:t xml:space="preserve">天甲方向乙方偿付欠款总额的</w:t>
            </w:r>
            <w:r>
              <w:rPr>
                <w:rFonts w:ascii="宋体" w:hAnsi="宋体"/>
              </w:rPr>
              <w:t xml:space="preserve">5</w:t>
            </w:r>
            <w:r>
              <w:rPr>
                <w:rFonts w:hint="eastAsia" w:ascii="宋体" w:hAnsi="宋体"/>
              </w:rPr>
              <w:t xml:space="preserve">‰滞纳金，但累计滞纳金总额不超过欠款总额的</w:t>
            </w:r>
            <w:r>
              <w:rPr>
                <w:rFonts w:ascii="宋体" w:hAnsi="宋体"/>
              </w:rPr>
              <w:t xml:space="preserve">5%</w:t>
            </w:r>
            <w:r>
              <w:rPr>
                <w:rFonts w:hint="eastAsia" w:ascii="宋体" w:hAnsi="宋体"/>
              </w:rPr>
              <w:t xml:space="preserve">。</w:t>
            </w:r>
            <w:r>
              <w:rPr>
                <w:rFonts w:ascii="宋体" w:hAnsi="宋体"/>
              </w:rPr>
            </w:r>
            <w:r/>
          </w:p>
        </w:tc>
      </w:tr>
      <w:tr>
        <w:trPr>
          <w:trHeight w:val="876"/>
        </w:trPr>
        <w:tc>
          <w:tcPr>
            <w:tcBorders>
              <w:top w:val="single" w:color="000000" w:sz="6" w:space="0"/>
              <w:left w:val="single" w:color="000000" w:sz="4" w:space="0"/>
              <w:bottom w:val="single" w:color="000000" w:sz="2" w:space="0"/>
              <w:right w:val="single" w:color="000000" w:sz="2"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top w:val="single" w:color="000000" w:sz="6" w:space="0"/>
              <w:left w:val="single" w:color="000000" w:sz="2" w:space="0"/>
              <w:bottom w:val="single" w:color="000000" w:sz="2" w:space="0"/>
              <w:right w:val="single" w:color="000000" w:sz="2"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top w:val="single" w:color="000000" w:sz="6" w:space="0"/>
              <w:left w:val="single" w:color="000000" w:sz="2" w:space="0"/>
              <w:bottom w:val="single" w:color="000000" w:sz="2" w:space="0"/>
              <w:right w:val="single" w:color="000000" w:sz="4" w:space="0"/>
            </w:tcBorders>
            <w:tcW w:w="5170" w:type="dxa"/>
            <w:vAlign w:val="center"/>
            <w:textDirection w:val="lrTb"/>
            <w:noWrap w:val="false"/>
          </w:tcPr>
          <w:p>
            <w:pPr>
              <w:pStyle w:val="1100"/>
              <w:ind w:firstLine="420"/>
              <w:spacing w:line="360" w:lineRule="auto"/>
              <w:rPr>
                <w:rFonts w:ascii="宋体" w:hAnsi="宋体"/>
              </w:rPr>
            </w:pPr>
            <w:r>
              <w:rPr>
                <w:rFonts w:hint="eastAsia" w:ascii="宋体" w:hAnsi="宋体"/>
              </w:rPr>
              <w:t xml:space="preserve">1.乙方所交付的货物品种、型号、规格不符合合同规定的，甲方有权拒收</w:t>
            </w:r>
            <w:r>
              <w:rPr>
                <w:rFonts w:ascii="宋体" w:hAnsi="宋体"/>
              </w:rPr>
              <w:t xml:space="preserve">，</w:t>
            </w:r>
            <w:r>
              <w:rPr>
                <w:rFonts w:hint="eastAsia" w:ascii="宋体" w:hAnsi="宋体"/>
              </w:rPr>
              <w:t xml:space="preserve">同时</w:t>
            </w:r>
            <w:r>
              <w:rPr>
                <w:rFonts w:ascii="宋体" w:hAnsi="宋体"/>
              </w:rPr>
              <w:t xml:space="preserve">有权解除合同，</w:t>
            </w:r>
            <w:r>
              <w:rPr>
                <w:rFonts w:hint="eastAsia" w:ascii="宋体" w:hAnsi="宋体"/>
              </w:rPr>
              <w:t xml:space="preserve">全部</w:t>
            </w:r>
            <w:r>
              <w:rPr>
                <w:rFonts w:ascii="宋体" w:hAnsi="宋体"/>
              </w:rPr>
              <w:t xml:space="preserve">履约保证金</w:t>
            </w:r>
            <w:r>
              <w:rPr>
                <w:rFonts w:hint="eastAsia" w:ascii="宋体" w:hAnsi="宋体"/>
              </w:rPr>
              <w:t xml:space="preserve">不予</w:t>
            </w:r>
            <w:r>
              <w:rPr>
                <w:rFonts w:ascii="宋体" w:hAnsi="宋体"/>
              </w:rPr>
              <w:t xml:space="preserve">退还，</w:t>
            </w:r>
            <w:r>
              <w:rPr>
                <w:rFonts w:hint="eastAsia" w:ascii="宋体" w:hAnsi="宋体"/>
              </w:rPr>
              <w:t xml:space="preserve">解除合同的通知自</w:t>
            </w:r>
            <w:r>
              <w:rPr>
                <w:rFonts w:ascii="宋体" w:hAnsi="宋体"/>
              </w:rPr>
              <w:t xml:space="preserve">发出之日</w:t>
            </w:r>
            <w:r>
              <w:rPr>
                <w:rFonts w:hint="eastAsia" w:ascii="宋体" w:hAnsi="宋体"/>
              </w:rPr>
              <w:t xml:space="preserve">生效</w:t>
            </w:r>
            <w:r>
              <w:rPr>
                <w:rFonts w:ascii="宋体" w:hAnsi="宋体"/>
              </w:rPr>
              <w:t xml:space="preserve">。</w:t>
            </w:r>
            <w:r/>
          </w:p>
          <w:p>
            <w:pPr>
              <w:pStyle w:val="1100"/>
              <w:ind w:firstLine="420"/>
              <w:spacing w:line="360" w:lineRule="auto"/>
              <w:rPr>
                <w:rFonts w:ascii="宋体" w:hAnsi="宋体"/>
              </w:rPr>
            </w:pPr>
            <w:r>
              <w:rPr>
                <w:rFonts w:hint="eastAsia" w:ascii="宋体" w:hAnsi="宋体"/>
              </w:rPr>
              <w:t xml:space="preserve">2.在乙方承诺的或国家规定的质量保证期内（取两者中最长的期限），如经乙方两次维修或更换，货物仍不能达到合同约定的质量标准、运行效果的，甲方有权</w:t>
            </w:r>
            <w:r>
              <w:rPr>
                <w:rFonts w:ascii="宋体" w:hAnsi="宋体"/>
              </w:rPr>
              <w:t xml:space="preserve">要求</w:t>
            </w:r>
            <w:r>
              <w:rPr>
                <w:rFonts w:hint="eastAsia" w:ascii="宋体" w:hAnsi="宋体"/>
              </w:rPr>
              <w:t xml:space="preserve">退货，乙方应退回全部货款，</w:t>
            </w:r>
            <w:r>
              <w:rPr>
                <w:rFonts w:ascii="宋体" w:hAnsi="宋体"/>
              </w:rPr>
              <w:t xml:space="preserve">同时甲方有权按照本条第1</w:t>
            </w:r>
            <w:r>
              <w:rPr>
                <w:rFonts w:hint="eastAsia" w:ascii="宋体" w:hAnsi="宋体"/>
              </w:rPr>
              <w:t xml:space="preserve">点不予</w:t>
            </w:r>
            <w:r>
              <w:rPr>
                <w:rFonts w:ascii="宋体" w:hAnsi="宋体"/>
              </w:rPr>
              <w:t xml:space="preserve">退还履约保证金和</w:t>
            </w:r>
            <w:r>
              <w:rPr>
                <w:rFonts w:hint="eastAsia" w:ascii="宋体" w:hAnsi="宋体"/>
              </w:rPr>
              <w:t xml:space="preserve">向</w:t>
            </w:r>
            <w:r>
              <w:rPr>
                <w:rFonts w:ascii="宋体" w:hAnsi="宋体"/>
              </w:rPr>
              <w:t xml:space="preserve">乙方主张违约金</w:t>
            </w:r>
            <w:r>
              <w:rPr>
                <w:rFonts w:hint="eastAsia" w:ascii="宋体" w:hAnsi="宋体"/>
              </w:rPr>
              <w:t xml:space="preserve">，</w:t>
            </w:r>
            <w:r>
              <w:rPr>
                <w:rFonts w:ascii="宋体" w:hAnsi="宋体"/>
              </w:rPr>
              <w:t xml:space="preserve">若仍不足以弥补甲方损失，</w:t>
            </w:r>
            <w:r>
              <w:rPr>
                <w:rFonts w:hint="eastAsia" w:ascii="宋体" w:hAnsi="宋体"/>
              </w:rPr>
              <w:t xml:space="preserve">则乙方还须赔偿甲方因此遭受的</w:t>
            </w:r>
            <w:r>
              <w:rPr>
                <w:rFonts w:ascii="宋体" w:hAnsi="宋体"/>
              </w:rPr>
              <w:t xml:space="preserve">所有</w:t>
            </w:r>
            <w:r>
              <w:rPr>
                <w:rFonts w:hint="eastAsia" w:ascii="宋体" w:hAnsi="宋体"/>
              </w:rPr>
              <w:t xml:space="preserve">损失。</w:t>
            </w:r>
            <w:r>
              <w:rPr>
                <w:rFonts w:ascii="宋体" w:hAnsi="宋体"/>
              </w:rPr>
            </w:r>
            <w:r/>
          </w:p>
          <w:p>
            <w:pPr>
              <w:pStyle w:val="1100"/>
              <w:ind w:firstLine="420"/>
              <w:spacing w:line="360" w:lineRule="auto"/>
              <w:rPr>
                <w:rFonts w:ascii="宋体" w:hAnsi="宋体"/>
              </w:rPr>
            </w:pPr>
            <w:r>
              <w:rPr>
                <w:rFonts w:hint="eastAsia" w:ascii="宋体" w:hAnsi="宋体"/>
              </w:rPr>
              <w:t xml:space="preserve">3.乙方未按本合同规定向甲方交付履约保证金的，</w:t>
            </w:r>
            <w:r>
              <w:rPr>
                <w:rFonts w:ascii="宋体" w:hAnsi="宋体"/>
              </w:rPr>
              <w:t xml:space="preserve">甲方有权拒绝签订本合同，</w:t>
            </w:r>
            <w:r>
              <w:rPr>
                <w:rFonts w:hint="eastAsia" w:ascii="宋体" w:hAnsi="宋体"/>
              </w:rPr>
              <w:t xml:space="preserve">同时</w:t>
            </w:r>
            <w:r>
              <w:rPr>
                <w:rFonts w:ascii="宋体" w:hAnsi="宋体"/>
              </w:rPr>
              <w:t xml:space="preserve">乙方</w:t>
            </w:r>
            <w:r>
              <w:rPr>
                <w:rFonts w:hint="eastAsia" w:ascii="宋体" w:hAnsi="宋体"/>
              </w:rPr>
              <w:t xml:space="preserve">应按应交付履约保证金的</w:t>
            </w:r>
            <w:r>
              <w:rPr>
                <w:rFonts w:ascii="宋体" w:hAnsi="宋体"/>
              </w:rPr>
              <w:t xml:space="preserve">100%</w:t>
            </w:r>
            <w:r>
              <w:rPr>
                <w:rFonts w:hint="eastAsia" w:ascii="宋体" w:hAnsi="宋体"/>
              </w:rPr>
              <w:t xml:space="preserve">向甲方支付违约金。</w:t>
            </w:r>
            <w:r>
              <w:rPr>
                <w:rFonts w:ascii="宋体" w:hAnsi="宋体"/>
              </w:rPr>
            </w:r>
            <w:r/>
          </w:p>
          <w:p>
            <w:pPr>
              <w:pStyle w:val="1100"/>
              <w:ind w:firstLine="420"/>
              <w:spacing w:line="360" w:lineRule="auto"/>
              <w:rPr>
                <w:rFonts w:ascii="宋体" w:hAnsi="宋体"/>
              </w:rPr>
            </w:pPr>
            <w:r>
              <w:rPr>
                <w:rFonts w:hint="eastAsia" w:ascii="宋体" w:hAnsi="宋体"/>
              </w:rPr>
              <w:t xml:space="preserve">4.乙方未按本合同的规定和“服务承诺”提供伴随服务</w:t>
            </w:r>
            <w:r>
              <w:rPr>
                <w:rFonts w:ascii="宋体" w:hAnsi="宋体"/>
              </w:rPr>
              <w:t xml:space="preserve">/</w:t>
            </w:r>
            <w:r>
              <w:rPr>
                <w:rFonts w:hint="eastAsia" w:ascii="宋体" w:hAnsi="宋体"/>
              </w:rPr>
              <w:t xml:space="preserve">售后服务的，</w:t>
            </w:r>
            <w:r>
              <w:rPr>
                <w:rFonts w:ascii="宋体" w:hAnsi="宋体"/>
              </w:rPr>
              <w:t xml:space="preserve">甲方有权提前解除本合同，</w:t>
            </w:r>
            <w:r>
              <w:rPr>
                <w:rFonts w:hint="eastAsia" w:ascii="宋体" w:hAnsi="宋体"/>
              </w:rPr>
              <w:t xml:space="preserve">同时</w:t>
            </w:r>
            <w:r>
              <w:rPr>
                <w:rFonts w:ascii="宋体" w:hAnsi="宋体"/>
              </w:rPr>
              <w:t xml:space="preserve">乙方</w:t>
            </w:r>
            <w:r>
              <w:rPr>
                <w:rFonts w:hint="eastAsia" w:ascii="宋体" w:hAnsi="宋体"/>
              </w:rPr>
              <w:t xml:space="preserve">应按合同总价款的</w:t>
            </w:r>
            <w:r>
              <w:rPr>
                <w:rFonts w:ascii="宋体" w:hAnsi="宋体"/>
              </w:rPr>
              <w:t xml:space="preserve">5 %</w:t>
            </w:r>
            <w:r>
              <w:rPr>
                <w:rFonts w:hint="eastAsia" w:ascii="宋体" w:hAnsi="宋体"/>
              </w:rPr>
              <w:t xml:space="preserve">向甲方承担违约责任。</w:t>
            </w:r>
            <w:r>
              <w:rPr>
                <w:rFonts w:ascii="宋体" w:hAnsi="宋体"/>
              </w:rPr>
            </w:r>
            <w:r/>
          </w:p>
          <w:p>
            <w:pPr>
              <w:pStyle w:val="1100"/>
              <w:ind w:firstLine="420"/>
              <w:spacing w:line="360" w:lineRule="auto"/>
              <w:rPr>
                <w:rFonts w:ascii="宋体" w:hAnsi="宋体"/>
              </w:rPr>
            </w:pPr>
            <w:r>
              <w:rPr>
                <w:rFonts w:hint="eastAsia" w:ascii="宋体" w:hAnsi="宋体"/>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rPr>
            </w:r>
            <w:r/>
          </w:p>
          <w:p>
            <w:pPr>
              <w:pStyle w:val="1100"/>
              <w:ind w:firstLine="420"/>
              <w:spacing w:line="360" w:lineRule="auto"/>
              <w:rPr>
                <w:rFonts w:ascii="宋体" w:hAnsi="宋体"/>
              </w:rPr>
            </w:pPr>
            <w:r>
              <w:rPr>
                <w:rFonts w:hint="eastAsia" w:ascii="宋体" w:hAnsi="宋体"/>
              </w:rPr>
              <w:t xml:space="preserve">6.乙方投标属虚假承诺，或经权威部门监测提供的货物不能满足招标文件要求，或是由于乙方的过错造成合同无法继续履行的，</w:t>
            </w:r>
            <w:r>
              <w:rPr>
                <w:rFonts w:ascii="宋体" w:hAnsi="宋体"/>
              </w:rPr>
              <w:t xml:space="preserve">除</w:t>
            </w:r>
            <w:r>
              <w:rPr>
                <w:rFonts w:hint="eastAsia" w:ascii="宋体" w:hAnsi="宋体"/>
              </w:rPr>
              <w:t xml:space="preserve">乙方</w:t>
            </w:r>
            <w:r>
              <w:rPr>
                <w:rFonts w:ascii="宋体" w:hAnsi="宋体"/>
              </w:rPr>
              <w:t xml:space="preserve">已</w:t>
            </w:r>
            <w:r>
              <w:rPr>
                <w:rFonts w:hint="eastAsia" w:ascii="宋体" w:hAnsi="宋体"/>
              </w:rPr>
              <w:t xml:space="preserve">交履约保证金不予退还外，还应向甲方支付不少于合同总价</w:t>
            </w:r>
            <w:r>
              <w:rPr>
                <w:rFonts w:ascii="宋体" w:hAnsi="宋体"/>
              </w:rPr>
              <w:t xml:space="preserve">30%违约</w:t>
            </w:r>
            <w:r>
              <w:rPr>
                <w:rFonts w:hint="eastAsia" w:ascii="宋体" w:hAnsi="宋体"/>
              </w:rPr>
              <w:t xml:space="preserve">金</w:t>
            </w:r>
            <w:r>
              <w:rPr>
                <w:rFonts w:ascii="宋体" w:hAnsi="宋体"/>
              </w:rPr>
              <w:t xml:space="preserve">，</w:t>
            </w:r>
            <w:r>
              <w:rPr>
                <w:rFonts w:hint="eastAsia" w:ascii="宋体" w:hAnsi="宋体"/>
              </w:rPr>
              <w:t xml:space="preserve">若</w:t>
            </w:r>
            <w:r>
              <w:rPr>
                <w:rFonts w:ascii="宋体" w:hAnsi="宋体"/>
              </w:rPr>
              <w:t xml:space="preserve">该违约金</w:t>
            </w:r>
            <w:r>
              <w:rPr>
                <w:rFonts w:hint="eastAsia" w:ascii="宋体" w:hAnsi="宋体"/>
              </w:rPr>
              <w:t xml:space="preserve">不足以</w:t>
            </w:r>
            <w:r>
              <w:rPr>
                <w:rFonts w:ascii="宋体" w:hAnsi="宋体"/>
              </w:rPr>
              <w:t xml:space="preserve">弥补甲方损失，</w:t>
            </w:r>
            <w:r>
              <w:rPr>
                <w:rFonts w:hint="eastAsia" w:ascii="宋体" w:hAnsi="宋体"/>
              </w:rPr>
              <w:t xml:space="preserve">则应当</w:t>
            </w:r>
            <w:r>
              <w:rPr>
                <w:rFonts w:ascii="宋体" w:hAnsi="宋体"/>
              </w:rPr>
              <w:t xml:space="preserve">赔偿甲方所有损失</w:t>
            </w:r>
            <w:r>
              <w:rPr>
                <w:rFonts w:hint="eastAsia" w:ascii="宋体" w:hAnsi="宋体"/>
              </w:rPr>
              <w:t xml:space="preserve">。</w:t>
            </w:r>
            <w:r>
              <w:rPr>
                <w:rFonts w:ascii="宋体" w:hAnsi="宋体"/>
              </w:rPr>
            </w:r>
            <w:r/>
          </w:p>
          <w:p>
            <w:pPr>
              <w:pStyle w:val="1100"/>
              <w:ind w:firstLine="420"/>
              <w:spacing w:line="360" w:lineRule="auto"/>
              <w:rPr>
                <w:rFonts w:ascii="宋体" w:hAnsi="宋体"/>
                <w:szCs w:val="21"/>
                <w:u w:val="single"/>
              </w:rPr>
            </w:pPr>
            <w:r>
              <w:rPr>
                <w:rFonts w:hint="eastAsia" w:ascii="宋体" w:hAnsi="宋体"/>
              </w:rPr>
              <w:t xml:space="preserve">7.其他未尽事宜，以《民法典》等有关法律法规规定为准，无相关规定的，双方协商解决。</w:t>
            </w:r>
            <w:r>
              <w:rPr>
                <w:rFonts w:ascii="宋体" w:hAnsi="宋体"/>
                <w:szCs w:val="21"/>
                <w:u w:val="single"/>
              </w:rPr>
            </w:r>
            <w:r/>
          </w:p>
        </w:tc>
      </w:tr>
      <w:tr>
        <w:trPr>
          <w:trHeight w:val="90"/>
        </w:trPr>
        <w:tc>
          <w:tcPr>
            <w:tcBorders>
              <w:top w:val="single" w:color="000000" w:sz="2" w:space="0"/>
              <w:left w:val="single" w:color="000000" w:sz="4" w:space="0"/>
              <w:bottom w:val="single" w:color="000000" w:sz="6" w:space="0"/>
              <w:right w:val="single" w:color="000000" w:sz="2"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bottom w:val="single" w:color="000000" w:sz="6" w:space="0"/>
              <w:right w:val="single" w:color="000000" w:sz="2"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bottom w:val="single" w:color="000000" w:sz="6" w:space="0"/>
              <w:right w:val="single" w:color="000000" w:sz="4" w:space="0"/>
            </w:tcBorders>
            <w:tcW w:w="5170" w:type="dxa"/>
            <w:vAlign w:val="center"/>
            <w:textDirection w:val="lrTb"/>
            <w:noWrap w:val="false"/>
          </w:tcPr>
          <w:p>
            <w:pPr>
              <w:pStyle w:val="1100"/>
              <w:ind w:firstLine="420"/>
              <w:jc w:val="left"/>
              <w:spacing w:line="360" w:lineRule="auto"/>
              <w:rPr>
                <w:rFonts w:ascii="宋体" w:hAnsi="宋体" w:cs="宋体"/>
                <w:iCs/>
                <w:szCs w:val="21"/>
              </w:rPr>
            </w:pPr>
            <w:r>
              <w:rPr>
                <w:rFonts w:hint="eastAsia" w:ascii="宋体" w:hAnsi="宋体" w:cs="宋体"/>
                <w:iCs/>
                <w:szCs w:val="21"/>
              </w:rPr>
              <w:t xml:space="preserve">因本合同及合同有关事项发生的争议，如未约定，默认按下列第1种方式解决：</w:t>
            </w:r>
            <w:r>
              <w:rPr>
                <w:rFonts w:ascii="宋体" w:hAnsi="宋体" w:cs="宋体"/>
                <w:iCs/>
                <w:szCs w:val="21"/>
              </w:rPr>
            </w:r>
            <w:r/>
          </w:p>
          <w:p>
            <w:pPr>
              <w:pStyle w:val="1100"/>
              <w:ind w:firstLine="420"/>
              <w:jc w:val="left"/>
              <w:spacing w:line="360" w:lineRule="auto"/>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常州仲裁委员会</w:t>
            </w:r>
            <w:r>
              <w:rPr>
                <w:rFonts w:hint="eastAsia" w:ascii="宋体" w:hAnsi="宋体" w:cs="宋体"/>
                <w:iCs/>
                <w:szCs w:val="21"/>
              </w:rPr>
              <w:t xml:space="preserve">申请仲裁；</w:t>
            </w:r>
            <w:r/>
          </w:p>
          <w:p>
            <w:pPr>
              <w:pStyle w:val="1100"/>
              <w:ind w:firstLine="420"/>
              <w:jc w:val="left"/>
              <w:spacing w:line="360" w:lineRule="auto"/>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甲方所在地有管辖权的</w:t>
            </w:r>
            <w:r>
              <w:rPr>
                <w:rFonts w:hint="eastAsia" w:ascii="宋体" w:hAnsi="宋体" w:cs="宋体"/>
                <w:iCs/>
                <w:szCs w:val="21"/>
              </w:rPr>
              <w:t xml:space="preserve">人民法院起诉。</w:t>
            </w:r>
            <w:r>
              <w:rPr>
                <w:rFonts w:ascii="宋体" w:hAnsi="宋体"/>
                <w:szCs w:val="21"/>
                <w:u w:val="single"/>
              </w:rPr>
            </w:r>
            <w:r/>
          </w:p>
        </w:tc>
      </w:tr>
      <w:tr>
        <w:trPr>
          <w:trHeight w:val="770"/>
        </w:trPr>
        <w:tc>
          <w:tcPr>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第23.1款</w:t>
            </w:r>
            <w:r>
              <w:rPr>
                <w:rFonts w:ascii="宋体" w:hAnsi="宋体"/>
                <w:szCs w:val="21"/>
              </w:rPr>
            </w:r>
            <w:r/>
          </w:p>
        </w:tc>
        <w:tc>
          <w:tcPr>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Borders>
              <w:top w:val="single" w:color="000000" w:sz="6" w:space="0"/>
              <w:left w:val="single" w:color="000000" w:sz="6" w:space="0"/>
              <w:bottom w:val="single" w:color="000000" w:sz="4" w:space="0"/>
              <w:right w:val="single" w:color="000000" w:sz="4" w:space="0"/>
            </w:tcBorders>
            <w:tcW w:w="5170" w:type="dxa"/>
            <w:vAlign w:val="center"/>
            <w:textDirection w:val="lrTb"/>
            <w:noWrap w:val="false"/>
          </w:tcPr>
          <w:p>
            <w:pPr>
              <w:pStyle w:val="1100"/>
              <w:jc w:val="left"/>
              <w:rPr>
                <w:rFonts w:ascii="宋体" w:hAnsi="宋体"/>
                <w:szCs w:val="21"/>
              </w:rPr>
            </w:pPr>
            <w:r>
              <w:rPr>
                <w:rFonts w:ascii="宋体" w:hAnsi="宋体"/>
                <w:szCs w:val="21"/>
              </w:rPr>
            </w:r>
            <w:r/>
          </w:p>
        </w:tc>
      </w:tr>
    </w:tbl>
    <w:p>
      <w:pPr>
        <w:pStyle w:val="1100"/>
        <w:jc w:val="center"/>
        <w:spacing w:line="360" w:lineRule="auto"/>
        <w:rPr>
          <w:rFonts w:ascii="宋体" w:hAnsi="宋体"/>
          <w:b/>
          <w:sz w:val="36"/>
          <w:szCs w:val="36"/>
        </w:rPr>
        <w:outlineLvl w:val="0"/>
      </w:pPr>
      <w:r>
        <w:rPr>
          <w:rFonts w:ascii="宋体" w:hAnsi="宋体"/>
          <w:b/>
          <w:sz w:val="36"/>
          <w:szCs w:val="36"/>
        </w:rPr>
        <w:br w:type="page" w:clear="all"/>
      </w:r>
      <w:bookmarkStart w:id="821" w:name="_Toc99301426"/>
      <w:r>
        <w:rPr>
          <w:rFonts w:ascii="宋体" w:hAnsi="宋体"/>
          <w:b/>
          <w:sz w:val="36"/>
          <w:szCs w:val="36"/>
        </w:rPr>
        <w:t xml:space="preserve">第七章   投标文件格式</w:t>
      </w:r>
      <w:bookmarkEnd w:id="821"/>
      <w:r>
        <w:rPr>
          <w:rFonts w:ascii="宋体" w:hAnsi="宋体"/>
          <w:b/>
          <w:sz w:val="36"/>
          <w:szCs w:val="36"/>
        </w:rPr>
      </w:r>
      <w:r/>
    </w:p>
    <w:p>
      <w:pPr>
        <w:pStyle w:val="110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10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100"/>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10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10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100"/>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100"/>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100"/>
        <w:jc w:val="left"/>
        <w:widowControl/>
        <w:rPr>
          <w:rFonts w:ascii="宋体" w:hAnsi="宋体"/>
          <w:sz w:val="24"/>
        </w:rPr>
      </w:pPr>
      <w:r>
        <w:rPr>
          <w:rFonts w:ascii="宋体" w:hAnsi="宋体"/>
          <w:sz w:val="24"/>
        </w:rPr>
        <w:br w:type="page" w:clear="all"/>
      </w:r>
      <w:r/>
    </w:p>
    <w:p>
      <w:pPr>
        <w:pStyle w:val="1100"/>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100"/>
        <w:rPr>
          <w:rFonts w:ascii="宋体" w:hAnsi="宋体"/>
          <w:b/>
          <w:spacing w:val="20"/>
          <w:szCs w:val="21"/>
        </w:rPr>
      </w:pPr>
      <w:r>
        <w:rPr>
          <w:rFonts w:ascii="宋体" w:hAnsi="宋体"/>
          <w:b/>
          <w:spacing w:val="20"/>
          <w:szCs w:val="21"/>
        </w:rPr>
      </w:r>
      <w:r/>
    </w:p>
    <w:p>
      <w:pPr>
        <w:pStyle w:val="1100"/>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100"/>
        <w:jc w:val="center"/>
        <w:rPr>
          <w:rFonts w:ascii="宋体" w:hAnsi="宋体"/>
          <w:szCs w:val="21"/>
        </w:rPr>
      </w:pPr>
      <w:r>
        <w:rPr>
          <w:rFonts w:ascii="宋体" w:hAnsi="宋体"/>
          <w:szCs w:val="21"/>
        </w:rPr>
      </w:r>
      <w:r/>
    </w:p>
    <w:p>
      <w:pPr>
        <w:pStyle w:val="1100"/>
        <w:jc w:val="center"/>
        <w:rPr>
          <w:rFonts w:ascii="宋体" w:hAnsi="宋体"/>
          <w:b/>
          <w:spacing w:val="60"/>
          <w:sz w:val="84"/>
          <w:szCs w:val="84"/>
        </w:rPr>
      </w:pPr>
      <w:r>
        <w:rPr>
          <w:rFonts w:ascii="宋体" w:hAnsi="宋体"/>
          <w:b/>
          <w:spacing w:val="60"/>
          <w:sz w:val="84"/>
          <w:szCs w:val="84"/>
        </w:rPr>
        <w:t xml:space="preserve">投 标 文 件</w:t>
      </w:r>
      <w:r/>
    </w:p>
    <w:p>
      <w:pPr>
        <w:pStyle w:val="1100"/>
        <w:ind w:firstLine="963"/>
        <w:rPr>
          <w:rFonts w:hint="eastAsia" w:ascii="宋体" w:hAnsi="宋体"/>
          <w:b/>
          <w:spacing w:val="60"/>
          <w:sz w:val="52"/>
          <w:szCs w:val="52"/>
        </w:rPr>
      </w:pPr>
      <w:r>
        <w:rPr>
          <w:rFonts w:hint="eastAsia" w:ascii="宋体" w:hAnsi="宋体"/>
          <w:b/>
          <w:spacing w:val="60"/>
          <w:sz w:val="52"/>
          <w:szCs w:val="52"/>
        </w:rPr>
      </w:r>
      <w:r/>
    </w:p>
    <w:p>
      <w:pPr>
        <w:pStyle w:val="1100"/>
        <w:ind w:firstLine="963"/>
        <w:rPr>
          <w:rFonts w:hint="eastAsia" w:ascii="宋体" w:hAnsi="宋体"/>
          <w:b/>
          <w:spacing w:val="60"/>
          <w:sz w:val="52"/>
          <w:szCs w:val="52"/>
        </w:rPr>
      </w:pPr>
      <w:r>
        <w:rPr>
          <w:rFonts w:hint="eastAsia" w:ascii="宋体" w:hAnsi="宋体"/>
          <w:b/>
          <w:spacing w:val="60"/>
          <w:sz w:val="52"/>
          <w:szCs w:val="52"/>
        </w:rPr>
      </w:r>
      <w:r/>
    </w:p>
    <w:p>
      <w:pPr>
        <w:pStyle w:val="1100"/>
        <w:ind w:firstLine="542"/>
        <w:rPr>
          <w:rFonts w:ascii="宋体" w:hAnsi="宋体"/>
          <w:b/>
          <w:spacing w:val="20"/>
          <w:sz w:val="32"/>
          <w:szCs w:val="32"/>
        </w:rPr>
      </w:pPr>
      <w:r>
        <w:rPr>
          <w:rFonts w:ascii="宋体" w:hAnsi="宋体"/>
          <w:b/>
          <w:spacing w:val="20"/>
          <w:sz w:val="32"/>
          <w:szCs w:val="32"/>
        </w:rPr>
      </w:r>
      <w:r/>
    </w:p>
    <w:p>
      <w:pPr>
        <w:pStyle w:val="1100"/>
        <w:ind w:firstLine="542"/>
        <w:rPr>
          <w:rFonts w:ascii="宋体" w:hAnsi="宋体"/>
          <w:b/>
          <w:spacing w:val="20"/>
          <w:sz w:val="32"/>
          <w:szCs w:val="32"/>
        </w:rPr>
      </w:pPr>
      <w:r>
        <w:rPr>
          <w:rFonts w:ascii="宋体" w:hAnsi="宋体"/>
          <w:b/>
          <w:spacing w:val="20"/>
          <w:sz w:val="32"/>
          <w:szCs w:val="32"/>
        </w:rPr>
      </w:r>
      <w:r/>
    </w:p>
    <w:p>
      <w:pPr>
        <w:pStyle w:val="110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10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10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10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100"/>
        <w:jc w:val="center"/>
        <w:rPr>
          <w:rFonts w:ascii="宋体" w:hAnsi="宋体"/>
          <w:b/>
          <w:sz w:val="32"/>
          <w:szCs w:val="32"/>
        </w:rPr>
      </w:pPr>
      <w:r>
        <w:rPr>
          <w:rFonts w:ascii="宋体" w:hAnsi="宋体"/>
          <w:b/>
          <w:sz w:val="32"/>
          <w:szCs w:val="32"/>
        </w:rPr>
      </w:r>
      <w:r/>
    </w:p>
    <w:p>
      <w:pPr>
        <w:pStyle w:val="1100"/>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100"/>
        <w:rPr>
          <w:rFonts w:ascii="宋体" w:hAnsi="宋体"/>
          <w:b/>
        </w:rPr>
      </w:pPr>
      <w:r>
        <w:rPr>
          <w:rFonts w:ascii="宋体" w:hAnsi="宋体"/>
          <w:b/>
        </w:rPr>
      </w:r>
      <w:r/>
    </w:p>
    <w:p>
      <w:pPr>
        <w:pStyle w:val="1100"/>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103"/>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10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100"/>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115"/>
        <w:ind w:firstLine="480"/>
        <w:spacing w:line="460" w:lineRule="exact"/>
        <w:rPr>
          <w:rFonts w:hAnsi="宋体"/>
        </w:rPr>
      </w:pPr>
      <w:r>
        <w:rPr>
          <w:rFonts w:hAnsi="宋体"/>
        </w:rPr>
      </w:r>
      <w:r/>
    </w:p>
    <w:p>
      <w:pPr>
        <w:pStyle w:val="1115"/>
        <w:ind w:firstLine="480"/>
        <w:spacing w:line="460" w:lineRule="exact"/>
        <w:rPr>
          <w:rFonts w:hAnsi="宋体"/>
        </w:rPr>
      </w:pPr>
      <w:r>
        <w:rPr>
          <w:rFonts w:hint="eastAsia" w:hAnsi="宋体"/>
        </w:rPr>
        <w:t xml:space="preserve">致：常州市城投建设工程招标有限公司</w:t>
      </w:r>
      <w:r>
        <w:rPr>
          <w:rFonts w:hAnsi="宋体"/>
        </w:rPr>
      </w:r>
      <w:r/>
    </w:p>
    <w:p>
      <w:pPr>
        <w:pStyle w:val="1115"/>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115"/>
        <w:ind w:firstLine="480"/>
        <w:spacing w:line="460" w:lineRule="exact"/>
        <w:rPr>
          <w:rFonts w:hAnsi="宋体"/>
        </w:rPr>
      </w:pPr>
      <w:r>
        <w:rPr>
          <w:rFonts w:hAnsi="宋体"/>
        </w:rPr>
      </w:r>
      <w:r/>
    </w:p>
    <w:p>
      <w:pPr>
        <w:pStyle w:val="1115"/>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115"/>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115"/>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115"/>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115"/>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115"/>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115"/>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115"/>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115"/>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115"/>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115"/>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115"/>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115"/>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115"/>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115"/>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115"/>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115"/>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115"/>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115"/>
        <w:ind w:firstLine="480"/>
        <w:spacing w:line="460" w:lineRule="exact"/>
        <w:rPr>
          <w:rFonts w:hAnsi="宋体"/>
        </w:rPr>
      </w:pPr>
      <w:r>
        <w:rPr>
          <w:rFonts w:hAnsi="宋体"/>
        </w:rPr>
      </w:r>
      <w:r/>
    </w:p>
    <w:p>
      <w:pPr>
        <w:pStyle w:val="1115"/>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115"/>
        <w:ind w:firstLine="480"/>
        <w:spacing w:line="460" w:lineRule="exact"/>
        <w:rPr>
          <w:rFonts w:hAnsi="宋体"/>
        </w:rPr>
      </w:pPr>
      <w:r>
        <w:rPr>
          <w:rFonts w:hAnsi="宋体"/>
        </w:rPr>
      </w:r>
      <w:r/>
    </w:p>
    <w:p>
      <w:pPr>
        <w:pStyle w:val="1115"/>
        <w:ind w:firstLine="480"/>
        <w:spacing w:line="460" w:lineRule="exact"/>
        <w:rPr>
          <w:rFonts w:hAnsi="宋体"/>
        </w:rPr>
      </w:pPr>
      <w:r>
        <w:rPr>
          <w:rFonts w:hAnsi="宋体"/>
        </w:rPr>
      </w:r>
      <w:r/>
    </w:p>
    <w:p>
      <w:pPr>
        <w:pStyle w:val="1115"/>
        <w:ind w:firstLine="840"/>
        <w:spacing w:line="460" w:lineRule="exact"/>
        <w:rPr>
          <w:rFonts w:hAnsi="宋体"/>
        </w:rPr>
      </w:pPr>
      <w:r>
        <w:rPr>
          <w:rFonts w:hint="eastAsia" w:hAnsi="宋体"/>
        </w:rPr>
        <w:t xml:space="preserve">投标人：（加盖公章）</w:t>
      </w:r>
      <w:r>
        <w:rPr>
          <w:rFonts w:hAnsi="宋体"/>
        </w:rPr>
      </w:r>
      <w:r/>
    </w:p>
    <w:p>
      <w:pPr>
        <w:pStyle w:val="1115"/>
        <w:ind w:firstLine="840"/>
        <w:spacing w:line="460" w:lineRule="exact"/>
        <w:rPr>
          <w:rFonts w:hAnsi="宋体"/>
        </w:rPr>
      </w:pPr>
      <w:r>
        <w:rPr>
          <w:rFonts w:hint="eastAsia" w:hAnsi="宋体"/>
        </w:rPr>
        <w:t xml:space="preserve">法定代表人（或单位负责人）签字或盖章：</w:t>
      </w:r>
      <w:r>
        <w:rPr>
          <w:rFonts w:hAnsi="宋体"/>
        </w:rPr>
      </w:r>
      <w:r/>
    </w:p>
    <w:p>
      <w:pPr>
        <w:pStyle w:val="1115"/>
        <w:ind w:firstLine="840"/>
        <w:spacing w:line="460" w:lineRule="exact"/>
        <w:rPr>
          <w:rFonts w:hint="eastAsia" w:hAnsi="宋体"/>
        </w:rPr>
      </w:pPr>
      <w:r>
        <w:rPr>
          <w:rFonts w:hint="eastAsia" w:hAnsi="宋体"/>
        </w:rPr>
        <w:t xml:space="preserve">日期：    年    月    日</w:t>
      </w:r>
      <w:r/>
    </w:p>
    <w:p>
      <w:pPr>
        <w:pStyle w:val="1100"/>
        <w:spacing w:line="360" w:lineRule="auto"/>
        <w:rPr>
          <w:rFonts w:hint="eastAsia" w:ascii="宋体" w:hAnsi="宋体"/>
          <w:sz w:val="24"/>
        </w:rPr>
      </w:pPr>
      <w:r>
        <w:rPr>
          <w:rFonts w:hint="eastAsia" w:ascii="宋体" w:hAnsi="宋体"/>
          <w:sz w:val="24"/>
        </w:rPr>
      </w:r>
      <w:r/>
    </w:p>
    <w:p>
      <w:pPr>
        <w:pStyle w:val="1100"/>
        <w:spacing w:line="360" w:lineRule="auto"/>
        <w:rPr>
          <w:rFonts w:hint="eastAsia" w:ascii="宋体" w:hAnsi="宋体"/>
          <w:sz w:val="24"/>
        </w:rPr>
      </w:pPr>
      <w:r>
        <w:rPr>
          <w:rFonts w:hint="eastAsia" w:ascii="宋体" w:hAnsi="宋体"/>
          <w:sz w:val="24"/>
        </w:rPr>
      </w:r>
      <w:r/>
    </w:p>
    <w:p>
      <w:pPr>
        <w:pStyle w:val="1100"/>
        <w:spacing w:line="360" w:lineRule="auto"/>
        <w:rPr>
          <w:rFonts w:hint="eastAsia" w:ascii="宋体" w:hAnsi="宋体"/>
          <w:sz w:val="24"/>
        </w:rPr>
      </w:pPr>
      <w:r>
        <w:rPr>
          <w:rFonts w:hint="eastAsia" w:ascii="宋体" w:hAnsi="宋体"/>
          <w:sz w:val="24"/>
        </w:rPr>
      </w:r>
      <w:r/>
    </w:p>
    <w:p>
      <w:pPr>
        <w:pStyle w:val="1100"/>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100"/>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100"/>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100"/>
        <w:spacing w:line="360" w:lineRule="auto"/>
        <w:rPr>
          <w:rFonts w:ascii="宋体" w:hAnsi="宋体"/>
          <w:color w:val="000000"/>
          <w:sz w:val="24"/>
          <w:szCs w:val="20"/>
        </w:rPr>
        <w:outlineLvl w:val="2"/>
      </w:pPr>
      <w:r>
        <w:rPr>
          <w:rFonts w:ascii="宋体" w:hAnsi="宋体"/>
          <w:b/>
          <w:sz w:val="24"/>
          <w:szCs w:val="20"/>
        </w:rPr>
        <w:t xml:space="preserve">2-</w:t>
      </w:r>
      <w:r>
        <w:rPr>
          <w:rFonts w:ascii="宋体" w:hAnsi="宋体"/>
          <w:b/>
          <w:sz w:val="24"/>
          <w:szCs w:val="20"/>
        </w:rPr>
        <w:t xml:space="preserve">1</w:t>
      </w:r>
      <w:r>
        <w:rPr>
          <w:rFonts w:ascii="宋体" w:hAnsi="宋体"/>
          <w:sz w:val="30"/>
          <w:szCs w:val="30"/>
        </w:rPr>
        <w:t xml:space="preserve"> </w:t>
      </w:r>
      <w:r>
        <w:rPr>
          <w:rFonts w:ascii="宋体" w:hAnsi="宋体"/>
          <w:b/>
          <w:color w:val="000000"/>
          <w:sz w:val="24"/>
          <w:szCs w:val="20"/>
        </w:rPr>
        <w:t xml:space="preserve">中小企业声明函</w:t>
      </w:r>
      <w:r>
        <w:rPr>
          <w:rFonts w:ascii="宋体" w:hAnsi="宋体"/>
          <w:color w:val="000000"/>
          <w:sz w:val="24"/>
          <w:szCs w:val="20"/>
        </w:rPr>
      </w:r>
      <w:r/>
    </w:p>
    <w:p>
      <w:pPr>
        <w:pStyle w:val="1100"/>
        <w:spacing w:line="360" w:lineRule="auto"/>
        <w:tabs>
          <w:tab w:val="left" w:pos="5580" w:leader="none"/>
        </w:tabs>
        <w:rPr>
          <w:rFonts w:ascii="宋体" w:hAnsi="宋体"/>
          <w:sz w:val="24"/>
        </w:rPr>
      </w:pPr>
      <w:r>
        <w:rPr>
          <w:rFonts w:ascii="宋体" w:hAnsi="宋体"/>
          <w:sz w:val="24"/>
        </w:rPr>
      </w:r>
      <w:r/>
    </w:p>
    <w:p>
      <w:pPr>
        <w:pStyle w:val="1100"/>
        <w:spacing w:line="360" w:lineRule="auto"/>
        <w:tabs>
          <w:tab w:val="left" w:pos="5580" w:leader="none"/>
        </w:tabs>
        <w:rPr>
          <w:rFonts w:ascii="宋体" w:hAnsi="宋体"/>
          <w:sz w:val="24"/>
        </w:rPr>
      </w:pPr>
      <w:r>
        <w:rPr>
          <w:rFonts w:ascii="宋体" w:hAnsi="宋体"/>
          <w:sz w:val="24"/>
        </w:rPr>
        <w:t xml:space="preserve">说明：</w:t>
      </w:r>
      <w:r/>
    </w:p>
    <w:p>
      <w:pPr>
        <w:pStyle w:val="1100"/>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pStyle w:val="1100"/>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p>
    <w:p>
      <w:pPr>
        <w:pStyle w:val="1100"/>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1100"/>
        <w:spacing w:line="360" w:lineRule="auto"/>
        <w:tabs>
          <w:tab w:val="left" w:pos="5580" w:leader="none"/>
        </w:tabs>
        <w:rPr>
          <w:rFonts w:ascii="宋体" w:hAnsi="宋体"/>
          <w:sz w:val="24"/>
        </w:rPr>
      </w:pPr>
      <w:r>
        <w:rPr>
          <w:rFonts w:hint="eastAsia" w:ascii="宋体" w:hAnsi="宋体"/>
          <w:sz w:val="24"/>
        </w:rPr>
        <w:t xml:space="preserve">（4）其他</w:t>
      </w:r>
      <w:r>
        <w:rPr>
          <w:rFonts w:ascii="宋体" w:hAnsi="宋体"/>
          <w:sz w:val="24"/>
        </w:rPr>
      </w:r>
      <w:r/>
    </w:p>
    <w:p>
      <w:pPr>
        <w:pStyle w:val="1100"/>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rPr>
          <w:rFonts w:ascii="宋体" w:hAnsi="宋体"/>
          <w:sz w:val="24"/>
        </w:rPr>
      </w:r>
      <w:r/>
    </w:p>
    <w:p>
      <w:pPr>
        <w:pStyle w:val="110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100"/>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ascii="宋体" w:hAnsi="宋体"/>
          <w:sz w:val="24"/>
        </w:rPr>
      </w:r>
      <w:r/>
    </w:p>
    <w:p>
      <w:pPr>
        <w:pStyle w:val="1100"/>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pStyle w:val="1100"/>
        <w:spacing w:line="360" w:lineRule="auto"/>
        <w:tabs>
          <w:tab w:val="left" w:pos="5580" w:leader="none"/>
        </w:tabs>
        <w:rPr>
          <w:rFonts w:ascii="宋体" w:hAnsi="宋体"/>
          <w:sz w:val="24"/>
        </w:rPr>
      </w:pPr>
      <w:r>
        <w:rPr>
          <w:rFonts w:ascii="宋体" w:hAnsi="宋体"/>
          <w:sz w:val="24"/>
        </w:rPr>
      </w:r>
      <w:r/>
    </w:p>
    <w:p>
      <w:pPr>
        <w:pStyle w:val="1100"/>
        <w:jc w:val="left"/>
        <w:widowControl/>
        <w:rPr>
          <w:rFonts w:ascii="宋体" w:hAnsi="宋体"/>
          <w:sz w:val="24"/>
        </w:rPr>
      </w:pPr>
      <w:r>
        <w:rPr>
          <w:rFonts w:ascii="宋体" w:hAnsi="宋体"/>
          <w:sz w:val="24"/>
        </w:rPr>
        <w:br w:type="page" w:clear="all"/>
      </w:r>
      <w:r/>
    </w:p>
    <w:p>
      <w:pPr>
        <w:pStyle w:val="1100"/>
        <w:jc w:val="center"/>
        <w:spacing w:before="240" w:after="240" w:line="360" w:lineRule="auto"/>
        <w:rPr>
          <w:rFonts w:ascii="宋体" w:hAnsi="宋体"/>
          <w:b/>
          <w:color w:val="000000"/>
          <w:sz w:val="36"/>
          <w:szCs w:val="36"/>
        </w:rPr>
      </w:pPr>
      <w:r>
        <w:rPr>
          <w:rFonts w:hint="eastAsia" w:ascii="宋体" w:hAnsi="宋体"/>
          <w:b/>
          <w:bCs/>
          <w:color w:val="000000"/>
          <w:sz w:val="36"/>
          <w:szCs w:val="36"/>
        </w:rPr>
        <w:t xml:space="preserve">中小企业声明函（货物）格式</w:t>
      </w:r>
      <w:r>
        <w:rPr>
          <w:rFonts w:ascii="宋体" w:hAnsi="宋体"/>
          <w:b/>
          <w:color w:val="000000"/>
          <w:sz w:val="36"/>
          <w:szCs w:val="36"/>
        </w:rPr>
      </w:r>
      <w:r/>
    </w:p>
    <w:p>
      <w:pPr>
        <w:pStyle w:val="1100"/>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1100"/>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工业</w:t>
      </w:r>
      <w:r>
        <w:rPr>
          <w:rFonts w:ascii="宋体" w:hAnsi="宋体"/>
          <w:spacing w:val="6"/>
          <w:sz w:val="24"/>
        </w:rPr>
        <w:t xml:space="preserve">行业；制造商为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pStyle w:val="1100"/>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工业</w:t>
      </w:r>
      <w:r>
        <w:rPr>
          <w:rFonts w:ascii="宋体" w:hAnsi="宋体"/>
          <w:spacing w:val="6"/>
          <w:sz w:val="24"/>
        </w:rPr>
        <w:t xml:space="preserve">行业；制造商为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pStyle w:val="1100"/>
        <w:ind w:firstLine="504"/>
        <w:spacing w:line="360" w:lineRule="auto"/>
        <w:rPr>
          <w:rFonts w:ascii="宋体" w:hAnsi="宋体"/>
          <w:spacing w:val="6"/>
          <w:sz w:val="24"/>
        </w:rPr>
      </w:pPr>
      <w:r>
        <w:rPr>
          <w:rFonts w:ascii="宋体" w:hAnsi="宋体"/>
          <w:spacing w:val="6"/>
          <w:sz w:val="24"/>
        </w:rPr>
        <w:t xml:space="preserve">……</w:t>
      </w:r>
      <w:r/>
    </w:p>
    <w:p>
      <w:pPr>
        <w:pStyle w:val="1100"/>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pStyle w:val="1100"/>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pStyle w:val="1100"/>
        <w:ind w:firstLine="504"/>
        <w:spacing w:line="360" w:lineRule="auto"/>
        <w:rPr>
          <w:rFonts w:ascii="宋体" w:hAnsi="宋体"/>
          <w:spacing w:val="6"/>
          <w:sz w:val="24"/>
        </w:rPr>
      </w:pPr>
      <w:r>
        <w:rPr>
          <w:rFonts w:ascii="宋体" w:hAnsi="宋体"/>
          <w:spacing w:val="6"/>
          <w:sz w:val="24"/>
        </w:rPr>
      </w:r>
      <w:r/>
    </w:p>
    <w:p>
      <w:pPr>
        <w:pStyle w:val="1100"/>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p>
    <w:p>
      <w:pPr>
        <w:pStyle w:val="1100"/>
        <w:ind w:right="360" w:firstLine="480"/>
        <w:jc w:val="right"/>
        <w:spacing w:line="360" w:lineRule="auto"/>
        <w:rPr>
          <w:rFonts w:ascii="宋体" w:hAnsi="宋体"/>
          <w:color w:val="000000"/>
          <w:sz w:val="24"/>
        </w:rPr>
      </w:pPr>
      <w:r>
        <w:rPr>
          <w:rFonts w:ascii="宋体" w:hAnsi="宋体"/>
          <w:color w:val="000000"/>
          <w:sz w:val="24"/>
        </w:rPr>
        <w:t xml:space="preserve">日 期：________</w:t>
      </w:r>
      <w:r/>
    </w:p>
    <w:p>
      <w:pPr>
        <w:pStyle w:val="1100"/>
        <w:ind w:right="360" w:firstLine="480"/>
        <w:jc w:val="right"/>
        <w:spacing w:line="360" w:lineRule="auto"/>
        <w:rPr>
          <w:rFonts w:ascii="宋体" w:hAnsi="宋体"/>
          <w:color w:val="000000"/>
          <w:sz w:val="24"/>
        </w:rPr>
      </w:pPr>
      <w:r>
        <w:rPr>
          <w:rFonts w:ascii="宋体" w:hAnsi="宋体"/>
          <w:color w:val="000000"/>
          <w:sz w:val="24"/>
        </w:rPr>
      </w:r>
      <w:r/>
    </w:p>
    <w:p>
      <w:pPr>
        <w:pStyle w:val="1100"/>
        <w:ind w:right="360" w:firstLine="480"/>
        <w:jc w:val="right"/>
        <w:spacing w:line="360" w:lineRule="auto"/>
        <w:rPr>
          <w:rFonts w:ascii="宋体" w:hAnsi="宋体"/>
          <w:color w:val="000000"/>
          <w:sz w:val="24"/>
        </w:rPr>
      </w:pPr>
      <w:r>
        <w:rPr>
          <w:rFonts w:ascii="宋体" w:hAnsi="宋体"/>
          <w:color w:val="000000"/>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00"/>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p>
        </w:tc>
      </w:tr>
    </w:tbl>
    <w:p>
      <w:pPr>
        <w:pStyle w:val="1100"/>
        <w:ind w:firstLine="420"/>
        <w:jc w:val="left"/>
        <w:rPr>
          <w:rFonts w:ascii="宋体" w:hAnsi="宋体"/>
          <w:sz w:val="24"/>
        </w:rPr>
      </w:pPr>
      <w:r>
        <w:rPr>
          <w:rFonts w:ascii="宋体" w:hAnsi="宋体"/>
          <w:sz w:val="24"/>
        </w:rPr>
      </w:r>
      <w:r/>
    </w:p>
    <w:p>
      <w:pPr>
        <w:pStyle w:val="1100"/>
        <w:spacing w:line="360" w:lineRule="auto"/>
        <w:rPr>
          <w:rFonts w:ascii="宋体" w:hAnsi="宋体"/>
          <w:color w:val="000000"/>
          <w:sz w:val="24"/>
        </w:rPr>
      </w:pPr>
      <w:r>
        <w:rPr>
          <w:rFonts w:ascii="宋体" w:hAnsi="宋体"/>
          <w:color w:val="000000"/>
          <w:sz w:val="24"/>
        </w:rPr>
      </w:r>
      <w:r/>
    </w:p>
    <w:p>
      <w:pPr>
        <w:pStyle w:val="1100"/>
        <w:jc w:val="center"/>
        <w:spacing w:before="240" w:after="240" w:line="360" w:lineRule="auto"/>
        <w:rPr>
          <w:rFonts w:ascii="宋体" w:hAnsi="宋体"/>
          <w:color w:val="000000"/>
          <w:sz w:val="24"/>
          <w:szCs w:val="20"/>
        </w:rPr>
      </w:pPr>
      <w:r>
        <w:rPr>
          <w:rFonts w:ascii="宋体" w:hAnsi="宋体"/>
          <w:color w:val="000000"/>
          <w:sz w:val="24"/>
        </w:rPr>
        <w:br w:type="page" w:clear="all"/>
      </w:r>
      <w:r>
        <w:rPr>
          <w:rFonts w:ascii="宋体" w:hAnsi="宋体"/>
          <w:color w:val="000000"/>
          <w:sz w:val="24"/>
          <w:szCs w:val="20"/>
        </w:rPr>
      </w:r>
      <w:r/>
    </w:p>
    <w:p>
      <w:pPr>
        <w:pStyle w:val="1100"/>
        <w:jc w:val="center"/>
        <w:spacing w:before="240" w:after="240" w:line="360" w:lineRule="auto"/>
        <w:rPr>
          <w:rFonts w:ascii="宋体" w:hAnsi="宋体"/>
          <w:b/>
          <w:color w:val="000000"/>
          <w:sz w:val="36"/>
          <w:szCs w:val="36"/>
        </w:rPr>
      </w:pPr>
      <w:r>
        <w:rPr>
          <w:rFonts w:hint="eastAsia" w:ascii="宋体" w:hAnsi="宋体"/>
          <w:b/>
          <w:bCs/>
          <w:color w:val="000000"/>
          <w:sz w:val="36"/>
          <w:szCs w:val="36"/>
        </w:rPr>
        <w:t xml:space="preserve">残疾人福利性单位声明函格式</w:t>
      </w:r>
      <w:r>
        <w:rPr>
          <w:rFonts w:ascii="宋体" w:hAnsi="宋体"/>
          <w:b/>
          <w:color w:val="000000"/>
          <w:sz w:val="36"/>
          <w:szCs w:val="36"/>
        </w:rPr>
        <w:t xml:space="preserve">       </w:t>
      </w:r>
      <w:r/>
    </w:p>
    <w:p>
      <w:pPr>
        <w:pStyle w:val="110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10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10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10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100"/>
        <w:ind w:firstLine="504"/>
        <w:spacing w:line="588" w:lineRule="exact"/>
        <w:rPr>
          <w:rFonts w:ascii="宋体" w:hAnsi="宋体"/>
          <w:spacing w:val="6"/>
          <w:sz w:val="24"/>
        </w:rPr>
      </w:pPr>
      <w:r>
        <w:rPr>
          <w:rFonts w:ascii="宋体" w:hAnsi="宋体"/>
          <w:spacing w:val="6"/>
          <w:sz w:val="24"/>
        </w:rPr>
      </w:r>
      <w:r/>
    </w:p>
    <w:p>
      <w:pPr>
        <w:pStyle w:val="1100"/>
        <w:ind w:firstLine="504"/>
        <w:spacing w:line="588" w:lineRule="exact"/>
        <w:rPr>
          <w:rFonts w:ascii="宋体" w:hAnsi="宋体"/>
          <w:spacing w:val="6"/>
          <w:sz w:val="24"/>
        </w:rPr>
      </w:pPr>
      <w:r>
        <w:rPr>
          <w:rFonts w:ascii="宋体" w:hAnsi="宋体"/>
          <w:spacing w:val="6"/>
          <w:sz w:val="24"/>
        </w:rPr>
      </w:r>
      <w:r/>
    </w:p>
    <w:p>
      <w:pPr>
        <w:pStyle w:val="110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100"/>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日  期：</w:t>
      </w:r>
      <w:r>
        <w:rPr>
          <w:rFonts w:hint="eastAsia" w:ascii="宋体" w:hAnsi="宋体"/>
          <w:spacing w:val="6"/>
          <w:sz w:val="24"/>
        </w:rPr>
      </w:r>
      <w:r/>
    </w:p>
    <w:p>
      <w:pPr>
        <w:pStyle w:val="1100"/>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100"/>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100"/>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100"/>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pStyle w:val="1100"/>
        <w:spacing w:line="360" w:lineRule="auto"/>
        <w:rPr>
          <w:rFonts w:ascii="宋体" w:hAnsi="宋体"/>
          <w:sz w:val="30"/>
          <w:szCs w:val="30"/>
        </w:rPr>
        <w:outlineLvl w:val="2"/>
      </w:pPr>
      <w:r>
        <w:rPr>
          <w:rFonts w:ascii="宋体" w:hAnsi="宋体"/>
          <w:b/>
          <w:sz w:val="24"/>
        </w:rPr>
        <w:br w:type="page" w:clear="all"/>
      </w:r>
      <w:r>
        <w:rPr>
          <w:rFonts w:hint="eastAsia" w:ascii="宋体" w:hAnsi="宋体"/>
          <w:b/>
          <w:sz w:val="24"/>
        </w:rPr>
        <w:t xml:space="preserve">2</w:t>
      </w:r>
      <w:r>
        <w:rPr>
          <w:rFonts w:ascii="宋体" w:hAnsi="宋体"/>
          <w:b/>
          <w:sz w:val="24"/>
        </w:rPr>
        <w:t xml:space="preserve">-2 </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sz w:val="30"/>
          <w:szCs w:val="30"/>
        </w:rPr>
      </w:r>
      <w:r/>
    </w:p>
    <w:p>
      <w:pPr>
        <w:pStyle w:val="1100"/>
        <w:jc w:val="left"/>
        <w:widowControl/>
        <w:rPr>
          <w:rFonts w:ascii="宋体" w:hAnsi="宋体"/>
          <w:sz w:val="24"/>
        </w:rPr>
      </w:pPr>
      <w:r>
        <w:rPr>
          <w:rFonts w:ascii="宋体" w:hAnsi="宋体"/>
          <w:sz w:val="24"/>
        </w:rPr>
      </w:r>
      <w:r/>
    </w:p>
    <w:p>
      <w:pPr>
        <w:pStyle w:val="1100"/>
        <w:spacing w:line="360" w:lineRule="auto"/>
        <w:rPr>
          <w:rFonts w:ascii="宋体" w:hAnsi="宋体"/>
          <w:b/>
          <w:sz w:val="24"/>
        </w:rPr>
        <w:outlineLvl w:val="2"/>
      </w:pPr>
      <w:r>
        <w:rPr>
          <w:rFonts w:ascii="宋体" w:hAnsi="宋体"/>
          <w:sz w:val="24"/>
        </w:rPr>
        <w:br w:type="page" w:clear="all"/>
      </w:r>
      <w:r>
        <w:rPr>
          <w:rFonts w:ascii="宋体" w:hAnsi="宋体"/>
          <w:b/>
          <w:sz w:val="24"/>
          <w:szCs w:val="20"/>
        </w:rPr>
        <w:t xml:space="preserve">3 本项目的特定资格要求（如有）</w:t>
      </w:r>
      <w:r>
        <w:rPr>
          <w:rFonts w:ascii="宋体" w:hAnsi="宋体"/>
          <w:b/>
          <w:sz w:val="24"/>
        </w:rPr>
      </w:r>
      <w:r/>
    </w:p>
    <w:p>
      <w:pPr>
        <w:pStyle w:val="1100"/>
        <w:spacing w:line="360" w:lineRule="auto"/>
        <w:rPr>
          <w:rFonts w:hint="eastAsia" w:ascii="宋体" w:hAnsi="宋体"/>
          <w:b/>
          <w:sz w:val="24"/>
          <w:szCs w:val="20"/>
        </w:rPr>
        <w:outlineLvl w:val="2"/>
      </w:pPr>
      <w:r>
        <w:rPr>
          <w:rFonts w:ascii="宋体" w:hAnsi="宋体"/>
          <w:b/>
          <w:sz w:val="24"/>
          <w:szCs w:val="20"/>
        </w:rPr>
        <w:t xml:space="preserve">3-1</w:t>
      </w:r>
      <w:r>
        <w:rPr>
          <w:rFonts w:ascii="宋体" w:hAnsi="宋体"/>
          <w:b/>
          <w:sz w:val="24"/>
          <w:szCs w:val="20"/>
        </w:rPr>
        <w:t xml:space="preserve"> </w:t>
      </w:r>
      <w:r>
        <w:rPr>
          <w:rFonts w:ascii="宋体" w:hAnsi="宋体"/>
          <w:b/>
          <w:sz w:val="24"/>
          <w:szCs w:val="20"/>
        </w:rPr>
        <w:t xml:space="preserve">其他特定资格要求</w:t>
      </w:r>
      <w:r>
        <w:rPr>
          <w:rFonts w:hint="eastAsia" w:ascii="宋体" w:hAnsi="宋体"/>
          <w:b/>
          <w:sz w:val="24"/>
          <w:szCs w:val="20"/>
        </w:rPr>
      </w:r>
      <w:r/>
    </w:p>
    <w:p>
      <w:pPr>
        <w:pStyle w:val="1100"/>
        <w:ind w:left="719" w:hanging="240"/>
        <w:spacing w:line="360" w:lineRule="auto"/>
        <w:rPr>
          <w:rFonts w:hint="eastAsia" w:ascii="宋体" w:hAnsi="宋体"/>
          <w:sz w:val="24"/>
          <w:szCs w:val="20"/>
        </w:rPr>
      </w:pPr>
      <w:r>
        <w:rPr>
          <w:rFonts w:hint="eastAsia" w:ascii="宋体" w:hAnsi="宋体"/>
          <w:sz w:val="24"/>
          <w:szCs w:val="20"/>
        </w:rPr>
      </w:r>
      <w:r/>
    </w:p>
    <w:p>
      <w:pPr>
        <w:pStyle w:val="1100"/>
        <w:jc w:val="left"/>
        <w:widowControl/>
        <w:rPr>
          <w:rFonts w:hint="eastAsia" w:ascii="宋体" w:hAnsi="宋体"/>
          <w:sz w:val="24"/>
        </w:rPr>
      </w:pPr>
      <w:r>
        <w:rPr>
          <w:rFonts w:hint="eastAsia" w:ascii="宋体" w:hAnsi="宋体"/>
          <w:sz w:val="24"/>
        </w:rPr>
      </w:r>
      <w:r/>
    </w:p>
    <w:p>
      <w:pPr>
        <w:pStyle w:val="1100"/>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22" w:name="_Toc226965829"/>
      <w:r/>
      <w:bookmarkStart w:id="823" w:name="_Toc226965746"/>
      <w:r/>
      <w:bookmarkStart w:id="824" w:name="_Toc195842921"/>
      <w:r/>
      <w:bookmarkStart w:id="825" w:name="_Toc150774761"/>
      <w:r/>
      <w:bookmarkStart w:id="826" w:name="_Toc480942349"/>
      <w:r/>
      <w:bookmarkStart w:id="827" w:name="_Toc127151556"/>
      <w:r/>
      <w:bookmarkStart w:id="828" w:name="_Toc226337252"/>
      <w:r/>
      <w:bookmarkStart w:id="829" w:name="_Toc142311058"/>
      <w:r/>
      <w:bookmarkStart w:id="830" w:name="_Toc520356217"/>
      <w:r/>
      <w:bookmarkStart w:id="831" w:name="_Ref467988698"/>
      <w:r/>
      <w:bookmarkStart w:id="832" w:name="_Toc150480794"/>
      <w:r/>
      <w:bookmarkStart w:id="833" w:name="_Toc226309800"/>
      <w:r>
        <w:rPr>
          <w:rFonts w:hint="eastAsia" w:ascii="宋体" w:hAnsi="宋体"/>
          <w:b/>
          <w:sz w:val="32"/>
          <w:szCs w:val="32"/>
        </w:rPr>
      </w:r>
      <w:r/>
    </w:p>
    <w:p>
      <w:pPr>
        <w:pStyle w:val="1100"/>
        <w:jc w:val="center"/>
        <w:widowControl/>
        <w:rPr>
          <w:rFonts w:hint="eastAsia" w:ascii="宋体" w:hAnsi="宋体"/>
          <w:b/>
          <w:sz w:val="32"/>
          <w:szCs w:val="32"/>
        </w:rPr>
      </w:pPr>
      <w:r>
        <w:rPr>
          <w:rFonts w:hint="eastAsia" w:ascii="宋体" w:hAnsi="宋体"/>
          <w:b/>
          <w:sz w:val="32"/>
          <w:szCs w:val="32"/>
        </w:rPr>
      </w:r>
      <w:r/>
    </w:p>
    <w:p>
      <w:pPr>
        <w:pStyle w:val="1100"/>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ascii="宋体" w:hAnsi="宋体"/>
          <w:b/>
          <w:sz w:val="24"/>
        </w:rPr>
        <w:t xml:space="preserve">函</w:t>
      </w:r>
      <w:r>
        <w:rPr>
          <w:rFonts w:ascii="宋体" w:hAnsi="宋体"/>
          <w:b/>
          <w:sz w:val="24"/>
          <w:szCs w:val="20"/>
        </w:rPr>
        <w:t xml:space="preserve">（实质性格式）</w:t>
      </w:r>
      <w:r/>
    </w:p>
    <w:p>
      <w:pPr>
        <w:pStyle w:val="1100"/>
        <w:spacing w:line="360" w:lineRule="auto"/>
        <w:tabs>
          <w:tab w:val="left" w:pos="5580" w:leader="none"/>
        </w:tabs>
        <w:rPr>
          <w:rFonts w:ascii="宋体" w:hAnsi="宋体"/>
          <w:sz w:val="24"/>
        </w:rPr>
      </w:pPr>
      <w:r>
        <w:rPr>
          <w:rFonts w:ascii="宋体" w:hAnsi="宋体"/>
          <w:sz w:val="24"/>
        </w:rPr>
      </w:r>
      <w:r/>
    </w:p>
    <w:p>
      <w:pPr>
        <w:pStyle w:val="1100"/>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100"/>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100"/>
        <w:spacing w:line="360" w:lineRule="auto"/>
        <w:tabs>
          <w:tab w:val="left" w:pos="5580" w:leader="none"/>
        </w:tabs>
        <w:rPr>
          <w:rFonts w:ascii="宋体" w:hAnsi="宋体"/>
          <w:sz w:val="24"/>
          <w:szCs w:val="20"/>
        </w:rPr>
      </w:pPr>
      <w:r>
        <w:rPr>
          <w:rFonts w:ascii="宋体" w:hAnsi="宋体"/>
          <w:sz w:val="24"/>
          <w:szCs w:val="20"/>
        </w:rPr>
      </w:r>
      <w:r/>
    </w:p>
    <w:p>
      <w:pPr>
        <w:pStyle w:val="1100"/>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100"/>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10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10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100"/>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100"/>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100"/>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100"/>
        <w:ind w:firstLine="480"/>
        <w:spacing w:line="360" w:lineRule="auto"/>
        <w:rPr>
          <w:rFonts w:ascii="宋体" w:hAnsi="宋体"/>
          <w:sz w:val="24"/>
        </w:rPr>
      </w:pPr>
      <w:r>
        <w:rPr>
          <w:rFonts w:ascii="宋体" w:hAnsi="宋体"/>
          <w:sz w:val="24"/>
        </w:rPr>
        <w:t xml:space="preserve">与本投标有关的一切正式往来信函请寄：</w:t>
      </w:r>
      <w:r/>
    </w:p>
    <w:p>
      <w:pPr>
        <w:pStyle w:val="1100"/>
        <w:ind w:left="420"/>
        <w:spacing w:line="360" w:lineRule="auto"/>
        <w:tabs>
          <w:tab w:val="left" w:pos="5580" w:leader="none"/>
        </w:tabs>
        <w:rPr>
          <w:rFonts w:ascii="宋体" w:hAnsi="宋体"/>
          <w:sz w:val="24"/>
          <w:szCs w:val="20"/>
        </w:rPr>
      </w:pPr>
      <w:r>
        <w:rPr>
          <w:rFonts w:ascii="宋体" w:hAnsi="宋体"/>
          <w:sz w:val="24"/>
          <w:szCs w:val="20"/>
        </w:rPr>
      </w:r>
      <w:r/>
    </w:p>
    <w:p>
      <w:pPr>
        <w:pStyle w:val="1100"/>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100"/>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100"/>
        <w:ind w:left="420"/>
        <w:spacing w:line="360" w:lineRule="auto"/>
        <w:tabs>
          <w:tab w:val="left" w:pos="5580" w:leader="none"/>
        </w:tabs>
        <w:rPr>
          <w:rFonts w:ascii="宋体" w:hAnsi="宋体"/>
          <w:sz w:val="24"/>
          <w:szCs w:val="20"/>
        </w:rPr>
      </w:pPr>
      <w:r>
        <w:rPr>
          <w:rFonts w:ascii="宋体" w:hAnsi="宋体"/>
          <w:sz w:val="24"/>
          <w:szCs w:val="20"/>
        </w:rPr>
      </w:r>
      <w:r/>
    </w:p>
    <w:p>
      <w:pPr>
        <w:pStyle w:val="1100"/>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100"/>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100"/>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100"/>
        <w:jc w:val="left"/>
        <w:widowControl/>
        <w:rPr>
          <w:rFonts w:hint="eastAsia" w:ascii="宋体" w:hAnsi="宋体"/>
          <w:b/>
          <w:sz w:val="24"/>
        </w:rPr>
      </w:pPr>
      <w:r/>
      <w:bookmarkStart w:id="834" w:name="_Hlt520355938"/>
      <w:r/>
      <w:bookmarkEnd w:id="834"/>
      <w:r/>
      <w:bookmarkStart w:id="835" w:name="_Hlt520356243"/>
      <w:r/>
      <w:bookmarkEnd w:id="835"/>
      <w:r>
        <w:rPr>
          <w:rFonts w:ascii="宋体" w:hAnsi="宋体"/>
          <w:sz w:val="24"/>
        </w:rPr>
        <w:br w:type="page" w:clear="all"/>
      </w:r>
      <w:r>
        <w:rPr>
          <w:rFonts w:hint="eastAsia" w:ascii="宋体" w:hAnsi="宋体"/>
          <w:b/>
          <w:sz w:val="24"/>
        </w:rPr>
      </w:r>
      <w:r/>
    </w:p>
    <w:p>
      <w:pPr>
        <w:pStyle w:val="1100"/>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100"/>
        <w:jc w:val="center"/>
        <w:spacing w:line="360" w:lineRule="auto"/>
        <w:rPr>
          <w:rFonts w:hint="eastAsia" w:ascii="宋体" w:hAnsi="宋体"/>
          <w:b/>
          <w:sz w:val="32"/>
          <w:szCs w:val="32"/>
        </w:rPr>
      </w:pPr>
      <w:r>
        <w:rPr>
          <w:rFonts w:hint="eastAsia" w:ascii="宋体" w:hAnsi="宋体"/>
          <w:b/>
          <w:sz w:val="32"/>
          <w:szCs w:val="32"/>
        </w:rPr>
      </w:r>
      <w:r/>
    </w:p>
    <w:p>
      <w:pPr>
        <w:pStyle w:val="110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10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10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10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10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10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100"/>
        <w:spacing w:line="560" w:lineRule="exact"/>
        <w:rPr>
          <w:rFonts w:ascii="宋体" w:hAnsi="宋体"/>
          <w:sz w:val="24"/>
        </w:rPr>
      </w:pPr>
      <w:r>
        <w:rPr>
          <w:rFonts w:ascii="宋体" w:hAnsi="宋体"/>
          <w:sz w:val="24"/>
        </w:rPr>
      </w:r>
      <w:r/>
    </w:p>
    <w:p>
      <w:pPr>
        <w:pStyle w:val="113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00"/>
              <w:jc w:val="left"/>
              <w:spacing w:line="360" w:lineRule="auto"/>
              <w:tabs>
                <w:tab w:val="left" w:pos="5580" w:leader="none"/>
              </w:tabs>
              <w:rPr>
                <w:rFonts w:ascii="宋体" w:hAnsi="宋体"/>
                <w:sz w:val="24"/>
                <w:szCs w:val="20"/>
              </w:rPr>
            </w:pPr>
            <w:r>
              <w:rPr>
                <w:rFonts w:ascii="宋体" w:hAnsi="宋体"/>
                <w:sz w:val="24"/>
                <w:szCs w:val="20"/>
              </w:rPr>
            </w:r>
            <w:r/>
          </w:p>
          <w:p>
            <w:pPr>
              <w:pStyle w:val="1100"/>
              <w:jc w:val="left"/>
              <w:spacing w:line="360" w:lineRule="auto"/>
              <w:tabs>
                <w:tab w:val="left" w:pos="5580" w:leader="none"/>
              </w:tabs>
              <w:rPr>
                <w:rFonts w:ascii="宋体" w:hAnsi="宋体"/>
                <w:sz w:val="24"/>
                <w:szCs w:val="20"/>
              </w:rPr>
            </w:pPr>
            <w:r>
              <w:rPr>
                <w:rFonts w:ascii="宋体" w:hAnsi="宋体"/>
                <w:sz w:val="24"/>
                <w:szCs w:val="20"/>
              </w:rPr>
            </w:r>
            <w:r/>
          </w:p>
          <w:p>
            <w:pPr>
              <w:pStyle w:val="110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100"/>
              <w:jc w:val="left"/>
              <w:spacing w:line="360" w:lineRule="auto"/>
              <w:tabs>
                <w:tab w:val="left" w:pos="5580" w:leader="none"/>
              </w:tabs>
              <w:rPr>
                <w:rFonts w:ascii="宋体" w:hAnsi="宋体"/>
                <w:sz w:val="24"/>
                <w:szCs w:val="20"/>
              </w:rPr>
            </w:pPr>
            <w:r>
              <w:rPr>
                <w:rFonts w:ascii="宋体" w:hAnsi="宋体"/>
                <w:sz w:val="24"/>
                <w:szCs w:val="20"/>
              </w:rPr>
            </w:r>
            <w:r/>
          </w:p>
          <w:p>
            <w:pPr>
              <w:pStyle w:val="1100"/>
              <w:jc w:val="left"/>
              <w:spacing w:line="360" w:lineRule="auto"/>
              <w:tabs>
                <w:tab w:val="left" w:pos="5580" w:leader="none"/>
              </w:tabs>
              <w:rPr>
                <w:rFonts w:ascii="宋体" w:hAnsi="宋体"/>
                <w:sz w:val="24"/>
                <w:szCs w:val="20"/>
              </w:rPr>
            </w:pPr>
            <w:r>
              <w:rPr>
                <w:rFonts w:ascii="宋体" w:hAnsi="宋体"/>
                <w:sz w:val="24"/>
                <w:szCs w:val="20"/>
              </w:rPr>
            </w:r>
            <w:r/>
          </w:p>
          <w:p>
            <w:pPr>
              <w:pStyle w:val="110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100"/>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10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10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00"/>
        <w:jc w:val="left"/>
        <w:widowControl/>
        <w:rPr>
          <w:rFonts w:hint="eastAsia" w:ascii="宋体" w:hAnsi="宋体"/>
          <w:sz w:val="24"/>
        </w:rPr>
      </w:pPr>
      <w:r>
        <w:rPr>
          <w:rFonts w:hint="eastAsia" w:ascii="宋体" w:hAnsi="宋体"/>
          <w:sz w:val="24"/>
        </w:rPr>
      </w:r>
      <w:r/>
    </w:p>
    <w:p>
      <w:pPr>
        <w:pStyle w:val="1100"/>
        <w:jc w:val="left"/>
        <w:widowControl/>
        <w:rPr>
          <w:rFonts w:hint="eastAsia" w:ascii="宋体" w:hAnsi="宋体"/>
          <w:sz w:val="24"/>
        </w:rPr>
      </w:pPr>
      <w:r>
        <w:rPr>
          <w:rFonts w:hint="eastAsia" w:ascii="宋体" w:hAnsi="宋体"/>
          <w:sz w:val="24"/>
        </w:rPr>
      </w:r>
      <w:r/>
    </w:p>
    <w:p>
      <w:pPr>
        <w:pStyle w:val="1100"/>
        <w:jc w:val="left"/>
        <w:widowControl/>
        <w:rPr>
          <w:rFonts w:hint="eastAsia" w:ascii="宋体" w:hAnsi="宋体"/>
          <w:sz w:val="24"/>
        </w:rPr>
      </w:pPr>
      <w:r>
        <w:rPr>
          <w:rFonts w:hint="eastAsia" w:ascii="宋体" w:hAnsi="宋体"/>
          <w:sz w:val="24"/>
        </w:rPr>
      </w:r>
      <w:r/>
    </w:p>
    <w:p>
      <w:pPr>
        <w:pStyle w:val="110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10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100"/>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100"/>
        <w:jc w:val="left"/>
        <w:widowControl/>
        <w:rPr>
          <w:rFonts w:hint="eastAsia" w:ascii="宋体" w:hAnsi="宋体"/>
          <w:sz w:val="24"/>
        </w:rPr>
      </w:pPr>
      <w:r>
        <w:rPr>
          <w:rFonts w:hint="eastAsia" w:ascii="宋体" w:hAnsi="宋体"/>
          <w:sz w:val="24"/>
        </w:rPr>
      </w:r>
      <w:r/>
    </w:p>
    <w:p>
      <w:pPr>
        <w:pStyle w:val="1100"/>
        <w:jc w:val="left"/>
        <w:widowControl/>
        <w:rPr>
          <w:rFonts w:hint="eastAsia" w:ascii="宋体" w:hAnsi="宋体"/>
          <w:sz w:val="24"/>
        </w:rPr>
      </w:pPr>
      <w:r>
        <w:rPr>
          <w:rFonts w:hint="eastAsia" w:ascii="宋体" w:hAnsi="宋体"/>
          <w:sz w:val="24"/>
        </w:rPr>
      </w:r>
      <w:r/>
    </w:p>
    <w:p>
      <w:pPr>
        <w:pStyle w:val="1100"/>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100"/>
        <w:jc w:val="center"/>
        <w:rPr>
          <w:rFonts w:hint="eastAsia" w:ascii="宋体" w:hAnsi="宋体"/>
          <w:b/>
          <w:sz w:val="32"/>
          <w:szCs w:val="32"/>
        </w:rPr>
      </w:pPr>
      <w:r>
        <w:rPr>
          <w:rFonts w:hint="eastAsia" w:ascii="宋体" w:hAnsi="宋体"/>
          <w:b/>
          <w:sz w:val="32"/>
          <w:szCs w:val="32"/>
        </w:rPr>
      </w:r>
      <w:r/>
    </w:p>
    <w:p>
      <w:pPr>
        <w:pStyle w:val="1353"/>
        <w:jc w:val="center"/>
        <w:spacing w:line="480" w:lineRule="auto"/>
        <w:rPr>
          <w:rFonts w:cs="宋体"/>
          <w:sz w:val="24"/>
        </w:rPr>
      </w:pPr>
      <w:r>
        <w:rPr>
          <w:rFonts w:hint="eastAsia"/>
          <w:b/>
          <w:sz w:val="36"/>
          <w:szCs w:val="36"/>
        </w:rPr>
        <w:t xml:space="preserve">授权委托书</w:t>
      </w:r>
      <w:r>
        <w:rPr>
          <w:rFonts w:cs="宋体"/>
          <w:sz w:val="24"/>
        </w:rPr>
      </w:r>
      <w:r/>
    </w:p>
    <w:p>
      <w:pPr>
        <w:pStyle w:val="1100"/>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100"/>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100"/>
        <w:spacing w:line="400" w:lineRule="exact"/>
        <w:rPr>
          <w:rFonts w:hint="eastAsia" w:ascii="宋体" w:hAnsi="宋体" w:cs="宋体"/>
          <w:szCs w:val="21"/>
        </w:rPr>
      </w:pPr>
      <w:r>
        <w:rPr>
          <w:rFonts w:hint="eastAsia" w:ascii="宋体" w:hAnsi="宋体" w:cs="宋体"/>
          <w:szCs w:val="21"/>
        </w:rPr>
      </w:r>
      <w:r/>
    </w:p>
    <w:p>
      <w:pPr>
        <w:pStyle w:val="1100"/>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10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79"/>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100"/>
        <w:spacing w:line="400" w:lineRule="exact"/>
        <w:rPr>
          <w:rFonts w:ascii="宋体" w:hAnsi="宋体" w:cs="宋体"/>
          <w:sz w:val="24"/>
        </w:rPr>
      </w:pPr>
      <w:r>
        <w:rPr>
          <w:rFonts w:ascii="宋体" w:hAnsi="宋体" w:cs="宋体"/>
          <w:sz w:val="24"/>
        </w:rPr>
      </w:r>
      <w:r/>
    </w:p>
    <w:p>
      <w:pPr>
        <w:pStyle w:val="1132"/>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00"/>
              <w:jc w:val="left"/>
              <w:spacing w:line="360" w:lineRule="auto"/>
              <w:tabs>
                <w:tab w:val="left" w:pos="5580" w:leader="none"/>
              </w:tabs>
              <w:rPr>
                <w:rFonts w:ascii="宋体" w:hAnsi="宋体"/>
                <w:szCs w:val="21"/>
              </w:rPr>
            </w:pPr>
            <w:r>
              <w:rPr>
                <w:rFonts w:ascii="宋体" w:hAnsi="宋体"/>
                <w:szCs w:val="21"/>
              </w:rPr>
            </w:r>
            <w:r/>
          </w:p>
          <w:p>
            <w:pPr>
              <w:pStyle w:val="1100"/>
              <w:jc w:val="left"/>
              <w:spacing w:line="360" w:lineRule="auto"/>
              <w:tabs>
                <w:tab w:val="left" w:pos="5580" w:leader="none"/>
              </w:tabs>
              <w:rPr>
                <w:rFonts w:ascii="宋体" w:hAnsi="宋体"/>
                <w:szCs w:val="21"/>
              </w:rPr>
            </w:pPr>
            <w:r>
              <w:rPr>
                <w:rFonts w:ascii="宋体" w:hAnsi="宋体"/>
                <w:szCs w:val="21"/>
              </w:rPr>
            </w:r>
            <w:r/>
          </w:p>
          <w:p>
            <w:pPr>
              <w:pStyle w:val="1100"/>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100"/>
              <w:jc w:val="left"/>
              <w:spacing w:line="360" w:lineRule="auto"/>
              <w:tabs>
                <w:tab w:val="left" w:pos="5580" w:leader="none"/>
              </w:tabs>
              <w:rPr>
                <w:rFonts w:ascii="宋体" w:hAnsi="宋体"/>
                <w:szCs w:val="21"/>
              </w:rPr>
            </w:pPr>
            <w:r>
              <w:rPr>
                <w:rFonts w:ascii="宋体" w:hAnsi="宋体"/>
                <w:szCs w:val="21"/>
              </w:rPr>
            </w:r>
            <w:r/>
          </w:p>
          <w:p>
            <w:pPr>
              <w:pStyle w:val="1100"/>
              <w:jc w:val="left"/>
              <w:spacing w:line="360" w:lineRule="auto"/>
              <w:tabs>
                <w:tab w:val="left" w:pos="5580" w:leader="none"/>
              </w:tabs>
              <w:rPr>
                <w:rFonts w:ascii="宋体" w:hAnsi="宋体"/>
                <w:szCs w:val="21"/>
              </w:rPr>
            </w:pPr>
            <w:r>
              <w:rPr>
                <w:rFonts w:ascii="宋体" w:hAnsi="宋体"/>
                <w:szCs w:val="21"/>
              </w:rPr>
            </w:r>
            <w:r/>
          </w:p>
          <w:p>
            <w:pPr>
              <w:pStyle w:val="1100"/>
              <w:jc w:val="left"/>
              <w:spacing w:line="360" w:lineRule="auto"/>
              <w:tabs>
                <w:tab w:val="left" w:pos="5580" w:leader="none"/>
              </w:tabs>
              <w:rPr>
                <w:rFonts w:ascii="宋体" w:hAnsi="宋体"/>
                <w:szCs w:val="21"/>
              </w:rPr>
            </w:pPr>
            <w:r>
              <w:rPr>
                <w:rFonts w:ascii="宋体" w:hAnsi="宋体"/>
                <w:szCs w:val="21"/>
              </w:rPr>
            </w:r>
            <w:r/>
          </w:p>
        </w:tc>
      </w:tr>
    </w:tbl>
    <w:p>
      <w:pPr>
        <w:pStyle w:val="1132"/>
        <w:ind w:right="-46"/>
        <w:spacing w:line="583" w:lineRule="auto"/>
        <w:rPr>
          <w:rFonts w:hint="eastAsia"/>
          <w:b/>
          <w:bCs/>
        </w:rPr>
      </w:pPr>
      <w:r>
        <w:rPr>
          <w:rFonts w:hint="eastAsia"/>
          <w:b/>
          <w:bCs/>
        </w:rPr>
        <w:t xml:space="preserve">投标人近三个月内任意一个月（自开标之日往前推）为其缴纳社保的记录</w:t>
      </w:r>
      <w:r/>
    </w:p>
    <w:p>
      <w:pPr>
        <w:pStyle w:val="1100"/>
        <w:spacing w:line="360" w:lineRule="auto"/>
        <w:rPr>
          <w:rFonts w:hint="eastAsia" w:ascii="宋体" w:hAnsi="宋体" w:cs="宋体"/>
          <w:szCs w:val="21"/>
        </w:rPr>
      </w:pPr>
      <w:r>
        <w:rPr>
          <w:rFonts w:hint="eastAsia" w:ascii="宋体" w:hAnsi="宋体" w:cs="宋体"/>
          <w:szCs w:val="21"/>
        </w:rPr>
      </w:r>
      <w:r/>
    </w:p>
    <w:p>
      <w:pPr>
        <w:pStyle w:val="1100"/>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100"/>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53"/>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100"/>
        <w:jc w:val="left"/>
        <w:widowControl/>
        <w:rPr>
          <w:rFonts w:hint="eastAsia" w:ascii="宋体" w:hAnsi="宋体"/>
          <w:sz w:val="24"/>
        </w:rPr>
      </w:pPr>
      <w:r>
        <w:rPr>
          <w:rFonts w:hint="eastAsia" w:ascii="宋体" w:hAnsi="宋体"/>
          <w:sz w:val="24"/>
        </w:rPr>
      </w:r>
      <w:r/>
    </w:p>
    <w:p>
      <w:pPr>
        <w:pStyle w:val="1100"/>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100"/>
        <w:ind w:firstLine="321"/>
        <w:jc w:val="center"/>
        <w:spacing w:line="560" w:lineRule="exact"/>
        <w:rPr>
          <w:rFonts w:hint="eastAsia" w:ascii="宋体" w:hAnsi="宋体"/>
          <w:b/>
          <w:sz w:val="32"/>
          <w:szCs w:val="32"/>
        </w:rPr>
      </w:pPr>
      <w:r>
        <w:rPr>
          <w:rFonts w:hint="eastAsia" w:ascii="宋体" w:hAnsi="宋体"/>
          <w:b/>
          <w:sz w:val="32"/>
          <w:szCs w:val="32"/>
        </w:rPr>
      </w:r>
      <w:r/>
    </w:p>
    <w:p>
      <w:pPr>
        <w:pStyle w:val="1100"/>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100"/>
        <w:ind w:firstLine="640"/>
        <w:rPr>
          <w:rFonts w:ascii="宋体" w:hAnsi="宋体"/>
        </w:rPr>
      </w:pPr>
      <w:r>
        <w:rPr>
          <w:rFonts w:ascii="宋体" w:hAnsi="宋体"/>
        </w:rPr>
      </w:r>
      <w:r/>
    </w:p>
    <w:p>
      <w:pPr>
        <w:pStyle w:val="110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4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10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0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00"/>
        <w:spacing w:line="360" w:lineRule="auto"/>
        <w:rPr>
          <w:rFonts w:ascii="宋体" w:hAnsi="宋体"/>
          <w:b/>
          <w:sz w:val="24"/>
          <w:szCs w:val="20"/>
        </w:rPr>
        <w:outlineLvl w:val="2"/>
      </w:pPr>
      <w:r/>
      <w:bookmarkStart w:id="836" w:name="_Hlt520350918"/>
      <w:r/>
      <w:bookmarkEnd w:id="836"/>
      <w:r/>
      <w:bookmarkStart w:id="837" w:name="_Hlt520343392"/>
      <w:r/>
      <w:bookmarkEnd w:id="837"/>
      <w:r/>
      <w:bookmarkStart w:id="838" w:name="_Hlt520274065"/>
      <w:r/>
      <w:bookmarkEnd w:id="838"/>
      <w:r/>
      <w:bookmarkStart w:id="839" w:name="_Hlt520355504"/>
      <w:r/>
      <w:bookmarkEnd w:id="839"/>
      <w:r/>
      <w:bookmarkStart w:id="840" w:name="_Hlt520274407"/>
      <w:r/>
      <w:bookmarkEnd w:id="840"/>
      <w:r/>
      <w:bookmarkStart w:id="841" w:name="_Hlt520274393"/>
      <w:r/>
      <w:bookmarkEnd w:id="841"/>
      <w:r/>
      <w:bookmarkStart w:id="842" w:name="_Hlt520273711"/>
      <w:r/>
      <w:bookmarkEnd w:id="842"/>
      <w:r/>
      <w:bookmarkStart w:id="843" w:name="_Hlt520274121"/>
      <w:r/>
      <w:bookmarkEnd w:id="843"/>
      <w:r/>
      <w:bookmarkStart w:id="844" w:name="_Hlt520271212"/>
      <w:r/>
      <w:bookmarkEnd w:id="844"/>
      <w:r/>
      <w:bookmarkStart w:id="845" w:name="_Hlt520343000"/>
      <w:r/>
      <w:bookmarkEnd w:id="845"/>
      <w:r/>
      <w:bookmarkStart w:id="846" w:name="_Toc142311059"/>
      <w:r/>
      <w:bookmarkStart w:id="847" w:name="_Toc226337253"/>
      <w:r/>
      <w:bookmarkStart w:id="848" w:name="_Toc480942350"/>
      <w:r/>
      <w:bookmarkStart w:id="849" w:name="_Ref467988705"/>
      <w:r/>
      <w:bookmarkStart w:id="850" w:name="_Toc226965830"/>
      <w:r/>
      <w:bookmarkStart w:id="851" w:name="_Toc264969247"/>
      <w:r/>
      <w:bookmarkStart w:id="852" w:name="_Toc195842922"/>
      <w:r/>
      <w:bookmarkStart w:id="853" w:name="_Toc305158899"/>
      <w:r/>
      <w:bookmarkStart w:id="854" w:name="_Toc226965747"/>
      <w:r/>
      <w:bookmarkStart w:id="855" w:name="_Toc520356218"/>
      <w:r/>
      <w:bookmarkStart w:id="856" w:name="_Toc150774762"/>
      <w:r/>
      <w:bookmarkStart w:id="857" w:name="_Toc127151557"/>
      <w:r/>
      <w:bookmarkStart w:id="858" w:name="_Toc226309801"/>
      <w:r/>
      <w:bookmarkStart w:id="859" w:name="_Toc305158825"/>
      <w:r/>
      <w:bookmarkStart w:id="860" w:name="_Toc265228395"/>
      <w:r/>
      <w:bookmarkStart w:id="861" w:name="_Toc150480795"/>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rFonts w:ascii="宋体" w:hAnsi="宋体"/>
          <w:b/>
          <w:sz w:val="24"/>
        </w:rPr>
        <w:t xml:space="preserve">（实质性格式）</w:t>
      </w:r>
      <w:r>
        <w:rPr>
          <w:rFonts w:ascii="宋体" w:hAnsi="宋体"/>
          <w:b/>
          <w:sz w:val="24"/>
          <w:szCs w:val="20"/>
        </w:rPr>
      </w:r>
      <w:r/>
    </w:p>
    <w:p>
      <w:pPr>
        <w:pStyle w:val="1100"/>
        <w:jc w:val="center"/>
        <w:spacing w:line="360" w:lineRule="exact"/>
        <w:rPr>
          <w:rFonts w:ascii="宋体" w:hAnsi="宋体"/>
          <w:b/>
          <w:sz w:val="36"/>
          <w:szCs w:val="36"/>
        </w:rPr>
      </w:pPr>
      <w:r/>
      <w:bookmarkStart w:id="862" w:name="_Toc164608827"/>
      <w:r/>
      <w:bookmarkStart w:id="863" w:name="_Toc305158826"/>
      <w:r/>
      <w:bookmarkStart w:id="864" w:name="_Toc305158900"/>
      <w:r/>
      <w:bookmarkStart w:id="865" w:name="_Toc226965831"/>
      <w:r/>
      <w:bookmarkStart w:id="866" w:name="_Toc226337254"/>
      <w:r/>
      <w:bookmarkStart w:id="867" w:name="_Toc164608672"/>
      <w:r/>
      <w:bookmarkStart w:id="868" w:name="_Toc195842923"/>
      <w:r/>
      <w:bookmarkStart w:id="869" w:name="_Toc265228396"/>
      <w:r/>
      <w:bookmarkStart w:id="870" w:name="_Toc226309802"/>
      <w:r/>
      <w:bookmarkStart w:id="871" w:name="_Toc264969248"/>
      <w:r/>
      <w:bookmarkStart w:id="872" w:name="_Toc226965748"/>
      <w:r>
        <w:rPr>
          <w:rFonts w:hint="eastAsia" w:ascii="宋体" w:hAnsi="宋体"/>
          <w:b/>
          <w:sz w:val="36"/>
          <w:szCs w:val="36"/>
        </w:rPr>
        <w:t xml:space="preserve">开标一览表</w:t>
      </w:r>
      <w:bookmarkEnd w:id="862"/>
      <w:r/>
      <w:bookmarkEnd w:id="863"/>
      <w:r/>
      <w:bookmarkEnd w:id="864"/>
      <w:r/>
      <w:bookmarkEnd w:id="865"/>
      <w:r/>
      <w:bookmarkEnd w:id="866"/>
      <w:r/>
      <w:bookmarkEnd w:id="867"/>
      <w:r/>
      <w:bookmarkEnd w:id="868"/>
      <w:r/>
      <w:bookmarkEnd w:id="869"/>
      <w:r/>
      <w:bookmarkEnd w:id="870"/>
      <w:r/>
      <w:bookmarkEnd w:id="871"/>
      <w:r/>
      <w:bookmarkEnd w:id="872"/>
      <w:r>
        <w:rPr>
          <w:rFonts w:ascii="宋体" w:hAnsi="宋体"/>
          <w:b/>
          <w:sz w:val="36"/>
          <w:szCs w:val="36"/>
        </w:rPr>
      </w:r>
      <w:r/>
    </w:p>
    <w:p>
      <w:pPr>
        <w:pStyle w:val="110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100"/>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100"/>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100"/>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100"/>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100"/>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10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100"/>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100"/>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100"/>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10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100"/>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100"/>
              <w:jc w:val="center"/>
              <w:tabs>
                <w:tab w:val="left" w:pos="5580" w:leader="none"/>
              </w:tabs>
              <w:rPr>
                <w:rFonts w:ascii="宋体" w:hAnsi="宋体"/>
                <w:sz w:val="24"/>
              </w:rPr>
            </w:pPr>
            <w:r>
              <w:rPr>
                <w:rFonts w:ascii="宋体" w:hAnsi="宋体"/>
                <w:sz w:val="24"/>
              </w:rPr>
            </w:r>
            <w:r/>
          </w:p>
        </w:tc>
      </w:tr>
    </w:tbl>
    <w:p>
      <w:pPr>
        <w:pStyle w:val="1100"/>
        <w:jc w:val="left"/>
        <w:rPr>
          <w:rFonts w:ascii="宋体" w:hAnsi="宋体"/>
          <w:sz w:val="24"/>
        </w:rPr>
      </w:pPr>
      <w:r>
        <w:rPr>
          <w:rFonts w:ascii="宋体" w:hAnsi="宋体"/>
          <w:sz w:val="24"/>
        </w:rPr>
      </w:r>
      <w:r/>
    </w:p>
    <w:p>
      <w:pPr>
        <w:pStyle w:val="1100"/>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1100"/>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100"/>
        <w:spacing w:before="25" w:after="25" w:line="360" w:lineRule="auto"/>
        <w:rPr>
          <w:rFonts w:ascii="宋体" w:hAnsi="宋体"/>
          <w:sz w:val="24"/>
          <w:lang w:val="zh-CN"/>
        </w:rPr>
      </w:pPr>
      <w:r>
        <w:rPr>
          <w:rFonts w:ascii="宋体" w:hAnsi="宋体"/>
          <w:sz w:val="24"/>
          <w:lang w:val="zh-CN"/>
        </w:rPr>
      </w:r>
      <w:r/>
    </w:p>
    <w:p>
      <w:pPr>
        <w:pStyle w:val="1100"/>
        <w:spacing w:before="25" w:after="25" w:line="360" w:lineRule="auto"/>
        <w:rPr>
          <w:rFonts w:ascii="宋体" w:hAnsi="宋体"/>
          <w:sz w:val="24"/>
          <w:lang w:val="zh-CN"/>
        </w:rPr>
      </w:pPr>
      <w:r>
        <w:rPr>
          <w:rFonts w:ascii="宋体" w:hAnsi="宋体"/>
          <w:sz w:val="24"/>
          <w:lang w:val="zh-CN"/>
        </w:rPr>
        <w:t xml:space="preserve">                         </w:t>
      </w:r>
      <w:r/>
    </w:p>
    <w:p>
      <w:pPr>
        <w:pStyle w:val="110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0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00"/>
        <w:spacing w:line="360" w:lineRule="auto"/>
        <w:rPr>
          <w:rFonts w:ascii="宋体" w:hAnsi="宋体"/>
          <w:b/>
          <w:sz w:val="24"/>
          <w:szCs w:val="20"/>
        </w:rPr>
        <w:outlineLvl w:val="2"/>
      </w:pPr>
      <w:r/>
      <w:bookmarkStart w:id="873" w:name="_Toc150480796"/>
      <w:r/>
      <w:bookmarkStart w:id="874" w:name="_Toc195842924"/>
      <w:r/>
      <w:bookmarkStart w:id="875" w:name="_Toc226965832"/>
      <w:r/>
      <w:bookmarkStart w:id="876" w:name="_Toc226309803"/>
      <w:r/>
      <w:bookmarkStart w:id="877" w:name="_Toc127151558"/>
      <w:r/>
      <w:bookmarkStart w:id="878" w:name="_Toc305158827"/>
      <w:r/>
      <w:bookmarkStart w:id="879" w:name="_Toc142311060"/>
      <w:r/>
      <w:bookmarkStart w:id="880" w:name="_Toc226337255"/>
      <w:r/>
      <w:bookmarkStart w:id="881" w:name="_Toc305158901"/>
      <w:r/>
      <w:bookmarkStart w:id="882" w:name="_Toc150774763"/>
      <w:r/>
      <w:bookmarkStart w:id="883" w:name="_Toc226965749"/>
      <w:r/>
      <w:bookmarkStart w:id="884" w:name="_Toc264969249"/>
      <w:r/>
      <w:bookmarkStart w:id="885" w:name="_Toc265228397"/>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b/>
          <w:sz w:val="24"/>
        </w:rPr>
        <w:t xml:space="preserve">（实质性格式）</w:t>
      </w:r>
      <w:r>
        <w:rPr>
          <w:rFonts w:ascii="宋体" w:hAnsi="宋体"/>
          <w:b/>
          <w:sz w:val="24"/>
          <w:szCs w:val="20"/>
        </w:rPr>
      </w:r>
      <w:r/>
    </w:p>
    <w:p>
      <w:pPr>
        <w:pStyle w:val="1100"/>
        <w:jc w:val="center"/>
        <w:spacing w:line="360" w:lineRule="exact"/>
        <w:rPr>
          <w:rFonts w:ascii="宋体" w:hAnsi="宋体"/>
          <w:sz w:val="36"/>
          <w:szCs w:val="36"/>
        </w:rPr>
      </w:pPr>
      <w:r>
        <w:rPr>
          <w:rFonts w:ascii="宋体" w:hAnsi="宋体"/>
          <w:sz w:val="36"/>
          <w:szCs w:val="36"/>
        </w:rPr>
      </w:r>
      <w:r/>
    </w:p>
    <w:p>
      <w:pPr>
        <w:pStyle w:val="1100"/>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100"/>
        <w:jc w:val="center"/>
        <w:spacing w:line="260" w:lineRule="exact"/>
        <w:rPr>
          <w:rFonts w:ascii="宋体" w:hAnsi="宋体"/>
          <w:sz w:val="36"/>
          <w:szCs w:val="36"/>
        </w:rPr>
      </w:pPr>
      <w:r>
        <w:rPr>
          <w:rFonts w:ascii="宋体" w:hAnsi="宋体"/>
          <w:sz w:val="36"/>
          <w:szCs w:val="36"/>
        </w:rPr>
      </w:r>
      <w:r/>
    </w:p>
    <w:p>
      <w:pPr>
        <w:pStyle w:val="1100"/>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100"/>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10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110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110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110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110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110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110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0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0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0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0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0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0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1100"/>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1100"/>
        <w:jc w:val="left"/>
        <w:tabs>
          <w:tab w:val="left" w:pos="1800" w:leader="none"/>
          <w:tab w:val="left" w:pos="5580" w:leader="none"/>
        </w:tabs>
        <w:rPr>
          <w:rFonts w:hint="eastAsia" w:ascii="宋体" w:hAnsi="宋体"/>
          <w:sz w:val="24"/>
        </w:rPr>
      </w:pPr>
      <w:r>
        <w:rPr>
          <w:rFonts w:hint="eastAsia" w:ascii="宋体" w:hAnsi="宋体"/>
          <w:sz w:val="24"/>
        </w:rPr>
      </w:r>
      <w:r/>
    </w:p>
    <w:p>
      <w:pPr>
        <w:pStyle w:val="1100"/>
        <w:jc w:val="left"/>
        <w:tabs>
          <w:tab w:val="left" w:pos="1800" w:leader="none"/>
          <w:tab w:val="left" w:pos="5580" w:leader="none"/>
        </w:tabs>
        <w:rPr>
          <w:rFonts w:hint="eastAsia" w:ascii="宋体" w:hAnsi="宋体"/>
          <w:sz w:val="24"/>
        </w:rPr>
      </w:pPr>
      <w:r>
        <w:rPr>
          <w:rFonts w:hint="eastAsia" w:ascii="宋体" w:hAnsi="宋体"/>
          <w:sz w:val="24"/>
        </w:rPr>
      </w:r>
      <w:r/>
    </w:p>
    <w:p>
      <w:pPr>
        <w:pStyle w:val="1100"/>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1100"/>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100"/>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100"/>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100"/>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110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0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00"/>
        <w:jc w:val="left"/>
        <w:spacing w:before="240" w:after="240"/>
        <w:rPr>
          <w:rFonts w:hint="eastAsia" w:ascii="宋体" w:hAnsi="宋体"/>
          <w:b/>
          <w:i/>
          <w:sz w:val="24"/>
        </w:rPr>
      </w:pPr>
      <w:r>
        <w:rPr>
          <w:rFonts w:hint="eastAsia" w:ascii="宋体" w:hAnsi="宋体"/>
          <w:b/>
          <w:i/>
          <w:sz w:val="24"/>
        </w:rPr>
      </w:r>
      <w:r/>
    </w:p>
    <w:p>
      <w:pPr>
        <w:pStyle w:val="1100"/>
        <w:jc w:val="left"/>
        <w:spacing w:before="240" w:after="240"/>
        <w:rPr>
          <w:rFonts w:hint="eastAsia" w:ascii="宋体" w:hAnsi="宋体"/>
          <w:b/>
          <w:i/>
          <w:sz w:val="24"/>
        </w:rPr>
      </w:pPr>
      <w:r>
        <w:rPr>
          <w:rFonts w:hint="eastAsia" w:ascii="宋体" w:hAnsi="宋体"/>
          <w:b/>
          <w:i/>
          <w:sz w:val="24"/>
        </w:rPr>
      </w:r>
      <w:r/>
    </w:p>
    <w:p>
      <w:pPr>
        <w:pStyle w:val="1100"/>
        <w:jc w:val="left"/>
        <w:spacing w:before="240" w:after="240"/>
        <w:rPr>
          <w:rFonts w:hint="eastAsia" w:ascii="宋体" w:hAnsi="宋体"/>
          <w:b/>
          <w:i/>
          <w:sz w:val="24"/>
        </w:rPr>
      </w:pPr>
      <w:r>
        <w:rPr>
          <w:rFonts w:hint="eastAsia" w:ascii="宋体" w:hAnsi="宋体"/>
          <w:b/>
          <w:i/>
          <w:sz w:val="24"/>
        </w:rPr>
      </w:r>
      <w:r/>
    </w:p>
    <w:p>
      <w:pPr>
        <w:pStyle w:val="1100"/>
        <w:spacing w:line="360" w:lineRule="auto"/>
        <w:rPr>
          <w:rFonts w:ascii="宋体" w:hAnsi="宋体"/>
          <w:b/>
          <w:sz w:val="24"/>
        </w:rPr>
        <w:outlineLvl w:val="2"/>
      </w:pPr>
      <w:r/>
      <w:bookmarkStart w:id="886" w:name="_Toc305158904"/>
      <w:r/>
      <w:bookmarkStart w:id="887" w:name="_Toc142311062"/>
      <w:r/>
      <w:bookmarkStart w:id="888" w:name="_Toc226337258"/>
      <w:r/>
      <w:bookmarkStart w:id="889" w:name="_Toc305158830"/>
      <w:r/>
      <w:bookmarkStart w:id="890" w:name="_Toc226309806"/>
      <w:r/>
      <w:bookmarkStart w:id="891" w:name="_Toc264969252"/>
      <w:r/>
      <w:bookmarkStart w:id="892" w:name="_Toc226965752"/>
      <w:r/>
      <w:bookmarkStart w:id="893" w:name="_Toc127151562"/>
      <w:r/>
      <w:bookmarkStart w:id="894" w:name="_Toc150774765"/>
      <w:r/>
      <w:bookmarkStart w:id="895" w:name="_Toc195842927"/>
      <w:r/>
      <w:bookmarkStart w:id="896" w:name="_Toc226965835"/>
      <w:r/>
      <w:bookmarkStart w:id="897" w:name="_Toc265228400"/>
      <w:r/>
      <w:bookmarkStart w:id="898" w:name="_Toc150480798"/>
      <w:r/>
      <w:bookmarkStart w:id="899" w:name="_Toc305158829"/>
      <w:r/>
      <w:bookmarkStart w:id="900" w:name="_Toc195842926"/>
      <w:r/>
      <w:bookmarkStart w:id="901" w:name="_Toc142311061"/>
      <w:r/>
      <w:bookmarkStart w:id="902" w:name="_Toc127151561"/>
      <w:r/>
      <w:bookmarkStart w:id="903" w:name="_Toc264969251"/>
      <w:r/>
      <w:bookmarkStart w:id="904" w:name="_Toc150774764"/>
      <w:r/>
      <w:bookmarkStart w:id="905" w:name="_Toc226309805"/>
      <w:r/>
      <w:bookmarkStart w:id="906" w:name="_Toc150480797"/>
      <w:r/>
      <w:bookmarkStart w:id="907" w:name="_Toc265228399"/>
      <w:r/>
      <w:bookmarkStart w:id="908" w:name="_Toc226965751"/>
      <w:r/>
      <w:bookmarkStart w:id="909" w:name="_Toc305158903"/>
      <w:r/>
      <w:bookmarkStart w:id="910" w:name="_Toc226965834"/>
      <w:r/>
      <w:bookmarkStart w:id="911" w:name="_Toc226337257"/>
      <w:r>
        <w:rPr>
          <w:rFonts w:ascii="宋体" w:hAnsi="宋体"/>
          <w:b/>
          <w:sz w:val="24"/>
        </w:rPr>
      </w:r>
      <w:r/>
    </w:p>
    <w:p>
      <w:pPr>
        <w:pStyle w:val="1100"/>
        <w:spacing w:line="360" w:lineRule="auto"/>
        <w:rPr>
          <w:rFonts w:ascii="宋体" w:hAnsi="宋体"/>
          <w:b/>
          <w:sz w:val="24"/>
          <w:szCs w:val="20"/>
        </w:rPr>
        <w:outlineLvl w:val="2"/>
      </w:pPr>
      <w:r>
        <w:rPr>
          <w:rFonts w:hint="eastAsia" w:ascii="宋体" w:hAnsi="宋体"/>
          <w:b/>
          <w:sz w:val="24"/>
        </w:rPr>
        <w:t xml:space="preserve">7</w:t>
      </w:r>
      <w:r>
        <w:rPr>
          <w:rFonts w:ascii="宋体" w:hAnsi="宋体"/>
          <w:b/>
          <w:sz w:val="24"/>
        </w:rPr>
        <w:t xml:space="preserve">  合同条款偏离表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b/>
          <w:sz w:val="24"/>
        </w:rPr>
        <w:t xml:space="preserve">（实质性格式）</w:t>
      </w:r>
      <w:r>
        <w:rPr>
          <w:rFonts w:ascii="宋体" w:hAnsi="宋体"/>
          <w:b/>
          <w:sz w:val="24"/>
          <w:szCs w:val="20"/>
        </w:rPr>
      </w:r>
      <w:r/>
    </w:p>
    <w:p>
      <w:pPr>
        <w:pStyle w:val="1100"/>
        <w:spacing w:line="360" w:lineRule="auto"/>
        <w:rPr>
          <w:rFonts w:ascii="宋体" w:hAnsi="宋体"/>
          <w:sz w:val="24"/>
          <w:szCs w:val="20"/>
        </w:rPr>
      </w:pPr>
      <w:r>
        <w:rPr>
          <w:rFonts w:ascii="宋体" w:hAnsi="宋体"/>
          <w:sz w:val="24"/>
          <w:szCs w:val="20"/>
        </w:rPr>
      </w:r>
      <w:r/>
    </w:p>
    <w:p>
      <w:pPr>
        <w:pStyle w:val="1100"/>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100"/>
        <w:spacing w:line="360" w:lineRule="auto"/>
        <w:rPr>
          <w:rFonts w:ascii="宋体" w:hAnsi="宋体"/>
          <w:sz w:val="24"/>
          <w:szCs w:val="20"/>
        </w:rPr>
      </w:pPr>
      <w:r>
        <w:rPr>
          <w:rFonts w:ascii="宋体" w:hAnsi="宋体"/>
          <w:sz w:val="24"/>
          <w:szCs w:val="20"/>
        </w:rPr>
      </w:r>
      <w:r/>
    </w:p>
    <w:p>
      <w:pPr>
        <w:pStyle w:val="1100"/>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100"/>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10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100"/>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100"/>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100"/>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100"/>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100"/>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100"/>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100"/>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100"/>
              <w:jc w:val="center"/>
              <w:rPr>
                <w:rFonts w:ascii="宋体" w:hAnsi="宋体"/>
                <w:sz w:val="24"/>
              </w:rPr>
            </w:pPr>
            <w:r>
              <w:rPr>
                <w:rFonts w:ascii="宋体" w:hAnsi="宋体"/>
                <w:sz w:val="24"/>
              </w:rPr>
            </w:r>
            <w:r/>
          </w:p>
        </w:tc>
        <w:tc>
          <w:tcPr>
            <w:tcW w:w="1301" w:type="dxa"/>
            <w:vAlign w:val="center"/>
            <w:textDirection w:val="lrTb"/>
            <w:noWrap w:val="false"/>
          </w:tcPr>
          <w:p>
            <w:pPr>
              <w:pStyle w:val="1100"/>
              <w:jc w:val="center"/>
              <w:rPr>
                <w:rFonts w:ascii="宋体" w:hAnsi="宋体"/>
                <w:sz w:val="24"/>
              </w:rPr>
            </w:pPr>
            <w:r>
              <w:rPr>
                <w:rFonts w:ascii="宋体" w:hAnsi="宋体"/>
                <w:sz w:val="24"/>
              </w:rPr>
            </w:r>
            <w:r/>
          </w:p>
        </w:tc>
        <w:tc>
          <w:tcPr>
            <w:tcW w:w="2007" w:type="dxa"/>
            <w:vAlign w:val="center"/>
            <w:textDirection w:val="lrTb"/>
            <w:noWrap w:val="false"/>
          </w:tcPr>
          <w:p>
            <w:pPr>
              <w:pStyle w:val="1100"/>
              <w:jc w:val="center"/>
              <w:rPr>
                <w:rFonts w:ascii="宋体" w:hAnsi="宋体"/>
                <w:sz w:val="24"/>
              </w:rPr>
            </w:pPr>
            <w:r>
              <w:rPr>
                <w:rFonts w:ascii="宋体" w:hAnsi="宋体"/>
                <w:sz w:val="24"/>
              </w:rPr>
            </w:r>
            <w:r/>
          </w:p>
        </w:tc>
        <w:tc>
          <w:tcPr>
            <w:tcW w:w="2008" w:type="dxa"/>
            <w:vAlign w:val="center"/>
            <w:textDirection w:val="lrTb"/>
            <w:noWrap w:val="false"/>
          </w:tcPr>
          <w:p>
            <w:pPr>
              <w:pStyle w:val="1100"/>
              <w:jc w:val="center"/>
              <w:rPr>
                <w:rFonts w:ascii="宋体" w:hAnsi="宋体"/>
                <w:sz w:val="24"/>
              </w:rPr>
            </w:pPr>
            <w:r>
              <w:rPr>
                <w:rFonts w:ascii="宋体" w:hAnsi="宋体"/>
                <w:sz w:val="24"/>
              </w:rPr>
            </w:r>
            <w:r/>
          </w:p>
        </w:tc>
        <w:tc>
          <w:tcPr>
            <w:tcW w:w="2458" w:type="dxa"/>
            <w:vAlign w:val="center"/>
            <w:textDirection w:val="lrTb"/>
            <w:noWrap w:val="false"/>
          </w:tcPr>
          <w:p>
            <w:pPr>
              <w:pStyle w:val="1100"/>
              <w:jc w:val="center"/>
              <w:rPr>
                <w:rFonts w:ascii="宋体" w:hAnsi="宋体"/>
                <w:sz w:val="24"/>
              </w:rPr>
            </w:pPr>
            <w:r>
              <w:rPr>
                <w:rFonts w:ascii="宋体" w:hAnsi="宋体"/>
                <w:sz w:val="24"/>
              </w:rPr>
            </w:r>
            <w:r/>
          </w:p>
        </w:tc>
        <w:tc>
          <w:tcPr>
            <w:tcW w:w="788" w:type="dxa"/>
            <w:vAlign w:val="center"/>
            <w:textDirection w:val="lrTb"/>
            <w:noWrap w:val="false"/>
          </w:tcPr>
          <w:p>
            <w:pPr>
              <w:pStyle w:val="110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100"/>
              <w:jc w:val="center"/>
              <w:rPr>
                <w:rFonts w:ascii="宋体" w:hAnsi="宋体"/>
                <w:sz w:val="24"/>
              </w:rPr>
            </w:pPr>
            <w:r>
              <w:rPr>
                <w:rFonts w:ascii="宋体" w:hAnsi="宋体"/>
                <w:sz w:val="24"/>
              </w:rPr>
            </w:r>
            <w:r/>
          </w:p>
        </w:tc>
        <w:tc>
          <w:tcPr>
            <w:tcW w:w="1301" w:type="dxa"/>
            <w:vAlign w:val="center"/>
            <w:textDirection w:val="lrTb"/>
            <w:noWrap w:val="false"/>
          </w:tcPr>
          <w:p>
            <w:pPr>
              <w:pStyle w:val="1100"/>
              <w:jc w:val="center"/>
              <w:rPr>
                <w:rFonts w:ascii="宋体" w:hAnsi="宋体"/>
                <w:sz w:val="24"/>
              </w:rPr>
            </w:pPr>
            <w:r>
              <w:rPr>
                <w:rFonts w:ascii="宋体" w:hAnsi="宋体"/>
                <w:sz w:val="24"/>
              </w:rPr>
            </w:r>
            <w:r/>
          </w:p>
        </w:tc>
        <w:tc>
          <w:tcPr>
            <w:tcW w:w="2007" w:type="dxa"/>
            <w:vAlign w:val="center"/>
            <w:textDirection w:val="lrTb"/>
            <w:noWrap w:val="false"/>
          </w:tcPr>
          <w:p>
            <w:pPr>
              <w:pStyle w:val="1100"/>
              <w:jc w:val="center"/>
              <w:rPr>
                <w:rFonts w:ascii="宋体" w:hAnsi="宋体"/>
                <w:sz w:val="24"/>
              </w:rPr>
            </w:pPr>
            <w:r>
              <w:rPr>
                <w:rFonts w:ascii="宋体" w:hAnsi="宋体"/>
                <w:sz w:val="24"/>
              </w:rPr>
            </w:r>
            <w:r/>
          </w:p>
        </w:tc>
        <w:tc>
          <w:tcPr>
            <w:tcW w:w="2008" w:type="dxa"/>
            <w:vAlign w:val="center"/>
            <w:textDirection w:val="lrTb"/>
            <w:noWrap w:val="false"/>
          </w:tcPr>
          <w:p>
            <w:pPr>
              <w:pStyle w:val="1100"/>
              <w:jc w:val="center"/>
              <w:rPr>
                <w:rFonts w:ascii="宋体" w:hAnsi="宋体"/>
                <w:sz w:val="24"/>
              </w:rPr>
            </w:pPr>
            <w:r>
              <w:rPr>
                <w:rFonts w:ascii="宋体" w:hAnsi="宋体"/>
                <w:sz w:val="24"/>
              </w:rPr>
            </w:r>
            <w:r/>
          </w:p>
        </w:tc>
        <w:tc>
          <w:tcPr>
            <w:tcW w:w="2458" w:type="dxa"/>
            <w:vAlign w:val="center"/>
            <w:textDirection w:val="lrTb"/>
            <w:noWrap w:val="false"/>
          </w:tcPr>
          <w:p>
            <w:pPr>
              <w:pStyle w:val="1100"/>
              <w:jc w:val="center"/>
              <w:rPr>
                <w:rFonts w:ascii="宋体" w:hAnsi="宋体"/>
                <w:sz w:val="24"/>
              </w:rPr>
            </w:pPr>
            <w:r>
              <w:rPr>
                <w:rFonts w:ascii="宋体" w:hAnsi="宋体"/>
                <w:sz w:val="24"/>
              </w:rPr>
            </w:r>
            <w:r/>
          </w:p>
        </w:tc>
        <w:tc>
          <w:tcPr>
            <w:tcW w:w="788" w:type="dxa"/>
            <w:vAlign w:val="center"/>
            <w:textDirection w:val="lrTb"/>
            <w:noWrap w:val="false"/>
          </w:tcPr>
          <w:p>
            <w:pPr>
              <w:pStyle w:val="110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100"/>
              <w:jc w:val="center"/>
              <w:rPr>
                <w:rFonts w:ascii="宋体" w:hAnsi="宋体"/>
                <w:sz w:val="24"/>
              </w:rPr>
            </w:pPr>
            <w:r>
              <w:rPr>
                <w:rFonts w:ascii="宋体" w:hAnsi="宋体"/>
                <w:sz w:val="24"/>
              </w:rPr>
            </w:r>
            <w:r/>
          </w:p>
        </w:tc>
        <w:tc>
          <w:tcPr>
            <w:tcW w:w="1301" w:type="dxa"/>
            <w:vAlign w:val="center"/>
            <w:textDirection w:val="lrTb"/>
            <w:noWrap w:val="false"/>
          </w:tcPr>
          <w:p>
            <w:pPr>
              <w:pStyle w:val="1100"/>
              <w:jc w:val="center"/>
              <w:rPr>
                <w:rFonts w:ascii="宋体" w:hAnsi="宋体"/>
                <w:sz w:val="24"/>
              </w:rPr>
            </w:pPr>
            <w:r>
              <w:rPr>
                <w:rFonts w:ascii="宋体" w:hAnsi="宋体"/>
                <w:sz w:val="24"/>
              </w:rPr>
            </w:r>
            <w:r/>
          </w:p>
        </w:tc>
        <w:tc>
          <w:tcPr>
            <w:tcW w:w="2007" w:type="dxa"/>
            <w:vAlign w:val="center"/>
            <w:textDirection w:val="lrTb"/>
            <w:noWrap w:val="false"/>
          </w:tcPr>
          <w:p>
            <w:pPr>
              <w:pStyle w:val="1100"/>
              <w:jc w:val="center"/>
              <w:rPr>
                <w:rFonts w:ascii="宋体" w:hAnsi="宋体"/>
                <w:sz w:val="24"/>
              </w:rPr>
            </w:pPr>
            <w:r>
              <w:rPr>
                <w:rFonts w:ascii="宋体" w:hAnsi="宋体"/>
                <w:sz w:val="24"/>
              </w:rPr>
            </w:r>
            <w:r/>
          </w:p>
        </w:tc>
        <w:tc>
          <w:tcPr>
            <w:tcW w:w="2008" w:type="dxa"/>
            <w:vAlign w:val="center"/>
            <w:textDirection w:val="lrTb"/>
            <w:noWrap w:val="false"/>
          </w:tcPr>
          <w:p>
            <w:pPr>
              <w:pStyle w:val="1100"/>
              <w:jc w:val="center"/>
              <w:rPr>
                <w:rFonts w:ascii="宋体" w:hAnsi="宋体"/>
                <w:sz w:val="24"/>
              </w:rPr>
            </w:pPr>
            <w:r>
              <w:rPr>
                <w:rFonts w:ascii="宋体" w:hAnsi="宋体"/>
                <w:sz w:val="24"/>
              </w:rPr>
            </w:r>
            <w:r/>
          </w:p>
        </w:tc>
        <w:tc>
          <w:tcPr>
            <w:tcW w:w="2458" w:type="dxa"/>
            <w:vAlign w:val="center"/>
            <w:textDirection w:val="lrTb"/>
            <w:noWrap w:val="false"/>
          </w:tcPr>
          <w:p>
            <w:pPr>
              <w:pStyle w:val="1100"/>
              <w:jc w:val="center"/>
              <w:rPr>
                <w:rFonts w:ascii="宋体" w:hAnsi="宋体"/>
                <w:sz w:val="24"/>
              </w:rPr>
            </w:pPr>
            <w:r>
              <w:rPr>
                <w:rFonts w:ascii="宋体" w:hAnsi="宋体"/>
                <w:sz w:val="24"/>
              </w:rPr>
            </w:r>
            <w:r/>
          </w:p>
        </w:tc>
        <w:tc>
          <w:tcPr>
            <w:tcW w:w="788" w:type="dxa"/>
            <w:vAlign w:val="center"/>
            <w:textDirection w:val="lrTb"/>
            <w:noWrap w:val="false"/>
          </w:tcPr>
          <w:p>
            <w:pPr>
              <w:pStyle w:val="110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100"/>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100"/>
              <w:jc w:val="center"/>
              <w:rPr>
                <w:rFonts w:ascii="宋体" w:hAnsi="宋体"/>
                <w:sz w:val="24"/>
              </w:rPr>
            </w:pPr>
            <w:r>
              <w:rPr>
                <w:rFonts w:ascii="宋体" w:hAnsi="宋体"/>
                <w:sz w:val="24"/>
              </w:rPr>
            </w:r>
            <w:r/>
          </w:p>
        </w:tc>
        <w:tc>
          <w:tcPr>
            <w:tcW w:w="2007" w:type="dxa"/>
            <w:vAlign w:val="center"/>
            <w:textDirection w:val="lrTb"/>
            <w:noWrap w:val="false"/>
          </w:tcPr>
          <w:p>
            <w:pPr>
              <w:pStyle w:val="1100"/>
              <w:jc w:val="center"/>
              <w:rPr>
                <w:rFonts w:ascii="宋体" w:hAnsi="宋体"/>
                <w:sz w:val="24"/>
              </w:rPr>
            </w:pPr>
            <w:r>
              <w:rPr>
                <w:rFonts w:ascii="宋体" w:hAnsi="宋体"/>
                <w:sz w:val="24"/>
              </w:rPr>
            </w:r>
            <w:r/>
          </w:p>
        </w:tc>
        <w:tc>
          <w:tcPr>
            <w:tcW w:w="2008" w:type="dxa"/>
            <w:vAlign w:val="center"/>
            <w:textDirection w:val="lrTb"/>
            <w:noWrap w:val="false"/>
          </w:tcPr>
          <w:p>
            <w:pPr>
              <w:pStyle w:val="1100"/>
              <w:jc w:val="center"/>
              <w:rPr>
                <w:rFonts w:ascii="宋体" w:hAnsi="宋体"/>
                <w:sz w:val="24"/>
              </w:rPr>
            </w:pPr>
            <w:r>
              <w:rPr>
                <w:rFonts w:ascii="宋体" w:hAnsi="宋体"/>
                <w:sz w:val="24"/>
              </w:rPr>
            </w:r>
            <w:r/>
          </w:p>
        </w:tc>
        <w:tc>
          <w:tcPr>
            <w:tcW w:w="2458" w:type="dxa"/>
            <w:vAlign w:val="center"/>
            <w:textDirection w:val="lrTb"/>
            <w:noWrap w:val="false"/>
          </w:tcPr>
          <w:p>
            <w:pPr>
              <w:pStyle w:val="1100"/>
              <w:jc w:val="center"/>
              <w:rPr>
                <w:rFonts w:ascii="宋体" w:hAnsi="宋体"/>
                <w:sz w:val="24"/>
              </w:rPr>
            </w:pPr>
            <w:r>
              <w:rPr>
                <w:rFonts w:ascii="宋体" w:hAnsi="宋体"/>
                <w:sz w:val="24"/>
              </w:rPr>
            </w:r>
            <w:r/>
          </w:p>
        </w:tc>
        <w:tc>
          <w:tcPr>
            <w:tcW w:w="788" w:type="dxa"/>
            <w:vAlign w:val="center"/>
            <w:textDirection w:val="lrTb"/>
            <w:noWrap w:val="false"/>
          </w:tcPr>
          <w:p>
            <w:pPr>
              <w:pStyle w:val="1100"/>
              <w:jc w:val="center"/>
              <w:rPr>
                <w:rFonts w:ascii="宋体" w:hAnsi="宋体"/>
                <w:sz w:val="24"/>
              </w:rPr>
            </w:pPr>
            <w:r>
              <w:rPr>
                <w:rFonts w:ascii="宋体" w:hAnsi="宋体"/>
                <w:sz w:val="24"/>
              </w:rPr>
            </w:r>
            <w:r/>
          </w:p>
        </w:tc>
      </w:tr>
    </w:tbl>
    <w:p>
      <w:pPr>
        <w:pStyle w:val="1100"/>
        <w:jc w:val="left"/>
        <w:tabs>
          <w:tab w:val="left" w:pos="1800" w:leader="none"/>
          <w:tab w:val="left" w:pos="5580" w:leader="none"/>
        </w:tabs>
        <w:rPr>
          <w:rFonts w:ascii="宋体" w:hAnsi="宋体"/>
          <w:sz w:val="24"/>
        </w:rPr>
      </w:pPr>
      <w:r>
        <w:rPr>
          <w:rFonts w:ascii="宋体" w:hAnsi="宋体"/>
          <w:sz w:val="24"/>
        </w:rPr>
      </w:r>
      <w:r/>
    </w:p>
    <w:p>
      <w:pPr>
        <w:pStyle w:val="1100"/>
        <w:jc w:val="left"/>
        <w:tabs>
          <w:tab w:val="left" w:pos="1800" w:leader="none"/>
          <w:tab w:val="left" w:pos="5580" w:leader="none"/>
        </w:tabs>
        <w:rPr>
          <w:rFonts w:ascii="宋体" w:hAnsi="宋体"/>
          <w:sz w:val="24"/>
        </w:rPr>
      </w:pPr>
      <w:r>
        <w:rPr>
          <w:rFonts w:ascii="宋体" w:hAnsi="宋体"/>
          <w:sz w:val="24"/>
        </w:rPr>
        <w:t xml:space="preserve">注：</w:t>
      </w:r>
      <w:r/>
    </w:p>
    <w:p>
      <w:pPr>
        <w:pStyle w:val="110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100"/>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100"/>
        <w:spacing w:line="360" w:lineRule="auto"/>
        <w:rPr>
          <w:rFonts w:ascii="宋体" w:hAnsi="宋体"/>
          <w:sz w:val="24"/>
          <w:szCs w:val="20"/>
        </w:rPr>
      </w:pPr>
      <w:r>
        <w:rPr>
          <w:rFonts w:ascii="宋体" w:hAnsi="宋体"/>
          <w:sz w:val="24"/>
          <w:szCs w:val="20"/>
        </w:rPr>
      </w:r>
      <w:r/>
    </w:p>
    <w:p>
      <w:pPr>
        <w:pStyle w:val="1100"/>
        <w:spacing w:before="25" w:after="25" w:line="360" w:lineRule="auto"/>
        <w:rPr>
          <w:rFonts w:ascii="宋体" w:hAnsi="宋体"/>
          <w:sz w:val="24"/>
          <w:lang w:val="zh-CN"/>
        </w:rPr>
      </w:pPr>
      <w:r>
        <w:rPr>
          <w:rFonts w:ascii="宋体" w:hAnsi="宋体"/>
          <w:sz w:val="24"/>
          <w:lang w:val="zh-CN"/>
        </w:rPr>
        <w:t xml:space="preserve">                      </w:t>
      </w:r>
      <w:r/>
    </w:p>
    <w:p>
      <w:pPr>
        <w:pStyle w:val="110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10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0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ascii="宋体" w:hAnsi="宋体"/>
          <w:b/>
          <w:sz w:val="24"/>
          <w:szCs w:val="20"/>
        </w:rPr>
        <w:t xml:space="preserve">采购需求偏离表（实质性格式）</w:t>
      </w:r>
      <w:r/>
    </w:p>
    <w:p>
      <w:pPr>
        <w:pStyle w:val="1100"/>
        <w:jc w:val="center"/>
        <w:spacing w:line="360" w:lineRule="auto"/>
        <w:rPr>
          <w:rFonts w:hint="eastAsia" w:ascii="宋体" w:hAnsi="宋体"/>
          <w:b/>
          <w:sz w:val="36"/>
          <w:szCs w:val="36"/>
        </w:rPr>
      </w:pPr>
      <w:r>
        <w:rPr>
          <w:rFonts w:hint="eastAsia" w:ascii="宋体" w:hAnsi="宋体"/>
          <w:b/>
          <w:sz w:val="36"/>
          <w:szCs w:val="36"/>
        </w:rPr>
      </w:r>
      <w:r/>
    </w:p>
    <w:p>
      <w:pPr>
        <w:pStyle w:val="1100"/>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100"/>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00"/>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100"/>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100"/>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100"/>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100"/>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100"/>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100"/>
              <w:jc w:val="center"/>
              <w:rPr>
                <w:rFonts w:ascii="宋体" w:hAnsi="宋体"/>
                <w:sz w:val="24"/>
              </w:rPr>
            </w:pPr>
            <w:r>
              <w:rPr>
                <w:rFonts w:ascii="宋体" w:hAnsi="宋体"/>
                <w:sz w:val="24"/>
              </w:rPr>
            </w:r>
            <w:r/>
          </w:p>
        </w:tc>
        <w:tc>
          <w:tcPr>
            <w:tcW w:w="1482" w:type="dxa"/>
            <w:vAlign w:val="center"/>
            <w:textDirection w:val="lrTb"/>
            <w:noWrap w:val="false"/>
          </w:tcPr>
          <w:p>
            <w:pPr>
              <w:pStyle w:val="1100"/>
              <w:jc w:val="center"/>
              <w:rPr>
                <w:rFonts w:ascii="宋体" w:hAnsi="宋体"/>
                <w:sz w:val="24"/>
              </w:rPr>
            </w:pPr>
            <w:r>
              <w:rPr>
                <w:rFonts w:ascii="宋体" w:hAnsi="宋体"/>
                <w:sz w:val="24"/>
              </w:rPr>
            </w:r>
            <w:r/>
          </w:p>
        </w:tc>
        <w:tc>
          <w:tcPr>
            <w:tcW w:w="2384" w:type="dxa"/>
            <w:vAlign w:val="center"/>
            <w:textDirection w:val="lrTb"/>
            <w:noWrap w:val="false"/>
          </w:tcPr>
          <w:p>
            <w:pPr>
              <w:pStyle w:val="1100"/>
              <w:jc w:val="center"/>
              <w:rPr>
                <w:rFonts w:ascii="宋体" w:hAnsi="宋体"/>
                <w:sz w:val="24"/>
              </w:rPr>
            </w:pPr>
            <w:r>
              <w:rPr>
                <w:rFonts w:ascii="宋体" w:hAnsi="宋体"/>
                <w:sz w:val="24"/>
              </w:rPr>
            </w:r>
            <w:r/>
          </w:p>
        </w:tc>
        <w:tc>
          <w:tcPr>
            <w:tcW w:w="2126" w:type="dxa"/>
            <w:vAlign w:val="center"/>
            <w:textDirection w:val="lrTb"/>
            <w:noWrap w:val="false"/>
          </w:tcPr>
          <w:p>
            <w:pPr>
              <w:pStyle w:val="1100"/>
              <w:jc w:val="center"/>
              <w:rPr>
                <w:rFonts w:ascii="宋体" w:hAnsi="宋体"/>
                <w:sz w:val="24"/>
              </w:rPr>
            </w:pPr>
            <w:r>
              <w:rPr>
                <w:rFonts w:ascii="宋体" w:hAnsi="宋体"/>
                <w:sz w:val="24"/>
              </w:rPr>
            </w:r>
            <w:r/>
          </w:p>
        </w:tc>
        <w:tc>
          <w:tcPr>
            <w:tcW w:w="1875" w:type="dxa"/>
            <w:vAlign w:val="center"/>
            <w:textDirection w:val="lrTb"/>
            <w:noWrap w:val="false"/>
          </w:tcPr>
          <w:p>
            <w:pPr>
              <w:pStyle w:val="1100"/>
              <w:jc w:val="center"/>
              <w:rPr>
                <w:rFonts w:ascii="宋体" w:hAnsi="宋体"/>
                <w:sz w:val="24"/>
              </w:rPr>
            </w:pPr>
            <w:r>
              <w:rPr>
                <w:rFonts w:ascii="宋体" w:hAnsi="宋体"/>
                <w:sz w:val="24"/>
              </w:rPr>
            </w:r>
            <w:r/>
          </w:p>
        </w:tc>
        <w:tc>
          <w:tcPr>
            <w:tcW w:w="1009" w:type="dxa"/>
            <w:vAlign w:val="center"/>
            <w:textDirection w:val="lrTb"/>
            <w:noWrap w:val="false"/>
          </w:tcPr>
          <w:p>
            <w:pPr>
              <w:pStyle w:val="110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00"/>
              <w:jc w:val="center"/>
              <w:rPr>
                <w:rFonts w:ascii="宋体" w:hAnsi="宋体"/>
                <w:sz w:val="24"/>
              </w:rPr>
            </w:pPr>
            <w:r>
              <w:rPr>
                <w:rFonts w:ascii="宋体" w:hAnsi="宋体"/>
                <w:sz w:val="24"/>
              </w:rPr>
            </w:r>
            <w:r/>
          </w:p>
        </w:tc>
        <w:tc>
          <w:tcPr>
            <w:tcW w:w="1482" w:type="dxa"/>
            <w:vAlign w:val="center"/>
            <w:textDirection w:val="lrTb"/>
            <w:noWrap w:val="false"/>
          </w:tcPr>
          <w:p>
            <w:pPr>
              <w:pStyle w:val="1100"/>
              <w:jc w:val="center"/>
              <w:rPr>
                <w:rFonts w:ascii="宋体" w:hAnsi="宋体"/>
                <w:sz w:val="24"/>
              </w:rPr>
            </w:pPr>
            <w:r>
              <w:rPr>
                <w:rFonts w:ascii="宋体" w:hAnsi="宋体"/>
                <w:sz w:val="24"/>
              </w:rPr>
            </w:r>
            <w:r/>
          </w:p>
        </w:tc>
        <w:tc>
          <w:tcPr>
            <w:tcW w:w="2384" w:type="dxa"/>
            <w:vAlign w:val="center"/>
            <w:textDirection w:val="lrTb"/>
            <w:noWrap w:val="false"/>
          </w:tcPr>
          <w:p>
            <w:pPr>
              <w:pStyle w:val="1100"/>
              <w:jc w:val="center"/>
              <w:rPr>
                <w:rFonts w:ascii="宋体" w:hAnsi="宋体"/>
                <w:sz w:val="24"/>
              </w:rPr>
            </w:pPr>
            <w:r>
              <w:rPr>
                <w:rFonts w:ascii="宋体" w:hAnsi="宋体"/>
                <w:sz w:val="24"/>
              </w:rPr>
            </w:r>
            <w:r/>
          </w:p>
        </w:tc>
        <w:tc>
          <w:tcPr>
            <w:tcW w:w="2126" w:type="dxa"/>
            <w:vAlign w:val="center"/>
            <w:textDirection w:val="lrTb"/>
            <w:noWrap w:val="false"/>
          </w:tcPr>
          <w:p>
            <w:pPr>
              <w:pStyle w:val="1100"/>
              <w:jc w:val="center"/>
              <w:rPr>
                <w:rFonts w:ascii="宋体" w:hAnsi="宋体"/>
                <w:sz w:val="24"/>
              </w:rPr>
            </w:pPr>
            <w:r>
              <w:rPr>
                <w:rFonts w:ascii="宋体" w:hAnsi="宋体"/>
                <w:sz w:val="24"/>
              </w:rPr>
            </w:r>
            <w:r/>
          </w:p>
        </w:tc>
        <w:tc>
          <w:tcPr>
            <w:tcW w:w="1875" w:type="dxa"/>
            <w:vAlign w:val="center"/>
            <w:textDirection w:val="lrTb"/>
            <w:noWrap w:val="false"/>
          </w:tcPr>
          <w:p>
            <w:pPr>
              <w:pStyle w:val="1100"/>
              <w:jc w:val="center"/>
              <w:rPr>
                <w:rFonts w:ascii="宋体" w:hAnsi="宋体"/>
                <w:sz w:val="24"/>
              </w:rPr>
            </w:pPr>
            <w:r>
              <w:rPr>
                <w:rFonts w:ascii="宋体" w:hAnsi="宋体"/>
                <w:sz w:val="24"/>
              </w:rPr>
            </w:r>
            <w:r/>
          </w:p>
        </w:tc>
        <w:tc>
          <w:tcPr>
            <w:tcW w:w="1009" w:type="dxa"/>
            <w:vAlign w:val="center"/>
            <w:textDirection w:val="lrTb"/>
            <w:noWrap w:val="false"/>
          </w:tcPr>
          <w:p>
            <w:pPr>
              <w:pStyle w:val="110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00"/>
              <w:jc w:val="center"/>
              <w:rPr>
                <w:rFonts w:ascii="宋体" w:hAnsi="宋体"/>
                <w:sz w:val="24"/>
              </w:rPr>
            </w:pPr>
            <w:r>
              <w:rPr>
                <w:rFonts w:ascii="宋体" w:hAnsi="宋体"/>
                <w:sz w:val="24"/>
              </w:rPr>
            </w:r>
            <w:r/>
          </w:p>
        </w:tc>
        <w:tc>
          <w:tcPr>
            <w:tcW w:w="1482" w:type="dxa"/>
            <w:vAlign w:val="center"/>
            <w:textDirection w:val="lrTb"/>
            <w:noWrap w:val="false"/>
          </w:tcPr>
          <w:p>
            <w:pPr>
              <w:pStyle w:val="1100"/>
              <w:jc w:val="center"/>
              <w:rPr>
                <w:rFonts w:ascii="宋体" w:hAnsi="宋体"/>
                <w:sz w:val="24"/>
              </w:rPr>
            </w:pPr>
            <w:r>
              <w:rPr>
                <w:rFonts w:ascii="宋体" w:hAnsi="宋体"/>
                <w:sz w:val="24"/>
              </w:rPr>
            </w:r>
            <w:r/>
          </w:p>
        </w:tc>
        <w:tc>
          <w:tcPr>
            <w:tcW w:w="2384" w:type="dxa"/>
            <w:vAlign w:val="center"/>
            <w:textDirection w:val="lrTb"/>
            <w:noWrap w:val="false"/>
          </w:tcPr>
          <w:p>
            <w:pPr>
              <w:pStyle w:val="1100"/>
              <w:jc w:val="center"/>
              <w:rPr>
                <w:rFonts w:ascii="宋体" w:hAnsi="宋体"/>
                <w:sz w:val="24"/>
              </w:rPr>
            </w:pPr>
            <w:r>
              <w:rPr>
                <w:rFonts w:ascii="宋体" w:hAnsi="宋体"/>
                <w:sz w:val="24"/>
              </w:rPr>
            </w:r>
            <w:r/>
          </w:p>
        </w:tc>
        <w:tc>
          <w:tcPr>
            <w:tcW w:w="2126" w:type="dxa"/>
            <w:vAlign w:val="center"/>
            <w:textDirection w:val="lrTb"/>
            <w:noWrap w:val="false"/>
          </w:tcPr>
          <w:p>
            <w:pPr>
              <w:pStyle w:val="1100"/>
              <w:jc w:val="center"/>
              <w:rPr>
                <w:rFonts w:ascii="宋体" w:hAnsi="宋体"/>
                <w:sz w:val="24"/>
              </w:rPr>
            </w:pPr>
            <w:r>
              <w:rPr>
                <w:rFonts w:ascii="宋体" w:hAnsi="宋体"/>
                <w:sz w:val="24"/>
              </w:rPr>
            </w:r>
            <w:r/>
          </w:p>
        </w:tc>
        <w:tc>
          <w:tcPr>
            <w:tcW w:w="1875" w:type="dxa"/>
            <w:vAlign w:val="center"/>
            <w:textDirection w:val="lrTb"/>
            <w:noWrap w:val="false"/>
          </w:tcPr>
          <w:p>
            <w:pPr>
              <w:pStyle w:val="1100"/>
              <w:jc w:val="center"/>
              <w:rPr>
                <w:rFonts w:ascii="宋体" w:hAnsi="宋体"/>
                <w:sz w:val="24"/>
              </w:rPr>
            </w:pPr>
            <w:r>
              <w:rPr>
                <w:rFonts w:ascii="宋体" w:hAnsi="宋体"/>
                <w:sz w:val="24"/>
              </w:rPr>
            </w:r>
            <w:r/>
          </w:p>
        </w:tc>
        <w:tc>
          <w:tcPr>
            <w:tcW w:w="1009" w:type="dxa"/>
            <w:vAlign w:val="center"/>
            <w:textDirection w:val="lrTb"/>
            <w:noWrap w:val="false"/>
          </w:tcPr>
          <w:p>
            <w:pPr>
              <w:pStyle w:val="110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00"/>
              <w:jc w:val="center"/>
              <w:rPr>
                <w:rFonts w:ascii="宋体" w:hAnsi="宋体"/>
                <w:sz w:val="24"/>
              </w:rPr>
            </w:pPr>
            <w:r>
              <w:rPr>
                <w:rFonts w:ascii="宋体" w:hAnsi="宋体"/>
                <w:sz w:val="24"/>
              </w:rPr>
            </w:r>
            <w:r/>
          </w:p>
        </w:tc>
        <w:tc>
          <w:tcPr>
            <w:tcW w:w="1482" w:type="dxa"/>
            <w:vAlign w:val="center"/>
            <w:textDirection w:val="lrTb"/>
            <w:noWrap w:val="false"/>
          </w:tcPr>
          <w:p>
            <w:pPr>
              <w:pStyle w:val="1100"/>
              <w:jc w:val="center"/>
              <w:rPr>
                <w:rFonts w:ascii="宋体" w:hAnsi="宋体"/>
                <w:sz w:val="24"/>
              </w:rPr>
            </w:pPr>
            <w:r>
              <w:rPr>
                <w:rFonts w:ascii="宋体" w:hAnsi="宋体"/>
                <w:sz w:val="24"/>
              </w:rPr>
            </w:r>
            <w:r/>
          </w:p>
        </w:tc>
        <w:tc>
          <w:tcPr>
            <w:tcW w:w="2384" w:type="dxa"/>
            <w:vAlign w:val="center"/>
            <w:textDirection w:val="lrTb"/>
            <w:noWrap w:val="false"/>
          </w:tcPr>
          <w:p>
            <w:pPr>
              <w:pStyle w:val="1100"/>
              <w:jc w:val="center"/>
              <w:rPr>
                <w:rFonts w:ascii="宋体" w:hAnsi="宋体"/>
                <w:sz w:val="24"/>
              </w:rPr>
            </w:pPr>
            <w:r>
              <w:rPr>
                <w:rFonts w:ascii="宋体" w:hAnsi="宋体"/>
                <w:sz w:val="24"/>
              </w:rPr>
            </w:r>
            <w:r/>
          </w:p>
        </w:tc>
        <w:tc>
          <w:tcPr>
            <w:tcW w:w="2126" w:type="dxa"/>
            <w:vAlign w:val="center"/>
            <w:textDirection w:val="lrTb"/>
            <w:noWrap w:val="false"/>
          </w:tcPr>
          <w:p>
            <w:pPr>
              <w:pStyle w:val="1100"/>
              <w:jc w:val="center"/>
              <w:rPr>
                <w:rFonts w:ascii="宋体" w:hAnsi="宋体"/>
                <w:sz w:val="24"/>
              </w:rPr>
            </w:pPr>
            <w:r>
              <w:rPr>
                <w:rFonts w:ascii="宋体" w:hAnsi="宋体"/>
                <w:sz w:val="24"/>
              </w:rPr>
            </w:r>
            <w:r/>
          </w:p>
        </w:tc>
        <w:tc>
          <w:tcPr>
            <w:tcW w:w="1875" w:type="dxa"/>
            <w:vAlign w:val="center"/>
            <w:textDirection w:val="lrTb"/>
            <w:noWrap w:val="false"/>
          </w:tcPr>
          <w:p>
            <w:pPr>
              <w:pStyle w:val="1100"/>
              <w:jc w:val="center"/>
              <w:rPr>
                <w:rFonts w:ascii="宋体" w:hAnsi="宋体"/>
                <w:sz w:val="24"/>
              </w:rPr>
            </w:pPr>
            <w:r>
              <w:rPr>
                <w:rFonts w:ascii="宋体" w:hAnsi="宋体"/>
                <w:sz w:val="24"/>
              </w:rPr>
            </w:r>
            <w:r/>
          </w:p>
        </w:tc>
        <w:tc>
          <w:tcPr>
            <w:tcW w:w="1009" w:type="dxa"/>
            <w:vAlign w:val="center"/>
            <w:textDirection w:val="lrTb"/>
            <w:noWrap w:val="false"/>
          </w:tcPr>
          <w:p>
            <w:pPr>
              <w:pStyle w:val="110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00"/>
              <w:jc w:val="center"/>
              <w:rPr>
                <w:rFonts w:ascii="宋体" w:hAnsi="宋体"/>
                <w:sz w:val="24"/>
              </w:rPr>
            </w:pPr>
            <w:r>
              <w:rPr>
                <w:rFonts w:ascii="宋体" w:hAnsi="宋体"/>
                <w:sz w:val="24"/>
              </w:rPr>
            </w:r>
            <w:r/>
          </w:p>
        </w:tc>
        <w:tc>
          <w:tcPr>
            <w:tcW w:w="1482" w:type="dxa"/>
            <w:vAlign w:val="center"/>
            <w:textDirection w:val="lrTb"/>
            <w:noWrap w:val="false"/>
          </w:tcPr>
          <w:p>
            <w:pPr>
              <w:pStyle w:val="1100"/>
              <w:jc w:val="center"/>
              <w:rPr>
                <w:rFonts w:ascii="宋体" w:hAnsi="宋体"/>
                <w:sz w:val="24"/>
              </w:rPr>
            </w:pPr>
            <w:r>
              <w:rPr>
                <w:rFonts w:ascii="宋体" w:hAnsi="宋体"/>
                <w:sz w:val="24"/>
              </w:rPr>
            </w:r>
            <w:r/>
          </w:p>
        </w:tc>
        <w:tc>
          <w:tcPr>
            <w:tcW w:w="2384" w:type="dxa"/>
            <w:vAlign w:val="center"/>
            <w:textDirection w:val="lrTb"/>
            <w:noWrap w:val="false"/>
          </w:tcPr>
          <w:p>
            <w:pPr>
              <w:pStyle w:val="1100"/>
              <w:jc w:val="center"/>
              <w:rPr>
                <w:rFonts w:ascii="宋体" w:hAnsi="宋体"/>
                <w:sz w:val="24"/>
              </w:rPr>
            </w:pPr>
            <w:r>
              <w:rPr>
                <w:rFonts w:ascii="宋体" w:hAnsi="宋体"/>
                <w:sz w:val="24"/>
              </w:rPr>
            </w:r>
            <w:r/>
          </w:p>
        </w:tc>
        <w:tc>
          <w:tcPr>
            <w:tcW w:w="2126" w:type="dxa"/>
            <w:vAlign w:val="center"/>
            <w:textDirection w:val="lrTb"/>
            <w:noWrap w:val="false"/>
          </w:tcPr>
          <w:p>
            <w:pPr>
              <w:pStyle w:val="1100"/>
              <w:jc w:val="center"/>
              <w:rPr>
                <w:rFonts w:ascii="宋体" w:hAnsi="宋体"/>
                <w:sz w:val="24"/>
              </w:rPr>
            </w:pPr>
            <w:r>
              <w:rPr>
                <w:rFonts w:ascii="宋体" w:hAnsi="宋体"/>
                <w:sz w:val="24"/>
              </w:rPr>
            </w:r>
            <w:r/>
          </w:p>
        </w:tc>
        <w:tc>
          <w:tcPr>
            <w:tcW w:w="1875" w:type="dxa"/>
            <w:vAlign w:val="center"/>
            <w:textDirection w:val="lrTb"/>
            <w:noWrap w:val="false"/>
          </w:tcPr>
          <w:p>
            <w:pPr>
              <w:pStyle w:val="1100"/>
              <w:jc w:val="center"/>
              <w:rPr>
                <w:rFonts w:ascii="宋体" w:hAnsi="宋体"/>
                <w:sz w:val="24"/>
              </w:rPr>
            </w:pPr>
            <w:r>
              <w:rPr>
                <w:rFonts w:ascii="宋体" w:hAnsi="宋体"/>
                <w:sz w:val="24"/>
              </w:rPr>
            </w:r>
            <w:r/>
          </w:p>
        </w:tc>
        <w:tc>
          <w:tcPr>
            <w:tcW w:w="1009" w:type="dxa"/>
            <w:vAlign w:val="center"/>
            <w:textDirection w:val="lrTb"/>
            <w:noWrap w:val="false"/>
          </w:tcPr>
          <w:p>
            <w:pPr>
              <w:pStyle w:val="110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00"/>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100"/>
              <w:jc w:val="center"/>
              <w:rPr>
                <w:rFonts w:ascii="宋体" w:hAnsi="宋体"/>
                <w:sz w:val="24"/>
              </w:rPr>
            </w:pPr>
            <w:r>
              <w:rPr>
                <w:rFonts w:ascii="宋体" w:hAnsi="宋体"/>
                <w:sz w:val="24"/>
              </w:rPr>
            </w:r>
            <w:r/>
          </w:p>
        </w:tc>
        <w:tc>
          <w:tcPr>
            <w:tcW w:w="2384" w:type="dxa"/>
            <w:vAlign w:val="center"/>
            <w:textDirection w:val="lrTb"/>
            <w:noWrap w:val="false"/>
          </w:tcPr>
          <w:p>
            <w:pPr>
              <w:pStyle w:val="1100"/>
              <w:jc w:val="center"/>
              <w:rPr>
                <w:rFonts w:ascii="宋体" w:hAnsi="宋体"/>
                <w:sz w:val="24"/>
              </w:rPr>
            </w:pPr>
            <w:r>
              <w:rPr>
                <w:rFonts w:ascii="宋体" w:hAnsi="宋体"/>
                <w:sz w:val="24"/>
              </w:rPr>
            </w:r>
            <w:r/>
          </w:p>
        </w:tc>
        <w:tc>
          <w:tcPr>
            <w:tcW w:w="2126" w:type="dxa"/>
            <w:vAlign w:val="center"/>
            <w:textDirection w:val="lrTb"/>
            <w:noWrap w:val="false"/>
          </w:tcPr>
          <w:p>
            <w:pPr>
              <w:pStyle w:val="1100"/>
              <w:jc w:val="center"/>
              <w:rPr>
                <w:rFonts w:ascii="宋体" w:hAnsi="宋体"/>
                <w:sz w:val="24"/>
              </w:rPr>
            </w:pPr>
            <w:r>
              <w:rPr>
                <w:rFonts w:ascii="宋体" w:hAnsi="宋体"/>
                <w:sz w:val="24"/>
              </w:rPr>
            </w:r>
            <w:r/>
          </w:p>
        </w:tc>
        <w:tc>
          <w:tcPr>
            <w:tcW w:w="1875" w:type="dxa"/>
            <w:vAlign w:val="center"/>
            <w:textDirection w:val="lrTb"/>
            <w:noWrap w:val="false"/>
          </w:tcPr>
          <w:p>
            <w:pPr>
              <w:pStyle w:val="1100"/>
              <w:jc w:val="center"/>
              <w:rPr>
                <w:rFonts w:ascii="宋体" w:hAnsi="宋体"/>
                <w:sz w:val="24"/>
              </w:rPr>
            </w:pPr>
            <w:r>
              <w:rPr>
                <w:rFonts w:ascii="宋体" w:hAnsi="宋体"/>
                <w:sz w:val="24"/>
              </w:rPr>
            </w:r>
            <w:r/>
          </w:p>
        </w:tc>
        <w:tc>
          <w:tcPr>
            <w:tcW w:w="1009" w:type="dxa"/>
            <w:vAlign w:val="center"/>
            <w:textDirection w:val="lrTb"/>
            <w:noWrap w:val="false"/>
          </w:tcPr>
          <w:p>
            <w:pPr>
              <w:pStyle w:val="1100"/>
              <w:jc w:val="center"/>
              <w:rPr>
                <w:rFonts w:ascii="宋体" w:hAnsi="宋体"/>
                <w:sz w:val="24"/>
              </w:rPr>
            </w:pPr>
            <w:r>
              <w:rPr>
                <w:rFonts w:ascii="宋体" w:hAnsi="宋体"/>
                <w:sz w:val="24"/>
              </w:rPr>
            </w:r>
            <w:r/>
          </w:p>
        </w:tc>
      </w:tr>
    </w:tbl>
    <w:p>
      <w:pPr>
        <w:pStyle w:val="1100"/>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100"/>
        <w:jc w:val="left"/>
        <w:tabs>
          <w:tab w:val="left" w:pos="1800" w:leader="none"/>
          <w:tab w:val="left" w:pos="5580" w:leader="none"/>
        </w:tabs>
        <w:rPr>
          <w:rFonts w:ascii="宋体" w:hAnsi="宋体"/>
          <w:sz w:val="24"/>
        </w:rPr>
      </w:pPr>
      <w:r>
        <w:rPr>
          <w:rFonts w:ascii="宋体" w:hAnsi="宋体"/>
          <w:sz w:val="24"/>
        </w:rPr>
        <w:t xml:space="preserve">注：</w:t>
      </w:r>
      <w:r/>
    </w:p>
    <w:p>
      <w:pPr>
        <w:pStyle w:val="110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100"/>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100"/>
        <w:jc w:val="left"/>
        <w:tabs>
          <w:tab w:val="left" w:pos="1800" w:leader="none"/>
          <w:tab w:val="left" w:pos="5580" w:leader="none"/>
        </w:tabs>
        <w:rPr>
          <w:rFonts w:ascii="宋体" w:hAnsi="宋体"/>
          <w:sz w:val="24"/>
        </w:rPr>
      </w:pPr>
      <w:r>
        <w:rPr>
          <w:rFonts w:ascii="宋体" w:hAnsi="宋体"/>
          <w:sz w:val="24"/>
        </w:rPr>
      </w:r>
      <w:r/>
    </w:p>
    <w:p>
      <w:pPr>
        <w:pStyle w:val="1100"/>
        <w:jc w:val="left"/>
        <w:tabs>
          <w:tab w:val="left" w:pos="1800" w:leader="none"/>
          <w:tab w:val="left" w:pos="5580" w:leader="none"/>
        </w:tabs>
        <w:rPr>
          <w:rFonts w:ascii="宋体" w:hAnsi="宋体"/>
          <w:sz w:val="24"/>
        </w:rPr>
      </w:pPr>
      <w:r>
        <w:rPr>
          <w:rFonts w:ascii="宋体" w:hAnsi="宋体"/>
          <w:sz w:val="24"/>
        </w:rPr>
      </w:r>
      <w:r/>
    </w:p>
    <w:p>
      <w:pPr>
        <w:pStyle w:val="1100"/>
        <w:rPr>
          <w:rFonts w:ascii="宋体" w:hAnsi="宋体"/>
          <w:sz w:val="24"/>
          <w:szCs w:val="20"/>
        </w:rPr>
      </w:pPr>
      <w:r>
        <w:rPr>
          <w:rFonts w:ascii="宋体" w:hAnsi="宋体"/>
          <w:sz w:val="24"/>
          <w:szCs w:val="20"/>
        </w:rPr>
      </w:r>
      <w:r/>
    </w:p>
    <w:p>
      <w:pPr>
        <w:pStyle w:val="1100"/>
        <w:spacing w:before="25" w:after="25" w:line="360" w:lineRule="auto"/>
        <w:rPr>
          <w:rFonts w:ascii="宋体" w:hAnsi="宋体"/>
          <w:sz w:val="24"/>
          <w:lang w:val="zh-CN"/>
        </w:rPr>
      </w:pPr>
      <w:r>
        <w:rPr>
          <w:rFonts w:ascii="宋体" w:hAnsi="宋体"/>
          <w:sz w:val="24"/>
          <w:lang w:val="zh-CN"/>
        </w:rPr>
        <w:t xml:space="preserve">                  </w:t>
      </w:r>
      <w:r/>
    </w:p>
    <w:p>
      <w:pPr>
        <w:pStyle w:val="110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0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00"/>
        <w:spacing w:line="360" w:lineRule="auto"/>
        <w:rPr>
          <w:rFonts w:ascii="宋体" w:hAnsi="宋体"/>
          <w:sz w:val="24"/>
          <w:szCs w:val="20"/>
        </w:rPr>
        <w:outlineLvl w:val="2"/>
      </w:pPr>
      <w:r>
        <w:rPr>
          <w:rFonts w:ascii="宋体" w:hAnsi="宋体"/>
          <w:sz w:val="24"/>
          <w:szCs w:val="20"/>
        </w:rPr>
        <w:br w:type="page" w:clear="all"/>
      </w:r>
      <w:r>
        <w:rPr>
          <w:rFonts w:ascii="宋体" w:hAnsi="宋体"/>
          <w:b/>
          <w:sz w:val="24"/>
          <w:szCs w:val="20"/>
        </w:rPr>
        <w:t xml:space="preserve">9</w:t>
      </w:r>
      <w:r>
        <w:rPr>
          <w:rFonts w:hint="eastAsia" w:ascii="宋体" w:hAnsi="宋体"/>
          <w:b/>
          <w:sz w:val="24"/>
          <w:szCs w:val="20"/>
        </w:rPr>
        <w:t xml:space="preserve"> </w:t>
      </w:r>
      <w:r>
        <w:rPr>
          <w:rFonts w:hint="eastAsia" w:ascii="宋体" w:hAnsi="宋体"/>
          <w:b/>
          <w:sz w:val="24"/>
          <w:szCs w:val="20"/>
        </w:rPr>
        <w:t xml:space="preserve">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162"/>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62"/>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6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75"/>
          <w:rFonts w:hint="eastAsia" w:ascii="方正魏碑_GBK" w:hAnsi="方正魏碑_GBK" w:eastAsia="方正魏碑_GBK" w:cs="方正魏碑_GBK"/>
          <w:color w:val="000000"/>
          <w:u w:val="single"/>
          <w:shd w:val="clear" w:color="auto" w:fill="ffffff"/>
        </w:rPr>
        <w:t xml:space="preserve">（产品名称1）</w:t>
      </w:r>
      <w:r>
        <w:rPr>
          <w:rStyle w:val="1175"/>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75"/>
          <w:rFonts w:hint="eastAsia" w:ascii="方正魏碑_GBK" w:hAnsi="方正魏碑_GBK" w:eastAsia="方正魏碑_GBK" w:cs="方正魏碑_GBK"/>
          <w:color w:val="000000"/>
          <w:u w:val="single"/>
          <w:shd w:val="clear" w:color="auto" w:fill="ffffff"/>
        </w:rPr>
        <w:t xml:space="preserve">（厂名）</w:t>
      </w:r>
      <w:r>
        <w:rPr>
          <w:rStyle w:val="1175"/>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75"/>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75"/>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75"/>
          <w:rFonts w:hint="eastAsia" w:ascii="方正魏碑_GBK" w:hAnsi="方正魏碑_GBK" w:eastAsia="方正魏碑_GBK" w:cs="方正魏碑_GBK"/>
          <w:color w:val="000000"/>
          <w:u w:val="single"/>
          <w:shd w:val="clear" w:color="auto" w:fill="ffffff"/>
        </w:rPr>
        <w:t xml:space="preserve">（规定</w:t>
      </w:r>
      <w:r>
        <w:rPr>
          <w:rStyle w:val="1175"/>
          <w:rFonts w:ascii="方正魏碑_GBK" w:hAnsi="方正魏碑_GBK" w:eastAsia="方正魏碑_GBK" w:cs="方正魏碑_GBK"/>
          <w:color w:val="000000"/>
          <w:u w:val="single"/>
          <w:shd w:val="clear" w:color="auto" w:fill="ffffff"/>
        </w:rPr>
        <w:t xml:space="preserve">比例</w:t>
      </w:r>
      <w:r>
        <w:rPr>
          <w:rStyle w:val="1175"/>
          <w:rFonts w:hint="eastAsia" w:ascii="方正魏碑_GBK" w:hAnsi="方正魏碑_GBK" w:eastAsia="方正魏碑_GBK" w:cs="方正魏碑_GBK"/>
          <w:color w:val="000000"/>
          <w:u w:val="single"/>
          <w:shd w:val="clear" w:color="auto" w:fill="ffffff"/>
        </w:rPr>
        <w:t xml:space="preserve">）</w:t>
      </w:r>
      <w:r>
        <w:rPr>
          <w:rStyle w:val="1175"/>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75"/>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75"/>
          <w:rFonts w:hint="eastAsia" w:ascii="方正魏碑_GBK" w:hAnsi="方正魏碑_GBK" w:eastAsia="方正魏碑_GBK" w:cs="方正魏碑_GBK"/>
          <w:color w:val="000000"/>
          <w:u w:val="single"/>
          <w:shd w:val="clear" w:color="auto" w:fill="ffffff"/>
        </w:rPr>
        <w:t xml:space="preserve">（关键</w:t>
      </w:r>
      <w:r>
        <w:rPr>
          <w:rStyle w:val="1175"/>
          <w:rFonts w:ascii="方正魏碑_GBK" w:hAnsi="方正魏碑_GBK" w:eastAsia="方正魏碑_GBK" w:cs="方正魏碑_GBK"/>
          <w:color w:val="000000"/>
          <w:u w:val="single"/>
          <w:shd w:val="clear" w:color="auto" w:fill="ffffff"/>
        </w:rPr>
        <w:t xml:space="preserve">组件</w:t>
      </w:r>
      <w:r>
        <w:rPr>
          <w:rStyle w:val="1175"/>
          <w:rFonts w:hint="eastAsia" w:ascii="方正魏碑_GBK" w:hAnsi="方正魏碑_GBK" w:eastAsia="方正魏碑_GBK" w:cs="方正魏碑_GBK"/>
          <w:color w:val="000000"/>
          <w:u w:val="single"/>
          <w:shd w:val="clear" w:color="auto" w:fill="ffffff"/>
        </w:rPr>
        <w:t xml:space="preserve">）</w:t>
      </w:r>
      <w:r>
        <w:rPr>
          <w:rStyle w:val="1175"/>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75"/>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75"/>
          <w:rFonts w:hint="eastAsia" w:ascii="方正魏碑_GBK" w:hAnsi="方正魏碑_GBK" w:eastAsia="方正魏碑_GBK" w:cs="方正魏碑_GBK"/>
          <w:color w:val="000000"/>
          <w:u w:val="single"/>
          <w:shd w:val="clear" w:color="auto" w:fill="ffffff"/>
        </w:rPr>
        <w:t xml:space="preserve">（关键工序）</w:t>
      </w:r>
      <w:r>
        <w:rPr>
          <w:rStyle w:val="1175"/>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6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75"/>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75"/>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75"/>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75"/>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75"/>
          <w:rFonts w:hint="eastAsia" w:ascii="方正魏碑_GBK" w:hAnsi="方正魏碑_GBK" w:eastAsia="方正魏碑_GBK" w:cs="方正魏碑_GBK"/>
          <w:color w:val="000000"/>
          <w:u w:val="single"/>
          <w:shd w:val="clear" w:color="auto" w:fill="ffffff"/>
        </w:rPr>
        <w:t xml:space="preserve">（规定</w:t>
      </w:r>
      <w:r>
        <w:rPr>
          <w:rStyle w:val="1175"/>
          <w:rFonts w:ascii="方正魏碑_GBK" w:hAnsi="方正魏碑_GBK" w:eastAsia="方正魏碑_GBK" w:cs="方正魏碑_GBK"/>
          <w:color w:val="000000"/>
          <w:u w:val="single"/>
          <w:shd w:val="clear" w:color="auto" w:fill="ffffff"/>
        </w:rPr>
        <w:t xml:space="preserve">比例</w:t>
      </w:r>
      <w:r>
        <w:rPr>
          <w:rStyle w:val="1175"/>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75"/>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75"/>
          <w:rFonts w:hint="eastAsia" w:ascii="方正魏碑_GBK" w:hAnsi="方正魏碑_GBK" w:eastAsia="方正魏碑_GBK" w:cs="方正魏碑_GBK"/>
          <w:color w:val="000000"/>
          <w:u w:val="single"/>
          <w:shd w:val="clear" w:color="auto" w:fill="ffffff"/>
        </w:rPr>
        <w:t xml:space="preserve">（关键</w:t>
      </w:r>
      <w:r>
        <w:rPr>
          <w:rStyle w:val="1175"/>
          <w:rFonts w:ascii="方正魏碑_GBK" w:hAnsi="方正魏碑_GBK" w:eastAsia="方正魏碑_GBK" w:cs="方正魏碑_GBK"/>
          <w:color w:val="000000"/>
          <w:u w:val="single"/>
          <w:shd w:val="clear" w:color="auto" w:fill="ffffff"/>
        </w:rPr>
        <w:t xml:space="preserve">组件</w:t>
      </w:r>
      <w:r>
        <w:rPr>
          <w:rStyle w:val="1175"/>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75"/>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75"/>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6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6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62"/>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62"/>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62"/>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62"/>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62"/>
        <w:spacing w:before="30" w:beforeAutospacing="0" w:after="30" w:afterAutospacing="0" w:line="0" w:lineRule="atLeast"/>
        <w:rPr>
          <w:rFonts w:hint="eastAsia" w:ascii="方正魏碑_GBK" w:hAnsi="方正魏碑_GBK" w:eastAsia="方正魏碑_GBK" w:cs="方正魏碑_GBK"/>
          <w:b/>
          <w:color w:val="ff0000"/>
          <w:sz w:val="22"/>
        </w:rPr>
      </w:pPr>
      <w:r>
        <w:rPr>
          <w:rFonts w:hint="eastAsia" w:ascii="方正魏碑_GBK" w:hAnsi="方正魏碑_GBK" w:eastAsia="方正魏碑_GBK" w:cs="方正魏碑_GBK"/>
          <w:b/>
          <w:color w:val="ff0000"/>
          <w:sz w:val="22"/>
          <w:shd w:val="clear" w:color="auto" w:fill="ffffff"/>
        </w:rPr>
        <w:t xml:space="preserve">1.产品如有型号，请在“产品名称”栏一并填写。</w:t>
      </w:r>
      <w:r>
        <w:rPr>
          <w:rFonts w:hint="eastAsia" w:ascii="方正魏碑_GBK" w:hAnsi="方正魏碑_GBK" w:eastAsia="方正魏碑_GBK" w:cs="方正魏碑_GBK"/>
          <w:b/>
          <w:color w:val="ff0000"/>
          <w:sz w:val="22"/>
        </w:rPr>
      </w:r>
      <w:r/>
    </w:p>
    <w:p>
      <w:pPr>
        <w:pStyle w:val="116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6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6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62"/>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62"/>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100"/>
        <w:rPr>
          <w:rFonts w:ascii="方正魏碑_GBK" w:hAnsi="方正魏碑_GBK" w:eastAsia="方正魏碑_GBK" w:cs="方正魏碑_GBK"/>
        </w:rPr>
      </w:pPr>
      <w:r>
        <w:rPr>
          <w:rFonts w:hint="eastAsia" w:ascii="宋体" w:hAnsi="宋体"/>
          <w:b/>
          <w:sz w:val="24"/>
        </w:rPr>
        <w:br w:type="page" w:clear="all"/>
      </w:r>
      <w:r>
        <w:rPr>
          <w:rFonts w:hint="eastAsia" w:ascii="宋体" w:hAnsi="宋体"/>
          <w:b/>
          <w:sz w:val="24"/>
        </w:rPr>
        <w:t xml:space="preserve">1</w:t>
      </w:r>
      <w:r>
        <w:rPr>
          <w:rFonts w:ascii="宋体" w:hAnsi="宋体"/>
          <w:b/>
          <w:sz w:val="24"/>
        </w:rPr>
        <w:t xml:space="preserve">0</w:t>
      </w:r>
      <w:r>
        <w:rPr>
          <w:rFonts w:ascii="宋体" w:hAnsi="宋体"/>
          <w:b/>
          <w:sz w:val="24"/>
        </w:rPr>
        <w:t xml:space="preserve">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1100"/>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100"/>
        <w:ind w:firstLine="480"/>
        <w:spacing w:line="560" w:lineRule="exact"/>
        <w:rPr>
          <w:rFonts w:hint="eastAsia" w:ascii="宋体" w:hAnsi="宋体"/>
          <w:sz w:val="24"/>
          <w:szCs w:val="20"/>
        </w:rPr>
      </w:pPr>
      <w:r>
        <w:rPr>
          <w:rFonts w:hint="eastAsia" w:ascii="宋体" w:hAnsi="宋体"/>
          <w:sz w:val="24"/>
          <w:szCs w:val="20"/>
        </w:rPr>
      </w:r>
      <w:r/>
    </w:p>
    <w:p>
      <w:pPr>
        <w:pStyle w:val="1100"/>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1</w:t>
      </w:r>
      <w:r>
        <w:rPr>
          <w:rFonts w:hint="eastAsia" w:ascii="宋体" w:hAnsi="宋体"/>
          <w:b/>
          <w:sz w:val="24"/>
        </w:rPr>
        <w:t xml:space="preserve">  参加本项目人员一览表</w:t>
      </w:r>
      <w:r>
        <w:rPr>
          <w:rFonts w:ascii="宋体" w:hAnsi="宋体"/>
          <w:b/>
          <w:sz w:val="24"/>
        </w:rPr>
      </w:r>
      <w:r/>
    </w:p>
    <w:p>
      <w:pPr>
        <w:pStyle w:val="1100"/>
        <w:jc w:val="center"/>
        <w:spacing w:line="360" w:lineRule="auto"/>
        <w:rPr>
          <w:rFonts w:hint="eastAsia" w:ascii="宋体" w:hAnsi="宋体"/>
          <w:b/>
          <w:sz w:val="32"/>
          <w:szCs w:val="32"/>
        </w:rPr>
      </w:pPr>
      <w:r>
        <w:rPr>
          <w:rFonts w:hint="eastAsia" w:ascii="宋体" w:hAnsi="宋体"/>
          <w:b/>
          <w:sz w:val="32"/>
          <w:szCs w:val="32"/>
        </w:rPr>
      </w:r>
      <w:r/>
    </w:p>
    <w:p>
      <w:pPr>
        <w:pStyle w:val="110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100"/>
        <w:spacing w:line="360" w:lineRule="auto"/>
        <w:rPr>
          <w:rFonts w:ascii="宋体" w:hAnsi="宋体"/>
          <w:sz w:val="22"/>
        </w:rPr>
      </w:pPr>
      <w:r>
        <w:rPr>
          <w:rFonts w:ascii="宋体" w:hAnsi="宋体"/>
          <w:sz w:val="22"/>
        </w:rPr>
      </w:r>
      <w:r/>
    </w:p>
    <w:p>
      <w:pPr>
        <w:pStyle w:val="110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100"/>
        <w:tabs>
          <w:tab w:val="left" w:pos="9765" w:leader="none"/>
        </w:tabs>
        <w:rPr>
          <w:rFonts w:ascii="宋体" w:hAnsi="宋体" w:cs="宋体"/>
          <w:b/>
          <w:sz w:val="24"/>
          <w:lang w:val="zh-CN"/>
        </w:rPr>
      </w:pPr>
      <w:r>
        <w:rPr>
          <w:rFonts w:ascii="宋体" w:hAnsi="宋体" w:cs="宋体"/>
          <w:b/>
          <w:sz w:val="24"/>
          <w:lang w:val="zh-CN"/>
        </w:rPr>
      </w:r>
      <w:r/>
    </w:p>
    <w:p>
      <w:pPr>
        <w:pStyle w:val="110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100"/>
        <w:spacing w:line="360" w:lineRule="auto"/>
        <w:rPr>
          <w:rFonts w:ascii="宋体" w:hAnsi="宋体"/>
          <w:sz w:val="24"/>
        </w:rPr>
      </w:pPr>
      <w:r>
        <w:rPr>
          <w:rFonts w:ascii="宋体" w:hAnsi="宋体"/>
          <w:sz w:val="24"/>
        </w:rPr>
      </w:r>
      <w:r/>
    </w:p>
    <w:p>
      <w:pPr>
        <w:pStyle w:val="110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0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00"/>
        <w:spacing w:line="360" w:lineRule="auto"/>
        <w:rPr>
          <w:rFonts w:ascii="宋体" w:hAnsi="宋体"/>
          <w:b/>
          <w:sz w:val="24"/>
          <w:szCs w:val="20"/>
        </w:rPr>
        <w:outlineLvl w:val="2"/>
      </w:pPr>
      <w:r>
        <w:rPr>
          <w:rFonts w:ascii="宋体" w:hAnsi="宋体"/>
          <w:sz w:val="22"/>
        </w:rPr>
        <w:br w:type="page" w:clear="all"/>
      </w:r>
      <w:bookmarkStart w:id="912" w:name="_Toc288738839"/>
      <w:r/>
      <w:bookmarkStart w:id="913" w:name="_Toc288738397"/>
      <w:r>
        <w:rPr>
          <w:rFonts w:hint="eastAsia" w:ascii="宋体" w:hAnsi="宋体"/>
          <w:b/>
          <w:sz w:val="24"/>
        </w:rPr>
        <w:t xml:space="preserve">1</w:t>
      </w:r>
      <w:r>
        <w:rPr>
          <w:rFonts w:ascii="宋体" w:hAnsi="宋体"/>
          <w:b/>
          <w:sz w:val="24"/>
        </w:rPr>
        <w:t xml:space="preserve">2</w:t>
      </w:r>
      <w:r>
        <w:rPr>
          <w:rFonts w:hint="eastAsia" w:ascii="宋体" w:hAnsi="宋体"/>
          <w:b/>
          <w:sz w:val="24"/>
        </w:rPr>
        <w:t xml:space="preserve">  相关业绩案例一览表</w:t>
      </w:r>
      <w:r>
        <w:rPr>
          <w:rFonts w:ascii="宋体" w:hAnsi="宋体"/>
          <w:b/>
          <w:sz w:val="24"/>
          <w:szCs w:val="20"/>
        </w:rPr>
      </w:r>
      <w:r/>
    </w:p>
    <w:p>
      <w:pPr>
        <w:pStyle w:val="1100"/>
        <w:rPr>
          <w:rFonts w:ascii="宋体" w:hAnsi="宋体"/>
          <w:sz w:val="24"/>
          <w:szCs w:val="20"/>
        </w:rPr>
      </w:pPr>
      <w:r>
        <w:rPr>
          <w:rFonts w:ascii="宋体" w:hAnsi="宋体"/>
          <w:sz w:val="24"/>
          <w:szCs w:val="20"/>
        </w:rPr>
      </w:r>
      <w:r/>
    </w:p>
    <w:p>
      <w:pPr>
        <w:pStyle w:val="1100"/>
        <w:jc w:val="center"/>
        <w:rPr>
          <w:rFonts w:ascii="宋体" w:hAnsi="宋体"/>
          <w:b/>
          <w:sz w:val="32"/>
          <w:szCs w:val="32"/>
        </w:rPr>
      </w:pPr>
      <w:r>
        <w:rPr>
          <w:rFonts w:hint="eastAsia" w:ascii="宋体" w:hAnsi="宋体"/>
          <w:b/>
          <w:sz w:val="32"/>
          <w:szCs w:val="32"/>
        </w:rPr>
        <w:t xml:space="preserve">相关业绩案例一览表</w:t>
      </w:r>
      <w:bookmarkEnd w:id="912"/>
      <w:r/>
      <w:bookmarkEnd w:id="913"/>
      <w:r>
        <w:rPr>
          <w:rFonts w:ascii="宋体" w:hAnsi="宋体"/>
          <w:b/>
          <w:sz w:val="32"/>
          <w:szCs w:val="32"/>
        </w:rPr>
      </w:r>
      <w:r/>
    </w:p>
    <w:p>
      <w:pPr>
        <w:pStyle w:val="1100"/>
        <w:jc w:val="center"/>
        <w:spacing w:line="360" w:lineRule="auto"/>
        <w:rPr>
          <w:rFonts w:ascii="宋体" w:hAnsi="宋体"/>
          <w:b/>
          <w:sz w:val="28"/>
          <w:szCs w:val="30"/>
        </w:rPr>
      </w:pPr>
      <w:r>
        <w:rPr>
          <w:rFonts w:ascii="宋体" w:hAnsi="宋体"/>
          <w:b/>
          <w:sz w:val="28"/>
          <w:szCs w:val="30"/>
        </w:rPr>
      </w:r>
      <w:r/>
    </w:p>
    <w:p>
      <w:pPr>
        <w:pStyle w:val="110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0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0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bl>
    <w:p>
      <w:pPr>
        <w:pStyle w:val="1100"/>
        <w:tabs>
          <w:tab w:val="left" w:pos="9765" w:leader="none"/>
        </w:tabs>
        <w:rPr>
          <w:rFonts w:ascii="宋体" w:hAnsi="宋体" w:cs="宋体"/>
          <w:sz w:val="24"/>
          <w:lang w:val="zh-CN"/>
        </w:rPr>
      </w:pPr>
      <w:r>
        <w:rPr>
          <w:rFonts w:ascii="宋体" w:hAnsi="宋体" w:cs="宋体"/>
          <w:sz w:val="24"/>
          <w:lang w:val="zh-CN"/>
        </w:rPr>
      </w:r>
      <w:r/>
    </w:p>
    <w:p>
      <w:pPr>
        <w:pStyle w:val="1100"/>
        <w:spacing w:line="360" w:lineRule="auto"/>
        <w:rPr>
          <w:rFonts w:ascii="宋体" w:hAnsi="宋体" w:cs="宋体"/>
          <w:sz w:val="24"/>
        </w:rPr>
      </w:pPr>
      <w:r>
        <w:rPr>
          <w:rFonts w:ascii="宋体" w:hAnsi="宋体" w:cs="宋体"/>
          <w:sz w:val="24"/>
        </w:rPr>
      </w:r>
      <w:r/>
    </w:p>
    <w:p>
      <w:pPr>
        <w:pStyle w:val="110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10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00"/>
        <w:spacing w:line="360" w:lineRule="auto"/>
        <w:rPr>
          <w:rFonts w:ascii="宋体" w:hAnsi="宋体"/>
        </w:rPr>
        <w:outlineLvl w:val="2"/>
      </w:pPr>
      <w:r>
        <w:rPr>
          <w:rFonts w:ascii="宋体" w:hAnsi="宋体"/>
        </w:rPr>
      </w:r>
      <w:r/>
    </w:p>
    <w:p>
      <w:pPr>
        <w:pStyle w:val="1100"/>
        <w:spacing w:line="360" w:lineRule="auto"/>
        <w:rPr>
          <w:rFonts w:ascii="宋体" w:hAnsi="宋体"/>
        </w:rPr>
        <w:outlineLvl w:val="2"/>
      </w:pPr>
      <w:r>
        <w:rPr>
          <w:rFonts w:ascii="宋体" w:hAnsi="宋体"/>
        </w:rPr>
      </w:r>
      <w:r/>
    </w:p>
    <w:p>
      <w:pPr>
        <w:pStyle w:val="1100"/>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rPr>
        <w:t xml:space="preserve">3</w:t>
      </w:r>
      <w:r>
        <w:rPr>
          <w:rFonts w:ascii="宋体" w:hAnsi="宋体"/>
          <w:b/>
          <w:sz w:val="24"/>
        </w:rPr>
        <w:t xml:space="preserve">  招标文件要求提供或投标人认为应附的其他材料</w:t>
      </w:r>
      <w:r>
        <w:rPr>
          <w:rFonts w:ascii="宋体" w:hAnsi="宋体"/>
          <w:b/>
          <w:sz w:val="24"/>
          <w:szCs w:val="20"/>
        </w:rPr>
      </w:r>
      <w:r/>
    </w:p>
    <w:p>
      <w:pPr>
        <w:pStyle w:val="1100"/>
        <w:jc w:val="left"/>
        <w:widowControl/>
        <w:rPr>
          <w:rFonts w:ascii="宋体" w:hAnsi="宋体"/>
          <w:b/>
          <w:sz w:val="36"/>
          <w:szCs w:val="36"/>
        </w:rPr>
      </w:pPr>
      <w:r>
        <w:rPr>
          <w:rFonts w:ascii="宋体" w:hAnsi="宋体"/>
          <w:b/>
          <w:sz w:val="36"/>
          <w:szCs w:val="36"/>
        </w:rPr>
      </w:r>
      <w:r/>
    </w:p>
    <w:p>
      <w:pPr>
        <w:pStyle w:val="1100"/>
        <w:jc w:val="left"/>
        <w:widowControl/>
        <w:rPr>
          <w:rFonts w:ascii="宋体" w:hAnsi="宋体"/>
          <w:b/>
          <w:sz w:val="36"/>
          <w:szCs w:val="36"/>
        </w:rPr>
      </w:pPr>
      <w:r>
        <w:rPr>
          <w:rFonts w:ascii="宋体" w:hAnsi="宋体"/>
          <w:b/>
          <w:sz w:val="36"/>
          <w:szCs w:val="36"/>
        </w:rPr>
      </w:r>
      <w:r/>
    </w:p>
    <w:p>
      <w:pPr>
        <w:pStyle w:val="1100"/>
        <w:jc w:val="left"/>
        <w:widowControl/>
        <w:rPr>
          <w:rFonts w:ascii="宋体" w:hAnsi="宋体"/>
          <w:b/>
          <w:sz w:val="36"/>
          <w:szCs w:val="36"/>
        </w:rPr>
      </w:pPr>
      <w:r>
        <w:rPr>
          <w:rFonts w:ascii="宋体" w:hAnsi="宋体"/>
          <w:b/>
          <w:sz w:val="36"/>
          <w:szCs w:val="36"/>
        </w:rPr>
      </w:r>
      <w:r/>
    </w:p>
    <w:p>
      <w:pPr>
        <w:pStyle w:val="1100"/>
        <w:jc w:val="left"/>
        <w:widowControl/>
        <w:rPr>
          <w:rFonts w:hint="eastAsia" w:ascii="宋体" w:hAnsi="宋体"/>
          <w:b/>
          <w:sz w:val="36"/>
          <w:szCs w:val="36"/>
        </w:rPr>
      </w:pPr>
      <w:r>
        <w:rPr>
          <w:rFonts w:hint="eastAsia" w:ascii="宋体" w:hAnsi="宋体"/>
          <w:b/>
          <w:sz w:val="36"/>
          <w:szCs w:val="36"/>
        </w:rPr>
      </w:r>
      <w:r/>
    </w:p>
    <w:p>
      <w:pPr>
        <w:pStyle w:val="1100"/>
        <w:rPr>
          <w:rFonts w:ascii="宋体" w:hAnsi="宋体"/>
          <w:sz w:val="36"/>
          <w:szCs w:val="36"/>
        </w:rPr>
      </w:pPr>
      <w:r>
        <w:rPr>
          <w:rFonts w:ascii="宋体" w:hAnsi="宋体"/>
          <w:sz w:val="36"/>
          <w:szCs w:val="36"/>
        </w:rPr>
      </w:r>
      <w:r/>
    </w:p>
    <w:p>
      <w:pPr>
        <w:pStyle w:val="1100"/>
        <w:rPr>
          <w:rFonts w:ascii="宋体" w:hAnsi="宋体"/>
          <w:sz w:val="36"/>
          <w:szCs w:val="36"/>
        </w:rPr>
      </w:pPr>
      <w:r>
        <w:rPr>
          <w:rFonts w:ascii="宋体" w:hAnsi="宋体"/>
          <w:sz w:val="36"/>
          <w:szCs w:val="36"/>
        </w:rPr>
      </w:r>
      <w:r/>
    </w:p>
    <w:p>
      <w:pPr>
        <w:pStyle w:val="1100"/>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100"/>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Gothic">
    <w:panose1 w:val="020B0609070205080204"/>
  </w:font>
  <w:font w:name="PMingLiU">
    <w:panose1 w:val="02020500000000000000"/>
  </w:font>
  <w:font w:name="CESI黑体-GB2312">
    <w:panose1 w:val="020B0503020202020204"/>
  </w:font>
  <w:font w:name="仿宋">
    <w:panose1 w:val="02010609060101010101"/>
  </w:font>
  <w:font w:name="等线 Light">
    <w:panose1 w:val="0201060003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ind w:right="360"/>
      <w:rPr>
        <w:rStyle w:val="1173"/>
      </w:rPr>
      <w:framePr w:wrap="around" w:vAnchor="text" w:hAnchor="margin" w:y="1"/>
    </w:pPr>
    <w:r>
      <w:rPr>
        <w:rStyle w:val="1173"/>
      </w:rPr>
    </w:r>
    <w:r/>
  </w:p>
  <w:p>
    <w:pPr>
      <w:pStyle w:val="1149"/>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rPr>
        <w:rStyle w:val="1173"/>
      </w:rPr>
      <w:framePr w:wrap="around" w:vAnchor="text" w:hAnchor="margin" w:xAlign="center" w:y="1"/>
    </w:pPr>
    <w:r>
      <w:fldChar w:fldCharType="begin"/>
    </w:r>
    <w:r>
      <w:rPr>
        <w:rStyle w:val="1173"/>
      </w:rPr>
      <w:instrText xml:space="preserve">PAGE  </w:instrText>
    </w:r>
    <w:r>
      <w:fldChar w:fldCharType="end"/>
    </w:r>
    <w:r>
      <w:rPr>
        <w:rStyle w:val="1173"/>
      </w:rPr>
    </w:r>
    <w:r/>
  </w:p>
  <w:p>
    <w:pPr>
      <w:pStyle w:val="114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rPr>
        <w:rStyle w:val="1173"/>
      </w:rPr>
      <w:framePr w:wrap="around" w:vAnchor="text" w:hAnchor="margin" w:xAlign="right" w:y="1"/>
    </w:pPr>
    <w:r>
      <w:rPr>
        <w:rStyle w:val="1173"/>
      </w:rPr>
    </w:r>
    <w:r/>
  </w:p>
  <w:p>
    <w:pPr>
      <w:pStyle w:val="114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rPr>
        <w:rStyle w:val="1173"/>
      </w:rPr>
      <w:framePr w:wrap="around" w:vAnchor="text" w:hAnchor="margin" w:xAlign="right" w:y="1"/>
    </w:pPr>
    <w:r>
      <w:rPr>
        <w:rStyle w:val="1173"/>
      </w:rPr>
      <w:fldChar w:fldCharType="begin"/>
    </w:r>
    <w:r>
      <w:rPr>
        <w:rStyle w:val="1173"/>
      </w:rPr>
      <w:instrText xml:space="preserve">PAGE  </w:instrText>
    </w:r>
    <w:r>
      <w:rPr>
        <w:rStyle w:val="1173"/>
      </w:rPr>
      <w:fldChar w:fldCharType="end"/>
    </w:r>
    <w:r>
      <w:rPr>
        <w:rStyle w:val="1173"/>
      </w:rPr>
    </w:r>
    <w:r/>
  </w:p>
  <w:p>
    <w:pPr>
      <w:pStyle w:val="114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rPr>
        <w:rStyle w:val="1173"/>
      </w:rPr>
      <w:framePr w:wrap="around" w:vAnchor="text" w:hAnchor="margin" w:xAlign="right" w:y="1"/>
    </w:pPr>
    <w:r>
      <w:rPr>
        <w:rStyle w:val="1173"/>
      </w:rPr>
      <w:fldChar w:fldCharType="begin"/>
    </w:r>
    <w:r>
      <w:rPr>
        <w:rStyle w:val="1173"/>
      </w:rPr>
      <w:instrText xml:space="preserve">PAGE  </w:instrText>
    </w:r>
    <w:r>
      <w:rPr>
        <w:rStyle w:val="1173"/>
      </w:rPr>
      <w:fldChar w:fldCharType="end"/>
    </w:r>
    <w:r>
      <w:rPr>
        <w:rStyle w:val="1173"/>
      </w:rPr>
    </w:r>
    <w:r/>
  </w:p>
  <w:p>
    <w:pPr>
      <w:pStyle w:val="1149"/>
      <w:ind w:right="360"/>
    </w:pPr>
    <w:r/>
    <w:r/>
  </w:p>
  <w:p>
    <w:pPr>
      <w:pStyle w:val="110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
  </w:p>
  <w:p>
    <w:pPr>
      <w:pStyle w:val="110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1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nothing"/>
      <w:lvlText w:val="%1、"/>
      <w:lvlJc w:val="left"/>
      <w:pPr>
        <w:pStyle w:val="1100"/>
      </w:pPr>
      <w:rPr>
        <w:rFonts w:ascii="等线 Light" w:hAnsi="等线 Light" w:eastAsia="等线 Light" w:cs="等线 Ligh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110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10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110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110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110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10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1100"/>
        <w:ind w:left="4941" w:hanging="1140"/>
        <w:tabs>
          <w:tab w:val="num" w:pos="4941" w:leader="none"/>
        </w:tabs>
      </w:pPr>
      <w:rPr>
        <w:rFonts w:hint="eastAsia"/>
      </w:rPr>
    </w:lvl>
    <w:lvl w:ilvl="1">
      <w:start w:val="1"/>
      <w:numFmt w:val="lowerLetter"/>
      <w:isLgl w:val="false"/>
      <w:suff w:val="tab"/>
      <w:lvlText w:val="%2)"/>
      <w:lvlJc w:val="left"/>
      <w:pPr>
        <w:pStyle w:val="1100"/>
        <w:ind w:left="4641" w:hanging="420"/>
        <w:tabs>
          <w:tab w:val="num" w:pos="4641" w:leader="none"/>
        </w:tabs>
      </w:pPr>
    </w:lvl>
    <w:lvl w:ilvl="2">
      <w:start w:val="1"/>
      <w:numFmt w:val="lowerRoman"/>
      <w:isLgl w:val="false"/>
      <w:suff w:val="tab"/>
      <w:lvlText w:val="%3."/>
      <w:lvlJc w:val="right"/>
      <w:pPr>
        <w:pStyle w:val="1100"/>
        <w:ind w:left="5061" w:hanging="420"/>
        <w:tabs>
          <w:tab w:val="num" w:pos="5061" w:leader="none"/>
        </w:tabs>
      </w:pPr>
    </w:lvl>
    <w:lvl w:ilvl="3">
      <w:start w:val="1"/>
      <w:numFmt w:val="decimal"/>
      <w:isLgl w:val="false"/>
      <w:suff w:val="tab"/>
      <w:lvlText w:val="%4."/>
      <w:lvlJc w:val="left"/>
      <w:pPr>
        <w:pStyle w:val="1100"/>
        <w:ind w:left="5481" w:hanging="420"/>
        <w:tabs>
          <w:tab w:val="num" w:pos="5481" w:leader="none"/>
        </w:tabs>
      </w:pPr>
    </w:lvl>
    <w:lvl w:ilvl="4">
      <w:start w:val="1"/>
      <w:numFmt w:val="lowerLetter"/>
      <w:isLgl w:val="false"/>
      <w:suff w:val="tab"/>
      <w:lvlText w:val="%5)"/>
      <w:lvlJc w:val="left"/>
      <w:pPr>
        <w:pStyle w:val="1100"/>
        <w:ind w:left="5901" w:hanging="420"/>
        <w:tabs>
          <w:tab w:val="num" w:pos="5901" w:leader="none"/>
        </w:tabs>
      </w:pPr>
    </w:lvl>
    <w:lvl w:ilvl="5">
      <w:start w:val="1"/>
      <w:numFmt w:val="lowerRoman"/>
      <w:isLgl w:val="false"/>
      <w:suff w:val="tab"/>
      <w:lvlText w:val="%6."/>
      <w:lvlJc w:val="right"/>
      <w:pPr>
        <w:pStyle w:val="1100"/>
        <w:ind w:left="6321" w:hanging="420"/>
        <w:tabs>
          <w:tab w:val="num" w:pos="6321" w:leader="none"/>
        </w:tabs>
      </w:pPr>
    </w:lvl>
    <w:lvl w:ilvl="6">
      <w:start w:val="1"/>
      <w:numFmt w:val="decimal"/>
      <w:isLgl w:val="false"/>
      <w:suff w:val="tab"/>
      <w:lvlText w:val="%7."/>
      <w:lvlJc w:val="left"/>
      <w:pPr>
        <w:pStyle w:val="1100"/>
        <w:ind w:left="6741" w:hanging="420"/>
        <w:tabs>
          <w:tab w:val="num" w:pos="6741" w:leader="none"/>
        </w:tabs>
      </w:pPr>
    </w:lvl>
    <w:lvl w:ilvl="7">
      <w:start w:val="1"/>
      <w:numFmt w:val="lowerLetter"/>
      <w:isLgl w:val="false"/>
      <w:suff w:val="tab"/>
      <w:lvlText w:val="%8)"/>
      <w:lvlJc w:val="left"/>
      <w:pPr>
        <w:pStyle w:val="1100"/>
        <w:ind w:left="7161" w:hanging="420"/>
        <w:tabs>
          <w:tab w:val="num" w:pos="7161" w:leader="none"/>
        </w:tabs>
      </w:pPr>
    </w:lvl>
    <w:lvl w:ilvl="8">
      <w:start w:val="1"/>
      <w:numFmt w:val="lowerRoman"/>
      <w:isLgl w:val="false"/>
      <w:suff w:val="tab"/>
      <w:lvlText w:val="%9."/>
      <w:lvlJc w:val="right"/>
      <w:pPr>
        <w:pStyle w:val="1100"/>
        <w:ind w:left="7581" w:hanging="420"/>
        <w:tabs>
          <w:tab w:val="num" w:pos="7581" w:leader="none"/>
        </w:tabs>
      </w:pPr>
    </w:lvl>
  </w:abstractNum>
  <w:abstractNum w:abstractNumId="9">
    <w:multiLevelType w:val="hybridMultilevel"/>
    <w:lvl w:ilvl="0">
      <w:start w:val="1"/>
      <w:numFmt w:val="decimal"/>
      <w:pStyle w:val="1209"/>
      <w:isLgl w:val="false"/>
      <w:suff w:val="tab"/>
      <w:lvlText w:val="%1."/>
      <w:lvlJc w:val="left"/>
      <w:pPr>
        <w:pStyle w:val="1100"/>
        <w:ind w:left="420" w:hanging="420"/>
      </w:pPr>
    </w:lvl>
    <w:lvl w:ilvl="1">
      <w:start w:val="1"/>
      <w:numFmt w:val="decimal"/>
      <w:isLgl w:val="false"/>
      <w:suff w:val="tab"/>
      <w:lvlText w:val="（%2）"/>
      <w:lvlJc w:val="left"/>
      <w:pPr>
        <w:pStyle w:val="1100"/>
        <w:ind w:left="1140" w:hanging="720"/>
        <w:tabs>
          <w:tab w:val="num" w:pos="1140" w:leader="none"/>
        </w:tabs>
      </w:pPr>
      <w:rPr>
        <w:rFonts w:hint="eastAsia"/>
      </w:rPr>
    </w:lvl>
    <w:lvl w:ilvl="2">
      <w:start w:val="1"/>
      <w:numFmt w:val="lowerRoman"/>
      <w:isLgl w:val="false"/>
      <w:suff w:val="tab"/>
      <w:lvlText w:val="%3."/>
      <w:lvlJc w:val="right"/>
      <w:pPr>
        <w:pStyle w:val="1100"/>
        <w:ind w:left="1260" w:hanging="420"/>
      </w:pPr>
    </w:lvl>
    <w:lvl w:ilvl="3">
      <w:start w:val="1"/>
      <w:numFmt w:val="decimal"/>
      <w:isLgl w:val="false"/>
      <w:suff w:val="tab"/>
      <w:lvlText w:val="%4."/>
      <w:lvlJc w:val="left"/>
      <w:pPr>
        <w:pStyle w:val="1100"/>
        <w:ind w:left="1680" w:hanging="420"/>
      </w:pPr>
    </w:lvl>
    <w:lvl w:ilvl="4">
      <w:start w:val="1"/>
      <w:numFmt w:val="lowerLetter"/>
      <w:isLgl w:val="false"/>
      <w:suff w:val="tab"/>
      <w:lvlText w:val="%5)"/>
      <w:lvlJc w:val="left"/>
      <w:pPr>
        <w:pStyle w:val="1100"/>
        <w:ind w:left="2100" w:hanging="420"/>
      </w:pPr>
    </w:lvl>
    <w:lvl w:ilvl="5">
      <w:start w:val="1"/>
      <w:numFmt w:val="lowerRoman"/>
      <w:isLgl w:val="false"/>
      <w:suff w:val="tab"/>
      <w:lvlText w:val="%6."/>
      <w:lvlJc w:val="right"/>
      <w:pPr>
        <w:pStyle w:val="1100"/>
        <w:ind w:left="2520" w:hanging="420"/>
      </w:pPr>
    </w:lvl>
    <w:lvl w:ilvl="6">
      <w:start w:val="1"/>
      <w:numFmt w:val="decimal"/>
      <w:isLgl w:val="false"/>
      <w:suff w:val="tab"/>
      <w:lvlText w:val="%7."/>
      <w:lvlJc w:val="left"/>
      <w:pPr>
        <w:pStyle w:val="1100"/>
        <w:ind w:left="2940" w:hanging="420"/>
      </w:pPr>
    </w:lvl>
    <w:lvl w:ilvl="7">
      <w:start w:val="1"/>
      <w:numFmt w:val="lowerLetter"/>
      <w:isLgl w:val="false"/>
      <w:suff w:val="tab"/>
      <w:lvlText w:val="%8)"/>
      <w:lvlJc w:val="left"/>
      <w:pPr>
        <w:pStyle w:val="1100"/>
        <w:ind w:left="3360" w:hanging="420"/>
      </w:pPr>
    </w:lvl>
    <w:lvl w:ilvl="8">
      <w:start w:val="1"/>
      <w:numFmt w:val="lowerRoman"/>
      <w:isLgl w:val="false"/>
      <w:suff w:val="tab"/>
      <w:lvlText w:val="%9."/>
      <w:lvlJc w:val="right"/>
      <w:pPr>
        <w:pStyle w:val="1100"/>
        <w:ind w:left="3780" w:hanging="420"/>
      </w:pPr>
    </w:lvl>
  </w:abstractNum>
  <w:abstractNum w:abstractNumId="10">
    <w:multiLevelType w:val="hybridMultilevel"/>
    <w:lvl w:ilvl="0">
      <w:start w:val="1"/>
      <w:numFmt w:val="lowerLetter"/>
      <w:pStyle w:val="1284"/>
      <w:isLgl w:val="false"/>
      <w:suff w:val="tab"/>
      <w:lvlText w:val="%1)"/>
      <w:lvlJc w:val="left"/>
      <w:pPr>
        <w:pStyle w:val="1100"/>
        <w:ind w:left="902" w:hanging="420"/>
      </w:pPr>
      <w:rPr>
        <w:color w:val="000000"/>
      </w:rPr>
    </w:lvl>
    <w:lvl w:ilvl="1">
      <w:start w:val="1"/>
      <w:numFmt w:val="lowerLetter"/>
      <w:isLgl w:val="false"/>
      <w:suff w:val="tab"/>
      <w:lvlText w:val="%2)"/>
      <w:lvlJc w:val="left"/>
      <w:pPr>
        <w:pStyle w:val="1100"/>
        <w:ind w:left="1322" w:hanging="420"/>
      </w:pPr>
    </w:lvl>
    <w:lvl w:ilvl="2">
      <w:start w:val="1"/>
      <w:numFmt w:val="lowerRoman"/>
      <w:isLgl w:val="false"/>
      <w:suff w:val="tab"/>
      <w:lvlText w:val="%3."/>
      <w:lvlJc w:val="right"/>
      <w:pPr>
        <w:pStyle w:val="1100"/>
        <w:ind w:left="1742" w:hanging="420"/>
      </w:pPr>
    </w:lvl>
    <w:lvl w:ilvl="3">
      <w:start w:val="1"/>
      <w:numFmt w:val="decimal"/>
      <w:isLgl w:val="false"/>
      <w:suff w:val="tab"/>
      <w:lvlText w:val="%4."/>
      <w:lvlJc w:val="left"/>
      <w:pPr>
        <w:pStyle w:val="1100"/>
        <w:ind w:left="2162" w:hanging="420"/>
      </w:pPr>
    </w:lvl>
    <w:lvl w:ilvl="4">
      <w:start w:val="1"/>
      <w:numFmt w:val="lowerLetter"/>
      <w:isLgl w:val="false"/>
      <w:suff w:val="tab"/>
      <w:lvlText w:val="%5)"/>
      <w:lvlJc w:val="left"/>
      <w:pPr>
        <w:pStyle w:val="1100"/>
        <w:ind w:left="2582" w:hanging="420"/>
      </w:pPr>
    </w:lvl>
    <w:lvl w:ilvl="5">
      <w:start w:val="1"/>
      <w:numFmt w:val="lowerRoman"/>
      <w:isLgl w:val="false"/>
      <w:suff w:val="tab"/>
      <w:lvlText w:val="%6."/>
      <w:lvlJc w:val="right"/>
      <w:pPr>
        <w:pStyle w:val="1100"/>
        <w:ind w:left="3002" w:hanging="420"/>
      </w:pPr>
    </w:lvl>
    <w:lvl w:ilvl="6">
      <w:start w:val="1"/>
      <w:numFmt w:val="decimal"/>
      <w:isLgl w:val="false"/>
      <w:suff w:val="tab"/>
      <w:lvlText w:val="%7."/>
      <w:lvlJc w:val="left"/>
      <w:pPr>
        <w:pStyle w:val="1100"/>
        <w:ind w:left="3422" w:hanging="420"/>
      </w:pPr>
    </w:lvl>
    <w:lvl w:ilvl="7">
      <w:start w:val="1"/>
      <w:numFmt w:val="lowerLetter"/>
      <w:isLgl w:val="false"/>
      <w:suff w:val="tab"/>
      <w:lvlText w:val="%8)"/>
      <w:lvlJc w:val="left"/>
      <w:pPr>
        <w:pStyle w:val="1100"/>
        <w:ind w:left="3842" w:hanging="420"/>
      </w:pPr>
    </w:lvl>
    <w:lvl w:ilvl="8">
      <w:start w:val="1"/>
      <w:numFmt w:val="lowerRoman"/>
      <w:isLgl w:val="false"/>
      <w:suff w:val="tab"/>
      <w:lvlText w:val="%9."/>
      <w:lvlJc w:val="right"/>
      <w:pPr>
        <w:pStyle w:val="1100"/>
        <w:ind w:left="4262" w:hanging="420"/>
      </w:pPr>
    </w:lvl>
  </w:abstractNum>
  <w:abstractNum w:abstractNumId="11">
    <w:multiLevelType w:val="hybridMultilevel"/>
    <w:lvl w:ilvl="0">
      <w:start w:val="1"/>
      <w:numFmt w:val="decimal"/>
      <w:pStyle w:val="1254"/>
      <w:isLgl w:val="false"/>
      <w:suff w:val="tab"/>
      <w:lvlText w:val="%1."/>
      <w:lvlJc w:val="left"/>
      <w:pPr>
        <w:pStyle w:val="110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tab"/>
      <w:lvlText w:val="第%1章"/>
      <w:legacy w:legacy="1" w:legacyIndent="0" w:legacySpace="0"/>
      <w:lvlJc w:val="left"/>
      <w:pPr>
        <w:pStyle w:val="1100"/>
      </w:pPr>
    </w:lvl>
    <w:lvl w:ilvl="1">
      <w:start w:val="1"/>
      <w:numFmt w:val="decimal"/>
      <w:isLgl w:val="false"/>
      <w:suff w:val="nothing"/>
      <w:lvlText w:val=""/>
      <w:lvlJc w:val="left"/>
      <w:pPr>
        <w:pStyle w:val="1100"/>
      </w:pPr>
    </w:lvl>
    <w:lvl w:ilvl="2">
      <w:start w:val="1"/>
      <w:numFmt w:val="decimal"/>
      <w:isLgl w:val="false"/>
      <w:suff w:val="nothing"/>
      <w:lvlText w:val=""/>
      <w:lvlJc w:val="left"/>
      <w:pPr>
        <w:pStyle w:val="1100"/>
      </w:pPr>
    </w:lvl>
    <w:lvl w:ilvl="3">
      <w:start w:val="1"/>
      <w:numFmt w:val="decimal"/>
      <w:isLgl w:val="false"/>
      <w:suff w:val="nothing"/>
      <w:lvlText w:val=""/>
      <w:lvlJc w:val="left"/>
      <w:pPr>
        <w:pStyle w:val="1100"/>
      </w:pPr>
    </w:lvl>
    <w:lvl w:ilvl="4">
      <w:start w:val="1"/>
      <w:numFmt w:val="decimal"/>
      <w:isLgl w:val="false"/>
      <w:suff w:val="nothing"/>
      <w:lvlText w:val=""/>
      <w:lvlJc w:val="left"/>
      <w:pPr>
        <w:pStyle w:val="1100"/>
      </w:pPr>
    </w:lvl>
    <w:lvl w:ilvl="5">
      <w:start w:val="1"/>
      <w:numFmt w:val="decimal"/>
      <w:isLgl w:val="false"/>
      <w:suff w:val="nothing"/>
      <w:lvlText w:val=""/>
      <w:lvlJc w:val="left"/>
      <w:pPr>
        <w:pStyle w:val="1100"/>
      </w:pPr>
    </w:lvl>
    <w:lvl w:ilvl="6">
      <w:start w:val="1"/>
      <w:numFmt w:val="decimal"/>
      <w:isLgl w:val="false"/>
      <w:suff w:val="nothing"/>
      <w:lvlText w:val=""/>
      <w:lvlJc w:val="left"/>
      <w:pPr>
        <w:pStyle w:val="1100"/>
      </w:pPr>
    </w:lvl>
    <w:lvl w:ilvl="7">
      <w:start w:val="1"/>
      <w:numFmt w:val="decimal"/>
      <w:isLgl w:val="false"/>
      <w:suff w:val="nothing"/>
      <w:lvlText w:val=""/>
      <w:lvlJc w:val="left"/>
      <w:pPr>
        <w:pStyle w:val="1100"/>
      </w:pPr>
    </w:lvl>
    <w:lvl w:ilvl="8">
      <w:start w:val="1"/>
      <w:numFmt w:val="decimal"/>
      <w:isLgl w:val="false"/>
      <w:suff w:val="nothing"/>
      <w:lvlText w:val=""/>
      <w:lvlJc w:val="left"/>
      <w:pPr>
        <w:pStyle w:val="1100"/>
      </w:pPr>
    </w:lvl>
  </w:abstractNum>
  <w:abstractNum w:abstractNumId="13">
    <w:multiLevelType w:val="hybridMultilevel"/>
    <w:lvl w:ilvl="0">
      <w:start w:val="1"/>
      <w:numFmt w:val="decimal"/>
      <w:pStyle w:val="1203"/>
      <w:isLgl w:val="false"/>
      <w:suff w:val="nothing"/>
      <w:lvlText w:val="%1　"/>
      <w:lvlJc w:val="left"/>
      <w:pPr>
        <w:pStyle w:val="110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0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00"/>
        <w:ind w:left="-25" w:firstLine="0"/>
      </w:pPr>
      <w:rPr>
        <w:rFonts w:ascii="Times New Roman" w:hAnsi="Times New Roman" w:eastAsia="黑体"/>
        <w:b/>
        <w:i w:val="0"/>
        <w:sz w:val="28"/>
      </w:rPr>
    </w:lvl>
    <w:lvl w:ilvl="3">
      <w:start w:val="1"/>
      <w:numFmt w:val="decimal"/>
      <w:pStyle w:val="1239"/>
      <w:isLgl w:val="false"/>
      <w:suff w:val="nothing"/>
      <w:lvlText w:val="%1.%2.%3.%4　"/>
      <w:lvlJc w:val="left"/>
      <w:pPr>
        <w:pStyle w:val="110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0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00"/>
        <w:ind w:left="-25" w:firstLine="0"/>
      </w:pPr>
      <w:rPr>
        <w:rFonts w:ascii="Times New Roman" w:hAnsi="Times New Roman" w:eastAsia="宋体"/>
        <w:b/>
        <w:i w:val="0"/>
        <w:sz w:val="28"/>
      </w:rPr>
    </w:lvl>
    <w:lvl w:ilvl="6">
      <w:start w:val="1"/>
      <w:numFmt w:val="lowerLetter"/>
      <w:pStyle w:val="1260"/>
      <w:isLgl w:val="false"/>
      <w:suff w:val="tab"/>
      <w:lvlText w:val="%7) "/>
      <w:lvlJc w:val="left"/>
      <w:pPr>
        <w:pStyle w:val="1100"/>
        <w:ind w:left="-125" w:firstLine="400"/>
        <w:tabs>
          <w:tab w:val="num" w:pos="635" w:leader="none"/>
        </w:tabs>
      </w:pPr>
      <w:rPr>
        <w:rFonts w:ascii="Times New Roman" w:hAnsi="Times New Roman" w:eastAsia="宋体"/>
        <w:b/>
        <w:i w:val="0"/>
        <w:color w:val="000000"/>
        <w:sz w:val="28"/>
        <w:u w:val="none"/>
      </w:rPr>
    </w:lvl>
    <w:lvl w:ilvl="7">
      <w:start w:val="1"/>
      <w:numFmt w:val="decimal"/>
      <w:pStyle w:val="1223"/>
      <w:isLgl w:val="false"/>
      <w:suff w:val="tab"/>
      <w:lvlText w:val="%8) "/>
      <w:lvlJc w:val="left"/>
      <w:pPr>
        <w:pStyle w:val="110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00"/>
        <w:ind w:left="500" w:firstLine="0"/>
        <w:tabs>
          <w:tab w:val="num" w:pos="860" w:leader="none"/>
        </w:tabs>
      </w:pPr>
      <w:rPr>
        <w:rFonts w:hint="eastAsia" w:ascii="宋体" w:eastAsia="宋体"/>
        <w:b w:val="0"/>
        <w:i w:val="0"/>
        <w:color w:val="000000"/>
        <w:sz w:val="28"/>
        <w:u w:val="none"/>
      </w:rPr>
    </w:lvl>
  </w:abstractNum>
  <w:abstractNum w:abstractNumId="14">
    <w:multiLevelType w:val="hybridMultilevel"/>
    <w:lvl w:ilvl="0">
      <w:start w:val="1"/>
      <w:numFmt w:val="decimal"/>
      <w:isLgl w:val="false"/>
      <w:suff w:val="tab"/>
      <w:lvlText w:val="%1．"/>
      <w:lvlJc w:val="left"/>
      <w:pPr>
        <w:pStyle w:val="1100"/>
        <w:ind w:left="768" w:hanging="360"/>
        <w:tabs>
          <w:tab w:val="num" w:pos="768" w:leader="none"/>
        </w:tabs>
      </w:pPr>
      <w:rPr>
        <w:rFonts w:hint="eastAsia"/>
      </w:rPr>
    </w:lvl>
    <w:lvl w:ilvl="1">
      <w:start w:val="1"/>
      <w:numFmt w:val="decimal"/>
      <w:pStyle w:val="1241"/>
      <w:isLgl w:val="false"/>
      <w:suff w:val="tab"/>
      <w:lvlText w:val="%2、"/>
      <w:lvlJc w:val="left"/>
      <w:pPr>
        <w:pStyle w:val="1100"/>
        <w:ind w:left="1188" w:hanging="360"/>
        <w:tabs>
          <w:tab w:val="num" w:pos="1188" w:leader="none"/>
        </w:tabs>
      </w:pPr>
      <w:rPr>
        <w:rFonts w:hint="eastAsia"/>
      </w:rPr>
    </w:lvl>
    <w:lvl w:ilvl="2">
      <w:start w:val="1"/>
      <w:numFmt w:val="decimal"/>
      <w:isLgl w:val="false"/>
      <w:suff w:val="tab"/>
      <w:lvlText w:val="（%3）"/>
      <w:lvlJc w:val="left"/>
      <w:pPr>
        <w:pStyle w:val="1100"/>
        <w:ind w:left="1968" w:hanging="720"/>
        <w:tabs>
          <w:tab w:val="num" w:pos="1968" w:leader="none"/>
        </w:tabs>
      </w:pPr>
      <w:rPr>
        <w:rFonts w:hint="eastAsia"/>
        <w:u w:val="none"/>
      </w:rPr>
    </w:lvl>
    <w:lvl w:ilvl="3">
      <w:start w:val="1"/>
      <w:numFmt w:val="decimal"/>
      <w:isLgl w:val="false"/>
      <w:suff w:val="tab"/>
      <w:lvlText w:val="%4."/>
      <w:lvlJc w:val="left"/>
      <w:pPr>
        <w:pStyle w:val="1100"/>
        <w:ind w:left="2088" w:hanging="420"/>
        <w:tabs>
          <w:tab w:val="num" w:pos="2088" w:leader="none"/>
        </w:tabs>
      </w:pPr>
    </w:lvl>
    <w:lvl w:ilvl="4">
      <w:start w:val="1"/>
      <w:numFmt w:val="lowerLetter"/>
      <w:isLgl w:val="false"/>
      <w:suff w:val="tab"/>
      <w:lvlText w:val="%5)"/>
      <w:lvlJc w:val="left"/>
      <w:pPr>
        <w:pStyle w:val="1100"/>
        <w:ind w:left="2508" w:hanging="420"/>
        <w:tabs>
          <w:tab w:val="num" w:pos="2508" w:leader="none"/>
        </w:tabs>
      </w:pPr>
    </w:lvl>
    <w:lvl w:ilvl="5">
      <w:start w:val="1"/>
      <w:numFmt w:val="lowerRoman"/>
      <w:isLgl w:val="false"/>
      <w:suff w:val="tab"/>
      <w:lvlText w:val="%6."/>
      <w:lvlJc w:val="right"/>
      <w:pPr>
        <w:pStyle w:val="1100"/>
        <w:ind w:left="2928" w:hanging="420"/>
        <w:tabs>
          <w:tab w:val="num" w:pos="2928" w:leader="none"/>
        </w:tabs>
      </w:pPr>
    </w:lvl>
    <w:lvl w:ilvl="6">
      <w:start w:val="1"/>
      <w:numFmt w:val="decimal"/>
      <w:isLgl w:val="false"/>
      <w:suff w:val="tab"/>
      <w:lvlText w:val="%7."/>
      <w:lvlJc w:val="left"/>
      <w:pPr>
        <w:pStyle w:val="1100"/>
        <w:ind w:left="3348" w:hanging="420"/>
        <w:tabs>
          <w:tab w:val="num" w:pos="3348" w:leader="none"/>
        </w:tabs>
      </w:pPr>
    </w:lvl>
    <w:lvl w:ilvl="7">
      <w:start w:val="1"/>
      <w:numFmt w:val="lowerLetter"/>
      <w:isLgl w:val="false"/>
      <w:suff w:val="tab"/>
      <w:lvlText w:val="%8)"/>
      <w:lvlJc w:val="left"/>
      <w:pPr>
        <w:pStyle w:val="1100"/>
        <w:ind w:left="3768" w:hanging="420"/>
        <w:tabs>
          <w:tab w:val="num" w:pos="3768" w:leader="none"/>
        </w:tabs>
      </w:pPr>
    </w:lvl>
    <w:lvl w:ilvl="8">
      <w:start w:val="1"/>
      <w:numFmt w:val="lowerRoman"/>
      <w:isLgl w:val="false"/>
      <w:suff w:val="tab"/>
      <w:lvlText w:val="%9."/>
      <w:lvlJc w:val="right"/>
      <w:pPr>
        <w:pStyle w:val="1100"/>
        <w:ind w:left="4188" w:hanging="420"/>
        <w:tabs>
          <w:tab w:val="num" w:pos="4188" w:leader="none"/>
        </w:tabs>
      </w:pPr>
    </w:lvl>
  </w:abstractNum>
  <w:abstractNum w:abstractNumId="15">
    <w:multiLevelType w:val="hybridMultilevel"/>
    <w:lvl w:ilvl="0">
      <w:start w:val="1"/>
      <w:numFmt w:val="decimal"/>
      <w:isLgl w:val="false"/>
      <w:suff w:val="tab"/>
      <w:lvlText w:val="%1."/>
      <w:lvlJc w:val="left"/>
      <w:pPr>
        <w:pStyle w:val="1100"/>
        <w:ind w:left="900" w:hanging="900"/>
        <w:tabs>
          <w:tab w:val="num" w:pos="900" w:leader="none"/>
        </w:tabs>
      </w:pPr>
      <w:rPr>
        <w:rFonts w:hint="eastAsia"/>
        <w:b/>
      </w:rPr>
    </w:lvl>
    <w:lvl w:ilvl="1">
      <w:start w:val="1"/>
      <w:numFmt w:val="decimal"/>
      <w:isLgl w:val="false"/>
      <w:suff w:val="tab"/>
      <w:lvlText w:val="%1.%2"/>
      <w:lvlJc w:val="left"/>
      <w:pPr>
        <w:pStyle w:val="110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10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100"/>
        <w:ind w:left="900" w:hanging="900"/>
        <w:tabs>
          <w:tab w:val="num" w:pos="900" w:leader="none"/>
        </w:tabs>
      </w:pPr>
      <w:rPr>
        <w:rFonts w:hint="eastAsia"/>
      </w:rPr>
    </w:lvl>
    <w:lvl w:ilvl="4">
      <w:start w:val="1"/>
      <w:numFmt w:val="decimal"/>
      <w:isLgl w:val="false"/>
      <w:suff w:val="tab"/>
      <w:lvlText w:val="%1.%2.%3.%4.%5"/>
      <w:lvlJc w:val="left"/>
      <w:pPr>
        <w:pStyle w:val="1100"/>
        <w:ind w:left="900" w:hanging="900"/>
        <w:tabs>
          <w:tab w:val="num" w:pos="900" w:leader="none"/>
        </w:tabs>
      </w:pPr>
      <w:rPr>
        <w:rFonts w:hint="eastAsia"/>
      </w:rPr>
    </w:lvl>
    <w:lvl w:ilvl="5">
      <w:start w:val="1"/>
      <w:numFmt w:val="decimal"/>
      <w:isLgl w:val="false"/>
      <w:suff w:val="tab"/>
      <w:lvlText w:val="%1.%2.%3.%4.%5.%6"/>
      <w:lvlJc w:val="left"/>
      <w:pPr>
        <w:pStyle w:val="1100"/>
        <w:ind w:left="900" w:hanging="900"/>
        <w:tabs>
          <w:tab w:val="num" w:pos="900" w:leader="none"/>
        </w:tabs>
      </w:pPr>
      <w:rPr>
        <w:rFonts w:hint="eastAsia"/>
      </w:rPr>
    </w:lvl>
    <w:lvl w:ilvl="6">
      <w:start w:val="1"/>
      <w:numFmt w:val="decimal"/>
      <w:isLgl w:val="false"/>
      <w:suff w:val="tab"/>
      <w:lvlText w:val="%1.%2.%3.%4.%5.%6.%7"/>
      <w:lvlJc w:val="left"/>
      <w:pPr>
        <w:pStyle w:val="1100"/>
        <w:ind w:left="900" w:hanging="900"/>
        <w:tabs>
          <w:tab w:val="num" w:pos="900" w:leader="none"/>
        </w:tabs>
      </w:pPr>
      <w:rPr>
        <w:rFonts w:hint="eastAsia"/>
      </w:rPr>
    </w:lvl>
    <w:lvl w:ilvl="7">
      <w:start w:val="1"/>
      <w:numFmt w:val="decimal"/>
      <w:isLgl w:val="false"/>
      <w:suff w:val="tab"/>
      <w:lvlText w:val="%1.%2.%3.%4.%5.%6.%7.%8"/>
      <w:lvlJc w:val="left"/>
      <w:pPr>
        <w:pStyle w:val="1100"/>
        <w:ind w:left="900" w:hanging="900"/>
        <w:tabs>
          <w:tab w:val="num" w:pos="900" w:leader="none"/>
        </w:tabs>
      </w:pPr>
      <w:rPr>
        <w:rFonts w:hint="eastAsia"/>
      </w:rPr>
    </w:lvl>
    <w:lvl w:ilvl="8">
      <w:start w:val="1"/>
      <w:numFmt w:val="decimal"/>
      <w:isLgl w:val="false"/>
      <w:suff w:val="tab"/>
      <w:lvlText w:val="%1.%2.%3.%4.%5.%6.%7.%8.%9"/>
      <w:lvlJc w:val="left"/>
      <w:pPr>
        <w:pStyle w:val="1100"/>
        <w:ind w:left="900" w:hanging="900"/>
        <w:tabs>
          <w:tab w:val="num" w:pos="900" w:leader="none"/>
        </w:tabs>
      </w:pPr>
      <w:rPr>
        <w:rFonts w:hint="eastAsia"/>
      </w:rPr>
    </w:lvl>
  </w:abstractNum>
  <w:abstractNum w:abstractNumId="16">
    <w:multiLevelType w:val="hybridMultilevel"/>
    <w:lvl w:ilvl="0">
      <w:start w:val="1"/>
      <w:numFmt w:val="decimal"/>
      <w:pStyle w:val="1208"/>
      <w:isLgl w:val="false"/>
      <w:suff w:val="tab"/>
      <w:lvlText w:val="%1)"/>
      <w:lvlJc w:val="left"/>
      <w:pPr>
        <w:pStyle w:val="1100"/>
        <w:ind w:left="420" w:hanging="420"/>
      </w:pPr>
    </w:lvl>
    <w:lvl w:ilvl="1">
      <w:start w:val="1"/>
      <w:numFmt w:val="lowerLetter"/>
      <w:isLgl w:val="false"/>
      <w:suff w:val="tab"/>
      <w:lvlText w:val="%2)"/>
      <w:lvlJc w:val="left"/>
      <w:pPr>
        <w:pStyle w:val="1100"/>
        <w:ind w:left="840" w:hanging="420"/>
      </w:pPr>
    </w:lvl>
    <w:lvl w:ilvl="2">
      <w:start w:val="1"/>
      <w:numFmt w:val="lowerRoman"/>
      <w:isLgl w:val="false"/>
      <w:suff w:val="tab"/>
      <w:lvlText w:val="%3."/>
      <w:lvlJc w:val="right"/>
      <w:pPr>
        <w:pStyle w:val="1100"/>
        <w:ind w:left="1260" w:hanging="420"/>
      </w:pPr>
    </w:lvl>
    <w:lvl w:ilvl="3">
      <w:start w:val="1"/>
      <w:numFmt w:val="decimal"/>
      <w:isLgl w:val="false"/>
      <w:suff w:val="tab"/>
      <w:lvlText w:val="%4."/>
      <w:lvlJc w:val="left"/>
      <w:pPr>
        <w:pStyle w:val="1100"/>
        <w:ind w:left="1680" w:hanging="420"/>
      </w:pPr>
    </w:lvl>
    <w:lvl w:ilvl="4">
      <w:start w:val="1"/>
      <w:numFmt w:val="lowerLetter"/>
      <w:isLgl w:val="false"/>
      <w:suff w:val="tab"/>
      <w:lvlText w:val="%5)"/>
      <w:lvlJc w:val="left"/>
      <w:pPr>
        <w:pStyle w:val="1100"/>
        <w:ind w:left="2100" w:hanging="420"/>
      </w:pPr>
    </w:lvl>
    <w:lvl w:ilvl="5">
      <w:start w:val="1"/>
      <w:numFmt w:val="lowerRoman"/>
      <w:isLgl w:val="false"/>
      <w:suff w:val="tab"/>
      <w:lvlText w:val="%6."/>
      <w:lvlJc w:val="right"/>
      <w:pPr>
        <w:pStyle w:val="1100"/>
        <w:ind w:left="2520" w:hanging="420"/>
      </w:pPr>
    </w:lvl>
    <w:lvl w:ilvl="6">
      <w:start w:val="1"/>
      <w:numFmt w:val="decimal"/>
      <w:isLgl w:val="false"/>
      <w:suff w:val="tab"/>
      <w:lvlText w:val="%7."/>
      <w:lvlJc w:val="left"/>
      <w:pPr>
        <w:pStyle w:val="1100"/>
        <w:ind w:left="2940" w:hanging="420"/>
      </w:pPr>
    </w:lvl>
    <w:lvl w:ilvl="7">
      <w:start w:val="1"/>
      <w:numFmt w:val="lowerLetter"/>
      <w:isLgl w:val="false"/>
      <w:suff w:val="tab"/>
      <w:lvlText w:val="%8)"/>
      <w:lvlJc w:val="left"/>
      <w:pPr>
        <w:pStyle w:val="1100"/>
        <w:ind w:left="3360" w:hanging="420"/>
      </w:pPr>
    </w:lvl>
    <w:lvl w:ilvl="8">
      <w:start w:val="1"/>
      <w:numFmt w:val="lowerRoman"/>
      <w:isLgl w:val="false"/>
      <w:suff w:val="tab"/>
      <w:lvlText w:val="%9."/>
      <w:lvlJc w:val="right"/>
      <w:pPr>
        <w:pStyle w:val="1100"/>
        <w:ind w:left="3780" w:hanging="420"/>
      </w:pPr>
    </w:lvl>
  </w:abstractNum>
  <w:abstractNum w:abstractNumId="17">
    <w:multiLevelType w:val="hybridMultilevel"/>
    <w:lvl w:ilvl="0">
      <w:start w:val="1"/>
      <w:numFmt w:val="decimal"/>
      <w:isLgl w:val="false"/>
      <w:suff w:val="tab"/>
      <w:lvlText w:val="%1."/>
      <w:lvlJc w:val="left"/>
      <w:pPr>
        <w:pStyle w:val="1100"/>
        <w:ind w:left="1242" w:hanging="382"/>
      </w:pPr>
      <w:rPr>
        <w:rFonts w:ascii="仿宋" w:hAnsi="仿宋" w:eastAsia="仿宋" w:cs="仿宋"/>
        <w:spacing w:val="0"/>
        <w:sz w:val="32"/>
        <w:szCs w:val="32"/>
      </w:rPr>
    </w:lvl>
    <w:lvl w:ilvl="1">
      <w:start w:val="0"/>
      <w:numFmt w:val="bullet"/>
      <w:isLgl w:val="false"/>
      <w:suff w:val="tab"/>
      <w:lvlText w:val="•"/>
      <w:lvlJc w:val="left"/>
      <w:pPr>
        <w:pStyle w:val="1100"/>
        <w:ind w:left="2010" w:hanging="382"/>
      </w:pPr>
    </w:lvl>
    <w:lvl w:ilvl="2">
      <w:start w:val="0"/>
      <w:numFmt w:val="bullet"/>
      <w:isLgl w:val="false"/>
      <w:suff w:val="tab"/>
      <w:lvlText w:val="•"/>
      <w:lvlJc w:val="left"/>
      <w:pPr>
        <w:pStyle w:val="1100"/>
        <w:ind w:left="2781" w:hanging="382"/>
      </w:pPr>
    </w:lvl>
    <w:lvl w:ilvl="3">
      <w:start w:val="0"/>
      <w:numFmt w:val="bullet"/>
      <w:isLgl w:val="false"/>
      <w:suff w:val="tab"/>
      <w:lvlText w:val="•"/>
      <w:lvlJc w:val="left"/>
      <w:pPr>
        <w:pStyle w:val="1100"/>
        <w:ind w:left="3551" w:hanging="382"/>
      </w:pPr>
    </w:lvl>
    <w:lvl w:ilvl="4">
      <w:start w:val="0"/>
      <w:numFmt w:val="bullet"/>
      <w:isLgl w:val="false"/>
      <w:suff w:val="tab"/>
      <w:lvlText w:val="•"/>
      <w:lvlJc w:val="left"/>
      <w:pPr>
        <w:pStyle w:val="1100"/>
        <w:ind w:left="4322" w:hanging="382"/>
      </w:pPr>
    </w:lvl>
    <w:lvl w:ilvl="5">
      <w:start w:val="0"/>
      <w:numFmt w:val="bullet"/>
      <w:isLgl w:val="false"/>
      <w:suff w:val="tab"/>
      <w:lvlText w:val="•"/>
      <w:lvlJc w:val="left"/>
      <w:pPr>
        <w:pStyle w:val="1100"/>
        <w:ind w:left="5093" w:hanging="382"/>
      </w:pPr>
    </w:lvl>
    <w:lvl w:ilvl="6">
      <w:start w:val="0"/>
      <w:numFmt w:val="bullet"/>
      <w:isLgl w:val="false"/>
      <w:suff w:val="tab"/>
      <w:lvlText w:val="•"/>
      <w:lvlJc w:val="left"/>
      <w:pPr>
        <w:pStyle w:val="1100"/>
        <w:ind w:left="5863" w:hanging="382"/>
      </w:pPr>
    </w:lvl>
    <w:lvl w:ilvl="7">
      <w:start w:val="0"/>
      <w:numFmt w:val="bullet"/>
      <w:isLgl w:val="false"/>
      <w:suff w:val="tab"/>
      <w:lvlText w:val="•"/>
      <w:lvlJc w:val="left"/>
      <w:pPr>
        <w:pStyle w:val="1100"/>
        <w:ind w:left="6634" w:hanging="382"/>
      </w:pPr>
    </w:lvl>
    <w:lvl w:ilvl="8">
      <w:start w:val="0"/>
      <w:numFmt w:val="bullet"/>
      <w:isLgl w:val="false"/>
      <w:suff w:val="tab"/>
      <w:lvlText w:val="•"/>
      <w:lvlJc w:val="left"/>
      <w:pPr>
        <w:pStyle w:val="1100"/>
        <w:ind w:left="7404" w:hanging="382"/>
      </w:pPr>
    </w:lvl>
  </w:abstractNum>
  <w:abstractNum w:abstractNumId="18">
    <w:multiLevelType w:val="hybridMultilevel"/>
    <w:lvl w:ilvl="0">
      <w:start w:val="1"/>
      <w:numFmt w:val="decimal"/>
      <w:pStyle w:val="1309"/>
      <w:isLgl w:val="false"/>
      <w:suff w:val="tab"/>
      <w:lvlText w:val="%1"/>
      <w:lvlJc w:val="left"/>
      <w:pPr>
        <w:pStyle w:val="1100"/>
        <w:ind w:left="680" w:hanging="680"/>
      </w:pPr>
      <w:rPr>
        <w:rFonts w:hint="eastAsia" w:ascii="宋体" w:hAnsi="宋体" w:eastAsia="宋体"/>
      </w:rPr>
    </w:lvl>
    <w:lvl w:ilvl="1">
      <w:start w:val="1"/>
      <w:numFmt w:val="decimal"/>
      <w:pStyle w:val="1310"/>
      <w:isLgl w:val="false"/>
      <w:suff w:val="tab"/>
      <w:lvlText w:val="%1.%2"/>
      <w:lvlJc w:val="left"/>
      <w:pPr>
        <w:pStyle w:val="1100"/>
        <w:ind w:left="851" w:hanging="851"/>
      </w:pPr>
      <w:rPr>
        <w:rFonts w:hint="eastAsia" w:ascii="宋体" w:hAnsi="宋体" w:eastAsia="宋体"/>
        <w:color w:val="000000"/>
      </w:rPr>
    </w:lvl>
    <w:lvl w:ilvl="2">
      <w:start w:val="1"/>
      <w:numFmt w:val="decimal"/>
      <w:pStyle w:val="1311"/>
      <w:isLgl w:val="false"/>
      <w:suff w:val="tab"/>
      <w:lvlText w:val="%1.%2.%3"/>
      <w:lvlJc w:val="left"/>
      <w:pPr>
        <w:pStyle w:val="1100"/>
        <w:ind w:left="851" w:hanging="851"/>
      </w:pPr>
      <w:rPr>
        <w:rFonts w:hint="eastAsia"/>
      </w:rPr>
    </w:lvl>
    <w:lvl w:ilvl="3">
      <w:start w:val="1"/>
      <w:numFmt w:val="decimal"/>
      <w:isLgl w:val="false"/>
      <w:suff w:val="tab"/>
      <w:lvlText w:val="%1.%2.%3.%4"/>
      <w:lvlJc w:val="left"/>
      <w:pPr>
        <w:pStyle w:val="1100"/>
        <w:ind w:left="680" w:hanging="680"/>
      </w:pPr>
      <w:rPr>
        <w:rFonts w:hint="eastAsia"/>
      </w:rPr>
    </w:lvl>
    <w:lvl w:ilvl="4">
      <w:start w:val="1"/>
      <w:numFmt w:val="decimal"/>
      <w:isLgl w:val="false"/>
      <w:suff w:val="tab"/>
      <w:lvlText w:val="%1.%2.%3.%4.%5"/>
      <w:lvlJc w:val="left"/>
      <w:pPr>
        <w:pStyle w:val="1100"/>
        <w:ind w:left="680" w:hanging="680"/>
      </w:pPr>
      <w:rPr>
        <w:rFonts w:hint="eastAsia"/>
      </w:rPr>
    </w:lvl>
    <w:lvl w:ilvl="5">
      <w:start w:val="1"/>
      <w:numFmt w:val="decimal"/>
      <w:isLgl w:val="false"/>
      <w:suff w:val="tab"/>
      <w:lvlText w:val="%1.%2.%3.%4.%5.%6"/>
      <w:lvlJc w:val="left"/>
      <w:pPr>
        <w:pStyle w:val="1100"/>
        <w:ind w:left="680" w:hanging="680"/>
      </w:pPr>
      <w:rPr>
        <w:rFonts w:hint="eastAsia"/>
      </w:rPr>
    </w:lvl>
    <w:lvl w:ilvl="6">
      <w:start w:val="1"/>
      <w:numFmt w:val="decimal"/>
      <w:isLgl w:val="false"/>
      <w:suff w:val="tab"/>
      <w:lvlText w:val="%1.%2.%3.%4.%5.%6.%7"/>
      <w:lvlJc w:val="left"/>
      <w:pPr>
        <w:pStyle w:val="1100"/>
        <w:ind w:left="680" w:hanging="680"/>
      </w:pPr>
      <w:rPr>
        <w:rFonts w:hint="eastAsia"/>
      </w:rPr>
    </w:lvl>
    <w:lvl w:ilvl="7">
      <w:start w:val="1"/>
      <w:numFmt w:val="decimal"/>
      <w:isLgl w:val="false"/>
      <w:suff w:val="tab"/>
      <w:lvlText w:val="%1.%2.%3.%4.%5.%6.%7.%8"/>
      <w:lvlJc w:val="left"/>
      <w:pPr>
        <w:pStyle w:val="1100"/>
        <w:ind w:left="680" w:hanging="680"/>
      </w:pPr>
      <w:rPr>
        <w:rFonts w:hint="eastAsia"/>
      </w:rPr>
    </w:lvl>
    <w:lvl w:ilvl="8">
      <w:start w:val="1"/>
      <w:numFmt w:val="decimal"/>
      <w:isLgl w:val="false"/>
      <w:suff w:val="tab"/>
      <w:lvlText w:val="%1.%2.%3.%4.%5.%6.%7.%8.%9"/>
      <w:lvlJc w:val="left"/>
      <w:pPr>
        <w:pStyle w:val="1100"/>
        <w:ind w:left="680" w:hanging="680"/>
      </w:pPr>
      <w:rPr>
        <w:rFonts w:hint="eastAsia"/>
      </w:rPr>
    </w:lvl>
  </w:abstractNum>
  <w:abstractNum w:abstractNumId="19">
    <w:multiLevelType w:val="hybridMultilevel"/>
    <w:lvl w:ilvl="0">
      <w:start w:val="1"/>
      <w:numFmt w:val="decimal"/>
      <w:isLgl w:val="false"/>
      <w:suff w:val="tab"/>
      <w:lvlText w:val="%1."/>
      <w:lvlJc w:val="left"/>
      <w:pPr>
        <w:pStyle w:val="1100"/>
        <w:ind w:left="900" w:hanging="900"/>
        <w:tabs>
          <w:tab w:val="num" w:pos="900" w:leader="none"/>
        </w:tabs>
      </w:pPr>
      <w:rPr>
        <w:rFonts w:hint="eastAsia"/>
      </w:rPr>
    </w:lvl>
    <w:lvl w:ilvl="1">
      <w:start w:val="1"/>
      <w:numFmt w:val="decimal"/>
      <w:isLgl w:val="false"/>
      <w:suff w:val="tab"/>
      <w:lvlText w:val="%1.%2"/>
      <w:lvlJc w:val="left"/>
      <w:pPr>
        <w:pStyle w:val="110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10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100"/>
        <w:ind w:left="900" w:hanging="900"/>
        <w:tabs>
          <w:tab w:val="num" w:pos="900" w:leader="none"/>
        </w:tabs>
      </w:pPr>
      <w:rPr>
        <w:rFonts w:hint="eastAsia"/>
      </w:rPr>
    </w:lvl>
    <w:lvl w:ilvl="4">
      <w:start w:val="1"/>
      <w:numFmt w:val="decimal"/>
      <w:isLgl w:val="false"/>
      <w:suff w:val="tab"/>
      <w:lvlText w:val="%1.%2.%3.%4.%5"/>
      <w:lvlJc w:val="left"/>
      <w:pPr>
        <w:pStyle w:val="1100"/>
        <w:ind w:left="900" w:hanging="900"/>
        <w:tabs>
          <w:tab w:val="num" w:pos="900" w:leader="none"/>
        </w:tabs>
      </w:pPr>
      <w:rPr>
        <w:rFonts w:hint="eastAsia"/>
      </w:rPr>
    </w:lvl>
    <w:lvl w:ilvl="5">
      <w:start w:val="1"/>
      <w:numFmt w:val="decimal"/>
      <w:isLgl w:val="false"/>
      <w:suff w:val="tab"/>
      <w:lvlText w:val="%1.%2.%3.%4.%5.%6"/>
      <w:lvlJc w:val="left"/>
      <w:pPr>
        <w:pStyle w:val="1100"/>
        <w:ind w:left="900" w:hanging="900"/>
        <w:tabs>
          <w:tab w:val="num" w:pos="900" w:leader="none"/>
        </w:tabs>
      </w:pPr>
      <w:rPr>
        <w:rFonts w:hint="eastAsia"/>
      </w:rPr>
    </w:lvl>
    <w:lvl w:ilvl="6">
      <w:start w:val="1"/>
      <w:numFmt w:val="decimal"/>
      <w:isLgl w:val="false"/>
      <w:suff w:val="tab"/>
      <w:lvlText w:val="%1.%2.%3.%4.%5.%6.%7"/>
      <w:lvlJc w:val="left"/>
      <w:pPr>
        <w:pStyle w:val="1100"/>
        <w:ind w:left="900" w:hanging="900"/>
        <w:tabs>
          <w:tab w:val="num" w:pos="900" w:leader="none"/>
        </w:tabs>
      </w:pPr>
      <w:rPr>
        <w:rFonts w:hint="eastAsia"/>
      </w:rPr>
    </w:lvl>
    <w:lvl w:ilvl="7">
      <w:start w:val="1"/>
      <w:numFmt w:val="decimal"/>
      <w:isLgl w:val="false"/>
      <w:suff w:val="tab"/>
      <w:lvlText w:val="%1.%2.%3.%4.%5.%6.%7.%8"/>
      <w:lvlJc w:val="left"/>
      <w:pPr>
        <w:pStyle w:val="1100"/>
        <w:ind w:left="900" w:hanging="900"/>
        <w:tabs>
          <w:tab w:val="num" w:pos="900" w:leader="none"/>
        </w:tabs>
      </w:pPr>
      <w:rPr>
        <w:rFonts w:hint="eastAsia"/>
      </w:rPr>
    </w:lvl>
    <w:lvl w:ilvl="8">
      <w:start w:val="1"/>
      <w:numFmt w:val="decimal"/>
      <w:isLgl w:val="false"/>
      <w:suff w:val="tab"/>
      <w:lvlText w:val="%1.%2.%3.%4.%5.%6.%7.%8.%9"/>
      <w:lvlJc w:val="left"/>
      <w:pPr>
        <w:pStyle w:val="1100"/>
        <w:ind w:left="900" w:hanging="900"/>
        <w:tabs>
          <w:tab w:val="num" w:pos="900" w:leader="none"/>
        </w:tabs>
      </w:pPr>
      <w:rPr>
        <w:rFonts w:hint="eastAsia"/>
      </w:rPr>
    </w:lvl>
  </w:abstractNum>
  <w:abstractNum w:abstractNumId="20">
    <w:multiLevelType w:val="hybridMultilevel"/>
    <w:lvl w:ilvl="0">
      <w:start w:val="1"/>
      <w:numFmt w:val="japaneseCounting"/>
      <w:isLgl w:val="false"/>
      <w:suff w:val="tab"/>
      <w:lvlText w:val="%1、"/>
      <w:lvlJc w:val="left"/>
      <w:pPr>
        <w:pStyle w:val="1100"/>
        <w:ind w:left="500" w:hanging="500"/>
      </w:pPr>
    </w:lvl>
    <w:lvl w:ilvl="1">
      <w:start w:val="1"/>
      <w:numFmt w:val="lowerLetter"/>
      <w:isLgl w:val="false"/>
      <w:suff w:val="tab"/>
      <w:lvlText w:val="%2)"/>
      <w:lvlJc w:val="left"/>
      <w:pPr>
        <w:pStyle w:val="1100"/>
        <w:ind w:left="840" w:hanging="420"/>
      </w:pPr>
    </w:lvl>
    <w:lvl w:ilvl="2">
      <w:start w:val="1"/>
      <w:numFmt w:val="lowerRoman"/>
      <w:isLgl w:val="false"/>
      <w:suff w:val="tab"/>
      <w:lvlText w:val="%3."/>
      <w:lvlJc w:val="right"/>
      <w:pPr>
        <w:pStyle w:val="1100"/>
        <w:ind w:left="1260" w:hanging="420"/>
      </w:pPr>
    </w:lvl>
    <w:lvl w:ilvl="3">
      <w:start w:val="1"/>
      <w:numFmt w:val="decimal"/>
      <w:isLgl w:val="false"/>
      <w:suff w:val="tab"/>
      <w:lvlText w:val="%4."/>
      <w:lvlJc w:val="left"/>
      <w:pPr>
        <w:pStyle w:val="1100"/>
        <w:ind w:left="1680" w:hanging="420"/>
      </w:pPr>
    </w:lvl>
    <w:lvl w:ilvl="4">
      <w:start w:val="1"/>
      <w:numFmt w:val="lowerLetter"/>
      <w:isLgl w:val="false"/>
      <w:suff w:val="tab"/>
      <w:lvlText w:val="%5)"/>
      <w:lvlJc w:val="left"/>
      <w:pPr>
        <w:pStyle w:val="1100"/>
        <w:ind w:left="2100" w:hanging="420"/>
      </w:pPr>
    </w:lvl>
    <w:lvl w:ilvl="5">
      <w:start w:val="1"/>
      <w:numFmt w:val="lowerRoman"/>
      <w:isLgl w:val="false"/>
      <w:suff w:val="tab"/>
      <w:lvlText w:val="%6."/>
      <w:lvlJc w:val="right"/>
      <w:pPr>
        <w:pStyle w:val="1100"/>
        <w:ind w:left="2520" w:hanging="420"/>
      </w:pPr>
    </w:lvl>
    <w:lvl w:ilvl="6">
      <w:start w:val="1"/>
      <w:numFmt w:val="decimal"/>
      <w:isLgl w:val="false"/>
      <w:suff w:val="tab"/>
      <w:lvlText w:val="%7."/>
      <w:lvlJc w:val="left"/>
      <w:pPr>
        <w:pStyle w:val="1100"/>
        <w:ind w:left="2940" w:hanging="420"/>
      </w:pPr>
    </w:lvl>
    <w:lvl w:ilvl="7">
      <w:start w:val="1"/>
      <w:numFmt w:val="lowerLetter"/>
      <w:isLgl w:val="false"/>
      <w:suff w:val="tab"/>
      <w:lvlText w:val="%8)"/>
      <w:lvlJc w:val="left"/>
      <w:pPr>
        <w:pStyle w:val="1100"/>
        <w:ind w:left="3360" w:hanging="420"/>
      </w:pPr>
    </w:lvl>
    <w:lvl w:ilvl="8">
      <w:start w:val="1"/>
      <w:numFmt w:val="lowerRoman"/>
      <w:isLgl w:val="false"/>
      <w:suff w:val="tab"/>
      <w:lvlText w:val="%9."/>
      <w:lvlJc w:val="right"/>
      <w:pPr>
        <w:pStyle w:val="1100"/>
        <w:ind w:left="3780" w:hanging="420"/>
      </w:pPr>
    </w:lvl>
  </w:abstractNum>
  <w:abstractNum w:abstractNumId="21">
    <w:multiLevelType w:val="hybridMultilevel"/>
    <w:lvl w:ilvl="0">
      <w:start w:val="1"/>
      <w:numFmt w:val="decimal"/>
      <w:isLgl w:val="false"/>
      <w:suff w:val="tab"/>
      <w:lvlText w:val="%1"/>
      <w:lvlJc w:val="left"/>
      <w:pPr>
        <w:pStyle w:val="1100"/>
        <w:ind w:left="900" w:hanging="900"/>
        <w:tabs>
          <w:tab w:val="num" w:pos="900" w:leader="none"/>
        </w:tabs>
      </w:pPr>
      <w:rPr>
        <w:rFonts w:hint="eastAsia"/>
      </w:rPr>
    </w:lvl>
    <w:lvl w:ilvl="1">
      <w:start w:val="1"/>
      <w:numFmt w:val="decimal"/>
      <w:isLgl w:val="false"/>
      <w:suff w:val="tab"/>
      <w:lvlText w:val="%1.%2"/>
      <w:lvlJc w:val="left"/>
      <w:pPr>
        <w:pStyle w:val="110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0"/>
        <w:ind w:left="1980" w:hanging="900"/>
        <w:tabs>
          <w:tab w:val="num" w:pos="1980" w:leader="none"/>
        </w:tabs>
      </w:pPr>
      <w:rPr>
        <w:rFonts w:hint="eastAsia"/>
      </w:rPr>
    </w:lvl>
    <w:lvl w:ilvl="3">
      <w:start w:val="1"/>
      <w:numFmt w:val="decimal"/>
      <w:isLgl w:val="false"/>
      <w:suff w:val="tab"/>
      <w:lvlText w:val="%1.%2.%3.%4"/>
      <w:lvlJc w:val="left"/>
      <w:pPr>
        <w:pStyle w:val="110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100"/>
        <w:ind w:left="900" w:hanging="900"/>
        <w:tabs>
          <w:tab w:val="num" w:pos="900" w:leader="none"/>
        </w:tabs>
      </w:pPr>
      <w:rPr>
        <w:rFonts w:hint="eastAsia"/>
      </w:rPr>
    </w:lvl>
    <w:lvl w:ilvl="5">
      <w:start w:val="1"/>
      <w:numFmt w:val="decimal"/>
      <w:isLgl w:val="false"/>
      <w:suff w:val="tab"/>
      <w:lvlText w:val="%1.%2.%3.%4.%5.%6"/>
      <w:lvlJc w:val="left"/>
      <w:pPr>
        <w:pStyle w:val="1100"/>
        <w:ind w:left="900" w:hanging="900"/>
        <w:tabs>
          <w:tab w:val="num" w:pos="900" w:leader="none"/>
        </w:tabs>
      </w:pPr>
      <w:rPr>
        <w:rFonts w:hint="eastAsia"/>
      </w:rPr>
    </w:lvl>
    <w:lvl w:ilvl="6">
      <w:start w:val="1"/>
      <w:numFmt w:val="decimal"/>
      <w:isLgl w:val="false"/>
      <w:suff w:val="tab"/>
      <w:lvlText w:val="%1.%2.%3.%4.%5.%6.%7"/>
      <w:lvlJc w:val="left"/>
      <w:pPr>
        <w:pStyle w:val="1100"/>
        <w:ind w:left="900" w:hanging="900"/>
        <w:tabs>
          <w:tab w:val="num" w:pos="900" w:leader="none"/>
        </w:tabs>
      </w:pPr>
      <w:rPr>
        <w:rFonts w:hint="eastAsia"/>
      </w:rPr>
    </w:lvl>
    <w:lvl w:ilvl="7">
      <w:start w:val="1"/>
      <w:numFmt w:val="decimal"/>
      <w:isLgl w:val="false"/>
      <w:suff w:val="tab"/>
      <w:lvlText w:val="%1.%2.%3.%4.%5.%6.%7.%8"/>
      <w:lvlJc w:val="left"/>
      <w:pPr>
        <w:pStyle w:val="1100"/>
        <w:ind w:left="900" w:hanging="900"/>
        <w:tabs>
          <w:tab w:val="num" w:pos="900" w:leader="none"/>
        </w:tabs>
      </w:pPr>
      <w:rPr>
        <w:rFonts w:hint="eastAsia"/>
      </w:rPr>
    </w:lvl>
    <w:lvl w:ilvl="8">
      <w:start w:val="1"/>
      <w:numFmt w:val="decimal"/>
      <w:isLgl w:val="false"/>
      <w:suff w:val="tab"/>
      <w:lvlText w:val="%1.%2.%3.%4.%5.%6.%7.%8.%9"/>
      <w:lvlJc w:val="left"/>
      <w:pPr>
        <w:pStyle w:val="1100"/>
        <w:ind w:left="900" w:hanging="900"/>
        <w:tabs>
          <w:tab w:val="num" w:pos="900" w:leader="none"/>
        </w:tabs>
      </w:pPr>
      <w:rPr>
        <w:rFonts w:hint="eastAsia"/>
      </w:rPr>
    </w:lvl>
  </w:abstractNum>
  <w:abstractNum w:abstractNumId="22">
    <w:multiLevelType w:val="hybridMultilevel"/>
    <w:lvl w:ilvl="0">
      <w:start w:val="1"/>
      <w:numFmt w:val="decimal"/>
      <w:isLgl w:val="false"/>
      <w:suff w:val="nothing"/>
      <w:lvlText w:val="%1．"/>
      <w:lvlJc w:val="left"/>
      <w:pPr>
        <w:pStyle w:val="1100"/>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1100"/>
        <w:ind w:left="900" w:hanging="900"/>
        <w:tabs>
          <w:tab w:val="num" w:pos="900" w:leader="none"/>
        </w:tabs>
      </w:pPr>
      <w:rPr>
        <w:rFonts w:hint="eastAsia"/>
      </w:rPr>
    </w:lvl>
    <w:lvl w:ilvl="1">
      <w:start w:val="1"/>
      <w:numFmt w:val="decimal"/>
      <w:isLgl w:val="false"/>
      <w:suff w:val="tab"/>
      <w:lvlText w:val="%1.%2"/>
      <w:lvlJc w:val="left"/>
      <w:pPr>
        <w:pStyle w:val="110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0"/>
        <w:ind w:left="1980" w:hanging="900"/>
        <w:tabs>
          <w:tab w:val="num" w:pos="1980" w:leader="none"/>
        </w:tabs>
      </w:pPr>
      <w:rPr>
        <w:rFonts w:hint="eastAsia"/>
      </w:rPr>
    </w:lvl>
    <w:lvl w:ilvl="3">
      <w:start w:val="1"/>
      <w:numFmt w:val="decimal"/>
      <w:isLgl w:val="false"/>
      <w:suff w:val="tab"/>
      <w:lvlText w:val="%1.%2.%3.%4"/>
      <w:lvlJc w:val="left"/>
      <w:pPr>
        <w:pStyle w:val="1100"/>
        <w:ind w:left="900" w:hanging="900"/>
        <w:tabs>
          <w:tab w:val="num" w:pos="900" w:leader="none"/>
        </w:tabs>
      </w:pPr>
      <w:rPr>
        <w:rFonts w:hint="eastAsia"/>
      </w:rPr>
    </w:lvl>
    <w:lvl w:ilvl="4">
      <w:start w:val="1"/>
      <w:numFmt w:val="decimal"/>
      <w:isLgl w:val="false"/>
      <w:suff w:val="tab"/>
      <w:lvlText w:val="%1.%2.%3.%4.%5"/>
      <w:lvlJc w:val="left"/>
      <w:pPr>
        <w:pStyle w:val="1100"/>
        <w:ind w:left="900" w:hanging="900"/>
        <w:tabs>
          <w:tab w:val="num" w:pos="900" w:leader="none"/>
        </w:tabs>
      </w:pPr>
      <w:rPr>
        <w:rFonts w:hint="eastAsia"/>
      </w:rPr>
    </w:lvl>
    <w:lvl w:ilvl="5">
      <w:start w:val="1"/>
      <w:numFmt w:val="decimal"/>
      <w:isLgl w:val="false"/>
      <w:suff w:val="tab"/>
      <w:lvlText w:val="%1.%2.%3.%4.%5.%6"/>
      <w:lvlJc w:val="left"/>
      <w:pPr>
        <w:pStyle w:val="1100"/>
        <w:ind w:left="900" w:hanging="900"/>
        <w:tabs>
          <w:tab w:val="num" w:pos="900" w:leader="none"/>
        </w:tabs>
      </w:pPr>
      <w:rPr>
        <w:rFonts w:hint="eastAsia"/>
      </w:rPr>
    </w:lvl>
    <w:lvl w:ilvl="6">
      <w:start w:val="1"/>
      <w:numFmt w:val="decimal"/>
      <w:isLgl w:val="false"/>
      <w:suff w:val="tab"/>
      <w:lvlText w:val="%1.%2.%3.%4.%5.%6.%7"/>
      <w:lvlJc w:val="left"/>
      <w:pPr>
        <w:pStyle w:val="1100"/>
        <w:ind w:left="900" w:hanging="900"/>
        <w:tabs>
          <w:tab w:val="num" w:pos="900" w:leader="none"/>
        </w:tabs>
      </w:pPr>
      <w:rPr>
        <w:rFonts w:hint="eastAsia"/>
      </w:rPr>
    </w:lvl>
    <w:lvl w:ilvl="7">
      <w:start w:val="1"/>
      <w:numFmt w:val="decimal"/>
      <w:isLgl w:val="false"/>
      <w:suff w:val="tab"/>
      <w:lvlText w:val="%1.%2.%3.%4.%5.%6.%7.%8"/>
      <w:lvlJc w:val="left"/>
      <w:pPr>
        <w:pStyle w:val="1100"/>
        <w:ind w:left="900" w:hanging="900"/>
        <w:tabs>
          <w:tab w:val="num" w:pos="900" w:leader="none"/>
        </w:tabs>
      </w:pPr>
      <w:rPr>
        <w:rFonts w:hint="eastAsia"/>
      </w:rPr>
    </w:lvl>
    <w:lvl w:ilvl="8">
      <w:start w:val="1"/>
      <w:numFmt w:val="decimal"/>
      <w:isLgl w:val="false"/>
      <w:suff w:val="tab"/>
      <w:lvlText w:val="%1.%2.%3.%4.%5.%6.%7.%8.%9"/>
      <w:lvlJc w:val="left"/>
      <w:pPr>
        <w:pStyle w:val="1100"/>
        <w:ind w:left="900" w:hanging="900"/>
        <w:tabs>
          <w:tab w:val="num" w:pos="900" w:leader="none"/>
        </w:tabs>
      </w:pPr>
      <w:rPr>
        <w:rFonts w:hint="eastAsia"/>
      </w:rPr>
    </w:lvl>
  </w:abstractNum>
  <w:abstractNum w:abstractNumId="24">
    <w:multiLevelType w:val="hybridMultilevel"/>
    <w:lvl w:ilvl="0">
      <w:start w:val="1"/>
      <w:numFmt w:val="japaneseCounting"/>
      <w:isLgl w:val="false"/>
      <w:suff w:val="tab"/>
      <w:lvlText w:val="%1、"/>
      <w:lvlJc w:val="left"/>
      <w:pPr>
        <w:pStyle w:val="1100"/>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1100"/>
        <w:ind w:left="205" w:hanging="322"/>
      </w:pPr>
      <w:rPr>
        <w:rFonts w:ascii="仿宋" w:hAnsi="仿宋" w:eastAsia="仿宋" w:cs="仿宋"/>
        <w:spacing w:val="-46"/>
        <w:sz w:val="30"/>
        <w:szCs w:val="30"/>
      </w:rPr>
    </w:lvl>
    <w:lvl w:ilvl="1">
      <w:start w:val="1"/>
      <w:numFmt w:val="lowerLetter"/>
      <w:isLgl w:val="false"/>
      <w:suff w:val="tab"/>
      <w:lvlText w:val="%2)"/>
      <w:lvlJc w:val="left"/>
      <w:pPr>
        <w:pStyle w:val="1100"/>
        <w:ind w:left="840" w:hanging="420"/>
      </w:pPr>
    </w:lvl>
    <w:lvl w:ilvl="2">
      <w:start w:val="1"/>
      <w:numFmt w:val="lowerRoman"/>
      <w:isLgl w:val="false"/>
      <w:suff w:val="tab"/>
      <w:lvlText w:val="%3."/>
      <w:lvlJc w:val="right"/>
      <w:pPr>
        <w:pStyle w:val="1100"/>
        <w:ind w:left="1260" w:hanging="420"/>
      </w:pPr>
    </w:lvl>
    <w:lvl w:ilvl="3">
      <w:start w:val="1"/>
      <w:numFmt w:val="decimal"/>
      <w:isLgl w:val="false"/>
      <w:suff w:val="tab"/>
      <w:lvlText w:val="%4."/>
      <w:lvlJc w:val="left"/>
      <w:pPr>
        <w:pStyle w:val="1100"/>
        <w:ind w:left="1680" w:hanging="420"/>
      </w:pPr>
    </w:lvl>
    <w:lvl w:ilvl="4">
      <w:start w:val="1"/>
      <w:numFmt w:val="lowerLetter"/>
      <w:isLgl w:val="false"/>
      <w:suff w:val="tab"/>
      <w:lvlText w:val="%5)"/>
      <w:lvlJc w:val="left"/>
      <w:pPr>
        <w:pStyle w:val="1100"/>
        <w:ind w:left="2100" w:hanging="420"/>
      </w:pPr>
    </w:lvl>
    <w:lvl w:ilvl="5">
      <w:start w:val="1"/>
      <w:numFmt w:val="lowerRoman"/>
      <w:isLgl w:val="false"/>
      <w:suff w:val="tab"/>
      <w:lvlText w:val="%6."/>
      <w:lvlJc w:val="right"/>
      <w:pPr>
        <w:pStyle w:val="1100"/>
        <w:ind w:left="2520" w:hanging="420"/>
      </w:pPr>
    </w:lvl>
    <w:lvl w:ilvl="6">
      <w:start w:val="1"/>
      <w:numFmt w:val="decimal"/>
      <w:isLgl w:val="false"/>
      <w:suff w:val="tab"/>
      <w:lvlText w:val="%7."/>
      <w:lvlJc w:val="left"/>
      <w:pPr>
        <w:pStyle w:val="1100"/>
        <w:ind w:left="2940" w:hanging="420"/>
      </w:pPr>
    </w:lvl>
    <w:lvl w:ilvl="7">
      <w:start w:val="1"/>
      <w:numFmt w:val="lowerLetter"/>
      <w:isLgl w:val="false"/>
      <w:suff w:val="tab"/>
      <w:lvlText w:val="%8)"/>
      <w:lvlJc w:val="left"/>
      <w:pPr>
        <w:pStyle w:val="1100"/>
        <w:ind w:left="3360" w:hanging="420"/>
      </w:pPr>
    </w:lvl>
    <w:lvl w:ilvl="8">
      <w:start w:val="1"/>
      <w:numFmt w:val="lowerRoman"/>
      <w:isLgl w:val="false"/>
      <w:suff w:val="tab"/>
      <w:lvlText w:val="%9."/>
      <w:lvlJc w:val="right"/>
      <w:pPr>
        <w:pStyle w:val="1100"/>
        <w:ind w:left="3780" w:hanging="420"/>
      </w:pPr>
    </w:lvl>
  </w:abstractNum>
  <w:abstractNum w:abstractNumId="26">
    <w:multiLevelType w:val="hybridMultilevel"/>
    <w:lvl w:ilvl="0">
      <w:start w:val="2"/>
      <w:numFmt w:val="chineseCounting"/>
      <w:isLgl w:val="false"/>
      <w:suff w:val="nothing"/>
      <w:lvlText w:val="%1、"/>
      <w:lvlJc w:val="left"/>
      <w:pPr>
        <w:pStyle w:val="11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pStyle w:val="1100"/>
        <w:ind w:left="900" w:hanging="900"/>
        <w:tabs>
          <w:tab w:val="num" w:pos="900" w:leader="none"/>
        </w:tabs>
      </w:pPr>
      <w:rPr>
        <w:rFonts w:hint="eastAsia"/>
      </w:rPr>
    </w:lvl>
    <w:lvl w:ilvl="1">
      <w:start w:val="1"/>
      <w:numFmt w:val="decimal"/>
      <w:isLgl w:val="false"/>
      <w:suff w:val="tab"/>
      <w:lvlText w:val="%1.%2"/>
      <w:lvlJc w:val="left"/>
      <w:pPr>
        <w:pStyle w:val="110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0"/>
        <w:ind w:left="1980" w:hanging="900"/>
        <w:tabs>
          <w:tab w:val="num" w:pos="1980" w:leader="none"/>
        </w:tabs>
      </w:pPr>
      <w:rPr>
        <w:rFonts w:hint="eastAsia"/>
      </w:rPr>
    </w:lvl>
    <w:lvl w:ilvl="3">
      <w:start w:val="1"/>
      <w:numFmt w:val="decimal"/>
      <w:isLgl w:val="false"/>
      <w:suff w:val="tab"/>
      <w:lvlText w:val="%1.%2.%3.%4"/>
      <w:lvlJc w:val="left"/>
      <w:pPr>
        <w:pStyle w:val="1100"/>
        <w:ind w:left="900" w:hanging="900"/>
        <w:tabs>
          <w:tab w:val="num" w:pos="900" w:leader="none"/>
        </w:tabs>
      </w:pPr>
      <w:rPr>
        <w:rFonts w:hint="eastAsia"/>
      </w:rPr>
    </w:lvl>
    <w:lvl w:ilvl="4">
      <w:start w:val="1"/>
      <w:numFmt w:val="decimal"/>
      <w:isLgl w:val="false"/>
      <w:suff w:val="tab"/>
      <w:lvlText w:val="%1.%2.%3.%4.%5"/>
      <w:lvlJc w:val="left"/>
      <w:pPr>
        <w:pStyle w:val="1100"/>
        <w:ind w:left="900" w:hanging="900"/>
        <w:tabs>
          <w:tab w:val="num" w:pos="900" w:leader="none"/>
        </w:tabs>
      </w:pPr>
      <w:rPr>
        <w:rFonts w:hint="eastAsia"/>
      </w:rPr>
    </w:lvl>
    <w:lvl w:ilvl="5">
      <w:start w:val="1"/>
      <w:numFmt w:val="decimal"/>
      <w:isLgl w:val="false"/>
      <w:suff w:val="tab"/>
      <w:lvlText w:val="%1.%2.%3.%4.%5.%6"/>
      <w:lvlJc w:val="left"/>
      <w:pPr>
        <w:pStyle w:val="1100"/>
        <w:ind w:left="900" w:hanging="900"/>
        <w:tabs>
          <w:tab w:val="num" w:pos="900" w:leader="none"/>
        </w:tabs>
      </w:pPr>
      <w:rPr>
        <w:rFonts w:hint="eastAsia"/>
      </w:rPr>
    </w:lvl>
    <w:lvl w:ilvl="6">
      <w:start w:val="1"/>
      <w:numFmt w:val="decimal"/>
      <w:isLgl w:val="false"/>
      <w:suff w:val="tab"/>
      <w:lvlText w:val="%1.%2.%3.%4.%5.%6.%7"/>
      <w:lvlJc w:val="left"/>
      <w:pPr>
        <w:pStyle w:val="1100"/>
        <w:ind w:left="900" w:hanging="900"/>
        <w:tabs>
          <w:tab w:val="num" w:pos="900" w:leader="none"/>
        </w:tabs>
      </w:pPr>
      <w:rPr>
        <w:rFonts w:hint="eastAsia"/>
      </w:rPr>
    </w:lvl>
    <w:lvl w:ilvl="7">
      <w:start w:val="1"/>
      <w:numFmt w:val="decimal"/>
      <w:isLgl w:val="false"/>
      <w:suff w:val="tab"/>
      <w:lvlText w:val="%1.%2.%3.%4.%5.%6.%7.%8"/>
      <w:lvlJc w:val="left"/>
      <w:pPr>
        <w:pStyle w:val="1100"/>
        <w:ind w:left="900" w:hanging="900"/>
        <w:tabs>
          <w:tab w:val="num" w:pos="900" w:leader="none"/>
        </w:tabs>
      </w:pPr>
      <w:rPr>
        <w:rFonts w:hint="eastAsia"/>
      </w:rPr>
    </w:lvl>
    <w:lvl w:ilvl="8">
      <w:start w:val="1"/>
      <w:numFmt w:val="decimal"/>
      <w:isLgl w:val="false"/>
      <w:suff w:val="tab"/>
      <w:lvlText w:val="%1.%2.%3.%4.%5.%6.%7.%8.%9"/>
      <w:lvlJc w:val="left"/>
      <w:pPr>
        <w:pStyle w:val="1100"/>
        <w:ind w:left="900" w:hanging="900"/>
        <w:tabs>
          <w:tab w:val="num" w:pos="900" w:leader="none"/>
        </w:tabs>
      </w:pPr>
      <w:rPr>
        <w:rFonts w:hint="eastAsia"/>
      </w:rPr>
    </w:lvl>
  </w:abstractNum>
  <w:abstractNum w:abstractNumId="28">
    <w:multiLevelType w:val="hybridMultilevel"/>
    <w:lvl w:ilvl="0">
      <w:start w:val="1"/>
      <w:numFmt w:val="decimal"/>
      <w:isLgl w:val="false"/>
      <w:suff w:val="space"/>
      <w:lvlText w:val="%1."/>
      <w:lvlJc w:val="left"/>
      <w:pPr>
        <w:pStyle w:val="110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9"/>
  </w:num>
  <w:num w:numId="3">
    <w:abstractNumId w:val="16"/>
  </w:num>
  <w:num w:numId="4">
    <w:abstractNumId w:val="14"/>
  </w:num>
  <w:num w:numId="5">
    <w:abstractNumId w:val="11"/>
  </w:num>
  <w:num w:numId="6">
    <w:abstractNumId w:val="10"/>
  </w:num>
  <w:num w:numId="7">
    <w:abstractNumId w:val="18"/>
  </w:num>
  <w:num w:numId="8">
    <w:abstractNumId w:val="0"/>
  </w:num>
  <w:num w:numId="9">
    <w:abstractNumId w:val="15"/>
  </w:num>
  <w:num w:numId="10">
    <w:abstractNumId w:val="21"/>
  </w:num>
  <w:num w:numId="11">
    <w:abstractNumId w:val="8"/>
  </w:num>
  <w:num w:numId="12">
    <w:abstractNumId w:val="23"/>
  </w:num>
  <w:num w:numId="13">
    <w:abstractNumId w:val="19"/>
  </w:num>
  <w:num w:numId="14">
    <w:abstractNumId w:val="27"/>
  </w:num>
  <w:num w:numId="15">
    <w:abstractNumId w:val="20"/>
  </w:num>
  <w:num w:numId="16">
    <w:abstractNumId w:val="12"/>
  </w:num>
  <w:num w:numId="17">
    <w:abstractNumId w:val="28"/>
    <w:lvlOverride w:ilvl="0">
      <w:startOverride w:val="1"/>
    </w:lvlOverride>
  </w:num>
  <w:num w:numId="18">
    <w:abstractNumId w:val="3"/>
    <w:lvlOverride w:ilvl="0">
      <w:startOverride w:val="1"/>
    </w:lvlOverride>
  </w:num>
  <w:num w:numId="19">
    <w:abstractNumId w:val="7"/>
    <w:lvlOverride w:ilvl="0">
      <w:startOverride w:val="1"/>
    </w:lvlOverride>
  </w:num>
  <w:num w:numId="20">
    <w:abstractNumId w:val="5"/>
    <w:lvlOverride w:ilvl="0">
      <w:startOverride w:val="2"/>
    </w:lvlOverride>
  </w:num>
  <w:num w:numId="21">
    <w:abstractNumId w:val="4"/>
    <w:lvlOverride w:ilvl="0">
      <w:startOverride w:val="6"/>
    </w:lvlOverride>
  </w:num>
  <w:num w:numId="22">
    <w:abstractNumId w:val="2"/>
    <w:lvlOverride w:ilvl="0">
      <w:startOverride w:val="16"/>
    </w:lvlOverride>
  </w:num>
  <w:num w:numId="23">
    <w:abstractNumId w:val="6"/>
    <w:lvlOverride w:ilvl="0">
      <w:startOverride w:val="23"/>
    </w:lvlOverride>
  </w:num>
  <w:num w:numId="24">
    <w:abstractNumId w:val="26"/>
  </w:num>
  <w:num w:numId="25">
    <w:abstractNumId w:val="24"/>
  </w:num>
  <w:num w:numId="26">
    <w:abstractNumId w:val="25"/>
  </w:num>
  <w:num w:numId="27">
    <w:abstractNumId w:val="17"/>
  </w:num>
  <w:num w:numId="28">
    <w:abstractNumId w:val="1"/>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2">
    <w:name w:val="Heading 1"/>
    <w:basedOn w:val="1100"/>
    <w:next w:val="1100"/>
    <w:link w:val="923"/>
    <w:uiPriority w:val="9"/>
    <w:qFormat/>
    <w:pPr>
      <w:keepLines/>
      <w:keepNext/>
      <w:spacing w:before="480" w:after="200"/>
      <w:outlineLvl w:val="0"/>
    </w:pPr>
    <w:rPr>
      <w:rFonts w:ascii="Arial" w:hAnsi="Arial" w:eastAsia="Arial" w:cs="Arial"/>
      <w:sz w:val="40"/>
      <w:szCs w:val="40"/>
    </w:rPr>
  </w:style>
  <w:style w:type="character" w:styleId="923">
    <w:name w:val="Heading 1 Char"/>
    <w:link w:val="922"/>
    <w:uiPriority w:val="9"/>
    <w:rPr>
      <w:rFonts w:ascii="Arial" w:hAnsi="Arial" w:eastAsia="Arial" w:cs="Arial"/>
      <w:sz w:val="40"/>
      <w:szCs w:val="40"/>
    </w:rPr>
  </w:style>
  <w:style w:type="paragraph" w:styleId="924">
    <w:name w:val="Heading 2"/>
    <w:basedOn w:val="1100"/>
    <w:next w:val="1100"/>
    <w:link w:val="925"/>
    <w:uiPriority w:val="9"/>
    <w:unhideWhenUsed/>
    <w:qFormat/>
    <w:pPr>
      <w:keepLines/>
      <w:keepNext/>
      <w:spacing w:before="360" w:after="200"/>
      <w:outlineLvl w:val="1"/>
    </w:pPr>
    <w:rPr>
      <w:rFonts w:ascii="Arial" w:hAnsi="Arial" w:eastAsia="Arial" w:cs="Arial"/>
      <w:sz w:val="34"/>
    </w:rPr>
  </w:style>
  <w:style w:type="character" w:styleId="925">
    <w:name w:val="Heading 2 Char"/>
    <w:link w:val="924"/>
    <w:uiPriority w:val="9"/>
    <w:rPr>
      <w:rFonts w:ascii="Arial" w:hAnsi="Arial" w:eastAsia="Arial" w:cs="Arial"/>
      <w:sz w:val="34"/>
    </w:rPr>
  </w:style>
  <w:style w:type="paragraph" w:styleId="926">
    <w:name w:val="Heading 3"/>
    <w:basedOn w:val="1100"/>
    <w:next w:val="1100"/>
    <w:link w:val="927"/>
    <w:uiPriority w:val="9"/>
    <w:unhideWhenUsed/>
    <w:qFormat/>
    <w:pPr>
      <w:keepLines/>
      <w:keepNext/>
      <w:spacing w:before="320" w:after="200"/>
      <w:outlineLvl w:val="2"/>
    </w:pPr>
    <w:rPr>
      <w:rFonts w:ascii="Arial" w:hAnsi="Arial" w:eastAsia="Arial" w:cs="Arial"/>
      <w:sz w:val="30"/>
      <w:szCs w:val="30"/>
    </w:rPr>
  </w:style>
  <w:style w:type="character" w:styleId="927">
    <w:name w:val="Heading 3 Char"/>
    <w:link w:val="926"/>
    <w:uiPriority w:val="9"/>
    <w:rPr>
      <w:rFonts w:ascii="Arial" w:hAnsi="Arial" w:eastAsia="Arial" w:cs="Arial"/>
      <w:sz w:val="30"/>
      <w:szCs w:val="30"/>
    </w:rPr>
  </w:style>
  <w:style w:type="paragraph" w:styleId="928">
    <w:name w:val="Heading 4"/>
    <w:basedOn w:val="1100"/>
    <w:next w:val="1100"/>
    <w:link w:val="929"/>
    <w:uiPriority w:val="9"/>
    <w:unhideWhenUsed/>
    <w:qFormat/>
    <w:pPr>
      <w:keepLines/>
      <w:keepNext/>
      <w:spacing w:before="320" w:after="200"/>
      <w:outlineLvl w:val="3"/>
    </w:pPr>
    <w:rPr>
      <w:rFonts w:ascii="Arial" w:hAnsi="Arial" w:eastAsia="Arial" w:cs="Arial"/>
      <w:b/>
      <w:bCs/>
      <w:sz w:val="26"/>
      <w:szCs w:val="26"/>
    </w:rPr>
  </w:style>
  <w:style w:type="character" w:styleId="929">
    <w:name w:val="Heading 4 Char"/>
    <w:link w:val="928"/>
    <w:uiPriority w:val="9"/>
    <w:rPr>
      <w:rFonts w:ascii="Arial" w:hAnsi="Arial" w:eastAsia="Arial" w:cs="Arial"/>
      <w:b/>
      <w:bCs/>
      <w:sz w:val="26"/>
      <w:szCs w:val="26"/>
    </w:rPr>
  </w:style>
  <w:style w:type="paragraph" w:styleId="930">
    <w:name w:val="Heading 5"/>
    <w:basedOn w:val="1100"/>
    <w:next w:val="1100"/>
    <w:link w:val="931"/>
    <w:uiPriority w:val="9"/>
    <w:unhideWhenUsed/>
    <w:qFormat/>
    <w:pPr>
      <w:keepLines/>
      <w:keepNext/>
      <w:spacing w:before="320" w:after="200"/>
      <w:outlineLvl w:val="4"/>
    </w:pPr>
    <w:rPr>
      <w:rFonts w:ascii="Arial" w:hAnsi="Arial" w:eastAsia="Arial" w:cs="Arial"/>
      <w:b/>
      <w:bCs/>
      <w:sz w:val="24"/>
      <w:szCs w:val="24"/>
    </w:rPr>
  </w:style>
  <w:style w:type="character" w:styleId="931">
    <w:name w:val="Heading 5 Char"/>
    <w:link w:val="930"/>
    <w:uiPriority w:val="9"/>
    <w:rPr>
      <w:rFonts w:ascii="Arial" w:hAnsi="Arial" w:eastAsia="Arial" w:cs="Arial"/>
      <w:b/>
      <w:bCs/>
      <w:sz w:val="24"/>
      <w:szCs w:val="24"/>
    </w:rPr>
  </w:style>
  <w:style w:type="paragraph" w:styleId="932">
    <w:name w:val="Heading 6"/>
    <w:basedOn w:val="1100"/>
    <w:next w:val="1100"/>
    <w:link w:val="933"/>
    <w:uiPriority w:val="9"/>
    <w:unhideWhenUsed/>
    <w:qFormat/>
    <w:pPr>
      <w:keepLines/>
      <w:keepNext/>
      <w:spacing w:before="320" w:after="200"/>
      <w:outlineLvl w:val="5"/>
    </w:pPr>
    <w:rPr>
      <w:rFonts w:ascii="Arial" w:hAnsi="Arial" w:eastAsia="Arial" w:cs="Arial"/>
      <w:b/>
      <w:bCs/>
      <w:sz w:val="22"/>
      <w:szCs w:val="22"/>
    </w:rPr>
  </w:style>
  <w:style w:type="character" w:styleId="933">
    <w:name w:val="Heading 6 Char"/>
    <w:link w:val="932"/>
    <w:uiPriority w:val="9"/>
    <w:rPr>
      <w:rFonts w:ascii="Arial" w:hAnsi="Arial" w:eastAsia="Arial" w:cs="Arial"/>
      <w:b/>
      <w:bCs/>
      <w:sz w:val="22"/>
      <w:szCs w:val="22"/>
    </w:rPr>
  </w:style>
  <w:style w:type="paragraph" w:styleId="934">
    <w:name w:val="Heading 7"/>
    <w:basedOn w:val="1100"/>
    <w:next w:val="1100"/>
    <w:link w:val="935"/>
    <w:uiPriority w:val="9"/>
    <w:unhideWhenUsed/>
    <w:qFormat/>
    <w:pPr>
      <w:keepLines/>
      <w:keepNext/>
      <w:spacing w:before="320" w:after="200"/>
      <w:outlineLvl w:val="6"/>
    </w:pPr>
    <w:rPr>
      <w:rFonts w:ascii="Arial" w:hAnsi="Arial" w:eastAsia="Arial" w:cs="Arial"/>
      <w:b/>
      <w:bCs/>
      <w:i/>
      <w:iCs/>
      <w:sz w:val="22"/>
      <w:szCs w:val="22"/>
    </w:rPr>
  </w:style>
  <w:style w:type="character" w:styleId="935">
    <w:name w:val="Heading 7 Char"/>
    <w:link w:val="934"/>
    <w:uiPriority w:val="9"/>
    <w:rPr>
      <w:rFonts w:ascii="Arial" w:hAnsi="Arial" w:eastAsia="Arial" w:cs="Arial"/>
      <w:b/>
      <w:bCs/>
      <w:i/>
      <w:iCs/>
      <w:sz w:val="22"/>
      <w:szCs w:val="22"/>
    </w:rPr>
  </w:style>
  <w:style w:type="paragraph" w:styleId="936">
    <w:name w:val="Heading 8"/>
    <w:basedOn w:val="1100"/>
    <w:next w:val="1100"/>
    <w:link w:val="937"/>
    <w:uiPriority w:val="9"/>
    <w:unhideWhenUsed/>
    <w:qFormat/>
    <w:pPr>
      <w:keepLines/>
      <w:keepNext/>
      <w:spacing w:before="320" w:after="200"/>
      <w:outlineLvl w:val="7"/>
    </w:pPr>
    <w:rPr>
      <w:rFonts w:ascii="Arial" w:hAnsi="Arial" w:eastAsia="Arial" w:cs="Arial"/>
      <w:i/>
      <w:iCs/>
      <w:sz w:val="22"/>
      <w:szCs w:val="22"/>
    </w:rPr>
  </w:style>
  <w:style w:type="character" w:styleId="937">
    <w:name w:val="Heading 8 Char"/>
    <w:link w:val="936"/>
    <w:uiPriority w:val="9"/>
    <w:rPr>
      <w:rFonts w:ascii="Arial" w:hAnsi="Arial" w:eastAsia="Arial" w:cs="Arial"/>
      <w:i/>
      <w:iCs/>
      <w:sz w:val="22"/>
      <w:szCs w:val="22"/>
    </w:rPr>
  </w:style>
  <w:style w:type="paragraph" w:styleId="938">
    <w:name w:val="Heading 9"/>
    <w:basedOn w:val="1100"/>
    <w:next w:val="1100"/>
    <w:link w:val="939"/>
    <w:uiPriority w:val="9"/>
    <w:unhideWhenUsed/>
    <w:qFormat/>
    <w:pPr>
      <w:keepLines/>
      <w:keepNext/>
      <w:spacing w:before="320" w:after="200"/>
      <w:outlineLvl w:val="8"/>
    </w:pPr>
    <w:rPr>
      <w:rFonts w:ascii="Arial" w:hAnsi="Arial" w:eastAsia="Arial" w:cs="Arial"/>
      <w:i/>
      <w:iCs/>
      <w:sz w:val="21"/>
      <w:szCs w:val="21"/>
    </w:rPr>
  </w:style>
  <w:style w:type="character" w:styleId="939">
    <w:name w:val="Heading 9 Char"/>
    <w:link w:val="938"/>
    <w:uiPriority w:val="9"/>
    <w:rPr>
      <w:rFonts w:ascii="Arial" w:hAnsi="Arial" w:eastAsia="Arial" w:cs="Arial"/>
      <w:i/>
      <w:iCs/>
      <w:sz w:val="21"/>
      <w:szCs w:val="21"/>
    </w:rPr>
  </w:style>
  <w:style w:type="paragraph" w:styleId="940">
    <w:name w:val="List Paragraph"/>
    <w:basedOn w:val="1100"/>
    <w:uiPriority w:val="34"/>
    <w:qFormat/>
    <w:pPr>
      <w:contextualSpacing/>
      <w:ind w:left="720"/>
    </w:pPr>
  </w:style>
  <w:style w:type="paragraph" w:styleId="941">
    <w:name w:val="No Spacing"/>
    <w:uiPriority w:val="1"/>
    <w:qFormat/>
    <w:pPr>
      <w:spacing w:before="0" w:after="0" w:line="240" w:lineRule="auto"/>
    </w:pPr>
  </w:style>
  <w:style w:type="paragraph" w:styleId="942">
    <w:name w:val="Title"/>
    <w:basedOn w:val="1100"/>
    <w:next w:val="1100"/>
    <w:link w:val="943"/>
    <w:uiPriority w:val="10"/>
    <w:qFormat/>
    <w:pPr>
      <w:contextualSpacing/>
      <w:spacing w:before="300" w:after="200"/>
    </w:pPr>
    <w:rPr>
      <w:sz w:val="48"/>
      <w:szCs w:val="48"/>
    </w:rPr>
  </w:style>
  <w:style w:type="character" w:styleId="943">
    <w:name w:val="Title Char"/>
    <w:link w:val="942"/>
    <w:uiPriority w:val="10"/>
    <w:rPr>
      <w:sz w:val="48"/>
      <w:szCs w:val="48"/>
    </w:rPr>
  </w:style>
  <w:style w:type="paragraph" w:styleId="944">
    <w:name w:val="Subtitle"/>
    <w:basedOn w:val="1100"/>
    <w:next w:val="1100"/>
    <w:link w:val="945"/>
    <w:uiPriority w:val="11"/>
    <w:qFormat/>
    <w:pPr>
      <w:spacing w:before="200" w:after="200"/>
    </w:pPr>
    <w:rPr>
      <w:sz w:val="24"/>
      <w:szCs w:val="24"/>
    </w:rPr>
  </w:style>
  <w:style w:type="character" w:styleId="945">
    <w:name w:val="Subtitle Char"/>
    <w:link w:val="944"/>
    <w:uiPriority w:val="11"/>
    <w:rPr>
      <w:sz w:val="24"/>
      <w:szCs w:val="24"/>
    </w:rPr>
  </w:style>
  <w:style w:type="paragraph" w:styleId="946">
    <w:name w:val="Quote"/>
    <w:basedOn w:val="1100"/>
    <w:next w:val="1100"/>
    <w:link w:val="947"/>
    <w:uiPriority w:val="29"/>
    <w:qFormat/>
    <w:pPr>
      <w:ind w:left="720" w:right="720"/>
    </w:pPr>
    <w:rPr>
      <w:i/>
    </w:rPr>
  </w:style>
  <w:style w:type="character" w:styleId="947">
    <w:name w:val="Quote Char"/>
    <w:link w:val="946"/>
    <w:uiPriority w:val="29"/>
    <w:rPr>
      <w:i/>
    </w:rPr>
  </w:style>
  <w:style w:type="paragraph" w:styleId="948">
    <w:name w:val="Intense Quote"/>
    <w:basedOn w:val="1100"/>
    <w:next w:val="1100"/>
    <w:link w:val="9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name w:val="Intense Quote Char"/>
    <w:link w:val="948"/>
    <w:uiPriority w:val="30"/>
    <w:rPr>
      <w:i/>
    </w:rPr>
  </w:style>
  <w:style w:type="paragraph" w:styleId="950">
    <w:name w:val="Header"/>
    <w:basedOn w:val="1100"/>
    <w:link w:val="951"/>
    <w:uiPriority w:val="99"/>
    <w:unhideWhenUsed/>
    <w:pPr>
      <w:spacing w:after="0" w:line="240" w:lineRule="auto"/>
      <w:tabs>
        <w:tab w:val="center" w:pos="7143" w:leader="none"/>
        <w:tab w:val="right" w:pos="14287" w:leader="none"/>
      </w:tabs>
    </w:pPr>
  </w:style>
  <w:style w:type="character" w:styleId="951">
    <w:name w:val="Header Char"/>
    <w:link w:val="950"/>
    <w:uiPriority w:val="99"/>
  </w:style>
  <w:style w:type="paragraph" w:styleId="952">
    <w:name w:val="Footer"/>
    <w:basedOn w:val="1100"/>
    <w:link w:val="955"/>
    <w:uiPriority w:val="99"/>
    <w:unhideWhenUsed/>
    <w:pPr>
      <w:spacing w:after="0" w:line="240" w:lineRule="auto"/>
      <w:tabs>
        <w:tab w:val="center" w:pos="7143" w:leader="none"/>
        <w:tab w:val="right" w:pos="14287" w:leader="none"/>
      </w:tabs>
    </w:pPr>
  </w:style>
  <w:style w:type="character" w:styleId="953">
    <w:name w:val="Footer Char"/>
    <w:link w:val="952"/>
    <w:uiPriority w:val="99"/>
  </w:style>
  <w:style w:type="paragraph" w:styleId="954">
    <w:name w:val="Caption"/>
    <w:basedOn w:val="1100"/>
    <w:next w:val="1100"/>
    <w:uiPriority w:val="35"/>
    <w:semiHidden/>
    <w:unhideWhenUsed/>
    <w:qFormat/>
    <w:pPr>
      <w:spacing w:line="276" w:lineRule="auto"/>
    </w:pPr>
    <w:rPr>
      <w:b/>
      <w:bCs/>
      <w:color w:val="4f81bd" w:themeColor="accent1"/>
      <w:sz w:val="18"/>
      <w:szCs w:val="18"/>
    </w:rPr>
  </w:style>
  <w:style w:type="character" w:styleId="955">
    <w:name w:val="Caption Char"/>
    <w:basedOn w:val="954"/>
    <w:link w:val="952"/>
    <w:uiPriority w:val="99"/>
  </w:style>
  <w:style w:type="table" w:styleId="9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2">
    <w:name w:val="Hyperlink"/>
    <w:uiPriority w:val="99"/>
    <w:unhideWhenUsed/>
    <w:rPr>
      <w:color w:val="0000ff" w:themeColor="hyperlink"/>
      <w:u w:val="single"/>
    </w:rPr>
  </w:style>
  <w:style w:type="paragraph" w:styleId="1083">
    <w:name w:val="footnote text"/>
    <w:basedOn w:val="1100"/>
    <w:link w:val="1084"/>
    <w:uiPriority w:val="99"/>
    <w:semiHidden/>
    <w:unhideWhenUsed/>
    <w:pPr>
      <w:spacing w:after="40" w:line="240" w:lineRule="auto"/>
    </w:pPr>
    <w:rPr>
      <w:sz w:val="18"/>
    </w:rPr>
  </w:style>
  <w:style w:type="character" w:styleId="1084">
    <w:name w:val="Footnote Text Char"/>
    <w:link w:val="1083"/>
    <w:uiPriority w:val="99"/>
    <w:rPr>
      <w:sz w:val="18"/>
    </w:rPr>
  </w:style>
  <w:style w:type="character" w:styleId="1085">
    <w:name w:val="footnote reference"/>
    <w:uiPriority w:val="99"/>
    <w:unhideWhenUsed/>
    <w:rPr>
      <w:vertAlign w:val="superscript"/>
    </w:rPr>
  </w:style>
  <w:style w:type="paragraph" w:styleId="1086">
    <w:name w:val="endnote text"/>
    <w:basedOn w:val="1100"/>
    <w:link w:val="1087"/>
    <w:uiPriority w:val="99"/>
    <w:semiHidden/>
    <w:unhideWhenUsed/>
    <w:pPr>
      <w:spacing w:after="0" w:line="240" w:lineRule="auto"/>
    </w:pPr>
    <w:rPr>
      <w:sz w:val="20"/>
    </w:rPr>
  </w:style>
  <w:style w:type="character" w:styleId="1087">
    <w:name w:val="Endnote Text Char"/>
    <w:link w:val="1086"/>
    <w:uiPriority w:val="99"/>
    <w:rPr>
      <w:sz w:val="20"/>
    </w:rPr>
  </w:style>
  <w:style w:type="character" w:styleId="1088">
    <w:name w:val="endnote reference"/>
    <w:uiPriority w:val="99"/>
    <w:semiHidden/>
    <w:unhideWhenUsed/>
    <w:rPr>
      <w:vertAlign w:val="superscript"/>
    </w:rPr>
  </w:style>
  <w:style w:type="paragraph" w:styleId="1089">
    <w:name w:val="toc 1"/>
    <w:basedOn w:val="1100"/>
    <w:next w:val="1100"/>
    <w:uiPriority w:val="39"/>
    <w:unhideWhenUsed/>
    <w:pPr>
      <w:ind w:left="0" w:right="0" w:firstLine="0"/>
      <w:spacing w:after="57"/>
    </w:pPr>
  </w:style>
  <w:style w:type="paragraph" w:styleId="1090">
    <w:name w:val="toc 2"/>
    <w:basedOn w:val="1100"/>
    <w:next w:val="1100"/>
    <w:uiPriority w:val="39"/>
    <w:unhideWhenUsed/>
    <w:pPr>
      <w:ind w:left="283" w:right="0" w:firstLine="0"/>
      <w:spacing w:after="57"/>
    </w:pPr>
  </w:style>
  <w:style w:type="paragraph" w:styleId="1091">
    <w:name w:val="toc 3"/>
    <w:basedOn w:val="1100"/>
    <w:next w:val="1100"/>
    <w:uiPriority w:val="39"/>
    <w:unhideWhenUsed/>
    <w:pPr>
      <w:ind w:left="567" w:right="0" w:firstLine="0"/>
      <w:spacing w:after="57"/>
    </w:pPr>
  </w:style>
  <w:style w:type="paragraph" w:styleId="1092">
    <w:name w:val="toc 4"/>
    <w:basedOn w:val="1100"/>
    <w:next w:val="1100"/>
    <w:uiPriority w:val="39"/>
    <w:unhideWhenUsed/>
    <w:pPr>
      <w:ind w:left="850" w:right="0" w:firstLine="0"/>
      <w:spacing w:after="57"/>
    </w:pPr>
  </w:style>
  <w:style w:type="paragraph" w:styleId="1093">
    <w:name w:val="toc 5"/>
    <w:basedOn w:val="1100"/>
    <w:next w:val="1100"/>
    <w:uiPriority w:val="39"/>
    <w:unhideWhenUsed/>
    <w:pPr>
      <w:ind w:left="1134" w:right="0" w:firstLine="0"/>
      <w:spacing w:after="57"/>
    </w:pPr>
  </w:style>
  <w:style w:type="paragraph" w:styleId="1094">
    <w:name w:val="toc 6"/>
    <w:basedOn w:val="1100"/>
    <w:next w:val="1100"/>
    <w:uiPriority w:val="39"/>
    <w:unhideWhenUsed/>
    <w:pPr>
      <w:ind w:left="1417" w:right="0" w:firstLine="0"/>
      <w:spacing w:after="57"/>
    </w:pPr>
  </w:style>
  <w:style w:type="paragraph" w:styleId="1095">
    <w:name w:val="toc 7"/>
    <w:basedOn w:val="1100"/>
    <w:next w:val="1100"/>
    <w:uiPriority w:val="39"/>
    <w:unhideWhenUsed/>
    <w:pPr>
      <w:ind w:left="1701" w:right="0" w:firstLine="0"/>
      <w:spacing w:after="57"/>
    </w:pPr>
  </w:style>
  <w:style w:type="paragraph" w:styleId="1096">
    <w:name w:val="toc 8"/>
    <w:basedOn w:val="1100"/>
    <w:next w:val="1100"/>
    <w:uiPriority w:val="39"/>
    <w:unhideWhenUsed/>
    <w:pPr>
      <w:ind w:left="1984" w:right="0" w:firstLine="0"/>
      <w:spacing w:after="57"/>
    </w:pPr>
  </w:style>
  <w:style w:type="paragraph" w:styleId="1097">
    <w:name w:val="toc 9"/>
    <w:basedOn w:val="1100"/>
    <w:next w:val="1100"/>
    <w:uiPriority w:val="39"/>
    <w:unhideWhenUsed/>
    <w:pPr>
      <w:ind w:left="2268" w:right="0" w:firstLine="0"/>
      <w:spacing w:after="57"/>
    </w:pPr>
  </w:style>
  <w:style w:type="paragraph" w:styleId="1098">
    <w:name w:val="TOC Heading"/>
    <w:uiPriority w:val="39"/>
    <w:unhideWhenUsed/>
  </w:style>
  <w:style w:type="paragraph" w:styleId="1099">
    <w:name w:val="table of figures"/>
    <w:basedOn w:val="1100"/>
    <w:next w:val="1100"/>
    <w:uiPriority w:val="99"/>
    <w:unhideWhenUsed/>
    <w:pPr>
      <w:spacing w:after="0" w:afterAutospacing="0"/>
    </w:pPr>
  </w:style>
  <w:style w:type="paragraph" w:styleId="1100" w:default="1">
    <w:name w:val="Normal"/>
    <w:next w:val="1100"/>
    <w:link w:val="1100"/>
    <w:qFormat/>
    <w:pPr>
      <w:jc w:val="both"/>
      <w:widowControl w:val="off"/>
    </w:pPr>
    <w:rPr>
      <w:sz w:val="21"/>
      <w:szCs w:val="24"/>
      <w:lang w:val="en-US" w:eastAsia="zh-CN" w:bidi="ar-SA"/>
    </w:rPr>
  </w:style>
  <w:style w:type="paragraph" w:styleId="1101">
    <w:name w:val="标题 1"/>
    <w:basedOn w:val="1100"/>
    <w:next w:val="1100"/>
    <w:link w:val="1113"/>
    <w:qFormat/>
    <w:pPr>
      <w:jc w:val="center"/>
      <w:keepLines/>
      <w:keepNext/>
      <w:spacing w:before="240" w:after="120" w:line="300" w:lineRule="auto"/>
      <w:outlineLvl w:val="0"/>
    </w:pPr>
    <w:rPr>
      <w:rFonts w:ascii="宋体"/>
      <w:b/>
      <w:sz w:val="32"/>
      <w:szCs w:val="20"/>
    </w:rPr>
  </w:style>
  <w:style w:type="paragraph" w:styleId="1102">
    <w:name w:val="标题 2"/>
    <w:basedOn w:val="1100"/>
    <w:next w:val="1115"/>
    <w:link w:val="1114"/>
    <w:qFormat/>
    <w:pPr>
      <w:jc w:val="center"/>
      <w:keepLines/>
      <w:keepNext/>
      <w:spacing w:before="120" w:line="300" w:lineRule="auto"/>
      <w:outlineLvl w:val="1"/>
    </w:pPr>
    <w:rPr>
      <w:rFonts w:ascii="Arial" w:hAnsi="Arial" w:eastAsia="黑体"/>
      <w:b/>
      <w:sz w:val="30"/>
      <w:szCs w:val="20"/>
    </w:rPr>
  </w:style>
  <w:style w:type="paragraph" w:styleId="1103">
    <w:name w:val="标题 3"/>
    <w:basedOn w:val="1100"/>
    <w:next w:val="1115"/>
    <w:link w:val="1117"/>
    <w:qFormat/>
    <w:pPr>
      <w:jc w:val="left"/>
      <w:keepLines/>
      <w:keepNext/>
      <w:spacing w:before="360" w:after="120"/>
      <w:outlineLvl w:val="2"/>
    </w:pPr>
    <w:rPr>
      <w:rFonts w:ascii="宋体"/>
      <w:b/>
      <w:sz w:val="24"/>
      <w:szCs w:val="20"/>
      <w:u w:val="single"/>
    </w:rPr>
  </w:style>
  <w:style w:type="paragraph" w:styleId="1104">
    <w:name w:val="标题 4"/>
    <w:basedOn w:val="1100"/>
    <w:next w:val="1100"/>
    <w:link w:val="1118"/>
    <w:qFormat/>
    <w:pPr>
      <w:keepLines/>
      <w:keepNext/>
      <w:spacing w:before="280" w:after="290" w:line="376" w:lineRule="atLeast"/>
      <w:outlineLvl w:val="3"/>
    </w:pPr>
    <w:rPr>
      <w:rFonts w:ascii="Arial" w:hAnsi="Arial" w:eastAsia="黑体"/>
      <w:b/>
      <w:sz w:val="28"/>
      <w:szCs w:val="20"/>
    </w:rPr>
  </w:style>
  <w:style w:type="paragraph" w:styleId="1105">
    <w:name w:val="标题 5"/>
    <w:basedOn w:val="1100"/>
    <w:next w:val="1100"/>
    <w:link w:val="1119"/>
    <w:qFormat/>
    <w:pPr>
      <w:keepLines/>
      <w:keepNext/>
      <w:spacing w:before="280" w:after="290" w:line="376" w:lineRule="atLeast"/>
      <w:outlineLvl w:val="4"/>
    </w:pPr>
    <w:rPr>
      <w:b/>
      <w:sz w:val="28"/>
      <w:szCs w:val="20"/>
    </w:rPr>
  </w:style>
  <w:style w:type="paragraph" w:styleId="1106">
    <w:name w:val="标题 6"/>
    <w:basedOn w:val="1100"/>
    <w:next w:val="1100"/>
    <w:link w:val="1120"/>
    <w:qFormat/>
    <w:pPr>
      <w:keepLines/>
      <w:keepNext/>
      <w:spacing w:before="240" w:after="64" w:line="320" w:lineRule="atLeast"/>
      <w:outlineLvl w:val="5"/>
    </w:pPr>
    <w:rPr>
      <w:rFonts w:ascii="Arial" w:hAnsi="Arial" w:eastAsia="黑体"/>
      <w:b/>
      <w:sz w:val="24"/>
      <w:szCs w:val="20"/>
    </w:rPr>
  </w:style>
  <w:style w:type="paragraph" w:styleId="1107">
    <w:name w:val="标题 7"/>
    <w:basedOn w:val="1100"/>
    <w:next w:val="1100"/>
    <w:link w:val="1121"/>
    <w:qFormat/>
    <w:pPr>
      <w:keepLines/>
      <w:keepNext/>
      <w:spacing w:before="240" w:after="64" w:line="320" w:lineRule="atLeast"/>
      <w:outlineLvl w:val="6"/>
    </w:pPr>
    <w:rPr>
      <w:b/>
      <w:sz w:val="24"/>
      <w:szCs w:val="20"/>
    </w:rPr>
  </w:style>
  <w:style w:type="paragraph" w:styleId="1108">
    <w:name w:val="标题 8"/>
    <w:basedOn w:val="1100"/>
    <w:next w:val="1100"/>
    <w:link w:val="1122"/>
    <w:qFormat/>
    <w:pPr>
      <w:keepLines/>
      <w:keepNext/>
      <w:spacing w:before="240" w:after="64" w:line="320" w:lineRule="atLeast"/>
      <w:outlineLvl w:val="7"/>
    </w:pPr>
    <w:rPr>
      <w:rFonts w:ascii="Arial" w:hAnsi="Arial" w:eastAsia="黑体"/>
      <w:sz w:val="24"/>
      <w:szCs w:val="20"/>
    </w:rPr>
  </w:style>
  <w:style w:type="paragraph" w:styleId="1109">
    <w:name w:val="标题 9"/>
    <w:basedOn w:val="1100"/>
    <w:next w:val="1100"/>
    <w:link w:val="1123"/>
    <w:qFormat/>
    <w:pPr>
      <w:keepLines/>
      <w:keepNext/>
      <w:spacing w:before="240" w:after="64" w:line="320" w:lineRule="atLeast"/>
      <w:outlineLvl w:val="8"/>
    </w:pPr>
    <w:rPr>
      <w:rFonts w:ascii="Arial" w:hAnsi="Arial" w:eastAsia="黑体"/>
      <w:szCs w:val="20"/>
    </w:rPr>
  </w:style>
  <w:style w:type="character" w:styleId="1110">
    <w:name w:val="默认段落字体"/>
    <w:next w:val="1110"/>
    <w:link w:val="1100"/>
    <w:uiPriority w:val="1"/>
    <w:unhideWhenUsed/>
    <w:qFormat/>
  </w:style>
  <w:style w:type="table" w:styleId="1111">
    <w:name w:val="普通表格"/>
    <w:next w:val="1111"/>
    <w:link w:val="1100"/>
    <w:uiPriority w:val="99"/>
    <w:unhideWhenUsed/>
    <w:qFormat/>
    <w:tblPr/>
  </w:style>
  <w:style w:type="numbering" w:styleId="1112">
    <w:name w:val="无列表"/>
    <w:next w:val="1112"/>
    <w:link w:val="1100"/>
    <w:uiPriority w:val="99"/>
    <w:semiHidden/>
    <w:unhideWhenUsed/>
  </w:style>
  <w:style w:type="character" w:styleId="1113">
    <w:name w:val="标题 1 字符"/>
    <w:next w:val="1113"/>
    <w:link w:val="1101"/>
    <w:qFormat/>
    <w:rPr>
      <w:rFonts w:ascii="宋体"/>
      <w:b/>
      <w:sz w:val="32"/>
    </w:rPr>
  </w:style>
  <w:style w:type="character" w:styleId="1114">
    <w:name w:val="标题 2 字符"/>
    <w:next w:val="1114"/>
    <w:link w:val="1102"/>
    <w:qFormat/>
    <w:rPr>
      <w:rFonts w:ascii="Arial" w:hAnsi="Arial" w:eastAsia="黑体"/>
      <w:b/>
      <w:sz w:val="30"/>
      <w:lang w:val="en-US" w:eastAsia="zh-CN" w:bidi="ar-SA"/>
    </w:rPr>
  </w:style>
  <w:style w:type="paragraph" w:styleId="1115">
    <w:name w:val="正文缩进"/>
    <w:basedOn w:val="1100"/>
    <w:next w:val="1115"/>
    <w:link w:val="1116"/>
    <w:uiPriority w:val="99"/>
    <w:qFormat/>
    <w:pPr>
      <w:ind w:firstLine="420"/>
      <w:jc w:val="left"/>
    </w:pPr>
    <w:rPr>
      <w:rFonts w:ascii="宋体"/>
      <w:sz w:val="24"/>
    </w:rPr>
  </w:style>
  <w:style w:type="character" w:styleId="1116">
    <w:name w:val="正文缩进 字符1"/>
    <w:next w:val="1116"/>
    <w:link w:val="1115"/>
    <w:qFormat/>
    <w:rPr>
      <w:rFonts w:ascii="宋体" w:eastAsia="宋体"/>
      <w:sz w:val="24"/>
      <w:szCs w:val="24"/>
      <w:lang w:val="en-US" w:eastAsia="zh-CN" w:bidi="ar-SA"/>
    </w:rPr>
  </w:style>
  <w:style w:type="character" w:styleId="1117">
    <w:name w:val="标题 3 字符"/>
    <w:next w:val="1117"/>
    <w:link w:val="1103"/>
    <w:qFormat/>
    <w:rPr>
      <w:rFonts w:ascii="宋体" w:eastAsia="宋体"/>
      <w:b/>
      <w:sz w:val="24"/>
      <w:u w:val="single"/>
      <w:lang w:val="en-US" w:eastAsia="zh-CN" w:bidi="ar-SA"/>
    </w:rPr>
  </w:style>
  <w:style w:type="character" w:styleId="1118">
    <w:name w:val="标题 4 字符"/>
    <w:next w:val="1118"/>
    <w:link w:val="1104"/>
    <w:qFormat/>
    <w:rPr>
      <w:rFonts w:ascii="Arial" w:hAnsi="Arial" w:eastAsia="黑体"/>
      <w:b/>
      <w:sz w:val="28"/>
    </w:rPr>
  </w:style>
  <w:style w:type="character" w:styleId="1119">
    <w:name w:val="标题 5 字符"/>
    <w:next w:val="1119"/>
    <w:link w:val="1105"/>
    <w:qFormat/>
    <w:rPr>
      <w:b/>
      <w:sz w:val="28"/>
    </w:rPr>
  </w:style>
  <w:style w:type="character" w:styleId="1120">
    <w:name w:val="标题 6 字符"/>
    <w:next w:val="1120"/>
    <w:link w:val="1106"/>
    <w:qFormat/>
    <w:rPr>
      <w:rFonts w:ascii="Arial" w:hAnsi="Arial" w:eastAsia="黑体"/>
      <w:b/>
      <w:sz w:val="24"/>
    </w:rPr>
  </w:style>
  <w:style w:type="character" w:styleId="1121">
    <w:name w:val="标题 7 字符"/>
    <w:next w:val="1121"/>
    <w:link w:val="1107"/>
    <w:qFormat/>
    <w:rPr>
      <w:b/>
      <w:sz w:val="24"/>
    </w:rPr>
  </w:style>
  <w:style w:type="character" w:styleId="1122">
    <w:name w:val="标题 8 字符"/>
    <w:next w:val="1122"/>
    <w:link w:val="1108"/>
    <w:qFormat/>
    <w:rPr>
      <w:rFonts w:ascii="Arial" w:hAnsi="Arial" w:eastAsia="黑体"/>
      <w:sz w:val="24"/>
    </w:rPr>
  </w:style>
  <w:style w:type="character" w:styleId="1123">
    <w:name w:val="标题 9 字符"/>
    <w:next w:val="1123"/>
    <w:link w:val="1109"/>
    <w:qFormat/>
    <w:rPr>
      <w:rFonts w:ascii="Arial" w:hAnsi="Arial" w:eastAsia="黑体"/>
      <w:sz w:val="21"/>
    </w:rPr>
  </w:style>
  <w:style w:type="paragraph" w:styleId="1124">
    <w:name w:val="目录 7"/>
    <w:basedOn w:val="1100"/>
    <w:next w:val="1100"/>
    <w:link w:val="1100"/>
    <w:qFormat/>
    <w:pPr>
      <w:ind w:left="2520"/>
    </w:pPr>
  </w:style>
  <w:style w:type="paragraph" w:styleId="1125">
    <w:name w:val="题注"/>
    <w:basedOn w:val="1100"/>
    <w:next w:val="1100"/>
    <w:link w:val="1100"/>
    <w:qFormat/>
    <w:pPr>
      <w:spacing w:line="480" w:lineRule="auto"/>
    </w:pPr>
    <w:rPr>
      <w:rFonts w:ascii="华文中宋" w:hAnsi="华文中宋" w:eastAsia="华文中宋"/>
      <w:sz w:val="36"/>
      <w:szCs w:val="20"/>
    </w:rPr>
  </w:style>
  <w:style w:type="paragraph" w:styleId="1126">
    <w:name w:val="文档结构图"/>
    <w:basedOn w:val="1100"/>
    <w:next w:val="1126"/>
    <w:link w:val="1127"/>
    <w:qFormat/>
    <w:pPr>
      <w:shd w:val="clear" w:color="auto" w:fill="000080"/>
    </w:pPr>
  </w:style>
  <w:style w:type="character" w:styleId="1127">
    <w:name w:val="文档结构图 字符"/>
    <w:next w:val="1127"/>
    <w:link w:val="1126"/>
    <w:qFormat/>
    <w:rPr>
      <w:sz w:val="21"/>
      <w:szCs w:val="24"/>
      <w:shd w:val="clear" w:color="auto" w:fill="000080"/>
    </w:rPr>
  </w:style>
  <w:style w:type="paragraph" w:styleId="1128">
    <w:name w:val="批注文字"/>
    <w:basedOn w:val="1100"/>
    <w:next w:val="1128"/>
    <w:link w:val="1129"/>
    <w:qFormat/>
    <w:pPr>
      <w:jc w:val="left"/>
    </w:pPr>
  </w:style>
  <w:style w:type="character" w:styleId="1129">
    <w:name w:val="批注文字 字符1"/>
    <w:next w:val="1129"/>
    <w:link w:val="1128"/>
    <w:uiPriority w:val="99"/>
    <w:qFormat/>
    <w:rPr>
      <w:sz w:val="21"/>
      <w:szCs w:val="24"/>
    </w:rPr>
  </w:style>
  <w:style w:type="paragraph" w:styleId="1130">
    <w:name w:val="正文文本 3"/>
    <w:basedOn w:val="1100"/>
    <w:next w:val="1130"/>
    <w:link w:val="1131"/>
    <w:qFormat/>
    <w:pPr>
      <w:spacing w:after="120"/>
    </w:pPr>
    <w:rPr>
      <w:sz w:val="16"/>
      <w:szCs w:val="16"/>
    </w:rPr>
  </w:style>
  <w:style w:type="character" w:styleId="1131">
    <w:name w:val="正文文本 3 字符"/>
    <w:next w:val="1131"/>
    <w:link w:val="1130"/>
    <w:qFormat/>
    <w:rPr>
      <w:sz w:val="16"/>
      <w:szCs w:val="16"/>
    </w:rPr>
  </w:style>
  <w:style w:type="paragraph" w:styleId="1132">
    <w:name w:val="正文文本"/>
    <w:basedOn w:val="1100"/>
    <w:next w:val="1132"/>
    <w:link w:val="1133"/>
    <w:qFormat/>
    <w:pPr>
      <w:spacing w:before="120" w:line="22" w:lineRule="atLeast"/>
      <w:tabs>
        <w:tab w:val="left" w:pos="567" w:leader="none"/>
      </w:tabs>
    </w:pPr>
    <w:rPr>
      <w:rFonts w:ascii="宋体" w:hAnsi="宋体"/>
      <w:sz w:val="24"/>
    </w:rPr>
  </w:style>
  <w:style w:type="character" w:styleId="1133">
    <w:name w:val="正文文本 字符1"/>
    <w:next w:val="1133"/>
    <w:link w:val="1132"/>
    <w:qFormat/>
    <w:rPr>
      <w:rFonts w:ascii="宋体" w:hAnsi="宋体"/>
      <w:sz w:val="24"/>
      <w:szCs w:val="24"/>
    </w:rPr>
  </w:style>
  <w:style w:type="paragraph" w:styleId="1134">
    <w:name w:val="正文文本缩进"/>
    <w:basedOn w:val="1100"/>
    <w:next w:val="1134"/>
    <w:link w:val="1135"/>
    <w:qFormat/>
    <w:pPr>
      <w:ind w:firstLine="570"/>
      <w:spacing w:line="360" w:lineRule="auto"/>
    </w:pPr>
    <w:rPr>
      <w:sz w:val="24"/>
    </w:rPr>
  </w:style>
  <w:style w:type="character" w:styleId="1135">
    <w:name w:val="正文文本缩进 字符"/>
    <w:next w:val="1135"/>
    <w:link w:val="1134"/>
    <w:qFormat/>
    <w:rPr>
      <w:rFonts w:eastAsia="宋体"/>
      <w:sz w:val="24"/>
      <w:szCs w:val="24"/>
      <w:lang w:val="en-US" w:eastAsia="zh-CN" w:bidi="ar-SA"/>
    </w:rPr>
  </w:style>
  <w:style w:type="paragraph" w:styleId="1136">
    <w:name w:val="列表 2"/>
    <w:basedOn w:val="1100"/>
    <w:next w:val="1136"/>
    <w:link w:val="1100"/>
    <w:qFormat/>
    <w:pPr>
      <w:ind w:left="100" w:hanging="200"/>
    </w:pPr>
  </w:style>
  <w:style w:type="paragraph" w:styleId="1137">
    <w:name w:val="文本块"/>
    <w:basedOn w:val="1100"/>
    <w:next w:val="1137"/>
    <w:link w:val="1100"/>
    <w:qFormat/>
    <w:pPr>
      <w:ind w:left="480" w:right="-341" w:firstLine="513"/>
      <w:widowControl/>
    </w:pPr>
    <w:rPr>
      <w:sz w:val="24"/>
      <w:szCs w:val="20"/>
    </w:rPr>
  </w:style>
  <w:style w:type="paragraph" w:styleId="1138">
    <w:name w:val="目录 5"/>
    <w:basedOn w:val="1100"/>
    <w:next w:val="1100"/>
    <w:link w:val="1100"/>
    <w:qFormat/>
    <w:pPr>
      <w:ind w:left="1680"/>
    </w:pPr>
  </w:style>
  <w:style w:type="paragraph" w:styleId="1139">
    <w:name w:val="目录 3"/>
    <w:basedOn w:val="1100"/>
    <w:next w:val="1100"/>
    <w:link w:val="1100"/>
    <w:uiPriority w:val="39"/>
    <w:qFormat/>
    <w:pPr>
      <w:ind w:left="840"/>
    </w:pPr>
  </w:style>
  <w:style w:type="paragraph" w:styleId="1140">
    <w:name w:val="纯文本"/>
    <w:basedOn w:val="1100"/>
    <w:next w:val="1140"/>
    <w:link w:val="1141"/>
    <w:uiPriority w:val="99"/>
    <w:qFormat/>
    <w:rPr>
      <w:rFonts w:hint="eastAsia" w:ascii="宋体" w:hAnsi="Courier New"/>
      <w:szCs w:val="20"/>
    </w:rPr>
  </w:style>
  <w:style w:type="character" w:styleId="1141">
    <w:name w:val="纯文本 字符2"/>
    <w:next w:val="1141"/>
    <w:link w:val="1140"/>
    <w:qFormat/>
    <w:rPr>
      <w:rFonts w:hint="eastAsia" w:ascii="宋体" w:hAnsi="Courier New" w:eastAsia="宋体" w:cs="宋体"/>
      <w:sz w:val="21"/>
    </w:rPr>
  </w:style>
  <w:style w:type="paragraph" w:styleId="1142">
    <w:name w:val="目录 8"/>
    <w:basedOn w:val="1100"/>
    <w:next w:val="1100"/>
    <w:link w:val="1100"/>
    <w:qFormat/>
    <w:pPr>
      <w:ind w:left="2940"/>
    </w:pPr>
  </w:style>
  <w:style w:type="paragraph" w:styleId="1143">
    <w:name w:val="日期"/>
    <w:basedOn w:val="1100"/>
    <w:next w:val="1100"/>
    <w:link w:val="1144"/>
    <w:qFormat/>
    <w:pPr>
      <w:ind w:left="100"/>
    </w:pPr>
    <w:rPr>
      <w:rFonts w:ascii="仿宋_GB2312" w:hAnsi="宋体" w:eastAsia="仿宋_GB2312"/>
      <w:color w:val="000000"/>
      <w:sz w:val="24"/>
    </w:rPr>
  </w:style>
  <w:style w:type="character" w:styleId="1144">
    <w:name w:val="日期 字符"/>
    <w:next w:val="1144"/>
    <w:link w:val="1143"/>
    <w:qFormat/>
    <w:rPr>
      <w:rFonts w:ascii="仿宋_GB2312" w:hAnsi="宋体" w:eastAsia="仿宋_GB2312"/>
      <w:color w:val="000000"/>
      <w:sz w:val="24"/>
      <w:szCs w:val="24"/>
    </w:rPr>
  </w:style>
  <w:style w:type="paragraph" w:styleId="1145">
    <w:name w:val="正文文本缩进 2"/>
    <w:basedOn w:val="1100"/>
    <w:next w:val="1145"/>
    <w:link w:val="1146"/>
    <w:qFormat/>
    <w:pPr>
      <w:ind w:firstLine="480"/>
    </w:pPr>
    <w:rPr>
      <w:rFonts w:ascii="仿宋_GB2312" w:eastAsia="仿宋_GB2312"/>
      <w:sz w:val="24"/>
    </w:rPr>
  </w:style>
  <w:style w:type="character" w:styleId="1146">
    <w:name w:val="正文文本缩进 2 字符"/>
    <w:next w:val="1146"/>
    <w:link w:val="1145"/>
    <w:qFormat/>
    <w:rPr>
      <w:rFonts w:ascii="仿宋_GB2312" w:eastAsia="仿宋_GB2312"/>
      <w:sz w:val="24"/>
      <w:szCs w:val="24"/>
    </w:rPr>
  </w:style>
  <w:style w:type="paragraph" w:styleId="1147">
    <w:name w:val="批注框文本"/>
    <w:basedOn w:val="1100"/>
    <w:next w:val="1147"/>
    <w:link w:val="1148"/>
    <w:qFormat/>
    <w:rPr>
      <w:sz w:val="18"/>
      <w:szCs w:val="18"/>
    </w:rPr>
  </w:style>
  <w:style w:type="character" w:styleId="1148">
    <w:name w:val="批注框文本 字符"/>
    <w:next w:val="1148"/>
    <w:link w:val="1147"/>
    <w:qFormat/>
    <w:rPr>
      <w:sz w:val="18"/>
      <w:szCs w:val="18"/>
    </w:rPr>
  </w:style>
  <w:style w:type="paragraph" w:styleId="1149">
    <w:name w:val="页脚"/>
    <w:basedOn w:val="1100"/>
    <w:next w:val="1149"/>
    <w:link w:val="1150"/>
    <w:uiPriority w:val="99"/>
    <w:qFormat/>
    <w:pPr>
      <w:jc w:val="left"/>
      <w:tabs>
        <w:tab w:val="center" w:pos="4153" w:leader="none"/>
        <w:tab w:val="right" w:pos="8306" w:leader="none"/>
      </w:tabs>
    </w:pPr>
    <w:rPr>
      <w:rFonts w:ascii="宋体"/>
      <w:sz w:val="18"/>
      <w:szCs w:val="20"/>
    </w:rPr>
  </w:style>
  <w:style w:type="character" w:styleId="1150">
    <w:name w:val="页脚 字符"/>
    <w:next w:val="1150"/>
    <w:link w:val="1149"/>
    <w:uiPriority w:val="99"/>
    <w:qFormat/>
    <w:rPr>
      <w:rFonts w:ascii="宋体" w:eastAsia="宋体"/>
      <w:sz w:val="18"/>
      <w:lang w:val="en-US" w:eastAsia="zh-CN" w:bidi="ar-SA"/>
    </w:rPr>
  </w:style>
  <w:style w:type="paragraph" w:styleId="1151">
    <w:name w:val="页眉"/>
    <w:basedOn w:val="1100"/>
    <w:next w:val="1151"/>
    <w:link w:val="1152"/>
    <w:qFormat/>
    <w:pPr>
      <w:jc w:val="center"/>
      <w:tabs>
        <w:tab w:val="center" w:pos="4153" w:leader="none"/>
        <w:tab w:val="right" w:pos="8306" w:leader="none"/>
      </w:tabs>
      <w:pBdr>
        <w:bottom w:val="single" w:color="000000" w:sz="6" w:space="1"/>
      </w:pBdr>
    </w:pPr>
    <w:rPr>
      <w:sz w:val="18"/>
      <w:szCs w:val="18"/>
    </w:rPr>
  </w:style>
  <w:style w:type="character" w:styleId="1152">
    <w:name w:val="页眉 字符"/>
    <w:next w:val="1152"/>
    <w:link w:val="1151"/>
    <w:qFormat/>
    <w:rPr>
      <w:rFonts w:eastAsia="宋体"/>
      <w:sz w:val="18"/>
      <w:szCs w:val="18"/>
      <w:lang w:val="en-US" w:eastAsia="zh-CN" w:bidi="ar-SA"/>
    </w:rPr>
  </w:style>
  <w:style w:type="paragraph" w:styleId="1153">
    <w:name w:val="目录 1"/>
    <w:basedOn w:val="1100"/>
    <w:next w:val="1100"/>
    <w:link w:val="1100"/>
    <w:uiPriority w:val="39"/>
    <w:qFormat/>
    <w:pPr>
      <w:spacing w:line="300" w:lineRule="auto"/>
      <w:tabs>
        <w:tab w:val="left" w:pos="1050" w:leader="none"/>
        <w:tab w:val="right" w:pos="8937" w:leader="dot"/>
      </w:tabs>
    </w:pPr>
    <w:rPr>
      <w:rFonts w:ascii="宋体" w:hAnsi="宋体"/>
      <w:b/>
      <w:sz w:val="24"/>
    </w:rPr>
  </w:style>
  <w:style w:type="paragraph" w:styleId="1154">
    <w:name w:val="目录 4"/>
    <w:basedOn w:val="1100"/>
    <w:next w:val="1100"/>
    <w:link w:val="1100"/>
    <w:qFormat/>
    <w:pPr>
      <w:ind w:left="1260"/>
    </w:pPr>
  </w:style>
  <w:style w:type="paragraph" w:styleId="1155">
    <w:name w:val="目录 6"/>
    <w:basedOn w:val="1100"/>
    <w:next w:val="1100"/>
    <w:link w:val="1100"/>
    <w:qFormat/>
    <w:pPr>
      <w:ind w:left="2100"/>
    </w:pPr>
  </w:style>
  <w:style w:type="paragraph" w:styleId="1156">
    <w:name w:val="正文文本缩进 3"/>
    <w:basedOn w:val="1100"/>
    <w:next w:val="1156"/>
    <w:link w:val="1157"/>
    <w:qFormat/>
    <w:pPr>
      <w:ind w:left="720" w:firstLine="480"/>
      <w:jc w:val="left"/>
      <w:spacing w:before="120" w:line="22" w:lineRule="atLeast"/>
    </w:pPr>
    <w:rPr>
      <w:rFonts w:ascii="宋体"/>
      <w:sz w:val="24"/>
      <w:szCs w:val="20"/>
    </w:rPr>
  </w:style>
  <w:style w:type="character" w:styleId="1157">
    <w:name w:val="正文文本缩进 3 字符"/>
    <w:next w:val="1157"/>
    <w:link w:val="1156"/>
    <w:qFormat/>
    <w:rPr>
      <w:rFonts w:ascii="宋体"/>
      <w:sz w:val="24"/>
    </w:rPr>
  </w:style>
  <w:style w:type="paragraph" w:styleId="1158">
    <w:name w:val="目录 2"/>
    <w:basedOn w:val="1100"/>
    <w:next w:val="1100"/>
    <w:link w:val="1100"/>
    <w:uiPriority w:val="39"/>
    <w:qFormat/>
    <w:pPr>
      <w:ind w:left="420"/>
      <w:spacing w:line="312" w:lineRule="auto"/>
      <w:tabs>
        <w:tab w:val="right" w:pos="8937" w:leader="dot"/>
      </w:tabs>
    </w:pPr>
  </w:style>
  <w:style w:type="paragraph" w:styleId="1159">
    <w:name w:val="目录 9"/>
    <w:basedOn w:val="1100"/>
    <w:next w:val="1100"/>
    <w:link w:val="1100"/>
    <w:qFormat/>
    <w:pPr>
      <w:ind w:left="3360"/>
    </w:pPr>
  </w:style>
  <w:style w:type="paragraph" w:styleId="1160">
    <w:name w:val="HTML 预设格式"/>
    <w:basedOn w:val="1100"/>
    <w:next w:val="1160"/>
    <w:link w:val="116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61">
    <w:name w:val="HTML 预设格式 字符"/>
    <w:next w:val="1161"/>
    <w:link w:val="1160"/>
    <w:qFormat/>
    <w:rPr>
      <w:rFonts w:ascii="宋体" w:hAnsi="宋体" w:cs="宋体"/>
      <w:sz w:val="24"/>
      <w:szCs w:val="24"/>
    </w:rPr>
  </w:style>
  <w:style w:type="paragraph" w:styleId="1162">
    <w:name w:val="普通(网站)"/>
    <w:basedOn w:val="1100"/>
    <w:next w:val="1162"/>
    <w:link w:val="1100"/>
    <w:uiPriority w:val="99"/>
    <w:unhideWhenUsed/>
    <w:qFormat/>
    <w:pPr>
      <w:jc w:val="left"/>
      <w:spacing w:before="100" w:beforeAutospacing="1" w:after="100" w:afterAutospacing="1"/>
      <w:widowControl/>
    </w:pPr>
    <w:rPr>
      <w:rFonts w:ascii="宋体" w:hAnsi="宋体" w:cs="宋体"/>
      <w:sz w:val="24"/>
    </w:rPr>
  </w:style>
  <w:style w:type="paragraph" w:styleId="1163">
    <w:name w:val="索引 1"/>
    <w:basedOn w:val="1100"/>
    <w:next w:val="1100"/>
    <w:link w:val="1100"/>
    <w:qFormat/>
    <w:rPr>
      <w:szCs w:val="20"/>
    </w:rPr>
  </w:style>
  <w:style w:type="paragraph" w:styleId="1164">
    <w:name w:val="标题"/>
    <w:basedOn w:val="1100"/>
    <w:next w:val="1164"/>
    <w:link w:val="1165"/>
    <w:qFormat/>
    <w:pPr>
      <w:jc w:val="center"/>
      <w:outlineLvl w:val="0"/>
    </w:pPr>
    <w:rPr>
      <w:b/>
      <w:sz w:val="32"/>
      <w:szCs w:val="20"/>
    </w:rPr>
  </w:style>
  <w:style w:type="character" w:styleId="1165">
    <w:name w:val="标题 字符"/>
    <w:next w:val="1165"/>
    <w:link w:val="1164"/>
    <w:qFormat/>
    <w:rPr>
      <w:b/>
      <w:sz w:val="32"/>
    </w:rPr>
  </w:style>
  <w:style w:type="paragraph" w:styleId="1166">
    <w:name w:val="批注主题"/>
    <w:basedOn w:val="1128"/>
    <w:next w:val="1128"/>
    <w:link w:val="1167"/>
    <w:qFormat/>
    <w:rPr>
      <w:b/>
      <w:bCs/>
    </w:rPr>
  </w:style>
  <w:style w:type="character" w:styleId="1167">
    <w:name w:val="批注主题 字符"/>
    <w:next w:val="1167"/>
    <w:link w:val="1166"/>
    <w:qFormat/>
    <w:rPr>
      <w:rFonts w:ascii="Times New Roman" w:hAnsi="Times New Roman" w:eastAsia="宋体" w:cs="Times New Roman"/>
      <w:b/>
      <w:bCs/>
      <w:sz w:val="21"/>
      <w:szCs w:val="24"/>
      <w:lang w:val="en-US" w:eastAsia="zh-CN" w:bidi="ar-SA"/>
    </w:rPr>
  </w:style>
  <w:style w:type="paragraph" w:styleId="1168">
    <w:name w:val="正文首行缩进 2"/>
    <w:basedOn w:val="1134"/>
    <w:next w:val="1168"/>
    <w:link w:val="1169"/>
    <w:qFormat/>
    <w:pPr>
      <w:ind w:left="420" w:firstLine="420"/>
      <w:spacing w:after="120" w:line="480" w:lineRule="exact"/>
    </w:pPr>
    <w:rPr>
      <w:szCs w:val="20"/>
    </w:rPr>
  </w:style>
  <w:style w:type="character" w:styleId="1169">
    <w:name w:val="正文首行缩进 2 字符"/>
    <w:next w:val="1169"/>
    <w:link w:val="1168"/>
    <w:qFormat/>
    <w:rPr>
      <w:rFonts w:eastAsia="宋体"/>
      <w:sz w:val="24"/>
      <w:szCs w:val="24"/>
      <w:lang w:val="en-US" w:eastAsia="zh-CN" w:bidi="ar-SA"/>
    </w:rPr>
  </w:style>
  <w:style w:type="table" w:styleId="1170">
    <w:name w:val="网格型"/>
    <w:basedOn w:val="1111"/>
    <w:next w:val="1170"/>
    <w:link w:val="1100"/>
    <w:uiPriority w:val="39"/>
    <w:qFormat/>
    <w:tblPr/>
  </w:style>
  <w:style w:type="table" w:styleId="1171">
    <w:name w:val="中等深浅网格 1 - 着色 2"/>
    <w:basedOn w:val="1111"/>
    <w:next w:val="1171"/>
    <w:link w:val="1100"/>
    <w:qFormat/>
    <w:rPr>
      <w:sz w:val="21"/>
      <w:szCs w:val="24"/>
    </w:rPr>
    <w:tblPr/>
  </w:style>
  <w:style w:type="character" w:styleId="1172">
    <w:name w:val="要点"/>
    <w:next w:val="1172"/>
    <w:link w:val="1100"/>
    <w:qFormat/>
    <w:rPr>
      <w:b/>
      <w:bCs/>
    </w:rPr>
  </w:style>
  <w:style w:type="character" w:styleId="1173">
    <w:name w:val="页码"/>
    <w:next w:val="1173"/>
    <w:link w:val="1100"/>
    <w:qFormat/>
  </w:style>
  <w:style w:type="character" w:styleId="1174">
    <w:name w:val="访问过的超链接"/>
    <w:next w:val="1174"/>
    <w:link w:val="1100"/>
    <w:qFormat/>
    <w:rPr>
      <w:color w:val="800080"/>
      <w:u w:val="single"/>
    </w:rPr>
  </w:style>
  <w:style w:type="character" w:styleId="1175">
    <w:name w:val="强调"/>
    <w:next w:val="1175"/>
    <w:link w:val="1100"/>
    <w:qFormat/>
    <w:rPr>
      <w:color w:val="cc0033"/>
    </w:rPr>
  </w:style>
  <w:style w:type="character" w:styleId="1176">
    <w:name w:val="超链接"/>
    <w:next w:val="1176"/>
    <w:link w:val="1100"/>
    <w:uiPriority w:val="99"/>
    <w:qFormat/>
    <w:rPr>
      <w:color w:val="0000ff"/>
      <w:u w:val="single"/>
    </w:rPr>
  </w:style>
  <w:style w:type="character" w:styleId="1177">
    <w:name w:val="批注引用"/>
    <w:next w:val="1177"/>
    <w:link w:val="1100"/>
    <w:qFormat/>
    <w:rPr>
      <w:sz w:val="21"/>
      <w:szCs w:val="21"/>
    </w:rPr>
  </w:style>
  <w:style w:type="character" w:styleId="1178">
    <w:name w:val="HTML 引文"/>
    <w:next w:val="1178"/>
    <w:link w:val="1100"/>
    <w:qFormat/>
    <w:rPr>
      <w:i/>
      <w:iCs/>
    </w:rPr>
  </w:style>
  <w:style w:type="character" w:styleId="1179">
    <w:name w:val="批注文字 字符"/>
    <w:next w:val="1179"/>
    <w:link w:val="1100"/>
    <w:uiPriority w:val="99"/>
    <w:qFormat/>
    <w:rPr>
      <w:rFonts w:ascii="Times New Roman" w:hAnsi="Times New Roman" w:eastAsia="宋体" w:cs="Times New Roman"/>
      <w:sz w:val="24"/>
      <w:lang w:val="en-US" w:eastAsia="zh-CN" w:bidi="ar-SA"/>
    </w:rPr>
  </w:style>
  <w:style w:type="character" w:styleId="1180">
    <w:name w:val="c21"/>
    <w:next w:val="1180"/>
    <w:link w:val="1100"/>
    <w:qFormat/>
    <w:rPr>
      <w:rFonts w:ascii="ˎ̥" w:hAnsi="ˎ̥"/>
      <w:color w:val="000000"/>
      <w:sz w:val="20"/>
      <w:szCs w:val="20"/>
      <w:u w:val="none"/>
    </w:rPr>
  </w:style>
  <w:style w:type="character" w:styleId="1181">
    <w:name w:val="title4"/>
    <w:next w:val="1181"/>
    <w:link w:val="1100"/>
    <w:qFormat/>
    <w:rPr>
      <w:b/>
      <w:bCs/>
      <w:color w:val="1d87b3"/>
      <w:sz w:val="15"/>
      <w:szCs w:val="15"/>
    </w:rPr>
  </w:style>
  <w:style w:type="character" w:styleId="1182">
    <w:name w:val="标题 2 Char Char"/>
    <w:next w:val="1182"/>
    <w:link w:val="1100"/>
    <w:qFormat/>
    <w:rPr>
      <w:rFonts w:ascii="Arial" w:hAnsi="Arial" w:eastAsia="黑体"/>
      <w:b/>
      <w:bCs/>
      <w:sz w:val="32"/>
      <w:szCs w:val="32"/>
      <w:lang w:val="en-US" w:eastAsia="zh-CN" w:bidi="ar-SA"/>
    </w:rPr>
  </w:style>
  <w:style w:type="character" w:styleId="1183">
    <w:name w:val="black1"/>
    <w:next w:val="1183"/>
    <w:link w:val="1100"/>
    <w:qFormat/>
    <w:rPr>
      <w:color w:val="000000"/>
    </w:rPr>
  </w:style>
  <w:style w:type="character" w:styleId="1184">
    <w:name w:val="street-address"/>
    <w:next w:val="1184"/>
    <w:link w:val="1100"/>
    <w:qFormat/>
  </w:style>
  <w:style w:type="character" w:styleId="1185">
    <w:name w:val="locality"/>
    <w:next w:val="1185"/>
    <w:link w:val="1100"/>
    <w:qFormat/>
  </w:style>
  <w:style w:type="character" w:styleId="1186">
    <w:name w:val="正文文本缩进 Char1"/>
    <w:next w:val="1186"/>
    <w:link w:val="1187"/>
    <w:qFormat/>
    <w:rPr>
      <w:rFonts w:ascii="宋体" w:hAnsi="宋体" w:eastAsia="宋体"/>
      <w:sz w:val="24"/>
      <w:szCs w:val="24"/>
      <w:lang w:bidi="ar-SA"/>
    </w:rPr>
  </w:style>
  <w:style w:type="paragraph" w:styleId="1187">
    <w:name w:val="正文文本缩进1"/>
    <w:basedOn w:val="1100"/>
    <w:next w:val="1187"/>
    <w:link w:val="1186"/>
    <w:qFormat/>
    <w:pPr>
      <w:ind w:firstLine="480"/>
      <w:spacing w:line="480" w:lineRule="exact"/>
    </w:pPr>
    <w:rPr>
      <w:rFonts w:ascii="宋体" w:hAnsi="宋体"/>
      <w:sz w:val="24"/>
    </w:rPr>
  </w:style>
  <w:style w:type="character" w:styleId="1188">
    <w:name w:val="Char Char11"/>
    <w:next w:val="1188"/>
    <w:link w:val="1100"/>
    <w:qFormat/>
    <w:rPr>
      <w:rFonts w:ascii="宋体" w:eastAsia="宋体"/>
      <w:b/>
      <w:sz w:val="24"/>
      <w:u w:val="single"/>
      <w:lang w:val="en-US" w:eastAsia="zh-CN" w:bidi="ar-SA"/>
    </w:rPr>
  </w:style>
  <w:style w:type="character" w:styleId="1189">
    <w:name w:val="txt"/>
    <w:next w:val="1189"/>
    <w:link w:val="1100"/>
    <w:qFormat/>
  </w:style>
  <w:style w:type="character" w:styleId="1190">
    <w:name w:val="正文缩进 Char Char"/>
    <w:next w:val="1190"/>
    <w:link w:val="1191"/>
    <w:qFormat/>
    <w:rPr>
      <w:rFonts w:ascii="宋体" w:eastAsia="宋体"/>
      <w:color w:val="000000"/>
      <w:sz w:val="28"/>
      <w:lang w:bidi="ar-SA"/>
    </w:rPr>
  </w:style>
  <w:style w:type="paragraph" w:styleId="1191">
    <w:name w:val="正文缩进1"/>
    <w:basedOn w:val="1100"/>
    <w:next w:val="1191"/>
    <w:link w:val="1190"/>
    <w:qFormat/>
    <w:pPr>
      <w:ind w:firstLine="567"/>
      <w:spacing w:line="480" w:lineRule="exact"/>
      <w:widowControl/>
    </w:pPr>
    <w:rPr>
      <w:rFonts w:ascii="宋体"/>
      <w:color w:val="000000"/>
      <w:sz w:val="28"/>
      <w:szCs w:val="20"/>
    </w:rPr>
  </w:style>
  <w:style w:type="character" w:styleId="1192">
    <w:name w:val="普通文字1 Char1"/>
    <w:next w:val="1192"/>
    <w:link w:val="1100"/>
    <w:qFormat/>
    <w:rPr>
      <w:rFonts w:ascii="宋体" w:hAnsi="Courier New" w:eastAsia="宋体"/>
      <w:sz w:val="21"/>
      <w:lang w:val="en-US" w:eastAsia="zh-CN" w:bidi="ar-SA"/>
    </w:rPr>
  </w:style>
  <w:style w:type="character" w:styleId="1193">
    <w:name w:val="chanpin1"/>
    <w:next w:val="1193"/>
    <w:link w:val="1100"/>
    <w:qFormat/>
    <w:rPr>
      <w:rFonts w:ascii="ˎ̥" w:hAnsi="ˎ̥"/>
      <w:color w:val="000000"/>
      <w:sz w:val="20"/>
      <w:szCs w:val="20"/>
      <w:u w:val="none"/>
    </w:rPr>
  </w:style>
  <w:style w:type="character" w:styleId="1194">
    <w:name w:val="列出段落 字符"/>
    <w:next w:val="1194"/>
    <w:link w:val="1195"/>
    <w:uiPriority w:val="34"/>
    <w:qFormat/>
    <w:rPr>
      <w:rFonts w:ascii="Calibri" w:hAnsi="Calibri" w:eastAsia="宋体"/>
      <w:sz w:val="21"/>
      <w:szCs w:val="22"/>
      <w:lang w:val="en-US" w:eastAsia="zh-CN" w:bidi="ar-SA"/>
    </w:rPr>
  </w:style>
  <w:style w:type="paragraph" w:styleId="1195">
    <w:name w:val="列出段落"/>
    <w:basedOn w:val="1100"/>
    <w:next w:val="1195"/>
    <w:link w:val="1194"/>
    <w:uiPriority w:val="34"/>
    <w:qFormat/>
    <w:pPr>
      <w:ind w:firstLine="420"/>
    </w:pPr>
    <w:rPr>
      <w:rFonts w:ascii="Calibri" w:hAnsi="Calibri"/>
      <w:szCs w:val="22"/>
    </w:rPr>
  </w:style>
  <w:style w:type="character" w:styleId="1196">
    <w:name w:val="标题 3 Char Char"/>
    <w:next w:val="1196"/>
    <w:link w:val="1100"/>
    <w:qFormat/>
    <w:rPr>
      <w:rFonts w:eastAsia="宋体"/>
      <w:b/>
      <w:bCs/>
      <w:sz w:val="32"/>
      <w:szCs w:val="32"/>
      <w:lang w:val="en-US" w:eastAsia="zh-CN" w:bidi="ar-SA"/>
    </w:rPr>
  </w:style>
  <w:style w:type="character" w:styleId="1197">
    <w:name w:val="段1 Char"/>
    <w:next w:val="1197"/>
    <w:link w:val="1100"/>
    <w:qFormat/>
    <w:rPr>
      <w:rFonts w:ascii="宋体" w:eastAsia="宋体"/>
      <w:sz w:val="24"/>
      <w:lang w:val="en-US" w:eastAsia="zh-CN" w:bidi="ar-SA"/>
    </w:rPr>
  </w:style>
  <w:style w:type="character" w:styleId="1198">
    <w:name w:val="chanpin拷贝"/>
    <w:next w:val="1198"/>
    <w:link w:val="1100"/>
    <w:qFormat/>
  </w:style>
  <w:style w:type="character" w:styleId="1199">
    <w:name w:val="纯文本 Char1"/>
    <w:next w:val="1199"/>
    <w:link w:val="1100"/>
    <w:uiPriority w:val="99"/>
    <w:qFormat/>
    <w:rPr>
      <w:rFonts w:ascii="宋体" w:hAnsi="Courier New" w:eastAsia="宋体"/>
      <w:sz w:val="21"/>
      <w:lang w:val="en-US" w:eastAsia="zh-CN" w:bidi="ar-SA"/>
    </w:rPr>
  </w:style>
  <w:style w:type="character" w:styleId="1200">
    <w:name w:val="apple-style-span"/>
    <w:next w:val="1200"/>
    <w:link w:val="1100"/>
    <w:qFormat/>
    <w:rPr>
      <w:rFonts w:cs="Times New Roman"/>
    </w:rPr>
  </w:style>
  <w:style w:type="paragraph" w:styleId="1201">
    <w:name w:val="二级条标题"/>
    <w:basedOn w:val="1202"/>
    <w:next w:val="1100"/>
    <w:link w:val="1100"/>
    <w:qFormat/>
    <w:pPr>
      <w:numPr>
        <w:ilvl w:val="0"/>
        <w:numId w:val="0"/>
      </w:numPr>
      <w:ind w:hanging="840"/>
      <w:tabs>
        <w:tab w:val="left" w:pos="360" w:leader="none"/>
        <w:tab w:val="left" w:pos="840" w:leader="none"/>
      </w:tabs>
      <w:outlineLvl w:val="2"/>
    </w:pPr>
    <w:rPr>
      <w:rFonts w:ascii="宋体" w:eastAsia="宋体"/>
      <w:b w:val="0"/>
    </w:rPr>
  </w:style>
  <w:style w:type="paragraph" w:styleId="1202">
    <w:name w:val="一级条标题"/>
    <w:basedOn w:val="1203"/>
    <w:next w:val="1100"/>
    <w:link w:val="1100"/>
    <w:qFormat/>
    <w:pPr>
      <w:numPr>
        <w:ilvl w:val="1"/>
      </w:numPr>
      <w:ind w:left="0" w:hanging="840"/>
      <w:tabs>
        <w:tab w:val="left" w:pos="360" w:leader="none"/>
        <w:tab w:val="left" w:pos="840" w:leader="none"/>
      </w:tabs>
      <w:outlineLvl w:val="1"/>
    </w:pPr>
  </w:style>
  <w:style w:type="paragraph" w:styleId="1203">
    <w:name w:val="章标题"/>
    <w:next w:val="1100"/>
    <w:link w:val="110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04">
    <w:name w:val="font7"/>
    <w:basedOn w:val="1100"/>
    <w:next w:val="1204"/>
    <w:link w:val="1100"/>
    <w:qFormat/>
    <w:pPr>
      <w:jc w:val="left"/>
      <w:spacing w:before="100" w:beforeAutospacing="1" w:after="100" w:afterAutospacing="1"/>
      <w:widowControl/>
    </w:pPr>
    <w:rPr>
      <w:rFonts w:eastAsia="Arial Unicode MS"/>
      <w:b/>
      <w:bCs/>
      <w:color w:val="000000"/>
      <w:sz w:val="20"/>
      <w:szCs w:val="20"/>
    </w:rPr>
  </w:style>
  <w:style w:type="paragraph" w:styleId="1205">
    <w:name w:val="字元 字元"/>
    <w:basedOn w:val="1100"/>
    <w:next w:val="1205"/>
    <w:link w:val="1100"/>
    <w:qFormat/>
    <w:rPr>
      <w:rFonts w:ascii="Tahoma" w:hAnsi="Tahoma"/>
      <w:sz w:val="24"/>
      <w:szCs w:val="20"/>
    </w:rPr>
  </w:style>
  <w:style w:type="paragraph" w:styleId="1206">
    <w:name w:val="Char3 Char Char Char"/>
    <w:basedOn w:val="1100"/>
    <w:next w:val="1206"/>
    <w:link w:val="1100"/>
    <w:qFormat/>
    <w:rPr>
      <w:rFonts w:ascii="Tahoma" w:hAnsi="Tahoma"/>
      <w:sz w:val="24"/>
      <w:szCs w:val="20"/>
    </w:rPr>
  </w:style>
  <w:style w:type="paragraph" w:styleId="1207">
    <w:name w:val="font6"/>
    <w:basedOn w:val="1100"/>
    <w:next w:val="1207"/>
    <w:link w:val="1100"/>
    <w:qFormat/>
    <w:pPr>
      <w:jc w:val="left"/>
      <w:spacing w:before="100" w:beforeAutospacing="1" w:after="100" w:afterAutospacing="1"/>
      <w:widowControl/>
    </w:pPr>
    <w:rPr>
      <w:rFonts w:ascii="宋体" w:hAnsi="宋体" w:cs="宋体"/>
      <w:sz w:val="20"/>
      <w:szCs w:val="20"/>
    </w:rPr>
  </w:style>
  <w:style w:type="paragraph" w:styleId="1208">
    <w:name w:val="项目编号2"/>
    <w:basedOn w:val="1209"/>
    <w:next w:val="1208"/>
    <w:link w:val="1100"/>
    <w:qFormat/>
    <w:pPr>
      <w:numPr>
        <w:numId w:val="3"/>
      </w:numPr>
    </w:pPr>
  </w:style>
  <w:style w:type="paragraph" w:styleId="1209">
    <w:name w:val="项目编号1"/>
    <w:basedOn w:val="1100"/>
    <w:next w:val="1209"/>
    <w:link w:val="1100"/>
    <w:qFormat/>
    <w:pPr>
      <w:numPr>
        <w:ilvl w:val="0"/>
        <w:numId w:val="2"/>
      </w:numPr>
      <w:spacing w:before="100" w:beforeAutospacing="1" w:after="100" w:afterAutospacing="1" w:line="360" w:lineRule="auto"/>
    </w:pPr>
    <w:rPr>
      <w:sz w:val="24"/>
    </w:rPr>
  </w:style>
  <w:style w:type="paragraph" w:styleId="1210">
    <w:name w:val="图中文字"/>
    <w:basedOn w:val="1100"/>
    <w:next w:val="1210"/>
    <w:link w:val="1100"/>
    <w:qFormat/>
    <w:pPr>
      <w:jc w:val="center"/>
      <w:spacing w:line="0" w:lineRule="atLeast"/>
    </w:pPr>
    <w:rPr>
      <w:sz w:val="24"/>
      <w:szCs w:val="20"/>
    </w:rPr>
  </w:style>
  <w:style w:type="paragraph" w:styleId="1211">
    <w:name w:val="xl46"/>
    <w:basedOn w:val="1100"/>
    <w:next w:val="1211"/>
    <w:link w:val="110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2">
    <w:name w:val="xl25"/>
    <w:basedOn w:val="1100"/>
    <w:next w:val="1212"/>
    <w:link w:val="11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3">
    <w:name w:val="Char2"/>
    <w:basedOn w:val="1100"/>
    <w:next w:val="1213"/>
    <w:link w:val="1100"/>
    <w:qFormat/>
    <w:rPr>
      <w:rFonts w:ascii="Tahoma" w:hAnsi="Tahoma"/>
      <w:sz w:val="24"/>
      <w:szCs w:val="20"/>
    </w:rPr>
  </w:style>
  <w:style w:type="paragraph" w:styleId="1214">
    <w:name w:val="xl35"/>
    <w:basedOn w:val="1100"/>
    <w:next w:val="1214"/>
    <w:link w:val="110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5">
    <w:name w:val="xl40"/>
    <w:basedOn w:val="1100"/>
    <w:next w:val="1215"/>
    <w:link w:val="11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6">
    <w:name w:val="xl52"/>
    <w:basedOn w:val="1100"/>
    <w:next w:val="1216"/>
    <w:link w:val="110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17">
    <w:name w:val="xl43"/>
    <w:basedOn w:val="1100"/>
    <w:next w:val="1217"/>
    <w:link w:val="110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8">
    <w:name w:val="background1"/>
    <w:basedOn w:val="1100"/>
    <w:next w:val="1218"/>
    <w:link w:val="1100"/>
    <w:qFormat/>
    <w:pPr>
      <w:jc w:val="left"/>
      <w:spacing w:before="100" w:beforeAutospacing="1" w:after="100" w:afterAutospacing="1"/>
      <w:widowControl/>
    </w:pPr>
    <w:rPr>
      <w:rFonts w:ascii="宋体" w:hAnsi="宋体" w:cs="宋体"/>
      <w:sz w:val="24"/>
    </w:rPr>
  </w:style>
  <w:style w:type="paragraph" w:styleId="1219">
    <w:name w:val="Char Char Char Char Char Char Char"/>
    <w:basedOn w:val="1100"/>
    <w:next w:val="1219"/>
    <w:link w:val="1100"/>
    <w:qFormat/>
    <w:pPr>
      <w:ind w:firstLine="200"/>
      <w:spacing w:line="360" w:lineRule="auto"/>
    </w:pPr>
    <w:rPr>
      <w:rFonts w:eastAsia="仿宋_GB2312"/>
      <w:sz w:val="24"/>
    </w:rPr>
  </w:style>
  <w:style w:type="paragraph" w:styleId="1220">
    <w:name w:val="xl38"/>
    <w:basedOn w:val="1100"/>
    <w:next w:val="1220"/>
    <w:link w:val="11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21">
    <w:name w:val="xl36"/>
    <w:basedOn w:val="1100"/>
    <w:next w:val="1221"/>
    <w:link w:val="110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2">
    <w:name w:val="正文 + 宋体"/>
    <w:basedOn w:val="1100"/>
    <w:next w:val="1222"/>
    <w:link w:val="1100"/>
    <w:qFormat/>
    <w:pPr>
      <w:ind w:left="360" w:hanging="360"/>
      <w:jc w:val="left"/>
      <w:widowControl/>
    </w:pPr>
    <w:rPr>
      <w:rFonts w:ascii="宋体" w:hAnsi="宋体" w:cs="宋体"/>
      <w:b/>
      <w:bCs/>
      <w:color w:val="000000"/>
      <w:sz w:val="18"/>
      <w:szCs w:val="18"/>
    </w:rPr>
  </w:style>
  <w:style w:type="paragraph" w:styleId="1223">
    <w:name w:val="正文列项_数字"/>
    <w:basedOn w:val="1100"/>
    <w:next w:val="1223"/>
    <w:link w:val="1100"/>
    <w:qFormat/>
    <w:pPr>
      <w:numPr>
        <w:ilvl w:val="7"/>
        <w:numId w:val="1"/>
      </w:numPr>
      <w:ind w:left="680" w:hanging="150"/>
      <w:spacing w:line="460" w:lineRule="exact"/>
      <w:tabs>
        <w:tab w:val="clear" w:pos="860" w:leader="none"/>
      </w:tabs>
      <w:outlineLvl w:val="7"/>
    </w:pPr>
    <w:rPr>
      <w:rFonts w:ascii="宋体"/>
      <w:sz w:val="28"/>
      <w:szCs w:val="20"/>
    </w:rPr>
  </w:style>
  <w:style w:type="paragraph" w:styleId="1224">
    <w:name w:val="xl39"/>
    <w:basedOn w:val="1100"/>
    <w:next w:val="1224"/>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5">
    <w:name w:val="xl37"/>
    <w:basedOn w:val="1100"/>
    <w:next w:val="1225"/>
    <w:link w:val="110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6">
    <w:name w:val="xl32"/>
    <w:basedOn w:val="1100"/>
    <w:next w:val="1226"/>
    <w:link w:val="110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7">
    <w:name w:val="font8"/>
    <w:basedOn w:val="1100"/>
    <w:next w:val="1227"/>
    <w:link w:val="1100"/>
    <w:qFormat/>
    <w:pPr>
      <w:jc w:val="left"/>
      <w:spacing w:before="100" w:beforeAutospacing="1" w:after="100" w:afterAutospacing="1"/>
      <w:widowControl/>
    </w:pPr>
    <w:rPr>
      <w:sz w:val="36"/>
      <w:szCs w:val="36"/>
    </w:rPr>
  </w:style>
  <w:style w:type="paragraph" w:styleId="1228">
    <w:name w:val="Char"/>
    <w:basedOn w:val="1100"/>
    <w:next w:val="1228"/>
    <w:link w:val="1100"/>
    <w:qFormat/>
    <w:pPr>
      <w:tabs>
        <w:tab w:val="left" w:pos="360" w:leader="none"/>
      </w:tabs>
    </w:pPr>
    <w:rPr>
      <w:sz w:val="24"/>
    </w:rPr>
  </w:style>
  <w:style w:type="paragraph" w:styleId="1229">
    <w:name w:val="Char Char Char Char Char Char Char Char Char Char Char Char Char Char Char Char"/>
    <w:basedOn w:val="1100"/>
    <w:next w:val="1229"/>
    <w:link w:val="1100"/>
    <w:qFormat/>
    <w:pPr>
      <w:jc w:val="center"/>
      <w:spacing w:after="160" w:line="240" w:lineRule="exact"/>
      <w:widowControl/>
    </w:pPr>
    <w:rPr>
      <w:rFonts w:ascii="宋体" w:hAnsi="宋体"/>
      <w:b/>
      <w:sz w:val="30"/>
      <w:szCs w:val="30"/>
      <w:lang w:eastAsia="en-US"/>
    </w:rPr>
  </w:style>
  <w:style w:type="paragraph" w:styleId="1230">
    <w:name w:val="xl45"/>
    <w:basedOn w:val="1100"/>
    <w:next w:val="1230"/>
    <w:link w:val="110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1">
    <w:name w:val="Char Char1 Char Char Char Char Char Char"/>
    <w:basedOn w:val="1100"/>
    <w:next w:val="1231"/>
    <w:link w:val="1100"/>
    <w:qFormat/>
    <w:pPr>
      <w:jc w:val="left"/>
      <w:spacing w:after="160" w:line="240" w:lineRule="exact"/>
      <w:widowControl/>
    </w:pPr>
    <w:rPr>
      <w:rFonts w:ascii="Verdana" w:hAnsi="Verdana" w:eastAsia="仿宋_GB2312"/>
      <w:sz w:val="24"/>
      <w:szCs w:val="20"/>
      <w:lang w:eastAsia="en-US"/>
    </w:rPr>
  </w:style>
  <w:style w:type="paragraph" w:styleId="1232">
    <w:name w:val="Char Char1"/>
    <w:basedOn w:val="1126"/>
    <w:next w:val="1232"/>
    <w:link w:val="1100"/>
    <w:qFormat/>
    <w:rPr>
      <w:rFonts w:ascii="Tahoma" w:hAnsi="Tahoma"/>
      <w:sz w:val="24"/>
    </w:rPr>
  </w:style>
  <w:style w:type="paragraph" w:styleId="1233">
    <w:name w:val="xl26"/>
    <w:basedOn w:val="1100"/>
    <w:next w:val="1233"/>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34">
    <w:name w:val="xl30"/>
    <w:basedOn w:val="1100"/>
    <w:next w:val="1234"/>
    <w:link w:val="11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5">
    <w:name w:val="xl41"/>
    <w:basedOn w:val="1100"/>
    <w:next w:val="1235"/>
    <w:link w:val="110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6">
    <w:name w:val="样式 宋体 五号 行距: 单倍行距"/>
    <w:basedOn w:val="1100"/>
    <w:next w:val="1236"/>
    <w:link w:val="1100"/>
    <w:qFormat/>
    <w:pPr>
      <w:jc w:val="left"/>
    </w:pPr>
    <w:rPr>
      <w:rFonts w:ascii="宋体" w:hAnsi="宋体"/>
      <w:szCs w:val="20"/>
    </w:rPr>
  </w:style>
  <w:style w:type="paragraph" w:styleId="1237">
    <w:name w:val="Char1 Char Char Char1"/>
    <w:basedOn w:val="1100"/>
    <w:next w:val="1237"/>
    <w:link w:val="1100"/>
    <w:qFormat/>
    <w:rPr>
      <w:rFonts w:ascii="Tahoma" w:hAnsi="Tahoma" w:cs="仿宋_GB2312"/>
      <w:sz w:val="24"/>
      <w:szCs w:val="28"/>
    </w:rPr>
  </w:style>
  <w:style w:type="paragraph" w:styleId="1238">
    <w:name w:val="四级条标题"/>
    <w:basedOn w:val="1239"/>
    <w:next w:val="1100"/>
    <w:link w:val="1100"/>
    <w:qFormat/>
    <w:pPr>
      <w:numPr>
        <w:ilvl w:val="4"/>
      </w:numPr>
      <w:ind w:left="0" w:hanging="840"/>
      <w:tabs>
        <w:tab w:val="left" w:pos="360" w:leader="none"/>
        <w:tab w:val="left" w:pos="840" w:leader="none"/>
      </w:tabs>
      <w:outlineLvl w:val="4"/>
    </w:pPr>
  </w:style>
  <w:style w:type="paragraph" w:styleId="1239">
    <w:name w:val="三级条标题"/>
    <w:basedOn w:val="1201"/>
    <w:next w:val="1100"/>
    <w:link w:val="1100"/>
    <w:qFormat/>
    <w:pPr>
      <w:numPr>
        <w:ilvl w:val="3"/>
        <w:numId w:val="1"/>
      </w:numPr>
      <w:ind w:left="0" w:hanging="840"/>
      <w:tabs>
        <w:tab w:val="left" w:pos="360" w:leader="none"/>
        <w:tab w:val="left" w:pos="840" w:leader="none"/>
      </w:tabs>
      <w:outlineLvl w:val="3"/>
    </w:pPr>
  </w:style>
  <w:style w:type="paragraph" w:styleId="1240">
    <w:name w:val="??"/>
    <w:next w:val="1240"/>
    <w:link w:val="1100"/>
    <w:qFormat/>
    <w:pPr>
      <w:jc w:val="both"/>
      <w:widowControl w:val="off"/>
    </w:pPr>
    <w:rPr>
      <w:sz w:val="21"/>
      <w:lang w:val="en-US" w:eastAsia="en-US" w:bidi="ar-SA"/>
    </w:rPr>
  </w:style>
  <w:style w:type="paragraph" w:styleId="1241">
    <w:name w:val="样式 标题 2 + 宋体 五号 行距: 单倍行距"/>
    <w:basedOn w:val="1102"/>
    <w:next w:val="1241"/>
    <w:link w:val="110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42">
    <w:name w:val="List Paragraph1"/>
    <w:basedOn w:val="1100"/>
    <w:next w:val="1242"/>
    <w:link w:val="1100"/>
    <w:qFormat/>
    <w:pPr>
      <w:ind w:firstLine="420"/>
    </w:pPr>
    <w:rPr>
      <w:rFonts w:ascii="Calibri" w:hAnsi="Calibri"/>
      <w:szCs w:val="22"/>
    </w:rPr>
  </w:style>
  <w:style w:type="paragraph" w:styleId="1243">
    <w:name w:val="项目符号1"/>
    <w:basedOn w:val="1244"/>
    <w:next w:val="1243"/>
    <w:link w:val="1100"/>
    <w:qFormat/>
    <w:pPr>
      <w:ind w:left="-25" w:firstLine="0"/>
    </w:pPr>
  </w:style>
  <w:style w:type="paragraph" w:styleId="1244">
    <w:name w:val="正文文本样式"/>
    <w:basedOn w:val="1100"/>
    <w:next w:val="1244"/>
    <w:link w:val="1100"/>
    <w:qFormat/>
    <w:pPr>
      <w:ind w:firstLine="482"/>
      <w:spacing w:line="360" w:lineRule="auto"/>
    </w:pPr>
    <w:rPr>
      <w:rFonts w:cs="宋体"/>
      <w:sz w:val="24"/>
      <w:szCs w:val="20"/>
    </w:rPr>
  </w:style>
  <w:style w:type="paragraph" w:styleId="1245">
    <w:name w:val="xl27"/>
    <w:basedOn w:val="1100"/>
    <w:next w:val="1245"/>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6">
    <w:name w:val="font5"/>
    <w:basedOn w:val="1100"/>
    <w:next w:val="1246"/>
    <w:link w:val="1100"/>
    <w:qFormat/>
    <w:pPr>
      <w:jc w:val="left"/>
      <w:spacing w:before="100" w:beforeAutospacing="1" w:after="100" w:afterAutospacing="1"/>
      <w:widowControl/>
    </w:pPr>
    <w:rPr>
      <w:rFonts w:ascii="宋体" w:hAnsi="宋体" w:cs="宋体"/>
      <w:sz w:val="18"/>
      <w:szCs w:val="18"/>
    </w:rPr>
  </w:style>
  <w:style w:type="paragraph" w:styleId="1247">
    <w:name w:val="五级条标题"/>
    <w:basedOn w:val="1238"/>
    <w:next w:val="1100"/>
    <w:link w:val="1100"/>
    <w:qFormat/>
    <w:pPr>
      <w:numPr>
        <w:ilvl w:val="5"/>
      </w:numPr>
      <w:ind w:left="0" w:hanging="840"/>
      <w:tabs>
        <w:tab w:val="left" w:pos="360" w:leader="none"/>
        <w:tab w:val="left" w:pos="840" w:leader="none"/>
      </w:tabs>
      <w:outlineLvl w:val="5"/>
    </w:pPr>
  </w:style>
  <w:style w:type="paragraph" w:styleId="1248">
    <w:name w:val="xl49"/>
    <w:basedOn w:val="1100"/>
    <w:next w:val="1248"/>
    <w:link w:val="11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49">
    <w:name w:val="文档正文"/>
    <w:basedOn w:val="1100"/>
    <w:next w:val="1249"/>
    <w:link w:val="1100"/>
    <w:qFormat/>
    <w:pPr>
      <w:spacing w:before="120" w:after="120" w:line="180" w:lineRule="auto"/>
    </w:pPr>
    <w:rPr>
      <w:rFonts w:ascii="Arial" w:hAnsi="Arial"/>
      <w:szCs w:val="20"/>
    </w:rPr>
  </w:style>
  <w:style w:type="paragraph" w:styleId="1250">
    <w:name w:val="xl33"/>
    <w:basedOn w:val="1100"/>
    <w:next w:val="1250"/>
    <w:link w:val="11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1">
    <w:name w:val="xl42"/>
    <w:basedOn w:val="1100"/>
    <w:next w:val="1251"/>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52">
    <w:name w:val="Char Char Char1 Char"/>
    <w:basedOn w:val="1100"/>
    <w:next w:val="1252"/>
    <w:link w:val="1100"/>
    <w:qFormat/>
    <w:rPr>
      <w:rFonts w:ascii="Tahoma" w:hAnsi="Tahoma"/>
      <w:sz w:val="24"/>
      <w:szCs w:val="20"/>
    </w:rPr>
  </w:style>
  <w:style w:type="paragraph" w:styleId="1253">
    <w:name w:val="xl44"/>
    <w:basedOn w:val="1100"/>
    <w:next w:val="1253"/>
    <w:link w:val="110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54">
    <w:name w:val="1名"/>
    <w:basedOn w:val="1100"/>
    <w:next w:val="1254"/>
    <w:link w:val="1100"/>
    <w:qFormat/>
    <w:pPr>
      <w:numPr>
        <w:ilvl w:val="0"/>
        <w:numId w:val="5"/>
      </w:numPr>
      <w:spacing w:before="120"/>
      <w:tabs>
        <w:tab w:val="left" w:pos="360" w:leader="none"/>
      </w:tabs>
    </w:pPr>
    <w:rPr>
      <w:rFonts w:ascii="宋体"/>
      <w:sz w:val="28"/>
      <w:szCs w:val="20"/>
    </w:rPr>
  </w:style>
  <w:style w:type="paragraph" w:styleId="1255">
    <w:name w:val="font9"/>
    <w:basedOn w:val="1100"/>
    <w:next w:val="1255"/>
    <w:link w:val="1100"/>
    <w:qFormat/>
    <w:pPr>
      <w:jc w:val="left"/>
      <w:spacing w:before="100" w:beforeAutospacing="1" w:after="100" w:afterAutospacing="1"/>
      <w:widowControl/>
    </w:pPr>
    <w:rPr>
      <w:rFonts w:hint="eastAsia" w:ascii="宋体" w:hAnsi="宋体" w:cs="Arial Unicode MS"/>
      <w:color w:val="000000"/>
      <w:sz w:val="20"/>
      <w:szCs w:val="20"/>
    </w:rPr>
  </w:style>
  <w:style w:type="paragraph" w:styleId="1256">
    <w:name w:val="Char Char Char1 Char1"/>
    <w:basedOn w:val="1100"/>
    <w:next w:val="1256"/>
    <w:link w:val="1100"/>
    <w:qFormat/>
    <w:rPr>
      <w:rFonts w:ascii="Tahoma" w:hAnsi="Tahoma"/>
      <w:sz w:val="24"/>
      <w:szCs w:val="20"/>
    </w:rPr>
  </w:style>
  <w:style w:type="paragraph" w:styleId="1257">
    <w:name w:val="Char Char Char Char Char Char Char Char Char Char"/>
    <w:basedOn w:val="1100"/>
    <w:next w:val="1257"/>
    <w:link w:val="1100"/>
    <w:qFormat/>
  </w:style>
  <w:style w:type="paragraph" w:styleId="1258">
    <w:name w:val="Char Char1 Char Char Char Char Char Char Char Char"/>
    <w:basedOn w:val="1100"/>
    <w:next w:val="1258"/>
    <w:link w:val="1100"/>
    <w:qFormat/>
    <w:pPr>
      <w:jc w:val="left"/>
      <w:spacing w:after="160" w:line="240" w:lineRule="exact"/>
      <w:widowControl/>
    </w:pPr>
    <w:rPr>
      <w:rFonts w:ascii="Verdana" w:hAnsi="Verdana"/>
      <w:sz w:val="20"/>
      <w:szCs w:val="20"/>
      <w:lang w:eastAsia="en-US"/>
    </w:rPr>
  </w:style>
  <w:style w:type="paragraph" w:styleId="1259">
    <w:name w:val="Char1"/>
    <w:basedOn w:val="1100"/>
    <w:next w:val="1259"/>
    <w:link w:val="1100"/>
    <w:qFormat/>
    <w:pPr>
      <w:tabs>
        <w:tab w:val="left" w:pos="360" w:leader="none"/>
      </w:tabs>
    </w:pPr>
    <w:rPr>
      <w:sz w:val="24"/>
    </w:rPr>
  </w:style>
  <w:style w:type="paragraph" w:styleId="1260">
    <w:name w:val="正文列项_字母"/>
    <w:basedOn w:val="1100"/>
    <w:next w:val="1260"/>
    <w:link w:val="1100"/>
    <w:qFormat/>
    <w:pPr>
      <w:numPr>
        <w:ilvl w:val="6"/>
        <w:numId w:val="1"/>
      </w:numPr>
      <w:ind w:left="480" w:hanging="180"/>
      <w:spacing w:line="460" w:lineRule="exact"/>
      <w:tabs>
        <w:tab w:val="clear" w:pos="635" w:leader="none"/>
      </w:tabs>
      <w:outlineLvl w:val="6"/>
    </w:pPr>
    <w:rPr>
      <w:rFonts w:ascii="宋体"/>
      <w:sz w:val="28"/>
      <w:szCs w:val="20"/>
    </w:rPr>
  </w:style>
  <w:style w:type="paragraph" w:styleId="1261">
    <w:name w:val="xl28"/>
    <w:basedOn w:val="1100"/>
    <w:next w:val="1261"/>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2">
    <w:name w:val="xl47"/>
    <w:basedOn w:val="1100"/>
    <w:next w:val="1262"/>
    <w:link w:val="110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3">
    <w:name w:val="默认段落字体 Para Char Char Char Char"/>
    <w:basedOn w:val="1100"/>
    <w:next w:val="1263"/>
    <w:link w:val="1100"/>
    <w:qFormat/>
    <w:rPr>
      <w:rFonts w:ascii="Arial" w:hAnsi="Arial" w:cs="Arial"/>
      <w:szCs w:val="21"/>
    </w:rPr>
  </w:style>
  <w:style w:type="paragraph" w:styleId="1264">
    <w:name w:val="xl48"/>
    <w:basedOn w:val="1100"/>
    <w:next w:val="1264"/>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65">
    <w:name w:val="xl31"/>
    <w:basedOn w:val="1100"/>
    <w:next w:val="1265"/>
    <w:link w:val="110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6">
    <w:name w:val="xl53"/>
    <w:basedOn w:val="1100"/>
    <w:next w:val="1266"/>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7">
    <w:name w:val="Char Char Char"/>
    <w:basedOn w:val="1100"/>
    <w:next w:val="1267"/>
    <w:link w:val="1100"/>
    <w:qFormat/>
    <w:rPr>
      <w:rFonts w:ascii="Tahoma" w:hAnsi="Tahoma"/>
      <w:sz w:val="24"/>
      <w:szCs w:val="20"/>
    </w:rPr>
  </w:style>
  <w:style w:type="paragraph" w:styleId="1268">
    <w:name w:val="xl50"/>
    <w:basedOn w:val="1100"/>
    <w:next w:val="1268"/>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69">
    <w:name w:val="缺省文本"/>
    <w:basedOn w:val="1100"/>
    <w:next w:val="1269"/>
    <w:link w:val="1100"/>
    <w:qFormat/>
    <w:pPr>
      <w:jc w:val="left"/>
    </w:pPr>
    <w:rPr>
      <w:sz w:val="24"/>
    </w:rPr>
  </w:style>
  <w:style w:type="paragraph" w:styleId="1270">
    <w:name w:val="Char Char Char1"/>
    <w:basedOn w:val="1100"/>
    <w:next w:val="1270"/>
    <w:link w:val="1100"/>
    <w:qFormat/>
    <w:rPr>
      <w:rFonts w:ascii="Tahoma" w:hAnsi="Tahoma"/>
      <w:sz w:val="24"/>
      <w:szCs w:val="20"/>
    </w:rPr>
  </w:style>
  <w:style w:type="paragraph" w:styleId="1271">
    <w:name w:val="Char Char Char Char Char Char Char1"/>
    <w:basedOn w:val="1100"/>
    <w:next w:val="1271"/>
    <w:link w:val="1100"/>
    <w:qFormat/>
    <w:pPr>
      <w:ind w:firstLine="200"/>
      <w:spacing w:line="360" w:lineRule="auto"/>
    </w:pPr>
    <w:rPr>
      <w:rFonts w:eastAsia="仿宋_GB2312"/>
      <w:sz w:val="24"/>
    </w:rPr>
  </w:style>
  <w:style w:type="paragraph" w:styleId="1272">
    <w:name w:val="xl51"/>
    <w:basedOn w:val="1100"/>
    <w:next w:val="1272"/>
    <w:link w:val="110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3">
    <w:name w:val="样式2"/>
    <w:basedOn w:val="1163"/>
    <w:next w:val="1273"/>
    <w:link w:val="1100"/>
    <w:qFormat/>
    <w:pPr>
      <w:jc w:val="center"/>
      <w:spacing w:line="360" w:lineRule="auto"/>
    </w:pPr>
    <w:rPr>
      <w:sz w:val="24"/>
    </w:rPr>
  </w:style>
  <w:style w:type="paragraph" w:styleId="1274">
    <w:name w:val="xl24"/>
    <w:basedOn w:val="1100"/>
    <w:next w:val="1274"/>
    <w:link w:val="11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5">
    <w:name w:val="xl29"/>
    <w:basedOn w:val="1100"/>
    <w:next w:val="1275"/>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6">
    <w:name w:val="正文 + 楷体_GB2312"/>
    <w:basedOn w:val="1100"/>
    <w:next w:val="1276"/>
    <w:link w:val="1100"/>
    <w:qFormat/>
    <w:pPr>
      <w:jc w:val="left"/>
      <w:widowControl/>
    </w:pPr>
    <w:rPr>
      <w:rFonts w:ascii="楷体_GB2312" w:eastAsia="楷体_GB2312" w:cs="Arial"/>
      <w:sz w:val="24"/>
    </w:rPr>
  </w:style>
  <w:style w:type="paragraph" w:styleId="1277">
    <w:name w:val="xl34"/>
    <w:basedOn w:val="1100"/>
    <w:next w:val="1277"/>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78">
    <w:name w:val="1 Char Char Char Char"/>
    <w:basedOn w:val="1100"/>
    <w:next w:val="1278"/>
    <w:link w:val="1100"/>
    <w:qFormat/>
    <w:rPr>
      <w:rFonts w:ascii="Tahoma" w:hAnsi="Tahoma"/>
      <w:sz w:val="24"/>
      <w:szCs w:val="20"/>
    </w:rPr>
  </w:style>
  <w:style w:type="paragraph" w:styleId="1279">
    <w:name w:val="Default"/>
    <w:next w:val="1279"/>
    <w:link w:val="1100"/>
    <w:qFormat/>
    <w:pPr>
      <w:widowControl w:val="off"/>
    </w:pPr>
    <w:rPr>
      <w:rFonts w:ascii="Symbol" w:hAnsi="Symbol" w:cs="Symbol"/>
      <w:color w:val="000000"/>
      <w:sz w:val="24"/>
      <w:szCs w:val="24"/>
      <w:lang w:val="en-US" w:eastAsia="zh-CN" w:bidi="ar-SA"/>
    </w:rPr>
  </w:style>
  <w:style w:type="paragraph" w:styleId="1280">
    <w:name w:val="列出段落1"/>
    <w:basedOn w:val="1100"/>
    <w:next w:val="1280"/>
    <w:link w:val="1100"/>
    <w:qFormat/>
    <w:pPr>
      <w:ind w:firstLine="420"/>
    </w:pPr>
    <w:rPr>
      <w:rFonts w:ascii="Calibri" w:hAnsi="Calibri"/>
      <w:szCs w:val="22"/>
    </w:rPr>
  </w:style>
  <w:style w:type="paragraph" w:styleId="1281">
    <w:name w:val="default"/>
    <w:basedOn w:val="1100"/>
    <w:next w:val="1281"/>
    <w:link w:val="1100"/>
    <w:qFormat/>
    <w:pPr>
      <w:jc w:val="left"/>
      <w:spacing w:before="100" w:beforeAutospacing="1" w:after="100" w:afterAutospacing="1"/>
      <w:widowControl/>
    </w:pPr>
    <w:rPr>
      <w:rFonts w:ascii="宋体" w:hAnsi="宋体" w:cs="宋体"/>
      <w:sz w:val="24"/>
    </w:rPr>
  </w:style>
  <w:style w:type="paragraph" w:styleId="1282">
    <w:name w:val="字元 字元1"/>
    <w:basedOn w:val="1100"/>
    <w:next w:val="1282"/>
    <w:link w:val="1100"/>
    <w:qFormat/>
    <w:rPr>
      <w:rFonts w:ascii="Tahoma" w:hAnsi="Tahoma"/>
      <w:sz w:val="24"/>
      <w:szCs w:val="20"/>
    </w:rPr>
  </w:style>
  <w:style w:type="paragraph" w:styleId="1283">
    <w:name w:val="_Style 160"/>
    <w:next w:val="1283"/>
    <w:link w:val="1100"/>
    <w:qFormat/>
    <w:rPr>
      <w:sz w:val="21"/>
      <w:szCs w:val="24"/>
      <w:lang w:val="en-US" w:eastAsia="zh-CN" w:bidi="ar-SA"/>
    </w:rPr>
  </w:style>
  <w:style w:type="paragraph" w:styleId="1284">
    <w:name w:val="项目编号3"/>
    <w:basedOn w:val="1244"/>
    <w:next w:val="1284"/>
    <w:link w:val="1100"/>
    <w:qFormat/>
    <w:pPr>
      <w:numPr>
        <w:ilvl w:val="0"/>
        <w:numId w:val="6"/>
      </w:numPr>
    </w:pPr>
  </w:style>
  <w:style w:type="paragraph" w:styleId="1285">
    <w:name w:val="Char21"/>
    <w:basedOn w:val="1100"/>
    <w:next w:val="1285"/>
    <w:link w:val="1100"/>
    <w:qFormat/>
    <w:rPr>
      <w:rFonts w:ascii="Tahoma" w:hAnsi="Tahoma"/>
      <w:sz w:val="24"/>
      <w:szCs w:val="20"/>
    </w:rPr>
  </w:style>
  <w:style w:type="paragraph" w:styleId="1286">
    <w:name w:val="表格文字"/>
    <w:basedOn w:val="1134"/>
    <w:next w:val="1286"/>
    <w:link w:val="1100"/>
    <w:qFormat/>
    <w:pPr>
      <w:ind w:firstLine="0"/>
      <w:spacing w:before="20" w:after="20" w:line="240" w:lineRule="auto"/>
    </w:pPr>
    <w:rPr>
      <w:rFonts w:ascii="Century Gothic" w:hAnsi="Century Gothic"/>
      <w:sz w:val="20"/>
      <w:szCs w:val="20"/>
    </w:rPr>
  </w:style>
  <w:style w:type="paragraph" w:styleId="1287">
    <w:name w:val="Char Char Char Char Char Char Char Char Char Char1"/>
    <w:basedOn w:val="1100"/>
    <w:next w:val="1287"/>
    <w:link w:val="1100"/>
    <w:qFormat/>
    <w:rPr>
      <w:rFonts w:ascii="宋体" w:hAnsi="宋体" w:cs="Courier New"/>
      <w:sz w:val="32"/>
      <w:szCs w:val="32"/>
    </w:rPr>
  </w:style>
  <w:style w:type="paragraph" w:styleId="1288">
    <w:name w:val="正文文本样式 加粗"/>
    <w:basedOn w:val="1244"/>
    <w:next w:val="1288"/>
    <w:link w:val="1100"/>
    <w:qFormat/>
    <w:rPr>
      <w:b/>
    </w:rPr>
  </w:style>
  <w:style w:type="paragraph" w:styleId="1289">
    <w:name w:val="Char2 Char Char Char Char Char Char"/>
    <w:basedOn w:val="1100"/>
    <w:next w:val="1289"/>
    <w:link w:val="1100"/>
    <w:qFormat/>
    <w:pPr>
      <w:jc w:val="center"/>
      <w:spacing w:line="400" w:lineRule="exact"/>
      <w:widowControl/>
    </w:pPr>
  </w:style>
  <w:style w:type="paragraph" w:styleId="1290">
    <w:name w:val="Char Char4"/>
    <w:basedOn w:val="1100"/>
    <w:next w:val="1290"/>
    <w:link w:val="1100"/>
    <w:qFormat/>
    <w:pPr>
      <w:jc w:val="center"/>
      <w:spacing w:line="400" w:lineRule="exact"/>
      <w:widowControl/>
    </w:pPr>
  </w:style>
  <w:style w:type="paragraph" w:styleId="1291">
    <w:name w:val="Char3 Char Char Char1"/>
    <w:basedOn w:val="1100"/>
    <w:next w:val="1291"/>
    <w:link w:val="1100"/>
    <w:qFormat/>
    <w:rPr>
      <w:rFonts w:ascii="Tahoma" w:hAnsi="Tahoma"/>
      <w:sz w:val="24"/>
      <w:szCs w:val="20"/>
    </w:rPr>
  </w:style>
  <w:style w:type="paragraph" w:styleId="1292">
    <w:name w:val="无间隔"/>
    <w:next w:val="1292"/>
    <w:link w:val="1100"/>
    <w:qFormat/>
    <w:pPr>
      <w:jc w:val="both"/>
      <w:widowControl w:val="off"/>
    </w:pPr>
    <w:rPr>
      <w:sz w:val="21"/>
      <w:szCs w:val="24"/>
      <w:lang w:val="en-US" w:eastAsia="zh-CN" w:bidi="ar-SA"/>
    </w:rPr>
  </w:style>
  <w:style w:type="paragraph" w:styleId="1293">
    <w:name w:val="22222222222222"/>
    <w:basedOn w:val="1100"/>
    <w:next w:val="1293"/>
    <w:link w:val="1100"/>
    <w:qFormat/>
    <w:pPr>
      <w:ind w:firstLine="480"/>
      <w:jc w:val="left"/>
      <w:spacing w:line="360" w:lineRule="auto"/>
      <w:widowControl/>
    </w:pPr>
    <w:rPr>
      <w:color w:val="ff0000"/>
      <w:sz w:val="24"/>
      <w:szCs w:val="20"/>
    </w:rPr>
  </w:style>
  <w:style w:type="character" w:styleId="1294">
    <w:name w:val="中等深浅网格 1 - 强调文字颜色 2 Char"/>
    <w:next w:val="1294"/>
    <w:link w:val="1295"/>
    <w:qFormat/>
    <w:rPr>
      <w:sz w:val="21"/>
      <w:szCs w:val="24"/>
      <w:lang w:val="zh-CN" w:eastAsia="zh-CN" w:bidi="ar-SA"/>
    </w:rPr>
  </w:style>
  <w:style w:type="paragraph" w:styleId="1295">
    <w:name w:val="1"/>
    <w:next w:val="1295"/>
    <w:link w:val="1294"/>
    <w:qFormat/>
    <w:rPr>
      <w:sz w:val="21"/>
      <w:szCs w:val="24"/>
      <w:lang w:val="zh-CN" w:eastAsia="zh-CN" w:bidi="ar-SA"/>
    </w:rPr>
  </w:style>
  <w:style w:type="paragraph" w:styleId="1296">
    <w:name w:val="图文"/>
    <w:basedOn w:val="1100"/>
    <w:next w:val="1296"/>
    <w:link w:val="1100"/>
    <w:qFormat/>
    <w:pPr>
      <w:spacing w:after="50" w:line="360" w:lineRule="auto"/>
    </w:pPr>
    <w:rPr>
      <w:sz w:val="24"/>
    </w:rPr>
  </w:style>
  <w:style w:type="paragraph" w:styleId="1297">
    <w:name w:val="xl23"/>
    <w:basedOn w:val="1100"/>
    <w:next w:val="1297"/>
    <w:link w:val="1100"/>
    <w:qFormat/>
    <w:pPr>
      <w:spacing w:before="100" w:beforeAutospacing="1" w:after="100" w:afterAutospacing="1" w:line="360" w:lineRule="auto"/>
      <w:widowControl/>
    </w:pPr>
    <w:rPr>
      <w:sz w:val="24"/>
      <w:szCs w:val="20"/>
    </w:rPr>
  </w:style>
  <w:style w:type="paragraph" w:styleId="1298">
    <w:name w:val="正文表格"/>
    <w:basedOn w:val="1100"/>
    <w:next w:val="1298"/>
    <w:link w:val="1299"/>
    <w:qFormat/>
    <w:pPr>
      <w:jc w:val="left"/>
    </w:pPr>
    <w:rPr>
      <w:rFonts w:ascii="宋体" w:hAnsi="宋体"/>
      <w:color w:val="000000"/>
      <w:szCs w:val="21"/>
    </w:rPr>
  </w:style>
  <w:style w:type="character" w:styleId="1299">
    <w:name w:val="正文表格 Char"/>
    <w:next w:val="1299"/>
    <w:link w:val="1298"/>
    <w:qFormat/>
    <w:rPr>
      <w:rFonts w:ascii="宋体" w:hAnsi="宋体"/>
      <w:color w:val="000000"/>
      <w:sz w:val="21"/>
      <w:szCs w:val="21"/>
    </w:rPr>
  </w:style>
  <w:style w:type="paragraph" w:styleId="1300">
    <w:name w:val="正文重点"/>
    <w:basedOn w:val="1100"/>
    <w:next w:val="1300"/>
    <w:link w:val="1301"/>
    <w:qFormat/>
    <w:pPr>
      <w:ind w:firstLine="482"/>
      <w:jc w:val="left"/>
      <w:spacing w:line="360" w:lineRule="auto"/>
    </w:pPr>
    <w:rPr>
      <w:b/>
      <w:sz w:val="24"/>
      <w:szCs w:val="20"/>
    </w:rPr>
  </w:style>
  <w:style w:type="character" w:styleId="1301">
    <w:name w:val="正文重点 Char"/>
    <w:next w:val="1301"/>
    <w:link w:val="1300"/>
    <w:qFormat/>
    <w:rPr>
      <w:b/>
      <w:sz w:val="24"/>
    </w:rPr>
  </w:style>
  <w:style w:type="paragraph" w:styleId="1302">
    <w:name w:val="标题1-附件"/>
    <w:basedOn w:val="1101"/>
    <w:next w:val="1302"/>
    <w:link w:val="1100"/>
    <w:qFormat/>
    <w:pPr>
      <w:jc w:val="left"/>
    </w:pPr>
    <w:rPr>
      <w:sz w:val="24"/>
      <w:szCs w:val="24"/>
    </w:rPr>
  </w:style>
  <w:style w:type="paragraph" w:styleId="1303">
    <w:name w:val="正文小标题"/>
    <w:basedOn w:val="1100"/>
    <w:next w:val="1115"/>
    <w:link w:val="1304"/>
    <w:qFormat/>
    <w:pPr>
      <w:ind w:firstLine="482"/>
      <w:jc w:val="left"/>
      <w:spacing w:before="312" w:after="312"/>
    </w:pPr>
    <w:rPr>
      <w:rFonts w:ascii="宋体" w:hAnsi="宋体"/>
      <w:b/>
      <w:i/>
      <w:color w:val="ff0000"/>
      <w:sz w:val="24"/>
      <w:szCs w:val="20"/>
    </w:rPr>
  </w:style>
  <w:style w:type="character" w:styleId="1304">
    <w:name w:val="正文小标题 Char"/>
    <w:next w:val="1304"/>
    <w:link w:val="1303"/>
    <w:qFormat/>
    <w:rPr>
      <w:rFonts w:ascii="宋体" w:hAnsi="宋体"/>
      <w:b/>
      <w:i/>
      <w:color w:val="ff0000"/>
      <w:sz w:val="24"/>
    </w:rPr>
  </w:style>
  <w:style w:type="paragraph" w:styleId="1305">
    <w:name w:val="正文大标题"/>
    <w:basedOn w:val="1303"/>
    <w:next w:val="1115"/>
    <w:link w:val="1306"/>
    <w:qFormat/>
    <w:pPr>
      <w:jc w:val="center"/>
    </w:pPr>
    <w:rPr>
      <w:i w:val="0"/>
      <w:color w:val="000000"/>
      <w:sz w:val="28"/>
      <w:szCs w:val="21"/>
    </w:rPr>
  </w:style>
  <w:style w:type="character" w:styleId="1306">
    <w:name w:val="正文大标题 Char"/>
    <w:next w:val="1306"/>
    <w:link w:val="1305"/>
    <w:qFormat/>
    <w:rPr>
      <w:rFonts w:ascii="宋体" w:hAnsi="宋体"/>
      <w:b/>
      <w:color w:val="000000"/>
      <w:sz w:val="28"/>
      <w:szCs w:val="21"/>
    </w:rPr>
  </w:style>
  <w:style w:type="paragraph" w:styleId="1307">
    <w:name w:val="注释"/>
    <w:basedOn w:val="1100"/>
    <w:next w:val="1307"/>
    <w:link w:val="1308"/>
    <w:qFormat/>
    <w:pPr>
      <w:ind w:left="420" w:hanging="420"/>
      <w:jc w:val="left"/>
    </w:pPr>
    <w:rPr>
      <w:rFonts w:ascii="宋体" w:hAnsi="宋体"/>
      <w:szCs w:val="21"/>
    </w:rPr>
  </w:style>
  <w:style w:type="character" w:styleId="1308">
    <w:name w:val="注释 Char"/>
    <w:next w:val="1308"/>
    <w:link w:val="1307"/>
    <w:qFormat/>
    <w:rPr>
      <w:rFonts w:ascii="宋体" w:hAnsi="宋体"/>
      <w:sz w:val="21"/>
      <w:szCs w:val="21"/>
    </w:rPr>
  </w:style>
  <w:style w:type="paragraph" w:styleId="1309">
    <w:name w:val="正文须知-1级"/>
    <w:basedOn w:val="1100"/>
    <w:next w:val="1100"/>
    <w:link w:val="1100"/>
    <w:qFormat/>
    <w:pPr>
      <w:numPr>
        <w:ilvl w:val="0"/>
        <w:numId w:val="7"/>
      </w:numPr>
      <w:spacing w:line="300" w:lineRule="auto"/>
    </w:pPr>
    <w:rPr>
      <w:rFonts w:ascii="宋体" w:hAnsi="Calibri"/>
      <w:sz w:val="24"/>
      <w:szCs w:val="21"/>
    </w:rPr>
  </w:style>
  <w:style w:type="paragraph" w:styleId="1310">
    <w:name w:val="正文须知-2级"/>
    <w:basedOn w:val="1100"/>
    <w:next w:val="1310"/>
    <w:link w:val="1100"/>
    <w:qFormat/>
    <w:pPr>
      <w:numPr>
        <w:ilvl w:val="1"/>
        <w:numId w:val="7"/>
      </w:numPr>
      <w:spacing w:line="300" w:lineRule="auto"/>
    </w:pPr>
    <w:rPr>
      <w:rFonts w:ascii="宋体" w:hAnsi="Calibri"/>
      <w:sz w:val="24"/>
      <w:szCs w:val="21"/>
    </w:rPr>
  </w:style>
  <w:style w:type="paragraph" w:styleId="1311">
    <w:name w:val="正文须知-3级"/>
    <w:basedOn w:val="1100"/>
    <w:next w:val="1311"/>
    <w:link w:val="1100"/>
    <w:qFormat/>
    <w:pPr>
      <w:numPr>
        <w:ilvl w:val="2"/>
        <w:numId w:val="7"/>
      </w:numPr>
      <w:ind w:hanging="355"/>
      <w:spacing w:line="300" w:lineRule="auto"/>
    </w:pPr>
    <w:rPr>
      <w:rFonts w:ascii="宋体" w:hAnsi="Calibri"/>
      <w:sz w:val="24"/>
      <w:szCs w:val="21"/>
    </w:rPr>
  </w:style>
  <w:style w:type="character" w:styleId="1312">
    <w:name w:val="纯文本 字符"/>
    <w:next w:val="1312"/>
    <w:link w:val="1100"/>
    <w:uiPriority w:val="99"/>
    <w:qFormat/>
    <w:rPr>
      <w:rFonts w:ascii="宋体" w:hAnsi="Courier New" w:eastAsia="宋体" w:cs="Times New Roman"/>
      <w:sz w:val="21"/>
      <w:szCs w:val="21"/>
      <w:lang w:val="en-US" w:eastAsia="zh-CN" w:bidi="ar-SA"/>
    </w:rPr>
  </w:style>
  <w:style w:type="paragraph" w:styleId="1313">
    <w:name w:val="表格1"/>
    <w:basedOn w:val="1100"/>
    <w:next w:val="1313"/>
    <w:link w:val="1100"/>
    <w:qFormat/>
    <w:pPr>
      <w:ind w:firstLine="480"/>
      <w:jc w:val="center"/>
    </w:pPr>
    <w:rPr>
      <w:sz w:val="24"/>
      <w:szCs w:val="20"/>
    </w:rPr>
  </w:style>
  <w:style w:type="character" w:styleId="1314">
    <w:name w:val="纯文本 字符1"/>
    <w:next w:val="1314"/>
    <w:link w:val="1100"/>
    <w:qFormat/>
    <w:rPr>
      <w:rFonts w:ascii="宋体" w:hAnsi="Courier New"/>
    </w:rPr>
  </w:style>
  <w:style w:type="character" w:styleId="1315">
    <w:name w:val="bjh-p"/>
    <w:next w:val="1315"/>
    <w:link w:val="1100"/>
    <w:qFormat/>
  </w:style>
  <w:style w:type="paragraph" w:styleId="1316">
    <w:name w:val="无标题条"/>
    <w:next w:val="1100"/>
    <w:link w:val="1100"/>
    <w:qFormat/>
    <w:pPr>
      <w:jc w:val="both"/>
    </w:pPr>
    <w:rPr>
      <w:sz w:val="21"/>
      <w:lang w:val="en-US" w:eastAsia="zh-CN" w:bidi="ar-SA"/>
    </w:rPr>
  </w:style>
  <w:style w:type="character" w:styleId="1317">
    <w:name w:val="正文格式 Char"/>
    <w:next w:val="1317"/>
    <w:link w:val="1318"/>
    <w:qFormat/>
    <w:rPr>
      <w:rFonts w:ascii="宋体" w:hAnsi="宋体"/>
      <w:sz w:val="24"/>
      <w:szCs w:val="24"/>
      <w:lang w:val="en-GB"/>
    </w:rPr>
  </w:style>
  <w:style w:type="paragraph" w:styleId="1318">
    <w:name w:val="正文格式"/>
    <w:basedOn w:val="1100"/>
    <w:next w:val="1318"/>
    <w:link w:val="1317"/>
    <w:qFormat/>
    <w:pPr>
      <w:ind w:firstLine="480"/>
      <w:spacing w:line="360" w:lineRule="auto"/>
    </w:pPr>
    <w:rPr>
      <w:rFonts w:ascii="宋体" w:hAnsi="宋体"/>
      <w:sz w:val="24"/>
      <w:lang w:val="en-GB"/>
    </w:rPr>
  </w:style>
  <w:style w:type="character" w:styleId="1319">
    <w:name w:val="标题 3 Char"/>
    <w:next w:val="1319"/>
    <w:link w:val="1100"/>
    <w:qFormat/>
    <w:rPr>
      <w:rFonts w:ascii="宋体" w:eastAsia="宋体"/>
      <w:b/>
      <w:sz w:val="24"/>
      <w:u w:val="single"/>
      <w:lang w:val="en-US" w:eastAsia="zh-CN" w:bidi="ar-SA"/>
    </w:rPr>
  </w:style>
  <w:style w:type="character" w:styleId="1320">
    <w:name w:val="正文缩进 Char"/>
    <w:next w:val="1320"/>
    <w:link w:val="1100"/>
    <w:qFormat/>
    <w:rPr>
      <w:rFonts w:ascii="宋体" w:eastAsia="宋体"/>
      <w:sz w:val="24"/>
      <w:szCs w:val="24"/>
      <w:lang w:val="en-US" w:eastAsia="zh-CN" w:bidi="ar-SA"/>
    </w:rPr>
  </w:style>
  <w:style w:type="character" w:styleId="1321">
    <w:name w:val="Char Char111"/>
    <w:next w:val="1321"/>
    <w:link w:val="1100"/>
    <w:qFormat/>
    <w:rPr>
      <w:rFonts w:ascii="宋体" w:eastAsia="宋体"/>
      <w:b/>
      <w:sz w:val="24"/>
      <w:u w:val="single"/>
      <w:lang w:val="en-US" w:eastAsia="zh-CN" w:bidi="ar-SA"/>
    </w:rPr>
  </w:style>
  <w:style w:type="character" w:styleId="1322">
    <w:name w:val="正文文本缩进 Char"/>
    <w:next w:val="1322"/>
    <w:link w:val="1100"/>
    <w:qFormat/>
    <w:rPr>
      <w:rFonts w:eastAsia="宋体"/>
      <w:sz w:val="24"/>
      <w:szCs w:val="24"/>
      <w:lang w:val="en-US" w:eastAsia="zh-CN" w:bidi="ar-SA"/>
    </w:rPr>
  </w:style>
  <w:style w:type="character" w:styleId="1323">
    <w:name w:val="列出段落 Char"/>
    <w:next w:val="1323"/>
    <w:link w:val="1100"/>
    <w:qFormat/>
    <w:rPr>
      <w:rFonts w:ascii="Calibri" w:hAnsi="Calibri" w:eastAsia="宋体"/>
      <w:sz w:val="21"/>
      <w:szCs w:val="22"/>
      <w:lang w:val="en-US" w:eastAsia="zh-CN" w:bidi="ar-SA"/>
    </w:rPr>
  </w:style>
  <w:style w:type="character" w:styleId="1324">
    <w:name w:val="页眉 Char"/>
    <w:next w:val="1324"/>
    <w:link w:val="1100"/>
    <w:qFormat/>
    <w:rPr>
      <w:rFonts w:eastAsia="宋体"/>
      <w:sz w:val="18"/>
      <w:szCs w:val="18"/>
      <w:lang w:val="en-US" w:eastAsia="zh-CN" w:bidi="ar-SA"/>
    </w:rPr>
  </w:style>
  <w:style w:type="character" w:styleId="1325">
    <w:name w:val="标题 2 Char"/>
    <w:next w:val="1325"/>
    <w:link w:val="1100"/>
    <w:qFormat/>
    <w:rPr>
      <w:rFonts w:ascii="Arial" w:hAnsi="Arial" w:eastAsia="黑体"/>
      <w:b/>
      <w:sz w:val="30"/>
      <w:lang w:val="en-US" w:eastAsia="zh-CN" w:bidi="ar-SA"/>
    </w:rPr>
  </w:style>
  <w:style w:type="paragraph" w:styleId="1326">
    <w:name w:val="字元 字元2"/>
    <w:basedOn w:val="1100"/>
    <w:next w:val="1326"/>
    <w:link w:val="1100"/>
    <w:qFormat/>
    <w:rPr>
      <w:rFonts w:ascii="Tahoma" w:hAnsi="Tahoma"/>
      <w:sz w:val="24"/>
      <w:szCs w:val="20"/>
    </w:rPr>
  </w:style>
  <w:style w:type="paragraph" w:styleId="1327">
    <w:name w:val="Char3 Char Char Char2"/>
    <w:basedOn w:val="1100"/>
    <w:next w:val="1327"/>
    <w:link w:val="1100"/>
    <w:qFormat/>
    <w:rPr>
      <w:rFonts w:ascii="Tahoma" w:hAnsi="Tahoma"/>
      <w:sz w:val="24"/>
      <w:szCs w:val="20"/>
    </w:rPr>
  </w:style>
  <w:style w:type="paragraph" w:styleId="1328">
    <w:name w:val="正文文本缩进2"/>
    <w:basedOn w:val="1100"/>
    <w:next w:val="1328"/>
    <w:link w:val="1100"/>
    <w:qFormat/>
    <w:pPr>
      <w:ind w:firstLine="480"/>
      <w:spacing w:line="480" w:lineRule="exact"/>
    </w:pPr>
    <w:rPr>
      <w:rFonts w:ascii="宋体" w:hAnsi="宋体"/>
      <w:sz w:val="24"/>
      <w:lang w:val="zh-CN" w:eastAsia="zh-CN"/>
    </w:rPr>
  </w:style>
  <w:style w:type="paragraph" w:styleId="1329">
    <w:name w:val="Char3"/>
    <w:basedOn w:val="1100"/>
    <w:next w:val="1329"/>
    <w:link w:val="1100"/>
    <w:qFormat/>
    <w:pPr>
      <w:tabs>
        <w:tab w:val="left" w:pos="360" w:leader="none"/>
      </w:tabs>
    </w:pPr>
    <w:rPr>
      <w:sz w:val="24"/>
    </w:rPr>
  </w:style>
  <w:style w:type="paragraph" w:styleId="1330">
    <w:name w:val="Char Char Char Char Char Char Char Char Char Char Char Char Char Char Char Char1"/>
    <w:basedOn w:val="1100"/>
    <w:next w:val="1330"/>
    <w:link w:val="1100"/>
    <w:qFormat/>
    <w:pPr>
      <w:jc w:val="center"/>
      <w:spacing w:after="160" w:line="240" w:lineRule="exact"/>
      <w:widowControl/>
    </w:pPr>
    <w:rPr>
      <w:rFonts w:ascii="宋体" w:hAnsi="宋体"/>
      <w:b/>
      <w:sz w:val="30"/>
      <w:szCs w:val="30"/>
      <w:lang w:eastAsia="en-US"/>
    </w:rPr>
  </w:style>
  <w:style w:type="paragraph" w:styleId="1331">
    <w:name w:val="Char Char1 Char Char Char Char Char Char1"/>
    <w:basedOn w:val="1100"/>
    <w:next w:val="1331"/>
    <w:link w:val="1100"/>
    <w:qFormat/>
    <w:pPr>
      <w:jc w:val="left"/>
      <w:spacing w:after="160" w:line="240" w:lineRule="exact"/>
      <w:widowControl/>
    </w:pPr>
    <w:rPr>
      <w:rFonts w:ascii="Verdana" w:hAnsi="Verdana" w:eastAsia="仿宋_GB2312"/>
      <w:sz w:val="24"/>
      <w:szCs w:val="20"/>
      <w:lang w:eastAsia="en-US"/>
    </w:rPr>
  </w:style>
  <w:style w:type="paragraph" w:styleId="1332">
    <w:name w:val="列出段落2"/>
    <w:basedOn w:val="1100"/>
    <w:next w:val="1332"/>
    <w:link w:val="1100"/>
    <w:qFormat/>
    <w:pPr>
      <w:ind w:firstLine="420"/>
    </w:pPr>
    <w:rPr>
      <w:rFonts w:ascii="Calibri" w:hAnsi="Calibri"/>
      <w:szCs w:val="22"/>
    </w:rPr>
  </w:style>
  <w:style w:type="paragraph" w:styleId="1333">
    <w:name w:val="Char Char Char1 Char2"/>
    <w:basedOn w:val="1100"/>
    <w:next w:val="1333"/>
    <w:link w:val="1100"/>
    <w:qFormat/>
    <w:rPr>
      <w:rFonts w:ascii="Tahoma" w:hAnsi="Tahoma"/>
      <w:sz w:val="24"/>
      <w:szCs w:val="20"/>
    </w:rPr>
  </w:style>
  <w:style w:type="paragraph" w:styleId="1334">
    <w:name w:val="Char Char Char2"/>
    <w:basedOn w:val="1100"/>
    <w:next w:val="1334"/>
    <w:link w:val="1100"/>
    <w:qFormat/>
    <w:rPr>
      <w:rFonts w:ascii="Tahoma" w:hAnsi="Tahoma"/>
      <w:sz w:val="24"/>
      <w:szCs w:val="20"/>
    </w:rPr>
  </w:style>
  <w:style w:type="paragraph" w:styleId="1335">
    <w:name w:val="Char Char Char Char Char Char Char2"/>
    <w:basedOn w:val="1100"/>
    <w:next w:val="1335"/>
    <w:link w:val="1100"/>
    <w:qFormat/>
    <w:pPr>
      <w:ind w:firstLine="200"/>
      <w:spacing w:line="360" w:lineRule="auto"/>
    </w:pPr>
    <w:rPr>
      <w:rFonts w:eastAsia="仿宋_GB2312"/>
      <w:sz w:val="24"/>
    </w:rPr>
  </w:style>
  <w:style w:type="paragraph" w:styleId="1336">
    <w:name w:val="正文缩进2"/>
    <w:basedOn w:val="1100"/>
    <w:next w:val="1336"/>
    <w:link w:val="1100"/>
    <w:qFormat/>
    <w:pPr>
      <w:ind w:firstLine="567"/>
      <w:spacing w:line="480" w:lineRule="exact"/>
      <w:widowControl/>
    </w:pPr>
    <w:rPr>
      <w:rFonts w:ascii="宋体"/>
      <w:color w:val="000000"/>
      <w:sz w:val="28"/>
      <w:szCs w:val="20"/>
      <w:lang w:val="zh-CN" w:eastAsia="zh-CN"/>
    </w:rPr>
  </w:style>
  <w:style w:type="paragraph" w:styleId="1337">
    <w:name w:val="Revision"/>
    <w:next w:val="1337"/>
    <w:link w:val="1100"/>
    <w:qFormat/>
    <w:rPr>
      <w:sz w:val="21"/>
      <w:szCs w:val="24"/>
      <w:lang w:val="en-US" w:eastAsia="zh-CN" w:bidi="ar-SA"/>
    </w:rPr>
  </w:style>
  <w:style w:type="paragraph" w:styleId="1338">
    <w:name w:val="Char22"/>
    <w:basedOn w:val="1100"/>
    <w:next w:val="1338"/>
    <w:link w:val="1100"/>
    <w:qFormat/>
    <w:rPr>
      <w:rFonts w:ascii="Tahoma" w:hAnsi="Tahoma"/>
      <w:sz w:val="24"/>
      <w:szCs w:val="20"/>
    </w:rPr>
  </w:style>
  <w:style w:type="paragraph" w:styleId="1339">
    <w:name w:val="Char Char Char Char Char Char Char Char Char Char2"/>
    <w:basedOn w:val="1100"/>
    <w:next w:val="1339"/>
    <w:link w:val="1100"/>
    <w:qFormat/>
    <w:rPr>
      <w:rFonts w:ascii="宋体" w:hAnsi="宋体" w:cs="Courier New"/>
      <w:sz w:val="32"/>
      <w:szCs w:val="32"/>
    </w:rPr>
  </w:style>
  <w:style w:type="paragraph" w:styleId="1340">
    <w:name w:val="Char2 Char Char Char Char Char Char1"/>
    <w:basedOn w:val="1100"/>
    <w:next w:val="1340"/>
    <w:link w:val="1100"/>
    <w:qFormat/>
    <w:pPr>
      <w:jc w:val="center"/>
      <w:spacing w:line="400" w:lineRule="exact"/>
      <w:widowControl/>
    </w:pPr>
  </w:style>
  <w:style w:type="character" w:styleId="1341">
    <w:name w:val="页脚 Char"/>
    <w:next w:val="1341"/>
    <w:link w:val="1100"/>
    <w:qFormat/>
    <w:rPr>
      <w:rFonts w:ascii="宋体" w:eastAsia="宋体"/>
      <w:sz w:val="18"/>
      <w:lang w:val="en-US" w:eastAsia="zh-CN" w:bidi="ar-SA"/>
    </w:rPr>
  </w:style>
  <w:style w:type="paragraph" w:styleId="1342">
    <w:name w:val="Char Char41"/>
    <w:basedOn w:val="1100"/>
    <w:next w:val="1342"/>
    <w:link w:val="1100"/>
    <w:qFormat/>
    <w:pPr>
      <w:jc w:val="center"/>
      <w:spacing w:line="400" w:lineRule="exact"/>
      <w:widowControl/>
    </w:pPr>
  </w:style>
  <w:style w:type="character" w:styleId="1343">
    <w:name w:val="批注文字 Char"/>
    <w:next w:val="1343"/>
    <w:link w:val="1100"/>
    <w:uiPriority w:val="99"/>
    <w:qFormat/>
    <w:rPr>
      <w:sz w:val="21"/>
      <w:szCs w:val="24"/>
    </w:rPr>
  </w:style>
  <w:style w:type="character" w:styleId="1344">
    <w:name w:val="标题 Char"/>
    <w:next w:val="1344"/>
    <w:link w:val="1100"/>
    <w:qFormat/>
    <w:rPr>
      <w:b/>
      <w:sz w:val="32"/>
    </w:rPr>
  </w:style>
  <w:style w:type="paragraph" w:styleId="1345">
    <w:name w:val="图例"/>
    <w:basedOn w:val="1100"/>
    <w:next w:val="1345"/>
    <w:link w:val="1100"/>
    <w:qFormat/>
    <w:pPr>
      <w:jc w:val="center"/>
      <w:spacing w:before="120" w:after="120" w:line="360" w:lineRule="auto"/>
    </w:pPr>
    <w:rPr>
      <w:rFonts w:eastAsia="仿宋_GB2312"/>
      <w:b/>
      <w:sz w:val="24"/>
      <w:szCs w:val="20"/>
    </w:rPr>
  </w:style>
  <w:style w:type="table" w:styleId="1346">
    <w:name w:val="Table Normal"/>
    <w:next w:val="1346"/>
    <w:link w:val="1100"/>
    <w:uiPriority w:val="2"/>
    <w:unhideWhenUsed/>
    <w:qFormat/>
    <w:pPr>
      <w:widowControl w:val="off"/>
    </w:pPr>
    <w:rPr>
      <w:rFonts w:ascii="Calibri" w:hAnsi="Calibri"/>
      <w:sz w:val="22"/>
      <w:szCs w:val="22"/>
      <w:lang w:val="en-US" w:eastAsia="en-US" w:bidi="ar-SA"/>
    </w:rPr>
    <w:tblPr/>
  </w:style>
  <w:style w:type="paragraph" w:styleId="1347">
    <w:name w:val="Table Paragraph"/>
    <w:basedOn w:val="1100"/>
    <w:next w:val="1347"/>
    <w:link w:val="1100"/>
    <w:uiPriority w:val="1"/>
    <w:qFormat/>
    <w:pPr>
      <w:jc w:val="left"/>
    </w:pPr>
    <w:rPr>
      <w:rFonts w:ascii="宋体" w:hAnsi="宋体" w:cs="宋体"/>
      <w:sz w:val="22"/>
      <w:szCs w:val="22"/>
      <w:lang w:eastAsia="en-US"/>
    </w:rPr>
  </w:style>
  <w:style w:type="paragraph" w:styleId="1348">
    <w:name w:val="成文日期"/>
    <w:basedOn w:val="1100"/>
    <w:next w:val="1348"/>
    <w:link w:val="1349"/>
    <w:qFormat/>
    <w:pPr>
      <w:ind w:right="400" w:firstLine="200"/>
      <w:jc w:val="right"/>
      <w:spacing w:line="570" w:lineRule="exact"/>
    </w:pPr>
    <w:rPr>
      <w:rFonts w:ascii="仿宋_GB2312" w:eastAsia="仿宋_GB2312"/>
      <w:sz w:val="32"/>
      <w:szCs w:val="20"/>
    </w:rPr>
  </w:style>
  <w:style w:type="character" w:styleId="1349">
    <w:name w:val="成文日期 Char"/>
    <w:next w:val="1349"/>
    <w:link w:val="1348"/>
    <w:rPr>
      <w:rFonts w:ascii="仿宋_GB2312" w:eastAsia="仿宋_GB2312"/>
      <w:sz w:val="32"/>
    </w:rPr>
  </w:style>
  <w:style w:type="paragraph" w:styleId="1350">
    <w:name w:val="修订"/>
    <w:next w:val="1350"/>
    <w:link w:val="1100"/>
    <w:uiPriority w:val="99"/>
    <w:unhideWhenUsed/>
    <w:rPr>
      <w:sz w:val="21"/>
      <w:szCs w:val="24"/>
      <w:lang w:val="en-US" w:eastAsia="zh-CN" w:bidi="ar-SA"/>
    </w:rPr>
  </w:style>
  <w:style w:type="character" w:styleId="1351">
    <w:name w:val="正文缩进 字符"/>
    <w:next w:val="1351"/>
    <w:link w:val="1100"/>
    <w:uiPriority w:val="99"/>
    <w:qFormat/>
    <w:rPr>
      <w:rFonts w:ascii="宋体" w:hAnsi="Times New Roman" w:eastAsia="宋体" w:cs="Times New Roman"/>
      <w:sz w:val="24"/>
    </w:rPr>
  </w:style>
  <w:style w:type="character" w:styleId="1352">
    <w:name w:val="正文文本 字符"/>
    <w:next w:val="1352"/>
    <w:link w:val="1100"/>
    <w:qFormat/>
    <w:rPr>
      <w:rFonts w:ascii="宋体" w:hAnsi="宋体"/>
      <w:sz w:val="24"/>
      <w:szCs w:val="24"/>
    </w:rPr>
  </w:style>
  <w:style w:type="paragraph" w:styleId="1353">
    <w:name w:val="纯文本1"/>
    <w:next w:val="1154"/>
    <w:link w:val="1100"/>
    <w:qFormat/>
    <w:pPr>
      <w:jc w:val="both"/>
      <w:widowControl w:val="off"/>
    </w:pPr>
    <w:rPr>
      <w:rFonts w:ascii="宋体" w:hAnsi="宋体"/>
      <w:sz w:val="26"/>
      <w:szCs w:val="24"/>
      <w:lang w:val="en-US" w:eastAsia="zh-CN" w:bidi="ar-SA"/>
    </w:rPr>
  </w:style>
  <w:style w:type="paragraph" w:styleId="1354">
    <w:name w:val="AONormal"/>
    <w:next w:val="1354"/>
    <w:link w:val="1100"/>
    <w:qFormat/>
    <w:pPr>
      <w:ind w:firstLine="440"/>
      <w:spacing w:line="400" w:lineRule="exact"/>
    </w:pPr>
    <w:rPr>
      <w:rFonts w:ascii="华文楷体" w:hAnsi="华文楷体" w:eastAsia="华文楷体" w:cs="华文楷体"/>
      <w:sz w:val="22"/>
      <w:szCs w:val="21"/>
      <w:lang w:val="en-US" w:eastAsia="zh-CN" w:bidi="ar-SA"/>
    </w:rPr>
  </w:style>
  <w:style w:type="paragraph" w:styleId="1355">
    <w:name w:val="正文文本11"/>
    <w:basedOn w:val="1100"/>
    <w:next w:val="1355"/>
    <w:link w:val="1100"/>
    <w:qFormat/>
    <w:pPr>
      <w:spacing w:before="120" w:line="22" w:lineRule="atLeast"/>
      <w:tabs>
        <w:tab w:val="left" w:pos="567" w:leader="none"/>
      </w:tabs>
    </w:pPr>
    <w:rPr>
      <w:rFonts w:ascii="宋体" w:hAnsi="宋体"/>
      <w:sz w:val="24"/>
    </w:rPr>
  </w:style>
  <w:style w:type="paragraph" w:styleId="1356">
    <w:name w:val="一、"/>
    <w:basedOn w:val="1100"/>
    <w:next w:val="1356"/>
    <w:link w:val="1100"/>
    <w:qFormat/>
    <w:pPr>
      <w:ind w:firstLine="640"/>
    </w:pPr>
    <w:rPr>
      <w:rFonts w:eastAsia="黑体"/>
      <w:szCs w:val="32"/>
    </w:rPr>
  </w:style>
  <w:style w:type="character" w:styleId="1357" w:default="1">
    <w:name w:val="Default Paragraph Font"/>
    <w:uiPriority w:val="1"/>
    <w:semiHidden/>
    <w:unhideWhenUsed/>
  </w:style>
  <w:style w:type="numbering" w:styleId="1358" w:default="1">
    <w:name w:val="No List"/>
    <w:uiPriority w:val="99"/>
    <w:semiHidden/>
    <w:unhideWhenUsed/>
  </w:style>
  <w:style w:type="table" w:styleId="13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63</cp:revision>
  <dcterms:created xsi:type="dcterms:W3CDTF">2022-05-30T08:08:00Z</dcterms:created>
  <dcterms:modified xsi:type="dcterms:W3CDTF">2026-08-07T02:31:01Z</dcterms:modified>
  <cp:version>1048576</cp:version>
</cp:coreProperties>
</file>