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8CF7FD">
      <w:pPr>
        <w:pStyle w:val="2"/>
        <w:numPr>
          <w:ilvl w:val="0"/>
          <w:numId w:val="0"/>
        </w:numPr>
        <w:rPr>
          <w:rFonts w:hint="eastAsia" w:ascii="仿宋" w:hAnsi="仿宋" w:eastAsia="仿宋" w:cs="仿宋"/>
          <w:sz w:val="24"/>
          <w:szCs w:val="24"/>
        </w:rPr>
      </w:pPr>
      <w:bookmarkStart w:id="0" w:name="_Toc177116689"/>
      <w:r>
        <w:rPr>
          <w:rFonts w:hint="eastAsia" w:ascii="仿宋" w:hAnsi="仿宋" w:eastAsia="仿宋" w:cs="仿宋"/>
          <w:kern w:val="0"/>
          <w:sz w:val="24"/>
          <w:szCs w:val="24"/>
        </w:rPr>
        <w:t>第四章 采购需求</w:t>
      </w:r>
      <w:bookmarkEnd w:id="0"/>
    </w:p>
    <w:p w14:paraId="0712750D">
      <w:pPr>
        <w:pStyle w:val="10"/>
        <w:ind w:left="480" w:firstLine="0" w:firstLineChars="0"/>
        <w:rPr>
          <w:rFonts w:hint="eastAsia" w:ascii="仿宋" w:hAnsi="仿宋" w:eastAsia="仿宋" w:cs="仿宋"/>
          <w:sz w:val="24"/>
        </w:rPr>
        <w:sectPr>
          <w:pgSz w:w="11906" w:h="16838"/>
          <w:pgMar w:top="1440" w:right="1440" w:bottom="1440" w:left="1797" w:header="851" w:footer="992" w:gutter="0"/>
          <w:cols w:space="720" w:num="1"/>
          <w:docGrid w:type="lines" w:linePitch="312" w:charSpace="0"/>
        </w:sectPr>
      </w:pPr>
    </w:p>
    <w:p w14:paraId="6A211E21">
      <w:pPr>
        <w:snapToGrid w:val="0"/>
        <w:spacing w:after="156" w:afterLines="50" w:line="360" w:lineRule="auto"/>
        <w:jc w:val="center"/>
        <w:rPr>
          <w:rFonts w:hint="eastAsia" w:ascii="宋体" w:hAnsi="宋体" w:cs="宋体"/>
          <w:kern w:val="0"/>
          <w:szCs w:val="21"/>
          <w:u w:color="000000"/>
        </w:rPr>
      </w:pPr>
      <w:r>
        <w:rPr>
          <w:rFonts w:ascii="宋体" w:hAnsi="宋体" w:cs="宋体"/>
          <w:kern w:val="0"/>
          <w:szCs w:val="21"/>
          <w:u w:color="000000"/>
        </w:rPr>
        <w:t>（本章</w:t>
      </w:r>
      <w:r>
        <w:rPr>
          <w:rFonts w:hint="eastAsia" w:ascii="宋体" w:hAnsi="宋体" w:cs="宋体"/>
          <w:kern w:val="0"/>
          <w:szCs w:val="21"/>
          <w:u w:color="000000"/>
        </w:rPr>
        <w:t>标注“★”的条款</w:t>
      </w:r>
      <w:r>
        <w:rPr>
          <w:rFonts w:ascii="宋体" w:hAnsi="宋体" w:cs="宋体"/>
          <w:kern w:val="0"/>
          <w:szCs w:val="21"/>
          <w:u w:color="000000"/>
        </w:rPr>
        <w:t>均为实质性条款，不响应或负偏离按无效投标处理。）</w:t>
      </w:r>
    </w:p>
    <w:p w14:paraId="138DD0DA">
      <w:pPr>
        <w:snapToGrid w:val="0"/>
        <w:spacing w:after="156" w:afterLines="50" w:line="360" w:lineRule="auto"/>
        <w:ind w:firstLine="420"/>
        <w:rPr>
          <w:b/>
          <w:bCs/>
          <w:kern w:val="0"/>
          <w:sz w:val="24"/>
        </w:rPr>
      </w:pPr>
      <w:r>
        <w:rPr>
          <w:rFonts w:hint="eastAsia"/>
          <w:b/>
          <w:bCs/>
          <w:kern w:val="0"/>
          <w:sz w:val="24"/>
        </w:rPr>
        <w:t>★</w:t>
      </w:r>
      <w:r>
        <w:rPr>
          <w:b/>
          <w:bCs/>
          <w:kern w:val="0"/>
          <w:sz w:val="24"/>
        </w:rPr>
        <w:t>一、项目概况：</w:t>
      </w:r>
    </w:p>
    <w:p w14:paraId="4291EE26">
      <w:pPr>
        <w:snapToGrid w:val="0"/>
        <w:spacing w:after="156" w:afterLines="50" w:line="360" w:lineRule="auto"/>
        <w:ind w:firstLine="420"/>
        <w:rPr>
          <w:kern w:val="0"/>
          <w:sz w:val="24"/>
        </w:rPr>
      </w:pPr>
      <w:r>
        <w:rPr>
          <w:kern w:val="0"/>
          <w:sz w:val="24"/>
        </w:rPr>
        <w:t>未来网络试验设施是国家重大科技基础设施，其中江苏承建系统简称CENI项目，建设法人单位是江苏省未来网络创新研究院。CENI是覆盖全国、可持续发展的大规模通用、范围覆盖全国的未来网络试验基础设施，为研究未来网络创新体系结构、系统方案、关键技术、核心设备研发以及新业务新应用、在全国范围内支撑开展未来网络创新技术和新型产业应用等，提供简单、高效、低成本的试验验证环境和必要的试验验证条件。并为国家重大科研项目科研攻关提供跨城市、超长距离的中大尺度网络创新试验环境。</w:t>
      </w:r>
    </w:p>
    <w:p w14:paraId="7369EF0F">
      <w:pPr>
        <w:snapToGrid w:val="0"/>
        <w:spacing w:after="156" w:afterLines="50" w:line="360" w:lineRule="auto"/>
        <w:ind w:firstLine="420"/>
        <w:rPr>
          <w:kern w:val="0"/>
          <w:sz w:val="24"/>
        </w:rPr>
      </w:pPr>
      <w:r>
        <w:rPr>
          <w:kern w:val="0"/>
          <w:sz w:val="24"/>
        </w:rPr>
        <w:t>CENI覆盖全国40个核心城市，40个主干网络节点、60个边缘网络节点，以及沿途130余二级ROADM节点、282个光放节点。设施主要包括光传输网络、数通网络、系统平台、网络管理系统，及其相配套的机房、光缆等等。为更好地支撑CENI运行服务，提升整体CENI运维生产效率，服务于试验测试业务的良好开展。现就</w:t>
      </w:r>
      <w:r>
        <w:rPr>
          <w:color w:val="000000"/>
          <w:kern w:val="0"/>
          <w:sz w:val="24"/>
        </w:rPr>
        <w:t>CENI全网告警监控、总控中心机房值守、传输技术服务、数通技术服务</w:t>
      </w:r>
      <w:r>
        <w:rPr>
          <w:kern w:val="0"/>
          <w:sz w:val="24"/>
        </w:rPr>
        <w:t>等运维生产技术服务公开招采。本次采购标的物所属行业为：软件和信息技术服务业。</w:t>
      </w:r>
    </w:p>
    <w:p w14:paraId="420508B0">
      <w:pPr>
        <w:adjustRightInd w:val="0"/>
        <w:snapToGrid w:val="0"/>
        <w:spacing w:line="360" w:lineRule="auto"/>
        <w:ind w:firstLine="420"/>
        <w:rPr>
          <w:rFonts w:hint="eastAsia" w:ascii="宋体" w:hAnsi="宋体"/>
          <w:b/>
          <w:bCs/>
          <w:kern w:val="0"/>
          <w:sz w:val="24"/>
        </w:rPr>
      </w:pPr>
      <w:r>
        <w:rPr>
          <w:rFonts w:hint="eastAsia"/>
          <w:b/>
          <w:bCs/>
          <w:kern w:val="0"/>
          <w:sz w:val="24"/>
        </w:rPr>
        <w:t>★</w:t>
      </w:r>
      <w:r>
        <w:rPr>
          <w:rFonts w:ascii="宋体" w:hAnsi="宋体"/>
          <w:b/>
          <w:bCs/>
          <w:kern w:val="0"/>
          <w:sz w:val="24"/>
        </w:rPr>
        <w:t>二、采购服务清单</w:t>
      </w:r>
    </w:p>
    <w:p w14:paraId="562B13B0">
      <w:pPr>
        <w:numPr>
          <w:ilvl w:val="0"/>
          <w:numId w:val="1"/>
        </w:numPr>
        <w:snapToGrid w:val="0"/>
        <w:spacing w:after="156" w:afterLines="50" w:line="360" w:lineRule="auto"/>
        <w:rPr>
          <w:b/>
          <w:bCs/>
          <w:kern w:val="0"/>
          <w:sz w:val="24"/>
        </w:rPr>
      </w:pPr>
      <w:r>
        <w:rPr>
          <w:b/>
          <w:bCs/>
          <w:kern w:val="0"/>
          <w:sz w:val="24"/>
        </w:rPr>
        <w:t>CENI全网告警监控</w:t>
      </w:r>
    </w:p>
    <w:p w14:paraId="4D9F3947">
      <w:pPr>
        <w:widowControl/>
        <w:snapToGrid w:val="0"/>
        <w:spacing w:after="120" w:line="360" w:lineRule="auto"/>
        <w:ind w:firstLine="480" w:firstLineChars="200"/>
        <w:rPr>
          <w:kern w:val="0"/>
          <w:sz w:val="24"/>
        </w:rPr>
      </w:pPr>
      <w:r>
        <w:rPr>
          <w:kern w:val="0"/>
          <w:sz w:val="24"/>
        </w:rPr>
        <w:t>本项服务地址位于江苏省南京市江宁区秣周东路7号未来网络大厦</w:t>
      </w:r>
      <w:r>
        <w:rPr>
          <w:rFonts w:hint="eastAsia"/>
          <w:kern w:val="0"/>
          <w:sz w:val="24"/>
        </w:rPr>
        <w:t>。</w:t>
      </w:r>
    </w:p>
    <w:p w14:paraId="706539AC">
      <w:pPr>
        <w:widowControl/>
        <w:snapToGrid w:val="0"/>
        <w:spacing w:after="120" w:line="360" w:lineRule="auto"/>
        <w:ind w:firstLine="480" w:firstLineChars="200"/>
        <w:rPr>
          <w:kern w:val="0"/>
          <w:sz w:val="24"/>
        </w:rPr>
      </w:pPr>
      <w:r>
        <w:rPr>
          <w:kern w:val="0"/>
          <w:sz w:val="24"/>
        </w:rPr>
        <w:t>实现7×24小时（含节假日）不间断监控，具体监控范围按专业划分如下：</w:t>
      </w:r>
    </w:p>
    <w:p w14:paraId="7662765D">
      <w:pPr>
        <w:widowControl/>
        <w:snapToGrid w:val="0"/>
        <w:spacing w:after="120" w:line="360" w:lineRule="auto"/>
        <w:rPr>
          <w:kern w:val="0"/>
          <w:sz w:val="24"/>
        </w:rPr>
      </w:pPr>
      <w:r>
        <w:rPr>
          <w:kern w:val="0"/>
          <w:sz w:val="24"/>
        </w:rPr>
        <w:t>• 传输：CENI全国所有OTN网络站点，含40个核心城市涉及188个ROADM节点、282个光放节点主设备及配套系统。</w:t>
      </w:r>
    </w:p>
    <w:p w14:paraId="3A63C9CB">
      <w:pPr>
        <w:widowControl/>
        <w:snapToGrid w:val="0"/>
        <w:spacing w:after="120" w:line="360" w:lineRule="auto"/>
        <w:rPr>
          <w:kern w:val="0"/>
          <w:sz w:val="24"/>
        </w:rPr>
      </w:pPr>
      <w:r>
        <w:rPr>
          <w:kern w:val="0"/>
          <w:sz w:val="24"/>
        </w:rPr>
        <w:t>• 数通：CENI全国40个核心节点和30余个边缘节点的路由器、交换机、防火墙、服务器等数通设备及配套系统。</w:t>
      </w:r>
    </w:p>
    <w:p w14:paraId="21413BE7">
      <w:pPr>
        <w:widowControl/>
        <w:snapToGrid w:val="0"/>
        <w:spacing w:after="120" w:line="360" w:lineRule="auto"/>
        <w:rPr>
          <w:kern w:val="0"/>
          <w:sz w:val="24"/>
        </w:rPr>
      </w:pPr>
      <w:r>
        <w:rPr>
          <w:kern w:val="0"/>
          <w:sz w:val="24"/>
        </w:rPr>
        <w:t>• 平台：CENI设施相关的网络编排操作系统类、网管系统类、试验服务类、其他服务类平台。共计24个平台系统及其配套设备。</w:t>
      </w:r>
    </w:p>
    <w:p w14:paraId="5EA3C783">
      <w:pPr>
        <w:widowControl/>
        <w:snapToGrid w:val="0"/>
        <w:spacing w:after="120" w:line="360" w:lineRule="auto"/>
        <w:ind w:firstLine="480" w:firstLineChars="200"/>
        <w:rPr>
          <w:kern w:val="0"/>
          <w:sz w:val="24"/>
        </w:rPr>
      </w:pPr>
      <w:r>
        <w:rPr>
          <w:kern w:val="0"/>
          <w:sz w:val="24"/>
        </w:rPr>
        <w:t>1、全网告警</w:t>
      </w:r>
      <w:r>
        <w:rPr>
          <w:rFonts w:hint="eastAsia"/>
          <w:kern w:val="0"/>
          <w:sz w:val="24"/>
        </w:rPr>
        <w:t>与</w:t>
      </w:r>
      <w:r>
        <w:rPr>
          <w:kern w:val="0"/>
          <w:sz w:val="24"/>
        </w:rPr>
        <w:t>故障监控</w:t>
      </w:r>
    </w:p>
    <w:p w14:paraId="4C29C814">
      <w:pPr>
        <w:widowControl/>
        <w:snapToGrid w:val="0"/>
        <w:spacing w:after="120" w:line="360" w:lineRule="auto"/>
        <w:ind w:firstLine="480" w:firstLineChars="200"/>
        <w:rPr>
          <w:kern w:val="0"/>
          <w:sz w:val="24"/>
        </w:rPr>
      </w:pPr>
      <w:r>
        <w:rPr>
          <w:kern w:val="0"/>
          <w:sz w:val="24"/>
        </w:rPr>
        <w:t>通过统一网管、</w:t>
      </w:r>
      <w:r>
        <w:rPr>
          <w:color w:val="000000"/>
          <w:kern w:val="0"/>
          <w:sz w:val="24"/>
        </w:rPr>
        <w:t>专业网管等系统实时监控CENI全网运行情况，执行</w:t>
      </w:r>
      <w:r>
        <w:rPr>
          <w:kern w:val="0"/>
          <w:sz w:val="24"/>
        </w:rPr>
        <w:t>网络</w:t>
      </w:r>
      <w:r>
        <w:rPr>
          <w:color w:val="000000"/>
          <w:kern w:val="0"/>
          <w:sz w:val="24"/>
        </w:rPr>
        <w:t>告警的识别、定级、派发与闭环跟踪，协助设置监控策略与告警规则，确保告警及时发现、准确派发、快速响应，有效支撑网络故障的应急处置与预防，开展网管远程巡检，</w:t>
      </w:r>
      <w:r>
        <w:rPr>
          <w:kern w:val="0"/>
          <w:sz w:val="24"/>
        </w:rPr>
        <w:t>提交完整准确的告警分析报告，并在重大活动期间强化复核机制，保障监控服务不间断。</w:t>
      </w:r>
    </w:p>
    <w:p w14:paraId="79ED78C9">
      <w:pPr>
        <w:widowControl/>
        <w:snapToGrid w:val="0"/>
        <w:spacing w:line="360" w:lineRule="auto"/>
        <w:ind w:firstLine="480" w:firstLineChars="200"/>
        <w:rPr>
          <w:kern w:val="0"/>
          <w:sz w:val="24"/>
        </w:rPr>
      </w:pPr>
      <w:r>
        <w:rPr>
          <w:kern w:val="0"/>
          <w:sz w:val="24"/>
        </w:rPr>
        <w:t>1.1 告警分级与监控响应要求</w:t>
      </w:r>
    </w:p>
    <w:tbl>
      <w:tblPr>
        <w:tblStyle w:val="6"/>
        <w:tblW w:w="458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236"/>
        <w:gridCol w:w="5121"/>
        <w:gridCol w:w="1273"/>
      </w:tblGrid>
      <w:tr w14:paraId="63615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jc w:val="center"/>
        </w:trPr>
        <w:tc>
          <w:tcPr>
            <w:tcW w:w="1326" w:type="dxa"/>
            <w:shd w:val="clear" w:color="auto" w:fill="EBF5FB"/>
            <w:vAlign w:val="center"/>
          </w:tcPr>
          <w:p w14:paraId="263FA8D6">
            <w:pPr>
              <w:snapToGrid w:val="0"/>
              <w:jc w:val="center"/>
              <w:rPr>
                <w:kern w:val="0"/>
                <w:szCs w:val="21"/>
              </w:rPr>
            </w:pPr>
            <w:r>
              <w:rPr>
                <w:b/>
                <w:color w:val="2C3E50"/>
                <w:kern w:val="0"/>
                <w:sz w:val="20"/>
                <w:szCs w:val="21"/>
              </w:rPr>
              <w:t>告警级别</w:t>
            </w:r>
          </w:p>
        </w:tc>
        <w:tc>
          <w:tcPr>
            <w:tcW w:w="5539" w:type="dxa"/>
            <w:shd w:val="clear" w:color="auto" w:fill="EBF5FB"/>
            <w:vAlign w:val="center"/>
          </w:tcPr>
          <w:p w14:paraId="733CF048">
            <w:pPr>
              <w:snapToGrid w:val="0"/>
              <w:jc w:val="center"/>
              <w:rPr>
                <w:kern w:val="0"/>
                <w:szCs w:val="21"/>
              </w:rPr>
            </w:pPr>
            <w:r>
              <w:rPr>
                <w:b/>
                <w:color w:val="2C3E50"/>
                <w:kern w:val="0"/>
                <w:sz w:val="20"/>
                <w:szCs w:val="21"/>
              </w:rPr>
              <w:t>告警定义</w:t>
            </w:r>
          </w:p>
        </w:tc>
        <w:tc>
          <w:tcPr>
            <w:tcW w:w="1358" w:type="dxa"/>
            <w:shd w:val="clear" w:color="auto" w:fill="EBF5FB"/>
            <w:vAlign w:val="center"/>
          </w:tcPr>
          <w:p w14:paraId="03DAF27F">
            <w:pPr>
              <w:snapToGrid w:val="0"/>
              <w:jc w:val="center"/>
              <w:rPr>
                <w:b/>
                <w:kern w:val="0"/>
                <w:sz w:val="20"/>
                <w:szCs w:val="21"/>
              </w:rPr>
            </w:pPr>
            <w:r>
              <w:rPr>
                <w:b/>
                <w:kern w:val="0"/>
                <w:sz w:val="20"/>
                <w:szCs w:val="21"/>
              </w:rPr>
              <w:t>告警监控</w:t>
            </w:r>
          </w:p>
          <w:p w14:paraId="01959AD4">
            <w:pPr>
              <w:snapToGrid w:val="0"/>
              <w:jc w:val="center"/>
              <w:rPr>
                <w:kern w:val="0"/>
                <w:szCs w:val="21"/>
              </w:rPr>
            </w:pPr>
            <w:r>
              <w:rPr>
                <w:b/>
                <w:kern w:val="0"/>
                <w:sz w:val="20"/>
                <w:szCs w:val="21"/>
              </w:rPr>
              <w:t>响应时限</w:t>
            </w:r>
          </w:p>
        </w:tc>
      </w:tr>
      <w:tr w14:paraId="56CB3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326" w:type="dxa"/>
            <w:vAlign w:val="center"/>
          </w:tcPr>
          <w:p w14:paraId="291FEDE4">
            <w:pPr>
              <w:snapToGrid w:val="0"/>
              <w:jc w:val="center"/>
              <w:rPr>
                <w:kern w:val="0"/>
                <w:szCs w:val="21"/>
              </w:rPr>
            </w:pPr>
            <w:r>
              <w:rPr>
                <w:kern w:val="0"/>
                <w:sz w:val="20"/>
                <w:szCs w:val="21"/>
              </w:rPr>
              <w:t>紧急告警</w:t>
            </w:r>
          </w:p>
        </w:tc>
        <w:tc>
          <w:tcPr>
            <w:tcW w:w="5539" w:type="dxa"/>
            <w:vAlign w:val="center"/>
          </w:tcPr>
          <w:p w14:paraId="48F60DEF">
            <w:pPr>
              <w:snapToGrid w:val="0"/>
              <w:jc w:val="left"/>
              <w:rPr>
                <w:kern w:val="0"/>
                <w:szCs w:val="21"/>
              </w:rPr>
            </w:pPr>
            <w:r>
              <w:rPr>
                <w:kern w:val="0"/>
                <w:szCs w:val="21"/>
              </w:rPr>
              <w:t>造成重要业务中断的网络中断、网元下线或其他原因告警</w:t>
            </w:r>
          </w:p>
        </w:tc>
        <w:tc>
          <w:tcPr>
            <w:tcW w:w="1358" w:type="dxa"/>
            <w:vAlign w:val="center"/>
          </w:tcPr>
          <w:p w14:paraId="228155F4">
            <w:pPr>
              <w:snapToGrid w:val="0"/>
              <w:jc w:val="center"/>
              <w:rPr>
                <w:kern w:val="0"/>
                <w:szCs w:val="21"/>
              </w:rPr>
            </w:pPr>
            <w:r>
              <w:rPr>
                <w:kern w:val="0"/>
                <w:sz w:val="20"/>
                <w:szCs w:val="21"/>
              </w:rPr>
              <w:t>10分钟</w:t>
            </w:r>
          </w:p>
        </w:tc>
      </w:tr>
      <w:tr w14:paraId="7AC83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326" w:type="dxa"/>
            <w:vAlign w:val="center"/>
          </w:tcPr>
          <w:p w14:paraId="4D809D5C">
            <w:pPr>
              <w:snapToGrid w:val="0"/>
              <w:jc w:val="center"/>
              <w:rPr>
                <w:kern w:val="0"/>
                <w:szCs w:val="21"/>
              </w:rPr>
            </w:pPr>
            <w:r>
              <w:rPr>
                <w:kern w:val="0"/>
                <w:sz w:val="20"/>
                <w:szCs w:val="21"/>
              </w:rPr>
              <w:t>重要告警</w:t>
            </w:r>
          </w:p>
        </w:tc>
        <w:tc>
          <w:tcPr>
            <w:tcW w:w="5539" w:type="dxa"/>
            <w:vAlign w:val="center"/>
          </w:tcPr>
          <w:p w14:paraId="5A21A8D0">
            <w:pPr>
              <w:snapToGrid w:val="0"/>
              <w:jc w:val="left"/>
              <w:rPr>
                <w:kern w:val="0"/>
                <w:szCs w:val="21"/>
              </w:rPr>
            </w:pPr>
            <w:r>
              <w:rPr>
                <w:kern w:val="0"/>
                <w:szCs w:val="21"/>
              </w:rPr>
              <w:t>未造成业务中断但影响网络稳定运行的网络中断、网元下线、电路隐患、设备故障等告警</w:t>
            </w:r>
          </w:p>
        </w:tc>
        <w:tc>
          <w:tcPr>
            <w:tcW w:w="1358" w:type="dxa"/>
            <w:vAlign w:val="center"/>
          </w:tcPr>
          <w:p w14:paraId="58561DF6">
            <w:pPr>
              <w:snapToGrid w:val="0"/>
              <w:jc w:val="center"/>
              <w:rPr>
                <w:kern w:val="0"/>
                <w:szCs w:val="21"/>
              </w:rPr>
            </w:pPr>
            <w:r>
              <w:rPr>
                <w:kern w:val="0"/>
                <w:sz w:val="20"/>
                <w:szCs w:val="21"/>
              </w:rPr>
              <w:t>20分钟</w:t>
            </w:r>
          </w:p>
        </w:tc>
      </w:tr>
      <w:tr w14:paraId="76B77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326" w:type="dxa"/>
            <w:vAlign w:val="center"/>
          </w:tcPr>
          <w:p w14:paraId="6EEC8794">
            <w:pPr>
              <w:snapToGrid w:val="0"/>
              <w:jc w:val="center"/>
              <w:rPr>
                <w:kern w:val="0"/>
                <w:sz w:val="20"/>
                <w:szCs w:val="21"/>
              </w:rPr>
            </w:pPr>
            <w:r>
              <w:rPr>
                <w:kern w:val="0"/>
                <w:sz w:val="20"/>
                <w:szCs w:val="21"/>
              </w:rPr>
              <w:t>一般告警</w:t>
            </w:r>
          </w:p>
        </w:tc>
        <w:tc>
          <w:tcPr>
            <w:tcW w:w="5539" w:type="dxa"/>
            <w:vAlign w:val="center"/>
          </w:tcPr>
          <w:p w14:paraId="031A3394">
            <w:pPr>
              <w:snapToGrid w:val="0"/>
              <w:jc w:val="left"/>
              <w:rPr>
                <w:kern w:val="0"/>
                <w:sz w:val="20"/>
                <w:szCs w:val="21"/>
              </w:rPr>
            </w:pPr>
            <w:r>
              <w:rPr>
                <w:kern w:val="0"/>
                <w:sz w:val="20"/>
                <w:szCs w:val="21"/>
              </w:rPr>
              <w:t>网管系统产生的设备、板卡、模块、配置、性能等一般性告警，不影响网络质量及核心功能</w:t>
            </w:r>
          </w:p>
        </w:tc>
        <w:tc>
          <w:tcPr>
            <w:tcW w:w="1358" w:type="dxa"/>
            <w:vAlign w:val="center"/>
          </w:tcPr>
          <w:p w14:paraId="1F395D28">
            <w:pPr>
              <w:snapToGrid w:val="0"/>
              <w:jc w:val="center"/>
              <w:rPr>
                <w:kern w:val="0"/>
                <w:sz w:val="20"/>
                <w:szCs w:val="21"/>
              </w:rPr>
            </w:pPr>
            <w:r>
              <w:rPr>
                <w:kern w:val="0"/>
                <w:sz w:val="20"/>
                <w:szCs w:val="21"/>
              </w:rPr>
              <w:t>120分钟</w:t>
            </w:r>
          </w:p>
        </w:tc>
      </w:tr>
      <w:tr w14:paraId="1F9B5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326" w:type="dxa"/>
            <w:vAlign w:val="center"/>
          </w:tcPr>
          <w:p w14:paraId="776A0ABC">
            <w:pPr>
              <w:snapToGrid w:val="0"/>
              <w:jc w:val="center"/>
              <w:rPr>
                <w:kern w:val="0"/>
                <w:szCs w:val="21"/>
              </w:rPr>
            </w:pPr>
            <w:r>
              <w:rPr>
                <w:kern w:val="0"/>
                <w:sz w:val="20"/>
                <w:szCs w:val="21"/>
              </w:rPr>
              <w:t>提示告警</w:t>
            </w:r>
          </w:p>
        </w:tc>
        <w:tc>
          <w:tcPr>
            <w:tcW w:w="5539" w:type="dxa"/>
            <w:vAlign w:val="center"/>
          </w:tcPr>
          <w:p w14:paraId="3A2ACF19">
            <w:pPr>
              <w:snapToGrid w:val="0"/>
              <w:jc w:val="left"/>
              <w:rPr>
                <w:kern w:val="0"/>
                <w:szCs w:val="21"/>
              </w:rPr>
            </w:pPr>
            <w:r>
              <w:rPr>
                <w:kern w:val="0"/>
                <w:szCs w:val="21"/>
              </w:rPr>
              <w:t>日常维护涉及的账号、备份、升级、日志等提示性信息告警</w:t>
            </w:r>
          </w:p>
        </w:tc>
        <w:tc>
          <w:tcPr>
            <w:tcW w:w="1358" w:type="dxa"/>
            <w:vAlign w:val="center"/>
          </w:tcPr>
          <w:p w14:paraId="1757D537">
            <w:pPr>
              <w:snapToGrid w:val="0"/>
              <w:jc w:val="center"/>
              <w:rPr>
                <w:kern w:val="0"/>
                <w:szCs w:val="21"/>
              </w:rPr>
            </w:pPr>
            <w:r>
              <w:rPr>
                <w:kern w:val="0"/>
                <w:sz w:val="20"/>
                <w:szCs w:val="21"/>
              </w:rPr>
              <w:t>360分钟</w:t>
            </w:r>
            <w:r>
              <w:rPr>
                <w:kern w:val="0"/>
                <w:szCs w:val="21"/>
              </w:rPr>
              <w:t xml:space="preserve"> </w:t>
            </w:r>
          </w:p>
        </w:tc>
      </w:tr>
    </w:tbl>
    <w:p w14:paraId="26802F9D">
      <w:pPr>
        <w:widowControl/>
        <w:snapToGrid w:val="0"/>
        <w:spacing w:before="312" w:beforeLines="100" w:after="120" w:line="360" w:lineRule="auto"/>
        <w:ind w:firstLine="480" w:firstLineChars="200"/>
        <w:rPr>
          <w:rFonts w:hint="eastAsia" w:ascii="宋体" w:hAnsi="宋体"/>
          <w:kern w:val="0"/>
          <w:sz w:val="24"/>
        </w:rPr>
      </w:pPr>
      <w:r>
        <w:rPr>
          <w:rFonts w:ascii="宋体" w:hAnsi="宋体"/>
          <w:kern w:val="0"/>
          <w:sz w:val="24"/>
        </w:rPr>
        <w:t>告警响应时间指网管相关系统产生告警至故障处理人员确认收到工单的时间段，包括告警监控响应时间及告警工单响应时间。告警监控人员应在规定的告警监控响应时限内完成系统生成告警的初步甄别，并按要求完成工单转派及告警工单处理人员联络通知。</w:t>
      </w:r>
    </w:p>
    <w:p w14:paraId="1EAF705B">
      <w:pPr>
        <w:widowControl/>
        <w:snapToGrid w:val="0"/>
        <w:spacing w:after="120" w:line="360" w:lineRule="auto"/>
        <w:ind w:firstLine="480" w:firstLineChars="200"/>
        <w:rPr>
          <w:rFonts w:hint="eastAsia" w:ascii="宋体" w:hAnsi="宋体"/>
          <w:color w:val="000000"/>
          <w:sz w:val="24"/>
        </w:rPr>
      </w:pPr>
      <w:r>
        <w:rPr>
          <w:rFonts w:ascii="宋体" w:hAnsi="宋体"/>
          <w:color w:val="1A252F"/>
          <w:sz w:val="24"/>
        </w:rPr>
        <w:t>监控人员应按要求响应全部紧急和重要告警，</w:t>
      </w:r>
      <w:r>
        <w:rPr>
          <w:rFonts w:ascii="宋体" w:hAnsi="宋体"/>
          <w:color w:val="000000"/>
          <w:sz w:val="24"/>
        </w:rPr>
        <w:t>一般和提示告警监控响应及时率≥99.5%（每月响应时限内完成数/总数）。</w:t>
      </w:r>
    </w:p>
    <w:p w14:paraId="4B761020">
      <w:pPr>
        <w:snapToGrid w:val="0"/>
        <w:spacing w:after="156" w:afterLines="50" w:line="360" w:lineRule="auto"/>
        <w:ind w:firstLine="420"/>
        <w:rPr>
          <w:kern w:val="0"/>
          <w:sz w:val="24"/>
        </w:rPr>
      </w:pPr>
      <w:r>
        <w:rPr>
          <w:rFonts w:ascii="宋体" w:hAnsi="宋体"/>
          <w:kern w:val="0"/>
          <w:sz w:val="24"/>
        </w:rPr>
        <w:t>2、告警工单故障</w:t>
      </w:r>
      <w:r>
        <w:rPr>
          <w:kern w:val="0"/>
          <w:sz w:val="24"/>
        </w:rPr>
        <w:t>处理跟踪</w:t>
      </w:r>
    </w:p>
    <w:p w14:paraId="0B5576E4">
      <w:pPr>
        <w:snapToGrid w:val="0"/>
        <w:spacing w:after="156" w:afterLines="50" w:line="360" w:lineRule="auto"/>
        <w:ind w:firstLine="420"/>
        <w:rPr>
          <w:kern w:val="0"/>
          <w:sz w:val="24"/>
        </w:rPr>
      </w:pPr>
      <w:r>
        <w:rPr>
          <w:rFonts w:ascii="宋体" w:hAnsi="宋体"/>
          <w:kern w:val="0"/>
          <w:sz w:val="24"/>
        </w:rPr>
        <w:t xml:space="preserve">2.1 </w:t>
      </w:r>
      <w:r>
        <w:rPr>
          <w:kern w:val="0"/>
          <w:sz w:val="24"/>
        </w:rPr>
        <w:t>工单分类</w:t>
      </w:r>
    </w:p>
    <w:p w14:paraId="68BEC571">
      <w:pPr>
        <w:widowControl/>
        <w:snapToGrid w:val="0"/>
        <w:spacing w:after="120" w:line="360" w:lineRule="auto"/>
        <w:ind w:firstLine="480" w:firstLineChars="200"/>
        <w:rPr>
          <w:rFonts w:hint="eastAsia" w:ascii="宋体" w:hAnsi="宋体"/>
          <w:color w:val="1A252F"/>
          <w:sz w:val="24"/>
        </w:rPr>
      </w:pPr>
      <w:r>
        <w:rPr>
          <w:rFonts w:ascii="宋体" w:hAnsi="宋体"/>
          <w:color w:val="1A252F"/>
          <w:sz w:val="24"/>
        </w:rPr>
        <w:t>（1）自动工单：包括但不限于由统一网络管理系统、传输专业网管、数通专业网管等在内的所有系统通过自动派单规则派发的工单或由各专业通过其他渠道推送到工单系统创建的工单。</w:t>
      </w:r>
    </w:p>
    <w:p w14:paraId="79A97E3A">
      <w:pPr>
        <w:widowControl/>
        <w:snapToGrid w:val="0"/>
        <w:spacing w:after="120" w:line="360" w:lineRule="auto"/>
        <w:ind w:firstLine="480" w:firstLineChars="200"/>
        <w:rPr>
          <w:rFonts w:hint="eastAsia" w:ascii="宋体" w:hAnsi="宋体"/>
          <w:color w:val="1A252F"/>
          <w:sz w:val="24"/>
        </w:rPr>
      </w:pPr>
      <w:r>
        <w:rPr>
          <w:rFonts w:ascii="宋体" w:hAnsi="宋体"/>
          <w:color w:val="1A252F"/>
          <w:sz w:val="24"/>
        </w:rPr>
        <w:t>（2）手动工单：包括但不限于由告警监控人员、故障处理人员及运行管理人员通过工单系统创建的各项告警关联故障的工单。</w:t>
      </w:r>
    </w:p>
    <w:p w14:paraId="765C72C6">
      <w:pPr>
        <w:snapToGrid w:val="0"/>
        <w:spacing w:line="360" w:lineRule="auto"/>
        <w:ind w:firstLine="420"/>
        <w:rPr>
          <w:rFonts w:hint="eastAsia" w:ascii="宋体" w:hAnsi="宋体"/>
          <w:kern w:val="0"/>
          <w:sz w:val="24"/>
        </w:rPr>
      </w:pPr>
      <w:r>
        <w:rPr>
          <w:rFonts w:ascii="宋体" w:hAnsi="宋体"/>
          <w:kern w:val="0"/>
          <w:sz w:val="24"/>
        </w:rPr>
        <w:t>2.2 服务要求</w:t>
      </w:r>
    </w:p>
    <w:p w14:paraId="53AC11EF">
      <w:pPr>
        <w:snapToGrid w:val="0"/>
        <w:spacing w:after="156" w:afterLines="50" w:line="360" w:lineRule="auto"/>
        <w:ind w:firstLine="420"/>
        <w:rPr>
          <w:rFonts w:hint="eastAsia" w:ascii="宋体" w:hAnsi="宋体"/>
          <w:kern w:val="0"/>
          <w:sz w:val="24"/>
        </w:rPr>
      </w:pPr>
      <w:r>
        <w:rPr>
          <w:rFonts w:ascii="宋体" w:hAnsi="宋体"/>
          <w:kern w:val="0"/>
          <w:sz w:val="24"/>
        </w:rPr>
        <w:t>（1）故障处理跟踪：盯控故障工单处理进展，与故障处理人员紧密沟通对接，确保故障及时处理、工单规范关闭、告警及时消除，实现全网告警及故障工单流程高效、规范与可追溯。</w:t>
      </w:r>
    </w:p>
    <w:p w14:paraId="0B38EF58">
      <w:pPr>
        <w:widowControl/>
        <w:snapToGrid w:val="0"/>
        <w:spacing w:after="120"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非工作时间（工作时间是指法定工作日上午8：30至下午18：00）</w:t>
      </w:r>
      <w:r>
        <w:rPr>
          <w:rFonts w:ascii="宋体" w:hAnsi="宋体"/>
          <w:color w:val="000000"/>
          <w:sz w:val="24"/>
        </w:rPr>
        <w:t>故障处理：如发生紧急告警，告警监控人员按告警响应及工单处理规范生成工单，联络故障处理人员，同时开展应急处置。</w:t>
      </w:r>
    </w:p>
    <w:p w14:paraId="2242BD91">
      <w:pPr>
        <w:spacing w:after="156" w:afterLines="50" w:line="360" w:lineRule="auto"/>
        <w:ind w:firstLine="420"/>
        <w:rPr>
          <w:b/>
          <w:bCs/>
          <w:kern w:val="0"/>
          <w:sz w:val="24"/>
        </w:rPr>
      </w:pPr>
      <w:r>
        <w:rPr>
          <w:b/>
          <w:bCs/>
          <w:kern w:val="0"/>
          <w:sz w:val="24"/>
        </w:rPr>
        <w:t>（二）总控中心机房值守</w:t>
      </w:r>
    </w:p>
    <w:p w14:paraId="756F18CC">
      <w:pPr>
        <w:spacing w:after="156" w:afterLines="50" w:line="360" w:lineRule="auto"/>
        <w:ind w:firstLine="420"/>
        <w:rPr>
          <w:kern w:val="0"/>
          <w:sz w:val="24"/>
        </w:rPr>
      </w:pPr>
      <w:bookmarkStart w:id="1" w:name="OLE_LINK18"/>
      <w:r>
        <w:rPr>
          <w:kern w:val="0"/>
          <w:sz w:val="24"/>
        </w:rPr>
        <w:t>本项服务地址位于江苏省南京市江宁区秣周东路7号未来网络大厦</w:t>
      </w:r>
      <w:r>
        <w:rPr>
          <w:rFonts w:hint="eastAsia"/>
          <w:kern w:val="0"/>
          <w:sz w:val="24"/>
        </w:rPr>
        <w:t>。</w:t>
      </w:r>
    </w:p>
    <w:p w14:paraId="421741FF">
      <w:pPr>
        <w:spacing w:after="156" w:afterLines="50" w:line="360" w:lineRule="auto"/>
        <w:ind w:firstLine="420"/>
        <w:rPr>
          <w:kern w:val="0"/>
          <w:sz w:val="24"/>
        </w:rPr>
      </w:pPr>
      <w:r>
        <w:rPr>
          <w:kern w:val="0"/>
          <w:sz w:val="24"/>
        </w:rPr>
        <w:t>服务</w:t>
      </w:r>
      <w:bookmarkEnd w:id="1"/>
      <w:r>
        <w:rPr>
          <w:kern w:val="0"/>
          <w:sz w:val="24"/>
        </w:rPr>
        <w:t>范围覆盖CENI南京总控中心、二楼演示中心，包含机房面积1812㎡，机房双路10KV市电接入，主机房机柜数262个，单机柜设计平均功率4.5kW，每个机柜采用双路市电接入，机柜采用一路市电一路UPS供电，UPS采用2+1冗余架构，单机满载后备时间15min，核心机房采用封闭冷通道风冷列间空调N+1冗余架构，电力机房采用上送风精密空调N+1冗余架构，机房区消防系统采用七氟丙烷气体灭火，安防配置7*24小时视频监控及门禁系统等。以及演示中心相关大屏及配套设施等。</w:t>
      </w:r>
    </w:p>
    <w:p w14:paraId="114B9F18">
      <w:pPr>
        <w:spacing w:after="156" w:afterLines="50" w:line="360" w:lineRule="auto"/>
        <w:ind w:firstLine="420"/>
        <w:rPr>
          <w:kern w:val="0"/>
          <w:sz w:val="24"/>
        </w:rPr>
      </w:pPr>
      <w:r>
        <w:rPr>
          <w:kern w:val="0"/>
          <w:sz w:val="24"/>
        </w:rPr>
        <w:t>1、告警</w:t>
      </w:r>
      <w:r>
        <w:rPr>
          <w:rFonts w:hint="eastAsia"/>
          <w:kern w:val="0"/>
          <w:sz w:val="24"/>
        </w:rPr>
        <w:t>监控</w:t>
      </w:r>
    </w:p>
    <w:p w14:paraId="1D230BD3">
      <w:pPr>
        <w:spacing w:after="156" w:afterLines="50" w:line="360" w:lineRule="auto"/>
        <w:ind w:firstLine="420"/>
        <w:rPr>
          <w:kern w:val="0"/>
          <w:sz w:val="24"/>
        </w:rPr>
      </w:pPr>
      <w:r>
        <w:rPr>
          <w:kern w:val="0"/>
          <w:sz w:val="24"/>
        </w:rPr>
        <w:t>实现7×24小时不间断监控，覆盖动环监控系统、10KV高压配电、变压器、低压配电、直流-48V电源、UPS、精密空调、列间空调、机房环境、安防消防等全部设备。</w:t>
      </w:r>
    </w:p>
    <w:p w14:paraId="648968A7">
      <w:pPr>
        <w:spacing w:line="360" w:lineRule="auto"/>
        <w:ind w:firstLine="420"/>
        <w:rPr>
          <w:kern w:val="0"/>
          <w:sz w:val="24"/>
        </w:rPr>
      </w:pPr>
      <w:r>
        <w:rPr>
          <w:kern w:val="0"/>
          <w:sz w:val="24"/>
        </w:rPr>
        <w:t>告警分级与响应（到达告警设施现场）要求：</w:t>
      </w:r>
    </w:p>
    <w:tbl>
      <w:tblPr>
        <w:tblStyle w:val="6"/>
        <w:tblW w:w="87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693"/>
        <w:gridCol w:w="5528"/>
        <w:gridCol w:w="1559"/>
      </w:tblGrid>
      <w:tr w14:paraId="1AEC5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693" w:type="dxa"/>
            <w:shd w:val="clear" w:color="auto" w:fill="DAEEF3"/>
            <w:tcMar>
              <w:top w:w="60" w:type="dxa"/>
              <w:left w:w="120" w:type="dxa"/>
              <w:bottom w:w="30" w:type="dxa"/>
              <w:right w:w="120" w:type="dxa"/>
            </w:tcMar>
            <w:vAlign w:val="center"/>
          </w:tcPr>
          <w:p w14:paraId="0680C80E">
            <w:pPr>
              <w:snapToGrid w:val="0"/>
              <w:jc w:val="center"/>
              <w:rPr>
                <w:b/>
                <w:color w:val="2C3E50"/>
                <w:kern w:val="0"/>
                <w:sz w:val="20"/>
                <w:szCs w:val="21"/>
              </w:rPr>
            </w:pPr>
            <w:r>
              <w:rPr>
                <w:b/>
                <w:color w:val="2C3E50"/>
                <w:kern w:val="0"/>
                <w:sz w:val="20"/>
                <w:szCs w:val="21"/>
              </w:rPr>
              <w:t>告警级别</w:t>
            </w:r>
          </w:p>
        </w:tc>
        <w:tc>
          <w:tcPr>
            <w:tcW w:w="5528" w:type="dxa"/>
            <w:shd w:val="clear" w:color="auto" w:fill="DAEEF3"/>
            <w:tcMar>
              <w:top w:w="60" w:type="dxa"/>
              <w:left w:w="120" w:type="dxa"/>
              <w:bottom w:w="30" w:type="dxa"/>
              <w:right w:w="120" w:type="dxa"/>
            </w:tcMar>
            <w:vAlign w:val="center"/>
          </w:tcPr>
          <w:p w14:paraId="15877E75">
            <w:pPr>
              <w:snapToGrid w:val="0"/>
              <w:jc w:val="center"/>
              <w:rPr>
                <w:b/>
                <w:color w:val="2C3E50"/>
                <w:kern w:val="0"/>
                <w:sz w:val="20"/>
                <w:szCs w:val="21"/>
              </w:rPr>
            </w:pPr>
            <w:r>
              <w:rPr>
                <w:b/>
                <w:color w:val="2C3E50"/>
                <w:kern w:val="0"/>
                <w:sz w:val="20"/>
                <w:szCs w:val="21"/>
              </w:rPr>
              <w:t>告警定义</w:t>
            </w:r>
          </w:p>
        </w:tc>
        <w:tc>
          <w:tcPr>
            <w:tcW w:w="1559" w:type="dxa"/>
            <w:shd w:val="clear" w:color="auto" w:fill="DAEEF3"/>
            <w:tcMar>
              <w:top w:w="60" w:type="dxa"/>
              <w:left w:w="120" w:type="dxa"/>
              <w:bottom w:w="30" w:type="dxa"/>
              <w:right w:w="120" w:type="dxa"/>
            </w:tcMar>
            <w:vAlign w:val="center"/>
          </w:tcPr>
          <w:p w14:paraId="0A0AF8EB">
            <w:pPr>
              <w:snapToGrid w:val="0"/>
              <w:jc w:val="center"/>
              <w:rPr>
                <w:b/>
                <w:color w:val="2C3E50"/>
                <w:kern w:val="0"/>
                <w:sz w:val="20"/>
                <w:szCs w:val="21"/>
              </w:rPr>
            </w:pPr>
            <w:r>
              <w:rPr>
                <w:b/>
                <w:color w:val="2C3E50"/>
                <w:kern w:val="0"/>
                <w:sz w:val="20"/>
                <w:szCs w:val="21"/>
              </w:rPr>
              <w:t>告警监控</w:t>
            </w:r>
          </w:p>
          <w:p w14:paraId="61FBFB81">
            <w:pPr>
              <w:snapToGrid w:val="0"/>
              <w:jc w:val="center"/>
              <w:rPr>
                <w:b/>
                <w:color w:val="2C3E50"/>
                <w:kern w:val="0"/>
                <w:sz w:val="20"/>
                <w:szCs w:val="21"/>
              </w:rPr>
            </w:pPr>
            <w:r>
              <w:rPr>
                <w:b/>
                <w:color w:val="2C3E50"/>
                <w:kern w:val="0"/>
                <w:sz w:val="20"/>
                <w:szCs w:val="21"/>
              </w:rPr>
              <w:t>响应时限</w:t>
            </w:r>
          </w:p>
        </w:tc>
      </w:tr>
      <w:tr w14:paraId="77201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511" w:hRule="atLeast"/>
          <w:jc w:val="center"/>
        </w:trPr>
        <w:tc>
          <w:tcPr>
            <w:tcW w:w="1693" w:type="dxa"/>
            <w:tcMar>
              <w:top w:w="60" w:type="dxa"/>
              <w:left w:w="120" w:type="dxa"/>
              <w:bottom w:w="30" w:type="dxa"/>
              <w:right w:w="120" w:type="dxa"/>
            </w:tcMar>
            <w:vAlign w:val="center"/>
          </w:tcPr>
          <w:p w14:paraId="78BF74F7">
            <w:pPr>
              <w:snapToGrid w:val="0"/>
              <w:jc w:val="left"/>
              <w:rPr>
                <w:kern w:val="0"/>
                <w:sz w:val="20"/>
                <w:szCs w:val="21"/>
              </w:rPr>
            </w:pPr>
            <w:r>
              <w:rPr>
                <w:kern w:val="0"/>
                <w:sz w:val="20"/>
                <w:szCs w:val="21"/>
              </w:rPr>
              <w:t>一级告警(紧急)</w:t>
            </w:r>
          </w:p>
        </w:tc>
        <w:tc>
          <w:tcPr>
            <w:tcW w:w="5528" w:type="dxa"/>
            <w:tcMar>
              <w:top w:w="60" w:type="dxa"/>
              <w:left w:w="120" w:type="dxa"/>
              <w:bottom w:w="30" w:type="dxa"/>
              <w:right w:w="120" w:type="dxa"/>
            </w:tcMar>
            <w:vAlign w:val="center"/>
          </w:tcPr>
          <w:p w14:paraId="63F71DF7">
            <w:pPr>
              <w:snapToGrid w:val="0"/>
              <w:jc w:val="left"/>
              <w:rPr>
                <w:kern w:val="0"/>
                <w:sz w:val="20"/>
                <w:szCs w:val="21"/>
              </w:rPr>
            </w:pPr>
            <w:r>
              <w:rPr>
                <w:kern w:val="0"/>
                <w:sz w:val="20"/>
                <w:szCs w:val="21"/>
              </w:rPr>
              <w:t>直接造成核心机房供电 / 制冷中断、核心业务设备宕机风险，已触发或即将触发业务全阻、设备不可逆损坏、消防安全事故的最高优先级告警</w:t>
            </w:r>
          </w:p>
        </w:tc>
        <w:tc>
          <w:tcPr>
            <w:tcW w:w="1559" w:type="dxa"/>
            <w:tcMar>
              <w:top w:w="60" w:type="dxa"/>
              <w:left w:w="120" w:type="dxa"/>
              <w:bottom w:w="30" w:type="dxa"/>
              <w:right w:w="120" w:type="dxa"/>
            </w:tcMar>
            <w:vAlign w:val="center"/>
          </w:tcPr>
          <w:p w14:paraId="1A457ED9">
            <w:pPr>
              <w:snapToGrid w:val="0"/>
              <w:jc w:val="center"/>
              <w:rPr>
                <w:kern w:val="0"/>
                <w:sz w:val="20"/>
                <w:szCs w:val="21"/>
              </w:rPr>
            </w:pPr>
            <w:r>
              <w:rPr>
                <w:kern w:val="0"/>
                <w:sz w:val="20"/>
                <w:szCs w:val="21"/>
              </w:rPr>
              <w:t>5 分钟</w:t>
            </w:r>
          </w:p>
        </w:tc>
      </w:tr>
      <w:tr w14:paraId="7FDE3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693" w:type="dxa"/>
            <w:tcMar>
              <w:top w:w="60" w:type="dxa"/>
              <w:left w:w="120" w:type="dxa"/>
              <w:bottom w:w="30" w:type="dxa"/>
              <w:right w:w="120" w:type="dxa"/>
            </w:tcMar>
            <w:vAlign w:val="center"/>
          </w:tcPr>
          <w:p w14:paraId="2517E415">
            <w:pPr>
              <w:snapToGrid w:val="0"/>
              <w:jc w:val="left"/>
              <w:rPr>
                <w:kern w:val="0"/>
                <w:sz w:val="20"/>
                <w:szCs w:val="21"/>
              </w:rPr>
            </w:pPr>
            <w:r>
              <w:rPr>
                <w:kern w:val="0"/>
                <w:sz w:val="20"/>
                <w:szCs w:val="21"/>
              </w:rPr>
              <w:t>二级告警(重要)</w:t>
            </w:r>
          </w:p>
        </w:tc>
        <w:tc>
          <w:tcPr>
            <w:tcW w:w="5528" w:type="dxa"/>
            <w:tcMar>
              <w:top w:w="60" w:type="dxa"/>
              <w:left w:w="120" w:type="dxa"/>
              <w:bottom w:w="30" w:type="dxa"/>
              <w:right w:w="120" w:type="dxa"/>
            </w:tcMar>
            <w:vAlign w:val="center"/>
          </w:tcPr>
          <w:p w14:paraId="2095CE3A">
            <w:pPr>
              <w:snapToGrid w:val="0"/>
              <w:jc w:val="left"/>
              <w:rPr>
                <w:kern w:val="0"/>
                <w:sz w:val="20"/>
                <w:szCs w:val="21"/>
              </w:rPr>
            </w:pPr>
            <w:r>
              <w:rPr>
                <w:kern w:val="0"/>
                <w:sz w:val="20"/>
                <w:szCs w:val="21"/>
              </w:rPr>
              <w:t>造成供电 / 制冷系统冗余能力丧失、核心部件故障，存在重大业务中断风险，不及时处置将快速升级为一级告警的高优先级告警</w:t>
            </w:r>
          </w:p>
        </w:tc>
        <w:tc>
          <w:tcPr>
            <w:tcW w:w="1559" w:type="dxa"/>
            <w:tcMar>
              <w:top w:w="60" w:type="dxa"/>
              <w:left w:w="120" w:type="dxa"/>
              <w:bottom w:w="30" w:type="dxa"/>
              <w:right w:w="120" w:type="dxa"/>
            </w:tcMar>
            <w:vAlign w:val="center"/>
          </w:tcPr>
          <w:p w14:paraId="2E153D52">
            <w:pPr>
              <w:snapToGrid w:val="0"/>
              <w:jc w:val="center"/>
              <w:rPr>
                <w:kern w:val="0"/>
                <w:sz w:val="20"/>
                <w:szCs w:val="21"/>
              </w:rPr>
            </w:pPr>
            <w:r>
              <w:rPr>
                <w:kern w:val="0"/>
                <w:sz w:val="20"/>
                <w:szCs w:val="21"/>
              </w:rPr>
              <w:t>10 分钟</w:t>
            </w:r>
          </w:p>
        </w:tc>
      </w:tr>
      <w:tr w14:paraId="487E7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693" w:type="dxa"/>
            <w:tcMar>
              <w:top w:w="60" w:type="dxa"/>
              <w:left w:w="120" w:type="dxa"/>
              <w:bottom w:w="30" w:type="dxa"/>
              <w:right w:w="120" w:type="dxa"/>
            </w:tcMar>
            <w:vAlign w:val="center"/>
          </w:tcPr>
          <w:p w14:paraId="0B5A2EC1">
            <w:pPr>
              <w:snapToGrid w:val="0"/>
              <w:jc w:val="left"/>
              <w:rPr>
                <w:kern w:val="0"/>
                <w:sz w:val="20"/>
                <w:szCs w:val="21"/>
              </w:rPr>
            </w:pPr>
            <w:r>
              <w:rPr>
                <w:kern w:val="0"/>
                <w:sz w:val="20"/>
                <w:szCs w:val="21"/>
              </w:rPr>
              <w:t>三级告警(</w:t>
            </w:r>
            <w:r>
              <w:rPr>
                <w:rFonts w:hint="eastAsia"/>
                <w:kern w:val="0"/>
                <w:sz w:val="20"/>
                <w:szCs w:val="21"/>
              </w:rPr>
              <w:t>一般</w:t>
            </w:r>
            <w:r>
              <w:rPr>
                <w:kern w:val="0"/>
                <w:sz w:val="20"/>
                <w:szCs w:val="21"/>
              </w:rPr>
              <w:t>)</w:t>
            </w:r>
          </w:p>
        </w:tc>
        <w:tc>
          <w:tcPr>
            <w:tcW w:w="5528" w:type="dxa"/>
            <w:tcMar>
              <w:top w:w="60" w:type="dxa"/>
              <w:left w:w="120" w:type="dxa"/>
              <w:bottom w:w="30" w:type="dxa"/>
              <w:right w:w="120" w:type="dxa"/>
            </w:tcMar>
            <w:vAlign w:val="center"/>
          </w:tcPr>
          <w:p w14:paraId="1DC057FD">
            <w:pPr>
              <w:snapToGrid w:val="0"/>
              <w:jc w:val="left"/>
              <w:rPr>
                <w:kern w:val="0"/>
                <w:sz w:val="20"/>
                <w:szCs w:val="21"/>
              </w:rPr>
            </w:pPr>
            <w:r>
              <w:rPr>
                <w:kern w:val="0"/>
                <w:sz w:val="20"/>
                <w:szCs w:val="21"/>
              </w:rPr>
              <w:t>设备非核心部件异常、性能参数超标，不影响系统主用功能，无即时业务中断风险，长期不处置会升级为高等级告警</w:t>
            </w:r>
          </w:p>
        </w:tc>
        <w:tc>
          <w:tcPr>
            <w:tcW w:w="1559" w:type="dxa"/>
            <w:tcMar>
              <w:top w:w="60" w:type="dxa"/>
              <w:left w:w="120" w:type="dxa"/>
              <w:bottom w:w="30" w:type="dxa"/>
              <w:right w:w="120" w:type="dxa"/>
            </w:tcMar>
            <w:vAlign w:val="center"/>
          </w:tcPr>
          <w:p w14:paraId="76FC4F63">
            <w:pPr>
              <w:snapToGrid w:val="0"/>
              <w:jc w:val="center"/>
              <w:rPr>
                <w:kern w:val="0"/>
                <w:sz w:val="20"/>
                <w:szCs w:val="21"/>
              </w:rPr>
            </w:pPr>
            <w:r>
              <w:rPr>
                <w:kern w:val="0"/>
                <w:sz w:val="20"/>
                <w:szCs w:val="21"/>
              </w:rPr>
              <w:t>30 分钟</w:t>
            </w:r>
          </w:p>
        </w:tc>
      </w:tr>
      <w:tr w14:paraId="0A7D6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693" w:type="dxa"/>
            <w:tcMar>
              <w:top w:w="60" w:type="dxa"/>
              <w:left w:w="120" w:type="dxa"/>
              <w:bottom w:w="30" w:type="dxa"/>
              <w:right w:w="120" w:type="dxa"/>
            </w:tcMar>
            <w:vAlign w:val="center"/>
          </w:tcPr>
          <w:p w14:paraId="36CBE61D">
            <w:pPr>
              <w:snapToGrid w:val="0"/>
              <w:jc w:val="left"/>
              <w:rPr>
                <w:kern w:val="0"/>
                <w:sz w:val="20"/>
                <w:szCs w:val="21"/>
              </w:rPr>
            </w:pPr>
            <w:r>
              <w:rPr>
                <w:kern w:val="0"/>
                <w:sz w:val="20"/>
                <w:szCs w:val="21"/>
              </w:rPr>
              <w:t>四级告警(提示)</w:t>
            </w:r>
          </w:p>
        </w:tc>
        <w:tc>
          <w:tcPr>
            <w:tcW w:w="5528" w:type="dxa"/>
            <w:tcMar>
              <w:top w:w="60" w:type="dxa"/>
              <w:left w:w="120" w:type="dxa"/>
              <w:bottom w:w="30" w:type="dxa"/>
              <w:right w:w="120" w:type="dxa"/>
            </w:tcMar>
            <w:vAlign w:val="center"/>
          </w:tcPr>
          <w:p w14:paraId="4747BBA7">
            <w:pPr>
              <w:snapToGrid w:val="0"/>
              <w:jc w:val="left"/>
              <w:rPr>
                <w:kern w:val="0"/>
                <w:sz w:val="20"/>
                <w:szCs w:val="21"/>
              </w:rPr>
            </w:pPr>
            <w:r>
              <w:rPr>
                <w:kern w:val="0"/>
                <w:sz w:val="20"/>
                <w:szCs w:val="21"/>
              </w:rPr>
              <w:t>设备运行预警、维护提醒类信息，不影响设备正常运行和业务承载，仅需日常巡检关注、计划性处置</w:t>
            </w:r>
          </w:p>
        </w:tc>
        <w:tc>
          <w:tcPr>
            <w:tcW w:w="1559" w:type="dxa"/>
            <w:tcMar>
              <w:top w:w="60" w:type="dxa"/>
              <w:left w:w="120" w:type="dxa"/>
              <w:bottom w:w="30" w:type="dxa"/>
              <w:right w:w="120" w:type="dxa"/>
            </w:tcMar>
            <w:vAlign w:val="center"/>
          </w:tcPr>
          <w:p w14:paraId="25F6DCB2">
            <w:pPr>
              <w:snapToGrid w:val="0"/>
              <w:jc w:val="center"/>
              <w:rPr>
                <w:kern w:val="0"/>
                <w:sz w:val="20"/>
                <w:szCs w:val="21"/>
              </w:rPr>
            </w:pPr>
            <w:r>
              <w:rPr>
                <w:kern w:val="0"/>
                <w:sz w:val="20"/>
                <w:szCs w:val="21"/>
              </w:rPr>
              <w:t>120分钟</w:t>
            </w:r>
          </w:p>
        </w:tc>
      </w:tr>
    </w:tbl>
    <w:p w14:paraId="083740B4">
      <w:pPr>
        <w:spacing w:before="312" w:beforeLines="100" w:after="156" w:afterLines="50" w:line="360" w:lineRule="auto"/>
        <w:ind w:firstLine="420"/>
        <w:rPr>
          <w:kern w:val="0"/>
          <w:sz w:val="24"/>
        </w:rPr>
      </w:pPr>
      <w:r>
        <w:rPr>
          <w:kern w:val="0"/>
          <w:sz w:val="24"/>
        </w:rPr>
        <w:t>2、故障处理</w:t>
      </w:r>
    </w:p>
    <w:p w14:paraId="4AB9FCD3">
      <w:pPr>
        <w:spacing w:after="156" w:afterLines="50" w:line="360" w:lineRule="auto"/>
        <w:ind w:firstLine="420"/>
        <w:rPr>
          <w:kern w:val="0"/>
          <w:sz w:val="24"/>
        </w:rPr>
      </w:pPr>
      <w:r>
        <w:rPr>
          <w:kern w:val="0"/>
          <w:sz w:val="24"/>
        </w:rPr>
        <w:t>对机房全品类故障与运维需求进行闭环工单管理。工单全流程覆盖接收、响应、处理、反馈、归档五个环节。故障处理完成后24小时内完成归档，</w:t>
      </w:r>
      <w:r>
        <w:rPr>
          <w:rFonts w:hint="eastAsia"/>
          <w:kern w:val="0"/>
          <w:sz w:val="24"/>
        </w:rPr>
        <w:t>一级、二级</w:t>
      </w:r>
      <w:r>
        <w:rPr>
          <w:kern w:val="0"/>
          <w:sz w:val="24"/>
        </w:rPr>
        <w:t>故障48小时内提交故障分析报告。保障故障处置高效规范、全程可追溯。</w:t>
      </w:r>
    </w:p>
    <w:p w14:paraId="5C2516C6">
      <w:pPr>
        <w:spacing w:line="360" w:lineRule="auto"/>
        <w:ind w:firstLine="420"/>
        <w:rPr>
          <w:kern w:val="0"/>
          <w:sz w:val="24"/>
        </w:rPr>
      </w:pPr>
      <w:r>
        <w:rPr>
          <w:kern w:val="0"/>
          <w:sz w:val="24"/>
        </w:rPr>
        <w:t>工单分级与处理时限要求：</w:t>
      </w:r>
    </w:p>
    <w:tbl>
      <w:tblPr>
        <w:tblStyle w:val="6"/>
        <w:tblW w:w="84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416"/>
        <w:gridCol w:w="5624"/>
        <w:gridCol w:w="1393"/>
      </w:tblGrid>
      <w:tr w14:paraId="2F68F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416" w:type="dxa"/>
            <w:shd w:val="clear" w:color="auto" w:fill="DAEEF3"/>
            <w:tcMar>
              <w:top w:w="60" w:type="dxa"/>
              <w:left w:w="120" w:type="dxa"/>
              <w:bottom w:w="30" w:type="dxa"/>
              <w:right w:w="120" w:type="dxa"/>
            </w:tcMar>
            <w:vAlign w:val="center"/>
          </w:tcPr>
          <w:p w14:paraId="15E787E5">
            <w:pPr>
              <w:snapToGrid w:val="0"/>
              <w:jc w:val="center"/>
              <w:rPr>
                <w:b/>
                <w:color w:val="000000"/>
                <w:kern w:val="0"/>
                <w:sz w:val="20"/>
                <w:szCs w:val="21"/>
              </w:rPr>
            </w:pPr>
            <w:r>
              <w:rPr>
                <w:b/>
                <w:color w:val="000000"/>
                <w:kern w:val="0"/>
                <w:sz w:val="20"/>
                <w:szCs w:val="21"/>
              </w:rPr>
              <w:t>工单等级</w:t>
            </w:r>
          </w:p>
        </w:tc>
        <w:tc>
          <w:tcPr>
            <w:tcW w:w="5624" w:type="dxa"/>
            <w:shd w:val="clear" w:color="auto" w:fill="DAEEF3"/>
            <w:tcMar>
              <w:top w:w="60" w:type="dxa"/>
              <w:left w:w="120" w:type="dxa"/>
              <w:bottom w:w="30" w:type="dxa"/>
              <w:right w:w="120" w:type="dxa"/>
            </w:tcMar>
            <w:vAlign w:val="center"/>
          </w:tcPr>
          <w:p w14:paraId="6E55071F">
            <w:pPr>
              <w:snapToGrid w:val="0"/>
              <w:jc w:val="center"/>
              <w:rPr>
                <w:b/>
                <w:color w:val="000000"/>
                <w:kern w:val="0"/>
                <w:sz w:val="20"/>
                <w:szCs w:val="21"/>
              </w:rPr>
            </w:pPr>
            <w:r>
              <w:rPr>
                <w:b/>
                <w:color w:val="000000"/>
                <w:kern w:val="0"/>
                <w:sz w:val="20"/>
                <w:szCs w:val="21"/>
              </w:rPr>
              <w:t>合格标准</w:t>
            </w:r>
          </w:p>
        </w:tc>
        <w:tc>
          <w:tcPr>
            <w:tcW w:w="1393" w:type="dxa"/>
            <w:shd w:val="clear" w:color="auto" w:fill="DAEEF3"/>
            <w:vAlign w:val="center"/>
          </w:tcPr>
          <w:p w14:paraId="4EFF3389">
            <w:pPr>
              <w:snapToGrid w:val="0"/>
              <w:jc w:val="center"/>
              <w:rPr>
                <w:b/>
                <w:color w:val="000000"/>
                <w:kern w:val="0"/>
                <w:sz w:val="20"/>
                <w:szCs w:val="21"/>
              </w:rPr>
            </w:pPr>
            <w:r>
              <w:rPr>
                <w:b/>
                <w:color w:val="000000"/>
                <w:kern w:val="0"/>
                <w:sz w:val="20"/>
                <w:szCs w:val="21"/>
              </w:rPr>
              <w:t>故障处理时限</w:t>
            </w:r>
          </w:p>
        </w:tc>
      </w:tr>
      <w:tr w14:paraId="64D69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416" w:type="dxa"/>
            <w:tcMar>
              <w:top w:w="60" w:type="dxa"/>
              <w:left w:w="120" w:type="dxa"/>
              <w:bottom w:w="30" w:type="dxa"/>
              <w:right w:w="120" w:type="dxa"/>
            </w:tcMar>
            <w:vAlign w:val="center"/>
          </w:tcPr>
          <w:p w14:paraId="68096AD3">
            <w:pPr>
              <w:snapToGrid w:val="0"/>
              <w:jc w:val="center"/>
              <w:rPr>
                <w:kern w:val="0"/>
                <w:sz w:val="20"/>
                <w:szCs w:val="21"/>
              </w:rPr>
            </w:pPr>
            <w:r>
              <w:rPr>
                <w:kern w:val="0"/>
                <w:sz w:val="20"/>
                <w:szCs w:val="21"/>
              </w:rPr>
              <w:t>一级工单(紧急)</w:t>
            </w:r>
          </w:p>
        </w:tc>
        <w:tc>
          <w:tcPr>
            <w:tcW w:w="5624" w:type="dxa"/>
            <w:tcMar>
              <w:top w:w="60" w:type="dxa"/>
              <w:left w:w="120" w:type="dxa"/>
              <w:bottom w:w="30" w:type="dxa"/>
              <w:right w:w="120" w:type="dxa"/>
            </w:tcMar>
            <w:vAlign w:val="center"/>
          </w:tcPr>
          <w:p w14:paraId="4C53FE3D">
            <w:pPr>
              <w:snapToGrid w:val="0"/>
              <w:jc w:val="left"/>
              <w:rPr>
                <w:kern w:val="0"/>
                <w:sz w:val="20"/>
                <w:szCs w:val="21"/>
              </w:rPr>
            </w:pPr>
            <w:r>
              <w:rPr>
                <w:kern w:val="0"/>
                <w:sz w:val="20"/>
                <w:szCs w:val="21"/>
              </w:rPr>
              <w:t>1. 故障完全消除、业务恢复正常、告警清零</w:t>
            </w:r>
            <w:r>
              <w:rPr>
                <w:kern w:val="0"/>
                <w:sz w:val="20"/>
                <w:szCs w:val="21"/>
              </w:rPr>
              <w:br w:type="textWrapping"/>
            </w:r>
            <w:r>
              <w:rPr>
                <w:kern w:val="0"/>
                <w:sz w:val="20"/>
                <w:szCs w:val="21"/>
              </w:rPr>
              <w:t>2. 提交紧急故障处置报告，含根因、处置过程、影响范围</w:t>
            </w:r>
          </w:p>
          <w:p w14:paraId="4D4D3EFA">
            <w:pPr>
              <w:snapToGrid w:val="0"/>
              <w:jc w:val="left"/>
              <w:rPr>
                <w:kern w:val="0"/>
                <w:sz w:val="20"/>
                <w:szCs w:val="21"/>
              </w:rPr>
            </w:pPr>
            <w:r>
              <w:rPr>
                <w:kern w:val="0"/>
                <w:sz w:val="20"/>
                <w:szCs w:val="21"/>
              </w:rPr>
              <w:t>3. 24 小时内完成复盘分析，提交整改方案</w:t>
            </w:r>
          </w:p>
          <w:p w14:paraId="2775EE57">
            <w:pPr>
              <w:snapToGrid w:val="0"/>
              <w:jc w:val="left"/>
              <w:rPr>
                <w:kern w:val="0"/>
                <w:sz w:val="20"/>
                <w:szCs w:val="21"/>
              </w:rPr>
            </w:pPr>
            <w:r>
              <w:rPr>
                <w:kern w:val="0"/>
                <w:sz w:val="20"/>
                <w:szCs w:val="21"/>
              </w:rPr>
              <w:t>4. 按要求上报CENI设施管理部</w:t>
            </w:r>
          </w:p>
        </w:tc>
        <w:tc>
          <w:tcPr>
            <w:tcW w:w="1393" w:type="dxa"/>
            <w:vAlign w:val="center"/>
          </w:tcPr>
          <w:p w14:paraId="72453A32">
            <w:pPr>
              <w:snapToGrid w:val="0"/>
              <w:jc w:val="center"/>
              <w:rPr>
                <w:kern w:val="0"/>
                <w:sz w:val="20"/>
                <w:szCs w:val="21"/>
              </w:rPr>
            </w:pPr>
            <w:r>
              <w:rPr>
                <w:kern w:val="0"/>
                <w:sz w:val="20"/>
                <w:szCs w:val="21"/>
              </w:rPr>
              <w:t>2 小时</w:t>
            </w:r>
          </w:p>
        </w:tc>
      </w:tr>
      <w:tr w14:paraId="0D5EB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416" w:type="dxa"/>
            <w:tcMar>
              <w:top w:w="60" w:type="dxa"/>
              <w:left w:w="120" w:type="dxa"/>
              <w:bottom w:w="30" w:type="dxa"/>
              <w:right w:w="120" w:type="dxa"/>
            </w:tcMar>
            <w:vAlign w:val="center"/>
          </w:tcPr>
          <w:p w14:paraId="16AC750E">
            <w:pPr>
              <w:snapToGrid w:val="0"/>
              <w:jc w:val="center"/>
              <w:rPr>
                <w:kern w:val="0"/>
                <w:sz w:val="20"/>
                <w:szCs w:val="21"/>
              </w:rPr>
            </w:pPr>
            <w:r>
              <w:rPr>
                <w:kern w:val="0"/>
                <w:sz w:val="20"/>
                <w:szCs w:val="21"/>
              </w:rPr>
              <w:t>二级工单(重要)</w:t>
            </w:r>
          </w:p>
        </w:tc>
        <w:tc>
          <w:tcPr>
            <w:tcW w:w="5624" w:type="dxa"/>
            <w:tcMar>
              <w:top w:w="60" w:type="dxa"/>
              <w:left w:w="120" w:type="dxa"/>
              <w:bottom w:w="30" w:type="dxa"/>
              <w:right w:w="120" w:type="dxa"/>
            </w:tcMar>
            <w:vAlign w:val="center"/>
          </w:tcPr>
          <w:p w14:paraId="71134624">
            <w:pPr>
              <w:snapToGrid w:val="0"/>
              <w:jc w:val="left"/>
              <w:rPr>
                <w:kern w:val="0"/>
                <w:sz w:val="20"/>
                <w:szCs w:val="21"/>
              </w:rPr>
            </w:pPr>
            <w:r>
              <w:rPr>
                <w:kern w:val="0"/>
                <w:sz w:val="20"/>
                <w:szCs w:val="21"/>
              </w:rPr>
              <w:t>1. 系统冗余恢复、故障风险消除、业务无异常</w:t>
            </w:r>
          </w:p>
          <w:p w14:paraId="0B76CBCB">
            <w:pPr>
              <w:snapToGrid w:val="0"/>
              <w:jc w:val="left"/>
              <w:rPr>
                <w:kern w:val="0"/>
                <w:sz w:val="20"/>
                <w:szCs w:val="21"/>
              </w:rPr>
            </w:pPr>
            <w:r>
              <w:rPr>
                <w:kern w:val="0"/>
                <w:sz w:val="20"/>
                <w:szCs w:val="21"/>
              </w:rPr>
              <w:t>2. 提交处置记录，明确根因与临时保障措施</w:t>
            </w:r>
            <w:r>
              <w:rPr>
                <w:kern w:val="0"/>
                <w:sz w:val="20"/>
                <w:szCs w:val="21"/>
              </w:rPr>
              <w:br w:type="textWrapping"/>
            </w:r>
            <w:r>
              <w:rPr>
                <w:kern w:val="0"/>
                <w:sz w:val="20"/>
                <w:szCs w:val="21"/>
              </w:rPr>
              <w:t>3. 72 小时内完成整改闭环</w:t>
            </w:r>
          </w:p>
          <w:p w14:paraId="6774CFD5">
            <w:pPr>
              <w:snapToGrid w:val="0"/>
              <w:jc w:val="left"/>
              <w:rPr>
                <w:kern w:val="0"/>
                <w:sz w:val="20"/>
                <w:szCs w:val="21"/>
              </w:rPr>
            </w:pPr>
            <w:r>
              <w:rPr>
                <w:kern w:val="0"/>
                <w:sz w:val="20"/>
                <w:szCs w:val="21"/>
              </w:rPr>
              <w:t>4. 上报CENI设施管理部门备案</w:t>
            </w:r>
          </w:p>
        </w:tc>
        <w:tc>
          <w:tcPr>
            <w:tcW w:w="1393" w:type="dxa"/>
            <w:vAlign w:val="center"/>
          </w:tcPr>
          <w:p w14:paraId="07561B37">
            <w:pPr>
              <w:snapToGrid w:val="0"/>
              <w:jc w:val="center"/>
              <w:rPr>
                <w:kern w:val="0"/>
                <w:sz w:val="20"/>
                <w:szCs w:val="21"/>
              </w:rPr>
            </w:pPr>
            <w:r>
              <w:rPr>
                <w:kern w:val="0"/>
                <w:sz w:val="20"/>
                <w:szCs w:val="21"/>
              </w:rPr>
              <w:t>8 小时</w:t>
            </w:r>
          </w:p>
        </w:tc>
      </w:tr>
      <w:tr w14:paraId="7D2F4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416" w:type="dxa"/>
            <w:tcMar>
              <w:top w:w="60" w:type="dxa"/>
              <w:left w:w="120" w:type="dxa"/>
              <w:bottom w:w="30" w:type="dxa"/>
              <w:right w:w="120" w:type="dxa"/>
            </w:tcMar>
            <w:vAlign w:val="center"/>
          </w:tcPr>
          <w:p w14:paraId="04D0F3C9">
            <w:pPr>
              <w:snapToGrid w:val="0"/>
              <w:jc w:val="center"/>
              <w:rPr>
                <w:kern w:val="0"/>
                <w:sz w:val="20"/>
                <w:szCs w:val="21"/>
              </w:rPr>
            </w:pPr>
            <w:r>
              <w:rPr>
                <w:kern w:val="0"/>
                <w:sz w:val="20"/>
                <w:szCs w:val="21"/>
              </w:rPr>
              <w:t>三级工单(</w:t>
            </w:r>
            <w:r>
              <w:rPr>
                <w:rFonts w:hint="eastAsia"/>
                <w:kern w:val="0"/>
                <w:sz w:val="20"/>
                <w:szCs w:val="21"/>
              </w:rPr>
              <w:t>一般</w:t>
            </w:r>
            <w:r>
              <w:rPr>
                <w:kern w:val="0"/>
                <w:sz w:val="20"/>
                <w:szCs w:val="21"/>
              </w:rPr>
              <w:t>)</w:t>
            </w:r>
          </w:p>
        </w:tc>
        <w:tc>
          <w:tcPr>
            <w:tcW w:w="5624" w:type="dxa"/>
            <w:tcMar>
              <w:top w:w="60" w:type="dxa"/>
              <w:left w:w="120" w:type="dxa"/>
              <w:bottom w:w="30" w:type="dxa"/>
              <w:right w:w="120" w:type="dxa"/>
            </w:tcMar>
            <w:vAlign w:val="center"/>
          </w:tcPr>
          <w:p w14:paraId="5F252362">
            <w:pPr>
              <w:snapToGrid w:val="0"/>
              <w:jc w:val="left"/>
              <w:rPr>
                <w:kern w:val="0"/>
                <w:sz w:val="20"/>
                <w:szCs w:val="21"/>
              </w:rPr>
            </w:pPr>
            <w:r>
              <w:rPr>
                <w:kern w:val="0"/>
                <w:sz w:val="20"/>
                <w:szCs w:val="21"/>
              </w:rPr>
              <w:t>1. 设备异常消除、参数恢复正常</w:t>
            </w:r>
          </w:p>
          <w:p w14:paraId="2ECB5DBD">
            <w:pPr>
              <w:snapToGrid w:val="0"/>
              <w:jc w:val="left"/>
              <w:rPr>
                <w:kern w:val="0"/>
                <w:sz w:val="20"/>
                <w:szCs w:val="21"/>
              </w:rPr>
            </w:pPr>
            <w:r>
              <w:rPr>
                <w:kern w:val="0"/>
                <w:sz w:val="20"/>
                <w:szCs w:val="21"/>
              </w:rPr>
              <w:t>2. 提交处置记录，明确预防性维护措施</w:t>
            </w:r>
          </w:p>
          <w:p w14:paraId="4AD7EE28">
            <w:pPr>
              <w:snapToGrid w:val="0"/>
              <w:jc w:val="left"/>
              <w:rPr>
                <w:kern w:val="0"/>
                <w:sz w:val="20"/>
                <w:szCs w:val="21"/>
              </w:rPr>
            </w:pPr>
            <w:r>
              <w:rPr>
                <w:kern w:val="0"/>
                <w:sz w:val="20"/>
                <w:szCs w:val="21"/>
              </w:rPr>
              <w:t>3. 无需升级上报，由</w:t>
            </w:r>
            <w:r>
              <w:rPr>
                <w:rFonts w:hint="eastAsia"/>
                <w:kern w:val="0"/>
                <w:sz w:val="20"/>
                <w:szCs w:val="21"/>
              </w:rPr>
              <w:t>投标人</w:t>
            </w:r>
            <w:r>
              <w:rPr>
                <w:kern w:val="0"/>
                <w:sz w:val="20"/>
                <w:szCs w:val="21"/>
              </w:rPr>
              <w:t>审核归档</w:t>
            </w:r>
          </w:p>
        </w:tc>
        <w:tc>
          <w:tcPr>
            <w:tcW w:w="1393" w:type="dxa"/>
            <w:vAlign w:val="center"/>
          </w:tcPr>
          <w:p w14:paraId="58D84DD8">
            <w:pPr>
              <w:snapToGrid w:val="0"/>
              <w:jc w:val="center"/>
              <w:rPr>
                <w:kern w:val="0"/>
                <w:sz w:val="20"/>
                <w:szCs w:val="21"/>
              </w:rPr>
            </w:pPr>
            <w:r>
              <w:rPr>
                <w:kern w:val="0"/>
                <w:sz w:val="20"/>
                <w:szCs w:val="21"/>
              </w:rPr>
              <w:t>24 小时</w:t>
            </w:r>
          </w:p>
        </w:tc>
      </w:tr>
      <w:tr w14:paraId="4A31E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1416" w:type="dxa"/>
            <w:tcMar>
              <w:top w:w="60" w:type="dxa"/>
              <w:left w:w="120" w:type="dxa"/>
              <w:bottom w:w="30" w:type="dxa"/>
              <w:right w:w="120" w:type="dxa"/>
            </w:tcMar>
            <w:vAlign w:val="center"/>
          </w:tcPr>
          <w:p w14:paraId="197A533B">
            <w:pPr>
              <w:snapToGrid w:val="0"/>
              <w:jc w:val="center"/>
              <w:rPr>
                <w:kern w:val="0"/>
                <w:sz w:val="20"/>
                <w:szCs w:val="21"/>
              </w:rPr>
            </w:pPr>
            <w:r>
              <w:rPr>
                <w:kern w:val="0"/>
                <w:sz w:val="20"/>
                <w:szCs w:val="21"/>
              </w:rPr>
              <w:t>四级工单(提示)</w:t>
            </w:r>
          </w:p>
        </w:tc>
        <w:tc>
          <w:tcPr>
            <w:tcW w:w="5624" w:type="dxa"/>
            <w:tcMar>
              <w:top w:w="60" w:type="dxa"/>
              <w:left w:w="120" w:type="dxa"/>
              <w:bottom w:w="30" w:type="dxa"/>
              <w:right w:w="120" w:type="dxa"/>
            </w:tcMar>
            <w:vAlign w:val="center"/>
          </w:tcPr>
          <w:p w14:paraId="04D7CA31">
            <w:pPr>
              <w:snapToGrid w:val="0"/>
              <w:jc w:val="left"/>
              <w:rPr>
                <w:kern w:val="0"/>
                <w:sz w:val="20"/>
                <w:szCs w:val="21"/>
              </w:rPr>
            </w:pPr>
            <w:r>
              <w:rPr>
                <w:kern w:val="0"/>
                <w:sz w:val="20"/>
                <w:szCs w:val="21"/>
              </w:rPr>
              <w:t>1. 预警信息处置完成、维护提醒闭环</w:t>
            </w:r>
          </w:p>
          <w:p w14:paraId="65745F6A">
            <w:pPr>
              <w:snapToGrid w:val="0"/>
              <w:jc w:val="left"/>
              <w:rPr>
                <w:kern w:val="0"/>
                <w:sz w:val="20"/>
                <w:szCs w:val="21"/>
              </w:rPr>
            </w:pPr>
            <w:r>
              <w:rPr>
                <w:kern w:val="0"/>
                <w:sz w:val="20"/>
                <w:szCs w:val="21"/>
              </w:rPr>
              <w:t>2. 纳入日常运维记录，无需专项报告</w:t>
            </w:r>
          </w:p>
          <w:p w14:paraId="3C7D4664">
            <w:pPr>
              <w:snapToGrid w:val="0"/>
              <w:jc w:val="left"/>
              <w:rPr>
                <w:kern w:val="0"/>
                <w:sz w:val="20"/>
                <w:szCs w:val="21"/>
              </w:rPr>
            </w:pPr>
            <w:r>
              <w:rPr>
                <w:kern w:val="0"/>
                <w:sz w:val="20"/>
                <w:szCs w:val="21"/>
              </w:rPr>
              <w:t>3. 由</w:t>
            </w:r>
            <w:r>
              <w:rPr>
                <w:rFonts w:hint="eastAsia"/>
                <w:kern w:val="0"/>
                <w:sz w:val="20"/>
                <w:szCs w:val="21"/>
              </w:rPr>
              <w:t>投标人</w:t>
            </w:r>
            <w:r>
              <w:rPr>
                <w:kern w:val="0"/>
                <w:sz w:val="20"/>
                <w:szCs w:val="21"/>
              </w:rPr>
              <w:t>审核归档</w:t>
            </w:r>
          </w:p>
        </w:tc>
        <w:tc>
          <w:tcPr>
            <w:tcW w:w="1393" w:type="dxa"/>
            <w:vAlign w:val="center"/>
          </w:tcPr>
          <w:p w14:paraId="2D023ED9">
            <w:pPr>
              <w:snapToGrid w:val="0"/>
              <w:jc w:val="center"/>
              <w:rPr>
                <w:kern w:val="0"/>
                <w:sz w:val="20"/>
                <w:szCs w:val="21"/>
              </w:rPr>
            </w:pPr>
            <w:r>
              <w:rPr>
                <w:kern w:val="0"/>
                <w:sz w:val="20"/>
                <w:szCs w:val="21"/>
              </w:rPr>
              <w:t>7 个工作日</w:t>
            </w:r>
          </w:p>
        </w:tc>
      </w:tr>
    </w:tbl>
    <w:p w14:paraId="767D7365">
      <w:pPr>
        <w:spacing w:before="156" w:beforeLines="50" w:line="360" w:lineRule="auto"/>
        <w:ind w:firstLine="420"/>
        <w:rPr>
          <w:kern w:val="0"/>
          <w:sz w:val="24"/>
        </w:rPr>
      </w:pPr>
      <w:r>
        <w:rPr>
          <w:kern w:val="0"/>
          <w:sz w:val="24"/>
        </w:rPr>
        <w:t>3、日常维护工作</w:t>
      </w:r>
    </w:p>
    <w:p w14:paraId="45C0EA0B">
      <w:pPr>
        <w:spacing w:after="156" w:afterLines="50" w:line="360" w:lineRule="auto"/>
        <w:ind w:firstLine="420"/>
        <w:rPr>
          <w:kern w:val="0"/>
          <w:sz w:val="24"/>
        </w:rPr>
      </w:pPr>
      <w:r>
        <w:rPr>
          <w:kern w:val="0"/>
          <w:sz w:val="24"/>
        </w:rPr>
        <w:t>构建覆盖机房全设备及配套系统的四级分层预防性维护体系，依据作业计划要求，开展标准化巡检与全维度周期性养护作业，从根源上降低设备突发故障风险。</w:t>
      </w:r>
    </w:p>
    <w:p w14:paraId="14DF87AF">
      <w:pPr>
        <w:spacing w:after="156" w:afterLines="50" w:line="360" w:lineRule="auto"/>
        <w:ind w:firstLine="420"/>
        <w:rPr>
          <w:kern w:val="0"/>
          <w:sz w:val="24"/>
        </w:rPr>
      </w:pPr>
      <w:r>
        <w:rPr>
          <w:kern w:val="0"/>
          <w:sz w:val="24"/>
        </w:rPr>
        <w:t>每日完成4次全机房巡检（间隔6小时），覆盖高低压配电、变压器、UPS、直流电源、空调系统、动环监控、机房环境、2楼演示中心。巡检内容包括：记录电压电流、检查设备状态指示灯、闻听看异常现象、检查温湿度及漏水情况。巡检记录必须真实完整，发现隐患及时上报</w:t>
      </w:r>
      <w:r>
        <w:rPr>
          <w:rFonts w:hint="eastAsia"/>
          <w:kern w:val="0"/>
          <w:sz w:val="24"/>
        </w:rPr>
        <w:t>。</w:t>
      </w:r>
    </w:p>
    <w:p w14:paraId="5E64F653">
      <w:pPr>
        <w:spacing w:after="156" w:afterLines="50" w:line="360" w:lineRule="auto"/>
        <w:ind w:firstLine="420"/>
        <w:rPr>
          <w:kern w:val="0"/>
          <w:sz w:val="24"/>
        </w:rPr>
      </w:pPr>
      <w:r>
        <w:rPr>
          <w:kern w:val="0"/>
          <w:sz w:val="24"/>
        </w:rPr>
        <w:t>4、运行质量和能耗管理</w:t>
      </w:r>
    </w:p>
    <w:p w14:paraId="624ABF5E">
      <w:pPr>
        <w:spacing w:after="156" w:afterLines="50" w:line="360" w:lineRule="auto"/>
        <w:ind w:firstLine="420"/>
        <w:rPr>
          <w:kern w:val="0"/>
          <w:sz w:val="24"/>
        </w:rPr>
      </w:pPr>
      <w:r>
        <w:rPr>
          <w:kern w:val="0"/>
          <w:sz w:val="24"/>
        </w:rPr>
        <w:t>开展机房运行质量全流程管控、能效优化与应急能力建设全维度运营管理，严守电源零掉电、设备零宕机核心指标，兼顾安全稳定运行与降本增效目标，全面满足总控中心运维要求。</w:t>
      </w:r>
    </w:p>
    <w:p w14:paraId="689C6498">
      <w:pPr>
        <w:spacing w:line="360" w:lineRule="auto"/>
        <w:ind w:firstLine="420"/>
        <w:rPr>
          <w:kern w:val="0"/>
          <w:sz w:val="24"/>
        </w:rPr>
      </w:pPr>
      <w:r>
        <w:rPr>
          <w:kern w:val="0"/>
          <w:sz w:val="24"/>
        </w:rPr>
        <w:t>运行质量标准要求：</w:t>
      </w:r>
    </w:p>
    <w:tbl>
      <w:tblPr>
        <w:tblStyle w:val="6"/>
        <w:tblW w:w="436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059"/>
        <w:gridCol w:w="5206"/>
      </w:tblGrid>
      <w:tr w14:paraId="4BA52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jc w:val="center"/>
        </w:trPr>
        <w:tc>
          <w:tcPr>
            <w:tcW w:w="2221" w:type="dxa"/>
            <w:shd w:val="clear" w:color="auto" w:fill="EBF5FB"/>
          </w:tcPr>
          <w:p w14:paraId="52CC0731">
            <w:pPr>
              <w:spacing w:before="40" w:after="40"/>
              <w:jc w:val="center"/>
              <w:rPr>
                <w:kern w:val="0"/>
                <w:szCs w:val="21"/>
              </w:rPr>
            </w:pPr>
            <w:r>
              <w:rPr>
                <w:b/>
                <w:color w:val="2C3E50"/>
                <w:kern w:val="0"/>
                <w:sz w:val="20"/>
                <w:szCs w:val="21"/>
              </w:rPr>
              <w:t>指标项</w:t>
            </w:r>
          </w:p>
        </w:tc>
        <w:tc>
          <w:tcPr>
            <w:tcW w:w="5609" w:type="dxa"/>
            <w:shd w:val="clear" w:color="auto" w:fill="EBF5FB"/>
          </w:tcPr>
          <w:p w14:paraId="783CB2D2">
            <w:pPr>
              <w:spacing w:before="40" w:after="40"/>
              <w:jc w:val="center"/>
              <w:rPr>
                <w:kern w:val="0"/>
                <w:szCs w:val="21"/>
              </w:rPr>
            </w:pPr>
            <w:r>
              <w:rPr>
                <w:b/>
                <w:color w:val="2C3E50"/>
                <w:kern w:val="0"/>
                <w:sz w:val="20"/>
                <w:szCs w:val="21"/>
              </w:rPr>
              <w:t>合格标准</w:t>
            </w:r>
          </w:p>
        </w:tc>
      </w:tr>
      <w:tr w14:paraId="0A488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221" w:type="dxa"/>
          </w:tcPr>
          <w:p w14:paraId="191D8E0A">
            <w:pPr>
              <w:spacing w:before="40" w:after="40"/>
              <w:jc w:val="center"/>
              <w:rPr>
                <w:kern w:val="0"/>
                <w:szCs w:val="21"/>
              </w:rPr>
            </w:pPr>
            <w:r>
              <w:rPr>
                <w:kern w:val="0"/>
                <w:sz w:val="20"/>
                <w:szCs w:val="21"/>
              </w:rPr>
              <w:t>电源供电保障</w:t>
            </w:r>
          </w:p>
        </w:tc>
        <w:tc>
          <w:tcPr>
            <w:tcW w:w="5609" w:type="dxa"/>
          </w:tcPr>
          <w:p w14:paraId="1DDEE01D">
            <w:pPr>
              <w:spacing w:before="40" w:after="40"/>
              <w:jc w:val="center"/>
              <w:rPr>
                <w:kern w:val="0"/>
                <w:szCs w:val="21"/>
              </w:rPr>
            </w:pPr>
            <w:r>
              <w:rPr>
                <w:kern w:val="0"/>
                <w:sz w:val="20"/>
                <w:szCs w:val="21"/>
              </w:rPr>
              <w:t>电源零掉电，无因维护不当导致的供电中断</w:t>
            </w:r>
          </w:p>
        </w:tc>
      </w:tr>
      <w:tr w14:paraId="6A830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221" w:type="dxa"/>
          </w:tcPr>
          <w:p w14:paraId="1A8F1C4B">
            <w:pPr>
              <w:spacing w:before="40" w:after="40"/>
              <w:jc w:val="center"/>
              <w:rPr>
                <w:kern w:val="0"/>
                <w:szCs w:val="21"/>
              </w:rPr>
            </w:pPr>
            <w:r>
              <w:rPr>
                <w:kern w:val="0"/>
                <w:sz w:val="20"/>
                <w:szCs w:val="21"/>
              </w:rPr>
              <w:t>设备运行保障</w:t>
            </w:r>
          </w:p>
        </w:tc>
        <w:tc>
          <w:tcPr>
            <w:tcW w:w="5609" w:type="dxa"/>
          </w:tcPr>
          <w:p w14:paraId="7F3D3765">
            <w:pPr>
              <w:spacing w:before="40" w:after="40"/>
              <w:jc w:val="center"/>
              <w:rPr>
                <w:kern w:val="0"/>
                <w:szCs w:val="21"/>
              </w:rPr>
            </w:pPr>
            <w:r>
              <w:rPr>
                <w:kern w:val="0"/>
                <w:sz w:val="20"/>
                <w:szCs w:val="21"/>
              </w:rPr>
              <w:t>设备零宕机，无因空调故障导致的设备宕机</w:t>
            </w:r>
          </w:p>
        </w:tc>
      </w:tr>
      <w:tr w14:paraId="779F8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221" w:type="dxa"/>
          </w:tcPr>
          <w:p w14:paraId="3FF6F05B">
            <w:pPr>
              <w:spacing w:before="40" w:after="40"/>
              <w:jc w:val="center"/>
              <w:rPr>
                <w:kern w:val="0"/>
                <w:szCs w:val="21"/>
              </w:rPr>
            </w:pPr>
            <w:r>
              <w:rPr>
                <w:kern w:val="0"/>
                <w:sz w:val="20"/>
                <w:szCs w:val="21"/>
              </w:rPr>
              <w:t>工单处理及时率</w:t>
            </w:r>
          </w:p>
        </w:tc>
        <w:tc>
          <w:tcPr>
            <w:tcW w:w="5609" w:type="dxa"/>
          </w:tcPr>
          <w:p w14:paraId="7F6F9B23">
            <w:pPr>
              <w:spacing w:before="40" w:after="40"/>
              <w:jc w:val="center"/>
              <w:rPr>
                <w:kern w:val="0"/>
                <w:szCs w:val="21"/>
              </w:rPr>
            </w:pPr>
            <w:r>
              <w:rPr>
                <w:kern w:val="0"/>
                <w:sz w:val="20"/>
                <w:szCs w:val="21"/>
              </w:rPr>
              <w:t>故障工单处理及时率≥99.5%</w:t>
            </w:r>
          </w:p>
        </w:tc>
      </w:tr>
      <w:tr w14:paraId="0432E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221" w:type="dxa"/>
          </w:tcPr>
          <w:p w14:paraId="3D931373">
            <w:pPr>
              <w:spacing w:before="40" w:after="40"/>
              <w:jc w:val="center"/>
              <w:rPr>
                <w:kern w:val="0"/>
                <w:szCs w:val="21"/>
              </w:rPr>
            </w:pPr>
            <w:r>
              <w:rPr>
                <w:kern w:val="0"/>
                <w:sz w:val="20"/>
                <w:szCs w:val="21"/>
              </w:rPr>
              <w:t>各类报告提交</w:t>
            </w:r>
          </w:p>
        </w:tc>
        <w:tc>
          <w:tcPr>
            <w:tcW w:w="5609" w:type="dxa"/>
          </w:tcPr>
          <w:p w14:paraId="4E5DEBFB">
            <w:pPr>
              <w:spacing w:before="40" w:after="40"/>
              <w:jc w:val="center"/>
              <w:rPr>
                <w:kern w:val="0"/>
                <w:szCs w:val="21"/>
              </w:rPr>
            </w:pPr>
            <w:r>
              <w:rPr>
                <w:kern w:val="0"/>
                <w:sz w:val="20"/>
                <w:szCs w:val="21"/>
              </w:rPr>
              <w:t>日报/周报/月报/年度报告按时提交率100%</w:t>
            </w:r>
          </w:p>
        </w:tc>
      </w:tr>
    </w:tbl>
    <w:p w14:paraId="2FF2B734">
      <w:pPr>
        <w:spacing w:after="156" w:afterLines="50" w:line="360" w:lineRule="auto"/>
        <w:ind w:firstLine="420"/>
        <w:rPr>
          <w:kern w:val="0"/>
          <w:sz w:val="24"/>
        </w:rPr>
      </w:pPr>
      <w:r>
        <w:rPr>
          <w:kern w:val="0"/>
          <w:sz w:val="24"/>
        </w:rPr>
        <w:t>每月统计机房用电量并编制电费报表，监测UPS及电源系统转换效率，分析空调制冷效率并优化温湿度设定。计算月度PUE值并跟踪变化趋势，每季度编制能效分析报告。</w:t>
      </w:r>
    </w:p>
    <w:p w14:paraId="0D6B0DAD">
      <w:pPr>
        <w:spacing w:after="156" w:afterLines="50" w:line="360" w:lineRule="auto"/>
        <w:ind w:firstLine="420"/>
        <w:rPr>
          <w:kern w:val="0"/>
          <w:sz w:val="24"/>
        </w:rPr>
      </w:pPr>
      <w:r>
        <w:rPr>
          <w:kern w:val="0"/>
          <w:sz w:val="24"/>
        </w:rPr>
        <w:t>配合制定停电、火灾、水浸、设备故障等应急预案。每年执行至少1次停电应急演练，编制演练方案和总结报告。特殊时期（重要活动、节假日、台风季）成立应急机构，纳入统一调度。</w:t>
      </w:r>
    </w:p>
    <w:p w14:paraId="5EF859C5">
      <w:pPr>
        <w:spacing w:after="156" w:afterLines="50" w:line="360" w:lineRule="auto"/>
        <w:ind w:firstLine="420"/>
        <w:rPr>
          <w:b/>
          <w:bCs/>
          <w:kern w:val="0"/>
          <w:sz w:val="24"/>
        </w:rPr>
      </w:pPr>
      <w:r>
        <w:rPr>
          <w:b/>
          <w:bCs/>
          <w:kern w:val="0"/>
          <w:sz w:val="24"/>
        </w:rPr>
        <w:t>（三）传输技术服务</w:t>
      </w:r>
    </w:p>
    <w:p w14:paraId="7898D60C">
      <w:pPr>
        <w:spacing w:after="156" w:afterLines="50" w:line="360" w:lineRule="auto"/>
        <w:ind w:firstLine="420"/>
        <w:rPr>
          <w:kern w:val="0"/>
          <w:szCs w:val="21"/>
        </w:rPr>
      </w:pPr>
      <w:bookmarkStart w:id="2" w:name="OLE_LINK19"/>
      <w:r>
        <w:rPr>
          <w:kern w:val="0"/>
          <w:szCs w:val="21"/>
        </w:rPr>
        <w:t>本项服务地址位于江苏省南京市江宁区秣周东路7号未来网络大厦</w:t>
      </w:r>
      <w:r>
        <w:rPr>
          <w:rFonts w:hint="eastAsia"/>
          <w:kern w:val="0"/>
          <w:szCs w:val="21"/>
        </w:rPr>
        <w:t>。</w:t>
      </w:r>
    </w:p>
    <w:bookmarkEnd w:id="2"/>
    <w:p w14:paraId="1A587163">
      <w:pPr>
        <w:spacing w:after="156" w:afterLines="50" w:line="360" w:lineRule="auto"/>
        <w:ind w:firstLine="420"/>
        <w:rPr>
          <w:kern w:val="0"/>
          <w:szCs w:val="21"/>
        </w:rPr>
      </w:pPr>
      <w:r>
        <w:rPr>
          <w:kern w:val="0"/>
          <w:szCs w:val="21"/>
        </w:rPr>
        <w:t>本项适用于CENI光传输网络的各类设备、网管系统、通道和电路的运行维护。CENI光传输网络主要设备包括：基本传输设备、监控设备及配套设施。</w:t>
      </w:r>
    </w:p>
    <w:p w14:paraId="4E02B383">
      <w:pPr>
        <w:spacing w:after="156" w:afterLines="50" w:line="360" w:lineRule="auto"/>
        <w:ind w:firstLine="420"/>
        <w:rPr>
          <w:kern w:val="0"/>
          <w:sz w:val="24"/>
        </w:rPr>
      </w:pPr>
      <w:r>
        <w:rPr>
          <w:kern w:val="0"/>
          <w:szCs w:val="21"/>
        </w:rPr>
        <w:t>服务包括覆盖CENI全国OTN网络站点（含40个核心城市涉及188个ROADM节点、282个光放节点主设备及配套系统）的网管告警响应与处理、工单响应、维护作业计划等。传输专业的告警及工单全流程应覆盖接收、响应、处理、反馈、归档五个环节，投标人应按</w:t>
      </w:r>
      <w:r>
        <w:rPr>
          <w:rFonts w:hint="eastAsia"/>
          <w:kern w:val="0"/>
          <w:szCs w:val="21"/>
        </w:rPr>
        <w:t>采购人</w:t>
      </w:r>
      <w:r>
        <w:rPr>
          <w:kern w:val="0"/>
          <w:szCs w:val="21"/>
        </w:rPr>
        <w:t>要求完成相关工作。</w:t>
      </w:r>
    </w:p>
    <w:p w14:paraId="58AD8C8B">
      <w:pPr>
        <w:spacing w:after="156" w:afterLines="50" w:line="360" w:lineRule="auto"/>
        <w:ind w:firstLine="420"/>
        <w:rPr>
          <w:kern w:val="0"/>
          <w:szCs w:val="21"/>
        </w:rPr>
      </w:pPr>
      <w:r>
        <w:rPr>
          <w:kern w:val="0"/>
          <w:szCs w:val="21"/>
        </w:rPr>
        <w:t>1、传输告警工单响应与处理</w:t>
      </w:r>
    </w:p>
    <w:p w14:paraId="14F5962D">
      <w:pPr>
        <w:spacing w:after="156" w:afterLines="50" w:line="360" w:lineRule="auto"/>
        <w:ind w:firstLine="420"/>
        <w:rPr>
          <w:kern w:val="0"/>
          <w:szCs w:val="21"/>
        </w:rPr>
      </w:pPr>
      <w:r>
        <w:rPr>
          <w:kern w:val="0"/>
          <w:szCs w:val="21"/>
        </w:rPr>
        <w:t>每日对全网新产生的或历史网管告警（工单）进行及时响应（接收告警工单、按照等级逐级排查），在不影响其他业务的情况下，采用有效方式查出根因，</w:t>
      </w:r>
      <w:r>
        <w:rPr>
          <w:rFonts w:hint="eastAsia"/>
          <w:kern w:val="0"/>
          <w:szCs w:val="21"/>
        </w:rPr>
        <w:t>按下表时限要求</w:t>
      </w:r>
      <w:r>
        <w:rPr>
          <w:kern w:val="0"/>
          <w:szCs w:val="21"/>
        </w:rPr>
        <w:t>完成告警、故障全部消除。</w:t>
      </w:r>
    </w:p>
    <w:p w14:paraId="2C8F027B">
      <w:pPr>
        <w:spacing w:after="156" w:afterLines="50" w:line="360" w:lineRule="auto"/>
        <w:ind w:firstLine="420"/>
        <w:rPr>
          <w:kern w:val="0"/>
          <w:szCs w:val="21"/>
        </w:rPr>
      </w:pPr>
      <w:r>
        <w:rPr>
          <w:kern w:val="0"/>
          <w:szCs w:val="21"/>
        </w:rPr>
        <w:t>1.1告警</w:t>
      </w:r>
      <w:r>
        <w:rPr>
          <w:rFonts w:hint="eastAsia"/>
          <w:kern w:val="0"/>
          <w:szCs w:val="21"/>
        </w:rPr>
        <w:t>、故障</w:t>
      </w:r>
      <w:r>
        <w:rPr>
          <w:kern w:val="0"/>
          <w:szCs w:val="21"/>
        </w:rPr>
        <w:t>工单响应时间要求：</w:t>
      </w:r>
    </w:p>
    <w:tbl>
      <w:tblPr>
        <w:tblStyle w:val="6"/>
        <w:tblW w:w="35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785"/>
        <w:gridCol w:w="3205"/>
      </w:tblGrid>
      <w:tr w14:paraId="21D57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291" w:hRule="atLeast"/>
          <w:tblHeader/>
          <w:jc w:val="center"/>
        </w:trPr>
        <w:tc>
          <w:tcPr>
            <w:tcW w:w="3004" w:type="dxa"/>
            <w:shd w:val="clear" w:color="auto" w:fill="E2ECF8"/>
            <w:vAlign w:val="center"/>
          </w:tcPr>
          <w:p w14:paraId="055F0320">
            <w:pPr>
              <w:snapToGrid w:val="0"/>
              <w:jc w:val="center"/>
              <w:rPr>
                <w:kern w:val="0"/>
                <w:szCs w:val="21"/>
              </w:rPr>
            </w:pPr>
            <w:r>
              <w:rPr>
                <w:b/>
                <w:color w:val="2C3E50"/>
                <w:kern w:val="0"/>
                <w:sz w:val="20"/>
                <w:szCs w:val="21"/>
              </w:rPr>
              <w:t>告警级别</w:t>
            </w:r>
          </w:p>
        </w:tc>
        <w:tc>
          <w:tcPr>
            <w:tcW w:w="3451" w:type="dxa"/>
            <w:shd w:val="clear" w:color="auto" w:fill="E2ECF8"/>
            <w:vAlign w:val="center"/>
          </w:tcPr>
          <w:p w14:paraId="29079F52">
            <w:pPr>
              <w:snapToGrid w:val="0"/>
              <w:jc w:val="center"/>
              <w:rPr>
                <w:b/>
                <w:kern w:val="0"/>
                <w:sz w:val="20"/>
                <w:szCs w:val="21"/>
              </w:rPr>
            </w:pPr>
            <w:r>
              <w:rPr>
                <w:b/>
                <w:kern w:val="0"/>
                <w:sz w:val="20"/>
                <w:szCs w:val="21"/>
              </w:rPr>
              <w:t>告警工单</w:t>
            </w:r>
          </w:p>
          <w:p w14:paraId="2477C536">
            <w:pPr>
              <w:snapToGrid w:val="0"/>
              <w:jc w:val="center"/>
              <w:rPr>
                <w:kern w:val="0"/>
                <w:szCs w:val="21"/>
              </w:rPr>
            </w:pPr>
            <w:r>
              <w:rPr>
                <w:b/>
                <w:kern w:val="0"/>
                <w:sz w:val="20"/>
                <w:szCs w:val="21"/>
              </w:rPr>
              <w:t>响应时限</w:t>
            </w:r>
          </w:p>
        </w:tc>
      </w:tr>
      <w:tr w14:paraId="546B2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99" w:hRule="atLeast"/>
          <w:jc w:val="center"/>
        </w:trPr>
        <w:tc>
          <w:tcPr>
            <w:tcW w:w="3004" w:type="dxa"/>
            <w:vAlign w:val="center"/>
          </w:tcPr>
          <w:p w14:paraId="15B0030D">
            <w:pPr>
              <w:snapToGrid w:val="0"/>
              <w:jc w:val="center"/>
              <w:rPr>
                <w:kern w:val="0"/>
                <w:szCs w:val="21"/>
              </w:rPr>
            </w:pPr>
            <w:r>
              <w:rPr>
                <w:kern w:val="0"/>
                <w:sz w:val="20"/>
                <w:szCs w:val="21"/>
              </w:rPr>
              <w:t>紧急告警</w:t>
            </w:r>
          </w:p>
        </w:tc>
        <w:tc>
          <w:tcPr>
            <w:tcW w:w="3451" w:type="dxa"/>
            <w:vAlign w:val="center"/>
          </w:tcPr>
          <w:p w14:paraId="1C71CA50">
            <w:pPr>
              <w:snapToGrid w:val="0"/>
              <w:jc w:val="center"/>
              <w:rPr>
                <w:kern w:val="0"/>
                <w:sz w:val="20"/>
                <w:szCs w:val="20"/>
              </w:rPr>
            </w:pPr>
            <w:r>
              <w:rPr>
                <w:kern w:val="0"/>
                <w:sz w:val="20"/>
                <w:szCs w:val="20"/>
              </w:rPr>
              <w:t>5分钟</w:t>
            </w:r>
          </w:p>
        </w:tc>
      </w:tr>
      <w:tr w14:paraId="2C228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3004" w:type="dxa"/>
            <w:vAlign w:val="center"/>
          </w:tcPr>
          <w:p w14:paraId="2E0023C9">
            <w:pPr>
              <w:snapToGrid w:val="0"/>
              <w:jc w:val="center"/>
              <w:rPr>
                <w:kern w:val="0"/>
                <w:szCs w:val="21"/>
              </w:rPr>
            </w:pPr>
            <w:r>
              <w:rPr>
                <w:kern w:val="0"/>
                <w:sz w:val="20"/>
                <w:szCs w:val="21"/>
              </w:rPr>
              <w:t>重要告警</w:t>
            </w:r>
          </w:p>
        </w:tc>
        <w:tc>
          <w:tcPr>
            <w:tcW w:w="3451" w:type="dxa"/>
            <w:vAlign w:val="center"/>
          </w:tcPr>
          <w:p w14:paraId="56699914">
            <w:pPr>
              <w:snapToGrid w:val="0"/>
              <w:jc w:val="center"/>
              <w:rPr>
                <w:kern w:val="0"/>
                <w:sz w:val="20"/>
                <w:szCs w:val="20"/>
              </w:rPr>
            </w:pPr>
            <w:r>
              <w:rPr>
                <w:kern w:val="0"/>
                <w:sz w:val="20"/>
                <w:szCs w:val="20"/>
              </w:rPr>
              <w:t>10分钟</w:t>
            </w:r>
          </w:p>
        </w:tc>
      </w:tr>
      <w:tr w14:paraId="5CDEA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3004" w:type="dxa"/>
            <w:vAlign w:val="center"/>
          </w:tcPr>
          <w:p w14:paraId="432B4DD9">
            <w:pPr>
              <w:snapToGrid w:val="0"/>
              <w:jc w:val="center"/>
              <w:rPr>
                <w:kern w:val="0"/>
                <w:szCs w:val="21"/>
              </w:rPr>
            </w:pPr>
            <w:r>
              <w:rPr>
                <w:kern w:val="0"/>
                <w:sz w:val="20"/>
                <w:szCs w:val="21"/>
              </w:rPr>
              <w:t>一般告警</w:t>
            </w:r>
          </w:p>
        </w:tc>
        <w:tc>
          <w:tcPr>
            <w:tcW w:w="3451" w:type="dxa"/>
            <w:vAlign w:val="center"/>
          </w:tcPr>
          <w:p w14:paraId="6F564D41">
            <w:pPr>
              <w:snapToGrid w:val="0"/>
              <w:jc w:val="center"/>
              <w:rPr>
                <w:kern w:val="0"/>
                <w:sz w:val="20"/>
                <w:szCs w:val="20"/>
              </w:rPr>
            </w:pPr>
            <w:r>
              <w:rPr>
                <w:kern w:val="0"/>
                <w:sz w:val="20"/>
                <w:szCs w:val="20"/>
              </w:rPr>
              <w:t>120分钟</w:t>
            </w:r>
          </w:p>
        </w:tc>
      </w:tr>
      <w:tr w14:paraId="03898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7" w:hRule="atLeast"/>
          <w:jc w:val="center"/>
        </w:trPr>
        <w:tc>
          <w:tcPr>
            <w:tcW w:w="3004" w:type="dxa"/>
            <w:vAlign w:val="center"/>
          </w:tcPr>
          <w:p w14:paraId="6471E031">
            <w:pPr>
              <w:snapToGrid w:val="0"/>
              <w:jc w:val="center"/>
              <w:rPr>
                <w:kern w:val="0"/>
                <w:sz w:val="20"/>
                <w:szCs w:val="21"/>
              </w:rPr>
            </w:pPr>
            <w:r>
              <w:rPr>
                <w:kern w:val="0"/>
                <w:sz w:val="20"/>
                <w:szCs w:val="21"/>
              </w:rPr>
              <w:t>提示告警</w:t>
            </w:r>
          </w:p>
        </w:tc>
        <w:tc>
          <w:tcPr>
            <w:tcW w:w="3451" w:type="dxa"/>
            <w:vAlign w:val="center"/>
          </w:tcPr>
          <w:p w14:paraId="7FB2A5A4">
            <w:pPr>
              <w:snapToGrid w:val="0"/>
              <w:jc w:val="center"/>
              <w:rPr>
                <w:kern w:val="0"/>
                <w:sz w:val="20"/>
                <w:szCs w:val="20"/>
              </w:rPr>
            </w:pPr>
            <w:r>
              <w:rPr>
                <w:kern w:val="0"/>
                <w:sz w:val="20"/>
                <w:szCs w:val="20"/>
              </w:rPr>
              <w:t>360分钟</w:t>
            </w:r>
          </w:p>
        </w:tc>
      </w:tr>
    </w:tbl>
    <w:p w14:paraId="4F5B6B85">
      <w:pPr>
        <w:spacing w:before="156" w:beforeLines="50" w:after="156" w:afterLines="50" w:line="360" w:lineRule="auto"/>
        <w:ind w:firstLine="420"/>
        <w:rPr>
          <w:kern w:val="0"/>
          <w:sz w:val="24"/>
        </w:rPr>
      </w:pPr>
      <w:r>
        <w:rPr>
          <w:kern w:val="0"/>
          <w:sz w:val="24"/>
        </w:rPr>
        <w:t>告警工单响应时限：传输技术支持人员自首次接收到监控人员转派的告警工单，至工单系统点击接收确认的时间段。</w:t>
      </w:r>
    </w:p>
    <w:p w14:paraId="0138B9D1">
      <w:pPr>
        <w:spacing w:after="156" w:afterLines="50" w:line="360" w:lineRule="auto"/>
        <w:ind w:firstLine="420"/>
        <w:rPr>
          <w:kern w:val="0"/>
          <w:sz w:val="24"/>
        </w:rPr>
      </w:pPr>
      <w:r>
        <w:rPr>
          <w:kern w:val="0"/>
          <w:sz w:val="24"/>
        </w:rPr>
        <w:t>1.2 告警、故障工单处理时间要求：</w:t>
      </w:r>
    </w:p>
    <w:tbl>
      <w:tblPr>
        <w:tblStyle w:val="6"/>
        <w:tblW w:w="366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806"/>
        <w:gridCol w:w="3289"/>
      </w:tblGrid>
      <w:tr w14:paraId="18020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94" w:hRule="atLeast"/>
          <w:tblHeader/>
          <w:jc w:val="center"/>
        </w:trPr>
        <w:tc>
          <w:tcPr>
            <w:tcW w:w="2302" w:type="pct"/>
            <w:shd w:val="clear" w:color="auto" w:fill="DAEEF3"/>
            <w:vAlign w:val="center"/>
          </w:tcPr>
          <w:p w14:paraId="783D3AFF">
            <w:pPr>
              <w:snapToGrid w:val="0"/>
              <w:jc w:val="center"/>
              <w:rPr>
                <w:rFonts w:hint="eastAsia" w:ascii="宋体" w:hAnsi="宋体" w:cs="宋体"/>
                <w:kern w:val="0"/>
                <w:szCs w:val="21"/>
              </w:rPr>
            </w:pPr>
            <w:r>
              <w:rPr>
                <w:rFonts w:ascii="宋体" w:hAnsi="宋体" w:cs="宋体"/>
                <w:b/>
                <w:color w:val="2C3E50"/>
                <w:kern w:val="0"/>
                <w:szCs w:val="21"/>
              </w:rPr>
              <w:t>故障级别</w:t>
            </w:r>
          </w:p>
        </w:tc>
        <w:tc>
          <w:tcPr>
            <w:tcW w:w="2698" w:type="pct"/>
            <w:shd w:val="clear" w:color="auto" w:fill="DAEEF3"/>
            <w:vAlign w:val="center"/>
          </w:tcPr>
          <w:p w14:paraId="600D520E">
            <w:pPr>
              <w:snapToGrid w:val="0"/>
              <w:jc w:val="center"/>
              <w:rPr>
                <w:rFonts w:hint="eastAsia" w:ascii="宋体" w:hAnsi="宋体" w:cs="宋体"/>
                <w:b/>
                <w:color w:val="000000"/>
                <w:kern w:val="0"/>
                <w:szCs w:val="21"/>
              </w:rPr>
            </w:pPr>
            <w:r>
              <w:rPr>
                <w:rFonts w:ascii="宋体" w:hAnsi="宋体" w:cs="宋体"/>
                <w:b/>
                <w:color w:val="000000"/>
                <w:kern w:val="0"/>
                <w:szCs w:val="21"/>
              </w:rPr>
              <w:t>告警工单</w:t>
            </w:r>
          </w:p>
          <w:p w14:paraId="7A11CD68">
            <w:pPr>
              <w:snapToGrid w:val="0"/>
              <w:jc w:val="center"/>
              <w:rPr>
                <w:rFonts w:hint="eastAsia" w:ascii="宋体" w:hAnsi="宋体" w:cs="宋体"/>
                <w:b/>
                <w:color w:val="000000"/>
                <w:kern w:val="0"/>
                <w:szCs w:val="21"/>
              </w:rPr>
            </w:pPr>
            <w:r>
              <w:rPr>
                <w:rFonts w:ascii="宋体" w:hAnsi="宋体" w:cs="宋体"/>
                <w:b/>
                <w:color w:val="000000"/>
                <w:kern w:val="0"/>
                <w:szCs w:val="21"/>
              </w:rPr>
              <w:t>处理时限</w:t>
            </w:r>
          </w:p>
        </w:tc>
      </w:tr>
      <w:tr w14:paraId="46B8D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302" w:type="pct"/>
            <w:vAlign w:val="center"/>
          </w:tcPr>
          <w:p w14:paraId="2092DC0E">
            <w:pPr>
              <w:snapToGrid w:val="0"/>
              <w:jc w:val="center"/>
              <w:rPr>
                <w:rFonts w:hint="eastAsia" w:ascii="宋体" w:hAnsi="宋体" w:cs="宋体"/>
                <w:kern w:val="0"/>
                <w:szCs w:val="21"/>
              </w:rPr>
            </w:pPr>
            <w:r>
              <w:rPr>
                <w:rFonts w:ascii="宋体" w:hAnsi="宋体" w:cs="宋体"/>
                <w:kern w:val="0"/>
                <w:szCs w:val="21"/>
              </w:rPr>
              <w:t>紧急故障</w:t>
            </w:r>
          </w:p>
        </w:tc>
        <w:tc>
          <w:tcPr>
            <w:tcW w:w="2698" w:type="pct"/>
            <w:vAlign w:val="center"/>
          </w:tcPr>
          <w:p w14:paraId="3D10C094">
            <w:pPr>
              <w:snapToGrid w:val="0"/>
              <w:jc w:val="center"/>
              <w:rPr>
                <w:rFonts w:hint="eastAsia" w:ascii="宋体" w:hAnsi="宋体" w:cs="宋体"/>
                <w:color w:val="000000"/>
                <w:kern w:val="0"/>
                <w:szCs w:val="21"/>
              </w:rPr>
            </w:pPr>
            <w:r>
              <w:rPr>
                <w:rFonts w:ascii="宋体" w:hAnsi="宋体" w:cs="宋体"/>
                <w:color w:val="000000"/>
                <w:kern w:val="0"/>
                <w:szCs w:val="21"/>
              </w:rPr>
              <w:t>60分钟</w:t>
            </w:r>
          </w:p>
        </w:tc>
      </w:tr>
      <w:tr w14:paraId="5476F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302" w:type="pct"/>
            <w:vAlign w:val="center"/>
          </w:tcPr>
          <w:p w14:paraId="3B16083D">
            <w:pPr>
              <w:snapToGrid w:val="0"/>
              <w:jc w:val="center"/>
              <w:rPr>
                <w:rFonts w:hint="eastAsia" w:ascii="宋体" w:hAnsi="宋体" w:cs="宋体"/>
                <w:kern w:val="0"/>
                <w:szCs w:val="21"/>
              </w:rPr>
            </w:pPr>
            <w:r>
              <w:rPr>
                <w:rFonts w:ascii="宋体" w:hAnsi="宋体" w:cs="宋体"/>
                <w:kern w:val="0"/>
                <w:szCs w:val="21"/>
              </w:rPr>
              <w:t>重要故障</w:t>
            </w:r>
          </w:p>
        </w:tc>
        <w:tc>
          <w:tcPr>
            <w:tcW w:w="2698" w:type="pct"/>
            <w:vAlign w:val="center"/>
          </w:tcPr>
          <w:p w14:paraId="5746DC1C">
            <w:pPr>
              <w:snapToGrid w:val="0"/>
              <w:jc w:val="center"/>
              <w:rPr>
                <w:rFonts w:hint="eastAsia" w:ascii="宋体" w:hAnsi="宋体" w:cs="宋体"/>
                <w:color w:val="000000"/>
                <w:kern w:val="0"/>
                <w:szCs w:val="21"/>
              </w:rPr>
            </w:pPr>
            <w:r>
              <w:rPr>
                <w:rFonts w:ascii="宋体" w:hAnsi="宋体" w:cs="宋体"/>
                <w:color w:val="000000"/>
                <w:kern w:val="0"/>
                <w:szCs w:val="21"/>
              </w:rPr>
              <w:t>180分钟</w:t>
            </w:r>
          </w:p>
        </w:tc>
      </w:tr>
      <w:tr w14:paraId="3CD10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302" w:type="pct"/>
            <w:vAlign w:val="center"/>
          </w:tcPr>
          <w:p w14:paraId="71FE894E">
            <w:pPr>
              <w:snapToGrid w:val="0"/>
              <w:jc w:val="center"/>
              <w:rPr>
                <w:rFonts w:hint="eastAsia" w:ascii="宋体" w:hAnsi="宋体" w:cs="宋体"/>
                <w:kern w:val="0"/>
                <w:szCs w:val="21"/>
              </w:rPr>
            </w:pPr>
            <w:r>
              <w:rPr>
                <w:rFonts w:ascii="宋体" w:hAnsi="宋体" w:cs="宋体"/>
                <w:kern w:val="0"/>
                <w:szCs w:val="21"/>
              </w:rPr>
              <w:t>一般故障</w:t>
            </w:r>
          </w:p>
        </w:tc>
        <w:tc>
          <w:tcPr>
            <w:tcW w:w="2698" w:type="pct"/>
            <w:vAlign w:val="center"/>
          </w:tcPr>
          <w:p w14:paraId="4CE65ED6">
            <w:pPr>
              <w:snapToGrid w:val="0"/>
              <w:jc w:val="center"/>
              <w:rPr>
                <w:rFonts w:hint="eastAsia" w:ascii="宋体" w:hAnsi="宋体" w:cs="宋体"/>
                <w:color w:val="000000"/>
                <w:kern w:val="0"/>
                <w:szCs w:val="21"/>
              </w:rPr>
            </w:pPr>
            <w:r>
              <w:rPr>
                <w:rFonts w:ascii="宋体" w:hAnsi="宋体" w:cs="宋体"/>
                <w:color w:val="000000"/>
                <w:kern w:val="0"/>
                <w:szCs w:val="21"/>
              </w:rPr>
              <w:t>360分钟</w:t>
            </w:r>
          </w:p>
        </w:tc>
      </w:tr>
      <w:tr w14:paraId="2FA5E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302" w:type="pct"/>
            <w:vAlign w:val="center"/>
          </w:tcPr>
          <w:p w14:paraId="3A2C635B">
            <w:pPr>
              <w:snapToGrid w:val="0"/>
              <w:jc w:val="center"/>
              <w:rPr>
                <w:rFonts w:hint="eastAsia" w:ascii="宋体" w:hAnsi="宋体" w:cs="宋体"/>
                <w:kern w:val="0"/>
                <w:szCs w:val="21"/>
              </w:rPr>
            </w:pPr>
            <w:r>
              <w:rPr>
                <w:rFonts w:ascii="宋体" w:hAnsi="宋体" w:cs="宋体"/>
                <w:kern w:val="0"/>
                <w:szCs w:val="21"/>
              </w:rPr>
              <w:t>提示故障</w:t>
            </w:r>
          </w:p>
        </w:tc>
        <w:tc>
          <w:tcPr>
            <w:tcW w:w="2698" w:type="pct"/>
            <w:vAlign w:val="center"/>
          </w:tcPr>
          <w:p w14:paraId="53EC69DB">
            <w:pPr>
              <w:snapToGrid w:val="0"/>
              <w:jc w:val="center"/>
              <w:rPr>
                <w:rFonts w:hint="eastAsia" w:ascii="宋体" w:hAnsi="宋体" w:cs="宋体"/>
                <w:color w:val="000000"/>
                <w:kern w:val="0"/>
                <w:szCs w:val="21"/>
              </w:rPr>
            </w:pPr>
            <w:r>
              <w:rPr>
                <w:rFonts w:ascii="宋体" w:hAnsi="宋体" w:cs="宋体"/>
                <w:color w:val="000000"/>
                <w:kern w:val="0"/>
                <w:szCs w:val="21"/>
              </w:rPr>
              <w:t>24小时</w:t>
            </w:r>
          </w:p>
        </w:tc>
      </w:tr>
    </w:tbl>
    <w:p w14:paraId="09CAED1D">
      <w:pPr>
        <w:spacing w:before="156" w:beforeLines="50" w:after="156" w:afterLines="50" w:line="360" w:lineRule="auto"/>
        <w:ind w:firstLine="420"/>
        <w:rPr>
          <w:kern w:val="0"/>
          <w:sz w:val="24"/>
        </w:rPr>
      </w:pPr>
      <w:r>
        <w:rPr>
          <w:kern w:val="0"/>
          <w:sz w:val="24"/>
        </w:rPr>
        <w:t>告警工单处理时限：传输技术支持人员自首次在工单系统点击工单接收的时间，至告警监控人员反馈该条告警</w:t>
      </w:r>
      <w:r>
        <w:rPr>
          <w:rFonts w:hint="eastAsia"/>
          <w:kern w:val="0"/>
          <w:sz w:val="24"/>
        </w:rPr>
        <w:t>、故障</w:t>
      </w:r>
      <w:r>
        <w:rPr>
          <w:kern w:val="0"/>
          <w:sz w:val="24"/>
        </w:rPr>
        <w:t>工单确认告警消除的时间。</w:t>
      </w:r>
    </w:p>
    <w:p w14:paraId="48F733EC">
      <w:pPr>
        <w:spacing w:before="156" w:beforeLines="50" w:after="156" w:afterLines="50" w:line="360" w:lineRule="auto"/>
        <w:ind w:firstLine="420"/>
        <w:rPr>
          <w:kern w:val="0"/>
          <w:sz w:val="24"/>
        </w:rPr>
      </w:pPr>
      <w:r>
        <w:rPr>
          <w:kern w:val="0"/>
          <w:sz w:val="24"/>
        </w:rPr>
        <w:t>1.3 故障记录与报告：</w:t>
      </w:r>
    </w:p>
    <w:p w14:paraId="4E8FBC06">
      <w:pPr>
        <w:spacing w:before="156" w:beforeLines="50" w:after="156" w:afterLines="50" w:line="360" w:lineRule="auto"/>
        <w:ind w:firstLine="420"/>
        <w:rPr>
          <w:kern w:val="0"/>
          <w:sz w:val="24"/>
        </w:rPr>
      </w:pPr>
      <w:r>
        <w:rPr>
          <w:kern w:val="0"/>
          <w:sz w:val="24"/>
        </w:rPr>
        <w:t>故障处理完成后</w:t>
      </w:r>
      <w:r>
        <w:rPr>
          <w:rFonts w:hint="eastAsia"/>
          <w:kern w:val="0"/>
          <w:sz w:val="24"/>
        </w:rPr>
        <w:t>24</w:t>
      </w:r>
      <w:r>
        <w:rPr>
          <w:kern w:val="0"/>
          <w:sz w:val="24"/>
        </w:rPr>
        <w:t>小时内完成故障、更换记录归档；</w:t>
      </w:r>
    </w:p>
    <w:p w14:paraId="7B2D2378">
      <w:pPr>
        <w:spacing w:before="156" w:beforeLines="50" w:after="156" w:afterLines="50" w:line="360" w:lineRule="auto"/>
        <w:ind w:firstLine="420"/>
        <w:rPr>
          <w:kern w:val="0"/>
          <w:sz w:val="24"/>
        </w:rPr>
      </w:pPr>
      <w:r>
        <w:rPr>
          <w:kern w:val="0"/>
          <w:sz w:val="24"/>
        </w:rPr>
        <w:t>重大故障</w:t>
      </w:r>
      <w:r>
        <w:rPr>
          <w:rFonts w:hint="eastAsia"/>
          <w:kern w:val="0"/>
          <w:sz w:val="24"/>
        </w:rPr>
        <w:t>（紧急、重要）</w:t>
      </w:r>
      <w:r>
        <w:rPr>
          <w:kern w:val="0"/>
          <w:sz w:val="24"/>
        </w:rPr>
        <w:t>48小时内提交故障分析报告。</w:t>
      </w:r>
    </w:p>
    <w:p w14:paraId="0DB6A503">
      <w:pPr>
        <w:spacing w:before="156" w:beforeLines="50" w:after="156" w:afterLines="50" w:line="360" w:lineRule="auto"/>
        <w:ind w:firstLine="420"/>
        <w:rPr>
          <w:kern w:val="0"/>
          <w:sz w:val="24"/>
        </w:rPr>
      </w:pPr>
      <w:r>
        <w:rPr>
          <w:kern w:val="0"/>
          <w:sz w:val="24"/>
        </w:rPr>
        <w:t>2、传输日常运维工作要求</w:t>
      </w:r>
    </w:p>
    <w:p w14:paraId="32E525A7">
      <w:pPr>
        <w:spacing w:before="156" w:beforeLines="50" w:after="156" w:afterLines="50" w:line="360" w:lineRule="auto"/>
        <w:ind w:firstLine="420"/>
        <w:rPr>
          <w:kern w:val="0"/>
          <w:sz w:val="24"/>
        </w:rPr>
      </w:pPr>
      <w:r>
        <w:rPr>
          <w:kern w:val="0"/>
          <w:sz w:val="24"/>
        </w:rPr>
        <w:t>（1）日常对设备告警、光层性能、网络状态、业务情况进行主动巡检</w:t>
      </w:r>
      <w:r>
        <w:rPr>
          <w:rFonts w:hint="eastAsia"/>
          <w:kern w:val="0"/>
          <w:sz w:val="24"/>
        </w:rPr>
        <w:t>（通过</w:t>
      </w:r>
      <w:r>
        <w:rPr>
          <w:kern w:val="0"/>
          <w:sz w:val="24"/>
        </w:rPr>
        <w:t>网管巡检</w:t>
      </w:r>
      <w:r>
        <w:rPr>
          <w:rFonts w:hint="eastAsia"/>
          <w:kern w:val="0"/>
          <w:sz w:val="24"/>
        </w:rPr>
        <w:t>）</w:t>
      </w:r>
      <w:r>
        <w:rPr>
          <w:kern w:val="0"/>
          <w:sz w:val="24"/>
        </w:rPr>
        <w:t>，排查可能引起业务中断的问题和隐患，给出解决方案，并完成落地执行；</w:t>
      </w:r>
    </w:p>
    <w:p w14:paraId="1BE24F09">
      <w:pPr>
        <w:spacing w:before="156" w:beforeLines="50" w:after="156" w:afterLines="50" w:line="360" w:lineRule="auto"/>
        <w:ind w:firstLine="420"/>
        <w:rPr>
          <w:kern w:val="0"/>
          <w:sz w:val="24"/>
        </w:rPr>
      </w:pPr>
      <w:r>
        <w:rPr>
          <w:kern w:val="0"/>
          <w:sz w:val="24"/>
        </w:rPr>
        <w:t>（2）制定传输维护作业计划周期表，保障设备运行状态正常，及时发现问题并跟踪处理，减少重大故障的发生几率；</w:t>
      </w:r>
    </w:p>
    <w:p w14:paraId="53FEDE2A">
      <w:pPr>
        <w:spacing w:before="156" w:beforeLines="50" w:after="156" w:afterLines="50" w:line="360" w:lineRule="auto"/>
        <w:ind w:firstLine="420"/>
        <w:rPr>
          <w:kern w:val="0"/>
          <w:sz w:val="24"/>
        </w:rPr>
      </w:pPr>
      <w:r>
        <w:rPr>
          <w:kern w:val="0"/>
          <w:sz w:val="24"/>
        </w:rPr>
        <w:t>（3）制定网络保障应急预案，当发生重大故障或光纤阻断时，根据应急预案和应急调度原则及流程进行电路抢通和业务恢复；</w:t>
      </w:r>
    </w:p>
    <w:p w14:paraId="739DDF8D">
      <w:pPr>
        <w:spacing w:before="156" w:beforeLines="50" w:after="156" w:afterLines="50" w:line="360" w:lineRule="auto"/>
        <w:ind w:firstLine="420"/>
        <w:rPr>
          <w:kern w:val="0"/>
          <w:sz w:val="24"/>
        </w:rPr>
      </w:pPr>
      <w:r>
        <w:rPr>
          <w:kern w:val="0"/>
          <w:sz w:val="24"/>
        </w:rPr>
        <w:t>（4）节假日值守：重大节假日、事件的值守，保障网络故障及时响应；</w:t>
      </w:r>
    </w:p>
    <w:p w14:paraId="0A960C74">
      <w:pPr>
        <w:spacing w:before="156" w:beforeLines="50" w:after="156" w:afterLines="50" w:line="360" w:lineRule="auto"/>
        <w:ind w:firstLine="420"/>
        <w:rPr>
          <w:kern w:val="0"/>
          <w:sz w:val="24"/>
        </w:rPr>
      </w:pPr>
      <w:r>
        <w:rPr>
          <w:kern w:val="0"/>
          <w:sz w:val="24"/>
        </w:rPr>
        <w:t>（5）试验项目支持：对试验项目提供网管操作支持，能快速响应试验需求。</w:t>
      </w:r>
    </w:p>
    <w:p w14:paraId="396864BB">
      <w:pPr>
        <w:spacing w:after="156" w:afterLines="50" w:line="360" w:lineRule="auto"/>
        <w:ind w:firstLine="420"/>
        <w:rPr>
          <w:b/>
          <w:bCs/>
          <w:kern w:val="0"/>
          <w:sz w:val="24"/>
        </w:rPr>
      </w:pPr>
      <w:r>
        <w:rPr>
          <w:b/>
          <w:bCs/>
          <w:kern w:val="0"/>
          <w:sz w:val="24"/>
        </w:rPr>
        <w:t>（四）数通技术服务</w:t>
      </w:r>
    </w:p>
    <w:p w14:paraId="74ED2250">
      <w:pPr>
        <w:spacing w:after="156" w:afterLines="50" w:line="360" w:lineRule="auto"/>
        <w:ind w:firstLine="420"/>
        <w:rPr>
          <w:kern w:val="0"/>
          <w:szCs w:val="21"/>
        </w:rPr>
      </w:pPr>
      <w:r>
        <w:rPr>
          <w:kern w:val="0"/>
          <w:szCs w:val="21"/>
        </w:rPr>
        <w:t>本项服务地址位于江苏省南京市江宁区秣周东路7号未来网络大厦</w:t>
      </w:r>
      <w:r>
        <w:rPr>
          <w:rFonts w:hint="eastAsia"/>
          <w:kern w:val="0"/>
          <w:szCs w:val="21"/>
        </w:rPr>
        <w:t>。</w:t>
      </w:r>
    </w:p>
    <w:p w14:paraId="484A42BC">
      <w:pPr>
        <w:spacing w:after="156" w:afterLines="50" w:line="360" w:lineRule="auto"/>
        <w:ind w:firstLine="420"/>
        <w:rPr>
          <w:kern w:val="0"/>
          <w:sz w:val="24"/>
        </w:rPr>
      </w:pPr>
      <w:r>
        <w:rPr>
          <w:kern w:val="0"/>
          <w:sz w:val="24"/>
        </w:rPr>
        <w:t>服务范围：覆盖CENI全国40个核心节点和30个边缘节点的路由器、交换机、防火墙、服务器等数通设备及配套软件系统。设备数量约1100台套。</w:t>
      </w:r>
    </w:p>
    <w:p w14:paraId="63EF00E2">
      <w:pPr>
        <w:spacing w:after="156" w:afterLines="50" w:line="360" w:lineRule="auto"/>
        <w:ind w:firstLine="420"/>
        <w:rPr>
          <w:kern w:val="0"/>
          <w:sz w:val="24"/>
        </w:rPr>
      </w:pPr>
      <w:r>
        <w:rPr>
          <w:kern w:val="0"/>
          <w:sz w:val="24"/>
        </w:rPr>
        <w:t>1、数通告警</w:t>
      </w:r>
      <w:r>
        <w:rPr>
          <w:rFonts w:hint="eastAsia"/>
          <w:kern w:val="0"/>
          <w:sz w:val="24"/>
        </w:rPr>
        <w:t>、故障</w:t>
      </w:r>
      <w:r>
        <w:rPr>
          <w:kern w:val="0"/>
          <w:sz w:val="24"/>
        </w:rPr>
        <w:t>工单响应</w:t>
      </w:r>
      <w:r>
        <w:rPr>
          <w:rFonts w:hint="eastAsia"/>
          <w:kern w:val="0"/>
          <w:sz w:val="24"/>
        </w:rPr>
        <w:t>时间要求</w:t>
      </w:r>
    </w:p>
    <w:p w14:paraId="6301CF17">
      <w:pPr>
        <w:spacing w:line="360" w:lineRule="auto"/>
        <w:ind w:firstLine="420"/>
        <w:rPr>
          <w:kern w:val="0"/>
          <w:sz w:val="24"/>
        </w:rPr>
      </w:pPr>
      <w:r>
        <w:rPr>
          <w:kern w:val="0"/>
          <w:sz w:val="24"/>
        </w:rPr>
        <w:t>告警分级与响应要求</w:t>
      </w:r>
    </w:p>
    <w:tbl>
      <w:tblPr>
        <w:tblStyle w:val="6"/>
        <w:tblW w:w="34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839"/>
        <w:gridCol w:w="2981"/>
      </w:tblGrid>
      <w:tr w14:paraId="34816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jc w:val="center"/>
        </w:trPr>
        <w:tc>
          <w:tcPr>
            <w:tcW w:w="2896" w:type="dxa"/>
            <w:shd w:val="clear" w:color="auto" w:fill="DAEEF3"/>
            <w:vAlign w:val="center"/>
          </w:tcPr>
          <w:p w14:paraId="5772A243">
            <w:pPr>
              <w:snapToGrid w:val="0"/>
              <w:jc w:val="center"/>
              <w:rPr>
                <w:rFonts w:hint="eastAsia" w:ascii="宋体" w:hAnsi="宋体"/>
                <w:kern w:val="0"/>
                <w:szCs w:val="21"/>
              </w:rPr>
            </w:pPr>
            <w:r>
              <w:rPr>
                <w:rFonts w:ascii="宋体" w:hAnsi="宋体"/>
                <w:b/>
                <w:color w:val="2C3E50"/>
                <w:kern w:val="0"/>
                <w:sz w:val="20"/>
                <w:szCs w:val="21"/>
              </w:rPr>
              <w:t>告警级别</w:t>
            </w:r>
          </w:p>
        </w:tc>
        <w:tc>
          <w:tcPr>
            <w:tcW w:w="3043" w:type="dxa"/>
            <w:shd w:val="clear" w:color="auto" w:fill="DAEEF3"/>
            <w:vAlign w:val="center"/>
          </w:tcPr>
          <w:p w14:paraId="63C7B64F">
            <w:pPr>
              <w:snapToGrid w:val="0"/>
              <w:jc w:val="center"/>
              <w:rPr>
                <w:rFonts w:hint="eastAsia" w:ascii="宋体" w:hAnsi="宋体"/>
                <w:b/>
                <w:color w:val="2C3E50"/>
                <w:kern w:val="0"/>
                <w:sz w:val="20"/>
                <w:szCs w:val="21"/>
              </w:rPr>
            </w:pPr>
            <w:r>
              <w:rPr>
                <w:rFonts w:ascii="宋体" w:hAnsi="宋体"/>
                <w:b/>
                <w:color w:val="2C3E50"/>
                <w:kern w:val="0"/>
                <w:sz w:val="20"/>
                <w:szCs w:val="21"/>
              </w:rPr>
              <w:t>告警工单</w:t>
            </w:r>
          </w:p>
          <w:p w14:paraId="7FA9E9F5">
            <w:pPr>
              <w:snapToGrid w:val="0"/>
              <w:jc w:val="center"/>
              <w:rPr>
                <w:rFonts w:hint="eastAsia" w:ascii="宋体" w:hAnsi="宋体"/>
                <w:kern w:val="0"/>
                <w:szCs w:val="21"/>
              </w:rPr>
            </w:pPr>
            <w:r>
              <w:rPr>
                <w:rFonts w:ascii="宋体" w:hAnsi="宋体"/>
                <w:b/>
                <w:color w:val="2C3E50"/>
                <w:kern w:val="0"/>
                <w:sz w:val="20"/>
                <w:szCs w:val="21"/>
              </w:rPr>
              <w:t>响应时限</w:t>
            </w:r>
          </w:p>
        </w:tc>
      </w:tr>
      <w:tr w14:paraId="2C435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896" w:type="dxa"/>
            <w:vAlign w:val="center"/>
          </w:tcPr>
          <w:p w14:paraId="6344FD35">
            <w:pPr>
              <w:snapToGrid w:val="0"/>
              <w:jc w:val="center"/>
              <w:rPr>
                <w:rFonts w:hint="eastAsia" w:ascii="宋体" w:hAnsi="宋体"/>
                <w:kern w:val="0"/>
                <w:szCs w:val="21"/>
              </w:rPr>
            </w:pPr>
            <w:r>
              <w:rPr>
                <w:rFonts w:ascii="宋体" w:hAnsi="宋体"/>
                <w:kern w:val="0"/>
                <w:sz w:val="20"/>
                <w:szCs w:val="21"/>
              </w:rPr>
              <w:t>紧急告警（一级）</w:t>
            </w:r>
          </w:p>
        </w:tc>
        <w:tc>
          <w:tcPr>
            <w:tcW w:w="3043" w:type="dxa"/>
            <w:vAlign w:val="center"/>
          </w:tcPr>
          <w:p w14:paraId="68B2BE81">
            <w:pPr>
              <w:snapToGrid w:val="0"/>
              <w:jc w:val="center"/>
              <w:rPr>
                <w:rFonts w:hint="eastAsia" w:ascii="宋体" w:hAnsi="宋体"/>
                <w:kern w:val="0"/>
                <w:szCs w:val="21"/>
              </w:rPr>
            </w:pPr>
            <w:r>
              <w:rPr>
                <w:kern w:val="0"/>
                <w:sz w:val="20"/>
                <w:szCs w:val="20"/>
              </w:rPr>
              <w:t>5分钟</w:t>
            </w:r>
          </w:p>
        </w:tc>
      </w:tr>
      <w:tr w14:paraId="6903EE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13" w:hRule="atLeast"/>
          <w:jc w:val="center"/>
        </w:trPr>
        <w:tc>
          <w:tcPr>
            <w:tcW w:w="2896" w:type="dxa"/>
            <w:vAlign w:val="center"/>
          </w:tcPr>
          <w:p w14:paraId="2F3D2A85">
            <w:pPr>
              <w:snapToGrid w:val="0"/>
              <w:jc w:val="center"/>
              <w:rPr>
                <w:rFonts w:hint="eastAsia" w:ascii="宋体" w:hAnsi="宋体"/>
                <w:kern w:val="0"/>
                <w:szCs w:val="21"/>
              </w:rPr>
            </w:pPr>
            <w:r>
              <w:rPr>
                <w:rFonts w:ascii="宋体" w:hAnsi="宋体"/>
                <w:kern w:val="0"/>
                <w:sz w:val="20"/>
                <w:szCs w:val="21"/>
              </w:rPr>
              <w:t>重要告警（二级）</w:t>
            </w:r>
          </w:p>
        </w:tc>
        <w:tc>
          <w:tcPr>
            <w:tcW w:w="3043" w:type="dxa"/>
            <w:vAlign w:val="center"/>
          </w:tcPr>
          <w:p w14:paraId="58950C41">
            <w:pPr>
              <w:snapToGrid w:val="0"/>
              <w:jc w:val="center"/>
              <w:rPr>
                <w:rFonts w:hint="eastAsia" w:ascii="宋体" w:hAnsi="宋体"/>
                <w:kern w:val="0"/>
                <w:szCs w:val="21"/>
              </w:rPr>
            </w:pPr>
            <w:r>
              <w:rPr>
                <w:kern w:val="0"/>
                <w:sz w:val="20"/>
                <w:szCs w:val="20"/>
              </w:rPr>
              <w:t>10分钟</w:t>
            </w:r>
          </w:p>
        </w:tc>
      </w:tr>
      <w:tr w14:paraId="3BAF3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896" w:type="dxa"/>
            <w:vAlign w:val="center"/>
          </w:tcPr>
          <w:p w14:paraId="56E4A338">
            <w:pPr>
              <w:snapToGrid w:val="0"/>
              <w:jc w:val="center"/>
              <w:rPr>
                <w:rFonts w:hint="eastAsia" w:ascii="宋体" w:hAnsi="宋体"/>
                <w:kern w:val="0"/>
                <w:szCs w:val="21"/>
              </w:rPr>
            </w:pPr>
            <w:r>
              <w:rPr>
                <w:rFonts w:ascii="宋体" w:hAnsi="宋体"/>
                <w:kern w:val="0"/>
                <w:sz w:val="20"/>
                <w:szCs w:val="21"/>
              </w:rPr>
              <w:t>一般告警（三级）</w:t>
            </w:r>
          </w:p>
        </w:tc>
        <w:tc>
          <w:tcPr>
            <w:tcW w:w="3043" w:type="dxa"/>
            <w:vAlign w:val="center"/>
          </w:tcPr>
          <w:p w14:paraId="1C567410">
            <w:pPr>
              <w:snapToGrid w:val="0"/>
              <w:jc w:val="center"/>
              <w:rPr>
                <w:rFonts w:hint="eastAsia" w:ascii="宋体" w:hAnsi="宋体"/>
                <w:kern w:val="0"/>
                <w:sz w:val="20"/>
                <w:szCs w:val="21"/>
              </w:rPr>
            </w:pPr>
            <w:r>
              <w:rPr>
                <w:kern w:val="0"/>
                <w:sz w:val="20"/>
                <w:szCs w:val="20"/>
              </w:rPr>
              <w:t>120分钟</w:t>
            </w:r>
          </w:p>
        </w:tc>
      </w:tr>
      <w:tr w14:paraId="4E034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2896" w:type="dxa"/>
            <w:vAlign w:val="center"/>
          </w:tcPr>
          <w:p w14:paraId="4D2B0D6A">
            <w:pPr>
              <w:snapToGrid w:val="0"/>
              <w:jc w:val="center"/>
              <w:rPr>
                <w:rFonts w:hint="eastAsia" w:ascii="宋体" w:hAnsi="宋体"/>
                <w:kern w:val="0"/>
                <w:sz w:val="20"/>
                <w:szCs w:val="21"/>
              </w:rPr>
            </w:pPr>
            <w:r>
              <w:rPr>
                <w:rFonts w:ascii="宋体" w:hAnsi="宋体"/>
                <w:kern w:val="0"/>
                <w:sz w:val="20"/>
                <w:szCs w:val="21"/>
              </w:rPr>
              <w:t>提示告警（四级）</w:t>
            </w:r>
          </w:p>
        </w:tc>
        <w:tc>
          <w:tcPr>
            <w:tcW w:w="3043" w:type="dxa"/>
            <w:vAlign w:val="center"/>
          </w:tcPr>
          <w:p w14:paraId="07AE8A7B">
            <w:pPr>
              <w:snapToGrid w:val="0"/>
              <w:jc w:val="center"/>
              <w:rPr>
                <w:rFonts w:hint="eastAsia" w:ascii="宋体" w:hAnsi="宋体"/>
                <w:kern w:val="0"/>
                <w:sz w:val="20"/>
                <w:szCs w:val="21"/>
              </w:rPr>
            </w:pPr>
            <w:r>
              <w:rPr>
                <w:kern w:val="0"/>
                <w:sz w:val="20"/>
                <w:szCs w:val="20"/>
              </w:rPr>
              <w:t>360分钟</w:t>
            </w:r>
          </w:p>
        </w:tc>
      </w:tr>
    </w:tbl>
    <w:p w14:paraId="6E6909EB">
      <w:pPr>
        <w:spacing w:before="312" w:beforeLines="100" w:after="156" w:afterLines="50" w:line="360" w:lineRule="auto"/>
        <w:ind w:firstLine="420"/>
        <w:rPr>
          <w:kern w:val="0"/>
          <w:sz w:val="24"/>
        </w:rPr>
      </w:pPr>
      <w:r>
        <w:rPr>
          <w:kern w:val="0"/>
          <w:sz w:val="24"/>
        </w:rPr>
        <w:t>告警工单响应时限：</w:t>
      </w:r>
      <w:r>
        <w:rPr>
          <w:rFonts w:hint="eastAsia"/>
          <w:kern w:val="0"/>
          <w:sz w:val="24"/>
        </w:rPr>
        <w:t>数通</w:t>
      </w:r>
      <w:r>
        <w:rPr>
          <w:kern w:val="0"/>
          <w:sz w:val="24"/>
        </w:rPr>
        <w:t>技术支持人员自首次接收到监控人员转派的告警工单，至工单系统点击接收确认的时间段。</w:t>
      </w:r>
    </w:p>
    <w:p w14:paraId="4EAE6785">
      <w:pPr>
        <w:spacing w:after="156" w:afterLines="50" w:line="360" w:lineRule="auto"/>
        <w:ind w:firstLine="420"/>
        <w:rPr>
          <w:kern w:val="0"/>
          <w:sz w:val="24"/>
        </w:rPr>
      </w:pPr>
      <w:r>
        <w:rPr>
          <w:kern w:val="0"/>
          <w:sz w:val="24"/>
        </w:rPr>
        <w:t>2、数通</w:t>
      </w:r>
      <w:r>
        <w:rPr>
          <w:rFonts w:hint="eastAsia"/>
          <w:kern w:val="0"/>
          <w:sz w:val="24"/>
        </w:rPr>
        <w:t>告警、</w:t>
      </w:r>
      <w:r>
        <w:rPr>
          <w:kern w:val="0"/>
          <w:sz w:val="24"/>
        </w:rPr>
        <w:t>故障工单处理</w:t>
      </w:r>
      <w:r>
        <w:rPr>
          <w:rFonts w:hint="eastAsia"/>
          <w:kern w:val="0"/>
          <w:sz w:val="24"/>
        </w:rPr>
        <w:t>时间要求</w:t>
      </w:r>
    </w:p>
    <w:p w14:paraId="13C62991">
      <w:pPr>
        <w:spacing w:after="156" w:afterLines="50" w:line="360" w:lineRule="auto"/>
        <w:ind w:firstLine="420"/>
        <w:rPr>
          <w:kern w:val="0"/>
          <w:sz w:val="24"/>
        </w:rPr>
      </w:pPr>
      <w:r>
        <w:rPr>
          <w:kern w:val="0"/>
          <w:sz w:val="24"/>
        </w:rPr>
        <w:t>负责数通网络工单系统分派的故障处理，按标准化流程快速定位故障，保障数通网络业务及时恢复，编制故障分析报告等。</w:t>
      </w:r>
    </w:p>
    <w:p w14:paraId="343567C2">
      <w:pPr>
        <w:spacing w:line="360" w:lineRule="auto"/>
        <w:ind w:firstLine="420"/>
        <w:rPr>
          <w:kern w:val="0"/>
          <w:sz w:val="24"/>
        </w:rPr>
      </w:pPr>
      <w:r>
        <w:rPr>
          <w:kern w:val="0"/>
          <w:sz w:val="24"/>
        </w:rPr>
        <w:t>工单处理时间要求：</w:t>
      </w:r>
    </w:p>
    <w:tbl>
      <w:tblPr>
        <w:tblStyle w:val="6"/>
        <w:tblW w:w="373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3036"/>
        <w:gridCol w:w="3179"/>
      </w:tblGrid>
      <w:tr w14:paraId="6C4D7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94" w:hRule="atLeast"/>
          <w:tblHeader/>
          <w:jc w:val="center"/>
        </w:trPr>
        <w:tc>
          <w:tcPr>
            <w:tcW w:w="3096" w:type="dxa"/>
            <w:shd w:val="clear" w:color="auto" w:fill="DAEEF3"/>
            <w:vAlign w:val="center"/>
          </w:tcPr>
          <w:p w14:paraId="7FDA4D46">
            <w:pPr>
              <w:spacing w:before="40" w:after="40"/>
              <w:jc w:val="center"/>
              <w:rPr>
                <w:rFonts w:hint="eastAsia" w:ascii="宋体" w:hAnsi="宋体"/>
                <w:kern w:val="0"/>
                <w:szCs w:val="21"/>
                <w:highlight w:val="yellow"/>
              </w:rPr>
            </w:pPr>
            <w:r>
              <w:rPr>
                <w:rFonts w:ascii="宋体" w:hAnsi="宋体"/>
                <w:b/>
                <w:color w:val="2C3E50"/>
                <w:kern w:val="0"/>
                <w:sz w:val="20"/>
                <w:szCs w:val="21"/>
              </w:rPr>
              <w:t>故障级别</w:t>
            </w:r>
          </w:p>
        </w:tc>
        <w:tc>
          <w:tcPr>
            <w:tcW w:w="3245" w:type="dxa"/>
            <w:shd w:val="clear" w:color="auto" w:fill="DAEEF3"/>
            <w:vAlign w:val="center"/>
          </w:tcPr>
          <w:p w14:paraId="74D3616D">
            <w:pPr>
              <w:spacing w:before="40" w:after="40"/>
              <w:jc w:val="center"/>
              <w:rPr>
                <w:rFonts w:hint="eastAsia" w:ascii="宋体" w:hAnsi="宋体"/>
                <w:b/>
                <w:color w:val="2C3E50"/>
                <w:kern w:val="0"/>
                <w:sz w:val="20"/>
                <w:szCs w:val="21"/>
              </w:rPr>
            </w:pPr>
            <w:r>
              <w:rPr>
                <w:rFonts w:ascii="宋体" w:hAnsi="宋体"/>
                <w:b/>
                <w:color w:val="2C3E50"/>
                <w:kern w:val="0"/>
                <w:sz w:val="20"/>
                <w:szCs w:val="21"/>
              </w:rPr>
              <w:t>工单处理时限</w:t>
            </w:r>
          </w:p>
        </w:tc>
      </w:tr>
      <w:tr w14:paraId="056E8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3096" w:type="dxa"/>
            <w:vAlign w:val="center"/>
          </w:tcPr>
          <w:p w14:paraId="73793D15">
            <w:pPr>
              <w:spacing w:before="40" w:after="40"/>
              <w:jc w:val="center"/>
              <w:rPr>
                <w:rFonts w:hint="eastAsia" w:ascii="宋体" w:hAnsi="宋体"/>
                <w:kern w:val="0"/>
                <w:sz w:val="20"/>
                <w:szCs w:val="21"/>
              </w:rPr>
            </w:pPr>
            <w:r>
              <w:rPr>
                <w:rFonts w:ascii="宋体" w:hAnsi="宋体"/>
                <w:kern w:val="0"/>
                <w:sz w:val="20"/>
                <w:szCs w:val="21"/>
              </w:rPr>
              <w:t>紧急故障工单（一级）</w:t>
            </w:r>
          </w:p>
        </w:tc>
        <w:tc>
          <w:tcPr>
            <w:tcW w:w="3245" w:type="dxa"/>
          </w:tcPr>
          <w:p w14:paraId="0D295355">
            <w:pPr>
              <w:spacing w:before="40" w:after="40"/>
              <w:jc w:val="center"/>
              <w:rPr>
                <w:rFonts w:hint="eastAsia" w:ascii="宋体" w:hAnsi="宋体"/>
                <w:kern w:val="0"/>
                <w:sz w:val="20"/>
                <w:szCs w:val="21"/>
              </w:rPr>
            </w:pPr>
            <w:r>
              <w:rPr>
                <w:kern w:val="0"/>
                <w:szCs w:val="21"/>
              </w:rPr>
              <w:t>60分钟</w:t>
            </w:r>
          </w:p>
        </w:tc>
      </w:tr>
      <w:tr w14:paraId="4BE42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3096" w:type="dxa"/>
            <w:vAlign w:val="center"/>
          </w:tcPr>
          <w:p w14:paraId="7CE5646B">
            <w:pPr>
              <w:spacing w:before="40" w:after="40"/>
              <w:jc w:val="center"/>
              <w:rPr>
                <w:rFonts w:hint="eastAsia" w:ascii="宋体" w:hAnsi="宋体"/>
                <w:kern w:val="0"/>
                <w:szCs w:val="21"/>
              </w:rPr>
            </w:pPr>
            <w:r>
              <w:rPr>
                <w:rFonts w:ascii="宋体" w:hAnsi="宋体"/>
                <w:kern w:val="0"/>
                <w:sz w:val="20"/>
                <w:szCs w:val="21"/>
              </w:rPr>
              <w:t>重要故障工单（二级）</w:t>
            </w:r>
          </w:p>
        </w:tc>
        <w:tc>
          <w:tcPr>
            <w:tcW w:w="3245" w:type="dxa"/>
          </w:tcPr>
          <w:p w14:paraId="074A63D2">
            <w:pPr>
              <w:spacing w:before="40" w:after="40"/>
              <w:jc w:val="center"/>
              <w:rPr>
                <w:rFonts w:hint="eastAsia" w:ascii="宋体" w:hAnsi="宋体"/>
                <w:kern w:val="0"/>
                <w:sz w:val="20"/>
                <w:szCs w:val="21"/>
              </w:rPr>
            </w:pPr>
            <w:r>
              <w:rPr>
                <w:kern w:val="0"/>
                <w:szCs w:val="21"/>
              </w:rPr>
              <w:t>180分钟</w:t>
            </w:r>
          </w:p>
        </w:tc>
      </w:tr>
      <w:tr w14:paraId="4B34F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3096" w:type="dxa"/>
            <w:vAlign w:val="center"/>
          </w:tcPr>
          <w:p w14:paraId="0ADFC1D3">
            <w:pPr>
              <w:spacing w:before="40" w:after="40"/>
              <w:jc w:val="center"/>
              <w:rPr>
                <w:rFonts w:hint="eastAsia" w:ascii="宋体" w:hAnsi="宋体"/>
                <w:kern w:val="0"/>
                <w:szCs w:val="21"/>
              </w:rPr>
            </w:pPr>
            <w:r>
              <w:rPr>
                <w:rFonts w:ascii="宋体" w:hAnsi="宋体"/>
                <w:kern w:val="0"/>
                <w:sz w:val="20"/>
                <w:szCs w:val="21"/>
              </w:rPr>
              <w:t>一般故障工单（三级）</w:t>
            </w:r>
          </w:p>
        </w:tc>
        <w:tc>
          <w:tcPr>
            <w:tcW w:w="3245" w:type="dxa"/>
          </w:tcPr>
          <w:p w14:paraId="451B811C">
            <w:pPr>
              <w:spacing w:before="40" w:after="40"/>
              <w:jc w:val="center"/>
              <w:rPr>
                <w:rFonts w:hint="eastAsia" w:ascii="宋体" w:hAnsi="宋体"/>
                <w:kern w:val="0"/>
                <w:sz w:val="20"/>
                <w:szCs w:val="21"/>
              </w:rPr>
            </w:pPr>
            <w:r>
              <w:rPr>
                <w:kern w:val="0"/>
                <w:szCs w:val="21"/>
              </w:rPr>
              <w:t>360分钟</w:t>
            </w:r>
          </w:p>
        </w:tc>
      </w:tr>
      <w:tr w14:paraId="58DA3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3096" w:type="dxa"/>
            <w:vAlign w:val="center"/>
          </w:tcPr>
          <w:p w14:paraId="4A0C708B">
            <w:pPr>
              <w:spacing w:before="40" w:after="40"/>
              <w:jc w:val="center"/>
              <w:rPr>
                <w:rFonts w:hint="eastAsia" w:ascii="宋体" w:hAnsi="宋体"/>
                <w:kern w:val="0"/>
                <w:sz w:val="20"/>
                <w:szCs w:val="21"/>
              </w:rPr>
            </w:pPr>
            <w:r>
              <w:rPr>
                <w:rFonts w:ascii="宋体" w:hAnsi="宋体"/>
                <w:kern w:val="0"/>
                <w:sz w:val="20"/>
                <w:szCs w:val="21"/>
              </w:rPr>
              <w:t>提示故障工单（四级）</w:t>
            </w:r>
          </w:p>
        </w:tc>
        <w:tc>
          <w:tcPr>
            <w:tcW w:w="3245" w:type="dxa"/>
          </w:tcPr>
          <w:p w14:paraId="5A465FE8">
            <w:pPr>
              <w:spacing w:before="40" w:after="40"/>
              <w:jc w:val="center"/>
              <w:rPr>
                <w:rFonts w:hint="eastAsia" w:ascii="宋体" w:hAnsi="宋体"/>
                <w:kern w:val="0"/>
                <w:sz w:val="20"/>
                <w:szCs w:val="21"/>
              </w:rPr>
            </w:pPr>
            <w:r>
              <w:rPr>
                <w:kern w:val="0"/>
                <w:szCs w:val="21"/>
              </w:rPr>
              <w:t>24小时</w:t>
            </w:r>
          </w:p>
        </w:tc>
      </w:tr>
    </w:tbl>
    <w:p w14:paraId="46AACC1A">
      <w:pPr>
        <w:spacing w:before="156" w:beforeLines="50" w:after="156" w:afterLines="50" w:line="360" w:lineRule="auto"/>
        <w:ind w:firstLine="420"/>
        <w:rPr>
          <w:kern w:val="0"/>
          <w:sz w:val="24"/>
        </w:rPr>
      </w:pPr>
      <w:r>
        <w:rPr>
          <w:kern w:val="0"/>
          <w:sz w:val="24"/>
        </w:rPr>
        <w:t>告警工单处理时限：</w:t>
      </w:r>
      <w:r>
        <w:rPr>
          <w:rFonts w:hint="eastAsia"/>
          <w:kern w:val="0"/>
          <w:sz w:val="24"/>
        </w:rPr>
        <w:t>数通</w:t>
      </w:r>
      <w:r>
        <w:rPr>
          <w:kern w:val="0"/>
          <w:sz w:val="24"/>
        </w:rPr>
        <w:t>技术支持人员自首次在工单系统点击工单接收的时间，至告警监控人员反馈该条告警</w:t>
      </w:r>
      <w:r>
        <w:rPr>
          <w:rFonts w:hint="eastAsia"/>
          <w:kern w:val="0"/>
          <w:sz w:val="24"/>
        </w:rPr>
        <w:t>、故障</w:t>
      </w:r>
      <w:r>
        <w:rPr>
          <w:kern w:val="0"/>
          <w:sz w:val="24"/>
        </w:rPr>
        <w:t>工单确认告警消除的时间。</w:t>
      </w:r>
    </w:p>
    <w:p w14:paraId="2164D78A">
      <w:pPr>
        <w:spacing w:after="156" w:afterLines="50" w:line="360" w:lineRule="auto"/>
        <w:ind w:firstLine="420"/>
        <w:rPr>
          <w:kern w:val="0"/>
          <w:sz w:val="24"/>
        </w:rPr>
      </w:pPr>
      <w:r>
        <w:rPr>
          <w:kern w:val="0"/>
          <w:sz w:val="24"/>
        </w:rPr>
        <w:t>服务标准：故障工单响应及时率100%，故障工单处理恢复及时率≥95%。</w:t>
      </w:r>
    </w:p>
    <w:p w14:paraId="34AD97A9">
      <w:pPr>
        <w:spacing w:after="156" w:afterLines="50" w:line="360" w:lineRule="auto"/>
        <w:ind w:firstLine="420"/>
        <w:rPr>
          <w:kern w:val="0"/>
          <w:sz w:val="24"/>
        </w:rPr>
      </w:pPr>
      <w:r>
        <w:rPr>
          <w:kern w:val="0"/>
          <w:sz w:val="24"/>
        </w:rPr>
        <w:t>3、数通维护作业计划</w:t>
      </w:r>
    </w:p>
    <w:p w14:paraId="029FEFA9">
      <w:pPr>
        <w:spacing w:after="156" w:afterLines="50" w:line="360" w:lineRule="auto"/>
        <w:ind w:firstLine="420"/>
        <w:rPr>
          <w:kern w:val="0"/>
          <w:sz w:val="24"/>
        </w:rPr>
      </w:pPr>
      <w:r>
        <w:rPr>
          <w:kern w:val="0"/>
          <w:sz w:val="24"/>
        </w:rPr>
        <w:t>日常对数通设备开展</w:t>
      </w:r>
      <w:r>
        <w:rPr>
          <w:rFonts w:hint="eastAsia"/>
          <w:kern w:val="0"/>
          <w:sz w:val="24"/>
        </w:rPr>
        <w:t>远程</w:t>
      </w:r>
      <w:r>
        <w:rPr>
          <w:kern w:val="0"/>
          <w:sz w:val="24"/>
        </w:rPr>
        <w:t>综合巡检</w:t>
      </w:r>
      <w:r>
        <w:rPr>
          <w:rFonts w:hint="eastAsia"/>
          <w:kern w:val="0"/>
          <w:sz w:val="24"/>
        </w:rPr>
        <w:t>、</w:t>
      </w:r>
      <w:r>
        <w:rPr>
          <w:kern w:val="0"/>
          <w:sz w:val="24"/>
        </w:rPr>
        <w:t>核查设备运行硬件状态，监测设备 CPU、内存、单板温度等运行资源，检查各类接口、链路光功率与流量负载，确认 OSPF、BGP、BFD、LACP 等协议及上层业务运行正常，梳理并闭环各级告警与系统日志，核对配置文件、账号权限及安全策略，及时排查隐患，保障网络稳定运行。</w:t>
      </w:r>
    </w:p>
    <w:p w14:paraId="4CB9E1E3">
      <w:pPr>
        <w:spacing w:after="156" w:afterLines="50" w:line="360" w:lineRule="auto"/>
        <w:ind w:firstLine="420"/>
        <w:rPr>
          <w:kern w:val="0"/>
          <w:sz w:val="24"/>
        </w:rPr>
      </w:pPr>
      <w:r>
        <w:rPr>
          <w:kern w:val="0"/>
          <w:sz w:val="24"/>
        </w:rPr>
        <w:t>制定日常维护作业计划，根据业务需求进行设备配置变更，业务开通，业务割接，版本升级等操作，重大操作及时提交操作报告。</w:t>
      </w:r>
    </w:p>
    <w:p w14:paraId="121BA3DA">
      <w:pPr>
        <w:spacing w:after="156" w:afterLines="50" w:line="360" w:lineRule="auto"/>
        <w:ind w:firstLine="420"/>
        <w:rPr>
          <w:b/>
          <w:bCs/>
          <w:kern w:val="0"/>
          <w:sz w:val="24"/>
        </w:rPr>
      </w:pPr>
      <w:r>
        <w:rPr>
          <w:b/>
          <w:bCs/>
          <w:kern w:val="0"/>
          <w:sz w:val="24"/>
        </w:rPr>
        <w:t>（五）其他配合服务</w:t>
      </w:r>
    </w:p>
    <w:p w14:paraId="49699944">
      <w:pPr>
        <w:spacing w:after="156" w:afterLines="50" w:line="360" w:lineRule="auto"/>
        <w:ind w:firstLine="420"/>
        <w:rPr>
          <w:kern w:val="0"/>
          <w:sz w:val="24"/>
        </w:rPr>
      </w:pPr>
      <w:r>
        <w:rPr>
          <w:kern w:val="0"/>
          <w:sz w:val="24"/>
        </w:rPr>
        <w:t>1. 配合重大故障的抢修、技改升级、零星工程实施，配合完成临时作业随工、设备割接、网络保障等工作并记录。</w:t>
      </w:r>
    </w:p>
    <w:p w14:paraId="7329B2F2">
      <w:pPr>
        <w:spacing w:after="156" w:afterLines="50" w:line="360" w:lineRule="auto"/>
        <w:ind w:firstLine="420"/>
        <w:rPr>
          <w:kern w:val="0"/>
          <w:sz w:val="24"/>
        </w:rPr>
      </w:pPr>
      <w:r>
        <w:rPr>
          <w:kern w:val="0"/>
          <w:sz w:val="24"/>
        </w:rPr>
        <w:t>2. 配合协调招标方/设备供应商等，及时解决运维过程中的临时需求和突发问题， 协助紧急管控机房临时进出人员、突发情况时紧急调配备品备件和工具。</w:t>
      </w:r>
    </w:p>
    <w:p w14:paraId="21C2E7AD">
      <w:pPr>
        <w:spacing w:after="156" w:afterLines="50" w:line="360" w:lineRule="auto"/>
        <w:ind w:firstLine="420"/>
        <w:rPr>
          <w:kern w:val="0"/>
          <w:sz w:val="24"/>
        </w:rPr>
      </w:pPr>
      <w:r>
        <w:rPr>
          <w:kern w:val="0"/>
          <w:sz w:val="24"/>
        </w:rPr>
        <w:t>3. 日常夜间值守、重大节假日、应急事件的值守，</w:t>
      </w:r>
      <w:r>
        <w:rPr>
          <w:rFonts w:ascii="宋体" w:hAnsi="宋体"/>
          <w:color w:val="1A252F"/>
          <w:sz w:val="24"/>
        </w:rPr>
        <w:t>值守后按规范完成工作内容交接，形成交接工作记录表，</w:t>
      </w:r>
      <w:r>
        <w:rPr>
          <w:kern w:val="0"/>
          <w:sz w:val="24"/>
        </w:rPr>
        <w:t>保障网络故障及时响应。</w:t>
      </w:r>
    </w:p>
    <w:p w14:paraId="4D3E91C4">
      <w:pPr>
        <w:spacing w:after="156" w:afterLines="50" w:line="360" w:lineRule="auto"/>
        <w:ind w:firstLine="420"/>
        <w:rPr>
          <w:kern w:val="0"/>
          <w:sz w:val="24"/>
        </w:rPr>
      </w:pPr>
      <w:r>
        <w:rPr>
          <w:kern w:val="0"/>
          <w:sz w:val="24"/>
        </w:rPr>
        <w:t>4. 配合资产盘点及资产管理工作。</w:t>
      </w:r>
    </w:p>
    <w:p w14:paraId="746AF5B3">
      <w:pPr>
        <w:spacing w:after="156" w:afterLines="50" w:line="360" w:lineRule="auto"/>
        <w:ind w:firstLine="420"/>
        <w:rPr>
          <w:kern w:val="0"/>
          <w:sz w:val="24"/>
        </w:rPr>
      </w:pPr>
      <w:r>
        <w:rPr>
          <w:kern w:val="0"/>
          <w:sz w:val="24"/>
        </w:rPr>
        <w:t>5. 按照既定的作业计划开展日常监控、数据汇总与报告撰写，确保数据及时提交，内容真实有效；</w:t>
      </w:r>
      <w:r>
        <w:rPr>
          <w:rFonts w:hint="eastAsia"/>
          <w:kern w:val="0"/>
          <w:sz w:val="24"/>
        </w:rPr>
        <w:t>按采购人要求</w:t>
      </w:r>
      <w:r>
        <w:rPr>
          <w:kern w:val="0"/>
          <w:sz w:val="24"/>
        </w:rPr>
        <w:t>记录、提交监控告警及故障工单信息清单，统计或导出系统告警响应时间、故障处理时间等关键信息。</w:t>
      </w:r>
    </w:p>
    <w:p w14:paraId="4660CAA4">
      <w:pPr>
        <w:spacing w:after="156" w:afterLines="50" w:line="360" w:lineRule="auto"/>
        <w:ind w:firstLine="420"/>
        <w:rPr>
          <w:rFonts w:hint="eastAsia" w:ascii="宋体" w:hAnsi="宋体"/>
          <w:b/>
          <w:bCs/>
          <w:kern w:val="0"/>
          <w:sz w:val="24"/>
        </w:rPr>
      </w:pPr>
      <w:r>
        <w:rPr>
          <w:rFonts w:hint="eastAsia"/>
          <w:b/>
          <w:bCs/>
          <w:kern w:val="0"/>
          <w:sz w:val="24"/>
        </w:rPr>
        <w:t>★三</w:t>
      </w:r>
      <w:r>
        <w:rPr>
          <w:b/>
          <w:bCs/>
          <w:kern w:val="0"/>
          <w:sz w:val="24"/>
        </w:rPr>
        <w:t>、</w:t>
      </w:r>
      <w:r>
        <w:rPr>
          <w:rFonts w:ascii="宋体" w:hAnsi="宋体"/>
          <w:b/>
          <w:bCs/>
          <w:kern w:val="0"/>
          <w:sz w:val="24"/>
        </w:rPr>
        <w:t>服务管理及保障要求</w:t>
      </w:r>
    </w:p>
    <w:p w14:paraId="0A4ABDBD">
      <w:pPr>
        <w:spacing w:after="156" w:afterLines="50" w:line="360" w:lineRule="auto"/>
        <w:ind w:firstLine="480" w:firstLineChars="200"/>
        <w:rPr>
          <w:kern w:val="0"/>
          <w:sz w:val="24"/>
        </w:rPr>
      </w:pPr>
      <w:r>
        <w:rPr>
          <w:kern w:val="0"/>
          <w:sz w:val="24"/>
        </w:rPr>
        <w:t>1总体管理要求</w:t>
      </w:r>
    </w:p>
    <w:p w14:paraId="705DAC10">
      <w:pPr>
        <w:spacing w:after="156" w:afterLines="50" w:line="360" w:lineRule="auto"/>
        <w:ind w:firstLine="480" w:firstLineChars="200"/>
        <w:rPr>
          <w:kern w:val="0"/>
          <w:sz w:val="24"/>
        </w:rPr>
      </w:pPr>
      <w:r>
        <w:rPr>
          <w:rFonts w:hint="eastAsia"/>
          <w:kern w:val="0"/>
          <w:sz w:val="24"/>
        </w:rPr>
        <w:t>供应商</w:t>
      </w:r>
      <w:r>
        <w:rPr>
          <w:kern w:val="0"/>
          <w:sz w:val="24"/>
        </w:rPr>
        <w:t>服务期内运维生产工作不得以外包形式开展或交由外包公司或个人完成。</w:t>
      </w:r>
      <w:r>
        <w:rPr>
          <w:rFonts w:hint="eastAsia"/>
          <w:kern w:val="0"/>
          <w:sz w:val="24"/>
        </w:rPr>
        <w:t>如在服务期间，</w:t>
      </w:r>
      <w:bookmarkStart w:id="3" w:name="OLE_LINK20"/>
      <w:r>
        <w:rPr>
          <w:rFonts w:hint="eastAsia"/>
          <w:kern w:val="0"/>
          <w:sz w:val="24"/>
        </w:rPr>
        <w:t>供应商</w:t>
      </w:r>
      <w:bookmarkEnd w:id="3"/>
      <w:r>
        <w:rPr>
          <w:rFonts w:hint="eastAsia"/>
          <w:kern w:val="0"/>
          <w:sz w:val="24"/>
        </w:rPr>
        <w:t>提供的团队人员不满足采购人的管理要求的，采购人有权要求供应商更换相关人员，更换的人员需要满足供应商投标时对人员的承诺及资质</w:t>
      </w:r>
      <w:r>
        <w:rPr>
          <w:kern w:val="0"/>
          <w:sz w:val="24"/>
        </w:rPr>
        <w:t>。</w:t>
      </w:r>
    </w:p>
    <w:p w14:paraId="549EC8B0">
      <w:pPr>
        <w:spacing w:after="156" w:afterLines="50" w:line="360" w:lineRule="auto"/>
        <w:ind w:firstLine="480" w:firstLineChars="200"/>
        <w:rPr>
          <w:kern w:val="0"/>
          <w:sz w:val="24"/>
        </w:rPr>
      </w:pPr>
      <w:r>
        <w:rPr>
          <w:kern w:val="0"/>
          <w:sz w:val="24"/>
        </w:rPr>
        <w:t>投标人须在项目服务过程中，承诺做到：服从招标人及其运行支撑部门的组织、协调；按招标人相应的技术、管理等规范要求开展工作，及时向招标人提交文档；按双方约定及时提交项目周报、月报或专项报告。投标人须接受甲方单位的管理。配合完成档案的收集、整理、组卷、归档等工作。</w:t>
      </w:r>
    </w:p>
    <w:p w14:paraId="6A85F0E9">
      <w:pPr>
        <w:spacing w:after="156" w:afterLines="50" w:line="360" w:lineRule="auto"/>
        <w:ind w:firstLine="480" w:firstLineChars="200"/>
        <w:rPr>
          <w:kern w:val="0"/>
          <w:sz w:val="24"/>
        </w:rPr>
      </w:pPr>
      <w:r>
        <w:rPr>
          <w:kern w:val="0"/>
          <w:sz w:val="24"/>
        </w:rPr>
        <w:t>投标人须严格执行采购人制定的维护管理制度、责任制度、操作规范、安全管理制度、员工考核制度，必须为员工缴纳相应的社保和人身意外伤害保险。</w:t>
      </w:r>
    </w:p>
    <w:p w14:paraId="2F7806D8">
      <w:pPr>
        <w:spacing w:after="156" w:afterLines="50" w:line="360" w:lineRule="auto"/>
        <w:ind w:firstLine="480" w:firstLineChars="200"/>
        <w:rPr>
          <w:kern w:val="0"/>
          <w:sz w:val="24"/>
        </w:rPr>
      </w:pPr>
      <w:r>
        <w:rPr>
          <w:kern w:val="0"/>
          <w:sz w:val="24"/>
        </w:rPr>
        <w:t>投标人人员在实施服务过程中，如有违反国家法律法规、违反招标人纪律规定的情况，招标人有权提出更换要求，投标人应立即予以更换并承担因此产生的相关费用。</w:t>
      </w:r>
    </w:p>
    <w:p w14:paraId="2AAB4B09">
      <w:pPr>
        <w:spacing w:after="156" w:afterLines="50" w:line="360" w:lineRule="auto"/>
        <w:ind w:firstLine="480" w:firstLineChars="200"/>
        <w:rPr>
          <w:kern w:val="0"/>
          <w:sz w:val="24"/>
        </w:rPr>
      </w:pPr>
      <w:r>
        <w:rPr>
          <w:kern w:val="0"/>
          <w:sz w:val="24"/>
        </w:rPr>
        <w:t>运维服务单位需接受招标方及其运行支撑部门的领导，与相关方保持沟通与协作，应建立规范化的运维服务保障体系，制定运维相关管理制度，配备合格的运维团队，制定运维方案和运维计划，规范运维流程，并不断优化改进运维工作，协助招标方及其运行支撑部门建立有效的沟通和反馈机制，及时处理各方的需求和问题；同时针对反馈的问题，组织提出相应的改进方案和优化措施；及时引入新的技术和管理方法提升运维服务的质量，为运维服务工作提供有力的支持和保障。</w:t>
      </w:r>
    </w:p>
    <w:p w14:paraId="086A6573">
      <w:pPr>
        <w:spacing w:after="156" w:afterLines="50" w:line="360" w:lineRule="auto"/>
        <w:ind w:firstLine="480" w:firstLineChars="200"/>
        <w:rPr>
          <w:kern w:val="0"/>
          <w:sz w:val="24"/>
        </w:rPr>
      </w:pPr>
      <w:r>
        <w:rPr>
          <w:kern w:val="0"/>
          <w:sz w:val="24"/>
        </w:rPr>
        <w:t>应当落实专人加强全流程闭环管理。运维操作完成后，形成闭环的运维工单。</w:t>
      </w:r>
    </w:p>
    <w:p w14:paraId="74C2A3B2">
      <w:pPr>
        <w:spacing w:after="156" w:afterLines="50" w:line="360" w:lineRule="auto"/>
        <w:ind w:firstLine="480" w:firstLineChars="200"/>
        <w:rPr>
          <w:kern w:val="0"/>
          <w:sz w:val="24"/>
        </w:rPr>
      </w:pPr>
      <w:r>
        <w:rPr>
          <w:kern w:val="0"/>
          <w:sz w:val="24"/>
        </w:rPr>
        <w:t>对于涉及重要数据报送和重大功能调整的运维升级，运维单位应当在测试环境充分验证，通过内部测试和用户测试，并按需组织第三方进行功能、性能测试。</w:t>
      </w:r>
    </w:p>
    <w:p w14:paraId="6A0EE955">
      <w:pPr>
        <w:spacing w:after="156" w:afterLines="50" w:line="360" w:lineRule="auto"/>
        <w:ind w:firstLine="480" w:firstLineChars="200"/>
        <w:rPr>
          <w:kern w:val="0"/>
          <w:sz w:val="24"/>
        </w:rPr>
      </w:pPr>
      <w:r>
        <w:rPr>
          <w:kern w:val="0"/>
          <w:sz w:val="24"/>
        </w:rPr>
        <w:t>2服务保障体系要求</w:t>
      </w:r>
    </w:p>
    <w:p w14:paraId="591A63E1">
      <w:pPr>
        <w:spacing w:after="156" w:afterLines="50" w:line="360" w:lineRule="auto"/>
        <w:ind w:firstLine="480" w:firstLineChars="200"/>
        <w:rPr>
          <w:kern w:val="0"/>
          <w:sz w:val="24"/>
        </w:rPr>
      </w:pPr>
      <w:r>
        <w:rPr>
          <w:kern w:val="0"/>
          <w:sz w:val="24"/>
        </w:rPr>
        <w:t>投标人应具备完善的服务保障体系、本地化的技术支持</w:t>
      </w:r>
      <w:r>
        <w:rPr>
          <w:rFonts w:hint="eastAsia"/>
          <w:kern w:val="0"/>
          <w:sz w:val="24"/>
        </w:rPr>
        <w:t>能力</w:t>
      </w:r>
      <w:r>
        <w:rPr>
          <w:kern w:val="0"/>
          <w:sz w:val="24"/>
        </w:rPr>
        <w:t>与售后服务</w:t>
      </w:r>
      <w:r>
        <w:rPr>
          <w:rFonts w:hint="eastAsia"/>
          <w:kern w:val="0"/>
          <w:sz w:val="24"/>
        </w:rPr>
        <w:t>能力</w:t>
      </w:r>
      <w:r>
        <w:rPr>
          <w:kern w:val="0"/>
          <w:sz w:val="24"/>
        </w:rPr>
        <w:t>，提供高质量、高标准、高效率的技术服务。</w:t>
      </w:r>
    </w:p>
    <w:p w14:paraId="64768E32">
      <w:pPr>
        <w:spacing w:after="156" w:afterLines="50" w:line="360" w:lineRule="auto"/>
        <w:ind w:firstLine="480" w:firstLineChars="200"/>
        <w:rPr>
          <w:kern w:val="0"/>
          <w:sz w:val="24"/>
        </w:rPr>
      </w:pPr>
      <w:r>
        <w:rPr>
          <w:kern w:val="0"/>
          <w:sz w:val="24"/>
        </w:rPr>
        <w:t>具体包括：</w:t>
      </w:r>
    </w:p>
    <w:p w14:paraId="3339FDBD">
      <w:pPr>
        <w:spacing w:after="156" w:afterLines="50" w:line="360" w:lineRule="auto"/>
        <w:ind w:firstLine="482" w:firstLineChars="200"/>
        <w:rPr>
          <w:b/>
          <w:bCs/>
          <w:kern w:val="0"/>
          <w:sz w:val="24"/>
        </w:rPr>
      </w:pPr>
      <w:r>
        <w:rPr>
          <w:b/>
          <w:bCs/>
          <w:kern w:val="0"/>
          <w:sz w:val="24"/>
        </w:rPr>
        <w:t>（1）投标人本服务项目中，需驻场江苏省未来网络创新研究院（南京市江宁区秣周东路7号CENI大厦），</w:t>
      </w:r>
      <w:r>
        <w:rPr>
          <w:rFonts w:hint="eastAsia"/>
          <w:b/>
          <w:bCs/>
          <w:kern w:val="0"/>
          <w:sz w:val="24"/>
        </w:rPr>
        <w:t>提供</w:t>
      </w:r>
      <w:r>
        <w:rPr>
          <w:b/>
          <w:bCs/>
          <w:kern w:val="0"/>
          <w:sz w:val="24"/>
        </w:rPr>
        <w:t>驻场技术人员数量不低于16人</w:t>
      </w:r>
      <w:r>
        <w:rPr>
          <w:rFonts w:hint="eastAsia"/>
          <w:b/>
          <w:bCs/>
          <w:kern w:val="0"/>
          <w:sz w:val="24"/>
        </w:rPr>
        <w:t>，其中</w:t>
      </w:r>
      <w:bookmarkStart w:id="4" w:name="OLE_LINK1"/>
      <w:r>
        <w:rPr>
          <w:rFonts w:hint="eastAsia"/>
          <w:b/>
          <w:bCs/>
          <w:kern w:val="0"/>
          <w:sz w:val="24"/>
        </w:rPr>
        <w:t>总控中心机房值守</w:t>
      </w:r>
      <w:bookmarkEnd w:id="4"/>
      <w:r>
        <w:rPr>
          <w:b/>
          <w:bCs/>
          <w:kern w:val="0"/>
          <w:sz w:val="24"/>
        </w:rPr>
        <w:t>班组</w:t>
      </w:r>
      <w:r>
        <w:rPr>
          <w:rFonts w:hint="eastAsia"/>
          <w:b/>
          <w:bCs/>
          <w:kern w:val="0"/>
          <w:sz w:val="24"/>
        </w:rPr>
        <w:t>至少有4名</w:t>
      </w:r>
      <w:r>
        <w:rPr>
          <w:b/>
          <w:bCs/>
          <w:kern w:val="0"/>
          <w:sz w:val="24"/>
        </w:rPr>
        <w:t>同时</w:t>
      </w:r>
      <w:r>
        <w:rPr>
          <w:rFonts w:hint="eastAsia"/>
          <w:b/>
          <w:bCs/>
          <w:kern w:val="0"/>
          <w:sz w:val="24"/>
        </w:rPr>
        <w:t>具备</w:t>
      </w:r>
      <w:r>
        <w:rPr>
          <w:b/>
          <w:bCs/>
          <w:kern w:val="0"/>
          <w:sz w:val="24"/>
        </w:rPr>
        <w:t>高压电工作业证、低压电工作业证、制冷与空调设备运行操作作业证</w:t>
      </w:r>
      <w:r>
        <w:rPr>
          <w:rFonts w:hint="eastAsia"/>
          <w:b/>
          <w:bCs/>
          <w:kern w:val="0"/>
          <w:sz w:val="24"/>
        </w:rPr>
        <w:t>的人员</w:t>
      </w:r>
      <w:r>
        <w:rPr>
          <w:b/>
          <w:bCs/>
          <w:kern w:val="0"/>
          <w:sz w:val="24"/>
        </w:rPr>
        <w:t>。</w:t>
      </w:r>
      <w:r>
        <w:rPr>
          <w:rFonts w:hint="eastAsia"/>
          <w:b/>
          <w:bCs/>
          <w:kern w:val="0"/>
          <w:sz w:val="24"/>
        </w:rPr>
        <w:t>（同时具备是指，每名成员均需拥有上述3种证书）（提供相关证书复印件加盖公章</w:t>
      </w:r>
      <w:r>
        <w:rPr>
          <w:b/>
          <w:bCs/>
          <w:kern w:val="0"/>
          <w:sz w:val="24"/>
        </w:rPr>
        <w:t>（须提供投标企业为</w:t>
      </w:r>
      <w:r>
        <w:rPr>
          <w:rFonts w:hint="eastAsia"/>
          <w:b/>
          <w:bCs/>
          <w:kern w:val="0"/>
          <w:sz w:val="24"/>
        </w:rPr>
        <w:t>驻场技术</w:t>
      </w:r>
      <w:r>
        <w:rPr>
          <w:b/>
          <w:bCs/>
          <w:kern w:val="0"/>
          <w:sz w:val="24"/>
        </w:rPr>
        <w:t>人员缴纳近六个月内任意一个月社保缴纳凭证</w:t>
      </w:r>
      <w:r>
        <w:rPr>
          <w:rFonts w:hint="eastAsia"/>
          <w:b/>
          <w:bCs/>
          <w:kern w:val="0"/>
          <w:sz w:val="24"/>
        </w:rPr>
        <w:t>，招标人将对其驻场人员进行核实</w:t>
      </w:r>
      <w:r>
        <w:rPr>
          <w:b/>
          <w:bCs/>
          <w:kern w:val="0"/>
          <w:sz w:val="24"/>
        </w:rPr>
        <w:t>）。</w:t>
      </w:r>
      <w:r>
        <w:rPr>
          <w:rFonts w:hint="eastAsia"/>
          <w:b/>
          <w:bCs/>
          <w:kern w:val="0"/>
          <w:sz w:val="24"/>
        </w:rPr>
        <w:t>未提供上述证书复印件、社保缴纳证明将做为未响应实质性条款，做无效投标文件处理。）</w:t>
      </w:r>
    </w:p>
    <w:p w14:paraId="52C812E0">
      <w:pPr>
        <w:spacing w:after="156" w:afterLines="50" w:line="360" w:lineRule="auto"/>
        <w:ind w:firstLine="482" w:firstLineChars="200"/>
        <w:rPr>
          <w:b/>
          <w:bCs/>
          <w:kern w:val="0"/>
          <w:sz w:val="24"/>
        </w:rPr>
      </w:pPr>
      <w:r>
        <w:rPr>
          <w:rFonts w:hint="eastAsia"/>
          <w:b/>
          <w:bCs/>
          <w:kern w:val="0"/>
          <w:sz w:val="24"/>
        </w:rPr>
        <w:t>（2）投标人需承诺投入本项目</w:t>
      </w:r>
      <w:r>
        <w:rPr>
          <w:b/>
          <w:bCs/>
          <w:kern w:val="0"/>
          <w:sz w:val="24"/>
        </w:rPr>
        <w:t>驻场技术人员</w:t>
      </w:r>
      <w:r>
        <w:rPr>
          <w:rFonts w:hint="eastAsia"/>
          <w:b/>
          <w:bCs/>
          <w:kern w:val="0"/>
          <w:sz w:val="24"/>
        </w:rPr>
        <w:t>能够熟练操作本项目相关的设备（本项目现有主要设备品牌为华为、华三）。（提供承诺书加盖公章）</w:t>
      </w:r>
    </w:p>
    <w:p w14:paraId="608905B2">
      <w:pPr>
        <w:spacing w:after="156" w:afterLines="50" w:line="360" w:lineRule="auto"/>
        <w:ind w:firstLine="480" w:firstLineChars="200"/>
        <w:rPr>
          <w:kern w:val="0"/>
          <w:sz w:val="24"/>
        </w:rPr>
      </w:pPr>
      <w:r>
        <w:rPr>
          <w:kern w:val="0"/>
          <w:sz w:val="24"/>
        </w:rPr>
        <w:t>（</w:t>
      </w:r>
      <w:r>
        <w:rPr>
          <w:rFonts w:hint="eastAsia"/>
          <w:kern w:val="0"/>
          <w:sz w:val="24"/>
        </w:rPr>
        <w:t>3</w:t>
      </w:r>
      <w:r>
        <w:rPr>
          <w:kern w:val="0"/>
          <w:sz w:val="24"/>
        </w:rPr>
        <w:t>）建立运维服务技术体系，覆盖所有运行维护服务内容的层面；建立运维服务管理体系，包括人员管理、机构管理、运维管理、建设管理与制度管理等多个方面；</w:t>
      </w:r>
    </w:p>
    <w:p w14:paraId="03AC7434">
      <w:pPr>
        <w:spacing w:after="156" w:afterLines="50" w:line="360" w:lineRule="auto"/>
        <w:ind w:firstLine="482" w:firstLineChars="200"/>
        <w:rPr>
          <w:b/>
          <w:bCs/>
          <w:kern w:val="0"/>
          <w:sz w:val="24"/>
        </w:rPr>
      </w:pPr>
      <w:r>
        <w:rPr>
          <w:rFonts w:hint="eastAsia"/>
          <w:b/>
          <w:bCs/>
          <w:kern w:val="0"/>
          <w:sz w:val="24"/>
        </w:rPr>
        <w:t>★四</w:t>
      </w:r>
      <w:r>
        <w:rPr>
          <w:b/>
          <w:bCs/>
          <w:kern w:val="0"/>
          <w:sz w:val="24"/>
        </w:rPr>
        <w:t>、服务标准及考核：（</w:t>
      </w:r>
      <w:r>
        <w:rPr>
          <w:kern w:val="0"/>
          <w:sz w:val="24"/>
        </w:rPr>
        <w:t>每 3 个月为一个</w:t>
      </w:r>
      <w:r>
        <w:rPr>
          <w:rFonts w:hint="eastAsia"/>
          <w:kern w:val="0"/>
          <w:sz w:val="24"/>
        </w:rPr>
        <w:t>考核</w:t>
      </w:r>
      <w:r>
        <w:rPr>
          <w:kern w:val="0"/>
          <w:sz w:val="24"/>
        </w:rPr>
        <w:t>周期</w:t>
      </w:r>
      <w:r>
        <w:rPr>
          <w:b/>
          <w:bCs/>
          <w:kern w:val="0"/>
          <w:sz w:val="24"/>
        </w:rPr>
        <w:t>）</w:t>
      </w:r>
    </w:p>
    <w:p w14:paraId="09F2B002">
      <w:pPr>
        <w:snapToGrid w:val="0"/>
        <w:spacing w:line="360" w:lineRule="auto"/>
        <w:ind w:firstLine="480" w:firstLineChars="200"/>
        <w:jc w:val="left"/>
        <w:rPr>
          <w:rFonts w:hint="eastAsia" w:ascii="宋体" w:hAnsi="宋体"/>
          <w:sz w:val="24"/>
        </w:rPr>
      </w:pPr>
      <w:r>
        <w:rPr>
          <w:rFonts w:ascii="宋体" w:hAnsi="宋体"/>
          <w:sz w:val="24"/>
        </w:rPr>
        <w:t>运维服务标准及考核，按CENI全网告警监控、总控中心机房值守、传输技术服务、数通技术服务四项分别执行。根据四项工作任务指标要求，采购方按</w:t>
      </w:r>
      <w:r>
        <w:rPr>
          <w:rFonts w:hint="eastAsia" w:ascii="宋体" w:hAnsi="宋体"/>
          <w:sz w:val="24"/>
        </w:rPr>
        <w:t>考核周期</w:t>
      </w:r>
      <w:r>
        <w:rPr>
          <w:rFonts w:ascii="宋体" w:hAnsi="宋体"/>
          <w:sz w:val="24"/>
        </w:rPr>
        <w:t>•专业对服务进行评价考核。考核情况直接与运维服务费用相挂钩，将作为运维服务费用核算和支付的主要依据。</w:t>
      </w:r>
    </w:p>
    <w:p w14:paraId="3E56EA49">
      <w:pPr>
        <w:snapToGrid w:val="0"/>
        <w:spacing w:line="360" w:lineRule="auto"/>
        <w:ind w:firstLine="480" w:firstLineChars="200"/>
        <w:jc w:val="left"/>
        <w:rPr>
          <w:rFonts w:hint="eastAsia" w:ascii="宋体" w:hAnsi="宋体"/>
          <w:sz w:val="24"/>
        </w:rPr>
      </w:pPr>
      <w:r>
        <w:rPr>
          <w:rFonts w:ascii="宋体" w:hAnsi="宋体"/>
          <w:sz w:val="24"/>
        </w:rPr>
        <w:t>四项工作任务内容服务费，分别按照以下比例总额分配。</w:t>
      </w:r>
    </w:p>
    <w:tbl>
      <w:tblPr>
        <w:tblStyle w:val="11"/>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602"/>
        <w:gridCol w:w="2313"/>
      </w:tblGrid>
      <w:tr w14:paraId="5FD7CC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602" w:type="dxa"/>
            <w:vAlign w:val="center"/>
          </w:tcPr>
          <w:p w14:paraId="2766B6C8">
            <w:pPr>
              <w:snapToGrid w:val="0"/>
              <w:jc w:val="center"/>
              <w:rPr>
                <w:rFonts w:hint="eastAsia" w:ascii="宋体" w:hAnsi="宋体"/>
                <w:color w:val="000000"/>
                <w:kern w:val="0"/>
                <w:sz w:val="20"/>
                <w:szCs w:val="20"/>
              </w:rPr>
            </w:pPr>
            <w:r>
              <w:rPr>
                <w:rFonts w:ascii="宋体" w:hAnsi="宋体"/>
                <w:color w:val="000000"/>
                <w:kern w:val="0"/>
                <w:sz w:val="20"/>
                <w:szCs w:val="20"/>
              </w:rPr>
              <w:t>内容</w:t>
            </w:r>
          </w:p>
        </w:tc>
        <w:tc>
          <w:tcPr>
            <w:tcW w:w="2313" w:type="dxa"/>
            <w:vAlign w:val="center"/>
          </w:tcPr>
          <w:p w14:paraId="2A7EDC57">
            <w:pPr>
              <w:snapToGrid w:val="0"/>
              <w:jc w:val="center"/>
              <w:rPr>
                <w:rFonts w:hint="eastAsia" w:ascii="宋体" w:hAnsi="宋体"/>
                <w:color w:val="000000"/>
                <w:kern w:val="0"/>
                <w:sz w:val="20"/>
                <w:szCs w:val="20"/>
              </w:rPr>
            </w:pPr>
            <w:r>
              <w:rPr>
                <w:rFonts w:ascii="宋体" w:hAnsi="宋体"/>
                <w:color w:val="000000"/>
                <w:kern w:val="0"/>
                <w:sz w:val="20"/>
                <w:szCs w:val="20"/>
              </w:rPr>
              <w:t>比例</w:t>
            </w:r>
          </w:p>
        </w:tc>
      </w:tr>
      <w:tr w14:paraId="25177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602" w:type="dxa"/>
            <w:vAlign w:val="center"/>
          </w:tcPr>
          <w:p w14:paraId="74D0DEFF">
            <w:pPr>
              <w:snapToGrid w:val="0"/>
              <w:rPr>
                <w:rFonts w:hint="eastAsia" w:ascii="宋体" w:hAnsi="宋体"/>
                <w:color w:val="000000"/>
                <w:kern w:val="0"/>
                <w:sz w:val="20"/>
                <w:szCs w:val="20"/>
              </w:rPr>
            </w:pPr>
            <w:r>
              <w:rPr>
                <w:rFonts w:ascii="宋体" w:hAnsi="宋体"/>
                <w:color w:val="000000"/>
                <w:kern w:val="0"/>
                <w:sz w:val="20"/>
                <w:szCs w:val="20"/>
              </w:rPr>
              <w:t>1、CENI全网告警监控</w:t>
            </w:r>
          </w:p>
        </w:tc>
        <w:tc>
          <w:tcPr>
            <w:tcW w:w="2313" w:type="dxa"/>
            <w:vAlign w:val="center"/>
          </w:tcPr>
          <w:p w14:paraId="0C07DF8A">
            <w:pPr>
              <w:snapToGrid w:val="0"/>
              <w:jc w:val="center"/>
              <w:rPr>
                <w:rFonts w:hint="eastAsia" w:ascii="宋体" w:hAnsi="宋体"/>
                <w:color w:val="000000"/>
                <w:kern w:val="0"/>
                <w:sz w:val="20"/>
                <w:szCs w:val="20"/>
              </w:rPr>
            </w:pPr>
            <w:r>
              <w:rPr>
                <w:rFonts w:ascii="宋体" w:hAnsi="宋体"/>
                <w:color w:val="000000"/>
                <w:kern w:val="0"/>
                <w:sz w:val="20"/>
                <w:szCs w:val="20"/>
              </w:rPr>
              <w:t>30%</w:t>
            </w:r>
          </w:p>
        </w:tc>
      </w:tr>
      <w:tr w14:paraId="3CE4B4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602" w:type="dxa"/>
            <w:vAlign w:val="center"/>
          </w:tcPr>
          <w:p w14:paraId="0F5E709F">
            <w:pPr>
              <w:snapToGrid w:val="0"/>
              <w:rPr>
                <w:rFonts w:hint="eastAsia" w:ascii="宋体" w:hAnsi="宋体"/>
                <w:color w:val="000000"/>
                <w:kern w:val="0"/>
                <w:sz w:val="20"/>
                <w:szCs w:val="20"/>
              </w:rPr>
            </w:pPr>
            <w:r>
              <w:rPr>
                <w:rFonts w:ascii="宋体" w:hAnsi="宋体"/>
                <w:color w:val="000000"/>
                <w:kern w:val="0"/>
                <w:sz w:val="20"/>
                <w:szCs w:val="20"/>
              </w:rPr>
              <w:t>2、总控中心机房值守</w:t>
            </w:r>
          </w:p>
        </w:tc>
        <w:tc>
          <w:tcPr>
            <w:tcW w:w="2313" w:type="dxa"/>
            <w:vAlign w:val="center"/>
          </w:tcPr>
          <w:p w14:paraId="351334FE">
            <w:pPr>
              <w:snapToGrid w:val="0"/>
              <w:jc w:val="center"/>
              <w:rPr>
                <w:rFonts w:hint="eastAsia" w:ascii="宋体" w:hAnsi="宋体"/>
                <w:color w:val="000000"/>
                <w:kern w:val="0"/>
                <w:sz w:val="20"/>
                <w:szCs w:val="20"/>
              </w:rPr>
            </w:pPr>
            <w:r>
              <w:rPr>
                <w:rFonts w:ascii="宋体" w:hAnsi="宋体"/>
                <w:color w:val="000000"/>
                <w:kern w:val="0"/>
                <w:sz w:val="20"/>
                <w:szCs w:val="20"/>
              </w:rPr>
              <w:t>30%</w:t>
            </w:r>
          </w:p>
        </w:tc>
      </w:tr>
      <w:tr w14:paraId="2784B5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602" w:type="dxa"/>
            <w:vAlign w:val="center"/>
          </w:tcPr>
          <w:p w14:paraId="2CF58C0D">
            <w:pPr>
              <w:snapToGrid w:val="0"/>
              <w:rPr>
                <w:rFonts w:hint="eastAsia" w:ascii="宋体" w:hAnsi="宋体"/>
                <w:color w:val="000000"/>
                <w:kern w:val="0"/>
                <w:sz w:val="20"/>
                <w:szCs w:val="20"/>
              </w:rPr>
            </w:pPr>
            <w:r>
              <w:rPr>
                <w:rFonts w:ascii="宋体" w:hAnsi="宋体"/>
                <w:color w:val="000000"/>
                <w:kern w:val="0"/>
                <w:sz w:val="20"/>
                <w:szCs w:val="20"/>
              </w:rPr>
              <w:t>3、传输技术服务</w:t>
            </w:r>
          </w:p>
        </w:tc>
        <w:tc>
          <w:tcPr>
            <w:tcW w:w="2313" w:type="dxa"/>
            <w:vAlign w:val="center"/>
          </w:tcPr>
          <w:p w14:paraId="630A91B5">
            <w:pPr>
              <w:snapToGrid w:val="0"/>
              <w:jc w:val="center"/>
              <w:rPr>
                <w:rFonts w:hint="eastAsia" w:ascii="宋体" w:hAnsi="宋体"/>
                <w:color w:val="000000"/>
                <w:kern w:val="0"/>
                <w:sz w:val="20"/>
                <w:szCs w:val="20"/>
              </w:rPr>
            </w:pPr>
            <w:r>
              <w:rPr>
                <w:rFonts w:ascii="宋体" w:hAnsi="宋体"/>
                <w:color w:val="000000"/>
                <w:kern w:val="0"/>
                <w:sz w:val="20"/>
                <w:szCs w:val="20"/>
              </w:rPr>
              <w:t>20%</w:t>
            </w:r>
          </w:p>
        </w:tc>
      </w:tr>
      <w:tr w14:paraId="3A3944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3602" w:type="dxa"/>
            <w:vAlign w:val="center"/>
          </w:tcPr>
          <w:p w14:paraId="29310D49">
            <w:pPr>
              <w:snapToGrid w:val="0"/>
              <w:rPr>
                <w:rFonts w:hint="eastAsia" w:ascii="宋体" w:hAnsi="宋体"/>
                <w:color w:val="000000"/>
                <w:kern w:val="0"/>
                <w:sz w:val="20"/>
                <w:szCs w:val="20"/>
              </w:rPr>
            </w:pPr>
            <w:r>
              <w:rPr>
                <w:rFonts w:ascii="宋体" w:hAnsi="宋体"/>
                <w:color w:val="000000"/>
                <w:kern w:val="0"/>
                <w:sz w:val="20"/>
                <w:szCs w:val="20"/>
              </w:rPr>
              <w:t>4、数通技术服务</w:t>
            </w:r>
          </w:p>
        </w:tc>
        <w:tc>
          <w:tcPr>
            <w:tcW w:w="2313" w:type="dxa"/>
            <w:vAlign w:val="center"/>
          </w:tcPr>
          <w:p w14:paraId="59D77891">
            <w:pPr>
              <w:snapToGrid w:val="0"/>
              <w:jc w:val="center"/>
              <w:rPr>
                <w:rFonts w:hint="eastAsia" w:ascii="宋体" w:hAnsi="宋体"/>
                <w:color w:val="000000"/>
                <w:kern w:val="0"/>
                <w:sz w:val="20"/>
                <w:szCs w:val="20"/>
              </w:rPr>
            </w:pPr>
            <w:r>
              <w:rPr>
                <w:rFonts w:ascii="宋体" w:hAnsi="宋体"/>
                <w:color w:val="000000"/>
                <w:kern w:val="0"/>
                <w:sz w:val="20"/>
                <w:szCs w:val="20"/>
              </w:rPr>
              <w:t>20%</w:t>
            </w:r>
          </w:p>
        </w:tc>
      </w:tr>
    </w:tbl>
    <w:p w14:paraId="420E0BDA">
      <w:pPr>
        <w:snapToGrid w:val="0"/>
        <w:spacing w:before="312" w:beforeLines="100" w:line="360" w:lineRule="auto"/>
        <w:ind w:firstLine="480" w:firstLineChars="200"/>
        <w:jc w:val="left"/>
        <w:rPr>
          <w:rFonts w:hint="eastAsia" w:ascii="宋体" w:hAnsi="宋体"/>
          <w:sz w:val="24"/>
        </w:rPr>
      </w:pPr>
      <w:r>
        <w:rPr>
          <w:rFonts w:ascii="宋体" w:hAnsi="宋体"/>
          <w:sz w:val="24"/>
        </w:rPr>
        <w:t xml:space="preserve">考核得分80分（含）以上，评价为“合格”， </w:t>
      </w:r>
      <w:r>
        <w:rPr>
          <w:rFonts w:hint="eastAsia" w:ascii="宋体" w:hAnsi="宋体"/>
          <w:sz w:val="24"/>
        </w:rPr>
        <w:t>则本考核周期基础</w:t>
      </w:r>
      <w:r>
        <w:rPr>
          <w:rFonts w:ascii="宋体" w:hAnsi="宋体"/>
          <w:sz w:val="24"/>
        </w:rPr>
        <w:t>服务费</w:t>
      </w:r>
      <w:r>
        <w:rPr>
          <w:rFonts w:hint="eastAsia" w:ascii="宋体" w:hAnsi="宋体"/>
          <w:sz w:val="24"/>
        </w:rPr>
        <w:t>（指合同总额的25%）不做扣减</w:t>
      </w:r>
      <w:r>
        <w:rPr>
          <w:rFonts w:ascii="宋体" w:hAnsi="宋体"/>
          <w:sz w:val="24"/>
        </w:rPr>
        <w:t xml:space="preserve">； </w:t>
      </w:r>
    </w:p>
    <w:p w14:paraId="2FE98F33">
      <w:pPr>
        <w:snapToGrid w:val="0"/>
        <w:spacing w:line="360" w:lineRule="auto"/>
        <w:ind w:firstLine="480" w:firstLineChars="200"/>
        <w:jc w:val="left"/>
        <w:rPr>
          <w:rFonts w:hint="eastAsia" w:ascii="宋体" w:hAnsi="宋体"/>
          <w:sz w:val="24"/>
        </w:rPr>
      </w:pPr>
      <w:r>
        <w:rPr>
          <w:rFonts w:ascii="宋体" w:hAnsi="宋体"/>
          <w:sz w:val="24"/>
        </w:rPr>
        <w:t>考核得分60（含）~79分，评价为“待改进”。评价为“待改进”；要求服务方及时改进不足，并对其</w:t>
      </w:r>
      <w:r>
        <w:rPr>
          <w:rFonts w:hint="eastAsia" w:ascii="宋体" w:hAnsi="宋体"/>
          <w:sz w:val="24"/>
        </w:rPr>
        <w:t>本考核周期基础</w:t>
      </w:r>
      <w:r>
        <w:rPr>
          <w:rFonts w:ascii="宋体" w:hAnsi="宋体"/>
          <w:sz w:val="24"/>
        </w:rPr>
        <w:t>服务费给与非线性</w:t>
      </w:r>
      <w:bookmarkStart w:id="5" w:name="OLE_LINK7"/>
      <w:r>
        <w:rPr>
          <w:rFonts w:hint="eastAsia" w:ascii="宋体" w:hAnsi="宋体"/>
          <w:sz w:val="24"/>
        </w:rPr>
        <w:t>扣减</w:t>
      </w:r>
      <w:bookmarkEnd w:id="5"/>
      <w:r>
        <w:rPr>
          <w:rFonts w:ascii="宋体" w:hAnsi="宋体"/>
          <w:sz w:val="24"/>
        </w:rPr>
        <w:t>，79~70（含）分，每低1分</w:t>
      </w:r>
      <w:r>
        <w:rPr>
          <w:rFonts w:hint="eastAsia" w:ascii="宋体" w:hAnsi="宋体"/>
          <w:sz w:val="24"/>
        </w:rPr>
        <w:t>扣减本考核周期基础</w:t>
      </w:r>
      <w:r>
        <w:rPr>
          <w:rFonts w:ascii="宋体" w:hAnsi="宋体"/>
          <w:sz w:val="24"/>
        </w:rPr>
        <w:t>服务费的0.5%； 69~60（含）分，每低1分</w:t>
      </w:r>
      <w:r>
        <w:rPr>
          <w:rFonts w:hint="eastAsia" w:ascii="宋体" w:hAnsi="宋体"/>
          <w:sz w:val="24"/>
        </w:rPr>
        <w:t>扣减本考核周期基础</w:t>
      </w:r>
      <w:r>
        <w:rPr>
          <w:rFonts w:ascii="宋体" w:hAnsi="宋体"/>
          <w:sz w:val="24"/>
        </w:rPr>
        <w:t>服务费1%。（例如某项工作任务季度得分为65分，扣除当期该项服务费0.5%*10+1%*5=10%）</w:t>
      </w:r>
    </w:p>
    <w:p w14:paraId="2E276BAC">
      <w:pPr>
        <w:snapToGrid w:val="0"/>
        <w:spacing w:line="360" w:lineRule="auto"/>
        <w:ind w:firstLine="480" w:firstLineChars="200"/>
        <w:jc w:val="left"/>
        <w:rPr>
          <w:rFonts w:hint="eastAsia" w:ascii="宋体" w:hAnsi="宋体"/>
          <w:sz w:val="24"/>
        </w:rPr>
      </w:pPr>
      <w:r>
        <w:rPr>
          <w:rFonts w:ascii="宋体" w:hAnsi="宋体"/>
          <w:sz w:val="24"/>
        </w:rPr>
        <w:t>低于 60分评价为“不合格”。扣除</w:t>
      </w:r>
      <w:r>
        <w:rPr>
          <w:rFonts w:hint="eastAsia" w:ascii="宋体" w:hAnsi="宋体"/>
          <w:sz w:val="24"/>
        </w:rPr>
        <w:t>本考核周期基础</w:t>
      </w:r>
      <w:r>
        <w:rPr>
          <w:rFonts w:ascii="宋体" w:hAnsi="宋体"/>
          <w:sz w:val="24"/>
        </w:rPr>
        <w:t>服务费</w:t>
      </w:r>
      <w:r>
        <w:rPr>
          <w:kern w:val="0"/>
          <w:sz w:val="24"/>
        </w:rPr>
        <w:t>（</w:t>
      </w:r>
      <w:r>
        <w:rPr>
          <w:rFonts w:hint="eastAsia"/>
          <w:kern w:val="0"/>
          <w:sz w:val="24"/>
        </w:rPr>
        <w:t>费用经扣减后若余额为负数，不予结算付款；本次未能足额抵扣的差额，结转至下一结算周期继续抵扣。</w:t>
      </w:r>
      <w:r>
        <w:rPr>
          <w:kern w:val="0"/>
          <w:sz w:val="24"/>
        </w:rPr>
        <w:t>）</w:t>
      </w:r>
      <w:r>
        <w:rPr>
          <w:rFonts w:ascii="宋体" w:hAnsi="宋体"/>
          <w:sz w:val="24"/>
        </w:rPr>
        <w:t>。</w:t>
      </w:r>
    </w:p>
    <w:p w14:paraId="395A7EA6">
      <w:pPr>
        <w:snapToGrid w:val="0"/>
        <w:spacing w:line="360" w:lineRule="auto"/>
        <w:ind w:firstLine="480" w:firstLineChars="200"/>
        <w:jc w:val="left"/>
        <w:rPr>
          <w:rFonts w:hint="eastAsia" w:ascii="宋体" w:hAnsi="宋体"/>
          <w:sz w:val="24"/>
        </w:rPr>
      </w:pPr>
      <w:r>
        <w:rPr>
          <w:rFonts w:ascii="宋体" w:hAnsi="宋体"/>
          <w:sz w:val="24"/>
        </w:rPr>
        <w:t>对于考核评价为“不合格”的运维服务单位，招标单位对服务方责令整改。对于采购方责令整改而中标方置之不理的情况，采购方有权单方面解除运维服务合同。</w:t>
      </w:r>
    </w:p>
    <w:p w14:paraId="5FB985FD">
      <w:pPr>
        <w:snapToGrid w:val="0"/>
        <w:spacing w:line="360" w:lineRule="auto"/>
        <w:ind w:firstLine="480" w:firstLineChars="200"/>
        <w:jc w:val="left"/>
        <w:rPr>
          <w:rFonts w:hint="eastAsia" w:ascii="宋体" w:hAnsi="宋体"/>
          <w:sz w:val="24"/>
        </w:rPr>
      </w:pPr>
      <w:r>
        <w:rPr>
          <w:rFonts w:ascii="宋体" w:hAnsi="宋体"/>
          <w:sz w:val="24"/>
        </w:rPr>
        <w:t>年度2次以上考核为“不合格”的，采购方有权单方面解除运维服务合同。</w:t>
      </w:r>
    </w:p>
    <w:p w14:paraId="6B561306">
      <w:pPr>
        <w:snapToGrid w:val="0"/>
        <w:spacing w:line="360" w:lineRule="auto"/>
        <w:ind w:firstLine="480" w:firstLineChars="200"/>
        <w:jc w:val="left"/>
        <w:rPr>
          <w:rFonts w:hint="eastAsia" w:ascii="宋体" w:hAnsi="宋体"/>
          <w:sz w:val="24"/>
        </w:rPr>
      </w:pPr>
      <w:r>
        <w:rPr>
          <w:rFonts w:ascii="宋体" w:hAnsi="宋体"/>
          <w:sz w:val="24"/>
        </w:rPr>
        <w:t>如因运维服务单位原因出现重大安全事故或安全通报，造成的损失及相关责任由运维服务单位承担。同时招标人有权立即终止运维服务单位的维护服务，并扣除剩余的服务费用。</w:t>
      </w:r>
    </w:p>
    <w:p w14:paraId="6024BE65">
      <w:pPr>
        <w:snapToGrid w:val="0"/>
        <w:spacing w:line="360" w:lineRule="auto"/>
        <w:ind w:firstLine="480" w:firstLineChars="200"/>
        <w:jc w:val="left"/>
        <w:rPr>
          <w:rFonts w:hint="eastAsia" w:ascii="宋体" w:hAnsi="宋体"/>
          <w:color w:val="000000"/>
          <w:sz w:val="24"/>
        </w:rPr>
      </w:pPr>
      <w:r>
        <w:rPr>
          <w:rFonts w:ascii="宋体" w:hAnsi="宋体"/>
          <w:color w:val="000000"/>
          <w:sz w:val="24"/>
        </w:rPr>
        <w:t>对于需协调招标方及其运维支撑管理部门、招标方自有数通维护团队、第三方服务单位等，才能解决的运维生产技术服务，投标方须及时传递告警故障、工单，跟踪告警故障、工单等任务的闭环。对于不及时响应、未及时恢复的告警、故障、工单等，督促并及时报管理方。</w:t>
      </w:r>
    </w:p>
    <w:p w14:paraId="7CA91436">
      <w:pPr>
        <w:snapToGrid w:val="0"/>
        <w:spacing w:line="360" w:lineRule="auto"/>
        <w:ind w:firstLine="482" w:firstLineChars="200"/>
        <w:jc w:val="left"/>
        <w:rPr>
          <w:rFonts w:hint="eastAsia" w:ascii="宋体" w:hAnsi="宋体"/>
          <w:b/>
          <w:bCs/>
          <w:sz w:val="24"/>
        </w:rPr>
      </w:pPr>
      <w:r>
        <w:rPr>
          <w:rFonts w:ascii="宋体" w:hAnsi="宋体"/>
          <w:b/>
          <w:bCs/>
          <w:sz w:val="24"/>
        </w:rPr>
        <w:t>附件：运维生产技术服务考核表</w:t>
      </w:r>
    </w:p>
    <w:p w14:paraId="7D794E8E">
      <w:pPr>
        <w:snapToGrid w:val="0"/>
        <w:spacing w:before="312" w:beforeLines="100" w:after="156" w:afterLines="50" w:line="360" w:lineRule="auto"/>
        <w:ind w:firstLine="482" w:firstLineChars="200"/>
        <w:rPr>
          <w:b/>
          <w:bCs/>
          <w:kern w:val="0"/>
          <w:sz w:val="24"/>
        </w:rPr>
      </w:pPr>
      <w:r>
        <w:rPr>
          <w:rFonts w:hint="eastAsia"/>
          <w:b/>
          <w:bCs/>
          <w:kern w:val="0"/>
          <w:sz w:val="24"/>
        </w:rPr>
        <w:t>五</w:t>
      </w:r>
      <w:r>
        <w:rPr>
          <w:b/>
          <w:bCs/>
          <w:kern w:val="0"/>
          <w:sz w:val="24"/>
        </w:rPr>
        <w:t>、运维服务方案</w:t>
      </w:r>
    </w:p>
    <w:p w14:paraId="31C79001">
      <w:pPr>
        <w:spacing w:after="156" w:afterLines="50" w:line="360" w:lineRule="auto"/>
        <w:ind w:firstLine="480" w:firstLineChars="200"/>
        <w:rPr>
          <w:kern w:val="0"/>
          <w:sz w:val="24"/>
        </w:rPr>
      </w:pPr>
      <w:r>
        <w:rPr>
          <w:kern w:val="0"/>
          <w:sz w:val="24"/>
        </w:rPr>
        <w:t>投标人投标时应针对本次维护服务，编写详细的服务方案，包括但不限于以下：</w:t>
      </w:r>
    </w:p>
    <w:p w14:paraId="4FEC37ED">
      <w:pPr>
        <w:spacing w:after="156" w:afterLines="50" w:line="360" w:lineRule="auto"/>
        <w:ind w:firstLine="480" w:firstLineChars="200"/>
        <w:rPr>
          <w:kern w:val="0"/>
          <w:sz w:val="24"/>
        </w:rPr>
      </w:pPr>
      <w:r>
        <w:rPr>
          <w:kern w:val="0"/>
          <w:sz w:val="24"/>
        </w:rPr>
        <w:t>（1）</w:t>
      </w:r>
      <w:r>
        <w:rPr>
          <w:rFonts w:hint="eastAsia"/>
          <w:kern w:val="0"/>
          <w:sz w:val="24"/>
        </w:rPr>
        <w:t>总体服务方案</w:t>
      </w:r>
      <w:r>
        <w:rPr>
          <w:kern w:val="0"/>
          <w:sz w:val="24"/>
        </w:rPr>
        <w:t>，</w:t>
      </w:r>
      <w:bookmarkStart w:id="6" w:name="OLE_LINK21"/>
      <w:r>
        <w:rPr>
          <w:kern w:val="0"/>
          <w:sz w:val="24"/>
        </w:rPr>
        <w:t>运维现状及组织管理方案、总体运维服务方案、总体安全方案、综合协调方案、与维护现状的连续性稳定性及兼容性方案、具体措施等等</w:t>
      </w:r>
      <w:bookmarkEnd w:id="6"/>
    </w:p>
    <w:p w14:paraId="342A5677">
      <w:pPr>
        <w:spacing w:after="156" w:afterLines="50" w:line="360" w:lineRule="auto"/>
        <w:ind w:firstLine="480" w:firstLineChars="200"/>
        <w:rPr>
          <w:kern w:val="0"/>
          <w:sz w:val="24"/>
        </w:rPr>
      </w:pPr>
      <w:r>
        <w:rPr>
          <w:kern w:val="0"/>
          <w:sz w:val="24"/>
        </w:rPr>
        <w:t>（2）投标人提供的针对本项目运维的重难点分析，重难点分析包括但不限于各专业业务功能、实现技术、安全机制等方面以及对应的拟解决方案和具体措施，能实现本项目各项维保服务要求。</w:t>
      </w:r>
    </w:p>
    <w:p w14:paraId="5743E520">
      <w:pPr>
        <w:spacing w:after="156" w:afterLines="50" w:line="360" w:lineRule="auto"/>
        <w:ind w:firstLine="480" w:firstLineChars="200"/>
        <w:rPr>
          <w:kern w:val="0"/>
          <w:sz w:val="24"/>
        </w:rPr>
      </w:pPr>
      <w:r>
        <w:rPr>
          <w:kern w:val="0"/>
          <w:sz w:val="24"/>
        </w:rPr>
        <w:t>（3）根据维护内容及要求，制定有针对性的分专业具体方案（按</w:t>
      </w:r>
      <w:r>
        <w:rPr>
          <w:color w:val="000000"/>
          <w:kern w:val="0"/>
          <w:sz w:val="24"/>
        </w:rPr>
        <w:t>全网告警监控、总控中心机房值守、传输技术服务、数通技术服务</w:t>
      </w:r>
      <w:r>
        <w:rPr>
          <w:rFonts w:hint="eastAsia"/>
          <w:color w:val="000000"/>
          <w:kern w:val="0"/>
          <w:sz w:val="24"/>
        </w:rPr>
        <w:t>、</w:t>
      </w:r>
      <w:r>
        <w:rPr>
          <w:color w:val="000000"/>
          <w:kern w:val="0"/>
          <w:sz w:val="24"/>
        </w:rPr>
        <w:t>其他配合服务）</w:t>
      </w:r>
      <w:r>
        <w:rPr>
          <w:kern w:val="0"/>
          <w:sz w:val="24"/>
        </w:rPr>
        <w:t>，至少应包括相应专业的系统日常维护、巡检方案、定期备份与恢复性测试方案、故障响应方案，各方案应明确具体措施，并有相应明确的周期和时间节点（如日常巡检的时间、频率，重要节点的安排等）。</w:t>
      </w:r>
    </w:p>
    <w:p w14:paraId="62B9EAEB">
      <w:pPr>
        <w:spacing w:after="156" w:afterLines="50" w:line="360" w:lineRule="auto"/>
        <w:ind w:firstLine="480" w:firstLineChars="200"/>
        <w:rPr>
          <w:kern w:val="0"/>
          <w:sz w:val="24"/>
        </w:rPr>
      </w:pPr>
      <w:r>
        <w:rPr>
          <w:kern w:val="0"/>
          <w:sz w:val="24"/>
        </w:rPr>
        <w:t>（4）投标人需严格依据本次项目的具体维护内容及甲方明确的服务标准、响应时效等要求，制定具有高度针对性与可操作性的应急保障方案。应包含两块内容：一是应急保障措施；二是应急方案，确保方案能有效应对各类突发问题，保障项目维护工作稳定运行。</w:t>
      </w:r>
    </w:p>
    <w:p w14:paraId="11762199">
      <w:pPr>
        <w:spacing w:after="156" w:afterLines="50" w:line="360" w:lineRule="auto"/>
        <w:ind w:firstLine="480" w:firstLineChars="200"/>
        <w:rPr>
          <w:kern w:val="0"/>
          <w:sz w:val="24"/>
        </w:rPr>
      </w:pPr>
      <w:r>
        <w:rPr>
          <w:kern w:val="0"/>
          <w:sz w:val="24"/>
        </w:rPr>
        <w:t>（5）针对培训服务，以技术方案的方式，对培训工作内容进行阐述，包括但不限于培训目的、培训内容、培训组织、培训效果方案，各方案应明确具体措施，可确保优于或满足本项目各项维保要求。针对服务管理要求，制定有针对性的管理制度，至少应管理制度、服务职责、管理方案等方案，方案应细致全面、合理，人员要求针对性强。</w:t>
      </w:r>
    </w:p>
    <w:p w14:paraId="7BF3B775">
      <w:pPr>
        <w:spacing w:after="156" w:afterLines="50" w:line="360" w:lineRule="auto"/>
        <w:ind w:firstLine="482" w:firstLineChars="200"/>
        <w:rPr>
          <w:b/>
          <w:bCs/>
          <w:kern w:val="0"/>
          <w:sz w:val="24"/>
        </w:rPr>
      </w:pPr>
      <w:r>
        <w:rPr>
          <w:rFonts w:hint="eastAsia"/>
          <w:b/>
          <w:bCs/>
          <w:kern w:val="0"/>
          <w:sz w:val="24"/>
        </w:rPr>
        <w:t>★六</w:t>
      </w:r>
      <w:r>
        <w:rPr>
          <w:b/>
          <w:bCs/>
          <w:kern w:val="0"/>
          <w:sz w:val="24"/>
        </w:rPr>
        <w:t>、商务要求</w:t>
      </w:r>
    </w:p>
    <w:p w14:paraId="4FD1EB47">
      <w:pPr>
        <w:spacing w:after="156" w:afterLines="50" w:line="360" w:lineRule="auto"/>
        <w:ind w:firstLine="480" w:firstLineChars="200"/>
        <w:rPr>
          <w:kern w:val="0"/>
          <w:sz w:val="24"/>
        </w:rPr>
      </w:pPr>
      <w:r>
        <w:rPr>
          <w:kern w:val="0"/>
          <w:sz w:val="24"/>
        </w:rPr>
        <w:t>1、服务期：上述所有维保项目服务时间为合同签订后</w:t>
      </w:r>
      <w:r>
        <w:rPr>
          <w:b/>
          <w:bCs/>
          <w:kern w:val="0"/>
          <w:sz w:val="24"/>
        </w:rPr>
        <w:t>一年；</w:t>
      </w:r>
    </w:p>
    <w:p w14:paraId="433BF2A9">
      <w:pPr>
        <w:spacing w:after="156" w:afterLines="50" w:line="360" w:lineRule="auto"/>
        <w:ind w:firstLine="480" w:firstLineChars="200"/>
        <w:rPr>
          <w:kern w:val="0"/>
          <w:sz w:val="24"/>
        </w:rPr>
      </w:pPr>
      <w:r>
        <w:rPr>
          <w:kern w:val="0"/>
          <w:sz w:val="24"/>
        </w:rPr>
        <w:t>2、</w:t>
      </w:r>
      <w:r>
        <w:rPr>
          <w:rFonts w:hint="eastAsia"/>
          <w:kern w:val="0"/>
          <w:sz w:val="24"/>
        </w:rPr>
        <w:t>入场</w:t>
      </w:r>
      <w:r>
        <w:rPr>
          <w:kern w:val="0"/>
          <w:sz w:val="24"/>
        </w:rPr>
        <w:t>期及服务地点</w:t>
      </w:r>
    </w:p>
    <w:p w14:paraId="6DD91E80">
      <w:pPr>
        <w:spacing w:after="156" w:afterLines="50" w:line="360" w:lineRule="auto"/>
        <w:ind w:firstLine="480" w:firstLineChars="200"/>
        <w:rPr>
          <w:kern w:val="0"/>
          <w:sz w:val="24"/>
        </w:rPr>
      </w:pPr>
      <w:r>
        <w:rPr>
          <w:kern w:val="0"/>
          <w:sz w:val="24"/>
        </w:rPr>
        <w:t>（1）</w:t>
      </w:r>
      <w:r>
        <w:rPr>
          <w:rFonts w:hint="eastAsia"/>
          <w:kern w:val="0"/>
          <w:sz w:val="24"/>
        </w:rPr>
        <w:t>驻场人员需在</w:t>
      </w:r>
      <w:r>
        <w:rPr>
          <w:kern w:val="0"/>
          <w:sz w:val="24"/>
        </w:rPr>
        <w:t>合同签订后5个工作日内</w:t>
      </w:r>
      <w:r>
        <w:rPr>
          <w:rFonts w:hint="eastAsia"/>
          <w:kern w:val="0"/>
          <w:sz w:val="24"/>
        </w:rPr>
        <w:t>驻场</w:t>
      </w:r>
      <w:r>
        <w:rPr>
          <w:kern w:val="0"/>
          <w:sz w:val="24"/>
        </w:rPr>
        <w:t>，按本项目要求提供相应服务；</w:t>
      </w:r>
    </w:p>
    <w:p w14:paraId="3D73FDED">
      <w:pPr>
        <w:spacing w:after="156" w:afterLines="50" w:line="360" w:lineRule="auto"/>
        <w:ind w:firstLine="480" w:firstLineChars="200"/>
        <w:rPr>
          <w:kern w:val="0"/>
          <w:sz w:val="24"/>
        </w:rPr>
      </w:pPr>
      <w:r>
        <w:rPr>
          <w:kern w:val="0"/>
          <w:sz w:val="24"/>
        </w:rPr>
        <w:t>（2）服务地点：成交投标人在招标方指定地点实施服务。</w:t>
      </w:r>
    </w:p>
    <w:p w14:paraId="25E13674">
      <w:pPr>
        <w:spacing w:after="156" w:afterLines="50" w:line="360" w:lineRule="auto"/>
        <w:ind w:firstLine="480" w:firstLineChars="200"/>
        <w:rPr>
          <w:kern w:val="0"/>
          <w:sz w:val="24"/>
        </w:rPr>
      </w:pPr>
      <w:r>
        <w:rPr>
          <w:kern w:val="0"/>
          <w:sz w:val="24"/>
        </w:rPr>
        <w:t>3、请各投标人认真测算，运维服务实施过程中所需的所有费用等应由投标人在报价时一并考虑。</w:t>
      </w:r>
    </w:p>
    <w:p w14:paraId="4BF2D350">
      <w:pPr>
        <w:spacing w:after="156" w:afterLines="50" w:line="360" w:lineRule="auto"/>
        <w:ind w:firstLine="480" w:firstLineChars="200"/>
        <w:rPr>
          <w:kern w:val="0"/>
          <w:sz w:val="24"/>
        </w:rPr>
      </w:pPr>
      <w:r>
        <w:rPr>
          <w:kern w:val="0"/>
          <w:sz w:val="24"/>
        </w:rPr>
        <w:t>4、该项目在实施过程中，由招标人单位组织运维服务考核工作，对运维服务单位进行打分考核，以实现高标准运维。考核结果的评分、结论将作为合同付款、后续运维招标的重要参考依据。如因运维服务单位原因出现重大安全事故或安全通报，造成的损失及相关责任由运维服务单位承担。同时招标人有权立即终止运维服务单位的维护服务，并扣除剩余的服务费用。</w:t>
      </w:r>
    </w:p>
    <w:p w14:paraId="3DA16F5E">
      <w:pPr>
        <w:spacing w:after="156" w:afterLines="50" w:line="360" w:lineRule="auto"/>
        <w:ind w:firstLine="480" w:firstLineChars="200"/>
        <w:rPr>
          <w:kern w:val="0"/>
          <w:sz w:val="24"/>
        </w:rPr>
      </w:pPr>
      <w:r>
        <w:rPr>
          <w:kern w:val="0"/>
          <w:sz w:val="24"/>
        </w:rPr>
        <w:t>5、付款方式</w:t>
      </w:r>
    </w:p>
    <w:p w14:paraId="753A31AD">
      <w:pPr>
        <w:spacing w:after="156" w:afterLines="50" w:line="360" w:lineRule="auto"/>
        <w:ind w:firstLine="480" w:firstLineChars="200"/>
        <w:rPr>
          <w:kern w:val="0"/>
          <w:sz w:val="24"/>
        </w:rPr>
      </w:pPr>
      <w:r>
        <w:rPr>
          <w:rFonts w:hint="eastAsia"/>
          <w:kern w:val="0"/>
          <w:sz w:val="24"/>
        </w:rPr>
        <w:t>1、</w:t>
      </w:r>
      <w:r>
        <w:rPr>
          <w:kern w:val="0"/>
          <w:sz w:val="24"/>
        </w:rPr>
        <w:t>预付款支付</w:t>
      </w:r>
    </w:p>
    <w:p w14:paraId="5490B375">
      <w:pPr>
        <w:spacing w:after="156" w:afterLines="50" w:line="360" w:lineRule="auto"/>
        <w:ind w:firstLine="480" w:firstLineChars="200"/>
        <w:rPr>
          <w:kern w:val="0"/>
          <w:sz w:val="24"/>
        </w:rPr>
      </w:pPr>
      <w:r>
        <w:rPr>
          <w:kern w:val="0"/>
          <w:sz w:val="24"/>
        </w:rPr>
        <w:t xml:space="preserve">合同签订完成后，中标人向招标人开具收据并提交付款申请书，经招标人审核通过的，招标人原则上于 10 个工作日内，向中标人预付合同总金额 20% 作为预付款。 </w:t>
      </w:r>
    </w:p>
    <w:p w14:paraId="4E4161D9">
      <w:pPr>
        <w:spacing w:after="156" w:afterLines="50" w:line="360" w:lineRule="auto"/>
        <w:ind w:firstLine="480" w:firstLineChars="200"/>
        <w:rPr>
          <w:kern w:val="0"/>
          <w:sz w:val="24"/>
        </w:rPr>
      </w:pPr>
      <w:r>
        <w:rPr>
          <w:rFonts w:hint="eastAsia"/>
          <w:kern w:val="0"/>
          <w:sz w:val="24"/>
        </w:rPr>
        <w:t>2、</w:t>
      </w:r>
      <w:r>
        <w:rPr>
          <w:kern w:val="0"/>
          <w:sz w:val="24"/>
        </w:rPr>
        <w:t>分期服务费结算</w:t>
      </w:r>
    </w:p>
    <w:p w14:paraId="3D53B393">
      <w:pPr>
        <w:spacing w:after="156" w:afterLines="50" w:line="360" w:lineRule="auto"/>
        <w:ind w:firstLine="480" w:firstLineChars="200"/>
        <w:rPr>
          <w:kern w:val="0"/>
          <w:sz w:val="24"/>
        </w:rPr>
      </w:pPr>
      <w:r>
        <w:rPr>
          <w:rFonts w:hint="eastAsia"/>
          <w:kern w:val="0"/>
          <w:sz w:val="24"/>
        </w:rPr>
        <w:t>每3个月为一个结算周期（也称考核周期），每个周期的</w:t>
      </w:r>
      <w:r>
        <w:rPr>
          <w:rFonts w:hint="eastAsia"/>
          <w:b/>
          <w:bCs/>
          <w:kern w:val="0"/>
          <w:sz w:val="24"/>
        </w:rPr>
        <w:t>基础服务费</w:t>
      </w:r>
      <w:r>
        <w:rPr>
          <w:rFonts w:hint="eastAsia"/>
          <w:kern w:val="0"/>
          <w:sz w:val="24"/>
        </w:rPr>
        <w:t>为合同总额的25%，每个周期的</w:t>
      </w:r>
      <w:r>
        <w:rPr>
          <w:rFonts w:hint="eastAsia"/>
          <w:b/>
          <w:bCs/>
          <w:kern w:val="0"/>
          <w:sz w:val="24"/>
        </w:rPr>
        <w:t>应付费用</w:t>
      </w:r>
      <w:r>
        <w:rPr>
          <w:rFonts w:hint="eastAsia"/>
          <w:kern w:val="0"/>
          <w:sz w:val="24"/>
        </w:rPr>
        <w:t>为合同总额的20%（</w:t>
      </w:r>
      <w:r>
        <w:rPr>
          <w:kern w:val="0"/>
          <w:sz w:val="24"/>
        </w:rPr>
        <w:t>预付款平均分摊至 4 个结算周期，每期分摊比例为合同总价款 5%</w:t>
      </w:r>
      <w:r>
        <w:rPr>
          <w:rFonts w:hint="eastAsia"/>
          <w:kern w:val="0"/>
          <w:sz w:val="24"/>
        </w:rPr>
        <w:t>），每个周期的</w:t>
      </w:r>
      <w:r>
        <w:rPr>
          <w:rFonts w:hint="eastAsia"/>
          <w:b/>
          <w:bCs/>
          <w:kern w:val="0"/>
          <w:sz w:val="24"/>
        </w:rPr>
        <w:t>实付费用</w:t>
      </w:r>
      <w:r>
        <w:rPr>
          <w:rFonts w:hint="eastAsia"/>
          <w:kern w:val="0"/>
          <w:sz w:val="24"/>
        </w:rPr>
        <w:t>=应付费用-</w:t>
      </w:r>
      <w:r>
        <w:rPr>
          <w:rFonts w:hint="eastAsia" w:ascii="宋体" w:hAnsi="宋体"/>
          <w:sz w:val="24"/>
        </w:rPr>
        <w:t>扣减</w:t>
      </w:r>
      <w:r>
        <w:rPr>
          <w:rFonts w:hint="eastAsia"/>
          <w:kern w:val="0"/>
          <w:sz w:val="24"/>
        </w:rPr>
        <w:t>金额，</w:t>
      </w:r>
      <w:r>
        <w:rPr>
          <w:rFonts w:hint="eastAsia" w:ascii="宋体" w:hAnsi="宋体"/>
          <w:sz w:val="24"/>
        </w:rPr>
        <w:t>扣减</w:t>
      </w:r>
      <w:r>
        <w:rPr>
          <w:rFonts w:hint="eastAsia"/>
          <w:kern w:val="0"/>
          <w:sz w:val="24"/>
        </w:rPr>
        <w:t>金额的计算方式详见招标文件第四章-采购需求-服务标准及考核</w:t>
      </w:r>
    </w:p>
    <w:p w14:paraId="4F1CDDE7">
      <w:pPr>
        <w:spacing w:after="156" w:afterLines="50" w:line="360" w:lineRule="auto"/>
        <w:ind w:firstLine="480" w:firstLineChars="200"/>
        <w:rPr>
          <w:kern w:val="0"/>
          <w:sz w:val="24"/>
        </w:rPr>
      </w:pPr>
      <w:r>
        <w:rPr>
          <w:rFonts w:hint="eastAsia"/>
          <w:kern w:val="0"/>
          <w:sz w:val="24"/>
        </w:rPr>
        <w:t>每个结算周期满后的一个月内，招标人组织开展考核评审并确定</w:t>
      </w:r>
      <w:r>
        <w:rPr>
          <w:rFonts w:hint="eastAsia" w:ascii="宋体" w:hAnsi="宋体"/>
          <w:sz w:val="24"/>
        </w:rPr>
        <w:t>扣减</w:t>
      </w:r>
      <w:r>
        <w:rPr>
          <w:rFonts w:hint="eastAsia"/>
          <w:kern w:val="0"/>
          <w:sz w:val="24"/>
        </w:rPr>
        <w:t>金额，</w:t>
      </w:r>
      <w:r>
        <w:rPr>
          <w:kern w:val="0"/>
          <w:sz w:val="24"/>
        </w:rPr>
        <w:t>考核评审完成后，中标人按照招标人财务规定开具发票</w:t>
      </w:r>
      <w:r>
        <w:rPr>
          <w:rFonts w:hint="eastAsia"/>
          <w:kern w:val="0"/>
          <w:sz w:val="24"/>
        </w:rPr>
        <w:t>（发票金额=基础服务费-</w:t>
      </w:r>
      <w:r>
        <w:rPr>
          <w:rFonts w:hint="eastAsia" w:ascii="宋体" w:hAnsi="宋体"/>
          <w:sz w:val="24"/>
        </w:rPr>
        <w:t>扣减</w:t>
      </w:r>
      <w:r>
        <w:rPr>
          <w:rFonts w:hint="eastAsia"/>
          <w:kern w:val="0"/>
          <w:sz w:val="24"/>
        </w:rPr>
        <w:t>金额）</w:t>
      </w:r>
      <w:r>
        <w:rPr>
          <w:kern w:val="0"/>
          <w:sz w:val="24"/>
        </w:rPr>
        <w:t>并提交付款申请书；招标人收齐全部结算资料且审核无误的，原则上于 10 个工作日内支付</w:t>
      </w:r>
      <w:r>
        <w:rPr>
          <w:rFonts w:hint="eastAsia"/>
          <w:b/>
          <w:bCs/>
          <w:kern w:val="0"/>
          <w:sz w:val="24"/>
        </w:rPr>
        <w:t>实付费用</w:t>
      </w:r>
      <w:r>
        <w:rPr>
          <w:kern w:val="0"/>
          <w:sz w:val="24"/>
        </w:rPr>
        <w:t>（</w:t>
      </w:r>
      <w:r>
        <w:rPr>
          <w:rFonts w:hint="eastAsia"/>
          <w:kern w:val="0"/>
          <w:sz w:val="24"/>
        </w:rPr>
        <w:t>费用经扣减后若余额为负数，不予结算付款；本次未能足额抵扣的差额，结转至下一结算周期继续抵扣。</w:t>
      </w:r>
      <w:r>
        <w:rPr>
          <w:kern w:val="0"/>
          <w:sz w:val="24"/>
        </w:rPr>
        <w:t xml:space="preserve">）。 </w:t>
      </w:r>
    </w:p>
    <w:p w14:paraId="2179B60B">
      <w:pPr>
        <w:spacing w:after="156" w:afterLines="50" w:line="360" w:lineRule="auto"/>
        <w:ind w:firstLine="480" w:firstLineChars="200"/>
        <w:rPr>
          <w:kern w:val="0"/>
          <w:sz w:val="24"/>
        </w:rPr>
      </w:pPr>
      <w:r>
        <w:rPr>
          <w:rFonts w:hint="eastAsia"/>
          <w:kern w:val="0"/>
          <w:sz w:val="24"/>
        </w:rPr>
        <w:t>示例：考核得分65分。</w:t>
      </w:r>
    </w:p>
    <w:p w14:paraId="554996A4">
      <w:pPr>
        <w:spacing w:after="156" w:afterLines="50" w:line="360" w:lineRule="auto"/>
        <w:ind w:firstLine="480" w:firstLineChars="200"/>
        <w:rPr>
          <w:kern w:val="0"/>
          <w:sz w:val="24"/>
        </w:rPr>
      </w:pPr>
      <w:r>
        <w:rPr>
          <w:rFonts w:hint="eastAsia"/>
          <w:kern w:val="0"/>
          <w:sz w:val="24"/>
        </w:rPr>
        <w:t>实付费用=应付费用-基础服务费*（</w:t>
      </w:r>
      <w:r>
        <w:rPr>
          <w:rFonts w:ascii="宋体" w:hAnsi="宋体"/>
          <w:sz w:val="24"/>
        </w:rPr>
        <w:t>0.5%*10+1%*5</w:t>
      </w:r>
      <w:r>
        <w:rPr>
          <w:rFonts w:hint="eastAsia"/>
          <w:kern w:val="0"/>
          <w:sz w:val="24"/>
        </w:rPr>
        <w:t>）</w:t>
      </w:r>
    </w:p>
    <w:p w14:paraId="0324F8D5">
      <w:pPr>
        <w:pStyle w:val="12"/>
        <w:rPr>
          <w:rFonts w:hint="eastAsia"/>
          <w:color w:val="EE0000"/>
        </w:rPr>
      </w:pPr>
      <w:r>
        <w:rPr>
          <w:rFonts w:hint="eastAsia"/>
          <w:color w:val="EE0000"/>
        </w:rPr>
        <w:t>投标人须按要求在投标文件中提供《廉洁合作承诺书》，格式详见附件</w:t>
      </w:r>
    </w:p>
    <w:p w14:paraId="7F2CE36F">
      <w:pPr>
        <w:rPr>
          <w:rFonts w:hint="eastAsia"/>
          <w:bCs/>
          <w:color w:val="auto"/>
          <w:sz w:val="30"/>
          <w:szCs w:val="30"/>
        </w:rPr>
      </w:pPr>
      <w:r>
        <w:rPr>
          <w:rFonts w:hint="eastAsia"/>
          <w:bCs/>
          <w:color w:val="auto"/>
          <w:sz w:val="30"/>
          <w:szCs w:val="30"/>
        </w:rPr>
        <w:br w:type="page"/>
      </w:r>
    </w:p>
    <w:p w14:paraId="6BAF1644">
      <w:pPr>
        <w:spacing w:before="120" w:after="80"/>
        <w:rPr>
          <w:bCs/>
          <w:color w:val="auto"/>
          <w:sz w:val="30"/>
          <w:szCs w:val="30"/>
        </w:rPr>
      </w:pPr>
      <w:bookmarkStart w:id="9" w:name="_GoBack"/>
      <w:bookmarkEnd w:id="9"/>
      <w:r>
        <w:rPr>
          <w:rFonts w:hint="eastAsia"/>
          <w:bCs/>
          <w:color w:val="auto"/>
          <w:sz w:val="30"/>
          <w:szCs w:val="30"/>
        </w:rPr>
        <w:t>附件：考核打分表</w:t>
      </w:r>
    </w:p>
    <w:p w14:paraId="06AD0E72">
      <w:pPr>
        <w:spacing w:line="240" w:lineRule="auto"/>
        <w:jc w:val="center"/>
        <w:rPr>
          <w:bCs/>
          <w:color w:val="auto"/>
          <w:sz w:val="30"/>
          <w:szCs w:val="30"/>
        </w:rPr>
      </w:pPr>
      <w:r>
        <w:rPr>
          <w:rFonts w:hint="eastAsia"/>
          <w:bCs/>
          <w:color w:val="auto"/>
          <w:sz w:val="30"/>
          <w:szCs w:val="30"/>
        </w:rPr>
        <w:t>一、CENI全网告警监控季度考核得分表</w:t>
      </w:r>
    </w:p>
    <w:p w14:paraId="4E4DF8FA">
      <w:pPr>
        <w:spacing w:line="240" w:lineRule="auto"/>
        <w:jc w:val="center"/>
        <w:rPr>
          <w:bCs/>
          <w:color w:val="auto"/>
          <w:sz w:val="30"/>
          <w:szCs w:val="30"/>
        </w:rPr>
      </w:pPr>
    </w:p>
    <w:tbl>
      <w:tblPr>
        <w:tblStyle w:val="7"/>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4"/>
        <w:gridCol w:w="982"/>
        <w:gridCol w:w="3119"/>
        <w:gridCol w:w="709"/>
        <w:gridCol w:w="708"/>
        <w:gridCol w:w="3686"/>
      </w:tblGrid>
      <w:tr w14:paraId="2160E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14" w:type="dxa"/>
            <w:vAlign w:val="center"/>
          </w:tcPr>
          <w:p w14:paraId="23054800">
            <w:pPr>
              <w:snapToGrid w:val="0"/>
              <w:spacing w:line="240" w:lineRule="auto"/>
              <w:jc w:val="center"/>
              <w:rPr>
                <w:color w:val="auto"/>
                <w:sz w:val="21"/>
                <w:szCs w:val="21"/>
              </w:rPr>
            </w:pPr>
            <w:r>
              <w:rPr>
                <w:color w:val="auto"/>
                <w:sz w:val="21"/>
                <w:szCs w:val="21"/>
              </w:rPr>
              <w:t>序号</w:t>
            </w:r>
          </w:p>
        </w:tc>
        <w:tc>
          <w:tcPr>
            <w:tcW w:w="982" w:type="dxa"/>
            <w:vAlign w:val="center"/>
          </w:tcPr>
          <w:p w14:paraId="1CA7F0E8">
            <w:pPr>
              <w:snapToGrid w:val="0"/>
              <w:spacing w:line="240" w:lineRule="auto"/>
              <w:rPr>
                <w:color w:val="auto"/>
                <w:sz w:val="21"/>
                <w:szCs w:val="21"/>
              </w:rPr>
            </w:pPr>
            <w:r>
              <w:rPr>
                <w:color w:val="auto"/>
                <w:sz w:val="21"/>
                <w:szCs w:val="21"/>
              </w:rPr>
              <w:t>考核</w:t>
            </w:r>
            <w:r>
              <w:rPr>
                <w:rFonts w:hint="eastAsia"/>
                <w:color w:val="auto"/>
                <w:sz w:val="21"/>
                <w:szCs w:val="21"/>
              </w:rPr>
              <w:t>项</w:t>
            </w:r>
          </w:p>
        </w:tc>
        <w:tc>
          <w:tcPr>
            <w:tcW w:w="3119" w:type="dxa"/>
            <w:vAlign w:val="center"/>
          </w:tcPr>
          <w:p w14:paraId="71D1C401">
            <w:pPr>
              <w:snapToGrid w:val="0"/>
              <w:spacing w:line="240" w:lineRule="auto"/>
              <w:rPr>
                <w:color w:val="auto"/>
                <w:sz w:val="21"/>
                <w:szCs w:val="21"/>
              </w:rPr>
            </w:pPr>
            <w:r>
              <w:rPr>
                <w:color w:val="auto"/>
                <w:sz w:val="21"/>
                <w:szCs w:val="21"/>
              </w:rPr>
              <w:t>核心考核内容与要求</w:t>
            </w:r>
          </w:p>
        </w:tc>
        <w:tc>
          <w:tcPr>
            <w:tcW w:w="709" w:type="dxa"/>
            <w:vAlign w:val="center"/>
          </w:tcPr>
          <w:p w14:paraId="17593E65">
            <w:pPr>
              <w:snapToGrid w:val="0"/>
              <w:spacing w:line="240" w:lineRule="auto"/>
              <w:rPr>
                <w:color w:val="auto"/>
                <w:sz w:val="21"/>
                <w:szCs w:val="21"/>
              </w:rPr>
            </w:pPr>
            <w:r>
              <w:rPr>
                <w:color w:val="auto"/>
                <w:sz w:val="21"/>
                <w:szCs w:val="21"/>
              </w:rPr>
              <w:t>分值</w:t>
            </w:r>
          </w:p>
        </w:tc>
        <w:tc>
          <w:tcPr>
            <w:tcW w:w="708" w:type="dxa"/>
            <w:vAlign w:val="center"/>
          </w:tcPr>
          <w:p w14:paraId="55BB6F0C">
            <w:pPr>
              <w:snapToGrid w:val="0"/>
              <w:spacing w:line="240" w:lineRule="auto"/>
              <w:rPr>
                <w:color w:val="auto"/>
                <w:sz w:val="21"/>
                <w:szCs w:val="21"/>
              </w:rPr>
            </w:pPr>
            <w:r>
              <w:rPr>
                <w:color w:val="auto"/>
                <w:sz w:val="21"/>
                <w:szCs w:val="21"/>
              </w:rPr>
              <w:t>得分</w:t>
            </w:r>
          </w:p>
        </w:tc>
        <w:tc>
          <w:tcPr>
            <w:tcW w:w="3686" w:type="dxa"/>
            <w:vAlign w:val="center"/>
          </w:tcPr>
          <w:p w14:paraId="12A00EB5">
            <w:pPr>
              <w:snapToGrid w:val="0"/>
              <w:spacing w:line="240" w:lineRule="auto"/>
              <w:rPr>
                <w:color w:val="auto"/>
                <w:sz w:val="21"/>
                <w:szCs w:val="21"/>
              </w:rPr>
            </w:pPr>
            <w:r>
              <w:rPr>
                <w:color w:val="auto"/>
                <w:sz w:val="21"/>
                <w:szCs w:val="21"/>
              </w:rPr>
              <w:t>扣分规则</w:t>
            </w:r>
          </w:p>
        </w:tc>
      </w:tr>
      <w:tr w14:paraId="2993D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918" w:type="dxa"/>
            <w:gridSpan w:val="6"/>
            <w:shd w:val="clear" w:color="auto" w:fill="9FD3A4" w:themeFill="background1" w:themeFillShade="D9"/>
            <w:noWrap/>
            <w:vAlign w:val="center"/>
          </w:tcPr>
          <w:p w14:paraId="1D67938A">
            <w:pPr>
              <w:snapToGrid w:val="0"/>
              <w:spacing w:line="240" w:lineRule="auto"/>
              <w:rPr>
                <w:color w:val="auto"/>
                <w:sz w:val="24"/>
              </w:rPr>
            </w:pPr>
            <w:r>
              <w:rPr>
                <w:color w:val="auto"/>
                <w:sz w:val="24"/>
              </w:rPr>
              <w:t>一</w:t>
            </w:r>
            <w:r>
              <w:rPr>
                <w:rFonts w:hint="eastAsia"/>
                <w:color w:val="auto"/>
                <w:sz w:val="24"/>
              </w:rPr>
              <w:t>、</w:t>
            </w:r>
            <w:r>
              <w:rPr>
                <w:color w:val="auto"/>
                <w:sz w:val="24"/>
              </w:rPr>
              <w:t>全网告警故障监控</w:t>
            </w:r>
            <w:r>
              <w:rPr>
                <w:rFonts w:hint="eastAsia"/>
                <w:color w:val="auto"/>
                <w:sz w:val="24"/>
              </w:rPr>
              <w:t>（</w:t>
            </w:r>
            <w:r>
              <w:rPr>
                <w:color w:val="auto"/>
                <w:sz w:val="24"/>
              </w:rPr>
              <w:t>6</w:t>
            </w:r>
            <w:r>
              <w:rPr>
                <w:rFonts w:hint="eastAsia"/>
                <w:color w:val="auto"/>
                <w:sz w:val="24"/>
              </w:rPr>
              <w:t>0分）</w:t>
            </w:r>
          </w:p>
        </w:tc>
      </w:tr>
      <w:tr w14:paraId="65E46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jc w:val="center"/>
        </w:trPr>
        <w:tc>
          <w:tcPr>
            <w:tcW w:w="714" w:type="dxa"/>
            <w:vAlign w:val="center"/>
          </w:tcPr>
          <w:p w14:paraId="2863B93D">
            <w:pPr>
              <w:snapToGrid w:val="0"/>
              <w:spacing w:line="240" w:lineRule="auto"/>
              <w:jc w:val="center"/>
              <w:rPr>
                <w:bCs/>
                <w:color w:val="auto"/>
                <w:sz w:val="18"/>
                <w:szCs w:val="18"/>
              </w:rPr>
            </w:pPr>
            <w:r>
              <w:rPr>
                <w:bCs/>
                <w:color w:val="auto"/>
                <w:sz w:val="18"/>
                <w:szCs w:val="18"/>
              </w:rPr>
              <w:t>1</w:t>
            </w:r>
          </w:p>
        </w:tc>
        <w:tc>
          <w:tcPr>
            <w:tcW w:w="982" w:type="dxa"/>
            <w:vAlign w:val="center"/>
          </w:tcPr>
          <w:p w14:paraId="14C61F5F">
            <w:pPr>
              <w:snapToGrid w:val="0"/>
              <w:spacing w:line="240" w:lineRule="auto"/>
              <w:rPr>
                <w:bCs/>
                <w:color w:val="auto"/>
                <w:sz w:val="18"/>
                <w:szCs w:val="18"/>
              </w:rPr>
            </w:pPr>
            <w:r>
              <w:rPr>
                <w:bCs/>
                <w:color w:val="auto"/>
                <w:sz w:val="18"/>
                <w:szCs w:val="18"/>
              </w:rPr>
              <w:t>基础值守合规性</w:t>
            </w:r>
          </w:p>
        </w:tc>
        <w:tc>
          <w:tcPr>
            <w:tcW w:w="3119" w:type="dxa"/>
            <w:vAlign w:val="center"/>
          </w:tcPr>
          <w:p w14:paraId="0FAE3A8F">
            <w:pPr>
              <w:snapToGrid w:val="0"/>
              <w:spacing w:line="240" w:lineRule="auto"/>
              <w:rPr>
                <w:bCs/>
                <w:color w:val="auto"/>
                <w:sz w:val="18"/>
                <w:szCs w:val="18"/>
              </w:rPr>
            </w:pPr>
            <w:r>
              <w:rPr>
                <w:bCs/>
                <w:color w:val="auto"/>
                <w:sz w:val="18"/>
                <w:szCs w:val="18"/>
              </w:rPr>
              <w:t>1.实现7×24小时（含节假日）不间断值守，无脱岗、无人值守情况</w:t>
            </w:r>
          </w:p>
          <w:p w14:paraId="2A093886">
            <w:pPr>
              <w:snapToGrid w:val="0"/>
              <w:spacing w:line="240" w:lineRule="auto"/>
              <w:rPr>
                <w:bCs/>
                <w:color w:val="auto"/>
                <w:sz w:val="18"/>
                <w:szCs w:val="18"/>
              </w:rPr>
            </w:pPr>
            <w:r>
              <w:rPr>
                <w:bCs/>
                <w:color w:val="auto"/>
                <w:sz w:val="18"/>
                <w:szCs w:val="18"/>
              </w:rPr>
              <w:t>2.覆盖甲方要求的所有监控对象</w:t>
            </w:r>
          </w:p>
        </w:tc>
        <w:tc>
          <w:tcPr>
            <w:tcW w:w="709" w:type="dxa"/>
            <w:vAlign w:val="center"/>
          </w:tcPr>
          <w:p w14:paraId="3ECA257A">
            <w:pPr>
              <w:snapToGrid w:val="0"/>
              <w:spacing w:line="240" w:lineRule="auto"/>
              <w:rPr>
                <w:bCs/>
                <w:color w:val="auto"/>
                <w:sz w:val="18"/>
                <w:szCs w:val="18"/>
              </w:rPr>
            </w:pPr>
            <w:r>
              <w:rPr>
                <w:bCs/>
                <w:color w:val="auto"/>
                <w:sz w:val="18"/>
                <w:szCs w:val="18"/>
              </w:rPr>
              <w:t>20分</w:t>
            </w:r>
          </w:p>
        </w:tc>
        <w:tc>
          <w:tcPr>
            <w:tcW w:w="708" w:type="dxa"/>
            <w:vAlign w:val="center"/>
          </w:tcPr>
          <w:p w14:paraId="6C0C8705">
            <w:pPr>
              <w:snapToGrid w:val="0"/>
              <w:spacing w:line="240" w:lineRule="auto"/>
              <w:rPr>
                <w:bCs/>
                <w:color w:val="auto"/>
                <w:sz w:val="18"/>
                <w:szCs w:val="18"/>
              </w:rPr>
            </w:pPr>
            <w:r>
              <w:rPr>
                <w:bCs/>
                <w:color w:val="auto"/>
                <w:sz w:val="18"/>
                <w:szCs w:val="18"/>
              </w:rPr>
              <w:t>　</w:t>
            </w:r>
          </w:p>
        </w:tc>
        <w:tc>
          <w:tcPr>
            <w:tcW w:w="3686" w:type="dxa"/>
            <w:vAlign w:val="center"/>
          </w:tcPr>
          <w:p w14:paraId="37A4B285">
            <w:pPr>
              <w:snapToGrid w:val="0"/>
              <w:spacing w:line="240" w:lineRule="auto"/>
              <w:rPr>
                <w:bCs/>
                <w:color w:val="auto"/>
                <w:sz w:val="18"/>
                <w:szCs w:val="18"/>
              </w:rPr>
            </w:pPr>
            <w:r>
              <w:rPr>
                <w:bCs/>
                <w:color w:val="auto"/>
                <w:sz w:val="18"/>
                <w:szCs w:val="18"/>
              </w:rPr>
              <w:t>1. 非报备脱岗、无人值守，每次扣10分；</w:t>
            </w:r>
          </w:p>
          <w:p w14:paraId="44615AC7">
            <w:pPr>
              <w:snapToGrid w:val="0"/>
              <w:spacing w:line="240" w:lineRule="auto"/>
              <w:rPr>
                <w:bCs/>
                <w:color w:val="auto"/>
                <w:sz w:val="18"/>
                <w:szCs w:val="18"/>
              </w:rPr>
            </w:pPr>
            <w:r>
              <w:rPr>
                <w:bCs/>
                <w:color w:val="auto"/>
                <w:sz w:val="18"/>
                <w:szCs w:val="18"/>
              </w:rPr>
              <w:t>2. 监控范围每遗漏1项，扣3分，在提出后依然遗漏的，本项</w:t>
            </w:r>
            <w:r>
              <w:rPr>
                <w:rFonts w:hint="eastAsia"/>
                <w:bCs/>
                <w:color w:val="auto"/>
                <w:sz w:val="18"/>
                <w:szCs w:val="18"/>
              </w:rPr>
              <w:t>计0分；</w:t>
            </w:r>
          </w:p>
        </w:tc>
      </w:tr>
      <w:tr w14:paraId="27519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714" w:type="dxa"/>
            <w:vAlign w:val="center"/>
          </w:tcPr>
          <w:p w14:paraId="05A5A866">
            <w:pPr>
              <w:snapToGrid w:val="0"/>
              <w:spacing w:line="240" w:lineRule="auto"/>
              <w:jc w:val="center"/>
              <w:rPr>
                <w:bCs/>
                <w:color w:val="auto"/>
                <w:sz w:val="18"/>
                <w:szCs w:val="18"/>
              </w:rPr>
            </w:pPr>
            <w:r>
              <w:rPr>
                <w:bCs/>
                <w:color w:val="auto"/>
                <w:sz w:val="18"/>
                <w:szCs w:val="18"/>
              </w:rPr>
              <w:t>2</w:t>
            </w:r>
          </w:p>
        </w:tc>
        <w:tc>
          <w:tcPr>
            <w:tcW w:w="982" w:type="dxa"/>
            <w:vAlign w:val="center"/>
          </w:tcPr>
          <w:p w14:paraId="3F39F71E">
            <w:pPr>
              <w:snapToGrid w:val="0"/>
              <w:spacing w:line="240" w:lineRule="auto"/>
              <w:rPr>
                <w:bCs/>
                <w:color w:val="auto"/>
                <w:sz w:val="18"/>
                <w:szCs w:val="18"/>
              </w:rPr>
            </w:pPr>
            <w:r>
              <w:rPr>
                <w:bCs/>
                <w:color w:val="auto"/>
                <w:sz w:val="18"/>
                <w:szCs w:val="18"/>
              </w:rPr>
              <w:t>告警</w:t>
            </w:r>
            <w:r>
              <w:rPr>
                <w:rFonts w:hint="eastAsia"/>
                <w:bCs/>
                <w:color w:val="auto"/>
                <w:sz w:val="18"/>
                <w:szCs w:val="18"/>
              </w:rPr>
              <w:t>监控</w:t>
            </w:r>
            <w:r>
              <w:rPr>
                <w:bCs/>
                <w:color w:val="auto"/>
                <w:sz w:val="18"/>
                <w:szCs w:val="18"/>
              </w:rPr>
              <w:t>分级响应</w:t>
            </w:r>
          </w:p>
        </w:tc>
        <w:tc>
          <w:tcPr>
            <w:tcW w:w="3119" w:type="dxa"/>
            <w:vAlign w:val="center"/>
          </w:tcPr>
          <w:p w14:paraId="2DCA1E3B">
            <w:pPr>
              <w:snapToGrid w:val="0"/>
              <w:spacing w:line="240" w:lineRule="auto"/>
              <w:rPr>
                <w:bCs/>
                <w:color w:val="auto"/>
                <w:sz w:val="18"/>
                <w:szCs w:val="18"/>
              </w:rPr>
            </w:pPr>
            <w:r>
              <w:rPr>
                <w:rFonts w:hint="eastAsia"/>
                <w:bCs/>
                <w:color w:val="auto"/>
                <w:sz w:val="18"/>
                <w:szCs w:val="18"/>
              </w:rPr>
              <w:t>1</w:t>
            </w:r>
            <w:r>
              <w:rPr>
                <w:bCs/>
                <w:color w:val="auto"/>
                <w:sz w:val="18"/>
                <w:szCs w:val="18"/>
              </w:rPr>
              <w:t>. 紧急</w:t>
            </w:r>
            <w:r>
              <w:rPr>
                <w:rFonts w:hint="eastAsia"/>
                <w:bCs/>
                <w:color w:val="auto"/>
                <w:sz w:val="18"/>
                <w:szCs w:val="18"/>
              </w:rPr>
              <w:t>告警</w:t>
            </w:r>
            <w:r>
              <w:rPr>
                <w:bCs/>
                <w:color w:val="auto"/>
                <w:sz w:val="18"/>
                <w:szCs w:val="18"/>
              </w:rPr>
              <w:t>和</w:t>
            </w:r>
            <w:r>
              <w:rPr>
                <w:rFonts w:hint="eastAsia"/>
                <w:bCs/>
                <w:color w:val="auto"/>
                <w:sz w:val="18"/>
                <w:szCs w:val="18"/>
              </w:rPr>
              <w:t>重要告警的</w:t>
            </w:r>
            <w:r>
              <w:rPr>
                <w:bCs/>
                <w:color w:val="auto"/>
                <w:sz w:val="18"/>
                <w:szCs w:val="18"/>
              </w:rPr>
              <w:t>响应及时率</w:t>
            </w:r>
            <w:r>
              <w:rPr>
                <w:rFonts w:hint="eastAsia"/>
                <w:bCs/>
                <w:color w:val="auto"/>
                <w:sz w:val="18"/>
                <w:szCs w:val="18"/>
              </w:rPr>
              <w:t>满足</w:t>
            </w:r>
            <w:r>
              <w:rPr>
                <w:bCs/>
                <w:color w:val="auto"/>
                <w:sz w:val="18"/>
                <w:szCs w:val="18"/>
              </w:rPr>
              <w:t>100%</w:t>
            </w:r>
          </w:p>
          <w:p w14:paraId="3DF6793A">
            <w:pPr>
              <w:snapToGrid w:val="0"/>
              <w:spacing w:line="240" w:lineRule="auto"/>
              <w:rPr>
                <w:bCs/>
                <w:color w:val="auto"/>
                <w:sz w:val="18"/>
                <w:szCs w:val="18"/>
              </w:rPr>
            </w:pPr>
            <w:r>
              <w:rPr>
                <w:bCs/>
                <w:color w:val="auto"/>
                <w:sz w:val="18"/>
                <w:szCs w:val="18"/>
              </w:rPr>
              <w:t>2. 其他</w:t>
            </w:r>
            <w:r>
              <w:rPr>
                <w:rFonts w:hint="eastAsia"/>
                <w:bCs/>
                <w:color w:val="auto"/>
                <w:sz w:val="18"/>
                <w:szCs w:val="18"/>
              </w:rPr>
              <w:t>级别的</w:t>
            </w:r>
            <w:r>
              <w:rPr>
                <w:bCs/>
                <w:color w:val="auto"/>
                <w:sz w:val="18"/>
                <w:szCs w:val="18"/>
              </w:rPr>
              <w:t>告警响应及时率≥99.5%。</w:t>
            </w:r>
          </w:p>
        </w:tc>
        <w:tc>
          <w:tcPr>
            <w:tcW w:w="709" w:type="dxa"/>
            <w:vAlign w:val="center"/>
          </w:tcPr>
          <w:p w14:paraId="33957DF6">
            <w:pPr>
              <w:snapToGrid w:val="0"/>
              <w:spacing w:line="240" w:lineRule="auto"/>
              <w:rPr>
                <w:bCs/>
                <w:color w:val="auto"/>
                <w:sz w:val="18"/>
                <w:szCs w:val="18"/>
              </w:rPr>
            </w:pPr>
            <w:r>
              <w:rPr>
                <w:bCs/>
                <w:color w:val="auto"/>
                <w:sz w:val="18"/>
                <w:szCs w:val="18"/>
              </w:rPr>
              <w:t>30分</w:t>
            </w:r>
          </w:p>
        </w:tc>
        <w:tc>
          <w:tcPr>
            <w:tcW w:w="708" w:type="dxa"/>
            <w:vAlign w:val="center"/>
          </w:tcPr>
          <w:p w14:paraId="090E22AF">
            <w:pPr>
              <w:snapToGrid w:val="0"/>
              <w:spacing w:line="240" w:lineRule="auto"/>
              <w:rPr>
                <w:bCs/>
                <w:color w:val="auto"/>
                <w:sz w:val="18"/>
                <w:szCs w:val="18"/>
              </w:rPr>
            </w:pPr>
            <w:r>
              <w:rPr>
                <w:bCs/>
                <w:color w:val="auto"/>
                <w:sz w:val="18"/>
                <w:szCs w:val="18"/>
              </w:rPr>
              <w:t>　</w:t>
            </w:r>
          </w:p>
        </w:tc>
        <w:tc>
          <w:tcPr>
            <w:tcW w:w="3686" w:type="dxa"/>
            <w:vAlign w:val="center"/>
          </w:tcPr>
          <w:p w14:paraId="7E553EA8">
            <w:pPr>
              <w:snapToGrid w:val="0"/>
              <w:spacing w:line="240" w:lineRule="auto"/>
              <w:rPr>
                <w:bCs/>
                <w:color w:val="auto"/>
                <w:sz w:val="18"/>
                <w:szCs w:val="18"/>
              </w:rPr>
            </w:pPr>
            <w:r>
              <w:rPr>
                <w:bCs/>
                <w:color w:val="auto"/>
                <w:sz w:val="18"/>
                <w:szCs w:val="18"/>
              </w:rPr>
              <w:t>1.</w:t>
            </w:r>
            <w:r>
              <w:rPr>
                <w:rFonts w:hint="eastAsia"/>
                <w:bCs/>
                <w:color w:val="auto"/>
                <w:sz w:val="18"/>
                <w:szCs w:val="18"/>
              </w:rPr>
              <w:t xml:space="preserve"> 超出及时率标准</w:t>
            </w:r>
            <w:r>
              <w:rPr>
                <w:bCs/>
                <w:color w:val="auto"/>
                <w:sz w:val="18"/>
                <w:szCs w:val="18"/>
              </w:rPr>
              <w:t>，</w:t>
            </w:r>
            <w:r>
              <w:rPr>
                <w:rFonts w:hint="eastAsia"/>
                <w:bCs/>
                <w:color w:val="auto"/>
                <w:sz w:val="18"/>
                <w:szCs w:val="18"/>
              </w:rPr>
              <w:t>每超1单</w:t>
            </w:r>
            <w:r>
              <w:rPr>
                <w:bCs/>
                <w:color w:val="auto"/>
                <w:sz w:val="18"/>
                <w:szCs w:val="18"/>
              </w:rPr>
              <w:t>扣</w:t>
            </w:r>
            <w:r>
              <w:rPr>
                <w:rFonts w:hint="eastAsia"/>
                <w:bCs/>
                <w:color w:val="auto"/>
                <w:sz w:val="18"/>
                <w:szCs w:val="18"/>
              </w:rPr>
              <w:t>1</w:t>
            </w:r>
            <w:r>
              <w:rPr>
                <w:bCs/>
                <w:color w:val="auto"/>
                <w:sz w:val="18"/>
                <w:szCs w:val="18"/>
              </w:rPr>
              <w:t>分</w:t>
            </w:r>
            <w:r>
              <w:rPr>
                <w:rFonts w:hint="eastAsia"/>
                <w:bCs/>
                <w:color w:val="auto"/>
                <w:sz w:val="18"/>
                <w:szCs w:val="18"/>
              </w:rPr>
              <w:t>。未及时响应，</w:t>
            </w:r>
            <w:r>
              <w:rPr>
                <w:bCs/>
                <w:color w:val="auto"/>
                <w:sz w:val="18"/>
                <w:szCs w:val="18"/>
              </w:rPr>
              <w:t>引发重大影响</w:t>
            </w:r>
            <w:r>
              <w:rPr>
                <w:rFonts w:hint="eastAsia"/>
                <w:bCs/>
                <w:color w:val="auto"/>
                <w:sz w:val="18"/>
                <w:szCs w:val="18"/>
              </w:rPr>
              <w:t>的每次扣10分，</w:t>
            </w:r>
            <w:r>
              <w:rPr>
                <w:bCs/>
                <w:color w:val="auto"/>
                <w:sz w:val="18"/>
                <w:szCs w:val="18"/>
              </w:rPr>
              <w:t>，扣完为止；</w:t>
            </w:r>
          </w:p>
        </w:tc>
      </w:tr>
      <w:tr w14:paraId="5003C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714" w:type="dxa"/>
            <w:tcBorders>
              <w:bottom w:val="single" w:color="auto" w:sz="4" w:space="0"/>
            </w:tcBorders>
            <w:vAlign w:val="center"/>
          </w:tcPr>
          <w:p w14:paraId="01229B7B">
            <w:pPr>
              <w:snapToGrid w:val="0"/>
              <w:spacing w:line="240" w:lineRule="auto"/>
              <w:jc w:val="center"/>
              <w:rPr>
                <w:bCs/>
                <w:color w:val="auto"/>
                <w:sz w:val="18"/>
                <w:szCs w:val="18"/>
              </w:rPr>
            </w:pPr>
            <w:r>
              <w:rPr>
                <w:bCs/>
                <w:color w:val="auto"/>
                <w:sz w:val="18"/>
                <w:szCs w:val="18"/>
              </w:rPr>
              <w:t>3</w:t>
            </w:r>
          </w:p>
        </w:tc>
        <w:tc>
          <w:tcPr>
            <w:tcW w:w="982" w:type="dxa"/>
            <w:tcBorders>
              <w:bottom w:val="single" w:color="auto" w:sz="4" w:space="0"/>
            </w:tcBorders>
            <w:vAlign w:val="center"/>
          </w:tcPr>
          <w:p w14:paraId="27B36FE3">
            <w:pPr>
              <w:snapToGrid w:val="0"/>
              <w:spacing w:line="240" w:lineRule="auto"/>
              <w:rPr>
                <w:bCs/>
                <w:color w:val="auto"/>
                <w:sz w:val="18"/>
                <w:szCs w:val="18"/>
              </w:rPr>
            </w:pPr>
            <w:r>
              <w:rPr>
                <w:bCs/>
                <w:color w:val="auto"/>
                <w:sz w:val="18"/>
                <w:szCs w:val="18"/>
              </w:rPr>
              <w:t>投诉与合规管控</w:t>
            </w:r>
          </w:p>
        </w:tc>
        <w:tc>
          <w:tcPr>
            <w:tcW w:w="3119" w:type="dxa"/>
            <w:tcBorders>
              <w:bottom w:val="single" w:color="auto" w:sz="4" w:space="0"/>
            </w:tcBorders>
            <w:vAlign w:val="center"/>
          </w:tcPr>
          <w:p w14:paraId="29D825C5">
            <w:pPr>
              <w:snapToGrid w:val="0"/>
              <w:spacing w:line="240" w:lineRule="auto"/>
              <w:rPr>
                <w:bCs/>
                <w:color w:val="auto"/>
                <w:sz w:val="18"/>
                <w:szCs w:val="18"/>
              </w:rPr>
            </w:pPr>
            <w:r>
              <w:rPr>
                <w:bCs/>
                <w:color w:val="auto"/>
                <w:sz w:val="18"/>
                <w:szCs w:val="18"/>
              </w:rPr>
              <w:t>1. 无因</w:t>
            </w:r>
            <w:r>
              <w:rPr>
                <w:rFonts w:hint="eastAsia"/>
                <w:bCs/>
                <w:color w:val="auto"/>
                <w:sz w:val="18"/>
                <w:szCs w:val="18"/>
              </w:rPr>
              <w:t>告警</w:t>
            </w:r>
            <w:r>
              <w:rPr>
                <w:bCs/>
                <w:color w:val="auto"/>
                <w:sz w:val="18"/>
                <w:szCs w:val="18"/>
              </w:rPr>
              <w:t>监控、处置不到位引发的有效外部投诉；</w:t>
            </w:r>
          </w:p>
          <w:p w14:paraId="642DAE6C">
            <w:pPr>
              <w:snapToGrid w:val="0"/>
              <w:spacing w:line="240" w:lineRule="auto"/>
              <w:rPr>
                <w:bCs/>
                <w:color w:val="auto"/>
                <w:sz w:val="18"/>
                <w:szCs w:val="18"/>
              </w:rPr>
            </w:pPr>
            <w:r>
              <w:rPr>
                <w:bCs/>
                <w:color w:val="auto"/>
                <w:sz w:val="18"/>
                <w:szCs w:val="18"/>
              </w:rPr>
              <w:t>2. 无瞒报、谎报告警故障情况</w:t>
            </w:r>
          </w:p>
        </w:tc>
        <w:tc>
          <w:tcPr>
            <w:tcW w:w="709" w:type="dxa"/>
            <w:tcBorders>
              <w:bottom w:val="single" w:color="auto" w:sz="4" w:space="0"/>
            </w:tcBorders>
            <w:vAlign w:val="center"/>
          </w:tcPr>
          <w:p w14:paraId="4789621A">
            <w:pPr>
              <w:snapToGrid w:val="0"/>
              <w:spacing w:line="240" w:lineRule="auto"/>
              <w:rPr>
                <w:bCs/>
                <w:color w:val="auto"/>
                <w:sz w:val="18"/>
                <w:szCs w:val="18"/>
              </w:rPr>
            </w:pPr>
            <w:r>
              <w:rPr>
                <w:bCs/>
                <w:color w:val="auto"/>
                <w:sz w:val="18"/>
                <w:szCs w:val="18"/>
              </w:rPr>
              <w:t>10分</w:t>
            </w:r>
          </w:p>
        </w:tc>
        <w:tc>
          <w:tcPr>
            <w:tcW w:w="708" w:type="dxa"/>
            <w:tcBorders>
              <w:bottom w:val="single" w:color="auto" w:sz="4" w:space="0"/>
            </w:tcBorders>
            <w:vAlign w:val="center"/>
          </w:tcPr>
          <w:p w14:paraId="7C856126">
            <w:pPr>
              <w:snapToGrid w:val="0"/>
              <w:spacing w:line="240" w:lineRule="auto"/>
              <w:rPr>
                <w:bCs/>
                <w:color w:val="auto"/>
                <w:sz w:val="18"/>
                <w:szCs w:val="18"/>
              </w:rPr>
            </w:pPr>
            <w:r>
              <w:rPr>
                <w:bCs/>
                <w:color w:val="auto"/>
                <w:sz w:val="18"/>
                <w:szCs w:val="18"/>
              </w:rPr>
              <w:t>　</w:t>
            </w:r>
          </w:p>
        </w:tc>
        <w:tc>
          <w:tcPr>
            <w:tcW w:w="3686" w:type="dxa"/>
            <w:tcBorders>
              <w:bottom w:val="single" w:color="auto" w:sz="4" w:space="0"/>
            </w:tcBorders>
            <w:vAlign w:val="center"/>
          </w:tcPr>
          <w:p w14:paraId="47787B9B">
            <w:pPr>
              <w:snapToGrid w:val="0"/>
              <w:spacing w:line="240" w:lineRule="auto"/>
              <w:rPr>
                <w:bCs/>
                <w:color w:val="auto"/>
                <w:sz w:val="18"/>
                <w:szCs w:val="18"/>
              </w:rPr>
            </w:pPr>
            <w:r>
              <w:rPr>
                <w:bCs/>
                <w:color w:val="auto"/>
                <w:sz w:val="18"/>
                <w:szCs w:val="18"/>
              </w:rPr>
              <w:t>1. 出现 1 次有效外部投诉扣 5 分，</w:t>
            </w:r>
          </w:p>
          <w:p w14:paraId="52CAFAC9">
            <w:pPr>
              <w:snapToGrid w:val="0"/>
              <w:spacing w:line="240" w:lineRule="auto"/>
              <w:rPr>
                <w:bCs/>
                <w:color w:val="auto"/>
                <w:sz w:val="18"/>
                <w:szCs w:val="18"/>
              </w:rPr>
            </w:pPr>
            <w:r>
              <w:rPr>
                <w:bCs/>
                <w:color w:val="auto"/>
                <w:sz w:val="18"/>
                <w:szCs w:val="18"/>
              </w:rPr>
              <w:t>2.瞒报、谎报故障情况，本项计 0 分；</w:t>
            </w:r>
          </w:p>
        </w:tc>
      </w:tr>
      <w:tr w14:paraId="003CF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918" w:type="dxa"/>
            <w:gridSpan w:val="6"/>
            <w:shd w:val="clear" w:color="auto" w:fill="9FD3A4" w:themeFill="background1" w:themeFillShade="D9"/>
            <w:vAlign w:val="center"/>
          </w:tcPr>
          <w:p w14:paraId="3BFD51EE">
            <w:pPr>
              <w:snapToGrid w:val="0"/>
              <w:spacing w:line="240" w:lineRule="auto"/>
              <w:rPr>
                <w:color w:val="auto"/>
                <w:sz w:val="24"/>
              </w:rPr>
            </w:pPr>
            <w:r>
              <w:rPr>
                <w:color w:val="auto"/>
                <w:sz w:val="24"/>
              </w:rPr>
              <w:t>二</w:t>
            </w:r>
            <w:r>
              <w:rPr>
                <w:rFonts w:hint="eastAsia"/>
                <w:color w:val="auto"/>
                <w:sz w:val="24"/>
              </w:rPr>
              <w:t>、告警工单故障处理跟踪（</w:t>
            </w:r>
            <w:r>
              <w:rPr>
                <w:color w:val="auto"/>
                <w:sz w:val="24"/>
              </w:rPr>
              <w:t>4</w:t>
            </w:r>
            <w:r>
              <w:rPr>
                <w:rFonts w:hint="eastAsia"/>
                <w:color w:val="auto"/>
                <w:sz w:val="24"/>
              </w:rPr>
              <w:t>0分）</w:t>
            </w:r>
          </w:p>
        </w:tc>
      </w:tr>
      <w:tr w14:paraId="1A512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714" w:type="dxa"/>
            <w:vAlign w:val="center"/>
          </w:tcPr>
          <w:p w14:paraId="3E74B7F6">
            <w:pPr>
              <w:snapToGrid w:val="0"/>
              <w:spacing w:line="240" w:lineRule="auto"/>
              <w:jc w:val="center"/>
              <w:rPr>
                <w:bCs/>
                <w:color w:val="auto"/>
                <w:sz w:val="18"/>
                <w:szCs w:val="18"/>
              </w:rPr>
            </w:pPr>
            <w:r>
              <w:rPr>
                <w:rFonts w:hint="eastAsia"/>
                <w:bCs/>
                <w:color w:val="auto"/>
                <w:sz w:val="18"/>
                <w:szCs w:val="18"/>
              </w:rPr>
              <w:t>1</w:t>
            </w:r>
          </w:p>
        </w:tc>
        <w:tc>
          <w:tcPr>
            <w:tcW w:w="982" w:type="dxa"/>
            <w:vAlign w:val="center"/>
          </w:tcPr>
          <w:p w14:paraId="1EC2373B">
            <w:pPr>
              <w:snapToGrid w:val="0"/>
              <w:spacing w:line="240" w:lineRule="auto"/>
              <w:rPr>
                <w:bCs/>
                <w:color w:val="auto"/>
                <w:sz w:val="18"/>
                <w:szCs w:val="18"/>
              </w:rPr>
            </w:pPr>
            <w:r>
              <w:rPr>
                <w:rFonts w:hint="eastAsia"/>
                <w:bCs/>
                <w:color w:val="auto"/>
                <w:sz w:val="18"/>
                <w:szCs w:val="18"/>
              </w:rPr>
              <w:t>故障处理跟踪</w:t>
            </w:r>
          </w:p>
        </w:tc>
        <w:tc>
          <w:tcPr>
            <w:tcW w:w="3119" w:type="dxa"/>
            <w:vAlign w:val="center"/>
          </w:tcPr>
          <w:p w14:paraId="1BCD92A6">
            <w:pPr>
              <w:snapToGrid w:val="0"/>
              <w:spacing w:line="240" w:lineRule="auto"/>
              <w:rPr>
                <w:bCs/>
                <w:color w:val="auto"/>
                <w:sz w:val="18"/>
                <w:szCs w:val="18"/>
              </w:rPr>
            </w:pPr>
            <w:r>
              <w:rPr>
                <w:rFonts w:hint="eastAsia"/>
                <w:bCs/>
                <w:color w:val="auto"/>
                <w:sz w:val="18"/>
                <w:szCs w:val="18"/>
              </w:rPr>
              <w:t>1</w:t>
            </w:r>
            <w:r>
              <w:rPr>
                <w:bCs/>
                <w:color w:val="auto"/>
                <w:sz w:val="18"/>
                <w:szCs w:val="18"/>
              </w:rPr>
              <w:t xml:space="preserve">. </w:t>
            </w:r>
            <w:r>
              <w:rPr>
                <w:rFonts w:hint="eastAsia"/>
                <w:bCs/>
                <w:color w:val="auto"/>
                <w:sz w:val="18"/>
                <w:szCs w:val="18"/>
              </w:rPr>
              <w:t>高频次盯控故障工单处理进展，及时确认告警状态并按时关闭已消除的告警故障工单</w:t>
            </w:r>
          </w:p>
          <w:p w14:paraId="387FB755">
            <w:pPr>
              <w:snapToGrid w:val="0"/>
              <w:spacing w:line="240" w:lineRule="auto"/>
              <w:rPr>
                <w:bCs/>
                <w:color w:val="auto"/>
                <w:sz w:val="18"/>
                <w:szCs w:val="18"/>
              </w:rPr>
            </w:pPr>
            <w:r>
              <w:rPr>
                <w:rFonts w:hint="eastAsia"/>
                <w:bCs/>
                <w:color w:val="auto"/>
                <w:sz w:val="18"/>
                <w:szCs w:val="18"/>
              </w:rPr>
              <w:t>2</w:t>
            </w:r>
            <w:r>
              <w:rPr>
                <w:bCs/>
                <w:color w:val="auto"/>
                <w:sz w:val="18"/>
                <w:szCs w:val="18"/>
              </w:rPr>
              <w:t xml:space="preserve">. </w:t>
            </w:r>
            <w:r>
              <w:rPr>
                <w:rFonts w:hint="eastAsia"/>
                <w:bCs/>
                <w:color w:val="auto"/>
                <w:sz w:val="18"/>
                <w:szCs w:val="18"/>
              </w:rPr>
              <w:t>按时完成工单归档、规范记录工单跟踪信息</w:t>
            </w:r>
          </w:p>
        </w:tc>
        <w:tc>
          <w:tcPr>
            <w:tcW w:w="709" w:type="dxa"/>
            <w:vAlign w:val="center"/>
          </w:tcPr>
          <w:p w14:paraId="16A9073B">
            <w:pPr>
              <w:snapToGrid w:val="0"/>
              <w:spacing w:line="240" w:lineRule="auto"/>
              <w:rPr>
                <w:bCs/>
                <w:color w:val="auto"/>
                <w:sz w:val="18"/>
                <w:szCs w:val="18"/>
              </w:rPr>
            </w:pPr>
            <w:r>
              <w:rPr>
                <w:bCs/>
                <w:color w:val="auto"/>
                <w:sz w:val="18"/>
                <w:szCs w:val="18"/>
              </w:rPr>
              <w:t>30分</w:t>
            </w:r>
          </w:p>
        </w:tc>
        <w:tc>
          <w:tcPr>
            <w:tcW w:w="708" w:type="dxa"/>
            <w:vAlign w:val="center"/>
          </w:tcPr>
          <w:p w14:paraId="6D87239E">
            <w:pPr>
              <w:snapToGrid w:val="0"/>
              <w:spacing w:line="240" w:lineRule="auto"/>
              <w:rPr>
                <w:bCs/>
                <w:color w:val="auto"/>
                <w:sz w:val="18"/>
                <w:szCs w:val="18"/>
              </w:rPr>
            </w:pPr>
          </w:p>
        </w:tc>
        <w:tc>
          <w:tcPr>
            <w:tcW w:w="3686" w:type="dxa"/>
            <w:vAlign w:val="center"/>
          </w:tcPr>
          <w:p w14:paraId="746E65A6">
            <w:pPr>
              <w:snapToGrid w:val="0"/>
              <w:spacing w:line="240" w:lineRule="auto"/>
              <w:rPr>
                <w:bCs/>
                <w:color w:val="auto"/>
                <w:sz w:val="18"/>
                <w:szCs w:val="18"/>
              </w:rPr>
            </w:pPr>
            <w:r>
              <w:rPr>
                <w:rFonts w:hint="eastAsia"/>
                <w:bCs/>
                <w:color w:val="auto"/>
                <w:sz w:val="18"/>
                <w:szCs w:val="18"/>
              </w:rPr>
              <w:t>1</w:t>
            </w:r>
            <w:r>
              <w:rPr>
                <w:bCs/>
                <w:color w:val="auto"/>
                <w:sz w:val="18"/>
                <w:szCs w:val="18"/>
              </w:rPr>
              <w:t xml:space="preserve">. </w:t>
            </w:r>
            <w:r>
              <w:rPr>
                <w:rFonts w:hint="eastAsia"/>
                <w:bCs/>
                <w:color w:val="auto"/>
                <w:sz w:val="18"/>
                <w:szCs w:val="18"/>
              </w:rPr>
              <w:t>未进行工单跟进</w:t>
            </w:r>
            <w:r>
              <w:rPr>
                <w:bCs/>
                <w:color w:val="auto"/>
                <w:sz w:val="18"/>
                <w:szCs w:val="18"/>
              </w:rPr>
              <w:t>引发</w:t>
            </w:r>
            <w:r>
              <w:rPr>
                <w:rFonts w:hint="eastAsia"/>
                <w:bCs/>
                <w:color w:val="auto"/>
                <w:sz w:val="18"/>
                <w:szCs w:val="18"/>
              </w:rPr>
              <w:t>告警故障升级，每次扣1分</w:t>
            </w:r>
          </w:p>
          <w:p w14:paraId="4A3E77E2">
            <w:pPr>
              <w:snapToGrid w:val="0"/>
              <w:spacing w:line="240" w:lineRule="auto"/>
              <w:rPr>
                <w:bCs/>
                <w:color w:val="auto"/>
                <w:sz w:val="18"/>
                <w:szCs w:val="18"/>
              </w:rPr>
            </w:pPr>
            <w:r>
              <w:rPr>
                <w:rFonts w:hint="eastAsia"/>
                <w:bCs/>
                <w:color w:val="auto"/>
                <w:sz w:val="18"/>
                <w:szCs w:val="18"/>
              </w:rPr>
              <w:t>2</w:t>
            </w:r>
            <w:r>
              <w:rPr>
                <w:bCs/>
                <w:color w:val="auto"/>
                <w:sz w:val="18"/>
                <w:szCs w:val="18"/>
              </w:rPr>
              <w:t xml:space="preserve">. </w:t>
            </w:r>
            <w:r>
              <w:rPr>
                <w:rFonts w:hint="eastAsia"/>
                <w:bCs/>
                <w:color w:val="auto"/>
                <w:sz w:val="18"/>
                <w:szCs w:val="18"/>
              </w:rPr>
              <w:t>未规范完成告警故障工单信息记录或归档的，每次扣0</w:t>
            </w:r>
            <w:r>
              <w:rPr>
                <w:bCs/>
                <w:color w:val="auto"/>
                <w:sz w:val="18"/>
                <w:szCs w:val="18"/>
              </w:rPr>
              <w:t>.5</w:t>
            </w:r>
            <w:r>
              <w:rPr>
                <w:rFonts w:hint="eastAsia"/>
                <w:bCs/>
                <w:color w:val="auto"/>
                <w:sz w:val="18"/>
                <w:szCs w:val="18"/>
              </w:rPr>
              <w:t>分</w:t>
            </w:r>
          </w:p>
          <w:p w14:paraId="5989E634">
            <w:pPr>
              <w:snapToGrid w:val="0"/>
              <w:spacing w:line="240" w:lineRule="auto"/>
              <w:rPr>
                <w:bCs/>
                <w:color w:val="auto"/>
                <w:sz w:val="18"/>
                <w:szCs w:val="18"/>
              </w:rPr>
            </w:pPr>
            <w:r>
              <w:rPr>
                <w:rFonts w:hint="eastAsia"/>
                <w:bCs/>
                <w:color w:val="auto"/>
                <w:sz w:val="18"/>
                <w:szCs w:val="18"/>
              </w:rPr>
              <w:t>3</w:t>
            </w:r>
            <w:r>
              <w:rPr>
                <w:bCs/>
                <w:color w:val="auto"/>
                <w:sz w:val="18"/>
                <w:szCs w:val="18"/>
              </w:rPr>
              <w:t>. 瞒报、谎报</w:t>
            </w:r>
            <w:r>
              <w:rPr>
                <w:rFonts w:hint="eastAsia"/>
                <w:bCs/>
                <w:color w:val="auto"/>
                <w:sz w:val="18"/>
                <w:szCs w:val="18"/>
              </w:rPr>
              <w:t>告警工单故障处理跟踪</w:t>
            </w:r>
            <w:r>
              <w:rPr>
                <w:bCs/>
                <w:color w:val="auto"/>
                <w:sz w:val="18"/>
                <w:szCs w:val="18"/>
              </w:rPr>
              <w:t>情况，本项计 0 分</w:t>
            </w:r>
            <w:r>
              <w:rPr>
                <w:rFonts w:hint="eastAsia"/>
                <w:bCs/>
                <w:color w:val="auto"/>
                <w:sz w:val="18"/>
                <w:szCs w:val="18"/>
              </w:rPr>
              <w:t>。</w:t>
            </w:r>
          </w:p>
        </w:tc>
      </w:tr>
      <w:tr w14:paraId="4CDE4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714" w:type="dxa"/>
            <w:vAlign w:val="center"/>
          </w:tcPr>
          <w:p w14:paraId="378CE7AF">
            <w:pPr>
              <w:snapToGrid w:val="0"/>
              <w:spacing w:line="240" w:lineRule="auto"/>
              <w:jc w:val="center"/>
              <w:rPr>
                <w:bCs/>
                <w:color w:val="auto"/>
                <w:sz w:val="18"/>
                <w:szCs w:val="18"/>
              </w:rPr>
            </w:pPr>
            <w:r>
              <w:rPr>
                <w:rFonts w:hint="eastAsia"/>
                <w:bCs/>
                <w:color w:val="auto"/>
                <w:sz w:val="18"/>
                <w:szCs w:val="18"/>
              </w:rPr>
              <w:t>2</w:t>
            </w:r>
          </w:p>
        </w:tc>
        <w:tc>
          <w:tcPr>
            <w:tcW w:w="982" w:type="dxa"/>
            <w:vAlign w:val="center"/>
          </w:tcPr>
          <w:p w14:paraId="33A0FFD7">
            <w:pPr>
              <w:snapToGrid w:val="0"/>
              <w:spacing w:line="240" w:lineRule="auto"/>
              <w:rPr>
                <w:bCs/>
                <w:color w:val="auto"/>
                <w:sz w:val="18"/>
                <w:szCs w:val="18"/>
              </w:rPr>
            </w:pPr>
            <w:r>
              <w:rPr>
                <w:rFonts w:hint="eastAsia"/>
                <w:bCs/>
                <w:color w:val="auto"/>
                <w:sz w:val="18"/>
                <w:szCs w:val="18"/>
              </w:rPr>
              <w:t>非工作时间故障处理</w:t>
            </w:r>
          </w:p>
        </w:tc>
        <w:tc>
          <w:tcPr>
            <w:tcW w:w="3119" w:type="dxa"/>
            <w:vAlign w:val="center"/>
          </w:tcPr>
          <w:p w14:paraId="428397B9">
            <w:pPr>
              <w:snapToGrid w:val="0"/>
              <w:spacing w:line="240" w:lineRule="auto"/>
              <w:rPr>
                <w:bCs/>
                <w:color w:val="auto"/>
                <w:sz w:val="18"/>
                <w:szCs w:val="18"/>
              </w:rPr>
            </w:pPr>
            <w:r>
              <w:rPr>
                <w:rFonts w:hint="eastAsia"/>
                <w:bCs/>
                <w:color w:val="auto"/>
                <w:sz w:val="18"/>
                <w:szCs w:val="18"/>
              </w:rPr>
              <w:t>1</w:t>
            </w:r>
            <w:r>
              <w:rPr>
                <w:bCs/>
                <w:color w:val="auto"/>
                <w:sz w:val="18"/>
                <w:szCs w:val="18"/>
              </w:rPr>
              <w:t xml:space="preserve">. </w:t>
            </w:r>
            <w:r>
              <w:rPr>
                <w:rFonts w:hint="eastAsia"/>
                <w:bCs/>
                <w:color w:val="auto"/>
                <w:sz w:val="18"/>
                <w:szCs w:val="18"/>
              </w:rPr>
              <w:t>按告警监控响应及工单处理规范生成工单，联络故障处理人员，同时开展</w:t>
            </w:r>
            <w:r>
              <w:rPr>
                <w:bCs/>
                <w:color w:val="auto"/>
                <w:sz w:val="18"/>
                <w:szCs w:val="18"/>
              </w:rPr>
              <w:t>非工作时间故障处理</w:t>
            </w:r>
          </w:p>
        </w:tc>
        <w:tc>
          <w:tcPr>
            <w:tcW w:w="709" w:type="dxa"/>
            <w:vAlign w:val="center"/>
          </w:tcPr>
          <w:p w14:paraId="4D606C06">
            <w:pPr>
              <w:snapToGrid w:val="0"/>
              <w:spacing w:line="240" w:lineRule="auto"/>
              <w:rPr>
                <w:bCs/>
                <w:color w:val="auto"/>
                <w:sz w:val="18"/>
                <w:szCs w:val="18"/>
              </w:rPr>
            </w:pPr>
            <w:r>
              <w:rPr>
                <w:rFonts w:hint="eastAsia"/>
                <w:bCs/>
                <w:color w:val="auto"/>
                <w:sz w:val="18"/>
                <w:szCs w:val="18"/>
              </w:rPr>
              <w:t>1</w:t>
            </w:r>
            <w:r>
              <w:rPr>
                <w:bCs/>
                <w:color w:val="auto"/>
                <w:sz w:val="18"/>
                <w:szCs w:val="18"/>
              </w:rPr>
              <w:t>0</w:t>
            </w:r>
            <w:r>
              <w:rPr>
                <w:rFonts w:hint="eastAsia"/>
                <w:bCs/>
                <w:color w:val="auto"/>
                <w:sz w:val="18"/>
                <w:szCs w:val="18"/>
              </w:rPr>
              <w:t>分</w:t>
            </w:r>
          </w:p>
        </w:tc>
        <w:tc>
          <w:tcPr>
            <w:tcW w:w="708" w:type="dxa"/>
            <w:vAlign w:val="center"/>
          </w:tcPr>
          <w:p w14:paraId="071CF787">
            <w:pPr>
              <w:snapToGrid w:val="0"/>
              <w:spacing w:line="240" w:lineRule="auto"/>
              <w:rPr>
                <w:bCs/>
                <w:color w:val="auto"/>
                <w:sz w:val="18"/>
                <w:szCs w:val="18"/>
              </w:rPr>
            </w:pPr>
          </w:p>
        </w:tc>
        <w:tc>
          <w:tcPr>
            <w:tcW w:w="3686" w:type="dxa"/>
            <w:vAlign w:val="center"/>
          </w:tcPr>
          <w:p w14:paraId="7D50A53F">
            <w:pPr>
              <w:snapToGrid w:val="0"/>
              <w:spacing w:line="240" w:lineRule="auto"/>
              <w:rPr>
                <w:bCs/>
                <w:color w:val="auto"/>
                <w:sz w:val="18"/>
                <w:szCs w:val="18"/>
              </w:rPr>
            </w:pPr>
            <w:r>
              <w:rPr>
                <w:rFonts w:hint="eastAsia"/>
                <w:bCs/>
                <w:color w:val="auto"/>
                <w:sz w:val="18"/>
                <w:szCs w:val="18"/>
              </w:rPr>
              <w:t>1</w:t>
            </w:r>
            <w:r>
              <w:rPr>
                <w:bCs/>
                <w:color w:val="auto"/>
                <w:sz w:val="18"/>
                <w:szCs w:val="18"/>
              </w:rPr>
              <w:t xml:space="preserve">. </w:t>
            </w:r>
            <w:r>
              <w:rPr>
                <w:rFonts w:hint="eastAsia"/>
                <w:bCs/>
                <w:color w:val="auto"/>
                <w:sz w:val="18"/>
                <w:szCs w:val="18"/>
              </w:rPr>
              <w:t>未按照告警监控响应的，每次扣1分</w:t>
            </w:r>
          </w:p>
          <w:p w14:paraId="19E04C5D">
            <w:pPr>
              <w:snapToGrid w:val="0"/>
              <w:spacing w:line="240" w:lineRule="auto"/>
              <w:rPr>
                <w:bCs/>
                <w:color w:val="auto"/>
                <w:sz w:val="18"/>
                <w:szCs w:val="18"/>
              </w:rPr>
            </w:pPr>
            <w:r>
              <w:rPr>
                <w:rFonts w:hint="eastAsia"/>
                <w:bCs/>
                <w:color w:val="auto"/>
                <w:sz w:val="18"/>
                <w:szCs w:val="18"/>
              </w:rPr>
              <w:t>2</w:t>
            </w:r>
            <w:r>
              <w:rPr>
                <w:bCs/>
                <w:color w:val="auto"/>
                <w:sz w:val="18"/>
                <w:szCs w:val="18"/>
              </w:rPr>
              <w:t xml:space="preserve">. </w:t>
            </w:r>
            <w:r>
              <w:rPr>
                <w:rFonts w:hint="eastAsia"/>
                <w:bCs/>
                <w:color w:val="auto"/>
                <w:sz w:val="18"/>
                <w:szCs w:val="18"/>
              </w:rPr>
              <w:t>未按要求进行</w:t>
            </w:r>
            <w:r>
              <w:rPr>
                <w:bCs/>
                <w:color w:val="auto"/>
                <w:sz w:val="18"/>
                <w:szCs w:val="18"/>
              </w:rPr>
              <w:t>非工作时间故障</w:t>
            </w:r>
            <w:r>
              <w:rPr>
                <w:rFonts w:hint="eastAsia"/>
                <w:bCs/>
                <w:color w:val="auto"/>
                <w:sz w:val="18"/>
                <w:szCs w:val="18"/>
              </w:rPr>
              <w:t>应急处置的，每次扣1分</w:t>
            </w:r>
          </w:p>
        </w:tc>
      </w:tr>
    </w:tbl>
    <w:p w14:paraId="5FAA6CA0">
      <w:pPr>
        <w:pStyle w:val="13"/>
        <w:numPr>
          <w:ilvl w:val="0"/>
          <w:numId w:val="2"/>
        </w:numPr>
        <w:rPr>
          <w:rFonts w:hint="eastAsia"/>
          <w:bCs/>
          <w:sz w:val="18"/>
          <w:szCs w:val="18"/>
        </w:rPr>
      </w:pPr>
      <w:r>
        <w:rPr>
          <w:bCs/>
          <w:sz w:val="18"/>
          <w:szCs w:val="18"/>
        </w:rPr>
        <w:t>有效外部投诉指因履职失责或主观故意（拒接、推诿、脱岗、交接遗漏、记录造假等），遭相关方投诉并经证据核实的投诉；同类事件合计一次，不可抗力除外。</w:t>
      </w:r>
    </w:p>
    <w:p w14:paraId="05DB4232">
      <w:pPr>
        <w:pStyle w:val="13"/>
        <w:numPr>
          <w:ilvl w:val="0"/>
          <w:numId w:val="2"/>
        </w:numPr>
        <w:rPr>
          <w:rFonts w:hint="eastAsia"/>
          <w:bCs/>
          <w:sz w:val="18"/>
          <w:szCs w:val="18"/>
        </w:rPr>
      </w:pPr>
      <w:r>
        <w:rPr>
          <w:bCs/>
          <w:sz w:val="18"/>
          <w:szCs w:val="18"/>
        </w:rPr>
        <w:t>重大影响</w:t>
      </w:r>
      <w:r>
        <w:rPr>
          <w:rFonts w:hint="eastAsia"/>
          <w:bCs/>
          <w:sz w:val="18"/>
          <w:szCs w:val="18"/>
        </w:rPr>
        <w:t>：</w:t>
      </w:r>
      <w:r>
        <w:rPr>
          <w:bCs/>
          <w:sz w:val="18"/>
          <w:szCs w:val="18"/>
        </w:rPr>
        <w:t>因告警未及时响应，造成业务中断或业务系统瘫痪等，并引起客户或其他部门书面通报投诉。</w:t>
      </w:r>
    </w:p>
    <w:p w14:paraId="3A5F136C">
      <w:pPr>
        <w:spacing w:line="240" w:lineRule="auto"/>
        <w:rPr>
          <w:bCs/>
          <w:color w:val="auto"/>
          <w:sz w:val="30"/>
          <w:szCs w:val="30"/>
        </w:rPr>
      </w:pPr>
      <w:r>
        <w:rPr>
          <w:bCs/>
          <w:color w:val="auto"/>
          <w:sz w:val="30"/>
          <w:szCs w:val="30"/>
        </w:rPr>
        <w:br w:type="page"/>
      </w:r>
    </w:p>
    <w:p w14:paraId="70C2A599">
      <w:pPr>
        <w:spacing w:before="120" w:after="80"/>
        <w:jc w:val="center"/>
        <w:rPr>
          <w:bCs/>
          <w:color w:val="auto"/>
          <w:sz w:val="30"/>
          <w:szCs w:val="30"/>
        </w:rPr>
      </w:pPr>
      <w:r>
        <w:rPr>
          <w:rFonts w:hint="eastAsia"/>
          <w:bCs/>
          <w:color w:val="auto"/>
          <w:sz w:val="30"/>
          <w:szCs w:val="30"/>
        </w:rPr>
        <w:t>二、</w:t>
      </w:r>
      <w:r>
        <w:rPr>
          <w:bCs/>
          <w:color w:val="auto"/>
          <w:sz w:val="30"/>
          <w:szCs w:val="30"/>
        </w:rPr>
        <w:t>总控中心机房值守</w:t>
      </w:r>
      <w:r>
        <w:rPr>
          <w:rFonts w:hint="eastAsia"/>
          <w:bCs/>
          <w:color w:val="auto"/>
          <w:sz w:val="30"/>
          <w:szCs w:val="30"/>
        </w:rPr>
        <w:t>季度</w:t>
      </w:r>
      <w:r>
        <w:rPr>
          <w:bCs/>
          <w:color w:val="auto"/>
          <w:sz w:val="30"/>
          <w:szCs w:val="30"/>
        </w:rPr>
        <w:t>考核打分表</w:t>
      </w:r>
    </w:p>
    <w:p w14:paraId="5575A234">
      <w:pPr>
        <w:spacing w:before="120" w:after="80"/>
        <w:jc w:val="center"/>
        <w:rPr>
          <w:bCs/>
          <w:color w:val="auto"/>
          <w:sz w:val="30"/>
          <w:szCs w:val="30"/>
        </w:rPr>
      </w:pPr>
    </w:p>
    <w:tbl>
      <w:tblPr>
        <w:tblStyle w:val="6"/>
        <w:tblpPr w:leftFromText="180" w:rightFromText="180" w:vertAnchor="text" w:horzAnchor="margin" w:tblpY="21"/>
        <w:tblW w:w="9727" w:type="dxa"/>
        <w:tblInd w:w="0" w:type="dxa"/>
        <w:tblLayout w:type="autofit"/>
        <w:tblCellMar>
          <w:top w:w="0" w:type="dxa"/>
          <w:left w:w="108" w:type="dxa"/>
          <w:bottom w:w="0" w:type="dxa"/>
          <w:right w:w="108" w:type="dxa"/>
        </w:tblCellMar>
      </w:tblPr>
      <w:tblGrid>
        <w:gridCol w:w="709"/>
        <w:gridCol w:w="851"/>
        <w:gridCol w:w="3533"/>
        <w:gridCol w:w="709"/>
        <w:gridCol w:w="709"/>
        <w:gridCol w:w="3216"/>
      </w:tblGrid>
      <w:tr w14:paraId="6716422A">
        <w:tblPrEx>
          <w:tblCellMar>
            <w:top w:w="0" w:type="dxa"/>
            <w:left w:w="108" w:type="dxa"/>
            <w:bottom w:w="0" w:type="dxa"/>
            <w:right w:w="108" w:type="dxa"/>
          </w:tblCellMar>
        </w:tblPrEx>
        <w:trPr>
          <w:trHeight w:val="270" w:hRule="atLeast"/>
        </w:trPr>
        <w:tc>
          <w:tcPr>
            <w:tcW w:w="709" w:type="dxa"/>
            <w:tcBorders>
              <w:top w:val="single" w:color="auto" w:sz="8" w:space="0"/>
              <w:left w:val="single" w:color="auto" w:sz="8" w:space="0"/>
              <w:bottom w:val="single" w:color="auto" w:sz="8" w:space="0"/>
              <w:right w:val="single" w:color="auto" w:sz="8" w:space="0"/>
            </w:tcBorders>
            <w:vAlign w:val="center"/>
          </w:tcPr>
          <w:p w14:paraId="0210E995">
            <w:pPr>
              <w:snapToGrid w:val="0"/>
              <w:spacing w:line="240" w:lineRule="auto"/>
              <w:rPr>
                <w:color w:val="auto"/>
                <w:sz w:val="21"/>
                <w:szCs w:val="21"/>
              </w:rPr>
            </w:pPr>
            <w:r>
              <w:rPr>
                <w:color w:val="auto"/>
                <w:sz w:val="21"/>
                <w:szCs w:val="21"/>
              </w:rPr>
              <w:t>序号</w:t>
            </w:r>
          </w:p>
        </w:tc>
        <w:tc>
          <w:tcPr>
            <w:tcW w:w="851" w:type="dxa"/>
            <w:tcBorders>
              <w:top w:val="single" w:color="auto" w:sz="8" w:space="0"/>
              <w:left w:val="nil"/>
              <w:bottom w:val="single" w:color="auto" w:sz="8" w:space="0"/>
              <w:right w:val="single" w:color="auto" w:sz="8" w:space="0"/>
            </w:tcBorders>
            <w:vAlign w:val="center"/>
          </w:tcPr>
          <w:p w14:paraId="5DDDBD16">
            <w:pPr>
              <w:snapToGrid w:val="0"/>
              <w:spacing w:line="240" w:lineRule="auto"/>
              <w:rPr>
                <w:color w:val="auto"/>
                <w:sz w:val="21"/>
                <w:szCs w:val="21"/>
              </w:rPr>
            </w:pPr>
            <w:r>
              <w:rPr>
                <w:color w:val="auto"/>
                <w:sz w:val="21"/>
                <w:szCs w:val="21"/>
              </w:rPr>
              <w:t>考核项</w:t>
            </w:r>
          </w:p>
        </w:tc>
        <w:tc>
          <w:tcPr>
            <w:tcW w:w="3533" w:type="dxa"/>
            <w:tcBorders>
              <w:top w:val="single" w:color="auto" w:sz="8" w:space="0"/>
              <w:left w:val="nil"/>
              <w:bottom w:val="single" w:color="auto" w:sz="8" w:space="0"/>
              <w:right w:val="single" w:color="auto" w:sz="8" w:space="0"/>
            </w:tcBorders>
            <w:vAlign w:val="center"/>
          </w:tcPr>
          <w:p w14:paraId="1EABEB89">
            <w:pPr>
              <w:snapToGrid w:val="0"/>
              <w:spacing w:line="240" w:lineRule="auto"/>
              <w:rPr>
                <w:color w:val="auto"/>
                <w:sz w:val="21"/>
                <w:szCs w:val="21"/>
              </w:rPr>
            </w:pPr>
            <w:r>
              <w:rPr>
                <w:color w:val="auto"/>
                <w:sz w:val="21"/>
                <w:szCs w:val="21"/>
              </w:rPr>
              <w:t>核心考核内容与要求</w:t>
            </w:r>
          </w:p>
        </w:tc>
        <w:tc>
          <w:tcPr>
            <w:tcW w:w="709" w:type="dxa"/>
            <w:tcBorders>
              <w:top w:val="single" w:color="auto" w:sz="8" w:space="0"/>
              <w:left w:val="nil"/>
              <w:bottom w:val="single" w:color="auto" w:sz="8" w:space="0"/>
              <w:right w:val="single" w:color="auto" w:sz="8" w:space="0"/>
            </w:tcBorders>
            <w:vAlign w:val="center"/>
          </w:tcPr>
          <w:p w14:paraId="44779886">
            <w:pPr>
              <w:snapToGrid w:val="0"/>
              <w:spacing w:line="240" w:lineRule="auto"/>
              <w:rPr>
                <w:color w:val="auto"/>
                <w:sz w:val="21"/>
                <w:szCs w:val="21"/>
              </w:rPr>
            </w:pPr>
            <w:r>
              <w:rPr>
                <w:color w:val="auto"/>
                <w:sz w:val="21"/>
                <w:szCs w:val="21"/>
              </w:rPr>
              <w:t>分值</w:t>
            </w:r>
          </w:p>
        </w:tc>
        <w:tc>
          <w:tcPr>
            <w:tcW w:w="709" w:type="dxa"/>
            <w:tcBorders>
              <w:top w:val="single" w:color="auto" w:sz="8" w:space="0"/>
              <w:left w:val="nil"/>
              <w:bottom w:val="single" w:color="auto" w:sz="8" w:space="0"/>
              <w:right w:val="single" w:color="auto" w:sz="8" w:space="0"/>
            </w:tcBorders>
            <w:vAlign w:val="center"/>
          </w:tcPr>
          <w:p w14:paraId="3B231789">
            <w:pPr>
              <w:snapToGrid w:val="0"/>
              <w:spacing w:line="240" w:lineRule="auto"/>
              <w:rPr>
                <w:color w:val="auto"/>
                <w:sz w:val="21"/>
                <w:szCs w:val="21"/>
              </w:rPr>
            </w:pPr>
            <w:r>
              <w:rPr>
                <w:color w:val="auto"/>
                <w:sz w:val="21"/>
                <w:szCs w:val="21"/>
              </w:rPr>
              <w:t>得分</w:t>
            </w:r>
          </w:p>
        </w:tc>
        <w:tc>
          <w:tcPr>
            <w:tcW w:w="3216" w:type="dxa"/>
            <w:tcBorders>
              <w:top w:val="single" w:color="auto" w:sz="8" w:space="0"/>
              <w:left w:val="nil"/>
              <w:bottom w:val="single" w:color="auto" w:sz="8" w:space="0"/>
              <w:right w:val="single" w:color="auto" w:sz="8" w:space="0"/>
            </w:tcBorders>
            <w:vAlign w:val="center"/>
          </w:tcPr>
          <w:p w14:paraId="4C4AA7DA">
            <w:pPr>
              <w:snapToGrid w:val="0"/>
              <w:spacing w:line="240" w:lineRule="auto"/>
              <w:rPr>
                <w:color w:val="auto"/>
                <w:sz w:val="21"/>
                <w:szCs w:val="21"/>
              </w:rPr>
            </w:pPr>
            <w:r>
              <w:rPr>
                <w:color w:val="auto"/>
                <w:sz w:val="21"/>
                <w:szCs w:val="21"/>
              </w:rPr>
              <w:t>扣分规则</w:t>
            </w:r>
          </w:p>
        </w:tc>
      </w:tr>
      <w:tr w14:paraId="69FE027A">
        <w:tblPrEx>
          <w:tblCellMar>
            <w:top w:w="0" w:type="dxa"/>
            <w:left w:w="108" w:type="dxa"/>
            <w:bottom w:w="0" w:type="dxa"/>
            <w:right w:w="108" w:type="dxa"/>
          </w:tblCellMar>
        </w:tblPrEx>
        <w:trPr>
          <w:trHeight w:val="177" w:hRule="atLeast"/>
        </w:trPr>
        <w:tc>
          <w:tcPr>
            <w:tcW w:w="9727" w:type="dxa"/>
            <w:gridSpan w:val="6"/>
            <w:tcBorders>
              <w:top w:val="single" w:color="auto" w:sz="8" w:space="0"/>
              <w:left w:val="single" w:color="auto" w:sz="8" w:space="0"/>
              <w:bottom w:val="single" w:color="auto" w:sz="8" w:space="0"/>
              <w:right w:val="single" w:color="auto" w:sz="8" w:space="0"/>
            </w:tcBorders>
            <w:shd w:val="clear" w:color="C0C0C0" w:fill="D9D9D9"/>
            <w:vAlign w:val="center"/>
          </w:tcPr>
          <w:p w14:paraId="5BF53BA5">
            <w:pPr>
              <w:snapToGrid w:val="0"/>
              <w:spacing w:line="240" w:lineRule="auto"/>
              <w:rPr>
                <w:rFonts w:hint="eastAsia" w:ascii="Noto Sans CJK SC" w:hAnsi="Noto Sans CJK SC" w:eastAsia="宋体" w:cs="Calibri"/>
                <w:color w:val="auto"/>
                <w:kern w:val="0"/>
                <w:sz w:val="21"/>
                <w:szCs w:val="21"/>
                <w14:ligatures w14:val="none"/>
              </w:rPr>
            </w:pPr>
            <w:r>
              <w:rPr>
                <w:color w:val="auto"/>
                <w:sz w:val="21"/>
                <w:szCs w:val="21"/>
              </w:rPr>
              <w:t>一、告警处理（25分）</w:t>
            </w:r>
          </w:p>
        </w:tc>
      </w:tr>
      <w:tr w14:paraId="1CA9D603">
        <w:tblPrEx>
          <w:tblCellMar>
            <w:top w:w="0" w:type="dxa"/>
            <w:left w:w="108" w:type="dxa"/>
            <w:bottom w:w="0" w:type="dxa"/>
            <w:right w:w="108" w:type="dxa"/>
          </w:tblCellMar>
        </w:tblPrEx>
        <w:trPr>
          <w:trHeight w:val="356" w:hRule="atLeast"/>
        </w:trPr>
        <w:tc>
          <w:tcPr>
            <w:tcW w:w="709" w:type="dxa"/>
            <w:tcBorders>
              <w:top w:val="nil"/>
              <w:left w:val="single" w:color="auto" w:sz="8" w:space="0"/>
              <w:bottom w:val="single" w:color="auto" w:sz="8" w:space="0"/>
              <w:right w:val="single" w:color="auto" w:sz="8" w:space="0"/>
            </w:tcBorders>
            <w:vAlign w:val="center"/>
          </w:tcPr>
          <w:p w14:paraId="50B204D8">
            <w:pPr>
              <w:snapToGrid w:val="0"/>
              <w:spacing w:line="240" w:lineRule="auto"/>
              <w:jc w:val="center"/>
              <w:rPr>
                <w:bCs/>
                <w:color w:val="auto"/>
                <w:sz w:val="21"/>
                <w:szCs w:val="21"/>
              </w:rPr>
            </w:pPr>
            <w:r>
              <w:rPr>
                <w:bCs/>
                <w:color w:val="auto"/>
                <w:sz w:val="21"/>
                <w:szCs w:val="21"/>
              </w:rPr>
              <w:t>1</w:t>
            </w:r>
          </w:p>
        </w:tc>
        <w:tc>
          <w:tcPr>
            <w:tcW w:w="851" w:type="dxa"/>
            <w:tcBorders>
              <w:top w:val="nil"/>
              <w:left w:val="nil"/>
              <w:bottom w:val="single" w:color="auto" w:sz="8" w:space="0"/>
              <w:right w:val="single" w:color="auto" w:sz="8" w:space="0"/>
            </w:tcBorders>
            <w:vAlign w:val="center"/>
          </w:tcPr>
          <w:p w14:paraId="5870BC57">
            <w:pPr>
              <w:snapToGrid w:val="0"/>
              <w:spacing w:line="240" w:lineRule="auto"/>
              <w:rPr>
                <w:bCs/>
                <w:color w:val="auto"/>
                <w:sz w:val="15"/>
                <w:szCs w:val="15"/>
              </w:rPr>
            </w:pPr>
            <w:r>
              <w:rPr>
                <w:bCs/>
                <w:color w:val="auto"/>
                <w:sz w:val="15"/>
                <w:szCs w:val="15"/>
              </w:rPr>
              <w:t>告警实时监控</w:t>
            </w:r>
          </w:p>
        </w:tc>
        <w:tc>
          <w:tcPr>
            <w:tcW w:w="3533" w:type="dxa"/>
            <w:tcBorders>
              <w:top w:val="nil"/>
              <w:left w:val="nil"/>
              <w:bottom w:val="single" w:color="auto" w:sz="8" w:space="0"/>
              <w:right w:val="single" w:color="auto" w:sz="8" w:space="0"/>
            </w:tcBorders>
            <w:vAlign w:val="center"/>
          </w:tcPr>
          <w:p w14:paraId="77F648B1">
            <w:pPr>
              <w:snapToGrid w:val="0"/>
              <w:spacing w:line="240" w:lineRule="auto"/>
              <w:rPr>
                <w:bCs/>
                <w:color w:val="auto"/>
                <w:sz w:val="15"/>
                <w:szCs w:val="15"/>
              </w:rPr>
            </w:pPr>
            <w:r>
              <w:rPr>
                <w:bCs/>
                <w:color w:val="auto"/>
                <w:sz w:val="15"/>
                <w:szCs w:val="15"/>
              </w:rPr>
              <w:t>7×24小时不间断动环监控，告警漏报率为0，告警发现及时率100%；发现告警立即确认并上报</w:t>
            </w:r>
          </w:p>
        </w:tc>
        <w:tc>
          <w:tcPr>
            <w:tcW w:w="709" w:type="dxa"/>
            <w:tcBorders>
              <w:top w:val="nil"/>
              <w:left w:val="nil"/>
              <w:bottom w:val="single" w:color="auto" w:sz="8" w:space="0"/>
              <w:right w:val="single" w:color="auto" w:sz="8" w:space="0"/>
            </w:tcBorders>
            <w:vAlign w:val="center"/>
          </w:tcPr>
          <w:p w14:paraId="3E4FAE81">
            <w:pPr>
              <w:snapToGrid w:val="0"/>
              <w:spacing w:line="240" w:lineRule="auto"/>
              <w:rPr>
                <w:bCs/>
                <w:color w:val="auto"/>
                <w:sz w:val="15"/>
                <w:szCs w:val="15"/>
              </w:rPr>
            </w:pPr>
            <w:r>
              <w:rPr>
                <w:bCs/>
                <w:color w:val="auto"/>
                <w:sz w:val="15"/>
                <w:szCs w:val="15"/>
              </w:rPr>
              <w:t>8</w:t>
            </w:r>
          </w:p>
        </w:tc>
        <w:tc>
          <w:tcPr>
            <w:tcW w:w="709" w:type="dxa"/>
            <w:tcBorders>
              <w:top w:val="nil"/>
              <w:left w:val="nil"/>
              <w:bottom w:val="single" w:color="auto" w:sz="8" w:space="0"/>
              <w:right w:val="single" w:color="auto" w:sz="8" w:space="0"/>
            </w:tcBorders>
            <w:vAlign w:val="center"/>
          </w:tcPr>
          <w:p w14:paraId="11E65C9D">
            <w:pPr>
              <w:snapToGrid w:val="0"/>
              <w:spacing w:line="240" w:lineRule="auto"/>
              <w:rPr>
                <w:bCs/>
                <w:color w:val="auto"/>
                <w:sz w:val="15"/>
                <w:szCs w:val="15"/>
              </w:rPr>
            </w:pPr>
            <w:r>
              <w:rPr>
                <w:bCs/>
                <w:color w:val="auto"/>
                <w:sz w:val="15"/>
                <w:szCs w:val="15"/>
              </w:rPr>
              <w:t>　</w:t>
            </w:r>
          </w:p>
        </w:tc>
        <w:tc>
          <w:tcPr>
            <w:tcW w:w="3216" w:type="dxa"/>
            <w:tcBorders>
              <w:top w:val="nil"/>
              <w:left w:val="nil"/>
              <w:bottom w:val="single" w:color="auto" w:sz="8" w:space="0"/>
              <w:right w:val="single" w:color="auto" w:sz="8" w:space="0"/>
            </w:tcBorders>
            <w:vAlign w:val="center"/>
          </w:tcPr>
          <w:p w14:paraId="4D7BAD07">
            <w:pPr>
              <w:snapToGrid w:val="0"/>
              <w:spacing w:line="240" w:lineRule="auto"/>
              <w:rPr>
                <w:bCs/>
                <w:color w:val="auto"/>
                <w:sz w:val="15"/>
                <w:szCs w:val="15"/>
              </w:rPr>
            </w:pPr>
            <w:r>
              <w:rPr>
                <w:bCs/>
                <w:color w:val="auto"/>
                <w:sz w:val="15"/>
                <w:szCs w:val="15"/>
              </w:rPr>
              <w:t>发生漏报每次扣2分；发现不及时每次扣1分；未立即确认上报每次扣1分</w:t>
            </w:r>
          </w:p>
        </w:tc>
      </w:tr>
      <w:tr w14:paraId="0C087D73">
        <w:tblPrEx>
          <w:tblCellMar>
            <w:top w:w="0" w:type="dxa"/>
            <w:left w:w="108" w:type="dxa"/>
            <w:bottom w:w="0" w:type="dxa"/>
            <w:right w:w="108" w:type="dxa"/>
          </w:tblCellMar>
        </w:tblPrEx>
        <w:trPr>
          <w:trHeight w:val="533" w:hRule="atLeast"/>
        </w:trPr>
        <w:tc>
          <w:tcPr>
            <w:tcW w:w="709" w:type="dxa"/>
            <w:tcBorders>
              <w:top w:val="nil"/>
              <w:left w:val="single" w:color="auto" w:sz="8" w:space="0"/>
              <w:bottom w:val="single" w:color="auto" w:sz="8" w:space="0"/>
              <w:right w:val="single" w:color="auto" w:sz="8" w:space="0"/>
            </w:tcBorders>
            <w:vAlign w:val="center"/>
          </w:tcPr>
          <w:p w14:paraId="3A83FD38">
            <w:pPr>
              <w:snapToGrid w:val="0"/>
              <w:spacing w:line="240" w:lineRule="auto"/>
              <w:jc w:val="center"/>
              <w:rPr>
                <w:bCs/>
                <w:color w:val="auto"/>
                <w:sz w:val="21"/>
                <w:szCs w:val="21"/>
              </w:rPr>
            </w:pPr>
            <w:r>
              <w:rPr>
                <w:bCs/>
                <w:color w:val="auto"/>
                <w:sz w:val="21"/>
                <w:szCs w:val="21"/>
              </w:rPr>
              <w:t>2</w:t>
            </w:r>
          </w:p>
        </w:tc>
        <w:tc>
          <w:tcPr>
            <w:tcW w:w="851" w:type="dxa"/>
            <w:tcBorders>
              <w:top w:val="nil"/>
              <w:left w:val="nil"/>
              <w:bottom w:val="single" w:color="auto" w:sz="8" w:space="0"/>
              <w:right w:val="single" w:color="auto" w:sz="8" w:space="0"/>
            </w:tcBorders>
            <w:vAlign w:val="center"/>
          </w:tcPr>
          <w:p w14:paraId="749615CC">
            <w:pPr>
              <w:snapToGrid w:val="0"/>
              <w:spacing w:line="240" w:lineRule="auto"/>
              <w:rPr>
                <w:bCs/>
                <w:color w:val="auto"/>
                <w:sz w:val="15"/>
                <w:szCs w:val="15"/>
              </w:rPr>
            </w:pPr>
            <w:r>
              <w:rPr>
                <w:bCs/>
                <w:color w:val="auto"/>
                <w:sz w:val="15"/>
                <w:szCs w:val="15"/>
              </w:rPr>
              <w:t>告警分级处置</w:t>
            </w:r>
          </w:p>
        </w:tc>
        <w:tc>
          <w:tcPr>
            <w:tcW w:w="3533" w:type="dxa"/>
            <w:tcBorders>
              <w:top w:val="nil"/>
              <w:left w:val="nil"/>
              <w:bottom w:val="single" w:color="auto" w:sz="8" w:space="0"/>
              <w:right w:val="single" w:color="auto" w:sz="8" w:space="0"/>
            </w:tcBorders>
            <w:vAlign w:val="center"/>
          </w:tcPr>
          <w:p w14:paraId="3CCF25C0">
            <w:pPr>
              <w:snapToGrid w:val="0"/>
              <w:spacing w:line="240" w:lineRule="auto"/>
              <w:rPr>
                <w:bCs/>
                <w:color w:val="auto"/>
                <w:sz w:val="15"/>
                <w:szCs w:val="15"/>
              </w:rPr>
            </w:pPr>
            <w:r>
              <w:rPr>
                <w:bCs/>
                <w:color w:val="auto"/>
                <w:sz w:val="15"/>
                <w:szCs w:val="15"/>
              </w:rPr>
              <w:t>按四级告警体系分级处置：一级≤5分钟响应/≤30分钟处置；二级≤10分钟响应/≤2小时处置；三级≤30分钟响应/≤24小时处置；四级≤2小时接单/≤7个工作日闭环；告警处理及时率≥99.5%</w:t>
            </w:r>
          </w:p>
        </w:tc>
        <w:tc>
          <w:tcPr>
            <w:tcW w:w="709" w:type="dxa"/>
            <w:tcBorders>
              <w:top w:val="nil"/>
              <w:left w:val="nil"/>
              <w:bottom w:val="single" w:color="auto" w:sz="8" w:space="0"/>
              <w:right w:val="single" w:color="auto" w:sz="8" w:space="0"/>
            </w:tcBorders>
            <w:vAlign w:val="center"/>
          </w:tcPr>
          <w:p w14:paraId="71E80D4A">
            <w:pPr>
              <w:snapToGrid w:val="0"/>
              <w:spacing w:line="240" w:lineRule="auto"/>
              <w:rPr>
                <w:bCs/>
                <w:color w:val="auto"/>
                <w:sz w:val="15"/>
                <w:szCs w:val="15"/>
              </w:rPr>
            </w:pPr>
            <w:r>
              <w:rPr>
                <w:bCs/>
                <w:color w:val="auto"/>
                <w:sz w:val="15"/>
                <w:szCs w:val="15"/>
              </w:rPr>
              <w:t>12</w:t>
            </w:r>
          </w:p>
        </w:tc>
        <w:tc>
          <w:tcPr>
            <w:tcW w:w="709" w:type="dxa"/>
            <w:tcBorders>
              <w:top w:val="nil"/>
              <w:left w:val="nil"/>
              <w:bottom w:val="single" w:color="auto" w:sz="8" w:space="0"/>
              <w:right w:val="single" w:color="auto" w:sz="8" w:space="0"/>
            </w:tcBorders>
            <w:vAlign w:val="center"/>
          </w:tcPr>
          <w:p w14:paraId="6E52C837">
            <w:pPr>
              <w:snapToGrid w:val="0"/>
              <w:spacing w:line="240" w:lineRule="auto"/>
              <w:rPr>
                <w:bCs/>
                <w:color w:val="auto"/>
                <w:sz w:val="15"/>
                <w:szCs w:val="15"/>
              </w:rPr>
            </w:pPr>
            <w:r>
              <w:rPr>
                <w:bCs/>
                <w:color w:val="auto"/>
                <w:sz w:val="15"/>
                <w:szCs w:val="15"/>
              </w:rPr>
              <w:t>　</w:t>
            </w:r>
          </w:p>
        </w:tc>
        <w:tc>
          <w:tcPr>
            <w:tcW w:w="3216" w:type="dxa"/>
            <w:tcBorders>
              <w:top w:val="nil"/>
              <w:left w:val="nil"/>
              <w:bottom w:val="single" w:color="auto" w:sz="8" w:space="0"/>
              <w:right w:val="single" w:color="auto" w:sz="8" w:space="0"/>
            </w:tcBorders>
            <w:vAlign w:val="center"/>
          </w:tcPr>
          <w:p w14:paraId="78D7DB64">
            <w:pPr>
              <w:snapToGrid w:val="0"/>
              <w:spacing w:line="240" w:lineRule="auto"/>
              <w:rPr>
                <w:bCs/>
                <w:color w:val="auto"/>
                <w:sz w:val="15"/>
                <w:szCs w:val="15"/>
              </w:rPr>
            </w:pPr>
            <w:r>
              <w:rPr>
                <w:bCs/>
                <w:color w:val="auto"/>
                <w:sz w:val="15"/>
                <w:szCs w:val="15"/>
              </w:rPr>
              <w:t>一级告警超5分钟响应每次扣2分、超30分钟处置每次扣3分；二级超10分钟响应每次扣1分；三级/四级超时响应每次扣1分；及时率每低0.1%扣1分</w:t>
            </w:r>
          </w:p>
        </w:tc>
      </w:tr>
      <w:tr w14:paraId="61473A0B">
        <w:tblPrEx>
          <w:tblCellMar>
            <w:top w:w="0" w:type="dxa"/>
            <w:left w:w="108" w:type="dxa"/>
            <w:bottom w:w="0" w:type="dxa"/>
            <w:right w:w="108" w:type="dxa"/>
          </w:tblCellMar>
        </w:tblPrEx>
        <w:trPr>
          <w:trHeight w:val="559" w:hRule="atLeast"/>
        </w:trPr>
        <w:tc>
          <w:tcPr>
            <w:tcW w:w="709" w:type="dxa"/>
            <w:tcBorders>
              <w:top w:val="nil"/>
              <w:left w:val="single" w:color="auto" w:sz="8" w:space="0"/>
              <w:bottom w:val="single" w:color="auto" w:sz="8" w:space="0"/>
              <w:right w:val="single" w:color="auto" w:sz="8" w:space="0"/>
            </w:tcBorders>
            <w:vAlign w:val="center"/>
          </w:tcPr>
          <w:p w14:paraId="3CC14A78">
            <w:pPr>
              <w:snapToGrid w:val="0"/>
              <w:spacing w:line="240" w:lineRule="auto"/>
              <w:jc w:val="center"/>
              <w:rPr>
                <w:bCs/>
                <w:color w:val="auto"/>
                <w:sz w:val="21"/>
                <w:szCs w:val="21"/>
              </w:rPr>
            </w:pPr>
            <w:r>
              <w:rPr>
                <w:bCs/>
                <w:color w:val="auto"/>
                <w:sz w:val="21"/>
                <w:szCs w:val="21"/>
              </w:rPr>
              <w:t>3</w:t>
            </w:r>
          </w:p>
        </w:tc>
        <w:tc>
          <w:tcPr>
            <w:tcW w:w="851" w:type="dxa"/>
            <w:tcBorders>
              <w:top w:val="nil"/>
              <w:left w:val="nil"/>
              <w:bottom w:val="single" w:color="auto" w:sz="8" w:space="0"/>
              <w:right w:val="single" w:color="auto" w:sz="8" w:space="0"/>
            </w:tcBorders>
            <w:vAlign w:val="center"/>
          </w:tcPr>
          <w:p w14:paraId="5E529F14">
            <w:pPr>
              <w:snapToGrid w:val="0"/>
              <w:spacing w:line="240" w:lineRule="auto"/>
              <w:rPr>
                <w:bCs/>
                <w:color w:val="auto"/>
                <w:sz w:val="15"/>
                <w:szCs w:val="15"/>
              </w:rPr>
            </w:pPr>
            <w:r>
              <w:rPr>
                <w:bCs/>
                <w:color w:val="auto"/>
                <w:sz w:val="15"/>
                <w:szCs w:val="15"/>
              </w:rPr>
              <w:t>传感器校对管理</w:t>
            </w:r>
          </w:p>
        </w:tc>
        <w:tc>
          <w:tcPr>
            <w:tcW w:w="3533" w:type="dxa"/>
            <w:tcBorders>
              <w:top w:val="nil"/>
              <w:left w:val="nil"/>
              <w:bottom w:val="single" w:color="auto" w:sz="8" w:space="0"/>
              <w:right w:val="single" w:color="auto" w:sz="8" w:space="0"/>
            </w:tcBorders>
            <w:vAlign w:val="center"/>
          </w:tcPr>
          <w:p w14:paraId="22ADB907">
            <w:pPr>
              <w:snapToGrid w:val="0"/>
              <w:spacing w:line="240" w:lineRule="auto"/>
              <w:rPr>
                <w:bCs/>
                <w:color w:val="auto"/>
                <w:sz w:val="15"/>
                <w:szCs w:val="15"/>
              </w:rPr>
            </w:pPr>
            <w:r>
              <w:rPr>
                <w:bCs/>
                <w:color w:val="auto"/>
                <w:sz w:val="15"/>
                <w:szCs w:val="15"/>
              </w:rPr>
              <w:t>每月5日前完成上月传感器校对；校对记录完整；高压配电、UPS、空调等设备告警处理记录规范</w:t>
            </w:r>
          </w:p>
        </w:tc>
        <w:tc>
          <w:tcPr>
            <w:tcW w:w="709" w:type="dxa"/>
            <w:tcBorders>
              <w:top w:val="nil"/>
              <w:left w:val="nil"/>
              <w:bottom w:val="single" w:color="auto" w:sz="8" w:space="0"/>
              <w:right w:val="single" w:color="auto" w:sz="8" w:space="0"/>
            </w:tcBorders>
            <w:vAlign w:val="center"/>
          </w:tcPr>
          <w:p w14:paraId="7DA0178F">
            <w:pPr>
              <w:snapToGrid w:val="0"/>
              <w:spacing w:line="240" w:lineRule="auto"/>
              <w:rPr>
                <w:bCs/>
                <w:color w:val="auto"/>
                <w:sz w:val="15"/>
                <w:szCs w:val="15"/>
              </w:rPr>
            </w:pPr>
            <w:r>
              <w:rPr>
                <w:bCs/>
                <w:color w:val="auto"/>
                <w:sz w:val="15"/>
                <w:szCs w:val="15"/>
              </w:rPr>
              <w:t>5</w:t>
            </w:r>
          </w:p>
        </w:tc>
        <w:tc>
          <w:tcPr>
            <w:tcW w:w="709" w:type="dxa"/>
            <w:tcBorders>
              <w:top w:val="nil"/>
              <w:left w:val="nil"/>
              <w:bottom w:val="single" w:color="auto" w:sz="8" w:space="0"/>
              <w:right w:val="single" w:color="auto" w:sz="8" w:space="0"/>
            </w:tcBorders>
            <w:vAlign w:val="center"/>
          </w:tcPr>
          <w:p w14:paraId="01B4B6E0">
            <w:pPr>
              <w:snapToGrid w:val="0"/>
              <w:spacing w:line="240" w:lineRule="auto"/>
              <w:rPr>
                <w:bCs/>
                <w:color w:val="auto"/>
                <w:sz w:val="15"/>
                <w:szCs w:val="15"/>
              </w:rPr>
            </w:pPr>
            <w:r>
              <w:rPr>
                <w:bCs/>
                <w:color w:val="auto"/>
                <w:sz w:val="15"/>
                <w:szCs w:val="15"/>
              </w:rPr>
              <w:t>　</w:t>
            </w:r>
          </w:p>
        </w:tc>
        <w:tc>
          <w:tcPr>
            <w:tcW w:w="3216" w:type="dxa"/>
            <w:tcBorders>
              <w:top w:val="nil"/>
              <w:left w:val="nil"/>
              <w:bottom w:val="single" w:color="auto" w:sz="8" w:space="0"/>
              <w:right w:val="single" w:color="auto" w:sz="8" w:space="0"/>
            </w:tcBorders>
            <w:vAlign w:val="center"/>
          </w:tcPr>
          <w:p w14:paraId="0CD84E79">
            <w:pPr>
              <w:snapToGrid w:val="0"/>
              <w:spacing w:line="240" w:lineRule="auto"/>
              <w:rPr>
                <w:bCs/>
                <w:color w:val="auto"/>
                <w:sz w:val="15"/>
                <w:szCs w:val="15"/>
              </w:rPr>
            </w:pPr>
            <w:r>
              <w:rPr>
                <w:bCs/>
                <w:color w:val="auto"/>
                <w:sz w:val="15"/>
                <w:szCs w:val="15"/>
              </w:rPr>
              <w:t>未按时完成校对每次扣2分；记录不完整每次扣1分；告警处理记录不规范每次扣1分</w:t>
            </w:r>
          </w:p>
        </w:tc>
      </w:tr>
      <w:tr w14:paraId="57AC5EFD">
        <w:tblPrEx>
          <w:tblCellMar>
            <w:top w:w="0" w:type="dxa"/>
            <w:left w:w="108" w:type="dxa"/>
            <w:bottom w:w="0" w:type="dxa"/>
            <w:right w:w="108" w:type="dxa"/>
          </w:tblCellMar>
        </w:tblPrEx>
        <w:trPr>
          <w:trHeight w:val="247" w:hRule="atLeast"/>
        </w:trPr>
        <w:tc>
          <w:tcPr>
            <w:tcW w:w="9727" w:type="dxa"/>
            <w:gridSpan w:val="6"/>
            <w:tcBorders>
              <w:top w:val="single" w:color="auto" w:sz="8" w:space="0"/>
              <w:left w:val="single" w:color="auto" w:sz="8" w:space="0"/>
              <w:bottom w:val="single" w:color="auto" w:sz="8" w:space="0"/>
              <w:right w:val="single" w:color="auto" w:sz="8" w:space="0"/>
            </w:tcBorders>
            <w:shd w:val="clear" w:color="C0C0C0" w:fill="D9D9D9"/>
            <w:vAlign w:val="center"/>
          </w:tcPr>
          <w:p w14:paraId="048AB0C6">
            <w:pPr>
              <w:snapToGrid w:val="0"/>
              <w:spacing w:line="240" w:lineRule="auto"/>
              <w:rPr>
                <w:rFonts w:hint="eastAsia" w:ascii="Noto Sans CJK SC" w:hAnsi="Noto Sans CJK SC" w:eastAsia="宋体" w:cs="Calibri"/>
                <w:color w:val="auto"/>
                <w:kern w:val="0"/>
                <w:sz w:val="21"/>
                <w:szCs w:val="21"/>
                <w14:ligatures w14:val="none"/>
              </w:rPr>
            </w:pPr>
            <w:r>
              <w:rPr>
                <w:color w:val="auto"/>
                <w:sz w:val="21"/>
                <w:szCs w:val="21"/>
              </w:rPr>
              <w:t>二、工单响应（25分）</w:t>
            </w:r>
          </w:p>
        </w:tc>
      </w:tr>
      <w:tr w14:paraId="105048F2">
        <w:tblPrEx>
          <w:tblCellMar>
            <w:top w:w="0" w:type="dxa"/>
            <w:left w:w="108" w:type="dxa"/>
            <w:bottom w:w="0" w:type="dxa"/>
            <w:right w:w="108" w:type="dxa"/>
          </w:tblCellMar>
        </w:tblPrEx>
        <w:trPr>
          <w:trHeight w:val="436" w:hRule="atLeast"/>
        </w:trPr>
        <w:tc>
          <w:tcPr>
            <w:tcW w:w="709" w:type="dxa"/>
            <w:tcBorders>
              <w:top w:val="nil"/>
              <w:left w:val="single" w:color="auto" w:sz="8" w:space="0"/>
              <w:bottom w:val="single" w:color="auto" w:sz="8" w:space="0"/>
              <w:right w:val="single" w:color="auto" w:sz="8" w:space="0"/>
            </w:tcBorders>
            <w:vAlign w:val="center"/>
          </w:tcPr>
          <w:p w14:paraId="0AC4FF8F">
            <w:pPr>
              <w:snapToGrid w:val="0"/>
              <w:spacing w:line="240" w:lineRule="auto"/>
              <w:jc w:val="center"/>
              <w:rPr>
                <w:bCs/>
                <w:color w:val="auto"/>
                <w:sz w:val="21"/>
                <w:szCs w:val="21"/>
              </w:rPr>
            </w:pPr>
            <w:r>
              <w:rPr>
                <w:bCs/>
                <w:color w:val="auto"/>
                <w:sz w:val="21"/>
                <w:szCs w:val="21"/>
              </w:rPr>
              <w:t>4</w:t>
            </w:r>
          </w:p>
        </w:tc>
        <w:tc>
          <w:tcPr>
            <w:tcW w:w="851" w:type="dxa"/>
            <w:tcBorders>
              <w:top w:val="nil"/>
              <w:left w:val="nil"/>
              <w:bottom w:val="single" w:color="auto" w:sz="8" w:space="0"/>
              <w:right w:val="single" w:color="auto" w:sz="8" w:space="0"/>
            </w:tcBorders>
            <w:vAlign w:val="center"/>
          </w:tcPr>
          <w:p w14:paraId="428CB6CA">
            <w:pPr>
              <w:snapToGrid w:val="0"/>
              <w:spacing w:line="240" w:lineRule="auto"/>
              <w:rPr>
                <w:bCs/>
                <w:color w:val="auto"/>
                <w:sz w:val="15"/>
                <w:szCs w:val="15"/>
              </w:rPr>
            </w:pPr>
            <w:r>
              <w:rPr>
                <w:bCs/>
                <w:color w:val="auto"/>
                <w:sz w:val="15"/>
                <w:szCs w:val="15"/>
              </w:rPr>
              <w:t>工单接收与响应</w:t>
            </w:r>
          </w:p>
        </w:tc>
        <w:tc>
          <w:tcPr>
            <w:tcW w:w="3533" w:type="dxa"/>
            <w:tcBorders>
              <w:top w:val="nil"/>
              <w:left w:val="nil"/>
              <w:bottom w:val="single" w:color="auto" w:sz="8" w:space="0"/>
              <w:right w:val="single" w:color="auto" w:sz="8" w:space="0"/>
            </w:tcBorders>
            <w:vAlign w:val="center"/>
          </w:tcPr>
          <w:p w14:paraId="2B4D32CF">
            <w:pPr>
              <w:snapToGrid w:val="0"/>
              <w:spacing w:line="240" w:lineRule="auto"/>
              <w:rPr>
                <w:bCs/>
                <w:color w:val="auto"/>
                <w:sz w:val="15"/>
                <w:szCs w:val="15"/>
              </w:rPr>
            </w:pPr>
            <w:r>
              <w:rPr>
                <w:bCs/>
                <w:color w:val="auto"/>
                <w:sz w:val="15"/>
                <w:szCs w:val="15"/>
              </w:rPr>
              <w:t>7×24小时实时接收工单，工单接收率100%；按工单等级响应：一级≤5分钟、二级≤10分钟、三级≤30分钟、四级≤2小时；</w:t>
            </w:r>
            <w:r>
              <w:rPr>
                <w:rFonts w:hint="eastAsia"/>
                <w:bCs/>
                <w:color w:val="auto"/>
                <w:sz w:val="15"/>
                <w:szCs w:val="15"/>
              </w:rPr>
              <w:t>保持电话畅通。</w:t>
            </w:r>
          </w:p>
        </w:tc>
        <w:tc>
          <w:tcPr>
            <w:tcW w:w="709" w:type="dxa"/>
            <w:tcBorders>
              <w:top w:val="nil"/>
              <w:left w:val="nil"/>
              <w:bottom w:val="single" w:color="auto" w:sz="8" w:space="0"/>
              <w:right w:val="single" w:color="auto" w:sz="8" w:space="0"/>
            </w:tcBorders>
            <w:vAlign w:val="center"/>
          </w:tcPr>
          <w:p w14:paraId="4BA2F75B">
            <w:pPr>
              <w:snapToGrid w:val="0"/>
              <w:spacing w:line="240" w:lineRule="auto"/>
              <w:rPr>
                <w:bCs/>
                <w:color w:val="auto"/>
                <w:sz w:val="15"/>
                <w:szCs w:val="15"/>
              </w:rPr>
            </w:pPr>
            <w:r>
              <w:rPr>
                <w:bCs/>
                <w:color w:val="auto"/>
                <w:sz w:val="15"/>
                <w:szCs w:val="15"/>
              </w:rPr>
              <w:t>8</w:t>
            </w:r>
          </w:p>
        </w:tc>
        <w:tc>
          <w:tcPr>
            <w:tcW w:w="709" w:type="dxa"/>
            <w:tcBorders>
              <w:top w:val="nil"/>
              <w:left w:val="nil"/>
              <w:bottom w:val="single" w:color="auto" w:sz="8" w:space="0"/>
              <w:right w:val="single" w:color="auto" w:sz="8" w:space="0"/>
            </w:tcBorders>
            <w:vAlign w:val="center"/>
          </w:tcPr>
          <w:p w14:paraId="45F834D3">
            <w:pPr>
              <w:snapToGrid w:val="0"/>
              <w:spacing w:line="240" w:lineRule="auto"/>
              <w:rPr>
                <w:bCs/>
                <w:color w:val="auto"/>
                <w:sz w:val="15"/>
                <w:szCs w:val="15"/>
              </w:rPr>
            </w:pPr>
            <w:r>
              <w:rPr>
                <w:bCs/>
                <w:color w:val="auto"/>
                <w:sz w:val="15"/>
                <w:szCs w:val="15"/>
              </w:rPr>
              <w:t>　</w:t>
            </w:r>
          </w:p>
        </w:tc>
        <w:tc>
          <w:tcPr>
            <w:tcW w:w="3216" w:type="dxa"/>
            <w:tcBorders>
              <w:top w:val="nil"/>
              <w:left w:val="nil"/>
              <w:bottom w:val="single" w:color="auto" w:sz="8" w:space="0"/>
              <w:right w:val="single" w:color="auto" w:sz="8" w:space="0"/>
            </w:tcBorders>
            <w:vAlign w:val="center"/>
          </w:tcPr>
          <w:p w14:paraId="5E0F6987">
            <w:pPr>
              <w:snapToGrid w:val="0"/>
              <w:spacing w:line="240" w:lineRule="auto"/>
              <w:rPr>
                <w:bCs/>
                <w:color w:val="auto"/>
                <w:sz w:val="15"/>
                <w:szCs w:val="15"/>
              </w:rPr>
            </w:pPr>
            <w:r>
              <w:rPr>
                <w:bCs/>
                <w:color w:val="auto"/>
                <w:sz w:val="15"/>
                <w:szCs w:val="15"/>
              </w:rPr>
              <w:t>工单未实时接收每次扣2分；超等级时限响应每次扣2分；电话24小时每3次未接扣2分</w:t>
            </w:r>
            <w:r>
              <w:rPr>
                <w:rFonts w:hint="eastAsia"/>
                <w:bCs/>
                <w:color w:val="auto"/>
                <w:sz w:val="15"/>
                <w:szCs w:val="15"/>
              </w:rPr>
              <w:t>。</w:t>
            </w:r>
          </w:p>
        </w:tc>
      </w:tr>
      <w:tr w14:paraId="11F21F3B">
        <w:tblPrEx>
          <w:tblCellMar>
            <w:top w:w="0" w:type="dxa"/>
            <w:left w:w="108" w:type="dxa"/>
            <w:bottom w:w="0" w:type="dxa"/>
            <w:right w:w="108" w:type="dxa"/>
          </w:tblCellMar>
        </w:tblPrEx>
        <w:trPr>
          <w:trHeight w:val="1007" w:hRule="atLeast"/>
        </w:trPr>
        <w:tc>
          <w:tcPr>
            <w:tcW w:w="709" w:type="dxa"/>
            <w:tcBorders>
              <w:top w:val="nil"/>
              <w:left w:val="single" w:color="auto" w:sz="8" w:space="0"/>
              <w:bottom w:val="single" w:color="auto" w:sz="8" w:space="0"/>
              <w:right w:val="single" w:color="auto" w:sz="8" w:space="0"/>
            </w:tcBorders>
            <w:vAlign w:val="center"/>
          </w:tcPr>
          <w:p w14:paraId="730B2AC7">
            <w:pPr>
              <w:snapToGrid w:val="0"/>
              <w:spacing w:line="240" w:lineRule="auto"/>
              <w:jc w:val="center"/>
              <w:rPr>
                <w:bCs/>
                <w:color w:val="auto"/>
                <w:sz w:val="21"/>
                <w:szCs w:val="21"/>
              </w:rPr>
            </w:pPr>
            <w:r>
              <w:rPr>
                <w:bCs/>
                <w:color w:val="auto"/>
                <w:sz w:val="21"/>
                <w:szCs w:val="21"/>
              </w:rPr>
              <w:t>5</w:t>
            </w:r>
          </w:p>
        </w:tc>
        <w:tc>
          <w:tcPr>
            <w:tcW w:w="851" w:type="dxa"/>
            <w:tcBorders>
              <w:top w:val="nil"/>
              <w:left w:val="nil"/>
              <w:bottom w:val="single" w:color="auto" w:sz="8" w:space="0"/>
              <w:right w:val="single" w:color="auto" w:sz="8" w:space="0"/>
            </w:tcBorders>
            <w:vAlign w:val="center"/>
          </w:tcPr>
          <w:p w14:paraId="0E74FD59">
            <w:pPr>
              <w:snapToGrid w:val="0"/>
              <w:spacing w:line="240" w:lineRule="auto"/>
              <w:rPr>
                <w:bCs/>
                <w:color w:val="auto"/>
                <w:sz w:val="15"/>
                <w:szCs w:val="15"/>
              </w:rPr>
            </w:pPr>
            <w:r>
              <w:rPr>
                <w:bCs/>
                <w:color w:val="auto"/>
                <w:sz w:val="15"/>
                <w:szCs w:val="15"/>
              </w:rPr>
              <w:t>故障处置质量</w:t>
            </w:r>
          </w:p>
        </w:tc>
        <w:tc>
          <w:tcPr>
            <w:tcW w:w="3533" w:type="dxa"/>
            <w:tcBorders>
              <w:top w:val="nil"/>
              <w:left w:val="nil"/>
              <w:bottom w:val="single" w:color="auto" w:sz="8" w:space="0"/>
              <w:right w:val="single" w:color="auto" w:sz="8" w:space="0"/>
            </w:tcBorders>
            <w:vAlign w:val="center"/>
          </w:tcPr>
          <w:p w14:paraId="3927E5EC">
            <w:pPr>
              <w:snapToGrid w:val="0"/>
              <w:spacing w:line="240" w:lineRule="auto"/>
              <w:rPr>
                <w:bCs/>
                <w:color w:val="auto"/>
                <w:sz w:val="15"/>
                <w:szCs w:val="15"/>
              </w:rPr>
            </w:pPr>
            <w:r>
              <w:rPr>
                <w:bCs/>
                <w:color w:val="auto"/>
                <w:sz w:val="15"/>
                <w:szCs w:val="15"/>
              </w:rPr>
              <w:t>紧急故障按一级工单≤2小时闭环；单台设备故障按二级工单≤8小时闭环；一般故障按三级/四级工单时限闭环；电源零掉电、设备零宕机；空调故障温度升高≤30分钟</w:t>
            </w:r>
          </w:p>
        </w:tc>
        <w:tc>
          <w:tcPr>
            <w:tcW w:w="709" w:type="dxa"/>
            <w:tcBorders>
              <w:top w:val="nil"/>
              <w:left w:val="nil"/>
              <w:bottom w:val="single" w:color="auto" w:sz="8" w:space="0"/>
              <w:right w:val="single" w:color="auto" w:sz="8" w:space="0"/>
            </w:tcBorders>
            <w:vAlign w:val="center"/>
          </w:tcPr>
          <w:p w14:paraId="4AAC571D">
            <w:pPr>
              <w:snapToGrid w:val="0"/>
              <w:spacing w:line="240" w:lineRule="auto"/>
              <w:rPr>
                <w:bCs/>
                <w:color w:val="auto"/>
                <w:sz w:val="15"/>
                <w:szCs w:val="15"/>
              </w:rPr>
            </w:pPr>
            <w:r>
              <w:rPr>
                <w:bCs/>
                <w:color w:val="auto"/>
                <w:sz w:val="15"/>
                <w:szCs w:val="15"/>
              </w:rPr>
              <w:t>12</w:t>
            </w:r>
          </w:p>
        </w:tc>
        <w:tc>
          <w:tcPr>
            <w:tcW w:w="709" w:type="dxa"/>
            <w:tcBorders>
              <w:top w:val="nil"/>
              <w:left w:val="nil"/>
              <w:bottom w:val="single" w:color="auto" w:sz="8" w:space="0"/>
              <w:right w:val="single" w:color="auto" w:sz="8" w:space="0"/>
            </w:tcBorders>
            <w:vAlign w:val="center"/>
          </w:tcPr>
          <w:p w14:paraId="5096DF35">
            <w:pPr>
              <w:snapToGrid w:val="0"/>
              <w:spacing w:line="240" w:lineRule="auto"/>
              <w:rPr>
                <w:bCs/>
                <w:color w:val="auto"/>
                <w:sz w:val="15"/>
                <w:szCs w:val="15"/>
              </w:rPr>
            </w:pPr>
            <w:r>
              <w:rPr>
                <w:bCs/>
                <w:color w:val="auto"/>
                <w:sz w:val="15"/>
                <w:szCs w:val="15"/>
              </w:rPr>
              <w:t>　</w:t>
            </w:r>
          </w:p>
        </w:tc>
        <w:tc>
          <w:tcPr>
            <w:tcW w:w="3216" w:type="dxa"/>
            <w:tcBorders>
              <w:top w:val="nil"/>
              <w:left w:val="nil"/>
              <w:bottom w:val="single" w:color="auto" w:sz="8" w:space="0"/>
              <w:right w:val="single" w:color="auto" w:sz="8" w:space="0"/>
            </w:tcBorders>
            <w:vAlign w:val="center"/>
          </w:tcPr>
          <w:p w14:paraId="46FDCEC4">
            <w:pPr>
              <w:snapToGrid w:val="0"/>
              <w:spacing w:line="240" w:lineRule="auto"/>
              <w:rPr>
                <w:bCs/>
                <w:color w:val="auto"/>
                <w:sz w:val="15"/>
                <w:szCs w:val="15"/>
              </w:rPr>
            </w:pPr>
            <w:r>
              <w:rPr>
                <w:bCs/>
                <w:color w:val="auto"/>
                <w:sz w:val="15"/>
                <w:szCs w:val="15"/>
              </w:rPr>
              <w:t>一级工单超2小时闭环每次扣3分；二级超8小时每次扣2分；三/四级超时每次扣1分；发生掉电每次扣5分、宕机每次扣5分；空调</w:t>
            </w:r>
            <w:r>
              <w:rPr>
                <w:rFonts w:hint="eastAsia"/>
                <w:bCs/>
                <w:color w:val="auto"/>
                <w:sz w:val="15"/>
                <w:szCs w:val="15"/>
              </w:rPr>
              <w:t>故障温度升高</w:t>
            </w:r>
            <w:r>
              <w:rPr>
                <w:bCs/>
                <w:color w:val="auto"/>
                <w:sz w:val="15"/>
                <w:szCs w:val="15"/>
              </w:rPr>
              <w:t>超30分钟每次扣2分</w:t>
            </w:r>
          </w:p>
        </w:tc>
      </w:tr>
      <w:tr w14:paraId="11701F98">
        <w:tblPrEx>
          <w:tblCellMar>
            <w:top w:w="0" w:type="dxa"/>
            <w:left w:w="108" w:type="dxa"/>
            <w:bottom w:w="0" w:type="dxa"/>
            <w:right w:w="108" w:type="dxa"/>
          </w:tblCellMar>
        </w:tblPrEx>
        <w:trPr>
          <w:trHeight w:val="503" w:hRule="atLeast"/>
        </w:trPr>
        <w:tc>
          <w:tcPr>
            <w:tcW w:w="709" w:type="dxa"/>
            <w:tcBorders>
              <w:top w:val="nil"/>
              <w:left w:val="single" w:color="auto" w:sz="8" w:space="0"/>
              <w:bottom w:val="single" w:color="auto" w:sz="8" w:space="0"/>
              <w:right w:val="single" w:color="auto" w:sz="8" w:space="0"/>
            </w:tcBorders>
            <w:vAlign w:val="center"/>
          </w:tcPr>
          <w:p w14:paraId="10A4CEBD">
            <w:pPr>
              <w:snapToGrid w:val="0"/>
              <w:spacing w:line="240" w:lineRule="auto"/>
              <w:jc w:val="center"/>
              <w:rPr>
                <w:bCs/>
                <w:color w:val="auto"/>
                <w:sz w:val="21"/>
                <w:szCs w:val="21"/>
              </w:rPr>
            </w:pPr>
            <w:r>
              <w:rPr>
                <w:bCs/>
                <w:color w:val="auto"/>
                <w:sz w:val="21"/>
                <w:szCs w:val="21"/>
              </w:rPr>
              <w:t>6</w:t>
            </w:r>
          </w:p>
        </w:tc>
        <w:tc>
          <w:tcPr>
            <w:tcW w:w="851" w:type="dxa"/>
            <w:tcBorders>
              <w:top w:val="nil"/>
              <w:left w:val="nil"/>
              <w:bottom w:val="single" w:color="auto" w:sz="8" w:space="0"/>
              <w:right w:val="single" w:color="auto" w:sz="8" w:space="0"/>
            </w:tcBorders>
            <w:vAlign w:val="center"/>
          </w:tcPr>
          <w:p w14:paraId="1D9BD3E5">
            <w:pPr>
              <w:snapToGrid w:val="0"/>
              <w:spacing w:line="240" w:lineRule="auto"/>
              <w:rPr>
                <w:bCs/>
                <w:color w:val="auto"/>
                <w:sz w:val="15"/>
                <w:szCs w:val="15"/>
              </w:rPr>
            </w:pPr>
            <w:r>
              <w:rPr>
                <w:bCs/>
                <w:color w:val="auto"/>
                <w:sz w:val="15"/>
                <w:szCs w:val="15"/>
              </w:rPr>
              <w:t>工单闭环与报告</w:t>
            </w:r>
          </w:p>
        </w:tc>
        <w:tc>
          <w:tcPr>
            <w:tcW w:w="3533" w:type="dxa"/>
            <w:tcBorders>
              <w:top w:val="nil"/>
              <w:left w:val="nil"/>
              <w:bottom w:val="single" w:color="auto" w:sz="8" w:space="0"/>
              <w:right w:val="single" w:color="auto" w:sz="8" w:space="0"/>
            </w:tcBorders>
            <w:vAlign w:val="center"/>
          </w:tcPr>
          <w:p w14:paraId="7E1CCA9C">
            <w:pPr>
              <w:snapToGrid w:val="0"/>
              <w:spacing w:line="240" w:lineRule="auto"/>
              <w:rPr>
                <w:bCs/>
                <w:color w:val="auto"/>
                <w:sz w:val="15"/>
                <w:szCs w:val="15"/>
              </w:rPr>
            </w:pPr>
            <w:r>
              <w:rPr>
                <w:bCs/>
                <w:color w:val="auto"/>
                <w:sz w:val="15"/>
                <w:szCs w:val="15"/>
              </w:rPr>
              <w:t>故障处理后24小时内完成归档；重大故障48小时内提交分析报告；报告内容完整、质量达标</w:t>
            </w:r>
          </w:p>
        </w:tc>
        <w:tc>
          <w:tcPr>
            <w:tcW w:w="709" w:type="dxa"/>
            <w:tcBorders>
              <w:top w:val="nil"/>
              <w:left w:val="nil"/>
              <w:bottom w:val="single" w:color="auto" w:sz="8" w:space="0"/>
              <w:right w:val="single" w:color="auto" w:sz="8" w:space="0"/>
            </w:tcBorders>
            <w:vAlign w:val="center"/>
          </w:tcPr>
          <w:p w14:paraId="3195BB62">
            <w:pPr>
              <w:snapToGrid w:val="0"/>
              <w:spacing w:line="240" w:lineRule="auto"/>
              <w:rPr>
                <w:bCs/>
                <w:color w:val="auto"/>
                <w:sz w:val="15"/>
                <w:szCs w:val="15"/>
              </w:rPr>
            </w:pPr>
            <w:r>
              <w:rPr>
                <w:bCs/>
                <w:color w:val="auto"/>
                <w:sz w:val="15"/>
                <w:szCs w:val="15"/>
              </w:rPr>
              <w:t>5</w:t>
            </w:r>
          </w:p>
        </w:tc>
        <w:tc>
          <w:tcPr>
            <w:tcW w:w="709" w:type="dxa"/>
            <w:tcBorders>
              <w:top w:val="nil"/>
              <w:left w:val="nil"/>
              <w:bottom w:val="single" w:color="auto" w:sz="8" w:space="0"/>
              <w:right w:val="single" w:color="auto" w:sz="8" w:space="0"/>
            </w:tcBorders>
            <w:vAlign w:val="center"/>
          </w:tcPr>
          <w:p w14:paraId="58426A0E">
            <w:pPr>
              <w:snapToGrid w:val="0"/>
              <w:spacing w:line="240" w:lineRule="auto"/>
              <w:rPr>
                <w:bCs/>
                <w:color w:val="auto"/>
                <w:sz w:val="15"/>
                <w:szCs w:val="15"/>
              </w:rPr>
            </w:pPr>
            <w:r>
              <w:rPr>
                <w:bCs/>
                <w:color w:val="auto"/>
                <w:sz w:val="15"/>
                <w:szCs w:val="15"/>
              </w:rPr>
              <w:t>　</w:t>
            </w:r>
          </w:p>
        </w:tc>
        <w:tc>
          <w:tcPr>
            <w:tcW w:w="3216" w:type="dxa"/>
            <w:tcBorders>
              <w:top w:val="nil"/>
              <w:left w:val="nil"/>
              <w:bottom w:val="single" w:color="auto" w:sz="8" w:space="0"/>
              <w:right w:val="single" w:color="auto" w:sz="8" w:space="0"/>
            </w:tcBorders>
            <w:vAlign w:val="center"/>
          </w:tcPr>
          <w:p w14:paraId="06EB718F">
            <w:pPr>
              <w:snapToGrid w:val="0"/>
              <w:spacing w:line="240" w:lineRule="auto"/>
              <w:rPr>
                <w:bCs/>
                <w:color w:val="auto"/>
                <w:sz w:val="15"/>
                <w:szCs w:val="15"/>
              </w:rPr>
            </w:pPr>
            <w:r>
              <w:rPr>
                <w:bCs/>
                <w:color w:val="auto"/>
                <w:sz w:val="15"/>
                <w:szCs w:val="15"/>
              </w:rPr>
              <w:t>未24小时内归档每次扣1分；重大故障未48小时内提交报告每次扣2分；报告不完整/质量不达标每次扣1分</w:t>
            </w:r>
          </w:p>
        </w:tc>
      </w:tr>
      <w:tr w14:paraId="530C931B">
        <w:tblPrEx>
          <w:tblCellMar>
            <w:top w:w="0" w:type="dxa"/>
            <w:left w:w="108" w:type="dxa"/>
            <w:bottom w:w="0" w:type="dxa"/>
            <w:right w:w="108" w:type="dxa"/>
          </w:tblCellMar>
        </w:tblPrEx>
        <w:trPr>
          <w:trHeight w:val="272" w:hRule="atLeast"/>
        </w:trPr>
        <w:tc>
          <w:tcPr>
            <w:tcW w:w="9727" w:type="dxa"/>
            <w:gridSpan w:val="6"/>
            <w:tcBorders>
              <w:top w:val="single" w:color="auto" w:sz="8" w:space="0"/>
              <w:left w:val="single" w:color="auto" w:sz="8" w:space="0"/>
              <w:bottom w:val="single" w:color="auto" w:sz="8" w:space="0"/>
              <w:right w:val="single" w:color="auto" w:sz="8" w:space="0"/>
            </w:tcBorders>
            <w:shd w:val="clear" w:color="C0C0C0" w:fill="D9D9D9"/>
            <w:vAlign w:val="center"/>
          </w:tcPr>
          <w:p w14:paraId="1578B6E1">
            <w:pPr>
              <w:snapToGrid w:val="0"/>
              <w:spacing w:line="240" w:lineRule="auto"/>
              <w:rPr>
                <w:rFonts w:hint="eastAsia" w:ascii="Noto Sans CJK SC" w:hAnsi="Noto Sans CJK SC" w:eastAsia="宋体" w:cs="Calibri"/>
                <w:color w:val="auto"/>
                <w:kern w:val="0"/>
                <w:sz w:val="21"/>
                <w:szCs w:val="21"/>
                <w14:ligatures w14:val="none"/>
              </w:rPr>
            </w:pPr>
            <w:r>
              <w:rPr>
                <w:color w:val="auto"/>
                <w:sz w:val="21"/>
                <w:szCs w:val="21"/>
              </w:rPr>
              <w:t>三、维护作业计划（30分）</w:t>
            </w:r>
          </w:p>
        </w:tc>
      </w:tr>
      <w:tr w14:paraId="26E491C5">
        <w:tblPrEx>
          <w:tblCellMar>
            <w:top w:w="0" w:type="dxa"/>
            <w:left w:w="108" w:type="dxa"/>
            <w:bottom w:w="0" w:type="dxa"/>
            <w:right w:w="108" w:type="dxa"/>
          </w:tblCellMar>
        </w:tblPrEx>
        <w:trPr>
          <w:trHeight w:val="728" w:hRule="atLeast"/>
        </w:trPr>
        <w:tc>
          <w:tcPr>
            <w:tcW w:w="709" w:type="dxa"/>
            <w:tcBorders>
              <w:top w:val="nil"/>
              <w:left w:val="single" w:color="auto" w:sz="8" w:space="0"/>
              <w:bottom w:val="single" w:color="auto" w:sz="8" w:space="0"/>
              <w:right w:val="single" w:color="auto" w:sz="8" w:space="0"/>
            </w:tcBorders>
            <w:vAlign w:val="center"/>
          </w:tcPr>
          <w:p w14:paraId="24744395">
            <w:pPr>
              <w:snapToGrid w:val="0"/>
              <w:spacing w:line="240" w:lineRule="auto"/>
              <w:jc w:val="center"/>
              <w:rPr>
                <w:bCs/>
                <w:color w:val="auto"/>
                <w:sz w:val="21"/>
                <w:szCs w:val="21"/>
              </w:rPr>
            </w:pPr>
            <w:r>
              <w:rPr>
                <w:bCs/>
                <w:color w:val="auto"/>
                <w:sz w:val="21"/>
                <w:szCs w:val="21"/>
              </w:rPr>
              <w:t>7</w:t>
            </w:r>
          </w:p>
        </w:tc>
        <w:tc>
          <w:tcPr>
            <w:tcW w:w="851" w:type="dxa"/>
            <w:tcBorders>
              <w:top w:val="nil"/>
              <w:left w:val="nil"/>
              <w:bottom w:val="single" w:color="auto" w:sz="8" w:space="0"/>
              <w:right w:val="single" w:color="auto" w:sz="8" w:space="0"/>
            </w:tcBorders>
            <w:vAlign w:val="center"/>
          </w:tcPr>
          <w:p w14:paraId="1B517DA1">
            <w:pPr>
              <w:snapToGrid w:val="0"/>
              <w:spacing w:line="240" w:lineRule="auto"/>
              <w:rPr>
                <w:bCs/>
                <w:color w:val="auto"/>
                <w:sz w:val="15"/>
                <w:szCs w:val="15"/>
              </w:rPr>
            </w:pPr>
            <w:r>
              <w:rPr>
                <w:bCs/>
                <w:color w:val="auto"/>
                <w:sz w:val="15"/>
                <w:szCs w:val="15"/>
              </w:rPr>
              <w:t>日常巡检执行</w:t>
            </w:r>
          </w:p>
        </w:tc>
        <w:tc>
          <w:tcPr>
            <w:tcW w:w="3533" w:type="dxa"/>
            <w:tcBorders>
              <w:top w:val="nil"/>
              <w:left w:val="nil"/>
              <w:bottom w:val="single" w:color="auto" w:sz="8" w:space="0"/>
              <w:right w:val="single" w:color="auto" w:sz="8" w:space="0"/>
            </w:tcBorders>
            <w:vAlign w:val="center"/>
          </w:tcPr>
          <w:p w14:paraId="204D3C71">
            <w:pPr>
              <w:snapToGrid w:val="0"/>
              <w:spacing w:line="240" w:lineRule="auto"/>
              <w:rPr>
                <w:bCs/>
                <w:color w:val="auto"/>
                <w:sz w:val="15"/>
                <w:szCs w:val="15"/>
              </w:rPr>
            </w:pPr>
            <w:r>
              <w:rPr>
                <w:bCs/>
                <w:color w:val="auto"/>
                <w:sz w:val="15"/>
                <w:szCs w:val="15"/>
              </w:rPr>
              <w:t>每6小时一次、每日4次全机房巡检，覆盖高压配电、变压器、UPS、直流电源、空调、动环、机房环境、2楼演示中心；巡检记录完整率100%</w:t>
            </w:r>
          </w:p>
        </w:tc>
        <w:tc>
          <w:tcPr>
            <w:tcW w:w="709" w:type="dxa"/>
            <w:tcBorders>
              <w:top w:val="nil"/>
              <w:left w:val="nil"/>
              <w:bottom w:val="single" w:color="auto" w:sz="8" w:space="0"/>
              <w:right w:val="single" w:color="auto" w:sz="8" w:space="0"/>
            </w:tcBorders>
            <w:vAlign w:val="center"/>
          </w:tcPr>
          <w:p w14:paraId="4E14824F">
            <w:pPr>
              <w:snapToGrid w:val="0"/>
              <w:spacing w:line="240" w:lineRule="auto"/>
              <w:rPr>
                <w:bCs/>
                <w:color w:val="auto"/>
                <w:sz w:val="15"/>
                <w:szCs w:val="15"/>
              </w:rPr>
            </w:pPr>
            <w:r>
              <w:rPr>
                <w:bCs/>
                <w:color w:val="auto"/>
                <w:sz w:val="15"/>
                <w:szCs w:val="15"/>
              </w:rPr>
              <w:t>12</w:t>
            </w:r>
          </w:p>
        </w:tc>
        <w:tc>
          <w:tcPr>
            <w:tcW w:w="709" w:type="dxa"/>
            <w:tcBorders>
              <w:top w:val="nil"/>
              <w:left w:val="nil"/>
              <w:bottom w:val="single" w:color="auto" w:sz="8" w:space="0"/>
              <w:right w:val="single" w:color="auto" w:sz="8" w:space="0"/>
            </w:tcBorders>
            <w:vAlign w:val="center"/>
          </w:tcPr>
          <w:p w14:paraId="03D7E094">
            <w:pPr>
              <w:snapToGrid w:val="0"/>
              <w:spacing w:line="240" w:lineRule="auto"/>
              <w:rPr>
                <w:bCs/>
                <w:color w:val="auto"/>
                <w:sz w:val="15"/>
                <w:szCs w:val="15"/>
              </w:rPr>
            </w:pPr>
            <w:r>
              <w:rPr>
                <w:bCs/>
                <w:color w:val="auto"/>
                <w:sz w:val="15"/>
                <w:szCs w:val="15"/>
              </w:rPr>
              <w:t>　</w:t>
            </w:r>
          </w:p>
        </w:tc>
        <w:tc>
          <w:tcPr>
            <w:tcW w:w="3216" w:type="dxa"/>
            <w:tcBorders>
              <w:top w:val="nil"/>
              <w:left w:val="nil"/>
              <w:bottom w:val="single" w:color="auto" w:sz="8" w:space="0"/>
              <w:right w:val="single" w:color="auto" w:sz="8" w:space="0"/>
            </w:tcBorders>
            <w:vAlign w:val="center"/>
          </w:tcPr>
          <w:p w14:paraId="0BCF3302">
            <w:pPr>
              <w:snapToGrid w:val="0"/>
              <w:spacing w:line="240" w:lineRule="auto"/>
              <w:rPr>
                <w:bCs/>
                <w:color w:val="auto"/>
                <w:sz w:val="15"/>
                <w:szCs w:val="15"/>
              </w:rPr>
            </w:pPr>
            <w:r>
              <w:rPr>
                <w:bCs/>
                <w:color w:val="auto"/>
                <w:sz w:val="15"/>
                <w:szCs w:val="15"/>
              </w:rPr>
              <w:t>漏巡每次扣2分；未按6小时频次巡检每次扣1分；巡检记录不完整每次扣1分</w:t>
            </w:r>
          </w:p>
        </w:tc>
      </w:tr>
      <w:tr w14:paraId="560A8ED4">
        <w:tblPrEx>
          <w:tblCellMar>
            <w:top w:w="0" w:type="dxa"/>
            <w:left w:w="108" w:type="dxa"/>
            <w:bottom w:w="0" w:type="dxa"/>
            <w:right w:w="108" w:type="dxa"/>
          </w:tblCellMar>
        </w:tblPrEx>
        <w:trPr>
          <w:trHeight w:val="530" w:hRule="atLeast"/>
        </w:trPr>
        <w:tc>
          <w:tcPr>
            <w:tcW w:w="709" w:type="dxa"/>
            <w:tcBorders>
              <w:top w:val="nil"/>
              <w:left w:val="single" w:color="auto" w:sz="8" w:space="0"/>
              <w:bottom w:val="single" w:color="auto" w:sz="8" w:space="0"/>
              <w:right w:val="single" w:color="auto" w:sz="8" w:space="0"/>
            </w:tcBorders>
            <w:vAlign w:val="center"/>
          </w:tcPr>
          <w:p w14:paraId="29B8F554">
            <w:pPr>
              <w:snapToGrid w:val="0"/>
              <w:spacing w:line="240" w:lineRule="auto"/>
              <w:jc w:val="center"/>
              <w:rPr>
                <w:bCs/>
                <w:color w:val="auto"/>
                <w:sz w:val="21"/>
                <w:szCs w:val="21"/>
              </w:rPr>
            </w:pPr>
            <w:r>
              <w:rPr>
                <w:bCs/>
                <w:color w:val="auto"/>
                <w:sz w:val="21"/>
                <w:szCs w:val="21"/>
              </w:rPr>
              <w:t>8</w:t>
            </w:r>
          </w:p>
        </w:tc>
        <w:tc>
          <w:tcPr>
            <w:tcW w:w="851" w:type="dxa"/>
            <w:tcBorders>
              <w:top w:val="nil"/>
              <w:left w:val="nil"/>
              <w:bottom w:val="single" w:color="auto" w:sz="8" w:space="0"/>
              <w:right w:val="single" w:color="auto" w:sz="8" w:space="0"/>
            </w:tcBorders>
            <w:vAlign w:val="center"/>
          </w:tcPr>
          <w:p w14:paraId="37A86B49">
            <w:pPr>
              <w:snapToGrid w:val="0"/>
              <w:spacing w:line="240" w:lineRule="auto"/>
              <w:rPr>
                <w:bCs/>
                <w:color w:val="auto"/>
                <w:sz w:val="15"/>
                <w:szCs w:val="15"/>
              </w:rPr>
            </w:pPr>
            <w:r>
              <w:rPr>
                <w:bCs/>
                <w:color w:val="auto"/>
                <w:sz w:val="15"/>
                <w:szCs w:val="15"/>
              </w:rPr>
              <w:t>月度计表执行</w:t>
            </w:r>
          </w:p>
        </w:tc>
        <w:tc>
          <w:tcPr>
            <w:tcW w:w="3533" w:type="dxa"/>
            <w:tcBorders>
              <w:top w:val="nil"/>
              <w:left w:val="nil"/>
              <w:bottom w:val="single" w:color="auto" w:sz="8" w:space="0"/>
              <w:right w:val="single" w:color="auto" w:sz="8" w:space="0"/>
            </w:tcBorders>
            <w:vAlign w:val="center"/>
          </w:tcPr>
          <w:p w14:paraId="5328AC34">
            <w:pPr>
              <w:snapToGrid w:val="0"/>
              <w:spacing w:line="240" w:lineRule="auto"/>
              <w:rPr>
                <w:bCs/>
                <w:color w:val="auto"/>
                <w:sz w:val="15"/>
                <w:szCs w:val="15"/>
              </w:rPr>
            </w:pPr>
            <w:r>
              <w:rPr>
                <w:bCs/>
                <w:color w:val="auto"/>
                <w:sz w:val="15"/>
                <w:szCs w:val="15"/>
              </w:rPr>
              <w:t>每月完成高压配电、低压配电、ATS、直流配电、蓄电池、UPS、动环、列间空调、精密空调、防雷设备等月度保养；记录完整</w:t>
            </w:r>
          </w:p>
        </w:tc>
        <w:tc>
          <w:tcPr>
            <w:tcW w:w="709" w:type="dxa"/>
            <w:tcBorders>
              <w:top w:val="nil"/>
              <w:left w:val="nil"/>
              <w:bottom w:val="single" w:color="auto" w:sz="8" w:space="0"/>
              <w:right w:val="single" w:color="auto" w:sz="8" w:space="0"/>
            </w:tcBorders>
            <w:vAlign w:val="center"/>
          </w:tcPr>
          <w:p w14:paraId="5A633B2E">
            <w:pPr>
              <w:snapToGrid w:val="0"/>
              <w:spacing w:line="240" w:lineRule="auto"/>
              <w:rPr>
                <w:bCs/>
                <w:color w:val="auto"/>
                <w:sz w:val="15"/>
                <w:szCs w:val="15"/>
              </w:rPr>
            </w:pPr>
            <w:r>
              <w:rPr>
                <w:bCs/>
                <w:color w:val="auto"/>
                <w:sz w:val="15"/>
                <w:szCs w:val="15"/>
              </w:rPr>
              <w:t>10</w:t>
            </w:r>
          </w:p>
        </w:tc>
        <w:tc>
          <w:tcPr>
            <w:tcW w:w="709" w:type="dxa"/>
            <w:tcBorders>
              <w:top w:val="nil"/>
              <w:left w:val="nil"/>
              <w:bottom w:val="single" w:color="auto" w:sz="8" w:space="0"/>
              <w:right w:val="single" w:color="auto" w:sz="8" w:space="0"/>
            </w:tcBorders>
            <w:vAlign w:val="center"/>
          </w:tcPr>
          <w:p w14:paraId="2BE229F4">
            <w:pPr>
              <w:snapToGrid w:val="0"/>
              <w:spacing w:line="240" w:lineRule="auto"/>
              <w:rPr>
                <w:bCs/>
                <w:color w:val="auto"/>
                <w:sz w:val="15"/>
                <w:szCs w:val="15"/>
              </w:rPr>
            </w:pPr>
            <w:r>
              <w:rPr>
                <w:bCs/>
                <w:color w:val="auto"/>
                <w:sz w:val="15"/>
                <w:szCs w:val="15"/>
              </w:rPr>
              <w:t>　</w:t>
            </w:r>
          </w:p>
        </w:tc>
        <w:tc>
          <w:tcPr>
            <w:tcW w:w="3216" w:type="dxa"/>
            <w:tcBorders>
              <w:top w:val="nil"/>
              <w:left w:val="nil"/>
              <w:bottom w:val="single" w:color="auto" w:sz="8" w:space="0"/>
              <w:right w:val="single" w:color="auto" w:sz="8" w:space="0"/>
            </w:tcBorders>
            <w:vAlign w:val="center"/>
          </w:tcPr>
          <w:p w14:paraId="1E70521B">
            <w:pPr>
              <w:snapToGrid w:val="0"/>
              <w:spacing w:line="240" w:lineRule="auto"/>
              <w:rPr>
                <w:bCs/>
                <w:color w:val="auto"/>
                <w:sz w:val="15"/>
                <w:szCs w:val="15"/>
              </w:rPr>
            </w:pPr>
            <w:r>
              <w:rPr>
                <w:bCs/>
                <w:color w:val="auto"/>
                <w:sz w:val="15"/>
                <w:szCs w:val="15"/>
              </w:rPr>
              <w:t>未按月完成保养每次扣2分；漏做设备保养每项扣1分；记录不完整每次扣1分</w:t>
            </w:r>
          </w:p>
        </w:tc>
      </w:tr>
      <w:tr w14:paraId="37D3CB13">
        <w:tblPrEx>
          <w:tblCellMar>
            <w:top w:w="0" w:type="dxa"/>
            <w:left w:w="108" w:type="dxa"/>
            <w:bottom w:w="0" w:type="dxa"/>
            <w:right w:w="108" w:type="dxa"/>
          </w:tblCellMar>
        </w:tblPrEx>
        <w:trPr>
          <w:trHeight w:val="300" w:hRule="atLeast"/>
        </w:trPr>
        <w:tc>
          <w:tcPr>
            <w:tcW w:w="709" w:type="dxa"/>
            <w:tcBorders>
              <w:top w:val="nil"/>
              <w:left w:val="single" w:color="auto" w:sz="8" w:space="0"/>
              <w:bottom w:val="single" w:color="auto" w:sz="8" w:space="0"/>
              <w:right w:val="single" w:color="auto" w:sz="8" w:space="0"/>
            </w:tcBorders>
            <w:vAlign w:val="center"/>
          </w:tcPr>
          <w:p w14:paraId="6E163D9E">
            <w:pPr>
              <w:snapToGrid w:val="0"/>
              <w:spacing w:line="240" w:lineRule="auto"/>
              <w:jc w:val="center"/>
              <w:rPr>
                <w:bCs/>
                <w:color w:val="auto"/>
                <w:sz w:val="21"/>
                <w:szCs w:val="21"/>
              </w:rPr>
            </w:pPr>
            <w:r>
              <w:rPr>
                <w:bCs/>
                <w:color w:val="auto"/>
                <w:sz w:val="21"/>
                <w:szCs w:val="21"/>
              </w:rPr>
              <w:t>9</w:t>
            </w:r>
          </w:p>
        </w:tc>
        <w:tc>
          <w:tcPr>
            <w:tcW w:w="851" w:type="dxa"/>
            <w:tcBorders>
              <w:top w:val="nil"/>
              <w:left w:val="nil"/>
              <w:bottom w:val="single" w:color="auto" w:sz="8" w:space="0"/>
              <w:right w:val="single" w:color="auto" w:sz="8" w:space="0"/>
            </w:tcBorders>
            <w:vAlign w:val="center"/>
          </w:tcPr>
          <w:p w14:paraId="6646D819">
            <w:pPr>
              <w:snapToGrid w:val="0"/>
              <w:spacing w:line="240" w:lineRule="auto"/>
              <w:rPr>
                <w:bCs/>
                <w:color w:val="auto"/>
                <w:sz w:val="15"/>
                <w:szCs w:val="15"/>
              </w:rPr>
            </w:pPr>
            <w:r>
              <w:rPr>
                <w:bCs/>
                <w:color w:val="auto"/>
                <w:sz w:val="15"/>
                <w:szCs w:val="15"/>
              </w:rPr>
              <w:t>周期性计表执行</w:t>
            </w:r>
          </w:p>
        </w:tc>
        <w:tc>
          <w:tcPr>
            <w:tcW w:w="3533" w:type="dxa"/>
            <w:tcBorders>
              <w:top w:val="nil"/>
              <w:left w:val="nil"/>
              <w:bottom w:val="single" w:color="auto" w:sz="8" w:space="0"/>
              <w:right w:val="single" w:color="auto" w:sz="8" w:space="0"/>
            </w:tcBorders>
            <w:vAlign w:val="center"/>
          </w:tcPr>
          <w:p w14:paraId="46DD211B">
            <w:pPr>
              <w:snapToGrid w:val="0"/>
              <w:spacing w:line="240" w:lineRule="auto"/>
              <w:rPr>
                <w:bCs/>
                <w:color w:val="auto"/>
                <w:sz w:val="15"/>
                <w:szCs w:val="15"/>
              </w:rPr>
            </w:pPr>
            <w:r>
              <w:rPr>
                <w:bCs/>
                <w:color w:val="auto"/>
                <w:sz w:val="15"/>
                <w:szCs w:val="15"/>
              </w:rPr>
              <w:t>季度计表（蓄电池深度放电检查、空调季度保养、新风系统保养）按时完成；年度/半年计表按节点完成；停电演练每年≥1次；演练报告按时提交</w:t>
            </w:r>
          </w:p>
        </w:tc>
        <w:tc>
          <w:tcPr>
            <w:tcW w:w="709" w:type="dxa"/>
            <w:tcBorders>
              <w:top w:val="nil"/>
              <w:left w:val="nil"/>
              <w:bottom w:val="single" w:color="auto" w:sz="8" w:space="0"/>
              <w:right w:val="single" w:color="auto" w:sz="8" w:space="0"/>
            </w:tcBorders>
            <w:vAlign w:val="center"/>
          </w:tcPr>
          <w:p w14:paraId="2C4BE379">
            <w:pPr>
              <w:snapToGrid w:val="0"/>
              <w:spacing w:line="240" w:lineRule="auto"/>
              <w:rPr>
                <w:bCs/>
                <w:color w:val="auto"/>
                <w:sz w:val="15"/>
                <w:szCs w:val="15"/>
              </w:rPr>
            </w:pPr>
            <w:r>
              <w:rPr>
                <w:bCs/>
                <w:color w:val="auto"/>
                <w:sz w:val="15"/>
                <w:szCs w:val="15"/>
              </w:rPr>
              <w:t>8</w:t>
            </w:r>
          </w:p>
        </w:tc>
        <w:tc>
          <w:tcPr>
            <w:tcW w:w="709" w:type="dxa"/>
            <w:tcBorders>
              <w:top w:val="nil"/>
              <w:left w:val="nil"/>
              <w:bottom w:val="single" w:color="auto" w:sz="8" w:space="0"/>
              <w:right w:val="single" w:color="auto" w:sz="8" w:space="0"/>
            </w:tcBorders>
            <w:vAlign w:val="center"/>
          </w:tcPr>
          <w:p w14:paraId="76626A8D">
            <w:pPr>
              <w:snapToGrid w:val="0"/>
              <w:spacing w:line="240" w:lineRule="auto"/>
              <w:rPr>
                <w:bCs/>
                <w:color w:val="auto"/>
                <w:sz w:val="15"/>
                <w:szCs w:val="15"/>
              </w:rPr>
            </w:pPr>
            <w:r>
              <w:rPr>
                <w:bCs/>
                <w:color w:val="auto"/>
                <w:sz w:val="15"/>
                <w:szCs w:val="15"/>
              </w:rPr>
              <w:t>　</w:t>
            </w:r>
          </w:p>
        </w:tc>
        <w:tc>
          <w:tcPr>
            <w:tcW w:w="3216" w:type="dxa"/>
            <w:tcBorders>
              <w:top w:val="nil"/>
              <w:left w:val="nil"/>
              <w:bottom w:val="single" w:color="auto" w:sz="8" w:space="0"/>
              <w:right w:val="single" w:color="auto" w:sz="8" w:space="0"/>
            </w:tcBorders>
            <w:vAlign w:val="center"/>
          </w:tcPr>
          <w:p w14:paraId="389E9C02">
            <w:pPr>
              <w:snapToGrid w:val="0"/>
              <w:spacing w:line="240" w:lineRule="auto"/>
              <w:rPr>
                <w:bCs/>
                <w:color w:val="auto"/>
                <w:sz w:val="15"/>
                <w:szCs w:val="15"/>
              </w:rPr>
            </w:pPr>
            <w:r>
              <w:rPr>
                <w:bCs/>
                <w:color w:val="auto"/>
                <w:sz w:val="15"/>
                <w:szCs w:val="15"/>
              </w:rPr>
              <w:t>季度计表未完成每次扣2分；年度/半年计表未按时完成每次扣2分；未按时演练每次扣2分；报告未按时提交每次扣1分</w:t>
            </w:r>
          </w:p>
        </w:tc>
      </w:tr>
      <w:tr w14:paraId="694790A7">
        <w:tblPrEx>
          <w:tblCellMar>
            <w:top w:w="0" w:type="dxa"/>
            <w:left w:w="108" w:type="dxa"/>
            <w:bottom w:w="0" w:type="dxa"/>
            <w:right w:w="108" w:type="dxa"/>
          </w:tblCellMar>
        </w:tblPrEx>
        <w:trPr>
          <w:trHeight w:val="227" w:hRule="atLeast"/>
        </w:trPr>
        <w:tc>
          <w:tcPr>
            <w:tcW w:w="9727" w:type="dxa"/>
            <w:gridSpan w:val="6"/>
            <w:tcBorders>
              <w:top w:val="single" w:color="auto" w:sz="8" w:space="0"/>
              <w:left w:val="single" w:color="auto" w:sz="8" w:space="0"/>
              <w:bottom w:val="single" w:color="auto" w:sz="8" w:space="0"/>
              <w:right w:val="single" w:color="auto" w:sz="8" w:space="0"/>
            </w:tcBorders>
            <w:shd w:val="clear" w:color="C0C0C0" w:fill="D9D9D9"/>
            <w:vAlign w:val="center"/>
          </w:tcPr>
          <w:p w14:paraId="53226348">
            <w:pPr>
              <w:snapToGrid w:val="0"/>
              <w:spacing w:line="240" w:lineRule="auto"/>
              <w:rPr>
                <w:rFonts w:hint="eastAsia" w:ascii="Noto Sans CJK SC" w:hAnsi="Noto Sans CJK SC" w:eastAsia="宋体" w:cs="Calibri"/>
                <w:color w:val="auto"/>
                <w:kern w:val="0"/>
                <w:sz w:val="21"/>
                <w:szCs w:val="21"/>
                <w14:ligatures w14:val="none"/>
              </w:rPr>
            </w:pPr>
            <w:r>
              <w:rPr>
                <w:color w:val="auto"/>
                <w:sz w:val="21"/>
                <w:szCs w:val="21"/>
              </w:rPr>
              <w:t>四、运行质量与能耗管理（20分）</w:t>
            </w:r>
          </w:p>
        </w:tc>
      </w:tr>
      <w:tr w14:paraId="7C52354D">
        <w:tblPrEx>
          <w:tblCellMar>
            <w:top w:w="0" w:type="dxa"/>
            <w:left w:w="108" w:type="dxa"/>
            <w:bottom w:w="0" w:type="dxa"/>
            <w:right w:w="108" w:type="dxa"/>
          </w:tblCellMar>
        </w:tblPrEx>
        <w:trPr>
          <w:trHeight w:val="403" w:hRule="atLeast"/>
        </w:trPr>
        <w:tc>
          <w:tcPr>
            <w:tcW w:w="709" w:type="dxa"/>
            <w:tcBorders>
              <w:top w:val="nil"/>
              <w:left w:val="single" w:color="auto" w:sz="8" w:space="0"/>
              <w:bottom w:val="single" w:color="auto" w:sz="8" w:space="0"/>
              <w:right w:val="single" w:color="auto" w:sz="8" w:space="0"/>
            </w:tcBorders>
            <w:vAlign w:val="center"/>
          </w:tcPr>
          <w:p w14:paraId="79854C27">
            <w:pPr>
              <w:snapToGrid w:val="0"/>
              <w:spacing w:line="240" w:lineRule="auto"/>
              <w:jc w:val="center"/>
              <w:rPr>
                <w:bCs/>
                <w:color w:val="auto"/>
                <w:sz w:val="21"/>
                <w:szCs w:val="21"/>
              </w:rPr>
            </w:pPr>
            <w:r>
              <w:rPr>
                <w:bCs/>
                <w:color w:val="auto"/>
                <w:sz w:val="21"/>
                <w:szCs w:val="21"/>
              </w:rPr>
              <w:t>10</w:t>
            </w:r>
          </w:p>
        </w:tc>
        <w:tc>
          <w:tcPr>
            <w:tcW w:w="851" w:type="dxa"/>
            <w:tcBorders>
              <w:top w:val="nil"/>
              <w:left w:val="nil"/>
              <w:bottom w:val="single" w:color="auto" w:sz="8" w:space="0"/>
              <w:right w:val="single" w:color="auto" w:sz="8" w:space="0"/>
            </w:tcBorders>
            <w:vAlign w:val="center"/>
          </w:tcPr>
          <w:p w14:paraId="09C76D2E">
            <w:pPr>
              <w:snapToGrid w:val="0"/>
              <w:spacing w:line="240" w:lineRule="auto"/>
              <w:rPr>
                <w:bCs/>
                <w:color w:val="auto"/>
                <w:sz w:val="15"/>
                <w:szCs w:val="15"/>
              </w:rPr>
            </w:pPr>
            <w:r>
              <w:rPr>
                <w:bCs/>
                <w:color w:val="auto"/>
                <w:sz w:val="15"/>
                <w:szCs w:val="15"/>
              </w:rPr>
              <w:t>运行质量报告</w:t>
            </w:r>
          </w:p>
        </w:tc>
        <w:tc>
          <w:tcPr>
            <w:tcW w:w="3533" w:type="dxa"/>
            <w:tcBorders>
              <w:top w:val="nil"/>
              <w:left w:val="nil"/>
              <w:bottom w:val="single" w:color="auto" w:sz="8" w:space="0"/>
              <w:right w:val="single" w:color="auto" w:sz="8" w:space="0"/>
            </w:tcBorders>
            <w:vAlign w:val="center"/>
          </w:tcPr>
          <w:p w14:paraId="42B43EAD">
            <w:pPr>
              <w:snapToGrid w:val="0"/>
              <w:spacing w:line="240" w:lineRule="auto"/>
              <w:rPr>
                <w:bCs/>
                <w:color w:val="auto"/>
                <w:sz w:val="15"/>
                <w:szCs w:val="15"/>
              </w:rPr>
            </w:pPr>
            <w:r>
              <w:rPr>
                <w:bCs/>
                <w:color w:val="auto"/>
                <w:sz w:val="15"/>
                <w:szCs w:val="15"/>
              </w:rPr>
              <w:t>日报每日交接班完成；周报每周一提交；月报每月15日前提交；年报</w:t>
            </w:r>
            <w:r>
              <w:rPr>
                <w:rFonts w:hint="eastAsia"/>
                <w:bCs/>
                <w:color w:val="auto"/>
                <w:sz w:val="15"/>
                <w:szCs w:val="15"/>
              </w:rPr>
              <w:t>在合同服务结束前1个月内</w:t>
            </w:r>
            <w:r>
              <w:rPr>
                <w:bCs/>
                <w:color w:val="auto"/>
                <w:sz w:val="15"/>
                <w:szCs w:val="15"/>
              </w:rPr>
              <w:t>提交；报告按时提交率100%、内容完整准确</w:t>
            </w:r>
          </w:p>
        </w:tc>
        <w:tc>
          <w:tcPr>
            <w:tcW w:w="709" w:type="dxa"/>
            <w:tcBorders>
              <w:top w:val="nil"/>
              <w:left w:val="nil"/>
              <w:bottom w:val="single" w:color="auto" w:sz="8" w:space="0"/>
              <w:right w:val="single" w:color="auto" w:sz="8" w:space="0"/>
            </w:tcBorders>
            <w:vAlign w:val="center"/>
          </w:tcPr>
          <w:p w14:paraId="17D538D5">
            <w:pPr>
              <w:snapToGrid w:val="0"/>
              <w:spacing w:line="240" w:lineRule="auto"/>
              <w:rPr>
                <w:bCs/>
                <w:color w:val="auto"/>
                <w:sz w:val="15"/>
                <w:szCs w:val="15"/>
              </w:rPr>
            </w:pPr>
            <w:r>
              <w:rPr>
                <w:bCs/>
                <w:color w:val="auto"/>
                <w:sz w:val="15"/>
                <w:szCs w:val="15"/>
              </w:rPr>
              <w:t>6</w:t>
            </w:r>
          </w:p>
        </w:tc>
        <w:tc>
          <w:tcPr>
            <w:tcW w:w="709" w:type="dxa"/>
            <w:tcBorders>
              <w:top w:val="nil"/>
              <w:left w:val="nil"/>
              <w:bottom w:val="single" w:color="auto" w:sz="8" w:space="0"/>
              <w:right w:val="single" w:color="auto" w:sz="8" w:space="0"/>
            </w:tcBorders>
            <w:vAlign w:val="center"/>
          </w:tcPr>
          <w:p w14:paraId="69F20FE1">
            <w:pPr>
              <w:snapToGrid w:val="0"/>
              <w:spacing w:line="240" w:lineRule="auto"/>
              <w:rPr>
                <w:bCs/>
                <w:color w:val="auto"/>
                <w:sz w:val="15"/>
                <w:szCs w:val="15"/>
              </w:rPr>
            </w:pPr>
            <w:r>
              <w:rPr>
                <w:bCs/>
                <w:color w:val="auto"/>
                <w:sz w:val="15"/>
                <w:szCs w:val="15"/>
              </w:rPr>
              <w:t>　</w:t>
            </w:r>
          </w:p>
        </w:tc>
        <w:tc>
          <w:tcPr>
            <w:tcW w:w="3216" w:type="dxa"/>
            <w:tcBorders>
              <w:top w:val="nil"/>
              <w:left w:val="nil"/>
              <w:bottom w:val="single" w:color="auto" w:sz="8" w:space="0"/>
              <w:right w:val="single" w:color="auto" w:sz="8" w:space="0"/>
            </w:tcBorders>
            <w:vAlign w:val="center"/>
          </w:tcPr>
          <w:p w14:paraId="0658160A">
            <w:pPr>
              <w:snapToGrid w:val="0"/>
              <w:spacing w:line="240" w:lineRule="auto"/>
              <w:rPr>
                <w:bCs/>
                <w:color w:val="auto"/>
                <w:sz w:val="15"/>
                <w:szCs w:val="15"/>
              </w:rPr>
            </w:pPr>
            <w:r>
              <w:rPr>
                <w:bCs/>
                <w:color w:val="auto"/>
                <w:sz w:val="15"/>
                <w:szCs w:val="15"/>
              </w:rPr>
              <w:t>日报/周报/月报/年报每迟交1次扣1分；提交率每低1%扣1分；内容不完整/不准确每次扣1分</w:t>
            </w:r>
          </w:p>
        </w:tc>
      </w:tr>
      <w:tr w14:paraId="6843C3AB">
        <w:tblPrEx>
          <w:tblCellMar>
            <w:top w:w="0" w:type="dxa"/>
            <w:left w:w="108" w:type="dxa"/>
            <w:bottom w:w="0" w:type="dxa"/>
            <w:right w:w="108" w:type="dxa"/>
          </w:tblCellMar>
        </w:tblPrEx>
        <w:trPr>
          <w:trHeight w:val="470" w:hRule="atLeast"/>
        </w:trPr>
        <w:tc>
          <w:tcPr>
            <w:tcW w:w="709" w:type="dxa"/>
            <w:tcBorders>
              <w:top w:val="nil"/>
              <w:left w:val="single" w:color="auto" w:sz="8" w:space="0"/>
              <w:bottom w:val="single" w:color="auto" w:sz="8" w:space="0"/>
              <w:right w:val="single" w:color="auto" w:sz="8" w:space="0"/>
            </w:tcBorders>
            <w:vAlign w:val="center"/>
          </w:tcPr>
          <w:p w14:paraId="78D3C999">
            <w:pPr>
              <w:snapToGrid w:val="0"/>
              <w:spacing w:line="240" w:lineRule="auto"/>
              <w:jc w:val="center"/>
              <w:rPr>
                <w:bCs/>
                <w:color w:val="auto"/>
                <w:sz w:val="21"/>
                <w:szCs w:val="21"/>
              </w:rPr>
            </w:pPr>
            <w:r>
              <w:rPr>
                <w:bCs/>
                <w:color w:val="auto"/>
                <w:sz w:val="21"/>
                <w:szCs w:val="21"/>
              </w:rPr>
              <w:t>11</w:t>
            </w:r>
          </w:p>
        </w:tc>
        <w:tc>
          <w:tcPr>
            <w:tcW w:w="851" w:type="dxa"/>
            <w:tcBorders>
              <w:top w:val="nil"/>
              <w:left w:val="nil"/>
              <w:bottom w:val="single" w:color="auto" w:sz="8" w:space="0"/>
              <w:right w:val="single" w:color="auto" w:sz="8" w:space="0"/>
            </w:tcBorders>
            <w:vAlign w:val="center"/>
          </w:tcPr>
          <w:p w14:paraId="6FE9F1E2">
            <w:pPr>
              <w:snapToGrid w:val="0"/>
              <w:spacing w:line="240" w:lineRule="auto"/>
              <w:rPr>
                <w:bCs/>
                <w:color w:val="auto"/>
                <w:sz w:val="15"/>
                <w:szCs w:val="15"/>
              </w:rPr>
            </w:pPr>
            <w:r>
              <w:rPr>
                <w:bCs/>
                <w:color w:val="auto"/>
                <w:sz w:val="15"/>
                <w:szCs w:val="15"/>
              </w:rPr>
              <w:t>运行质量指标</w:t>
            </w:r>
          </w:p>
        </w:tc>
        <w:tc>
          <w:tcPr>
            <w:tcW w:w="3533" w:type="dxa"/>
            <w:tcBorders>
              <w:top w:val="nil"/>
              <w:left w:val="nil"/>
              <w:bottom w:val="single" w:color="auto" w:sz="8" w:space="0"/>
              <w:right w:val="single" w:color="auto" w:sz="8" w:space="0"/>
            </w:tcBorders>
            <w:vAlign w:val="center"/>
          </w:tcPr>
          <w:p w14:paraId="7CF15C51">
            <w:pPr>
              <w:snapToGrid w:val="0"/>
              <w:spacing w:line="240" w:lineRule="auto"/>
              <w:rPr>
                <w:bCs/>
                <w:color w:val="auto"/>
                <w:sz w:val="15"/>
                <w:szCs w:val="15"/>
              </w:rPr>
            </w:pPr>
            <w:r>
              <w:rPr>
                <w:bCs/>
                <w:color w:val="auto"/>
                <w:sz w:val="15"/>
                <w:szCs w:val="15"/>
              </w:rPr>
              <w:t>电源零掉电、设备零宕机；故障工单处理及时率≥99.5%；因维护不当导致掉电/宕机扣除当月费用</w:t>
            </w:r>
          </w:p>
        </w:tc>
        <w:tc>
          <w:tcPr>
            <w:tcW w:w="709" w:type="dxa"/>
            <w:tcBorders>
              <w:top w:val="nil"/>
              <w:left w:val="nil"/>
              <w:bottom w:val="single" w:color="auto" w:sz="8" w:space="0"/>
              <w:right w:val="single" w:color="auto" w:sz="8" w:space="0"/>
            </w:tcBorders>
            <w:vAlign w:val="center"/>
          </w:tcPr>
          <w:p w14:paraId="526F7AF2">
            <w:pPr>
              <w:snapToGrid w:val="0"/>
              <w:spacing w:line="240" w:lineRule="auto"/>
              <w:rPr>
                <w:bCs/>
                <w:color w:val="auto"/>
                <w:sz w:val="15"/>
                <w:szCs w:val="15"/>
              </w:rPr>
            </w:pPr>
            <w:r>
              <w:rPr>
                <w:bCs/>
                <w:color w:val="auto"/>
                <w:sz w:val="15"/>
                <w:szCs w:val="15"/>
              </w:rPr>
              <w:t>8</w:t>
            </w:r>
          </w:p>
        </w:tc>
        <w:tc>
          <w:tcPr>
            <w:tcW w:w="709" w:type="dxa"/>
            <w:tcBorders>
              <w:top w:val="nil"/>
              <w:left w:val="nil"/>
              <w:bottom w:val="single" w:color="auto" w:sz="8" w:space="0"/>
              <w:right w:val="single" w:color="auto" w:sz="8" w:space="0"/>
            </w:tcBorders>
            <w:vAlign w:val="center"/>
          </w:tcPr>
          <w:p w14:paraId="19CC88EF">
            <w:pPr>
              <w:snapToGrid w:val="0"/>
              <w:spacing w:line="240" w:lineRule="auto"/>
              <w:rPr>
                <w:bCs/>
                <w:color w:val="auto"/>
                <w:sz w:val="15"/>
                <w:szCs w:val="15"/>
              </w:rPr>
            </w:pPr>
            <w:r>
              <w:rPr>
                <w:bCs/>
                <w:color w:val="auto"/>
                <w:sz w:val="15"/>
                <w:szCs w:val="15"/>
              </w:rPr>
              <w:t>　</w:t>
            </w:r>
          </w:p>
        </w:tc>
        <w:tc>
          <w:tcPr>
            <w:tcW w:w="3216" w:type="dxa"/>
            <w:tcBorders>
              <w:top w:val="nil"/>
              <w:left w:val="nil"/>
              <w:bottom w:val="single" w:color="auto" w:sz="8" w:space="0"/>
              <w:right w:val="single" w:color="auto" w:sz="8" w:space="0"/>
            </w:tcBorders>
            <w:vAlign w:val="center"/>
          </w:tcPr>
          <w:p w14:paraId="56ADE555">
            <w:pPr>
              <w:snapToGrid w:val="0"/>
              <w:spacing w:line="240" w:lineRule="auto"/>
              <w:rPr>
                <w:bCs/>
                <w:color w:val="auto"/>
                <w:sz w:val="15"/>
                <w:szCs w:val="15"/>
              </w:rPr>
            </w:pPr>
            <w:r>
              <w:rPr>
                <w:bCs/>
                <w:color w:val="auto"/>
                <w:sz w:val="15"/>
                <w:szCs w:val="15"/>
              </w:rPr>
              <w:t>发生掉电每次扣5分；发生宕机每次扣5分；工单处理及时率每低0.1%扣1分</w:t>
            </w:r>
          </w:p>
        </w:tc>
      </w:tr>
      <w:tr w14:paraId="50D2DDA7">
        <w:tblPrEx>
          <w:tblCellMar>
            <w:top w:w="0" w:type="dxa"/>
            <w:left w:w="108" w:type="dxa"/>
            <w:bottom w:w="0" w:type="dxa"/>
            <w:right w:w="108" w:type="dxa"/>
          </w:tblCellMar>
        </w:tblPrEx>
        <w:trPr>
          <w:trHeight w:val="350" w:hRule="atLeast"/>
        </w:trPr>
        <w:tc>
          <w:tcPr>
            <w:tcW w:w="709" w:type="dxa"/>
            <w:tcBorders>
              <w:top w:val="nil"/>
              <w:left w:val="single" w:color="auto" w:sz="8" w:space="0"/>
              <w:bottom w:val="single" w:color="auto" w:sz="8" w:space="0"/>
              <w:right w:val="single" w:color="auto" w:sz="8" w:space="0"/>
            </w:tcBorders>
            <w:vAlign w:val="center"/>
          </w:tcPr>
          <w:p w14:paraId="0AB67681">
            <w:pPr>
              <w:snapToGrid w:val="0"/>
              <w:spacing w:line="240" w:lineRule="auto"/>
              <w:jc w:val="center"/>
              <w:rPr>
                <w:bCs/>
                <w:color w:val="auto"/>
                <w:sz w:val="21"/>
                <w:szCs w:val="21"/>
              </w:rPr>
            </w:pPr>
            <w:r>
              <w:rPr>
                <w:bCs/>
                <w:color w:val="auto"/>
                <w:sz w:val="21"/>
                <w:szCs w:val="21"/>
              </w:rPr>
              <w:t>12</w:t>
            </w:r>
          </w:p>
        </w:tc>
        <w:tc>
          <w:tcPr>
            <w:tcW w:w="851" w:type="dxa"/>
            <w:tcBorders>
              <w:top w:val="nil"/>
              <w:left w:val="nil"/>
              <w:bottom w:val="single" w:color="auto" w:sz="8" w:space="0"/>
              <w:right w:val="single" w:color="auto" w:sz="8" w:space="0"/>
            </w:tcBorders>
            <w:vAlign w:val="center"/>
          </w:tcPr>
          <w:p w14:paraId="14ECDE40">
            <w:pPr>
              <w:snapToGrid w:val="0"/>
              <w:spacing w:line="240" w:lineRule="auto"/>
              <w:rPr>
                <w:bCs/>
                <w:color w:val="auto"/>
                <w:sz w:val="15"/>
                <w:szCs w:val="15"/>
              </w:rPr>
            </w:pPr>
            <w:r>
              <w:rPr>
                <w:bCs/>
                <w:color w:val="auto"/>
                <w:sz w:val="15"/>
                <w:szCs w:val="15"/>
              </w:rPr>
              <w:t>能耗与应急管理</w:t>
            </w:r>
          </w:p>
        </w:tc>
        <w:tc>
          <w:tcPr>
            <w:tcW w:w="3533" w:type="dxa"/>
            <w:tcBorders>
              <w:top w:val="nil"/>
              <w:left w:val="nil"/>
              <w:bottom w:val="single" w:color="auto" w:sz="8" w:space="0"/>
              <w:right w:val="single" w:color="auto" w:sz="8" w:space="0"/>
            </w:tcBorders>
            <w:vAlign w:val="center"/>
          </w:tcPr>
          <w:p w14:paraId="5E16F73E">
            <w:pPr>
              <w:snapToGrid w:val="0"/>
              <w:spacing w:line="240" w:lineRule="auto"/>
              <w:rPr>
                <w:bCs/>
                <w:color w:val="auto"/>
                <w:sz w:val="15"/>
                <w:szCs w:val="15"/>
              </w:rPr>
            </w:pPr>
            <w:r>
              <w:rPr>
                <w:bCs/>
                <w:color w:val="auto"/>
                <w:sz w:val="15"/>
                <w:szCs w:val="15"/>
              </w:rPr>
              <w:t>月度PUE计算、季度能效分析；每月提交电费报表；应急预案每</w:t>
            </w:r>
            <w:r>
              <w:rPr>
                <w:rFonts w:hint="eastAsia"/>
                <w:bCs/>
                <w:color w:val="auto"/>
                <w:sz w:val="15"/>
                <w:szCs w:val="15"/>
              </w:rPr>
              <w:t>12个月</w:t>
            </w:r>
            <w:r>
              <w:rPr>
                <w:bCs/>
                <w:color w:val="auto"/>
                <w:sz w:val="15"/>
                <w:szCs w:val="15"/>
              </w:rPr>
              <w:t>评审更新≥1次；应急演练每</w:t>
            </w:r>
            <w:r>
              <w:rPr>
                <w:rFonts w:hint="eastAsia"/>
                <w:bCs/>
                <w:color w:val="auto"/>
                <w:sz w:val="15"/>
                <w:szCs w:val="15"/>
              </w:rPr>
              <w:t>12个月</w:t>
            </w:r>
            <w:r>
              <w:rPr>
                <w:bCs/>
                <w:color w:val="auto"/>
                <w:sz w:val="15"/>
                <w:szCs w:val="15"/>
              </w:rPr>
              <w:t>≥1次；报告质量达标</w:t>
            </w:r>
          </w:p>
        </w:tc>
        <w:tc>
          <w:tcPr>
            <w:tcW w:w="709" w:type="dxa"/>
            <w:tcBorders>
              <w:top w:val="nil"/>
              <w:left w:val="nil"/>
              <w:bottom w:val="single" w:color="auto" w:sz="8" w:space="0"/>
              <w:right w:val="single" w:color="auto" w:sz="8" w:space="0"/>
            </w:tcBorders>
            <w:vAlign w:val="center"/>
          </w:tcPr>
          <w:p w14:paraId="3217F5FE">
            <w:pPr>
              <w:snapToGrid w:val="0"/>
              <w:spacing w:line="240" w:lineRule="auto"/>
              <w:rPr>
                <w:bCs/>
                <w:color w:val="auto"/>
                <w:sz w:val="15"/>
                <w:szCs w:val="15"/>
              </w:rPr>
            </w:pPr>
            <w:r>
              <w:rPr>
                <w:bCs/>
                <w:color w:val="auto"/>
                <w:sz w:val="15"/>
                <w:szCs w:val="15"/>
              </w:rPr>
              <w:t>6</w:t>
            </w:r>
          </w:p>
        </w:tc>
        <w:tc>
          <w:tcPr>
            <w:tcW w:w="709" w:type="dxa"/>
            <w:tcBorders>
              <w:top w:val="nil"/>
              <w:left w:val="nil"/>
              <w:bottom w:val="single" w:color="auto" w:sz="8" w:space="0"/>
              <w:right w:val="single" w:color="auto" w:sz="8" w:space="0"/>
            </w:tcBorders>
            <w:vAlign w:val="center"/>
          </w:tcPr>
          <w:p w14:paraId="5C44DD66">
            <w:pPr>
              <w:snapToGrid w:val="0"/>
              <w:spacing w:line="240" w:lineRule="auto"/>
              <w:rPr>
                <w:bCs/>
                <w:color w:val="auto"/>
                <w:sz w:val="15"/>
                <w:szCs w:val="15"/>
              </w:rPr>
            </w:pPr>
            <w:r>
              <w:rPr>
                <w:bCs/>
                <w:color w:val="auto"/>
                <w:sz w:val="15"/>
                <w:szCs w:val="15"/>
              </w:rPr>
              <w:t>　</w:t>
            </w:r>
          </w:p>
        </w:tc>
        <w:tc>
          <w:tcPr>
            <w:tcW w:w="3216" w:type="dxa"/>
            <w:tcBorders>
              <w:top w:val="nil"/>
              <w:left w:val="nil"/>
              <w:bottom w:val="single" w:color="auto" w:sz="8" w:space="0"/>
              <w:right w:val="single" w:color="auto" w:sz="8" w:space="0"/>
            </w:tcBorders>
            <w:vAlign w:val="center"/>
          </w:tcPr>
          <w:p w14:paraId="58EE80DF">
            <w:pPr>
              <w:snapToGrid w:val="0"/>
              <w:spacing w:line="240" w:lineRule="auto"/>
              <w:rPr>
                <w:bCs/>
                <w:color w:val="auto"/>
                <w:sz w:val="15"/>
                <w:szCs w:val="15"/>
              </w:rPr>
            </w:pPr>
            <w:r>
              <w:rPr>
                <w:bCs/>
                <w:color w:val="auto"/>
                <w:sz w:val="15"/>
                <w:szCs w:val="15"/>
              </w:rPr>
              <w:t>未按月计算PUE每次扣1分；未按季度分析能效每次扣1分；预案未</w:t>
            </w:r>
            <w:r>
              <w:rPr>
                <w:rFonts w:hint="eastAsia"/>
                <w:bCs/>
                <w:color w:val="auto"/>
                <w:sz w:val="15"/>
                <w:szCs w:val="15"/>
              </w:rPr>
              <w:t>按时</w:t>
            </w:r>
            <w:r>
              <w:rPr>
                <w:bCs/>
                <w:color w:val="auto"/>
                <w:sz w:val="15"/>
                <w:szCs w:val="15"/>
              </w:rPr>
              <w:t>评审每次扣2分；未按</w:t>
            </w:r>
            <w:r>
              <w:rPr>
                <w:rFonts w:hint="eastAsia"/>
                <w:bCs/>
                <w:color w:val="auto"/>
                <w:sz w:val="15"/>
                <w:szCs w:val="15"/>
              </w:rPr>
              <w:t>时</w:t>
            </w:r>
            <w:r>
              <w:rPr>
                <w:bCs/>
                <w:color w:val="auto"/>
                <w:sz w:val="15"/>
                <w:szCs w:val="15"/>
              </w:rPr>
              <w:t>演练每次扣2分</w:t>
            </w:r>
          </w:p>
        </w:tc>
      </w:tr>
    </w:tbl>
    <w:p w14:paraId="73302547">
      <w:pPr>
        <w:spacing w:line="240" w:lineRule="auto"/>
        <w:jc w:val="center"/>
        <w:rPr>
          <w:bCs/>
          <w:color w:val="auto"/>
          <w:sz w:val="30"/>
          <w:szCs w:val="30"/>
        </w:rPr>
      </w:pPr>
      <w:r>
        <w:rPr>
          <w:bCs/>
          <w:color w:val="auto"/>
          <w:sz w:val="30"/>
          <w:szCs w:val="30"/>
        </w:rPr>
        <w:br w:type="page"/>
      </w:r>
      <w:r>
        <w:rPr>
          <w:rFonts w:hint="eastAsia"/>
          <w:bCs/>
          <w:color w:val="auto"/>
          <w:sz w:val="30"/>
          <w:szCs w:val="30"/>
        </w:rPr>
        <w:t>三、传输技术服务季度</w:t>
      </w:r>
      <w:r>
        <w:rPr>
          <w:bCs/>
          <w:color w:val="auto"/>
          <w:sz w:val="30"/>
          <w:szCs w:val="30"/>
        </w:rPr>
        <w:t>考核打分表</w:t>
      </w:r>
    </w:p>
    <w:p w14:paraId="0D45F5E5">
      <w:pPr>
        <w:spacing w:line="240" w:lineRule="auto"/>
        <w:jc w:val="center"/>
        <w:rPr>
          <w:bCs/>
          <w:color w:val="auto"/>
          <w:sz w:val="30"/>
          <w:szCs w:val="30"/>
        </w:rPr>
      </w:pPr>
    </w:p>
    <w:tbl>
      <w:tblPr>
        <w:tblStyle w:val="6"/>
        <w:tblW w:w="47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460"/>
        <w:gridCol w:w="868"/>
        <w:gridCol w:w="2888"/>
        <w:gridCol w:w="484"/>
        <w:gridCol w:w="592"/>
        <w:gridCol w:w="2596"/>
      </w:tblGrid>
      <w:tr w14:paraId="71925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jc w:val="center"/>
        </w:trPr>
        <w:tc>
          <w:tcPr>
            <w:tcW w:w="535" w:type="dxa"/>
            <w:shd w:val="clear" w:color="auto" w:fill="9FD3A4" w:themeFill="background1" w:themeFillShade="D9"/>
            <w:vAlign w:val="center"/>
          </w:tcPr>
          <w:p w14:paraId="2183BFD7">
            <w:pPr>
              <w:snapToGrid w:val="0"/>
              <w:spacing w:line="240" w:lineRule="auto"/>
              <w:jc w:val="center"/>
              <w:rPr>
                <w:bCs/>
                <w:color w:val="auto"/>
                <w:sz w:val="21"/>
                <w:szCs w:val="21"/>
              </w:rPr>
            </w:pPr>
            <w:r>
              <w:rPr>
                <w:bCs/>
                <w:color w:val="auto"/>
                <w:sz w:val="21"/>
                <w:szCs w:val="21"/>
              </w:rPr>
              <w:t>序号</w:t>
            </w:r>
          </w:p>
        </w:tc>
        <w:tc>
          <w:tcPr>
            <w:tcW w:w="1020" w:type="dxa"/>
            <w:shd w:val="clear" w:color="auto" w:fill="9FD3A4" w:themeFill="background1" w:themeFillShade="D9"/>
            <w:vAlign w:val="center"/>
          </w:tcPr>
          <w:p w14:paraId="56635D44">
            <w:pPr>
              <w:snapToGrid w:val="0"/>
              <w:spacing w:line="240" w:lineRule="auto"/>
              <w:jc w:val="center"/>
              <w:rPr>
                <w:bCs/>
                <w:color w:val="auto"/>
                <w:sz w:val="21"/>
                <w:szCs w:val="21"/>
              </w:rPr>
            </w:pPr>
            <w:r>
              <w:rPr>
                <w:bCs/>
                <w:color w:val="auto"/>
                <w:sz w:val="21"/>
                <w:szCs w:val="21"/>
              </w:rPr>
              <w:t>考核项</w:t>
            </w:r>
          </w:p>
        </w:tc>
        <w:tc>
          <w:tcPr>
            <w:tcW w:w="3543" w:type="dxa"/>
            <w:shd w:val="clear" w:color="auto" w:fill="9FD3A4" w:themeFill="background1" w:themeFillShade="D9"/>
            <w:vAlign w:val="center"/>
          </w:tcPr>
          <w:p w14:paraId="3CFDE274">
            <w:pPr>
              <w:snapToGrid w:val="0"/>
              <w:spacing w:line="240" w:lineRule="auto"/>
              <w:jc w:val="center"/>
              <w:rPr>
                <w:bCs/>
                <w:color w:val="auto"/>
                <w:sz w:val="21"/>
                <w:szCs w:val="21"/>
              </w:rPr>
            </w:pPr>
            <w:r>
              <w:rPr>
                <w:bCs/>
                <w:color w:val="auto"/>
                <w:sz w:val="21"/>
                <w:szCs w:val="21"/>
              </w:rPr>
              <w:t>考核标准与要求</w:t>
            </w:r>
          </w:p>
        </w:tc>
        <w:tc>
          <w:tcPr>
            <w:tcW w:w="567" w:type="dxa"/>
            <w:shd w:val="clear" w:color="auto" w:fill="9FD3A4" w:themeFill="background1" w:themeFillShade="D9"/>
            <w:vAlign w:val="center"/>
          </w:tcPr>
          <w:p w14:paraId="72E5536E">
            <w:pPr>
              <w:snapToGrid w:val="0"/>
              <w:spacing w:line="240" w:lineRule="auto"/>
              <w:jc w:val="center"/>
              <w:rPr>
                <w:bCs/>
                <w:color w:val="auto"/>
                <w:sz w:val="21"/>
                <w:szCs w:val="21"/>
              </w:rPr>
            </w:pPr>
            <w:r>
              <w:rPr>
                <w:rFonts w:hint="eastAsia"/>
                <w:bCs/>
                <w:color w:val="auto"/>
                <w:sz w:val="21"/>
                <w:szCs w:val="21"/>
              </w:rPr>
              <w:t>分值</w:t>
            </w:r>
          </w:p>
        </w:tc>
        <w:tc>
          <w:tcPr>
            <w:tcW w:w="709" w:type="dxa"/>
            <w:shd w:val="clear" w:color="auto" w:fill="9FD3A4" w:themeFill="background1" w:themeFillShade="D9"/>
            <w:vAlign w:val="center"/>
          </w:tcPr>
          <w:p w14:paraId="62BE9440">
            <w:pPr>
              <w:snapToGrid w:val="0"/>
              <w:spacing w:line="240" w:lineRule="auto"/>
              <w:jc w:val="center"/>
              <w:rPr>
                <w:bCs/>
                <w:color w:val="auto"/>
                <w:sz w:val="21"/>
                <w:szCs w:val="21"/>
              </w:rPr>
            </w:pPr>
            <w:r>
              <w:rPr>
                <w:bCs/>
                <w:color w:val="auto"/>
                <w:sz w:val="21"/>
                <w:szCs w:val="21"/>
              </w:rPr>
              <w:t>得分</w:t>
            </w:r>
          </w:p>
        </w:tc>
        <w:tc>
          <w:tcPr>
            <w:tcW w:w="3286" w:type="dxa"/>
            <w:shd w:val="clear" w:color="auto" w:fill="9FD3A4" w:themeFill="background1" w:themeFillShade="D9"/>
            <w:vAlign w:val="center"/>
          </w:tcPr>
          <w:p w14:paraId="444A4DAA">
            <w:pPr>
              <w:snapToGrid w:val="0"/>
              <w:spacing w:line="240" w:lineRule="auto"/>
              <w:jc w:val="center"/>
              <w:rPr>
                <w:bCs/>
                <w:color w:val="auto"/>
                <w:sz w:val="21"/>
                <w:szCs w:val="21"/>
              </w:rPr>
            </w:pPr>
            <w:r>
              <w:rPr>
                <w:rFonts w:hint="eastAsia"/>
                <w:bCs/>
                <w:color w:val="auto"/>
                <w:sz w:val="21"/>
                <w:szCs w:val="21"/>
              </w:rPr>
              <w:t>扣分规则</w:t>
            </w:r>
          </w:p>
        </w:tc>
      </w:tr>
      <w:tr w14:paraId="34D5F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660" w:type="dxa"/>
            <w:gridSpan w:val="6"/>
            <w:shd w:val="clear" w:color="auto" w:fill="9FD3A4" w:themeFill="background1" w:themeFillShade="D9"/>
            <w:vAlign w:val="center"/>
          </w:tcPr>
          <w:p w14:paraId="16AAE313">
            <w:pPr>
              <w:snapToGrid w:val="0"/>
              <w:spacing w:line="240" w:lineRule="auto"/>
              <w:rPr>
                <w:bCs/>
                <w:color w:val="auto"/>
              </w:rPr>
            </w:pPr>
            <w:r>
              <w:rPr>
                <w:bCs/>
                <w:color w:val="auto"/>
                <w:sz w:val="21"/>
              </w:rPr>
              <w:t>一、</w:t>
            </w:r>
            <w:r>
              <w:rPr>
                <w:rFonts w:hint="eastAsia"/>
                <w:bCs/>
                <w:color w:val="auto"/>
                <w:sz w:val="21"/>
              </w:rPr>
              <w:t xml:space="preserve"> 网络性能</w:t>
            </w:r>
            <w:r>
              <w:rPr>
                <w:bCs/>
                <w:color w:val="auto"/>
                <w:sz w:val="21"/>
              </w:rPr>
              <w:t>（</w:t>
            </w:r>
            <w:r>
              <w:rPr>
                <w:rFonts w:hint="eastAsia"/>
                <w:bCs/>
                <w:color w:val="auto"/>
                <w:sz w:val="21"/>
              </w:rPr>
              <w:t>30</w:t>
            </w:r>
            <w:r>
              <w:rPr>
                <w:bCs/>
                <w:color w:val="auto"/>
                <w:sz w:val="21"/>
              </w:rPr>
              <w:t>分）</w:t>
            </w:r>
          </w:p>
        </w:tc>
      </w:tr>
      <w:tr w14:paraId="4AF99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35" w:type="dxa"/>
            <w:vAlign w:val="center"/>
          </w:tcPr>
          <w:p w14:paraId="10BCB861">
            <w:pPr>
              <w:snapToGrid w:val="0"/>
              <w:spacing w:line="240" w:lineRule="auto"/>
              <w:jc w:val="center"/>
              <w:rPr>
                <w:color w:val="auto"/>
              </w:rPr>
            </w:pPr>
            <w:r>
              <w:rPr>
                <w:color w:val="auto"/>
                <w:sz w:val="19"/>
              </w:rPr>
              <w:t>1</w:t>
            </w:r>
          </w:p>
        </w:tc>
        <w:tc>
          <w:tcPr>
            <w:tcW w:w="1020" w:type="dxa"/>
            <w:vAlign w:val="center"/>
          </w:tcPr>
          <w:p w14:paraId="32FA2280">
            <w:pPr>
              <w:snapToGrid w:val="0"/>
              <w:spacing w:line="240" w:lineRule="auto"/>
              <w:rPr>
                <w:color w:val="auto"/>
                <w:sz w:val="19"/>
              </w:rPr>
            </w:pPr>
            <w:r>
              <w:rPr>
                <w:rFonts w:hint="eastAsia"/>
                <w:color w:val="auto"/>
                <w:sz w:val="19"/>
              </w:rPr>
              <w:t>波道可用率</w:t>
            </w:r>
          </w:p>
        </w:tc>
        <w:tc>
          <w:tcPr>
            <w:tcW w:w="3543" w:type="dxa"/>
            <w:vAlign w:val="center"/>
          </w:tcPr>
          <w:p w14:paraId="410A6A5B">
            <w:pPr>
              <w:snapToGrid w:val="0"/>
              <w:spacing w:line="240" w:lineRule="auto"/>
              <w:ind w:left="105" w:leftChars="50"/>
              <w:rPr>
                <w:color w:val="auto"/>
                <w:sz w:val="18"/>
              </w:rPr>
            </w:pPr>
            <w:r>
              <w:rPr>
                <w:rFonts w:hint="eastAsia"/>
                <w:color w:val="auto"/>
                <w:sz w:val="18"/>
              </w:rPr>
              <w:t>达标率≥99.5%满分；</w:t>
            </w:r>
          </w:p>
        </w:tc>
        <w:tc>
          <w:tcPr>
            <w:tcW w:w="567" w:type="dxa"/>
            <w:vAlign w:val="center"/>
          </w:tcPr>
          <w:p w14:paraId="479F0770">
            <w:pPr>
              <w:snapToGrid w:val="0"/>
              <w:spacing w:line="240" w:lineRule="auto"/>
              <w:jc w:val="center"/>
              <w:rPr>
                <w:color w:val="auto"/>
              </w:rPr>
            </w:pPr>
            <w:r>
              <w:rPr>
                <w:rFonts w:hint="eastAsia"/>
                <w:b/>
                <w:color w:val="auto"/>
                <w:sz w:val="19"/>
              </w:rPr>
              <w:t>10</w:t>
            </w:r>
          </w:p>
        </w:tc>
        <w:tc>
          <w:tcPr>
            <w:tcW w:w="709" w:type="dxa"/>
            <w:vAlign w:val="center"/>
          </w:tcPr>
          <w:p w14:paraId="3AED407C">
            <w:pPr>
              <w:snapToGrid w:val="0"/>
              <w:spacing w:line="240" w:lineRule="auto"/>
              <w:jc w:val="center"/>
              <w:rPr>
                <w:color w:val="auto"/>
              </w:rPr>
            </w:pPr>
          </w:p>
        </w:tc>
        <w:tc>
          <w:tcPr>
            <w:tcW w:w="3286" w:type="dxa"/>
            <w:vAlign w:val="center"/>
          </w:tcPr>
          <w:p w14:paraId="3ACFA4FF">
            <w:pPr>
              <w:snapToGrid w:val="0"/>
              <w:spacing w:line="240" w:lineRule="auto"/>
              <w:jc w:val="center"/>
              <w:rPr>
                <w:color w:val="auto"/>
              </w:rPr>
            </w:pPr>
            <w:r>
              <w:rPr>
                <w:rFonts w:hint="eastAsia"/>
                <w:color w:val="auto"/>
                <w:sz w:val="18"/>
              </w:rPr>
              <w:t>每降0.1%扣3分</w:t>
            </w:r>
          </w:p>
        </w:tc>
      </w:tr>
      <w:tr w14:paraId="603BD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35" w:type="dxa"/>
            <w:vAlign w:val="center"/>
          </w:tcPr>
          <w:p w14:paraId="6510DA89">
            <w:pPr>
              <w:snapToGrid w:val="0"/>
              <w:spacing w:line="240" w:lineRule="auto"/>
              <w:jc w:val="center"/>
              <w:rPr>
                <w:color w:val="auto"/>
              </w:rPr>
            </w:pPr>
            <w:r>
              <w:rPr>
                <w:color w:val="auto"/>
                <w:sz w:val="19"/>
              </w:rPr>
              <w:t>2</w:t>
            </w:r>
          </w:p>
        </w:tc>
        <w:tc>
          <w:tcPr>
            <w:tcW w:w="1020" w:type="dxa"/>
            <w:vAlign w:val="center"/>
          </w:tcPr>
          <w:p w14:paraId="529CA345">
            <w:pPr>
              <w:snapToGrid w:val="0"/>
              <w:spacing w:line="240" w:lineRule="auto"/>
              <w:rPr>
                <w:color w:val="auto"/>
                <w:sz w:val="19"/>
              </w:rPr>
            </w:pPr>
            <w:r>
              <w:rPr>
                <w:rFonts w:hint="eastAsia"/>
                <w:color w:val="auto"/>
                <w:sz w:val="19"/>
              </w:rPr>
              <w:t>业务可用率</w:t>
            </w:r>
          </w:p>
        </w:tc>
        <w:tc>
          <w:tcPr>
            <w:tcW w:w="3543" w:type="dxa"/>
            <w:vAlign w:val="center"/>
          </w:tcPr>
          <w:p w14:paraId="5E305E50">
            <w:pPr>
              <w:snapToGrid w:val="0"/>
              <w:spacing w:line="240" w:lineRule="auto"/>
              <w:ind w:left="105" w:leftChars="50"/>
              <w:rPr>
                <w:color w:val="auto"/>
                <w:sz w:val="18"/>
              </w:rPr>
            </w:pPr>
            <w:r>
              <w:rPr>
                <w:rFonts w:hint="eastAsia"/>
                <w:color w:val="auto"/>
                <w:sz w:val="18"/>
              </w:rPr>
              <w:t>达标率≥99.5%满分；</w:t>
            </w:r>
          </w:p>
        </w:tc>
        <w:tc>
          <w:tcPr>
            <w:tcW w:w="567" w:type="dxa"/>
            <w:vAlign w:val="center"/>
          </w:tcPr>
          <w:p w14:paraId="009F1183">
            <w:pPr>
              <w:snapToGrid w:val="0"/>
              <w:spacing w:line="240" w:lineRule="auto"/>
              <w:jc w:val="center"/>
              <w:rPr>
                <w:color w:val="auto"/>
              </w:rPr>
            </w:pPr>
            <w:r>
              <w:rPr>
                <w:rFonts w:hint="eastAsia"/>
                <w:b/>
                <w:color w:val="auto"/>
                <w:sz w:val="19"/>
              </w:rPr>
              <w:t>10</w:t>
            </w:r>
          </w:p>
        </w:tc>
        <w:tc>
          <w:tcPr>
            <w:tcW w:w="709" w:type="dxa"/>
            <w:vAlign w:val="center"/>
          </w:tcPr>
          <w:p w14:paraId="716F7806">
            <w:pPr>
              <w:snapToGrid w:val="0"/>
              <w:spacing w:line="240" w:lineRule="auto"/>
              <w:jc w:val="center"/>
              <w:rPr>
                <w:color w:val="auto"/>
              </w:rPr>
            </w:pPr>
          </w:p>
        </w:tc>
        <w:tc>
          <w:tcPr>
            <w:tcW w:w="3286" w:type="dxa"/>
            <w:vAlign w:val="center"/>
          </w:tcPr>
          <w:p w14:paraId="5C5C692D">
            <w:pPr>
              <w:snapToGrid w:val="0"/>
              <w:spacing w:line="240" w:lineRule="auto"/>
              <w:jc w:val="center"/>
              <w:rPr>
                <w:color w:val="auto"/>
              </w:rPr>
            </w:pPr>
            <w:r>
              <w:rPr>
                <w:rFonts w:hint="eastAsia"/>
                <w:color w:val="auto"/>
                <w:sz w:val="18"/>
              </w:rPr>
              <w:t>每降0.1%扣3分</w:t>
            </w:r>
          </w:p>
        </w:tc>
      </w:tr>
      <w:tr w14:paraId="1C47C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35" w:type="dxa"/>
            <w:vAlign w:val="center"/>
          </w:tcPr>
          <w:p w14:paraId="72C3BED8">
            <w:pPr>
              <w:snapToGrid w:val="0"/>
              <w:spacing w:line="240" w:lineRule="auto"/>
              <w:jc w:val="center"/>
              <w:rPr>
                <w:color w:val="auto"/>
              </w:rPr>
            </w:pPr>
            <w:r>
              <w:rPr>
                <w:color w:val="auto"/>
                <w:sz w:val="19"/>
              </w:rPr>
              <w:t>3</w:t>
            </w:r>
          </w:p>
        </w:tc>
        <w:tc>
          <w:tcPr>
            <w:tcW w:w="1020" w:type="dxa"/>
            <w:vAlign w:val="center"/>
          </w:tcPr>
          <w:p w14:paraId="5A7D4D4B">
            <w:pPr>
              <w:snapToGrid w:val="0"/>
              <w:spacing w:line="240" w:lineRule="auto"/>
              <w:rPr>
                <w:color w:val="auto"/>
                <w:sz w:val="19"/>
              </w:rPr>
            </w:pPr>
            <w:r>
              <w:rPr>
                <w:rFonts w:hint="eastAsia"/>
                <w:color w:val="auto"/>
                <w:sz w:val="19"/>
              </w:rPr>
              <w:t>网元在线率</w:t>
            </w:r>
          </w:p>
        </w:tc>
        <w:tc>
          <w:tcPr>
            <w:tcW w:w="3543" w:type="dxa"/>
            <w:vAlign w:val="center"/>
          </w:tcPr>
          <w:p w14:paraId="140B1495">
            <w:pPr>
              <w:snapToGrid w:val="0"/>
              <w:spacing w:line="240" w:lineRule="auto"/>
              <w:ind w:left="105" w:leftChars="50"/>
              <w:rPr>
                <w:color w:val="auto"/>
                <w:sz w:val="18"/>
              </w:rPr>
            </w:pPr>
            <w:r>
              <w:rPr>
                <w:rFonts w:hint="eastAsia"/>
                <w:color w:val="auto"/>
                <w:sz w:val="18"/>
              </w:rPr>
              <w:t>达标率≥99.0%满分；</w:t>
            </w:r>
          </w:p>
        </w:tc>
        <w:tc>
          <w:tcPr>
            <w:tcW w:w="567" w:type="dxa"/>
            <w:vAlign w:val="center"/>
          </w:tcPr>
          <w:p w14:paraId="082165E9">
            <w:pPr>
              <w:snapToGrid w:val="0"/>
              <w:spacing w:line="240" w:lineRule="auto"/>
              <w:jc w:val="center"/>
              <w:rPr>
                <w:color w:val="auto"/>
              </w:rPr>
            </w:pPr>
            <w:r>
              <w:rPr>
                <w:rFonts w:hint="eastAsia"/>
                <w:b/>
                <w:color w:val="auto"/>
                <w:sz w:val="19"/>
              </w:rPr>
              <w:t>10</w:t>
            </w:r>
          </w:p>
        </w:tc>
        <w:tc>
          <w:tcPr>
            <w:tcW w:w="709" w:type="dxa"/>
            <w:vAlign w:val="center"/>
          </w:tcPr>
          <w:p w14:paraId="044F3D97">
            <w:pPr>
              <w:snapToGrid w:val="0"/>
              <w:spacing w:line="240" w:lineRule="auto"/>
              <w:jc w:val="center"/>
              <w:rPr>
                <w:color w:val="auto"/>
              </w:rPr>
            </w:pPr>
          </w:p>
        </w:tc>
        <w:tc>
          <w:tcPr>
            <w:tcW w:w="3286" w:type="dxa"/>
            <w:vAlign w:val="center"/>
          </w:tcPr>
          <w:p w14:paraId="6EFA8831">
            <w:pPr>
              <w:snapToGrid w:val="0"/>
              <w:spacing w:line="240" w:lineRule="auto"/>
              <w:jc w:val="center"/>
              <w:rPr>
                <w:color w:val="auto"/>
              </w:rPr>
            </w:pPr>
            <w:r>
              <w:rPr>
                <w:rFonts w:hint="eastAsia"/>
                <w:color w:val="auto"/>
                <w:sz w:val="18"/>
              </w:rPr>
              <w:t>每降0.1%扣3分</w:t>
            </w:r>
          </w:p>
        </w:tc>
      </w:tr>
      <w:tr w14:paraId="5A476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09" w:hRule="atLeast"/>
          <w:jc w:val="center"/>
        </w:trPr>
        <w:tc>
          <w:tcPr>
            <w:tcW w:w="9660" w:type="dxa"/>
            <w:gridSpan w:val="6"/>
            <w:shd w:val="clear" w:color="auto" w:fill="9FD3A4" w:themeFill="background1" w:themeFillShade="D9"/>
            <w:vAlign w:val="center"/>
          </w:tcPr>
          <w:p w14:paraId="0855AFD6">
            <w:pPr>
              <w:snapToGrid w:val="0"/>
              <w:spacing w:line="240" w:lineRule="auto"/>
              <w:rPr>
                <w:bCs/>
                <w:color w:val="auto"/>
              </w:rPr>
            </w:pPr>
            <w:r>
              <w:rPr>
                <w:bCs/>
                <w:color w:val="auto"/>
                <w:sz w:val="21"/>
              </w:rPr>
              <w:t>二、</w:t>
            </w:r>
            <w:r>
              <w:rPr>
                <w:rFonts w:hint="eastAsia"/>
                <w:bCs/>
                <w:color w:val="auto"/>
                <w:sz w:val="21"/>
              </w:rPr>
              <w:t xml:space="preserve"> 故障处理</w:t>
            </w:r>
            <w:r>
              <w:rPr>
                <w:bCs/>
                <w:color w:val="auto"/>
                <w:sz w:val="21"/>
              </w:rPr>
              <w:t>（</w:t>
            </w:r>
            <w:r>
              <w:rPr>
                <w:rFonts w:hint="eastAsia"/>
                <w:bCs/>
                <w:color w:val="auto"/>
                <w:sz w:val="21"/>
              </w:rPr>
              <w:t>30</w:t>
            </w:r>
            <w:r>
              <w:rPr>
                <w:bCs/>
                <w:color w:val="auto"/>
                <w:sz w:val="21"/>
              </w:rPr>
              <w:t>分）</w:t>
            </w:r>
          </w:p>
        </w:tc>
      </w:tr>
      <w:tr w14:paraId="2042B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406" w:hRule="atLeast"/>
          <w:jc w:val="center"/>
        </w:trPr>
        <w:tc>
          <w:tcPr>
            <w:tcW w:w="535" w:type="dxa"/>
            <w:vAlign w:val="center"/>
          </w:tcPr>
          <w:p w14:paraId="7FC23A7C">
            <w:pPr>
              <w:snapToGrid w:val="0"/>
              <w:spacing w:line="240" w:lineRule="auto"/>
              <w:jc w:val="center"/>
              <w:rPr>
                <w:color w:val="auto"/>
              </w:rPr>
            </w:pPr>
            <w:r>
              <w:rPr>
                <w:color w:val="auto"/>
                <w:sz w:val="19"/>
              </w:rPr>
              <w:t>4</w:t>
            </w:r>
          </w:p>
        </w:tc>
        <w:tc>
          <w:tcPr>
            <w:tcW w:w="1020" w:type="dxa"/>
            <w:vAlign w:val="center"/>
          </w:tcPr>
          <w:p w14:paraId="594A9E55">
            <w:pPr>
              <w:snapToGrid w:val="0"/>
              <w:spacing w:line="240" w:lineRule="auto"/>
              <w:rPr>
                <w:color w:val="auto"/>
              </w:rPr>
            </w:pPr>
            <w:r>
              <w:rPr>
                <w:rFonts w:hint="eastAsia"/>
                <w:color w:val="auto"/>
                <w:sz w:val="19"/>
              </w:rPr>
              <w:t>告警、工单响应及时率</w:t>
            </w:r>
          </w:p>
        </w:tc>
        <w:tc>
          <w:tcPr>
            <w:tcW w:w="3543" w:type="dxa"/>
            <w:vAlign w:val="center"/>
          </w:tcPr>
          <w:p w14:paraId="1EA90350">
            <w:pPr>
              <w:snapToGrid w:val="0"/>
              <w:spacing w:line="240" w:lineRule="auto"/>
              <w:ind w:left="105" w:leftChars="50"/>
              <w:rPr>
                <w:color w:val="auto"/>
              </w:rPr>
            </w:pPr>
            <w:r>
              <w:rPr>
                <w:color w:val="auto"/>
                <w:sz w:val="18"/>
              </w:rPr>
              <w:t>7×24小时</w:t>
            </w:r>
            <w:r>
              <w:rPr>
                <w:rFonts w:hint="eastAsia"/>
                <w:color w:val="auto"/>
                <w:sz w:val="18"/>
              </w:rPr>
              <w:t>手机待机</w:t>
            </w:r>
            <w:r>
              <w:rPr>
                <w:color w:val="auto"/>
                <w:sz w:val="18"/>
              </w:rPr>
              <w:t>，工单</w:t>
            </w:r>
            <w:r>
              <w:rPr>
                <w:rFonts w:hint="eastAsia"/>
                <w:color w:val="auto"/>
                <w:sz w:val="18"/>
              </w:rPr>
              <w:t>、告警</w:t>
            </w:r>
            <w:r>
              <w:rPr>
                <w:color w:val="auto"/>
                <w:sz w:val="18"/>
              </w:rPr>
              <w:t>接收率100%；按</w:t>
            </w:r>
            <w:r>
              <w:rPr>
                <w:rFonts w:hint="eastAsia"/>
                <w:color w:val="auto"/>
                <w:sz w:val="18"/>
              </w:rPr>
              <w:t>告警</w:t>
            </w:r>
            <w:r>
              <w:rPr>
                <w:color w:val="auto"/>
                <w:sz w:val="18"/>
              </w:rPr>
              <w:t>工单等级响应：</w:t>
            </w:r>
            <w:r>
              <w:rPr>
                <w:rFonts w:hint="eastAsia"/>
                <w:color w:val="auto"/>
                <w:sz w:val="18"/>
              </w:rPr>
              <w:t>紧急</w:t>
            </w:r>
            <w:r>
              <w:rPr>
                <w:color w:val="auto"/>
                <w:sz w:val="18"/>
              </w:rPr>
              <w:t>≤</w:t>
            </w:r>
            <w:r>
              <w:rPr>
                <w:rFonts w:hint="eastAsia"/>
                <w:color w:val="auto"/>
                <w:sz w:val="18"/>
              </w:rPr>
              <w:t>5</w:t>
            </w:r>
            <w:r>
              <w:rPr>
                <w:color w:val="auto"/>
                <w:sz w:val="18"/>
              </w:rPr>
              <w:t>分钟、</w:t>
            </w:r>
            <w:r>
              <w:rPr>
                <w:rFonts w:hint="eastAsia"/>
                <w:color w:val="auto"/>
                <w:sz w:val="18"/>
              </w:rPr>
              <w:t>重要</w:t>
            </w:r>
            <w:r>
              <w:rPr>
                <w:color w:val="auto"/>
                <w:sz w:val="18"/>
              </w:rPr>
              <w:t>≤1</w:t>
            </w:r>
            <w:r>
              <w:rPr>
                <w:rFonts w:hint="eastAsia"/>
                <w:color w:val="auto"/>
                <w:sz w:val="18"/>
              </w:rPr>
              <w:t>0分钟</w:t>
            </w:r>
            <w:r>
              <w:rPr>
                <w:color w:val="auto"/>
                <w:sz w:val="18"/>
              </w:rPr>
              <w:t>、</w:t>
            </w:r>
            <w:r>
              <w:rPr>
                <w:rFonts w:hint="eastAsia"/>
                <w:color w:val="auto"/>
                <w:sz w:val="18"/>
              </w:rPr>
              <w:t>一般</w:t>
            </w:r>
            <w:r>
              <w:rPr>
                <w:color w:val="auto"/>
                <w:sz w:val="18"/>
              </w:rPr>
              <w:t>≤</w:t>
            </w:r>
            <w:r>
              <w:rPr>
                <w:rFonts w:hint="eastAsia"/>
                <w:color w:val="auto"/>
                <w:sz w:val="18"/>
              </w:rPr>
              <w:t>120分钟</w:t>
            </w:r>
            <w:r>
              <w:rPr>
                <w:color w:val="auto"/>
                <w:sz w:val="18"/>
              </w:rPr>
              <w:t>、</w:t>
            </w:r>
            <w:r>
              <w:rPr>
                <w:rFonts w:hint="eastAsia"/>
                <w:color w:val="auto"/>
                <w:sz w:val="18"/>
              </w:rPr>
              <w:t>提示</w:t>
            </w:r>
            <w:r>
              <w:rPr>
                <w:color w:val="auto"/>
                <w:sz w:val="18"/>
              </w:rPr>
              <w:t>≤</w:t>
            </w:r>
            <w:r>
              <w:rPr>
                <w:rFonts w:hint="eastAsia"/>
                <w:color w:val="auto"/>
                <w:sz w:val="18"/>
              </w:rPr>
              <w:t>360分钟</w:t>
            </w:r>
            <w:r>
              <w:rPr>
                <w:color w:val="auto"/>
                <w:sz w:val="18"/>
              </w:rPr>
              <w:t>；</w:t>
            </w:r>
            <w:r>
              <w:rPr>
                <w:color w:val="auto"/>
              </w:rPr>
              <w:t xml:space="preserve"> </w:t>
            </w:r>
          </w:p>
        </w:tc>
        <w:tc>
          <w:tcPr>
            <w:tcW w:w="567" w:type="dxa"/>
            <w:vAlign w:val="center"/>
          </w:tcPr>
          <w:p w14:paraId="54F0E522">
            <w:pPr>
              <w:snapToGrid w:val="0"/>
              <w:spacing w:line="240" w:lineRule="auto"/>
              <w:jc w:val="center"/>
              <w:rPr>
                <w:color w:val="auto"/>
              </w:rPr>
            </w:pPr>
            <w:r>
              <w:rPr>
                <w:rFonts w:hint="eastAsia"/>
                <w:b/>
                <w:color w:val="auto"/>
                <w:sz w:val="19"/>
              </w:rPr>
              <w:t>10</w:t>
            </w:r>
          </w:p>
        </w:tc>
        <w:tc>
          <w:tcPr>
            <w:tcW w:w="709" w:type="dxa"/>
            <w:vAlign w:val="center"/>
          </w:tcPr>
          <w:p w14:paraId="389337B9">
            <w:pPr>
              <w:snapToGrid w:val="0"/>
              <w:spacing w:line="240" w:lineRule="auto"/>
              <w:jc w:val="center"/>
              <w:rPr>
                <w:color w:val="auto"/>
              </w:rPr>
            </w:pPr>
          </w:p>
        </w:tc>
        <w:tc>
          <w:tcPr>
            <w:tcW w:w="3286" w:type="dxa"/>
            <w:vAlign w:val="center"/>
          </w:tcPr>
          <w:p w14:paraId="02CD7D0B">
            <w:pPr>
              <w:snapToGrid w:val="0"/>
              <w:spacing w:line="240" w:lineRule="auto"/>
              <w:rPr>
                <w:color w:val="auto"/>
              </w:rPr>
            </w:pPr>
            <w:r>
              <w:rPr>
                <w:rFonts w:hint="eastAsia"/>
                <w:color w:val="auto"/>
                <w:sz w:val="18"/>
              </w:rPr>
              <w:t>紧急的每超1单扣5分，漏1单扣10分，重要的每超1单扣3分，漏1单扣5分，其他每超1单扣1分。电话24小时每3次未接扣2分</w:t>
            </w:r>
          </w:p>
        </w:tc>
      </w:tr>
      <w:tr w14:paraId="2F99B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35" w:type="dxa"/>
            <w:vAlign w:val="center"/>
          </w:tcPr>
          <w:p w14:paraId="399C0B1E">
            <w:pPr>
              <w:snapToGrid w:val="0"/>
              <w:spacing w:line="240" w:lineRule="auto"/>
              <w:jc w:val="center"/>
              <w:rPr>
                <w:color w:val="auto"/>
              </w:rPr>
            </w:pPr>
            <w:r>
              <w:rPr>
                <w:color w:val="auto"/>
                <w:sz w:val="19"/>
              </w:rPr>
              <w:t>5</w:t>
            </w:r>
          </w:p>
        </w:tc>
        <w:tc>
          <w:tcPr>
            <w:tcW w:w="1020" w:type="dxa"/>
            <w:vAlign w:val="center"/>
          </w:tcPr>
          <w:p w14:paraId="32635AD0">
            <w:pPr>
              <w:snapToGrid w:val="0"/>
              <w:spacing w:line="240" w:lineRule="auto"/>
              <w:rPr>
                <w:color w:val="auto"/>
              </w:rPr>
            </w:pPr>
            <w:r>
              <w:rPr>
                <w:rFonts w:hint="eastAsia"/>
                <w:color w:val="auto"/>
                <w:sz w:val="19"/>
              </w:rPr>
              <w:t>告警、工单处理及时率</w:t>
            </w:r>
          </w:p>
        </w:tc>
        <w:tc>
          <w:tcPr>
            <w:tcW w:w="3543" w:type="dxa"/>
            <w:vAlign w:val="center"/>
          </w:tcPr>
          <w:p w14:paraId="289F9A08">
            <w:pPr>
              <w:snapToGrid w:val="0"/>
              <w:spacing w:line="240" w:lineRule="auto"/>
              <w:ind w:left="105" w:leftChars="50"/>
              <w:rPr>
                <w:color w:val="auto"/>
              </w:rPr>
            </w:pPr>
            <w:r>
              <w:rPr>
                <w:color w:val="auto"/>
                <w:sz w:val="18"/>
              </w:rPr>
              <w:t>7×24小时</w:t>
            </w:r>
            <w:r>
              <w:rPr>
                <w:rFonts w:hint="eastAsia"/>
                <w:color w:val="auto"/>
                <w:sz w:val="18"/>
              </w:rPr>
              <w:t>手机待机，</w:t>
            </w:r>
            <w:r>
              <w:rPr>
                <w:color w:val="auto"/>
                <w:sz w:val="18"/>
              </w:rPr>
              <w:t>工单</w:t>
            </w:r>
            <w:r>
              <w:rPr>
                <w:rFonts w:hint="eastAsia"/>
                <w:color w:val="auto"/>
                <w:sz w:val="18"/>
              </w:rPr>
              <w:t>、告警关闭率</w:t>
            </w:r>
            <w:r>
              <w:rPr>
                <w:color w:val="auto"/>
                <w:sz w:val="18"/>
              </w:rPr>
              <w:t>100%；按</w:t>
            </w:r>
            <w:r>
              <w:rPr>
                <w:rFonts w:hint="eastAsia"/>
                <w:color w:val="auto"/>
                <w:sz w:val="18"/>
              </w:rPr>
              <w:t>告警</w:t>
            </w:r>
            <w:r>
              <w:rPr>
                <w:color w:val="auto"/>
                <w:sz w:val="18"/>
              </w:rPr>
              <w:t>工单等级响应：</w:t>
            </w:r>
            <w:r>
              <w:rPr>
                <w:rFonts w:hint="eastAsia"/>
                <w:color w:val="auto"/>
                <w:sz w:val="18"/>
              </w:rPr>
              <w:t>紧急</w:t>
            </w:r>
            <w:r>
              <w:rPr>
                <w:color w:val="auto"/>
                <w:sz w:val="18"/>
              </w:rPr>
              <w:t>≤</w:t>
            </w:r>
            <w:r>
              <w:rPr>
                <w:rFonts w:hint="eastAsia"/>
                <w:color w:val="auto"/>
                <w:sz w:val="18"/>
              </w:rPr>
              <w:t>60</w:t>
            </w:r>
            <w:r>
              <w:rPr>
                <w:color w:val="auto"/>
                <w:sz w:val="18"/>
              </w:rPr>
              <w:t>分钟、</w:t>
            </w:r>
            <w:r>
              <w:rPr>
                <w:rFonts w:hint="eastAsia"/>
                <w:color w:val="auto"/>
                <w:sz w:val="18"/>
              </w:rPr>
              <w:t>重要</w:t>
            </w:r>
            <w:r>
              <w:rPr>
                <w:color w:val="auto"/>
                <w:sz w:val="18"/>
              </w:rPr>
              <w:t>≤1</w:t>
            </w:r>
            <w:r>
              <w:rPr>
                <w:rFonts w:hint="eastAsia"/>
                <w:color w:val="auto"/>
                <w:sz w:val="18"/>
              </w:rPr>
              <w:t>80分钟</w:t>
            </w:r>
            <w:r>
              <w:rPr>
                <w:color w:val="auto"/>
                <w:sz w:val="18"/>
              </w:rPr>
              <w:t>、</w:t>
            </w:r>
            <w:r>
              <w:rPr>
                <w:rFonts w:hint="eastAsia"/>
                <w:color w:val="auto"/>
                <w:sz w:val="18"/>
              </w:rPr>
              <w:t>一般</w:t>
            </w:r>
            <w:r>
              <w:rPr>
                <w:color w:val="auto"/>
                <w:sz w:val="18"/>
              </w:rPr>
              <w:t>≤</w:t>
            </w:r>
            <w:r>
              <w:rPr>
                <w:rFonts w:hint="eastAsia"/>
                <w:color w:val="auto"/>
                <w:sz w:val="18"/>
              </w:rPr>
              <w:t>360分钟</w:t>
            </w:r>
            <w:r>
              <w:rPr>
                <w:color w:val="auto"/>
                <w:sz w:val="18"/>
              </w:rPr>
              <w:t>、</w:t>
            </w:r>
            <w:r>
              <w:rPr>
                <w:rFonts w:hint="eastAsia"/>
                <w:color w:val="auto"/>
                <w:sz w:val="18"/>
              </w:rPr>
              <w:t>提示</w:t>
            </w:r>
            <w:r>
              <w:rPr>
                <w:color w:val="auto"/>
                <w:sz w:val="18"/>
              </w:rPr>
              <w:t>≤</w:t>
            </w:r>
            <w:r>
              <w:rPr>
                <w:rFonts w:hint="eastAsia"/>
                <w:color w:val="auto"/>
                <w:sz w:val="18"/>
              </w:rPr>
              <w:t>24小时</w:t>
            </w:r>
            <w:r>
              <w:rPr>
                <w:color w:val="auto"/>
                <w:sz w:val="18"/>
              </w:rPr>
              <w:t>；</w:t>
            </w:r>
            <w:r>
              <w:rPr>
                <w:color w:val="auto"/>
              </w:rPr>
              <w:t xml:space="preserve"> </w:t>
            </w:r>
          </w:p>
        </w:tc>
        <w:tc>
          <w:tcPr>
            <w:tcW w:w="567" w:type="dxa"/>
            <w:vAlign w:val="center"/>
          </w:tcPr>
          <w:p w14:paraId="0DE4EECA">
            <w:pPr>
              <w:snapToGrid w:val="0"/>
              <w:spacing w:line="240" w:lineRule="auto"/>
              <w:jc w:val="center"/>
              <w:rPr>
                <w:color w:val="auto"/>
              </w:rPr>
            </w:pPr>
            <w:r>
              <w:rPr>
                <w:rFonts w:hint="eastAsia"/>
                <w:b/>
                <w:color w:val="auto"/>
                <w:sz w:val="19"/>
              </w:rPr>
              <w:t>10</w:t>
            </w:r>
          </w:p>
        </w:tc>
        <w:tc>
          <w:tcPr>
            <w:tcW w:w="709" w:type="dxa"/>
            <w:vAlign w:val="center"/>
          </w:tcPr>
          <w:p w14:paraId="22A9729B">
            <w:pPr>
              <w:snapToGrid w:val="0"/>
              <w:spacing w:line="240" w:lineRule="auto"/>
              <w:jc w:val="center"/>
              <w:rPr>
                <w:color w:val="auto"/>
              </w:rPr>
            </w:pPr>
          </w:p>
        </w:tc>
        <w:tc>
          <w:tcPr>
            <w:tcW w:w="3286" w:type="dxa"/>
            <w:vAlign w:val="center"/>
          </w:tcPr>
          <w:p w14:paraId="599E7920">
            <w:pPr>
              <w:snapToGrid w:val="0"/>
              <w:spacing w:line="240" w:lineRule="auto"/>
              <w:rPr>
                <w:color w:val="auto"/>
              </w:rPr>
            </w:pPr>
            <w:r>
              <w:rPr>
                <w:rFonts w:hint="eastAsia"/>
                <w:color w:val="auto"/>
                <w:sz w:val="18"/>
              </w:rPr>
              <w:t>紧急的每超1单扣5分，重要的每超1单扣3分，其他每超1单扣1分。电话24小时每3次未接扣2分</w:t>
            </w:r>
          </w:p>
        </w:tc>
      </w:tr>
      <w:tr w14:paraId="1A0E0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35" w:type="dxa"/>
            <w:vAlign w:val="center"/>
          </w:tcPr>
          <w:p w14:paraId="3653F009">
            <w:pPr>
              <w:snapToGrid w:val="0"/>
              <w:spacing w:line="240" w:lineRule="auto"/>
              <w:jc w:val="center"/>
              <w:rPr>
                <w:color w:val="auto"/>
              </w:rPr>
            </w:pPr>
            <w:r>
              <w:rPr>
                <w:color w:val="auto"/>
                <w:sz w:val="19"/>
              </w:rPr>
              <w:t>6</w:t>
            </w:r>
          </w:p>
        </w:tc>
        <w:tc>
          <w:tcPr>
            <w:tcW w:w="1020" w:type="dxa"/>
            <w:vAlign w:val="center"/>
          </w:tcPr>
          <w:p w14:paraId="4D2C64C2">
            <w:pPr>
              <w:snapToGrid w:val="0"/>
              <w:spacing w:line="240" w:lineRule="auto"/>
              <w:rPr>
                <w:color w:val="auto"/>
              </w:rPr>
            </w:pPr>
            <w:r>
              <w:rPr>
                <w:color w:val="auto"/>
                <w:sz w:val="19"/>
              </w:rPr>
              <w:t>工单闭环与报告</w:t>
            </w:r>
          </w:p>
        </w:tc>
        <w:tc>
          <w:tcPr>
            <w:tcW w:w="3543" w:type="dxa"/>
            <w:vAlign w:val="center"/>
          </w:tcPr>
          <w:p w14:paraId="3B223800">
            <w:pPr>
              <w:snapToGrid w:val="0"/>
              <w:spacing w:line="240" w:lineRule="auto"/>
              <w:ind w:left="105" w:leftChars="50"/>
              <w:rPr>
                <w:color w:val="auto"/>
              </w:rPr>
            </w:pPr>
            <w:r>
              <w:rPr>
                <w:color w:val="auto"/>
                <w:sz w:val="18"/>
              </w:rPr>
              <w:t>故障处理后</w:t>
            </w:r>
            <w:r>
              <w:rPr>
                <w:rFonts w:hint="eastAsia"/>
                <w:color w:val="auto"/>
                <w:sz w:val="18"/>
              </w:rPr>
              <w:t>12</w:t>
            </w:r>
            <w:r>
              <w:rPr>
                <w:color w:val="auto"/>
                <w:sz w:val="18"/>
              </w:rPr>
              <w:t>小时内完成</w:t>
            </w:r>
            <w:r>
              <w:rPr>
                <w:rFonts w:hint="eastAsia"/>
                <w:color w:val="auto"/>
                <w:sz w:val="18"/>
              </w:rPr>
              <w:t>记录</w:t>
            </w:r>
            <w:r>
              <w:rPr>
                <w:color w:val="auto"/>
                <w:sz w:val="18"/>
              </w:rPr>
              <w:t>归档，工单抽检合格率≥99.5%；重大故障48小时内提交分析报告；报告内容完整、质量达标</w:t>
            </w:r>
            <w:r>
              <w:rPr>
                <w:rFonts w:hint="eastAsia"/>
                <w:color w:val="auto"/>
                <w:sz w:val="18"/>
              </w:rPr>
              <w:t>。</w:t>
            </w:r>
          </w:p>
        </w:tc>
        <w:tc>
          <w:tcPr>
            <w:tcW w:w="567" w:type="dxa"/>
            <w:vAlign w:val="center"/>
          </w:tcPr>
          <w:p w14:paraId="2ACB2374">
            <w:pPr>
              <w:snapToGrid w:val="0"/>
              <w:spacing w:line="240" w:lineRule="auto"/>
              <w:jc w:val="center"/>
              <w:rPr>
                <w:color w:val="auto"/>
              </w:rPr>
            </w:pPr>
            <w:r>
              <w:rPr>
                <w:rFonts w:hint="eastAsia"/>
                <w:b/>
                <w:color w:val="auto"/>
                <w:sz w:val="19"/>
              </w:rPr>
              <w:t>10</w:t>
            </w:r>
          </w:p>
        </w:tc>
        <w:tc>
          <w:tcPr>
            <w:tcW w:w="709" w:type="dxa"/>
            <w:vAlign w:val="center"/>
          </w:tcPr>
          <w:p w14:paraId="4E1BEF9B">
            <w:pPr>
              <w:snapToGrid w:val="0"/>
              <w:spacing w:line="240" w:lineRule="auto"/>
              <w:jc w:val="center"/>
              <w:rPr>
                <w:color w:val="auto"/>
              </w:rPr>
            </w:pPr>
          </w:p>
        </w:tc>
        <w:tc>
          <w:tcPr>
            <w:tcW w:w="3286" w:type="dxa"/>
            <w:vAlign w:val="center"/>
          </w:tcPr>
          <w:p w14:paraId="20C3FEAD">
            <w:pPr>
              <w:snapToGrid w:val="0"/>
              <w:spacing w:line="240" w:lineRule="auto"/>
              <w:rPr>
                <w:color w:val="auto"/>
                <w:sz w:val="18"/>
                <w:szCs w:val="18"/>
              </w:rPr>
            </w:pPr>
            <w:r>
              <w:rPr>
                <w:rFonts w:hint="eastAsia"/>
                <w:color w:val="auto"/>
                <w:sz w:val="18"/>
                <w:szCs w:val="18"/>
              </w:rPr>
              <w:t>无故障归档记录的每单扣1分，重大故障报告未提交或内容质量不符合要求的</w:t>
            </w:r>
            <w:r>
              <w:rPr>
                <w:color w:val="auto"/>
                <w:sz w:val="18"/>
                <w:szCs w:val="18"/>
              </w:rPr>
              <w:t>（未按报告模板）</w:t>
            </w:r>
            <w:r>
              <w:rPr>
                <w:rFonts w:hint="eastAsia"/>
                <w:color w:val="auto"/>
                <w:sz w:val="18"/>
                <w:szCs w:val="18"/>
              </w:rPr>
              <w:t>扣2分</w:t>
            </w:r>
          </w:p>
        </w:tc>
      </w:tr>
      <w:tr w14:paraId="5E82C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660" w:type="dxa"/>
            <w:gridSpan w:val="6"/>
            <w:shd w:val="clear" w:color="auto" w:fill="9FD3A4" w:themeFill="background1" w:themeFillShade="D9"/>
            <w:vAlign w:val="center"/>
          </w:tcPr>
          <w:p w14:paraId="2703F961">
            <w:pPr>
              <w:snapToGrid w:val="0"/>
              <w:spacing w:line="240" w:lineRule="auto"/>
              <w:rPr>
                <w:bCs/>
                <w:color w:val="auto"/>
              </w:rPr>
            </w:pPr>
            <w:r>
              <w:rPr>
                <w:bCs/>
                <w:color w:val="auto"/>
                <w:sz w:val="21"/>
              </w:rPr>
              <w:t>三、维护作业计划（30分）</w:t>
            </w:r>
          </w:p>
        </w:tc>
      </w:tr>
      <w:tr w14:paraId="3EF15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35" w:type="dxa"/>
            <w:vAlign w:val="center"/>
          </w:tcPr>
          <w:p w14:paraId="5B4C7896">
            <w:pPr>
              <w:snapToGrid w:val="0"/>
              <w:spacing w:line="240" w:lineRule="auto"/>
              <w:jc w:val="center"/>
              <w:rPr>
                <w:color w:val="auto"/>
              </w:rPr>
            </w:pPr>
            <w:r>
              <w:rPr>
                <w:color w:val="auto"/>
                <w:sz w:val="19"/>
              </w:rPr>
              <w:t>7</w:t>
            </w:r>
          </w:p>
        </w:tc>
        <w:tc>
          <w:tcPr>
            <w:tcW w:w="1020" w:type="dxa"/>
            <w:vAlign w:val="center"/>
          </w:tcPr>
          <w:p w14:paraId="1FBAEBCF">
            <w:pPr>
              <w:snapToGrid w:val="0"/>
              <w:spacing w:line="240" w:lineRule="auto"/>
              <w:rPr>
                <w:color w:val="auto"/>
              </w:rPr>
            </w:pPr>
            <w:r>
              <w:rPr>
                <w:rFonts w:hint="eastAsia"/>
                <w:color w:val="auto"/>
                <w:sz w:val="19"/>
              </w:rPr>
              <w:t>主动巡检完成率</w:t>
            </w:r>
          </w:p>
        </w:tc>
        <w:tc>
          <w:tcPr>
            <w:tcW w:w="3543" w:type="dxa"/>
            <w:vAlign w:val="center"/>
          </w:tcPr>
          <w:p w14:paraId="60F52B74">
            <w:pPr>
              <w:snapToGrid w:val="0"/>
              <w:spacing w:line="240" w:lineRule="auto"/>
              <w:ind w:left="105" w:leftChars="50"/>
              <w:rPr>
                <w:color w:val="auto"/>
              </w:rPr>
            </w:pPr>
            <w:r>
              <w:rPr>
                <w:rFonts w:hint="eastAsia"/>
                <w:color w:val="auto"/>
                <w:sz w:val="18"/>
              </w:rPr>
              <w:t>按计划通过网管完成设备巡检的比例，包含设备状态巡检、光层性能巡检、网管与业务巡检，</w:t>
            </w:r>
            <w:r>
              <w:rPr>
                <w:color w:val="auto"/>
                <w:sz w:val="18"/>
              </w:rPr>
              <w:t>巡检记录完整率100%</w:t>
            </w:r>
            <w:r>
              <w:rPr>
                <w:rFonts w:hint="eastAsia"/>
                <w:color w:val="auto"/>
                <w:sz w:val="18"/>
              </w:rPr>
              <w:t>。</w:t>
            </w:r>
          </w:p>
        </w:tc>
        <w:tc>
          <w:tcPr>
            <w:tcW w:w="567" w:type="dxa"/>
            <w:vAlign w:val="center"/>
          </w:tcPr>
          <w:p w14:paraId="3890F761">
            <w:pPr>
              <w:snapToGrid w:val="0"/>
              <w:spacing w:line="240" w:lineRule="auto"/>
              <w:jc w:val="center"/>
              <w:rPr>
                <w:color w:val="auto"/>
              </w:rPr>
            </w:pPr>
            <w:r>
              <w:rPr>
                <w:rFonts w:hint="eastAsia"/>
                <w:b/>
                <w:color w:val="auto"/>
                <w:sz w:val="19"/>
              </w:rPr>
              <w:t>15</w:t>
            </w:r>
          </w:p>
        </w:tc>
        <w:tc>
          <w:tcPr>
            <w:tcW w:w="709" w:type="dxa"/>
            <w:vAlign w:val="center"/>
          </w:tcPr>
          <w:p w14:paraId="2C6F0FD8">
            <w:pPr>
              <w:snapToGrid w:val="0"/>
              <w:spacing w:line="240" w:lineRule="auto"/>
              <w:jc w:val="center"/>
              <w:rPr>
                <w:color w:val="auto"/>
              </w:rPr>
            </w:pPr>
          </w:p>
        </w:tc>
        <w:tc>
          <w:tcPr>
            <w:tcW w:w="3286" w:type="dxa"/>
            <w:vAlign w:val="center"/>
          </w:tcPr>
          <w:p w14:paraId="3BBF8F83">
            <w:pPr>
              <w:snapToGrid w:val="0"/>
              <w:spacing w:line="240" w:lineRule="auto"/>
              <w:rPr>
                <w:color w:val="auto"/>
                <w:sz w:val="18"/>
                <w:szCs w:val="18"/>
              </w:rPr>
            </w:pPr>
            <w:r>
              <w:rPr>
                <w:color w:val="auto"/>
                <w:sz w:val="18"/>
                <w:szCs w:val="18"/>
              </w:rPr>
              <w:t>根据巡检记录真实性（定期抽查巡检报告的数据与故障告警对比），按照分值*已完成的巡检报告数量/月度规定的巡检报告数量计分</w:t>
            </w:r>
          </w:p>
        </w:tc>
      </w:tr>
      <w:tr w14:paraId="22FA0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35" w:type="dxa"/>
            <w:vAlign w:val="center"/>
          </w:tcPr>
          <w:p w14:paraId="4BB0EB77">
            <w:pPr>
              <w:snapToGrid w:val="0"/>
              <w:spacing w:line="240" w:lineRule="auto"/>
              <w:jc w:val="center"/>
              <w:rPr>
                <w:color w:val="auto"/>
                <w:highlight w:val="none"/>
              </w:rPr>
            </w:pPr>
            <w:r>
              <w:rPr>
                <w:color w:val="auto"/>
                <w:sz w:val="19"/>
                <w:highlight w:val="none"/>
              </w:rPr>
              <w:t>8</w:t>
            </w:r>
          </w:p>
        </w:tc>
        <w:tc>
          <w:tcPr>
            <w:tcW w:w="1020" w:type="dxa"/>
            <w:vAlign w:val="center"/>
          </w:tcPr>
          <w:p w14:paraId="5D4610EA">
            <w:pPr>
              <w:snapToGrid w:val="0"/>
              <w:spacing w:line="240" w:lineRule="auto"/>
              <w:rPr>
                <w:color w:val="auto"/>
                <w:sz w:val="19"/>
                <w:highlight w:val="none"/>
              </w:rPr>
            </w:pPr>
            <w:r>
              <w:rPr>
                <w:rFonts w:hint="eastAsia"/>
                <w:color w:val="auto"/>
                <w:sz w:val="19"/>
                <w:highlight w:val="none"/>
              </w:rPr>
              <w:t>周期性作业计划</w:t>
            </w:r>
          </w:p>
          <w:p w14:paraId="6403D54B">
            <w:pPr>
              <w:snapToGrid w:val="0"/>
              <w:spacing w:line="240" w:lineRule="auto"/>
              <w:rPr>
                <w:color w:val="auto"/>
                <w:highlight w:val="none"/>
              </w:rPr>
            </w:pPr>
          </w:p>
        </w:tc>
        <w:tc>
          <w:tcPr>
            <w:tcW w:w="3543" w:type="dxa"/>
            <w:vAlign w:val="center"/>
          </w:tcPr>
          <w:p w14:paraId="021A9ADB">
            <w:pPr>
              <w:snapToGrid w:val="0"/>
              <w:spacing w:line="240" w:lineRule="auto"/>
              <w:ind w:left="105" w:leftChars="50"/>
              <w:rPr>
                <w:color w:val="auto"/>
                <w:highlight w:val="none"/>
              </w:rPr>
            </w:pPr>
            <w:r>
              <w:rPr>
                <w:rFonts w:hint="eastAsia"/>
                <w:color w:val="auto"/>
                <w:sz w:val="18"/>
                <w:highlight w:val="none"/>
              </w:rPr>
              <w:t>备品备件清点，性能数据趋势分析，保护倒换全面测试，维护作业计划执行情况回顾，全网性能和资源利用率评估，设备健康检查，运维资料更新，应急预案演练。</w:t>
            </w:r>
          </w:p>
        </w:tc>
        <w:tc>
          <w:tcPr>
            <w:tcW w:w="567" w:type="dxa"/>
            <w:vAlign w:val="center"/>
          </w:tcPr>
          <w:p w14:paraId="51B379A8">
            <w:pPr>
              <w:snapToGrid w:val="0"/>
              <w:spacing w:line="240" w:lineRule="auto"/>
              <w:jc w:val="center"/>
              <w:rPr>
                <w:color w:val="auto"/>
                <w:highlight w:val="none"/>
              </w:rPr>
            </w:pPr>
            <w:r>
              <w:rPr>
                <w:rFonts w:hint="eastAsia"/>
                <w:b/>
                <w:color w:val="auto"/>
                <w:sz w:val="19"/>
                <w:highlight w:val="none"/>
              </w:rPr>
              <w:t>15</w:t>
            </w:r>
          </w:p>
        </w:tc>
        <w:tc>
          <w:tcPr>
            <w:tcW w:w="709" w:type="dxa"/>
            <w:vAlign w:val="center"/>
          </w:tcPr>
          <w:p w14:paraId="6D4F016A">
            <w:pPr>
              <w:snapToGrid w:val="0"/>
              <w:spacing w:line="240" w:lineRule="auto"/>
              <w:jc w:val="center"/>
              <w:rPr>
                <w:color w:val="auto"/>
                <w:highlight w:val="none"/>
              </w:rPr>
            </w:pPr>
          </w:p>
        </w:tc>
        <w:tc>
          <w:tcPr>
            <w:tcW w:w="3286" w:type="dxa"/>
            <w:vAlign w:val="center"/>
          </w:tcPr>
          <w:p w14:paraId="0AF6391F">
            <w:pPr>
              <w:snapToGrid w:val="0"/>
              <w:spacing w:line="240" w:lineRule="auto"/>
              <w:rPr>
                <w:color w:val="auto"/>
                <w:sz w:val="18"/>
                <w:szCs w:val="18"/>
                <w:highlight w:val="none"/>
              </w:rPr>
            </w:pPr>
            <w:r>
              <w:rPr>
                <w:color w:val="auto"/>
                <w:sz w:val="18"/>
                <w:szCs w:val="18"/>
                <w:highlight w:val="none"/>
              </w:rPr>
              <w:t>根据任务执行计划，按照周期性作业计划（周期性作业计划表）的完成率*分值</w:t>
            </w:r>
          </w:p>
        </w:tc>
      </w:tr>
      <w:tr w14:paraId="45CF8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9660" w:type="dxa"/>
            <w:gridSpan w:val="6"/>
            <w:shd w:val="clear" w:color="auto" w:fill="9FD3A4" w:themeFill="background1" w:themeFillShade="D9"/>
            <w:vAlign w:val="center"/>
          </w:tcPr>
          <w:p w14:paraId="6CCE6A43">
            <w:pPr>
              <w:snapToGrid w:val="0"/>
              <w:spacing w:line="240" w:lineRule="auto"/>
              <w:rPr>
                <w:bCs/>
                <w:color w:val="auto"/>
                <w:highlight w:val="none"/>
              </w:rPr>
            </w:pPr>
            <w:r>
              <w:rPr>
                <w:bCs/>
                <w:color w:val="auto"/>
                <w:sz w:val="21"/>
                <w:highlight w:val="none"/>
              </w:rPr>
              <w:t>四、</w:t>
            </w:r>
            <w:r>
              <w:rPr>
                <w:rFonts w:hint="eastAsia"/>
                <w:bCs/>
                <w:color w:val="auto"/>
                <w:sz w:val="21"/>
                <w:highlight w:val="none"/>
              </w:rPr>
              <w:t xml:space="preserve"> 服务质量指标</w:t>
            </w:r>
            <w:r>
              <w:rPr>
                <w:bCs/>
                <w:color w:val="auto"/>
                <w:sz w:val="21"/>
                <w:highlight w:val="none"/>
              </w:rPr>
              <w:t>（</w:t>
            </w:r>
            <w:r>
              <w:rPr>
                <w:rFonts w:hint="eastAsia"/>
                <w:bCs/>
                <w:color w:val="auto"/>
                <w:sz w:val="21"/>
                <w:highlight w:val="none"/>
              </w:rPr>
              <w:t>1</w:t>
            </w:r>
            <w:r>
              <w:rPr>
                <w:bCs/>
                <w:color w:val="auto"/>
                <w:sz w:val="21"/>
                <w:highlight w:val="none"/>
              </w:rPr>
              <w:t>0分）</w:t>
            </w:r>
          </w:p>
        </w:tc>
      </w:tr>
      <w:tr w14:paraId="15922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35" w:type="dxa"/>
            <w:vAlign w:val="center"/>
          </w:tcPr>
          <w:p w14:paraId="44C2D417">
            <w:pPr>
              <w:snapToGrid w:val="0"/>
              <w:spacing w:line="240" w:lineRule="auto"/>
              <w:jc w:val="center"/>
              <w:rPr>
                <w:color w:val="auto"/>
                <w:highlight w:val="none"/>
              </w:rPr>
            </w:pPr>
            <w:r>
              <w:rPr>
                <w:rFonts w:hint="eastAsia"/>
                <w:color w:val="auto"/>
                <w:sz w:val="19"/>
                <w:highlight w:val="none"/>
              </w:rPr>
              <w:t>9</w:t>
            </w:r>
          </w:p>
        </w:tc>
        <w:tc>
          <w:tcPr>
            <w:tcW w:w="1020" w:type="dxa"/>
            <w:vAlign w:val="center"/>
          </w:tcPr>
          <w:p w14:paraId="014F4FF9">
            <w:pPr>
              <w:snapToGrid w:val="0"/>
              <w:spacing w:line="240" w:lineRule="auto"/>
              <w:rPr>
                <w:color w:val="auto"/>
                <w:highlight w:val="none"/>
              </w:rPr>
            </w:pPr>
            <w:r>
              <w:rPr>
                <w:rFonts w:hint="eastAsia"/>
                <w:color w:val="auto"/>
                <w:sz w:val="19"/>
                <w:highlight w:val="none"/>
              </w:rPr>
              <w:t>用户满意度</w:t>
            </w:r>
          </w:p>
        </w:tc>
        <w:tc>
          <w:tcPr>
            <w:tcW w:w="3543" w:type="dxa"/>
            <w:vAlign w:val="center"/>
          </w:tcPr>
          <w:p w14:paraId="5ABBC039">
            <w:pPr>
              <w:snapToGrid w:val="0"/>
              <w:spacing w:line="240" w:lineRule="auto"/>
              <w:ind w:left="105" w:leftChars="50"/>
              <w:rPr>
                <w:color w:val="auto"/>
                <w:highlight w:val="none"/>
              </w:rPr>
            </w:pPr>
            <w:r>
              <w:rPr>
                <w:rFonts w:hint="eastAsia"/>
                <w:color w:val="auto"/>
                <w:sz w:val="18"/>
                <w:highlight w:val="none"/>
              </w:rPr>
              <w:t>内部/外部用户对运维服务的评价</w:t>
            </w:r>
          </w:p>
        </w:tc>
        <w:tc>
          <w:tcPr>
            <w:tcW w:w="567" w:type="dxa"/>
            <w:vAlign w:val="center"/>
          </w:tcPr>
          <w:p w14:paraId="6FCA3075">
            <w:pPr>
              <w:snapToGrid w:val="0"/>
              <w:spacing w:line="240" w:lineRule="auto"/>
              <w:jc w:val="center"/>
              <w:rPr>
                <w:color w:val="auto"/>
                <w:highlight w:val="none"/>
              </w:rPr>
            </w:pPr>
            <w:r>
              <w:rPr>
                <w:rFonts w:hint="eastAsia"/>
                <w:b/>
                <w:color w:val="auto"/>
                <w:sz w:val="19"/>
                <w:highlight w:val="none"/>
              </w:rPr>
              <w:t>5</w:t>
            </w:r>
          </w:p>
        </w:tc>
        <w:tc>
          <w:tcPr>
            <w:tcW w:w="709" w:type="dxa"/>
            <w:vAlign w:val="center"/>
          </w:tcPr>
          <w:p w14:paraId="3AB1F76F">
            <w:pPr>
              <w:snapToGrid w:val="0"/>
              <w:spacing w:line="240" w:lineRule="auto"/>
              <w:jc w:val="center"/>
              <w:rPr>
                <w:color w:val="auto"/>
                <w:highlight w:val="none"/>
              </w:rPr>
            </w:pPr>
          </w:p>
        </w:tc>
        <w:tc>
          <w:tcPr>
            <w:tcW w:w="3286" w:type="dxa"/>
            <w:vAlign w:val="center"/>
          </w:tcPr>
          <w:p w14:paraId="586E2BC6">
            <w:pPr>
              <w:snapToGrid w:val="0"/>
              <w:spacing w:line="240" w:lineRule="auto"/>
              <w:rPr>
                <w:color w:val="auto"/>
                <w:highlight w:val="none"/>
              </w:rPr>
            </w:pPr>
            <w:r>
              <w:rPr>
                <w:rFonts w:hint="eastAsia"/>
                <w:color w:val="auto"/>
                <w:sz w:val="18"/>
                <w:highlight w:val="none"/>
              </w:rPr>
              <w:t>反馈正式盖公章表扬函件+3分，不满意扣5分</w:t>
            </w:r>
          </w:p>
        </w:tc>
      </w:tr>
      <w:tr w14:paraId="56587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jc w:val="center"/>
        </w:trPr>
        <w:tc>
          <w:tcPr>
            <w:tcW w:w="535" w:type="dxa"/>
            <w:vAlign w:val="center"/>
          </w:tcPr>
          <w:p w14:paraId="239EFF79">
            <w:pPr>
              <w:snapToGrid w:val="0"/>
              <w:spacing w:line="240" w:lineRule="auto"/>
              <w:jc w:val="center"/>
              <w:rPr>
                <w:color w:val="auto"/>
                <w:highlight w:val="none"/>
              </w:rPr>
            </w:pPr>
            <w:r>
              <w:rPr>
                <w:rFonts w:hint="eastAsia"/>
                <w:color w:val="auto"/>
                <w:sz w:val="19"/>
                <w:highlight w:val="none"/>
              </w:rPr>
              <w:t>10</w:t>
            </w:r>
          </w:p>
        </w:tc>
        <w:tc>
          <w:tcPr>
            <w:tcW w:w="1020" w:type="dxa"/>
            <w:vAlign w:val="center"/>
          </w:tcPr>
          <w:p w14:paraId="25BB809A">
            <w:pPr>
              <w:snapToGrid w:val="0"/>
              <w:spacing w:line="240" w:lineRule="auto"/>
              <w:rPr>
                <w:color w:val="auto"/>
                <w:highlight w:val="none"/>
              </w:rPr>
            </w:pPr>
            <w:r>
              <w:rPr>
                <w:rFonts w:hint="eastAsia"/>
                <w:color w:val="auto"/>
                <w:sz w:val="19"/>
                <w:highlight w:val="none"/>
              </w:rPr>
              <w:t>投诉处理</w:t>
            </w:r>
          </w:p>
        </w:tc>
        <w:tc>
          <w:tcPr>
            <w:tcW w:w="3543" w:type="dxa"/>
            <w:vAlign w:val="center"/>
          </w:tcPr>
          <w:p w14:paraId="25415DE7">
            <w:pPr>
              <w:snapToGrid w:val="0"/>
              <w:spacing w:line="240" w:lineRule="auto"/>
              <w:ind w:left="105" w:leftChars="50"/>
              <w:rPr>
                <w:color w:val="auto"/>
                <w:highlight w:val="none"/>
              </w:rPr>
            </w:pPr>
            <w:r>
              <w:rPr>
                <w:rFonts w:hint="eastAsia"/>
                <w:color w:val="auto"/>
                <w:sz w:val="18"/>
                <w:highlight w:val="none"/>
              </w:rPr>
              <w:t>被客户或其他部门</w:t>
            </w:r>
            <w:r>
              <w:rPr>
                <w:color w:val="auto"/>
                <w:sz w:val="18"/>
                <w:highlight w:val="none"/>
              </w:rPr>
              <w:t>书面投诉，经核实，责任在维护技术服务团队</w:t>
            </w:r>
          </w:p>
        </w:tc>
        <w:tc>
          <w:tcPr>
            <w:tcW w:w="567" w:type="dxa"/>
            <w:vAlign w:val="center"/>
          </w:tcPr>
          <w:p w14:paraId="57BC251B">
            <w:pPr>
              <w:snapToGrid w:val="0"/>
              <w:spacing w:line="240" w:lineRule="auto"/>
              <w:jc w:val="center"/>
              <w:rPr>
                <w:color w:val="auto"/>
                <w:highlight w:val="none"/>
              </w:rPr>
            </w:pPr>
            <w:r>
              <w:rPr>
                <w:rFonts w:hint="eastAsia"/>
                <w:b/>
                <w:color w:val="auto"/>
                <w:sz w:val="19"/>
                <w:highlight w:val="none"/>
              </w:rPr>
              <w:t>5</w:t>
            </w:r>
          </w:p>
        </w:tc>
        <w:tc>
          <w:tcPr>
            <w:tcW w:w="709" w:type="dxa"/>
            <w:vAlign w:val="center"/>
          </w:tcPr>
          <w:p w14:paraId="67E873DE">
            <w:pPr>
              <w:snapToGrid w:val="0"/>
              <w:spacing w:line="240" w:lineRule="auto"/>
              <w:jc w:val="center"/>
              <w:rPr>
                <w:color w:val="auto"/>
                <w:highlight w:val="none"/>
              </w:rPr>
            </w:pPr>
          </w:p>
        </w:tc>
        <w:tc>
          <w:tcPr>
            <w:tcW w:w="3286" w:type="dxa"/>
            <w:vAlign w:val="center"/>
          </w:tcPr>
          <w:p w14:paraId="5BB1FD8A">
            <w:pPr>
              <w:snapToGrid w:val="0"/>
              <w:spacing w:line="240" w:lineRule="auto"/>
              <w:rPr>
                <w:color w:val="auto"/>
                <w:highlight w:val="none"/>
              </w:rPr>
            </w:pPr>
            <w:r>
              <w:rPr>
                <w:rFonts w:hint="eastAsia"/>
                <w:color w:val="auto"/>
                <w:sz w:val="18"/>
                <w:highlight w:val="none"/>
              </w:rPr>
              <w:t>投诉一次扣5分</w:t>
            </w:r>
          </w:p>
        </w:tc>
      </w:tr>
    </w:tbl>
    <w:p w14:paraId="3043EF88">
      <w:pPr>
        <w:spacing w:line="240" w:lineRule="auto"/>
        <w:rPr>
          <w:bCs/>
          <w:color w:val="auto"/>
          <w:sz w:val="22"/>
          <w:highlight w:val="none"/>
        </w:rPr>
      </w:pPr>
    </w:p>
    <w:p w14:paraId="7432DE9D">
      <w:pPr>
        <w:spacing w:line="240" w:lineRule="auto"/>
        <w:rPr>
          <w:bCs/>
          <w:color w:val="auto"/>
          <w:sz w:val="18"/>
          <w:szCs w:val="18"/>
          <w:highlight w:val="none"/>
        </w:rPr>
      </w:pPr>
      <w:r>
        <w:rPr>
          <w:rFonts w:hint="eastAsia"/>
          <w:bCs/>
          <w:color w:val="auto"/>
          <w:sz w:val="18"/>
          <w:szCs w:val="18"/>
          <w:highlight w:val="none"/>
        </w:rPr>
        <w:t>注：网络性能指标，排除外部因素导致的不可用和不在线情况。工单处理时限等排除外部因素导致的超时</w:t>
      </w:r>
    </w:p>
    <w:p w14:paraId="68A2313F">
      <w:pPr>
        <w:spacing w:line="240" w:lineRule="auto"/>
        <w:rPr>
          <w:rFonts w:hint="eastAsia"/>
          <w:bCs/>
          <w:color w:val="auto"/>
          <w:sz w:val="18"/>
          <w:szCs w:val="18"/>
          <w:highlight w:val="none"/>
        </w:rPr>
      </w:pPr>
    </w:p>
    <w:p w14:paraId="146F9E99">
      <w:pPr>
        <w:spacing w:line="240" w:lineRule="auto"/>
        <w:rPr>
          <w:bCs/>
          <w:color w:val="auto"/>
          <w:sz w:val="18"/>
          <w:szCs w:val="18"/>
          <w:highlight w:val="none"/>
        </w:rPr>
      </w:pPr>
      <w:r>
        <w:rPr>
          <w:bCs/>
          <w:color w:val="auto"/>
          <w:sz w:val="30"/>
          <w:szCs w:val="30"/>
          <w:highlight w:val="none"/>
        </w:rPr>
        <w:br w:type="page"/>
      </w:r>
    </w:p>
    <w:p w14:paraId="60454D63">
      <w:pPr>
        <w:spacing w:before="120" w:after="80"/>
        <w:jc w:val="center"/>
        <w:rPr>
          <w:bCs/>
          <w:color w:val="auto"/>
          <w:sz w:val="30"/>
          <w:szCs w:val="30"/>
        </w:rPr>
      </w:pPr>
      <w:r>
        <w:rPr>
          <w:rFonts w:hint="eastAsia"/>
          <w:bCs/>
          <w:color w:val="auto"/>
          <w:sz w:val="30"/>
          <w:szCs w:val="30"/>
        </w:rPr>
        <w:t>四、数通技术服务季度</w:t>
      </w:r>
      <w:r>
        <w:rPr>
          <w:bCs/>
          <w:color w:val="auto"/>
          <w:sz w:val="30"/>
          <w:szCs w:val="30"/>
        </w:rPr>
        <w:t>考核打分表</w:t>
      </w:r>
    </w:p>
    <w:tbl>
      <w:tblPr>
        <w:tblStyle w:val="7"/>
        <w:tblW w:w="10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851"/>
        <w:gridCol w:w="3260"/>
        <w:gridCol w:w="709"/>
        <w:gridCol w:w="708"/>
        <w:gridCol w:w="3828"/>
      </w:tblGrid>
      <w:tr w14:paraId="616F4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04" w:type="dxa"/>
            <w:vAlign w:val="center"/>
          </w:tcPr>
          <w:p w14:paraId="6156D325">
            <w:pPr>
              <w:snapToGrid w:val="0"/>
              <w:spacing w:line="240" w:lineRule="auto"/>
              <w:jc w:val="center"/>
              <w:rPr>
                <w:color w:val="auto"/>
                <w:sz w:val="21"/>
                <w:szCs w:val="21"/>
              </w:rPr>
            </w:pPr>
            <w:r>
              <w:rPr>
                <w:color w:val="auto"/>
                <w:sz w:val="21"/>
                <w:szCs w:val="21"/>
              </w:rPr>
              <w:t>序号</w:t>
            </w:r>
          </w:p>
        </w:tc>
        <w:tc>
          <w:tcPr>
            <w:tcW w:w="851" w:type="dxa"/>
            <w:vAlign w:val="center"/>
          </w:tcPr>
          <w:p w14:paraId="5AEF0C0E">
            <w:pPr>
              <w:snapToGrid w:val="0"/>
              <w:spacing w:line="240" w:lineRule="auto"/>
              <w:rPr>
                <w:color w:val="auto"/>
                <w:sz w:val="21"/>
                <w:szCs w:val="21"/>
              </w:rPr>
            </w:pPr>
            <w:r>
              <w:rPr>
                <w:color w:val="auto"/>
                <w:sz w:val="21"/>
                <w:szCs w:val="21"/>
              </w:rPr>
              <w:t>考核</w:t>
            </w:r>
            <w:r>
              <w:rPr>
                <w:rFonts w:hint="eastAsia"/>
                <w:color w:val="auto"/>
                <w:sz w:val="21"/>
                <w:szCs w:val="21"/>
              </w:rPr>
              <w:t>项</w:t>
            </w:r>
          </w:p>
        </w:tc>
        <w:tc>
          <w:tcPr>
            <w:tcW w:w="3260" w:type="dxa"/>
            <w:vAlign w:val="center"/>
          </w:tcPr>
          <w:p w14:paraId="1FAE5838">
            <w:pPr>
              <w:snapToGrid w:val="0"/>
              <w:spacing w:line="240" w:lineRule="auto"/>
              <w:rPr>
                <w:color w:val="auto"/>
                <w:sz w:val="21"/>
                <w:szCs w:val="21"/>
              </w:rPr>
            </w:pPr>
            <w:r>
              <w:rPr>
                <w:color w:val="auto"/>
                <w:sz w:val="21"/>
                <w:szCs w:val="21"/>
              </w:rPr>
              <w:t>核心考核内容与要求</w:t>
            </w:r>
          </w:p>
        </w:tc>
        <w:tc>
          <w:tcPr>
            <w:tcW w:w="709" w:type="dxa"/>
            <w:vAlign w:val="center"/>
          </w:tcPr>
          <w:p w14:paraId="7E7B1BBB">
            <w:pPr>
              <w:snapToGrid w:val="0"/>
              <w:spacing w:line="240" w:lineRule="auto"/>
              <w:rPr>
                <w:color w:val="auto"/>
                <w:sz w:val="21"/>
                <w:szCs w:val="21"/>
              </w:rPr>
            </w:pPr>
            <w:r>
              <w:rPr>
                <w:color w:val="auto"/>
                <w:sz w:val="21"/>
                <w:szCs w:val="21"/>
              </w:rPr>
              <w:t>分值</w:t>
            </w:r>
          </w:p>
        </w:tc>
        <w:tc>
          <w:tcPr>
            <w:tcW w:w="708" w:type="dxa"/>
            <w:vAlign w:val="center"/>
          </w:tcPr>
          <w:p w14:paraId="53E3C866">
            <w:pPr>
              <w:snapToGrid w:val="0"/>
              <w:spacing w:line="240" w:lineRule="auto"/>
              <w:rPr>
                <w:color w:val="auto"/>
                <w:sz w:val="21"/>
                <w:szCs w:val="21"/>
              </w:rPr>
            </w:pPr>
            <w:r>
              <w:rPr>
                <w:color w:val="auto"/>
                <w:sz w:val="21"/>
                <w:szCs w:val="21"/>
              </w:rPr>
              <w:t>得分</w:t>
            </w:r>
          </w:p>
        </w:tc>
        <w:tc>
          <w:tcPr>
            <w:tcW w:w="3828" w:type="dxa"/>
            <w:vAlign w:val="center"/>
          </w:tcPr>
          <w:p w14:paraId="648BC772">
            <w:pPr>
              <w:snapToGrid w:val="0"/>
              <w:spacing w:line="240" w:lineRule="auto"/>
              <w:rPr>
                <w:color w:val="auto"/>
                <w:sz w:val="21"/>
                <w:szCs w:val="21"/>
              </w:rPr>
            </w:pPr>
            <w:r>
              <w:rPr>
                <w:color w:val="auto"/>
                <w:sz w:val="21"/>
                <w:szCs w:val="21"/>
              </w:rPr>
              <w:t>扣分规则</w:t>
            </w:r>
          </w:p>
        </w:tc>
      </w:tr>
      <w:tr w14:paraId="75323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060" w:type="dxa"/>
            <w:gridSpan w:val="6"/>
            <w:shd w:val="clear" w:color="auto" w:fill="9FD3A4" w:themeFill="background1" w:themeFillShade="D9"/>
            <w:noWrap/>
            <w:vAlign w:val="center"/>
          </w:tcPr>
          <w:p w14:paraId="76E974C9">
            <w:pPr>
              <w:snapToGrid w:val="0"/>
              <w:spacing w:line="240" w:lineRule="auto"/>
              <w:rPr>
                <w:color w:val="auto"/>
                <w:sz w:val="24"/>
              </w:rPr>
            </w:pPr>
            <w:r>
              <w:rPr>
                <w:color w:val="auto"/>
                <w:sz w:val="24"/>
              </w:rPr>
              <w:t>一</w:t>
            </w:r>
            <w:r>
              <w:rPr>
                <w:rFonts w:hint="eastAsia"/>
                <w:color w:val="auto"/>
                <w:sz w:val="24"/>
              </w:rPr>
              <w:t>、</w:t>
            </w:r>
            <w:r>
              <w:rPr>
                <w:color w:val="auto"/>
                <w:sz w:val="24"/>
              </w:rPr>
              <w:t>告警</w:t>
            </w:r>
            <w:r>
              <w:rPr>
                <w:rFonts w:hint="eastAsia"/>
                <w:color w:val="auto"/>
                <w:sz w:val="24"/>
              </w:rPr>
              <w:t>、故障工单响应与处理（50分）</w:t>
            </w:r>
          </w:p>
        </w:tc>
      </w:tr>
      <w:tr w14:paraId="2FB75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704" w:type="dxa"/>
            <w:vAlign w:val="center"/>
          </w:tcPr>
          <w:p w14:paraId="6C51B4B1">
            <w:pPr>
              <w:snapToGrid w:val="0"/>
              <w:spacing w:line="240" w:lineRule="auto"/>
              <w:jc w:val="center"/>
              <w:rPr>
                <w:bCs/>
                <w:color w:val="auto"/>
                <w:sz w:val="18"/>
                <w:szCs w:val="18"/>
              </w:rPr>
            </w:pPr>
            <w:r>
              <w:rPr>
                <w:bCs/>
                <w:color w:val="auto"/>
                <w:sz w:val="18"/>
                <w:szCs w:val="18"/>
              </w:rPr>
              <w:t>1</w:t>
            </w:r>
          </w:p>
        </w:tc>
        <w:tc>
          <w:tcPr>
            <w:tcW w:w="851" w:type="dxa"/>
            <w:vAlign w:val="center"/>
          </w:tcPr>
          <w:p w14:paraId="158DE496">
            <w:pPr>
              <w:snapToGrid w:val="0"/>
              <w:spacing w:line="240" w:lineRule="auto"/>
              <w:rPr>
                <w:bCs/>
                <w:color w:val="auto"/>
                <w:sz w:val="18"/>
                <w:szCs w:val="18"/>
              </w:rPr>
            </w:pPr>
            <w:r>
              <w:rPr>
                <w:rFonts w:hint="eastAsia"/>
                <w:bCs/>
                <w:color w:val="auto"/>
                <w:sz w:val="18"/>
                <w:szCs w:val="18"/>
              </w:rPr>
              <w:t>工单</w:t>
            </w:r>
            <w:r>
              <w:rPr>
                <w:bCs/>
                <w:color w:val="auto"/>
                <w:sz w:val="18"/>
                <w:szCs w:val="18"/>
              </w:rPr>
              <w:t>响应</w:t>
            </w:r>
          </w:p>
        </w:tc>
        <w:tc>
          <w:tcPr>
            <w:tcW w:w="3260" w:type="dxa"/>
            <w:vAlign w:val="center"/>
          </w:tcPr>
          <w:p w14:paraId="7F8712C0">
            <w:pPr>
              <w:snapToGrid w:val="0"/>
              <w:spacing w:line="240" w:lineRule="auto"/>
              <w:rPr>
                <w:bCs/>
                <w:color w:val="auto"/>
                <w:sz w:val="18"/>
                <w:szCs w:val="18"/>
              </w:rPr>
            </w:pPr>
            <w:r>
              <w:rPr>
                <w:bCs/>
                <w:color w:val="auto"/>
                <w:sz w:val="18"/>
                <w:szCs w:val="18"/>
              </w:rPr>
              <w:t>按工单等级响应：一级≤5分钟、二级≤1</w:t>
            </w:r>
            <w:r>
              <w:rPr>
                <w:rFonts w:hint="eastAsia"/>
                <w:bCs/>
                <w:color w:val="auto"/>
                <w:sz w:val="18"/>
                <w:szCs w:val="18"/>
              </w:rPr>
              <w:t>0分钟</w:t>
            </w:r>
            <w:r>
              <w:rPr>
                <w:bCs/>
                <w:color w:val="auto"/>
                <w:sz w:val="18"/>
                <w:szCs w:val="18"/>
              </w:rPr>
              <w:t>、三级≤</w:t>
            </w:r>
            <w:r>
              <w:rPr>
                <w:rFonts w:hint="eastAsia"/>
                <w:bCs/>
                <w:color w:val="auto"/>
                <w:sz w:val="18"/>
                <w:szCs w:val="18"/>
              </w:rPr>
              <w:t>120分钟</w:t>
            </w:r>
            <w:r>
              <w:rPr>
                <w:bCs/>
                <w:color w:val="auto"/>
                <w:sz w:val="18"/>
                <w:szCs w:val="18"/>
              </w:rPr>
              <w:t>、四级≤</w:t>
            </w:r>
            <w:r>
              <w:rPr>
                <w:rFonts w:hint="eastAsia"/>
                <w:bCs/>
                <w:color w:val="auto"/>
                <w:sz w:val="18"/>
                <w:szCs w:val="18"/>
              </w:rPr>
              <w:t>360分钟</w:t>
            </w:r>
          </w:p>
        </w:tc>
        <w:tc>
          <w:tcPr>
            <w:tcW w:w="709" w:type="dxa"/>
            <w:vAlign w:val="center"/>
          </w:tcPr>
          <w:p w14:paraId="7BE73BCB">
            <w:pPr>
              <w:snapToGrid w:val="0"/>
              <w:spacing w:line="240" w:lineRule="auto"/>
              <w:rPr>
                <w:bCs/>
                <w:color w:val="auto"/>
                <w:sz w:val="18"/>
                <w:szCs w:val="18"/>
              </w:rPr>
            </w:pPr>
            <w:r>
              <w:rPr>
                <w:rFonts w:hint="eastAsia"/>
                <w:bCs/>
                <w:color w:val="auto"/>
                <w:sz w:val="18"/>
                <w:szCs w:val="18"/>
              </w:rPr>
              <w:t>15</w:t>
            </w:r>
            <w:r>
              <w:rPr>
                <w:bCs/>
                <w:color w:val="auto"/>
                <w:sz w:val="18"/>
                <w:szCs w:val="18"/>
              </w:rPr>
              <w:t>分</w:t>
            </w:r>
          </w:p>
        </w:tc>
        <w:tc>
          <w:tcPr>
            <w:tcW w:w="708" w:type="dxa"/>
            <w:vAlign w:val="center"/>
          </w:tcPr>
          <w:p w14:paraId="70EDD840">
            <w:pPr>
              <w:snapToGrid w:val="0"/>
              <w:spacing w:line="240" w:lineRule="auto"/>
              <w:rPr>
                <w:bCs/>
                <w:color w:val="auto"/>
                <w:sz w:val="18"/>
                <w:szCs w:val="18"/>
              </w:rPr>
            </w:pPr>
            <w:r>
              <w:rPr>
                <w:bCs/>
                <w:color w:val="auto"/>
                <w:sz w:val="18"/>
                <w:szCs w:val="18"/>
              </w:rPr>
              <w:t>　</w:t>
            </w:r>
          </w:p>
        </w:tc>
        <w:tc>
          <w:tcPr>
            <w:tcW w:w="3828" w:type="dxa"/>
            <w:vAlign w:val="center"/>
          </w:tcPr>
          <w:p w14:paraId="6F8DF2AD">
            <w:pPr>
              <w:snapToGrid w:val="0"/>
              <w:spacing w:line="240" w:lineRule="auto"/>
              <w:rPr>
                <w:bCs/>
                <w:color w:val="auto"/>
                <w:sz w:val="18"/>
                <w:szCs w:val="18"/>
              </w:rPr>
            </w:pPr>
            <w:r>
              <w:rPr>
                <w:bCs/>
                <w:color w:val="auto"/>
                <w:sz w:val="18"/>
                <w:szCs w:val="18"/>
              </w:rPr>
              <w:t xml:space="preserve">1. </w:t>
            </w:r>
            <w:r>
              <w:rPr>
                <w:rFonts w:hint="eastAsia"/>
                <w:bCs/>
                <w:color w:val="auto"/>
                <w:sz w:val="18"/>
                <w:szCs w:val="18"/>
              </w:rPr>
              <w:t>一级工单</w:t>
            </w:r>
            <w:r>
              <w:rPr>
                <w:bCs/>
                <w:color w:val="auto"/>
                <w:sz w:val="18"/>
                <w:szCs w:val="18"/>
              </w:rPr>
              <w:t>未</w:t>
            </w:r>
            <w:r>
              <w:rPr>
                <w:rFonts w:hint="eastAsia"/>
                <w:bCs/>
                <w:color w:val="auto"/>
                <w:sz w:val="18"/>
                <w:szCs w:val="18"/>
              </w:rPr>
              <w:t>及时</w:t>
            </w:r>
            <w:r>
              <w:rPr>
                <w:bCs/>
                <w:color w:val="auto"/>
                <w:sz w:val="18"/>
                <w:szCs w:val="18"/>
              </w:rPr>
              <w:t>响应的，每次扣</w:t>
            </w:r>
            <w:r>
              <w:rPr>
                <w:rFonts w:hint="eastAsia"/>
                <w:bCs/>
                <w:color w:val="auto"/>
                <w:sz w:val="18"/>
                <w:szCs w:val="18"/>
              </w:rPr>
              <w:t>1</w:t>
            </w:r>
            <w:r>
              <w:rPr>
                <w:bCs/>
                <w:color w:val="auto"/>
                <w:sz w:val="18"/>
                <w:szCs w:val="18"/>
              </w:rPr>
              <w:t>分；</w:t>
            </w:r>
          </w:p>
          <w:p w14:paraId="33A3D88D">
            <w:pPr>
              <w:snapToGrid w:val="0"/>
              <w:spacing w:line="240" w:lineRule="auto"/>
              <w:rPr>
                <w:bCs/>
                <w:color w:val="auto"/>
                <w:sz w:val="18"/>
                <w:szCs w:val="18"/>
              </w:rPr>
            </w:pPr>
            <w:r>
              <w:rPr>
                <w:bCs/>
                <w:color w:val="auto"/>
                <w:sz w:val="18"/>
                <w:szCs w:val="18"/>
              </w:rPr>
              <w:t xml:space="preserve">2. </w:t>
            </w:r>
            <w:r>
              <w:rPr>
                <w:rFonts w:hint="eastAsia"/>
                <w:bCs/>
                <w:color w:val="auto"/>
                <w:sz w:val="18"/>
                <w:szCs w:val="18"/>
              </w:rPr>
              <w:t>二级工单</w:t>
            </w:r>
            <w:r>
              <w:rPr>
                <w:bCs/>
                <w:color w:val="auto"/>
                <w:sz w:val="18"/>
                <w:szCs w:val="18"/>
              </w:rPr>
              <w:t>未</w:t>
            </w:r>
            <w:r>
              <w:rPr>
                <w:rFonts w:hint="eastAsia"/>
                <w:bCs/>
                <w:color w:val="auto"/>
                <w:sz w:val="18"/>
                <w:szCs w:val="18"/>
              </w:rPr>
              <w:t>及时</w:t>
            </w:r>
            <w:r>
              <w:rPr>
                <w:bCs/>
                <w:color w:val="auto"/>
                <w:sz w:val="18"/>
                <w:szCs w:val="18"/>
              </w:rPr>
              <w:t>响应的，每次扣</w:t>
            </w:r>
            <w:r>
              <w:rPr>
                <w:rFonts w:hint="eastAsia"/>
                <w:bCs/>
                <w:color w:val="auto"/>
                <w:sz w:val="18"/>
                <w:szCs w:val="18"/>
              </w:rPr>
              <w:t>0.5</w:t>
            </w:r>
            <w:r>
              <w:rPr>
                <w:bCs/>
                <w:color w:val="auto"/>
                <w:sz w:val="18"/>
                <w:szCs w:val="18"/>
              </w:rPr>
              <w:t>分</w:t>
            </w:r>
          </w:p>
        </w:tc>
      </w:tr>
      <w:tr w14:paraId="22F8C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704" w:type="dxa"/>
            <w:vAlign w:val="center"/>
          </w:tcPr>
          <w:p w14:paraId="6CD5F893">
            <w:pPr>
              <w:snapToGrid w:val="0"/>
              <w:spacing w:line="240" w:lineRule="auto"/>
              <w:jc w:val="center"/>
              <w:rPr>
                <w:bCs/>
                <w:color w:val="auto"/>
                <w:sz w:val="18"/>
                <w:szCs w:val="18"/>
              </w:rPr>
            </w:pPr>
            <w:r>
              <w:rPr>
                <w:bCs/>
                <w:color w:val="auto"/>
                <w:sz w:val="18"/>
                <w:szCs w:val="18"/>
              </w:rPr>
              <w:t>2</w:t>
            </w:r>
          </w:p>
        </w:tc>
        <w:tc>
          <w:tcPr>
            <w:tcW w:w="851" w:type="dxa"/>
            <w:vAlign w:val="center"/>
          </w:tcPr>
          <w:p w14:paraId="67AE1856">
            <w:pPr>
              <w:snapToGrid w:val="0"/>
              <w:spacing w:line="240" w:lineRule="auto"/>
              <w:rPr>
                <w:bCs/>
                <w:color w:val="auto"/>
                <w:sz w:val="18"/>
                <w:szCs w:val="18"/>
              </w:rPr>
            </w:pPr>
            <w:r>
              <w:rPr>
                <w:rFonts w:hint="eastAsia"/>
                <w:bCs/>
                <w:color w:val="auto"/>
                <w:sz w:val="18"/>
                <w:szCs w:val="18"/>
              </w:rPr>
              <w:t>工单</w:t>
            </w:r>
            <w:r>
              <w:rPr>
                <w:bCs/>
                <w:color w:val="auto"/>
                <w:sz w:val="18"/>
                <w:szCs w:val="18"/>
              </w:rPr>
              <w:t>处置</w:t>
            </w:r>
          </w:p>
        </w:tc>
        <w:tc>
          <w:tcPr>
            <w:tcW w:w="3260" w:type="dxa"/>
            <w:vAlign w:val="center"/>
          </w:tcPr>
          <w:p w14:paraId="1CE87BAD">
            <w:pPr>
              <w:snapToGrid w:val="0"/>
              <w:spacing w:line="240" w:lineRule="auto"/>
              <w:rPr>
                <w:bCs/>
                <w:color w:val="auto"/>
                <w:sz w:val="18"/>
                <w:szCs w:val="18"/>
              </w:rPr>
            </w:pPr>
            <w:r>
              <w:rPr>
                <w:color w:val="auto"/>
                <w:sz w:val="18"/>
              </w:rPr>
              <w:t>按</w:t>
            </w:r>
            <w:r>
              <w:rPr>
                <w:rFonts w:hint="eastAsia"/>
                <w:color w:val="auto"/>
                <w:sz w:val="18"/>
              </w:rPr>
              <w:t>工单等级，</w:t>
            </w:r>
            <w:r>
              <w:rPr>
                <w:color w:val="auto"/>
                <w:sz w:val="18"/>
              </w:rPr>
              <w:t>一级工单≤</w:t>
            </w:r>
            <w:r>
              <w:rPr>
                <w:rFonts w:hint="eastAsia"/>
                <w:color w:val="auto"/>
                <w:sz w:val="18"/>
              </w:rPr>
              <w:t>60分钟</w:t>
            </w:r>
            <w:r>
              <w:rPr>
                <w:color w:val="auto"/>
                <w:sz w:val="18"/>
              </w:rPr>
              <w:t>闭环；二级工单≤</w:t>
            </w:r>
            <w:r>
              <w:rPr>
                <w:rFonts w:hint="eastAsia"/>
                <w:color w:val="auto"/>
                <w:sz w:val="18"/>
              </w:rPr>
              <w:t>180分钟</w:t>
            </w:r>
            <w:r>
              <w:rPr>
                <w:color w:val="auto"/>
                <w:sz w:val="18"/>
              </w:rPr>
              <w:t>闭环；三级/四级工单</w:t>
            </w:r>
            <w:r>
              <w:rPr>
                <w:rFonts w:hint="eastAsia"/>
                <w:color w:val="auto"/>
                <w:sz w:val="18"/>
              </w:rPr>
              <w:t>按</w:t>
            </w:r>
            <w:r>
              <w:rPr>
                <w:color w:val="auto"/>
                <w:sz w:val="18"/>
              </w:rPr>
              <w:t>时限闭环</w:t>
            </w:r>
            <w:r>
              <w:rPr>
                <w:rFonts w:hint="eastAsia"/>
                <w:color w:val="auto"/>
                <w:sz w:val="18"/>
              </w:rPr>
              <w:t>。</w:t>
            </w:r>
          </w:p>
        </w:tc>
        <w:tc>
          <w:tcPr>
            <w:tcW w:w="709" w:type="dxa"/>
            <w:vAlign w:val="center"/>
          </w:tcPr>
          <w:p w14:paraId="1DDD6CEC">
            <w:pPr>
              <w:snapToGrid w:val="0"/>
              <w:spacing w:line="240" w:lineRule="auto"/>
              <w:rPr>
                <w:bCs/>
                <w:color w:val="auto"/>
                <w:sz w:val="18"/>
                <w:szCs w:val="18"/>
              </w:rPr>
            </w:pPr>
            <w:r>
              <w:rPr>
                <w:rFonts w:hint="eastAsia"/>
                <w:bCs/>
                <w:color w:val="auto"/>
                <w:sz w:val="18"/>
                <w:szCs w:val="18"/>
              </w:rPr>
              <w:t>2</w:t>
            </w:r>
            <w:r>
              <w:rPr>
                <w:bCs/>
                <w:color w:val="auto"/>
                <w:sz w:val="18"/>
                <w:szCs w:val="18"/>
              </w:rPr>
              <w:t>0分</w:t>
            </w:r>
          </w:p>
        </w:tc>
        <w:tc>
          <w:tcPr>
            <w:tcW w:w="708" w:type="dxa"/>
            <w:vAlign w:val="center"/>
          </w:tcPr>
          <w:p w14:paraId="52A861BD">
            <w:pPr>
              <w:snapToGrid w:val="0"/>
              <w:spacing w:line="240" w:lineRule="auto"/>
              <w:rPr>
                <w:bCs/>
                <w:color w:val="auto"/>
                <w:sz w:val="18"/>
                <w:szCs w:val="18"/>
              </w:rPr>
            </w:pPr>
            <w:r>
              <w:rPr>
                <w:bCs/>
                <w:color w:val="auto"/>
                <w:sz w:val="18"/>
                <w:szCs w:val="18"/>
              </w:rPr>
              <w:t>　</w:t>
            </w:r>
          </w:p>
        </w:tc>
        <w:tc>
          <w:tcPr>
            <w:tcW w:w="3828" w:type="dxa"/>
            <w:vAlign w:val="center"/>
          </w:tcPr>
          <w:p w14:paraId="20BA7EDB">
            <w:pPr>
              <w:snapToGrid w:val="0"/>
              <w:spacing w:line="240" w:lineRule="auto"/>
              <w:rPr>
                <w:bCs/>
                <w:color w:val="auto"/>
                <w:sz w:val="18"/>
                <w:szCs w:val="18"/>
              </w:rPr>
            </w:pPr>
            <w:r>
              <w:rPr>
                <w:bCs/>
                <w:color w:val="auto"/>
                <w:sz w:val="18"/>
                <w:szCs w:val="18"/>
              </w:rPr>
              <w:t>1.</w:t>
            </w:r>
            <w:r>
              <w:rPr>
                <w:rFonts w:hint="eastAsia"/>
                <w:bCs/>
                <w:color w:val="auto"/>
                <w:sz w:val="18"/>
                <w:szCs w:val="18"/>
              </w:rPr>
              <w:t>一级工单处置</w:t>
            </w:r>
            <w:r>
              <w:rPr>
                <w:bCs/>
                <w:color w:val="auto"/>
                <w:sz w:val="18"/>
                <w:szCs w:val="18"/>
              </w:rPr>
              <w:t>未</w:t>
            </w:r>
            <w:r>
              <w:rPr>
                <w:rFonts w:hint="eastAsia"/>
                <w:bCs/>
                <w:color w:val="auto"/>
                <w:sz w:val="18"/>
                <w:szCs w:val="18"/>
              </w:rPr>
              <w:t>及时闭环</w:t>
            </w:r>
            <w:r>
              <w:rPr>
                <w:bCs/>
                <w:color w:val="auto"/>
                <w:sz w:val="18"/>
                <w:szCs w:val="18"/>
              </w:rPr>
              <w:t>，每次扣</w:t>
            </w:r>
            <w:r>
              <w:rPr>
                <w:rFonts w:hint="eastAsia"/>
                <w:bCs/>
                <w:color w:val="auto"/>
                <w:sz w:val="18"/>
                <w:szCs w:val="18"/>
              </w:rPr>
              <w:t>1</w:t>
            </w:r>
            <w:r>
              <w:rPr>
                <w:bCs/>
                <w:color w:val="auto"/>
                <w:sz w:val="18"/>
                <w:szCs w:val="18"/>
              </w:rPr>
              <w:t>分；</w:t>
            </w:r>
          </w:p>
          <w:p w14:paraId="2DA16051">
            <w:pPr>
              <w:snapToGrid w:val="0"/>
              <w:spacing w:line="240" w:lineRule="auto"/>
              <w:rPr>
                <w:bCs/>
                <w:color w:val="auto"/>
                <w:sz w:val="18"/>
                <w:szCs w:val="18"/>
              </w:rPr>
            </w:pPr>
            <w:r>
              <w:rPr>
                <w:bCs/>
                <w:color w:val="auto"/>
                <w:sz w:val="18"/>
                <w:szCs w:val="18"/>
              </w:rPr>
              <w:t>2.</w:t>
            </w:r>
            <w:r>
              <w:rPr>
                <w:rFonts w:hint="eastAsia"/>
                <w:bCs/>
                <w:color w:val="auto"/>
                <w:sz w:val="18"/>
                <w:szCs w:val="18"/>
              </w:rPr>
              <w:t>二级工单处置</w:t>
            </w:r>
            <w:r>
              <w:rPr>
                <w:bCs/>
                <w:color w:val="auto"/>
                <w:sz w:val="18"/>
                <w:szCs w:val="18"/>
              </w:rPr>
              <w:t>未</w:t>
            </w:r>
            <w:r>
              <w:rPr>
                <w:rFonts w:hint="eastAsia"/>
                <w:bCs/>
                <w:color w:val="auto"/>
                <w:sz w:val="18"/>
                <w:szCs w:val="18"/>
              </w:rPr>
              <w:t>及时闭环</w:t>
            </w:r>
            <w:r>
              <w:rPr>
                <w:bCs/>
                <w:color w:val="auto"/>
                <w:sz w:val="18"/>
                <w:szCs w:val="18"/>
              </w:rPr>
              <w:t>，每次扣</w:t>
            </w:r>
            <w:r>
              <w:rPr>
                <w:rFonts w:hint="eastAsia"/>
                <w:bCs/>
                <w:color w:val="auto"/>
                <w:sz w:val="18"/>
                <w:szCs w:val="18"/>
              </w:rPr>
              <w:t>0.5</w:t>
            </w:r>
            <w:r>
              <w:rPr>
                <w:bCs/>
                <w:color w:val="auto"/>
                <w:sz w:val="18"/>
                <w:szCs w:val="18"/>
              </w:rPr>
              <w:t>分</w:t>
            </w:r>
          </w:p>
        </w:tc>
      </w:tr>
      <w:tr w14:paraId="533B0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704" w:type="dxa"/>
            <w:tcBorders>
              <w:bottom w:val="single" w:color="auto" w:sz="4" w:space="0"/>
            </w:tcBorders>
            <w:vAlign w:val="center"/>
          </w:tcPr>
          <w:p w14:paraId="2CD4F91A">
            <w:pPr>
              <w:snapToGrid w:val="0"/>
              <w:spacing w:line="240" w:lineRule="auto"/>
              <w:jc w:val="center"/>
              <w:rPr>
                <w:bCs/>
                <w:color w:val="auto"/>
                <w:sz w:val="18"/>
                <w:szCs w:val="18"/>
              </w:rPr>
            </w:pPr>
            <w:r>
              <w:rPr>
                <w:bCs/>
                <w:color w:val="auto"/>
                <w:sz w:val="18"/>
                <w:szCs w:val="18"/>
              </w:rPr>
              <w:t>3</w:t>
            </w:r>
          </w:p>
        </w:tc>
        <w:tc>
          <w:tcPr>
            <w:tcW w:w="851" w:type="dxa"/>
            <w:tcBorders>
              <w:bottom w:val="single" w:color="auto" w:sz="4" w:space="0"/>
            </w:tcBorders>
            <w:vAlign w:val="center"/>
          </w:tcPr>
          <w:p w14:paraId="01651D10">
            <w:pPr>
              <w:snapToGrid w:val="0"/>
              <w:spacing w:line="240" w:lineRule="auto"/>
              <w:rPr>
                <w:bCs/>
                <w:color w:val="auto"/>
                <w:sz w:val="18"/>
                <w:szCs w:val="18"/>
              </w:rPr>
            </w:pPr>
            <w:r>
              <w:rPr>
                <w:rFonts w:hint="eastAsia"/>
                <w:bCs/>
                <w:color w:val="auto"/>
                <w:sz w:val="18"/>
                <w:szCs w:val="18"/>
              </w:rPr>
              <w:t>工单闭环与报告</w:t>
            </w:r>
          </w:p>
        </w:tc>
        <w:tc>
          <w:tcPr>
            <w:tcW w:w="3260" w:type="dxa"/>
            <w:tcBorders>
              <w:bottom w:val="single" w:color="auto" w:sz="4" w:space="0"/>
            </w:tcBorders>
            <w:vAlign w:val="center"/>
          </w:tcPr>
          <w:p w14:paraId="1F188E49">
            <w:pPr>
              <w:snapToGrid w:val="0"/>
              <w:spacing w:line="240" w:lineRule="auto"/>
              <w:rPr>
                <w:bCs/>
                <w:color w:val="auto"/>
                <w:sz w:val="18"/>
                <w:szCs w:val="18"/>
              </w:rPr>
            </w:pPr>
            <w:bookmarkStart w:id="7" w:name="OLE_LINK2"/>
            <w:r>
              <w:rPr>
                <w:bCs/>
                <w:color w:val="auto"/>
                <w:sz w:val="18"/>
                <w:szCs w:val="18"/>
              </w:rPr>
              <w:t>1. 工单归档及时率100%</w:t>
            </w:r>
          </w:p>
          <w:p w14:paraId="0C174517">
            <w:pPr>
              <w:snapToGrid w:val="0"/>
              <w:spacing w:line="240" w:lineRule="auto"/>
              <w:rPr>
                <w:bCs/>
                <w:color w:val="auto"/>
                <w:sz w:val="18"/>
                <w:szCs w:val="18"/>
              </w:rPr>
            </w:pPr>
            <w:r>
              <w:rPr>
                <w:bCs/>
                <w:color w:val="auto"/>
                <w:sz w:val="18"/>
                <w:szCs w:val="18"/>
              </w:rPr>
              <w:t>2. 工单抽检合格率≥99.5%</w:t>
            </w:r>
          </w:p>
          <w:p w14:paraId="73C235AB">
            <w:pPr>
              <w:snapToGrid w:val="0"/>
              <w:spacing w:line="240" w:lineRule="auto"/>
              <w:rPr>
                <w:bCs/>
                <w:color w:val="auto"/>
                <w:sz w:val="18"/>
                <w:szCs w:val="18"/>
              </w:rPr>
            </w:pPr>
            <w:r>
              <w:rPr>
                <w:rFonts w:hint="eastAsia"/>
                <w:bCs/>
                <w:color w:val="auto"/>
                <w:sz w:val="18"/>
                <w:szCs w:val="18"/>
              </w:rPr>
              <w:t>3</w:t>
            </w:r>
            <w:r>
              <w:rPr>
                <w:bCs/>
                <w:color w:val="auto"/>
                <w:sz w:val="18"/>
                <w:szCs w:val="18"/>
              </w:rPr>
              <w:t>. 工单处置记录完整、闭环依据充分，无虚假闭环</w:t>
            </w:r>
            <w:bookmarkEnd w:id="7"/>
          </w:p>
        </w:tc>
        <w:tc>
          <w:tcPr>
            <w:tcW w:w="709" w:type="dxa"/>
            <w:tcBorders>
              <w:bottom w:val="single" w:color="auto" w:sz="4" w:space="0"/>
            </w:tcBorders>
            <w:vAlign w:val="center"/>
          </w:tcPr>
          <w:p w14:paraId="7C91CD0D">
            <w:pPr>
              <w:snapToGrid w:val="0"/>
              <w:spacing w:line="240" w:lineRule="auto"/>
              <w:rPr>
                <w:bCs/>
                <w:color w:val="auto"/>
                <w:sz w:val="18"/>
                <w:szCs w:val="18"/>
              </w:rPr>
            </w:pPr>
            <w:r>
              <w:rPr>
                <w:bCs/>
                <w:color w:val="auto"/>
                <w:sz w:val="18"/>
                <w:szCs w:val="18"/>
              </w:rPr>
              <w:t>1</w:t>
            </w:r>
            <w:r>
              <w:rPr>
                <w:rFonts w:hint="eastAsia"/>
                <w:bCs/>
                <w:color w:val="auto"/>
                <w:sz w:val="18"/>
                <w:szCs w:val="18"/>
              </w:rPr>
              <w:t>5</w:t>
            </w:r>
            <w:r>
              <w:rPr>
                <w:bCs/>
                <w:color w:val="auto"/>
                <w:sz w:val="18"/>
                <w:szCs w:val="18"/>
              </w:rPr>
              <w:t>分</w:t>
            </w:r>
          </w:p>
        </w:tc>
        <w:tc>
          <w:tcPr>
            <w:tcW w:w="708" w:type="dxa"/>
            <w:tcBorders>
              <w:bottom w:val="single" w:color="auto" w:sz="4" w:space="0"/>
            </w:tcBorders>
            <w:vAlign w:val="center"/>
          </w:tcPr>
          <w:p w14:paraId="007471EC">
            <w:pPr>
              <w:snapToGrid w:val="0"/>
              <w:spacing w:line="240" w:lineRule="auto"/>
              <w:rPr>
                <w:bCs/>
                <w:color w:val="auto"/>
                <w:sz w:val="18"/>
                <w:szCs w:val="18"/>
              </w:rPr>
            </w:pPr>
            <w:r>
              <w:rPr>
                <w:bCs/>
                <w:color w:val="auto"/>
                <w:sz w:val="18"/>
                <w:szCs w:val="18"/>
              </w:rPr>
              <w:t>　</w:t>
            </w:r>
          </w:p>
        </w:tc>
        <w:tc>
          <w:tcPr>
            <w:tcW w:w="3828" w:type="dxa"/>
            <w:tcBorders>
              <w:bottom w:val="single" w:color="auto" w:sz="4" w:space="0"/>
            </w:tcBorders>
            <w:vAlign w:val="center"/>
          </w:tcPr>
          <w:p w14:paraId="1BA574F5">
            <w:pPr>
              <w:snapToGrid w:val="0"/>
              <w:spacing w:line="240" w:lineRule="auto"/>
              <w:rPr>
                <w:bCs/>
                <w:color w:val="auto"/>
                <w:sz w:val="18"/>
                <w:szCs w:val="18"/>
              </w:rPr>
            </w:pPr>
            <w:r>
              <w:rPr>
                <w:bCs/>
                <w:color w:val="auto"/>
                <w:sz w:val="18"/>
                <w:szCs w:val="18"/>
              </w:rPr>
              <w:t>1. 工单归档未归档的，每次扣</w:t>
            </w:r>
            <w:r>
              <w:rPr>
                <w:rFonts w:hint="eastAsia"/>
                <w:bCs/>
                <w:color w:val="auto"/>
                <w:sz w:val="18"/>
                <w:szCs w:val="18"/>
              </w:rPr>
              <w:t>0.5</w:t>
            </w:r>
            <w:r>
              <w:rPr>
                <w:bCs/>
                <w:color w:val="auto"/>
                <w:sz w:val="18"/>
                <w:szCs w:val="18"/>
              </w:rPr>
              <w:t>分</w:t>
            </w:r>
          </w:p>
          <w:p w14:paraId="0E432A80">
            <w:pPr>
              <w:snapToGrid w:val="0"/>
              <w:spacing w:line="240" w:lineRule="auto"/>
              <w:rPr>
                <w:bCs/>
                <w:color w:val="auto"/>
                <w:sz w:val="18"/>
                <w:szCs w:val="18"/>
              </w:rPr>
            </w:pPr>
            <w:r>
              <w:rPr>
                <w:bCs/>
                <w:color w:val="auto"/>
                <w:sz w:val="18"/>
                <w:szCs w:val="18"/>
              </w:rPr>
              <w:t>2. 工单抽检不合格，每项扣1分</w:t>
            </w:r>
          </w:p>
          <w:p w14:paraId="41C23A15">
            <w:pPr>
              <w:snapToGrid w:val="0"/>
              <w:spacing w:line="240" w:lineRule="auto"/>
              <w:rPr>
                <w:bCs/>
                <w:color w:val="auto"/>
                <w:sz w:val="18"/>
                <w:szCs w:val="18"/>
              </w:rPr>
            </w:pPr>
            <w:r>
              <w:rPr>
                <w:rFonts w:hint="eastAsia"/>
                <w:bCs/>
                <w:color w:val="auto"/>
                <w:sz w:val="18"/>
                <w:szCs w:val="18"/>
              </w:rPr>
              <w:t>2</w:t>
            </w:r>
            <w:r>
              <w:rPr>
                <w:bCs/>
                <w:color w:val="auto"/>
                <w:sz w:val="18"/>
                <w:szCs w:val="18"/>
              </w:rPr>
              <w:t xml:space="preserve">. </w:t>
            </w:r>
            <w:r>
              <w:rPr>
                <w:rFonts w:hint="eastAsia"/>
                <w:bCs/>
                <w:color w:val="auto"/>
                <w:sz w:val="18"/>
                <w:szCs w:val="18"/>
              </w:rPr>
              <w:t>弄虚作假，本项不得分</w:t>
            </w:r>
          </w:p>
        </w:tc>
      </w:tr>
      <w:tr w14:paraId="164B9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060" w:type="dxa"/>
            <w:gridSpan w:val="6"/>
            <w:shd w:val="clear" w:color="auto" w:fill="9FD3A4" w:themeFill="background1" w:themeFillShade="D9"/>
            <w:noWrap/>
            <w:vAlign w:val="center"/>
          </w:tcPr>
          <w:p w14:paraId="1A35A019">
            <w:pPr>
              <w:snapToGrid w:val="0"/>
              <w:spacing w:line="240" w:lineRule="auto"/>
              <w:rPr>
                <w:color w:val="auto"/>
                <w:sz w:val="24"/>
              </w:rPr>
            </w:pPr>
            <w:bookmarkStart w:id="8" w:name="OLE_LINK3"/>
            <w:r>
              <w:rPr>
                <w:rFonts w:hint="eastAsia"/>
                <w:color w:val="auto"/>
                <w:sz w:val="24"/>
              </w:rPr>
              <w:t>二、维护作业</w:t>
            </w:r>
            <w:bookmarkEnd w:id="8"/>
            <w:r>
              <w:rPr>
                <w:rFonts w:hint="eastAsia"/>
                <w:color w:val="auto"/>
                <w:sz w:val="24"/>
              </w:rPr>
              <w:t>（40分）</w:t>
            </w:r>
          </w:p>
        </w:tc>
      </w:tr>
      <w:tr w14:paraId="520C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5" w:hRule="atLeast"/>
          <w:jc w:val="center"/>
        </w:trPr>
        <w:tc>
          <w:tcPr>
            <w:tcW w:w="704" w:type="dxa"/>
            <w:vAlign w:val="center"/>
          </w:tcPr>
          <w:p w14:paraId="05BA70AB">
            <w:pPr>
              <w:snapToGrid w:val="0"/>
              <w:spacing w:line="240" w:lineRule="auto"/>
              <w:jc w:val="center"/>
              <w:rPr>
                <w:bCs/>
                <w:color w:val="auto"/>
                <w:sz w:val="18"/>
                <w:szCs w:val="18"/>
              </w:rPr>
            </w:pPr>
            <w:r>
              <w:rPr>
                <w:rFonts w:hint="eastAsia"/>
                <w:bCs/>
                <w:color w:val="auto"/>
                <w:sz w:val="18"/>
                <w:szCs w:val="18"/>
              </w:rPr>
              <w:t>4</w:t>
            </w:r>
          </w:p>
        </w:tc>
        <w:tc>
          <w:tcPr>
            <w:tcW w:w="851" w:type="dxa"/>
            <w:vAlign w:val="center"/>
          </w:tcPr>
          <w:p w14:paraId="5C810864">
            <w:pPr>
              <w:snapToGrid w:val="0"/>
              <w:spacing w:line="240" w:lineRule="auto"/>
              <w:rPr>
                <w:bCs/>
                <w:color w:val="auto"/>
                <w:sz w:val="18"/>
                <w:szCs w:val="18"/>
              </w:rPr>
            </w:pPr>
            <w:r>
              <w:rPr>
                <w:rFonts w:hint="eastAsia"/>
                <w:bCs/>
                <w:color w:val="auto"/>
                <w:sz w:val="18"/>
                <w:szCs w:val="18"/>
              </w:rPr>
              <w:t>巡检执行</w:t>
            </w:r>
          </w:p>
        </w:tc>
        <w:tc>
          <w:tcPr>
            <w:tcW w:w="3260" w:type="dxa"/>
            <w:vAlign w:val="center"/>
          </w:tcPr>
          <w:p w14:paraId="5D2BCDFA">
            <w:pPr>
              <w:snapToGrid w:val="0"/>
              <w:spacing w:line="240" w:lineRule="auto"/>
              <w:rPr>
                <w:bCs/>
                <w:color w:val="auto"/>
                <w:sz w:val="18"/>
                <w:szCs w:val="18"/>
              </w:rPr>
            </w:pPr>
            <w:r>
              <w:rPr>
                <w:bCs/>
                <w:color w:val="auto"/>
                <w:sz w:val="18"/>
                <w:szCs w:val="18"/>
              </w:rPr>
              <w:t>1.根据甲方</w:t>
            </w:r>
            <w:r>
              <w:rPr>
                <w:rFonts w:hint="eastAsia"/>
                <w:bCs/>
                <w:color w:val="auto"/>
                <w:sz w:val="18"/>
                <w:szCs w:val="18"/>
              </w:rPr>
              <w:t>巡检计划按时执行巡检任务</w:t>
            </w:r>
          </w:p>
          <w:p w14:paraId="7489CE01">
            <w:pPr>
              <w:snapToGrid w:val="0"/>
              <w:spacing w:line="240" w:lineRule="auto"/>
              <w:rPr>
                <w:bCs/>
                <w:color w:val="auto"/>
                <w:sz w:val="18"/>
                <w:szCs w:val="18"/>
              </w:rPr>
            </w:pPr>
            <w:r>
              <w:rPr>
                <w:bCs/>
                <w:color w:val="auto"/>
                <w:sz w:val="18"/>
                <w:szCs w:val="18"/>
              </w:rPr>
              <w:t>2.</w:t>
            </w:r>
            <w:r>
              <w:rPr>
                <w:rFonts w:hint="eastAsia"/>
                <w:bCs/>
                <w:color w:val="auto"/>
                <w:sz w:val="18"/>
                <w:szCs w:val="18"/>
              </w:rPr>
              <w:t>巡检</w:t>
            </w:r>
            <w:r>
              <w:rPr>
                <w:bCs/>
                <w:color w:val="auto"/>
                <w:sz w:val="18"/>
                <w:szCs w:val="18"/>
              </w:rPr>
              <w:t>数据须与原始记录完全一致，确保真实完整、无遗漏</w:t>
            </w:r>
          </w:p>
        </w:tc>
        <w:tc>
          <w:tcPr>
            <w:tcW w:w="709" w:type="dxa"/>
            <w:vAlign w:val="center"/>
          </w:tcPr>
          <w:p w14:paraId="65B0E290">
            <w:pPr>
              <w:snapToGrid w:val="0"/>
              <w:spacing w:line="240" w:lineRule="auto"/>
              <w:rPr>
                <w:bCs/>
                <w:color w:val="auto"/>
                <w:sz w:val="18"/>
                <w:szCs w:val="18"/>
              </w:rPr>
            </w:pPr>
            <w:r>
              <w:rPr>
                <w:rFonts w:hint="eastAsia"/>
                <w:bCs/>
                <w:color w:val="auto"/>
                <w:sz w:val="18"/>
                <w:szCs w:val="18"/>
              </w:rPr>
              <w:t>10</w:t>
            </w:r>
            <w:r>
              <w:rPr>
                <w:bCs/>
                <w:color w:val="auto"/>
                <w:sz w:val="18"/>
                <w:szCs w:val="18"/>
              </w:rPr>
              <w:t>分</w:t>
            </w:r>
          </w:p>
        </w:tc>
        <w:tc>
          <w:tcPr>
            <w:tcW w:w="708" w:type="dxa"/>
            <w:vAlign w:val="center"/>
          </w:tcPr>
          <w:p w14:paraId="4DF0A539">
            <w:pPr>
              <w:snapToGrid w:val="0"/>
              <w:spacing w:line="240" w:lineRule="auto"/>
              <w:rPr>
                <w:bCs/>
                <w:color w:val="auto"/>
                <w:sz w:val="18"/>
                <w:szCs w:val="18"/>
              </w:rPr>
            </w:pPr>
            <w:r>
              <w:rPr>
                <w:bCs/>
                <w:color w:val="auto"/>
                <w:sz w:val="18"/>
                <w:szCs w:val="18"/>
              </w:rPr>
              <w:t>　</w:t>
            </w:r>
          </w:p>
        </w:tc>
        <w:tc>
          <w:tcPr>
            <w:tcW w:w="3828" w:type="dxa"/>
            <w:vAlign w:val="center"/>
          </w:tcPr>
          <w:p w14:paraId="23FF5FAA">
            <w:pPr>
              <w:snapToGrid w:val="0"/>
              <w:spacing w:line="240" w:lineRule="auto"/>
              <w:rPr>
                <w:bCs/>
                <w:color w:val="auto"/>
                <w:sz w:val="18"/>
                <w:szCs w:val="18"/>
              </w:rPr>
            </w:pPr>
            <w:r>
              <w:rPr>
                <w:bCs/>
                <w:color w:val="auto"/>
                <w:sz w:val="18"/>
                <w:szCs w:val="18"/>
              </w:rPr>
              <w:t>1.未执行</w:t>
            </w:r>
            <w:r>
              <w:rPr>
                <w:rFonts w:hint="eastAsia"/>
                <w:bCs/>
                <w:color w:val="auto"/>
                <w:sz w:val="18"/>
                <w:szCs w:val="18"/>
              </w:rPr>
              <w:t>巡检</w:t>
            </w:r>
            <w:r>
              <w:rPr>
                <w:bCs/>
                <w:color w:val="auto"/>
                <w:sz w:val="18"/>
                <w:szCs w:val="18"/>
              </w:rPr>
              <w:t>计划的，每出现一次扣</w:t>
            </w:r>
            <w:r>
              <w:rPr>
                <w:rFonts w:hint="eastAsia"/>
                <w:bCs/>
                <w:color w:val="auto"/>
                <w:sz w:val="18"/>
                <w:szCs w:val="18"/>
              </w:rPr>
              <w:t>0.5</w:t>
            </w:r>
            <w:r>
              <w:rPr>
                <w:bCs/>
                <w:color w:val="auto"/>
                <w:sz w:val="18"/>
                <w:szCs w:val="18"/>
              </w:rPr>
              <w:t>分，累计2次本项不得分</w:t>
            </w:r>
          </w:p>
          <w:p w14:paraId="1705BC13">
            <w:pPr>
              <w:snapToGrid w:val="0"/>
              <w:spacing w:line="240" w:lineRule="auto"/>
              <w:rPr>
                <w:bCs/>
                <w:color w:val="auto"/>
                <w:sz w:val="18"/>
                <w:szCs w:val="18"/>
              </w:rPr>
            </w:pPr>
            <w:r>
              <w:rPr>
                <w:bCs/>
                <w:color w:val="auto"/>
                <w:sz w:val="18"/>
                <w:szCs w:val="18"/>
              </w:rPr>
              <w:t>2.</w:t>
            </w:r>
            <w:r>
              <w:rPr>
                <w:rFonts w:hint="eastAsia"/>
                <w:bCs/>
                <w:color w:val="auto"/>
                <w:sz w:val="18"/>
                <w:szCs w:val="18"/>
              </w:rPr>
              <w:t>巡检执行</w:t>
            </w:r>
            <w:r>
              <w:rPr>
                <w:bCs/>
                <w:color w:val="auto"/>
                <w:sz w:val="18"/>
                <w:szCs w:val="18"/>
              </w:rPr>
              <w:t>结果记录不完整、</w:t>
            </w:r>
            <w:r>
              <w:rPr>
                <w:rFonts w:hint="eastAsia"/>
                <w:bCs/>
                <w:color w:val="auto"/>
                <w:sz w:val="18"/>
                <w:szCs w:val="18"/>
              </w:rPr>
              <w:t>巡检</w:t>
            </w:r>
            <w:r>
              <w:rPr>
                <w:bCs/>
                <w:color w:val="auto"/>
                <w:sz w:val="18"/>
                <w:szCs w:val="18"/>
              </w:rPr>
              <w:t>项目遗漏，每出现一次扣0.5分，扣完为止</w:t>
            </w:r>
          </w:p>
        </w:tc>
      </w:tr>
      <w:tr w14:paraId="6ED39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jc w:val="center"/>
        </w:trPr>
        <w:tc>
          <w:tcPr>
            <w:tcW w:w="704" w:type="dxa"/>
            <w:vAlign w:val="center"/>
          </w:tcPr>
          <w:p w14:paraId="54A192B5">
            <w:pPr>
              <w:snapToGrid w:val="0"/>
              <w:spacing w:line="240" w:lineRule="auto"/>
              <w:jc w:val="center"/>
              <w:rPr>
                <w:bCs/>
                <w:color w:val="auto"/>
                <w:sz w:val="18"/>
                <w:szCs w:val="18"/>
              </w:rPr>
            </w:pPr>
            <w:r>
              <w:rPr>
                <w:rFonts w:hint="eastAsia"/>
                <w:bCs/>
                <w:color w:val="auto"/>
                <w:sz w:val="18"/>
                <w:szCs w:val="18"/>
              </w:rPr>
              <w:t>5</w:t>
            </w:r>
          </w:p>
        </w:tc>
        <w:tc>
          <w:tcPr>
            <w:tcW w:w="851" w:type="dxa"/>
            <w:vAlign w:val="center"/>
          </w:tcPr>
          <w:p w14:paraId="55860CCF">
            <w:pPr>
              <w:snapToGrid w:val="0"/>
              <w:spacing w:line="240" w:lineRule="auto"/>
              <w:rPr>
                <w:bCs/>
                <w:color w:val="auto"/>
                <w:sz w:val="18"/>
                <w:szCs w:val="18"/>
              </w:rPr>
            </w:pPr>
            <w:r>
              <w:rPr>
                <w:rFonts w:hint="eastAsia"/>
                <w:bCs/>
                <w:color w:val="auto"/>
                <w:sz w:val="18"/>
                <w:szCs w:val="18"/>
              </w:rPr>
              <w:t>割接升级</w:t>
            </w:r>
          </w:p>
        </w:tc>
        <w:tc>
          <w:tcPr>
            <w:tcW w:w="3260" w:type="dxa"/>
            <w:vAlign w:val="center"/>
          </w:tcPr>
          <w:p w14:paraId="12A63FFD">
            <w:pPr>
              <w:snapToGrid w:val="0"/>
              <w:spacing w:line="240" w:lineRule="auto"/>
              <w:rPr>
                <w:bCs/>
                <w:color w:val="auto"/>
                <w:sz w:val="18"/>
                <w:szCs w:val="18"/>
              </w:rPr>
            </w:pPr>
            <w:r>
              <w:rPr>
                <w:bCs/>
                <w:color w:val="auto"/>
                <w:sz w:val="18"/>
                <w:szCs w:val="18"/>
              </w:rPr>
              <w:t>1.</w:t>
            </w:r>
            <w:r>
              <w:rPr>
                <w:rFonts w:hint="eastAsia"/>
                <w:bCs/>
                <w:color w:val="auto"/>
                <w:sz w:val="18"/>
                <w:szCs w:val="18"/>
              </w:rPr>
              <w:t>割接、升级等重大操作方案准备完整</w:t>
            </w:r>
          </w:p>
          <w:p w14:paraId="0EF177C6">
            <w:pPr>
              <w:snapToGrid w:val="0"/>
              <w:spacing w:line="240" w:lineRule="auto"/>
              <w:rPr>
                <w:bCs/>
                <w:color w:val="auto"/>
                <w:sz w:val="18"/>
                <w:szCs w:val="18"/>
              </w:rPr>
            </w:pPr>
            <w:r>
              <w:rPr>
                <w:bCs/>
                <w:color w:val="auto"/>
                <w:sz w:val="18"/>
                <w:szCs w:val="18"/>
              </w:rPr>
              <w:t>2.</w:t>
            </w:r>
            <w:r>
              <w:rPr>
                <w:rFonts w:hint="eastAsia"/>
                <w:bCs/>
                <w:color w:val="auto"/>
                <w:sz w:val="18"/>
                <w:szCs w:val="18"/>
              </w:rPr>
              <w:t>严格按照既定方案执行，</w:t>
            </w:r>
            <w:r>
              <w:rPr>
                <w:bCs/>
                <w:color w:val="auto"/>
                <w:sz w:val="18"/>
                <w:szCs w:val="18"/>
              </w:rPr>
              <w:t>完整记录</w:t>
            </w:r>
            <w:r>
              <w:rPr>
                <w:rFonts w:hint="eastAsia"/>
                <w:bCs/>
                <w:color w:val="auto"/>
                <w:sz w:val="18"/>
                <w:szCs w:val="18"/>
              </w:rPr>
              <w:t>操作过程</w:t>
            </w:r>
          </w:p>
          <w:p w14:paraId="608C9682">
            <w:pPr>
              <w:snapToGrid w:val="0"/>
              <w:spacing w:line="240" w:lineRule="auto"/>
              <w:rPr>
                <w:bCs/>
                <w:color w:val="auto"/>
                <w:sz w:val="18"/>
                <w:szCs w:val="18"/>
              </w:rPr>
            </w:pPr>
            <w:r>
              <w:rPr>
                <w:rFonts w:hint="eastAsia"/>
                <w:bCs/>
                <w:color w:val="auto"/>
                <w:sz w:val="18"/>
                <w:szCs w:val="18"/>
              </w:rPr>
              <w:t>3.功能、性能、业务验证充分</w:t>
            </w:r>
          </w:p>
        </w:tc>
        <w:tc>
          <w:tcPr>
            <w:tcW w:w="709" w:type="dxa"/>
            <w:vAlign w:val="center"/>
          </w:tcPr>
          <w:p w14:paraId="0C76E02E">
            <w:pPr>
              <w:snapToGrid w:val="0"/>
              <w:spacing w:line="240" w:lineRule="auto"/>
              <w:rPr>
                <w:bCs/>
                <w:color w:val="auto"/>
                <w:sz w:val="18"/>
                <w:szCs w:val="18"/>
              </w:rPr>
            </w:pPr>
            <w:r>
              <w:rPr>
                <w:rFonts w:hint="eastAsia"/>
                <w:bCs/>
                <w:color w:val="auto"/>
                <w:sz w:val="18"/>
                <w:szCs w:val="18"/>
              </w:rPr>
              <w:t>10分</w:t>
            </w:r>
          </w:p>
        </w:tc>
        <w:tc>
          <w:tcPr>
            <w:tcW w:w="708" w:type="dxa"/>
            <w:vAlign w:val="center"/>
          </w:tcPr>
          <w:p w14:paraId="47830E37">
            <w:pPr>
              <w:snapToGrid w:val="0"/>
              <w:spacing w:line="240" w:lineRule="auto"/>
              <w:rPr>
                <w:bCs/>
                <w:color w:val="auto"/>
                <w:sz w:val="18"/>
                <w:szCs w:val="18"/>
              </w:rPr>
            </w:pPr>
            <w:r>
              <w:rPr>
                <w:bCs/>
                <w:color w:val="auto"/>
                <w:sz w:val="18"/>
                <w:szCs w:val="18"/>
              </w:rPr>
              <w:t>　</w:t>
            </w:r>
          </w:p>
        </w:tc>
        <w:tc>
          <w:tcPr>
            <w:tcW w:w="3828" w:type="dxa"/>
            <w:vAlign w:val="center"/>
          </w:tcPr>
          <w:p w14:paraId="09C53517">
            <w:pPr>
              <w:snapToGrid w:val="0"/>
              <w:spacing w:line="240" w:lineRule="auto"/>
              <w:rPr>
                <w:bCs/>
                <w:color w:val="auto"/>
                <w:sz w:val="18"/>
                <w:szCs w:val="18"/>
              </w:rPr>
            </w:pPr>
            <w:r>
              <w:rPr>
                <w:rFonts w:hint="eastAsia"/>
                <w:bCs/>
                <w:color w:val="auto"/>
                <w:sz w:val="18"/>
                <w:szCs w:val="18"/>
              </w:rPr>
              <w:t>1. 重大操作方案内容不完整，关键步骤有缺失的，每次扣1分</w:t>
            </w:r>
          </w:p>
          <w:p w14:paraId="6D92766A">
            <w:pPr>
              <w:snapToGrid w:val="0"/>
              <w:spacing w:line="240" w:lineRule="auto"/>
              <w:rPr>
                <w:bCs/>
                <w:color w:val="auto"/>
                <w:sz w:val="18"/>
                <w:szCs w:val="18"/>
              </w:rPr>
            </w:pPr>
            <w:r>
              <w:rPr>
                <w:rFonts w:hint="eastAsia"/>
                <w:bCs/>
                <w:color w:val="auto"/>
                <w:sz w:val="18"/>
                <w:szCs w:val="18"/>
              </w:rPr>
              <w:t>2. 不按照操作方案执行的，每次扣1分</w:t>
            </w:r>
          </w:p>
          <w:p w14:paraId="26D5B027">
            <w:pPr>
              <w:snapToGrid w:val="0"/>
              <w:spacing w:line="240" w:lineRule="auto"/>
              <w:rPr>
                <w:bCs/>
                <w:color w:val="auto"/>
                <w:sz w:val="18"/>
                <w:szCs w:val="18"/>
              </w:rPr>
            </w:pPr>
            <w:r>
              <w:rPr>
                <w:bCs/>
                <w:color w:val="auto"/>
                <w:sz w:val="18"/>
                <w:szCs w:val="18"/>
              </w:rPr>
              <w:t>3.</w:t>
            </w:r>
            <w:r>
              <w:rPr>
                <w:rFonts w:hint="eastAsia"/>
                <w:bCs/>
                <w:color w:val="auto"/>
                <w:sz w:val="18"/>
                <w:szCs w:val="18"/>
              </w:rPr>
              <w:t xml:space="preserve"> 功能、性能、业务验证不充分影响业务使用的，每次扣1分</w:t>
            </w:r>
          </w:p>
        </w:tc>
      </w:tr>
      <w:tr w14:paraId="4D9BB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jc w:val="center"/>
        </w:trPr>
        <w:tc>
          <w:tcPr>
            <w:tcW w:w="704" w:type="dxa"/>
            <w:vAlign w:val="center"/>
          </w:tcPr>
          <w:p w14:paraId="45F58FAD">
            <w:pPr>
              <w:snapToGrid w:val="0"/>
              <w:spacing w:line="240" w:lineRule="auto"/>
              <w:jc w:val="center"/>
              <w:rPr>
                <w:bCs/>
                <w:color w:val="auto"/>
                <w:sz w:val="18"/>
                <w:szCs w:val="18"/>
              </w:rPr>
            </w:pPr>
            <w:r>
              <w:rPr>
                <w:rFonts w:hint="eastAsia"/>
                <w:bCs/>
                <w:color w:val="auto"/>
                <w:sz w:val="18"/>
                <w:szCs w:val="18"/>
              </w:rPr>
              <w:t>6</w:t>
            </w:r>
          </w:p>
        </w:tc>
        <w:tc>
          <w:tcPr>
            <w:tcW w:w="851" w:type="dxa"/>
            <w:vAlign w:val="center"/>
          </w:tcPr>
          <w:p w14:paraId="7895C646">
            <w:pPr>
              <w:snapToGrid w:val="0"/>
              <w:spacing w:line="240" w:lineRule="auto"/>
              <w:rPr>
                <w:bCs/>
                <w:color w:val="auto"/>
                <w:sz w:val="18"/>
                <w:szCs w:val="18"/>
              </w:rPr>
            </w:pPr>
            <w:r>
              <w:rPr>
                <w:rFonts w:hint="eastAsia"/>
                <w:bCs/>
                <w:color w:val="auto"/>
                <w:sz w:val="18"/>
                <w:szCs w:val="18"/>
              </w:rPr>
              <w:t>配置变更</w:t>
            </w:r>
          </w:p>
        </w:tc>
        <w:tc>
          <w:tcPr>
            <w:tcW w:w="3260" w:type="dxa"/>
            <w:vAlign w:val="center"/>
          </w:tcPr>
          <w:p w14:paraId="24E450E2">
            <w:pPr>
              <w:snapToGrid w:val="0"/>
              <w:spacing w:line="240" w:lineRule="auto"/>
              <w:rPr>
                <w:bCs/>
                <w:color w:val="auto"/>
                <w:sz w:val="18"/>
                <w:szCs w:val="18"/>
              </w:rPr>
            </w:pPr>
            <w:r>
              <w:rPr>
                <w:bCs/>
                <w:color w:val="auto"/>
                <w:sz w:val="18"/>
                <w:szCs w:val="18"/>
              </w:rPr>
              <w:t xml:space="preserve">1. </w:t>
            </w:r>
            <w:r>
              <w:rPr>
                <w:rFonts w:hint="eastAsia"/>
                <w:bCs/>
                <w:color w:val="auto"/>
                <w:sz w:val="18"/>
                <w:szCs w:val="18"/>
              </w:rPr>
              <w:t>准备配置变更方案，申请通过后方可执行</w:t>
            </w:r>
          </w:p>
          <w:p w14:paraId="65FFC5D7">
            <w:pPr>
              <w:snapToGrid w:val="0"/>
              <w:spacing w:line="240" w:lineRule="auto"/>
              <w:rPr>
                <w:bCs/>
                <w:color w:val="auto"/>
                <w:sz w:val="18"/>
                <w:szCs w:val="18"/>
              </w:rPr>
            </w:pPr>
            <w:r>
              <w:rPr>
                <w:bCs/>
                <w:color w:val="auto"/>
                <w:sz w:val="18"/>
                <w:szCs w:val="18"/>
              </w:rPr>
              <w:t>2.</w:t>
            </w:r>
            <w:r>
              <w:rPr>
                <w:rFonts w:hint="eastAsia"/>
                <w:bCs/>
                <w:color w:val="auto"/>
                <w:sz w:val="18"/>
                <w:szCs w:val="18"/>
              </w:rPr>
              <w:t xml:space="preserve"> 严格按照配置变革方案执行，不允许随意修改</w:t>
            </w:r>
          </w:p>
        </w:tc>
        <w:tc>
          <w:tcPr>
            <w:tcW w:w="709" w:type="dxa"/>
            <w:vAlign w:val="center"/>
          </w:tcPr>
          <w:p w14:paraId="2055BDD9">
            <w:pPr>
              <w:snapToGrid w:val="0"/>
              <w:spacing w:line="240" w:lineRule="auto"/>
              <w:rPr>
                <w:bCs/>
                <w:color w:val="auto"/>
                <w:sz w:val="18"/>
                <w:szCs w:val="18"/>
              </w:rPr>
            </w:pPr>
            <w:r>
              <w:rPr>
                <w:rFonts w:hint="eastAsia"/>
                <w:bCs/>
                <w:color w:val="auto"/>
                <w:sz w:val="18"/>
                <w:szCs w:val="18"/>
              </w:rPr>
              <w:t>10</w:t>
            </w:r>
            <w:r>
              <w:rPr>
                <w:bCs/>
                <w:color w:val="auto"/>
                <w:sz w:val="18"/>
                <w:szCs w:val="18"/>
              </w:rPr>
              <w:t>分</w:t>
            </w:r>
          </w:p>
        </w:tc>
        <w:tc>
          <w:tcPr>
            <w:tcW w:w="708" w:type="dxa"/>
            <w:vAlign w:val="center"/>
          </w:tcPr>
          <w:p w14:paraId="1460E129">
            <w:pPr>
              <w:snapToGrid w:val="0"/>
              <w:spacing w:line="240" w:lineRule="auto"/>
              <w:rPr>
                <w:bCs/>
                <w:color w:val="auto"/>
                <w:sz w:val="18"/>
                <w:szCs w:val="18"/>
              </w:rPr>
            </w:pPr>
            <w:r>
              <w:rPr>
                <w:bCs/>
                <w:color w:val="auto"/>
                <w:sz w:val="18"/>
                <w:szCs w:val="18"/>
              </w:rPr>
              <w:t>　</w:t>
            </w:r>
          </w:p>
        </w:tc>
        <w:tc>
          <w:tcPr>
            <w:tcW w:w="3828" w:type="dxa"/>
            <w:vAlign w:val="center"/>
          </w:tcPr>
          <w:p w14:paraId="63AAA5A1">
            <w:pPr>
              <w:snapToGrid w:val="0"/>
              <w:spacing w:line="240" w:lineRule="auto"/>
              <w:rPr>
                <w:bCs/>
                <w:color w:val="auto"/>
                <w:sz w:val="18"/>
                <w:szCs w:val="18"/>
              </w:rPr>
            </w:pPr>
            <w:r>
              <w:rPr>
                <w:bCs/>
                <w:color w:val="auto"/>
                <w:sz w:val="18"/>
                <w:szCs w:val="18"/>
              </w:rPr>
              <w:t>1.</w:t>
            </w:r>
            <w:r>
              <w:rPr>
                <w:rFonts w:hint="eastAsia"/>
                <w:bCs/>
                <w:color w:val="auto"/>
                <w:sz w:val="18"/>
                <w:szCs w:val="18"/>
              </w:rPr>
              <w:t>配置方案内容不完善，关键步骤缺失等，每次扣1分</w:t>
            </w:r>
          </w:p>
          <w:p w14:paraId="24A0F31F">
            <w:pPr>
              <w:snapToGrid w:val="0"/>
              <w:spacing w:line="240" w:lineRule="auto"/>
              <w:rPr>
                <w:bCs/>
                <w:color w:val="auto"/>
                <w:sz w:val="18"/>
                <w:szCs w:val="18"/>
              </w:rPr>
            </w:pPr>
            <w:r>
              <w:rPr>
                <w:rFonts w:hint="eastAsia"/>
                <w:bCs/>
                <w:color w:val="auto"/>
                <w:sz w:val="18"/>
                <w:szCs w:val="18"/>
              </w:rPr>
              <w:t>2</w:t>
            </w:r>
            <w:r>
              <w:rPr>
                <w:bCs/>
                <w:color w:val="auto"/>
                <w:sz w:val="18"/>
                <w:szCs w:val="18"/>
              </w:rPr>
              <w:t>.</w:t>
            </w:r>
            <w:r>
              <w:rPr>
                <w:rFonts w:hint="eastAsia"/>
                <w:bCs/>
                <w:color w:val="auto"/>
                <w:sz w:val="18"/>
                <w:szCs w:val="18"/>
              </w:rPr>
              <w:t>未有配置方案，随意配置数据的，每次扣2分</w:t>
            </w:r>
          </w:p>
        </w:tc>
      </w:tr>
      <w:tr w14:paraId="4E43D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7" w:hRule="atLeast"/>
          <w:jc w:val="center"/>
        </w:trPr>
        <w:tc>
          <w:tcPr>
            <w:tcW w:w="704" w:type="dxa"/>
            <w:vAlign w:val="center"/>
          </w:tcPr>
          <w:p w14:paraId="6A315A74">
            <w:pPr>
              <w:snapToGrid w:val="0"/>
              <w:spacing w:line="240" w:lineRule="auto"/>
              <w:jc w:val="center"/>
              <w:rPr>
                <w:bCs/>
                <w:color w:val="auto"/>
                <w:sz w:val="18"/>
                <w:szCs w:val="18"/>
              </w:rPr>
            </w:pPr>
            <w:r>
              <w:rPr>
                <w:rFonts w:hint="eastAsia"/>
                <w:bCs/>
                <w:color w:val="auto"/>
                <w:sz w:val="18"/>
                <w:szCs w:val="18"/>
              </w:rPr>
              <w:t>7</w:t>
            </w:r>
          </w:p>
        </w:tc>
        <w:tc>
          <w:tcPr>
            <w:tcW w:w="851" w:type="dxa"/>
            <w:vAlign w:val="center"/>
          </w:tcPr>
          <w:p w14:paraId="02680955">
            <w:pPr>
              <w:snapToGrid w:val="0"/>
              <w:spacing w:line="240" w:lineRule="auto"/>
              <w:rPr>
                <w:bCs/>
                <w:color w:val="auto"/>
                <w:sz w:val="18"/>
                <w:szCs w:val="18"/>
              </w:rPr>
            </w:pPr>
            <w:r>
              <w:rPr>
                <w:rFonts w:hint="eastAsia"/>
                <w:bCs/>
                <w:color w:val="auto"/>
                <w:sz w:val="18"/>
                <w:szCs w:val="18"/>
              </w:rPr>
              <w:t>运行报告</w:t>
            </w:r>
          </w:p>
        </w:tc>
        <w:tc>
          <w:tcPr>
            <w:tcW w:w="3260" w:type="dxa"/>
            <w:vAlign w:val="center"/>
          </w:tcPr>
          <w:p w14:paraId="6C3AB8A6">
            <w:pPr>
              <w:snapToGrid w:val="0"/>
              <w:spacing w:line="240" w:lineRule="auto"/>
              <w:rPr>
                <w:bCs/>
                <w:color w:val="auto"/>
                <w:sz w:val="18"/>
                <w:szCs w:val="18"/>
              </w:rPr>
            </w:pPr>
            <w:r>
              <w:rPr>
                <w:bCs/>
                <w:color w:val="auto"/>
                <w:sz w:val="18"/>
                <w:szCs w:val="18"/>
              </w:rPr>
              <w:t>1.按时</w:t>
            </w:r>
            <w:r>
              <w:rPr>
                <w:rFonts w:hint="eastAsia"/>
                <w:bCs/>
                <w:color w:val="auto"/>
                <w:sz w:val="18"/>
                <w:szCs w:val="18"/>
              </w:rPr>
              <w:t>提交运行维护报告</w:t>
            </w:r>
          </w:p>
          <w:p w14:paraId="23CAB00B">
            <w:pPr>
              <w:snapToGrid w:val="0"/>
              <w:spacing w:line="240" w:lineRule="auto"/>
              <w:rPr>
                <w:bCs/>
                <w:color w:val="auto"/>
                <w:sz w:val="18"/>
                <w:szCs w:val="18"/>
              </w:rPr>
            </w:pPr>
            <w:r>
              <w:rPr>
                <w:bCs/>
                <w:color w:val="auto"/>
                <w:sz w:val="18"/>
                <w:szCs w:val="18"/>
              </w:rPr>
              <w:t>2.</w:t>
            </w:r>
            <w:r>
              <w:rPr>
                <w:rFonts w:hint="eastAsia"/>
                <w:bCs/>
                <w:color w:val="auto"/>
                <w:sz w:val="18"/>
                <w:szCs w:val="18"/>
              </w:rPr>
              <w:t>报告内容</w:t>
            </w:r>
            <w:r>
              <w:rPr>
                <w:bCs/>
                <w:color w:val="auto"/>
                <w:sz w:val="18"/>
                <w:szCs w:val="18"/>
              </w:rPr>
              <w:t>完整</w:t>
            </w:r>
            <w:r>
              <w:rPr>
                <w:rFonts w:hint="eastAsia"/>
                <w:bCs/>
                <w:color w:val="auto"/>
                <w:sz w:val="18"/>
                <w:szCs w:val="18"/>
              </w:rPr>
              <w:t>，数据准确。</w:t>
            </w:r>
            <w:r>
              <w:rPr>
                <w:bCs/>
                <w:color w:val="auto"/>
                <w:sz w:val="18"/>
                <w:szCs w:val="18"/>
              </w:rPr>
              <w:t>记录所有作业结果，确保数据及时提交、内容真实有效</w:t>
            </w:r>
          </w:p>
        </w:tc>
        <w:tc>
          <w:tcPr>
            <w:tcW w:w="709" w:type="dxa"/>
            <w:vAlign w:val="center"/>
          </w:tcPr>
          <w:p w14:paraId="31D06A97">
            <w:pPr>
              <w:snapToGrid w:val="0"/>
              <w:spacing w:line="240" w:lineRule="auto"/>
              <w:rPr>
                <w:bCs/>
                <w:color w:val="auto"/>
                <w:sz w:val="18"/>
                <w:szCs w:val="18"/>
              </w:rPr>
            </w:pPr>
            <w:r>
              <w:rPr>
                <w:rFonts w:hint="eastAsia"/>
                <w:bCs/>
                <w:color w:val="auto"/>
                <w:sz w:val="18"/>
                <w:szCs w:val="18"/>
              </w:rPr>
              <w:t>10分</w:t>
            </w:r>
          </w:p>
        </w:tc>
        <w:tc>
          <w:tcPr>
            <w:tcW w:w="708" w:type="dxa"/>
            <w:vAlign w:val="center"/>
          </w:tcPr>
          <w:p w14:paraId="2395FF78">
            <w:pPr>
              <w:snapToGrid w:val="0"/>
              <w:spacing w:line="240" w:lineRule="auto"/>
              <w:rPr>
                <w:bCs/>
                <w:color w:val="auto"/>
                <w:sz w:val="18"/>
                <w:szCs w:val="18"/>
              </w:rPr>
            </w:pPr>
            <w:r>
              <w:rPr>
                <w:bCs/>
                <w:color w:val="auto"/>
                <w:sz w:val="18"/>
                <w:szCs w:val="18"/>
              </w:rPr>
              <w:t>　</w:t>
            </w:r>
          </w:p>
        </w:tc>
        <w:tc>
          <w:tcPr>
            <w:tcW w:w="3828" w:type="dxa"/>
            <w:vAlign w:val="center"/>
          </w:tcPr>
          <w:p w14:paraId="4C76658D">
            <w:pPr>
              <w:snapToGrid w:val="0"/>
              <w:spacing w:line="240" w:lineRule="auto"/>
              <w:rPr>
                <w:bCs/>
                <w:color w:val="auto"/>
                <w:sz w:val="18"/>
                <w:szCs w:val="18"/>
              </w:rPr>
            </w:pPr>
            <w:r>
              <w:rPr>
                <w:bCs/>
                <w:color w:val="auto"/>
                <w:sz w:val="18"/>
                <w:szCs w:val="18"/>
              </w:rPr>
              <w:t>1.未</w:t>
            </w:r>
            <w:r>
              <w:rPr>
                <w:rFonts w:hint="eastAsia"/>
                <w:bCs/>
                <w:color w:val="auto"/>
                <w:sz w:val="18"/>
                <w:szCs w:val="18"/>
              </w:rPr>
              <w:t>按时提交运行维护报告的</w:t>
            </w:r>
            <w:r>
              <w:rPr>
                <w:bCs/>
                <w:color w:val="auto"/>
                <w:sz w:val="18"/>
                <w:szCs w:val="18"/>
              </w:rPr>
              <w:t>，每出现一次扣1分，累计2次本项不得分</w:t>
            </w:r>
          </w:p>
          <w:p w14:paraId="7522AC95">
            <w:pPr>
              <w:snapToGrid w:val="0"/>
              <w:spacing w:line="240" w:lineRule="auto"/>
              <w:rPr>
                <w:bCs/>
                <w:color w:val="auto"/>
                <w:sz w:val="18"/>
                <w:szCs w:val="18"/>
              </w:rPr>
            </w:pPr>
            <w:r>
              <w:rPr>
                <w:bCs/>
                <w:color w:val="auto"/>
                <w:sz w:val="18"/>
                <w:szCs w:val="18"/>
              </w:rPr>
              <w:t>2.</w:t>
            </w:r>
            <w:r>
              <w:rPr>
                <w:rFonts w:hint="eastAsia"/>
                <w:bCs/>
                <w:color w:val="auto"/>
                <w:sz w:val="18"/>
                <w:szCs w:val="18"/>
              </w:rPr>
              <w:t>报告内容</w:t>
            </w:r>
            <w:r>
              <w:rPr>
                <w:bCs/>
                <w:color w:val="auto"/>
                <w:sz w:val="18"/>
                <w:szCs w:val="18"/>
              </w:rPr>
              <w:t>不完整、</w:t>
            </w:r>
            <w:r>
              <w:rPr>
                <w:rFonts w:hint="eastAsia"/>
                <w:bCs/>
                <w:color w:val="auto"/>
                <w:sz w:val="18"/>
                <w:szCs w:val="18"/>
              </w:rPr>
              <w:t>数据不准确的</w:t>
            </w:r>
            <w:r>
              <w:rPr>
                <w:bCs/>
                <w:color w:val="auto"/>
                <w:sz w:val="18"/>
                <w:szCs w:val="18"/>
              </w:rPr>
              <w:t>，每出现一次扣0.5分，扣完为止</w:t>
            </w:r>
          </w:p>
        </w:tc>
      </w:tr>
      <w:tr w14:paraId="4ED22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0060" w:type="dxa"/>
            <w:gridSpan w:val="6"/>
            <w:shd w:val="clear" w:color="auto" w:fill="9FD3A4" w:themeFill="background1" w:themeFillShade="D9"/>
            <w:noWrap/>
            <w:vAlign w:val="center"/>
          </w:tcPr>
          <w:p w14:paraId="0E00C6AA">
            <w:pPr>
              <w:snapToGrid w:val="0"/>
              <w:spacing w:line="240" w:lineRule="auto"/>
              <w:rPr>
                <w:color w:val="auto"/>
                <w:sz w:val="24"/>
              </w:rPr>
            </w:pPr>
            <w:r>
              <w:rPr>
                <w:rFonts w:hint="eastAsia"/>
                <w:color w:val="auto"/>
                <w:sz w:val="24"/>
              </w:rPr>
              <w:t>三、服务质量指标（10分）</w:t>
            </w:r>
          </w:p>
        </w:tc>
      </w:tr>
      <w:tr w14:paraId="23D14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704" w:type="dxa"/>
            <w:vAlign w:val="center"/>
          </w:tcPr>
          <w:p w14:paraId="6F7C86AC">
            <w:pPr>
              <w:snapToGrid w:val="0"/>
              <w:spacing w:line="240" w:lineRule="auto"/>
              <w:jc w:val="center"/>
              <w:rPr>
                <w:bCs/>
                <w:color w:val="auto"/>
                <w:sz w:val="18"/>
                <w:szCs w:val="18"/>
                <w:highlight w:val="none"/>
              </w:rPr>
            </w:pPr>
            <w:r>
              <w:rPr>
                <w:rFonts w:hint="eastAsia"/>
                <w:bCs/>
                <w:color w:val="auto"/>
                <w:sz w:val="18"/>
                <w:szCs w:val="18"/>
                <w:highlight w:val="none"/>
              </w:rPr>
              <w:t>8</w:t>
            </w:r>
          </w:p>
        </w:tc>
        <w:tc>
          <w:tcPr>
            <w:tcW w:w="851" w:type="dxa"/>
            <w:vAlign w:val="center"/>
          </w:tcPr>
          <w:p w14:paraId="174756DE">
            <w:pPr>
              <w:snapToGrid w:val="0"/>
              <w:spacing w:line="240" w:lineRule="auto"/>
              <w:rPr>
                <w:bCs/>
                <w:color w:val="auto"/>
                <w:sz w:val="18"/>
                <w:szCs w:val="18"/>
                <w:highlight w:val="none"/>
              </w:rPr>
            </w:pPr>
            <w:r>
              <w:rPr>
                <w:rFonts w:hint="eastAsia"/>
                <w:bCs/>
                <w:color w:val="auto"/>
                <w:sz w:val="18"/>
                <w:szCs w:val="18"/>
                <w:highlight w:val="none"/>
              </w:rPr>
              <w:t>用户满意度</w:t>
            </w:r>
          </w:p>
        </w:tc>
        <w:tc>
          <w:tcPr>
            <w:tcW w:w="3260" w:type="dxa"/>
            <w:vAlign w:val="center"/>
          </w:tcPr>
          <w:p w14:paraId="6BEF5A72">
            <w:pPr>
              <w:snapToGrid w:val="0"/>
              <w:spacing w:line="240" w:lineRule="auto"/>
              <w:rPr>
                <w:bCs/>
                <w:color w:val="auto"/>
                <w:sz w:val="18"/>
                <w:szCs w:val="18"/>
                <w:highlight w:val="none"/>
              </w:rPr>
            </w:pPr>
            <w:r>
              <w:rPr>
                <w:bCs/>
                <w:color w:val="auto"/>
                <w:sz w:val="18"/>
                <w:szCs w:val="18"/>
                <w:highlight w:val="none"/>
              </w:rPr>
              <w:t>内部/外部用户对运维服务的评价</w:t>
            </w:r>
          </w:p>
        </w:tc>
        <w:tc>
          <w:tcPr>
            <w:tcW w:w="709" w:type="dxa"/>
            <w:vAlign w:val="center"/>
          </w:tcPr>
          <w:p w14:paraId="586DBC3A">
            <w:pPr>
              <w:snapToGrid w:val="0"/>
              <w:spacing w:line="240" w:lineRule="auto"/>
              <w:rPr>
                <w:bCs/>
                <w:color w:val="auto"/>
                <w:sz w:val="18"/>
                <w:szCs w:val="18"/>
                <w:highlight w:val="none"/>
              </w:rPr>
            </w:pPr>
            <w:r>
              <w:rPr>
                <w:rFonts w:hint="eastAsia"/>
                <w:bCs/>
                <w:color w:val="auto"/>
                <w:sz w:val="18"/>
                <w:szCs w:val="18"/>
                <w:highlight w:val="none"/>
              </w:rPr>
              <w:t>5</w:t>
            </w:r>
            <w:r>
              <w:rPr>
                <w:bCs/>
                <w:color w:val="auto"/>
                <w:sz w:val="18"/>
                <w:szCs w:val="18"/>
                <w:highlight w:val="none"/>
              </w:rPr>
              <w:t>分</w:t>
            </w:r>
          </w:p>
        </w:tc>
        <w:tc>
          <w:tcPr>
            <w:tcW w:w="708" w:type="dxa"/>
            <w:vAlign w:val="center"/>
          </w:tcPr>
          <w:p w14:paraId="04DADDCF">
            <w:pPr>
              <w:snapToGrid w:val="0"/>
              <w:spacing w:line="240" w:lineRule="auto"/>
              <w:rPr>
                <w:bCs/>
                <w:color w:val="auto"/>
                <w:sz w:val="18"/>
                <w:szCs w:val="18"/>
                <w:highlight w:val="none"/>
              </w:rPr>
            </w:pPr>
            <w:r>
              <w:rPr>
                <w:bCs/>
                <w:color w:val="auto"/>
                <w:sz w:val="18"/>
                <w:szCs w:val="18"/>
                <w:highlight w:val="none"/>
              </w:rPr>
              <w:t>　</w:t>
            </w:r>
          </w:p>
        </w:tc>
        <w:tc>
          <w:tcPr>
            <w:tcW w:w="3828" w:type="dxa"/>
            <w:vAlign w:val="center"/>
          </w:tcPr>
          <w:p w14:paraId="3C765CC2">
            <w:pPr>
              <w:snapToGrid w:val="0"/>
              <w:spacing w:line="240" w:lineRule="auto"/>
              <w:rPr>
                <w:bCs/>
                <w:color w:val="auto"/>
                <w:sz w:val="18"/>
                <w:szCs w:val="18"/>
                <w:highlight w:val="none"/>
              </w:rPr>
            </w:pPr>
            <w:r>
              <w:rPr>
                <w:rFonts w:hint="eastAsia"/>
                <w:color w:val="auto"/>
                <w:sz w:val="18"/>
                <w:highlight w:val="none"/>
              </w:rPr>
              <w:t>反馈正式盖公章表扬函件</w:t>
            </w:r>
            <w:r>
              <w:rPr>
                <w:bCs/>
                <w:color w:val="auto"/>
                <w:sz w:val="18"/>
                <w:szCs w:val="18"/>
                <w:highlight w:val="none"/>
              </w:rPr>
              <w:t>+3分，不满意扣5分</w:t>
            </w:r>
          </w:p>
        </w:tc>
      </w:tr>
      <w:tr w14:paraId="3F082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704" w:type="dxa"/>
            <w:vAlign w:val="center"/>
          </w:tcPr>
          <w:p w14:paraId="2EE2E7DF">
            <w:pPr>
              <w:snapToGrid w:val="0"/>
              <w:spacing w:line="240" w:lineRule="auto"/>
              <w:jc w:val="center"/>
              <w:rPr>
                <w:bCs/>
                <w:color w:val="auto"/>
                <w:sz w:val="18"/>
                <w:szCs w:val="18"/>
              </w:rPr>
            </w:pPr>
            <w:r>
              <w:rPr>
                <w:rFonts w:hint="eastAsia"/>
                <w:bCs/>
                <w:color w:val="auto"/>
                <w:sz w:val="18"/>
                <w:szCs w:val="18"/>
              </w:rPr>
              <w:t>9</w:t>
            </w:r>
          </w:p>
        </w:tc>
        <w:tc>
          <w:tcPr>
            <w:tcW w:w="851" w:type="dxa"/>
            <w:vAlign w:val="center"/>
          </w:tcPr>
          <w:p w14:paraId="51E6121A">
            <w:pPr>
              <w:snapToGrid w:val="0"/>
              <w:spacing w:line="240" w:lineRule="auto"/>
              <w:rPr>
                <w:bCs/>
                <w:color w:val="auto"/>
                <w:sz w:val="18"/>
                <w:szCs w:val="18"/>
              </w:rPr>
            </w:pPr>
            <w:r>
              <w:rPr>
                <w:rFonts w:hint="eastAsia"/>
                <w:bCs/>
                <w:color w:val="auto"/>
                <w:sz w:val="18"/>
                <w:szCs w:val="18"/>
              </w:rPr>
              <w:t>投诉处理</w:t>
            </w:r>
          </w:p>
        </w:tc>
        <w:tc>
          <w:tcPr>
            <w:tcW w:w="3260" w:type="dxa"/>
            <w:vAlign w:val="center"/>
          </w:tcPr>
          <w:p w14:paraId="50641A5D">
            <w:pPr>
              <w:snapToGrid w:val="0"/>
              <w:spacing w:line="240" w:lineRule="auto"/>
              <w:rPr>
                <w:bCs/>
                <w:color w:val="auto"/>
                <w:sz w:val="18"/>
                <w:szCs w:val="18"/>
              </w:rPr>
            </w:pPr>
            <w:r>
              <w:rPr>
                <w:bCs/>
                <w:color w:val="auto"/>
                <w:sz w:val="18"/>
                <w:szCs w:val="18"/>
              </w:rPr>
              <w:t>被客户或其他部门书面投诉，经核实，责任在维护技术服务团队</w:t>
            </w:r>
          </w:p>
        </w:tc>
        <w:tc>
          <w:tcPr>
            <w:tcW w:w="709" w:type="dxa"/>
            <w:vAlign w:val="center"/>
          </w:tcPr>
          <w:p w14:paraId="2B542F2E">
            <w:pPr>
              <w:snapToGrid w:val="0"/>
              <w:spacing w:line="240" w:lineRule="auto"/>
              <w:rPr>
                <w:bCs/>
                <w:color w:val="auto"/>
                <w:sz w:val="18"/>
                <w:szCs w:val="18"/>
              </w:rPr>
            </w:pPr>
            <w:r>
              <w:rPr>
                <w:rFonts w:hint="eastAsia"/>
                <w:bCs/>
                <w:color w:val="auto"/>
                <w:sz w:val="18"/>
                <w:szCs w:val="18"/>
              </w:rPr>
              <w:t>5分</w:t>
            </w:r>
          </w:p>
        </w:tc>
        <w:tc>
          <w:tcPr>
            <w:tcW w:w="708" w:type="dxa"/>
            <w:vAlign w:val="center"/>
          </w:tcPr>
          <w:p w14:paraId="57A2B440">
            <w:pPr>
              <w:snapToGrid w:val="0"/>
              <w:spacing w:line="240" w:lineRule="auto"/>
              <w:rPr>
                <w:bCs/>
                <w:color w:val="auto"/>
                <w:sz w:val="18"/>
                <w:szCs w:val="18"/>
              </w:rPr>
            </w:pPr>
            <w:r>
              <w:rPr>
                <w:bCs/>
                <w:color w:val="auto"/>
                <w:sz w:val="18"/>
                <w:szCs w:val="18"/>
              </w:rPr>
              <w:t>　</w:t>
            </w:r>
          </w:p>
        </w:tc>
        <w:tc>
          <w:tcPr>
            <w:tcW w:w="3828" w:type="dxa"/>
            <w:vAlign w:val="center"/>
          </w:tcPr>
          <w:p w14:paraId="09B9FC13">
            <w:pPr>
              <w:snapToGrid w:val="0"/>
              <w:spacing w:line="240" w:lineRule="auto"/>
              <w:rPr>
                <w:bCs/>
                <w:color w:val="auto"/>
                <w:sz w:val="18"/>
                <w:szCs w:val="18"/>
              </w:rPr>
            </w:pPr>
            <w:r>
              <w:rPr>
                <w:bCs/>
                <w:color w:val="auto"/>
                <w:sz w:val="18"/>
                <w:szCs w:val="18"/>
              </w:rPr>
              <w:t>投诉一次扣5分</w:t>
            </w:r>
          </w:p>
        </w:tc>
      </w:tr>
    </w:tbl>
    <w:p w14:paraId="0CA736A6">
      <w:pPr>
        <w:rPr>
          <w:color w:val="auto"/>
        </w:rPr>
      </w:pPr>
      <w:r>
        <w:rPr>
          <w:rFonts w:hint="eastAsia"/>
          <w:bCs/>
          <w:color w:val="auto"/>
          <w:sz w:val="18"/>
          <w:szCs w:val="18"/>
        </w:rPr>
        <w:t>注：网络性能指标，排除外部因素导致的不可用和不在线情况。工单处理时限等排除外部因素导致的超时</w:t>
      </w:r>
    </w:p>
    <w:p w14:paraId="0EEBA574">
      <w:pPr>
        <w:rPr>
          <w:color w:val="auto"/>
        </w:rPr>
      </w:pPr>
    </w:p>
    <w:p w14:paraId="7DFD326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幼圆">
    <w:panose1 w:val="02010509060101010101"/>
    <w:charset w:val="86"/>
    <w:family w:val="modern"/>
    <w:pitch w:val="default"/>
    <w:sig w:usb0="00000001" w:usb1="080E0000" w:usb2="00000000" w:usb3="00000000" w:csb0="00040000" w:csb1="00000000"/>
  </w:font>
  <w:font w:name="Noto Sans CJK SC">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10574E"/>
    <w:multiLevelType w:val="multilevel"/>
    <w:tmpl w:val="2310574E"/>
    <w:lvl w:ilvl="0" w:tentative="0">
      <w:start w:val="1"/>
      <w:numFmt w:val="japaneseCounting"/>
      <w:lvlText w:val="（%1）"/>
      <w:lvlJc w:val="left"/>
      <w:pPr>
        <w:ind w:left="1176" w:hanging="756"/>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1">
    <w:nsid w:val="257D642A"/>
    <w:multiLevelType w:val="multilevel"/>
    <w:tmpl w:val="257D642A"/>
    <w:lvl w:ilvl="0" w:tentative="0">
      <w:start w:val="1"/>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7AC2BB5"/>
    <w:rsid w:val="30B81F2E"/>
    <w:rsid w:val="379D3CBB"/>
    <w:rsid w:val="66A007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9"/>
    <w:qFormat/>
    <w:uiPriority w:val="0"/>
    <w:pPr>
      <w:keepNext/>
      <w:keepLines/>
      <w:spacing w:before="340" w:line="579" w:lineRule="auto"/>
      <w:jc w:val="center"/>
      <w:outlineLvl w:val="0"/>
    </w:pPr>
    <w:rPr>
      <w:rFonts w:eastAsia="黑体" w:asciiTheme="minorAscii" w:hAnsiTheme="minorAscii"/>
      <w:b/>
      <w:bCs/>
      <w:kern w:val="44"/>
      <w:sz w:val="32"/>
      <w:szCs w:val="44"/>
      <w:lang w:eastAsia="en-US"/>
    </w:rPr>
  </w:style>
  <w:style w:type="paragraph" w:styleId="3">
    <w:name w:val="heading 2"/>
    <w:basedOn w:val="1"/>
    <w:next w:val="1"/>
    <w:semiHidden/>
    <w:unhideWhenUsed/>
    <w:qFormat/>
    <w:uiPriority w:val="0"/>
    <w:pPr>
      <w:keepNext/>
      <w:keepLines/>
      <w:spacing w:beforeLines="0" w:beforeAutospacing="0" w:afterLines="0" w:afterAutospacing="0" w:line="360" w:lineRule="auto"/>
      <w:outlineLvl w:val="1"/>
    </w:pPr>
    <w:rPr>
      <w:rFonts w:ascii="Arial" w:hAnsi="Arial" w:eastAsia="宋体"/>
      <w:b/>
    </w:rPr>
  </w:style>
  <w:style w:type="character" w:default="1" w:styleId="8">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0"/>
    <w:pPr>
      <w:jc w:val="center"/>
    </w:pPr>
    <w:rPr>
      <w:rFonts w:eastAsia="幼圆"/>
      <w:b/>
      <w:bCs/>
      <w:sz w:val="44"/>
    </w:rPr>
  </w:style>
  <w:style w:type="paragraph" w:styleId="5">
    <w:name w:val="footer"/>
    <w:basedOn w:val="1"/>
    <w:unhideWhenUsed/>
    <w:qFormat/>
    <w:uiPriority w:val="99"/>
    <w:pPr>
      <w:widowControl w:val="0"/>
      <w:tabs>
        <w:tab w:val="center" w:pos="4153"/>
        <w:tab w:val="right" w:pos="8306"/>
      </w:tabs>
      <w:snapToGrid w:val="0"/>
      <w:spacing w:line="240" w:lineRule="auto"/>
    </w:pPr>
    <w:rPr>
      <w:rFonts w:asciiTheme="minorHAnsi" w:hAnsiTheme="minorHAnsi" w:eastAsiaTheme="minorEastAsia"/>
      <w:color w:val="auto"/>
      <w:sz w:val="18"/>
      <w:szCs w:val="18"/>
      <w14:ligatures w14:val="none"/>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标题 1 字符"/>
    <w:basedOn w:val="8"/>
    <w:link w:val="2"/>
    <w:qFormat/>
    <w:uiPriority w:val="9"/>
    <w:rPr>
      <w:rFonts w:eastAsia="黑体" w:asciiTheme="minorAscii" w:hAnsiTheme="minorAscii"/>
      <w:b/>
      <w:bCs/>
      <w:kern w:val="44"/>
      <w:sz w:val="32"/>
      <w:szCs w:val="44"/>
      <w:lang w:eastAsia="en-US"/>
    </w:rPr>
  </w:style>
  <w:style w:type="paragraph" w:customStyle="1" w:styleId="10">
    <w:name w:val="彩色列表 - 着色 12"/>
    <w:basedOn w:val="1"/>
    <w:qFormat/>
    <w:uiPriority w:val="99"/>
    <w:pPr>
      <w:spacing w:line="360" w:lineRule="auto"/>
      <w:ind w:firstLine="420" w:firstLineChars="200"/>
    </w:pPr>
    <w:rPr>
      <w:kern w:val="0"/>
      <w:sz w:val="20"/>
    </w:rPr>
  </w:style>
  <w:style w:type="table" w:customStyle="1" w:styleId="11">
    <w:name w:val="网格型1"/>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2">
    <w:name w:val="acbfdd8b-e11b-4d36-88ff-6049b138f862"/>
    <w:basedOn w:val="4"/>
    <w:qFormat/>
    <w:uiPriority w:val="0"/>
    <w:pPr>
      <w:adjustRightInd w:val="0"/>
      <w:spacing w:line="288" w:lineRule="auto"/>
      <w:jc w:val="left"/>
    </w:pPr>
    <w:rPr>
      <w:rFonts w:ascii="微软雅黑" w:hAnsi="微软雅黑" w:eastAsia="微软雅黑" w:cs="仿宋"/>
      <w:b w:val="0"/>
      <w:color w:val="000000"/>
      <w:sz w:val="22"/>
    </w:rPr>
  </w:style>
  <w:style w:type="paragraph" w:styleId="13">
    <w:name w:val="List Paragraph"/>
    <w:basedOn w:val="1"/>
    <w:qFormat/>
    <w:uiPriority w:val="34"/>
    <w:pPr>
      <w:widowControl w:val="0"/>
      <w:spacing w:line="240" w:lineRule="auto"/>
      <w:ind w:left="720"/>
      <w:contextualSpacing/>
      <w:jc w:val="both"/>
    </w:pPr>
    <w:rPr>
      <w:rFonts w:asciiTheme="minorHAnsi" w:hAnsiTheme="minorHAnsi" w:eastAsiaTheme="minorEastAsia"/>
      <w:color w:val="auto"/>
      <w:sz w:val="21"/>
      <w:szCs w:val="22"/>
      <w14:ligatures w14: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2022-08-03T00:45:00Z</dcterms:created>
  <dc:creator>hengn</dc:creator>
  <cp:lastModifiedBy>浅忆丶。²⁰²⁰</cp:lastModifiedBy>
  <dcterms:modified xsi:type="dcterms:W3CDTF">2026-08-14T08:37:29Z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DB628C5178F54950860C2751DF617DFC</vt:lpwstr>
  </property>
  <property fmtid="{D5CDD505-2E9C-101B-9397-08002B2CF9AE}" pid="4" name="KSOTemplateDocerSaveRecord">
    <vt:lpwstr>eyJoZGlkIjoiMTk5ZTBkOWM3MjYyNGEwMjEyZTI0YzdhYjkzNDgzNWEiLCJ1c2VySWQiOiI4OTA5MTA3MDQifQ==</vt:lpwstr>
  </property>
</Properties>
</file>