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48"/>
          <w:szCs w:val="48"/>
        </w:rPr>
      </w:pPr>
      <w:r>
        <w:rPr>
          <w:rFonts w:ascii="Arial" w:hAnsi="Arial" w:eastAsia="黑体"/>
          <w:b/>
          <w:bCs/>
          <w:sz w:val="48"/>
          <w:szCs w:val="48"/>
        </w:rPr>
      </w:r>
      <w:r/>
    </w:p>
    <w:p>
      <w:pPr>
        <w:jc w:val="center"/>
        <w:spacing w:before="120" w:after="120" w:line="400" w:lineRule="exact"/>
        <w:rPr>
          <w:rFonts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t xml:space="preserve">招　标　文　件</w:t>
      </w:r>
      <w:r/>
    </w:p>
    <w:p>
      <w:pPr>
        <w:ind w:firstLine="562"/>
        <w:jc w:val="left"/>
        <w:spacing w:before="120" w:after="120" w:line="400" w:lineRule="exact"/>
        <w:rPr>
          <w:rFonts w:ascii="Arial" w:hAnsi="Arial"/>
          <w:b/>
          <w:bCs/>
          <w:sz w:val="28"/>
          <w:szCs w:val="28"/>
        </w:rPr>
      </w:pPr>
      <w:r>
        <w:rPr>
          <w:rFonts w:ascii="Arial" w:hAnsi="Arial"/>
          <w:b/>
          <w:bCs/>
          <w:sz w:val="28"/>
          <w:szCs w:val="28"/>
        </w:rPr>
      </w:r>
      <w:r/>
    </w:p>
    <w:p>
      <w:pPr>
        <w:jc w:val="left"/>
        <w:spacing w:before="120" w:after="120"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项目名称：南京中医药大学服务器采购</w:t>
      </w:r>
      <w:r>
        <w:rPr>
          <w:rFonts w:hint="eastAsia" w:ascii="微软雅黑" w:hAnsi="微软雅黑" w:eastAsia="微软雅黑" w:cs="微软雅黑"/>
          <w:sz w:val="28"/>
          <w:szCs w:val="28"/>
        </w:rPr>
        <w:t xml:space="preserve">项</w:t>
      </w:r>
      <w:r>
        <w:rPr>
          <w:rFonts w:hint="eastAsia" w:ascii="Malgun Gothic" w:hAnsi="Malgun Gothic" w:eastAsia="Malgun Gothic" w:cs="Malgun Gothic"/>
          <w:sz w:val="28"/>
          <w:szCs w:val="28"/>
        </w:rPr>
        <w:t xml:space="preserve">目</w:t>
      </w:r>
      <w:r/>
    </w:p>
    <w:p>
      <w:pPr>
        <w:spacing w:before="120" w:after="120"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JSZC-320000-SCZX-G2026-0279</w:t>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66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jc w:val="center"/>
        <w:spacing w:before="120" w:after="120"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jc w:val="center"/>
        <w:spacing w:before="120" w:after="120"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_</w:t>
      </w:r>
      <w:r>
        <w:rPr>
          <w:rFonts w:hint="eastAsia" w:ascii="方正黑体_GBK" w:hAnsi="方正黑体_GBK" w:eastAsia="方正黑体_GBK" w:cs="方正黑体_GBK"/>
          <w:sz w:val="28"/>
          <w:szCs w:val="28"/>
          <w:u w:val="single"/>
        </w:rPr>
        <w:t xml:space="preserve">2026</w:t>
      </w:r>
      <w:r>
        <w:rPr>
          <w:rFonts w:hint="eastAsia" w:ascii="方正黑体_GBK" w:hAnsi="方正黑体_GBK" w:eastAsia="方正黑体_GBK" w:cs="方正黑体_GBK"/>
          <w:sz w:val="28"/>
          <w:szCs w:val="28"/>
        </w:rPr>
        <w:t xml:space="preserve">_年 </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b/>
          <w:bCs/>
          <w:sz w:val="28"/>
          <w:szCs w:val="28"/>
          <w:u w:val="single"/>
        </w:rPr>
        <w:t xml:space="preserve">7 </w:t>
      </w:r>
      <w:r>
        <w:rPr>
          <w:rFonts w:hint="eastAsia" w:ascii="方正黑体_GBK" w:hAnsi="方正黑体_GBK" w:eastAsia="方正黑体_GBK" w:cs="方正黑体_GBK"/>
          <w:b/>
          <w:bCs/>
          <w:sz w:val="28"/>
          <w:szCs w:val="28"/>
        </w:rPr>
        <w:t xml:space="preserve"> </w:t>
      </w:r>
      <w:r>
        <w:rPr>
          <w:rFonts w:hint="eastAsia" w:ascii="方正黑体_GBK" w:hAnsi="方正黑体_GBK" w:eastAsia="方正黑体_GBK" w:cs="方正黑体_GBK"/>
          <w:sz w:val="28"/>
          <w:szCs w:val="28"/>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660" w:lineRule="exact"/>
        <w:rPr>
          <w:rFonts w:ascii="黑体" w:hAnsi="Arial" w:eastAsia="黑体"/>
          <w:b/>
          <w:sz w:val="28"/>
          <w:szCs w:val="28"/>
        </w:rPr>
        <w:outlineLvl w:val="0"/>
      </w:pPr>
      <w:r>
        <w:rPr>
          <w:szCs w:val="21"/>
        </w:rPr>
        <w:br w:type="page" w:clear="all"/>
      </w:r>
      <w:bookmarkStart w:id="0" w:name="_Toc233969276"/>
      <w:r/>
      <w:bookmarkStart w:id="1" w:name="_Toc120614210"/>
      <w:r/>
      <w:bookmarkStart w:id="2" w:name="_Toc513029200"/>
      <w:r/>
      <w:bookmarkStart w:id="3" w:name="_Toc479757206"/>
      <w:r/>
      <w:bookmarkStart w:id="4" w:name="_Toc16938516"/>
      <w:r/>
      <w:bookmarkStart w:id="5" w:name="_Toc20823272"/>
      <w:r/>
      <w:bookmarkStart w:id="6" w:name="_Toc523127445"/>
      <w:r>
        <w:rPr>
          <w:rFonts w:hint="eastAsia" w:ascii="方正黑体_GBK" w:hAnsi="方正黑体_GBK" w:eastAsia="方正黑体_GBK" w:cs="方正黑体_GBK"/>
          <w:bCs/>
          <w:sz w:val="28"/>
          <w:szCs w:val="28"/>
        </w:rPr>
        <w:t xml:space="preserve">总  目  录</w:t>
      </w:r>
      <w:bookmarkEnd w:id="0"/>
      <w:r/>
      <w:r/>
    </w:p>
    <w:p>
      <w:pPr>
        <w:pStyle w:val="794"/>
        <w:rPr>
          <w:rFonts w:hint="eastAsia" w:ascii="等线" w:hAnsi="等线" w:eastAsia="等线"/>
          <w:caps w:val="0"/>
          <w:sz w:val="22"/>
        </w:rPr>
      </w:pPr>
      <w:r>
        <w:rPr>
          <w:b/>
          <w:bCs/>
          <w:sz w:val="36"/>
          <w:szCs w:val="36"/>
        </w:rPr>
        <w:fldChar w:fldCharType="begin"/>
      </w:r>
      <w:r>
        <w:rPr>
          <w:b/>
          <w:bCs/>
          <w:sz w:val="36"/>
          <w:szCs w:val="36"/>
        </w:rPr>
        <w:instrText xml:space="preserve"> TOC \o "1-1" \u </w:instrText>
      </w:r>
      <w:r>
        <w:rPr>
          <w:b/>
          <w:bCs/>
          <w:sz w:val="36"/>
          <w:szCs w:val="36"/>
        </w:rPr>
        <w:fldChar w:fldCharType="separate"/>
      </w:r>
      <w:r>
        <w:rPr>
          <w:rFonts w:hint="eastAsia" w:ascii="方正黑体_GBK" w:hAnsi="方正黑体_GBK" w:eastAsia="方正黑体_GBK" w:cs="方正黑体_GBK"/>
          <w:bCs/>
        </w:rPr>
        <w:t xml:space="preserve">总  目  录</w:t>
      </w:r>
      <w:r>
        <w:rPr>
          <w:rFonts w:hint="eastAsia"/>
        </w:rPr>
        <w:tab/>
      </w:r>
      <w:r>
        <w:rPr>
          <w:rFonts w:hint="eastAsia"/>
        </w:rPr>
        <w:fldChar w:fldCharType="begin"/>
      </w:r>
      <w:r>
        <w:rPr>
          <w:rFonts w:hint="eastAsia"/>
        </w:rPr>
        <w:instrText xml:space="preserve"> </w:instrText>
      </w:r>
      <w:r>
        <w:instrText xml:space="preserve">PAGEREF _Toc233969276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p>
    <w:p>
      <w:pPr>
        <w:pStyle w:val="794"/>
        <w:rPr>
          <w:rFonts w:hint="eastAsia" w:ascii="等线" w:hAnsi="等线" w:eastAsia="等线"/>
          <w:caps w:val="0"/>
          <w:sz w:val="22"/>
        </w:rPr>
      </w:pPr>
      <w:r>
        <w:rPr>
          <w:rFonts w:hint="eastAsia" w:ascii="方正黑体_GBK" w:hAnsi="方正黑体_GBK" w:eastAsia="方正黑体_GBK" w:cs="方正黑体_GBK"/>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_Toc233969277 \h</w:instrText>
      </w:r>
      <w:r>
        <w:rPr>
          <w:rFonts w:hint="eastAsia"/>
        </w:rPr>
        <w:instrText xml:space="preserve"> </w:instrText>
      </w:r>
      <w:r>
        <w:rPr>
          <w:rFonts w:hint="eastAsia"/>
        </w:rPr>
        <w:fldChar w:fldCharType="separate"/>
      </w:r>
      <w:r>
        <w:rPr>
          <w:rFonts w:hint="eastAsia"/>
        </w:rPr>
        <w:t xml:space="preserve">1</w:t>
      </w:r>
      <w:r>
        <w:rPr>
          <w:rFonts w:hint="eastAsia"/>
        </w:rPr>
        <w:fldChar w:fldCharType="end"/>
      </w:r>
      <w:r/>
    </w:p>
    <w:p>
      <w:pPr>
        <w:pStyle w:val="794"/>
        <w:rPr>
          <w:rFonts w:hint="eastAsia" w:ascii="等线" w:hAnsi="等线" w:eastAsia="等线"/>
          <w:caps w:val="0"/>
          <w:sz w:val="22"/>
        </w:rPr>
      </w:pPr>
      <w:r>
        <w:rPr>
          <w:rFonts w:hint="eastAsia" w:ascii="方正黑体_GBK" w:hAnsi="方正黑体_GBK" w:eastAsia="方正黑体_GBK" w:cs="方正黑体_GBK"/>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_Toc233969278 \h</w:instrText>
      </w:r>
      <w:r>
        <w:rPr>
          <w:rFonts w:hint="eastAsia"/>
        </w:rPr>
        <w:instrText xml:space="preserve"> </w:instrText>
      </w:r>
      <w:r>
        <w:rPr>
          <w:rFonts w:hint="eastAsia"/>
        </w:rPr>
        <w:fldChar w:fldCharType="separate"/>
      </w:r>
      <w:r>
        <w:rPr>
          <w:rFonts w:hint="eastAsia"/>
        </w:rPr>
        <w:t xml:space="preserve">1</w:t>
      </w:r>
      <w:r>
        <w:rPr>
          <w:rFonts w:hint="eastAsia"/>
        </w:rPr>
        <w:fldChar w:fldCharType="end"/>
      </w:r>
      <w:r/>
    </w:p>
    <w:p>
      <w:pPr>
        <w:pStyle w:val="794"/>
        <w:rPr>
          <w:rFonts w:hint="eastAsia" w:ascii="等线" w:hAnsi="等线" w:eastAsia="等线"/>
          <w:caps w:val="0"/>
          <w:sz w:val="22"/>
        </w:rPr>
      </w:pPr>
      <w:r>
        <w:rPr>
          <w:rFonts w:hint="eastAsia" w:ascii="方正黑体_GBK" w:hAnsi="方正黑体_GBK" w:eastAsia="方正黑体_GBK" w:cs="方正黑体_GBK"/>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_Toc233969279 \h</w:instrText>
      </w:r>
      <w:r>
        <w:rPr>
          <w:rFonts w:hint="eastAsia"/>
        </w:rPr>
        <w:instrText xml:space="preserve"> </w:instrText>
      </w:r>
      <w:r>
        <w:rPr>
          <w:rFonts w:hint="eastAsia"/>
        </w:rPr>
        <w:fldChar w:fldCharType="separate"/>
      </w:r>
      <w:r>
        <w:rPr>
          <w:rFonts w:hint="eastAsia"/>
        </w:rPr>
        <w:t xml:space="preserve">1</w:t>
      </w:r>
      <w:r>
        <w:rPr>
          <w:rFonts w:hint="eastAsia"/>
        </w:rPr>
        <w:fldChar w:fldCharType="end"/>
      </w:r>
      <w:r/>
    </w:p>
    <w:p>
      <w:pPr>
        <w:pStyle w:val="794"/>
        <w:rPr>
          <w:rFonts w:hint="eastAsia" w:ascii="等线" w:hAnsi="等线" w:eastAsia="等线"/>
          <w:caps w:val="0"/>
          <w:sz w:val="22"/>
        </w:rPr>
      </w:pPr>
      <w:r>
        <w:rPr>
          <w:rFonts w:hint="eastAsia" w:ascii="方正黑体_GBK" w:hAnsi="方正黑体_GBK" w:eastAsia="方正黑体_GBK" w:cs="方正黑体_GBK"/>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_Toc233969280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p>
    <w:p>
      <w:pPr>
        <w:pStyle w:val="794"/>
        <w:rPr>
          <w:rFonts w:hint="eastAsia" w:ascii="等线" w:hAnsi="等线" w:eastAsia="等线"/>
          <w:caps w:val="0"/>
          <w:sz w:val="22"/>
        </w:rPr>
      </w:pPr>
      <w:r>
        <w:rPr>
          <w:rFonts w:hint="eastAsia" w:ascii="方正黑体_GBK" w:hAnsi="方正黑体_GBK" w:eastAsia="方正黑体_GBK" w:cs="方正黑体_GBK"/>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_Toc233969281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p>
    <w:p>
      <w:pPr>
        <w:pStyle w:val="794"/>
        <w:rPr>
          <w:rFonts w:hint="eastAsia" w:ascii="等线" w:hAnsi="等线" w:eastAsia="等线"/>
          <w:caps w:val="0"/>
          <w:sz w:val="22"/>
        </w:rPr>
      </w:pPr>
      <w:r>
        <w:rPr>
          <w:rFonts w:hint="eastAsia" w:ascii="方正黑体_GBK" w:hAnsi="方正黑体_GBK" w:eastAsia="方正黑体_GBK" w:cs="方正黑体_GBK"/>
        </w:rPr>
        <w:t xml:space="preserve">五、公告期限</w:t>
      </w:r>
      <w:r>
        <w:rPr>
          <w:rFonts w:hint="eastAsia"/>
        </w:rPr>
        <w:tab/>
      </w:r>
      <w:r>
        <w:rPr>
          <w:rFonts w:hint="eastAsia"/>
        </w:rPr>
        <w:fldChar w:fldCharType="begin"/>
      </w:r>
      <w:r>
        <w:rPr>
          <w:rFonts w:hint="eastAsia"/>
        </w:rPr>
        <w:instrText xml:space="preserve"> </w:instrText>
      </w:r>
      <w:r>
        <w:instrText xml:space="preserve">PAGEREF _Toc233969282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p>
    <w:p>
      <w:pPr>
        <w:pStyle w:val="794"/>
        <w:rPr>
          <w:rFonts w:hint="eastAsia" w:ascii="等线" w:hAnsi="等线" w:eastAsia="等线"/>
          <w:caps w:val="0"/>
          <w:sz w:val="22"/>
        </w:rPr>
      </w:pPr>
      <w:r>
        <w:rPr>
          <w:rFonts w:hint="eastAsia" w:ascii="方正黑体_GBK" w:hAnsi="方正黑体_GBK" w:eastAsia="方正黑体_GBK" w:cs="方正黑体_GBK"/>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_Toc233969283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p>
    <w:p>
      <w:pPr>
        <w:pStyle w:val="794"/>
        <w:rPr>
          <w:rFonts w:hint="eastAsia" w:ascii="等线" w:hAnsi="等线" w:eastAsia="等线"/>
          <w:caps w:val="0"/>
          <w:sz w:val="22"/>
        </w:rPr>
      </w:pPr>
      <w:r>
        <w:rPr>
          <w:rFonts w:hint="eastAsia" w:ascii="方正黑体_GBK" w:hAnsi="方正黑体_GBK" w:eastAsia="方正黑体_GBK" w:cs="方正黑体_GBK"/>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_Toc233969284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p>
    <w:p>
      <w:pPr>
        <w:pStyle w:val="794"/>
        <w:rPr>
          <w:rFonts w:hint="eastAsia" w:ascii="等线" w:hAnsi="等线" w:eastAsia="等线"/>
          <w:caps w:val="0"/>
          <w:sz w:val="22"/>
        </w:rPr>
      </w:pPr>
      <w:r>
        <w:rPr>
          <w:rFonts w:hint="eastAsia" w:ascii="方正黑体_GBK" w:hAnsi="方正黑体_GBK" w:eastAsia="方正黑体_GBK" w:cs="方正黑体_GBK"/>
        </w:rPr>
        <w:t xml:space="preserve">八、其他</w:t>
      </w:r>
      <w:r>
        <w:rPr>
          <w:rFonts w:hint="eastAsia"/>
        </w:rPr>
        <w:tab/>
      </w:r>
      <w:r>
        <w:rPr>
          <w:rFonts w:hint="eastAsia"/>
        </w:rPr>
        <w:fldChar w:fldCharType="begin"/>
      </w:r>
      <w:r>
        <w:rPr>
          <w:rFonts w:hint="eastAsia"/>
        </w:rPr>
        <w:instrText xml:space="preserve"> </w:instrText>
      </w:r>
      <w:r>
        <w:instrText xml:space="preserve">PAGEREF _Toc233969285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p>
    <w:p>
      <w:pPr>
        <w:pStyle w:val="794"/>
        <w:rPr>
          <w:rFonts w:hint="eastAsia" w:ascii="等线" w:hAnsi="等线" w:eastAsia="等线"/>
          <w:caps w:val="0"/>
          <w:sz w:val="22"/>
        </w:rPr>
      </w:pPr>
      <w:r>
        <w:rPr>
          <w:rFonts w:hint="eastAsia" w:ascii="方正黑体_GBK" w:hAnsi="方正黑体_GBK" w:eastAsia="方正黑体_GBK" w:cs="方正黑体_GBK"/>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_Toc233969286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p>
    <w:p>
      <w:pPr>
        <w:pStyle w:val="794"/>
        <w:rPr>
          <w:rFonts w:hint="eastAsia" w:ascii="等线" w:hAnsi="等线" w:eastAsia="等线"/>
          <w:caps w:val="0"/>
          <w:sz w:val="22"/>
        </w:rPr>
      </w:pPr>
      <w:r>
        <w:rPr>
          <w:rFonts w:hint="eastAsia" w:ascii="方正黑体_GBK" w:hAnsi="方正黑体_GBK" w:eastAsia="方正黑体_GBK" w:cs="方正黑体_GBK"/>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_Toc233969287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p>
    <w:p>
      <w:pPr>
        <w:pStyle w:val="794"/>
        <w:rPr>
          <w:rFonts w:hint="eastAsia" w:ascii="等线" w:hAnsi="等线" w:eastAsia="等线"/>
          <w:caps w:val="0"/>
          <w:sz w:val="22"/>
        </w:rPr>
      </w:pPr>
      <w:r>
        <w:rPr>
          <w:rFonts w:hint="eastAsia" w:ascii="方正黑体_GBK" w:hAnsi="方正黑体_GBK" w:eastAsia="方正黑体_GBK" w:cs="方正黑体_GBK"/>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_Toc233969288 \h</w:instrText>
      </w:r>
      <w:r>
        <w:rPr>
          <w:rFonts w:hint="eastAsia"/>
        </w:rPr>
        <w:instrText xml:space="preserve"> </w:instrText>
      </w:r>
      <w:r>
        <w:rPr>
          <w:rFonts w:hint="eastAsia"/>
        </w:rPr>
        <w:fldChar w:fldCharType="separate"/>
      </w:r>
      <w:r>
        <w:rPr>
          <w:rFonts w:hint="eastAsia"/>
        </w:rPr>
        <w:t xml:space="preserve">43</w:t>
      </w:r>
      <w:r>
        <w:rPr>
          <w:rFonts w:hint="eastAsia"/>
        </w:rPr>
        <w:fldChar w:fldCharType="end"/>
      </w:r>
      <w:r/>
    </w:p>
    <w:p>
      <w:pPr>
        <w:pStyle w:val="794"/>
        <w:rPr>
          <w:rFonts w:hint="eastAsia" w:ascii="等线" w:hAnsi="等线" w:eastAsia="等线"/>
          <w:caps w:val="0"/>
          <w:sz w:val="22"/>
        </w:rPr>
      </w:pPr>
      <w:r>
        <w:rPr>
          <w:rFonts w:hint="eastAsia" w:ascii="方正黑体_GBK" w:hAnsi="方正黑体_GBK" w:eastAsia="方正黑体_GBK" w:cs="方正黑体_GBK"/>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_Toc233969289 \h</w:instrText>
      </w:r>
      <w:r>
        <w:rPr>
          <w:rFonts w:hint="eastAsia"/>
        </w:rPr>
        <w:instrText xml:space="preserve"> </w:instrText>
      </w:r>
      <w:r>
        <w:rPr>
          <w:rFonts w:hint="eastAsia"/>
        </w:rPr>
        <w:fldChar w:fldCharType="separate"/>
      </w:r>
      <w:r>
        <w:rPr>
          <w:rFonts w:hint="eastAsia"/>
        </w:rPr>
        <w:t xml:space="preserve">49</w:t>
      </w:r>
      <w:r>
        <w:rPr>
          <w:rFonts w:hint="eastAsia"/>
        </w:rPr>
        <w:fldChar w:fldCharType="end"/>
      </w:r>
      <w:r/>
    </w:p>
    <w:p>
      <w:pPr>
        <w:pStyle w:val="794"/>
        <w:rPr>
          <w:rFonts w:hint="eastAsia" w:ascii="等线" w:hAnsi="等线" w:eastAsia="等线"/>
          <w:caps w:val="0"/>
          <w:sz w:val="22"/>
        </w:rPr>
      </w:pPr>
      <w:r>
        <w:rPr>
          <w:rFonts w:hint="eastAsia" w:ascii="方正黑体_GBK" w:hAnsi="方正黑体_GBK" w:eastAsia="方正黑体_GBK" w:cs="方正黑体_GBK"/>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_Toc233969290 \h</w:instrText>
      </w:r>
      <w:r>
        <w:rPr>
          <w:rFonts w:hint="eastAsia"/>
        </w:rPr>
        <w:instrText xml:space="preserve"> </w:instrText>
      </w:r>
      <w:r>
        <w:rPr>
          <w:rFonts w:hint="eastAsia"/>
        </w:rPr>
        <w:fldChar w:fldCharType="separate"/>
      </w:r>
      <w:r>
        <w:rPr>
          <w:rFonts w:hint="eastAsia"/>
        </w:rPr>
        <w:t xml:space="preserve">53</w:t>
      </w:r>
      <w:r>
        <w:rPr>
          <w:rFonts w:hint="eastAsia"/>
        </w:rPr>
        <w:fldChar w:fldCharType="end"/>
      </w:r>
      <w:r/>
    </w:p>
    <w:p>
      <w:r>
        <w:rPr>
          <w:rFonts w:hAnsi="宋体"/>
          <w:bCs/>
          <w:szCs w:val="36"/>
        </w:rPr>
        <w:fldChar w:fldCharType="end"/>
      </w:r>
      <w:r/>
    </w:p>
    <w:p>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jc w:val="center"/>
        <w:keepNext/>
        <w:spacing w:line="400" w:lineRule="exact"/>
        <w:rPr>
          <w:rFonts w:ascii="方正黑体_GBK" w:hAnsi="方正黑体_GBK" w:eastAsia="方正黑体_GBK" w:cs="方正黑体_GBK"/>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outlineLvl w:val="0"/>
      </w:pPr>
      <w:r>
        <w:rPr>
          <w:rFonts w:ascii="方正黑体_GBK" w:hAnsi="方正黑体_GBK" w:eastAsia="方正黑体_GBK" w:cs="方正黑体_GBK"/>
          <w:sz w:val="28"/>
          <w:szCs w:val="28"/>
        </w:rPr>
      </w:r>
      <w:r/>
    </w:p>
    <w:p>
      <w:pPr>
        <w:jc w:val="center"/>
        <w:keepNext/>
        <w:spacing w:line="400" w:lineRule="exact"/>
        <w:rPr>
          <w:rFonts w:ascii="方正黑体_GBK" w:hAnsi="方正黑体_GBK" w:eastAsia="方正黑体_GBK" w:cs="方正黑体_GBK"/>
          <w:bCs/>
          <w:sz w:val="28"/>
          <w:szCs w:val="28"/>
        </w:rPr>
        <w:outlineLvl w:val="0"/>
      </w:pPr>
      <w:r/>
      <w:bookmarkStart w:id="7" w:name="_Toc233969277"/>
      <w:r>
        <w:rPr>
          <w:rFonts w:hint="eastAsia" w:ascii="方正黑体_GBK" w:hAnsi="方正黑体_GBK" w:eastAsia="方正黑体_GBK" w:cs="方正黑体_GBK"/>
          <w:sz w:val="28"/>
          <w:szCs w:val="28"/>
        </w:rPr>
        <w:t xml:space="preserve">第一章  </w:t>
      </w:r>
      <w:bookmarkEnd w:id="1"/>
      <w:r>
        <w:rPr>
          <w:rFonts w:hint="eastAsia" w:ascii="方正黑体_GBK" w:hAnsi="方正黑体_GBK" w:eastAsia="方正黑体_GBK" w:cs="方正黑体_GBK"/>
          <w:sz w:val="28"/>
          <w:szCs w:val="28"/>
        </w:rPr>
        <w:t xml:space="preserve">投标邀请</w:t>
      </w:r>
      <w:bookmarkEnd w:id="7"/>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受〔南京中医药大学〕的委托，江苏省政府采购中心就〔南京中医药大学服务器采购〕(〔JSZC-320000-SCZX-G2026-0279〕)项目进行公开招标采购，欢迎符合条件的供应商投标。</w:t>
      </w:r>
      <w:r/>
    </w:p>
    <w:p>
      <w:pPr>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南京中医药大学服务器采购</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年8</w:t>
      </w:r>
      <w:r>
        <w:rPr>
          <w:rFonts w:hint="eastAsia" w:ascii="方正仿宋_GBK" w:hAnsi="方正仿宋_GBK" w:eastAsia="方正仿宋_GBK" w:cs="方正仿宋_GBK"/>
          <w:bCs/>
          <w:sz w:val="28"/>
          <w:szCs w:val="28"/>
        </w:rPr>
        <w:t xml:space="preserve">月14</w:t>
      </w:r>
      <w:r>
        <w:rPr>
          <w:rFonts w:hint="eastAsia" w:ascii="方正仿宋_GBK" w:hAnsi="方正仿宋_GBK" w:eastAsia="方正仿宋_GBK" w:cs="方正仿宋_GBK"/>
          <w:bCs/>
          <w:sz w:val="28"/>
          <w:szCs w:val="28"/>
        </w:rPr>
        <w:t xml:space="preserve">日9</w:t>
      </w:r>
      <w:r>
        <w:rPr>
          <w:rFonts w:hint="eastAsia" w:ascii="方正仿宋_GBK" w:hAnsi="方正仿宋_GBK" w:eastAsia="方正仿宋_GBK" w:cs="方正仿宋_GBK"/>
          <w:sz w:val="28"/>
          <w:szCs w:val="28"/>
        </w:rPr>
        <w:t xml:space="preserve">时</w:t>
      </w:r>
      <w:r>
        <w:rPr>
          <w:rFonts w:hint="eastAsia" w:eastAsia="方正仿宋_GBK"/>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p>
    <w:p>
      <w:pPr>
        <w:jc w:val="left"/>
        <w:keepNext/>
        <w:spacing w:line="400" w:lineRule="exact"/>
        <w:rPr>
          <w:rFonts w:ascii="方正黑体_GBK" w:hAnsi="方正黑体_GBK" w:eastAsia="方正黑体_GBK" w:cs="方正黑体_GBK"/>
          <w:sz w:val="28"/>
          <w:szCs w:val="28"/>
        </w:rPr>
        <w:outlineLvl w:val="0"/>
      </w:pPr>
      <w:r/>
      <w:bookmarkStart w:id="8" w:name="_Toc233969278"/>
      <w:r/>
      <w:bookmarkStart w:id="9" w:name="_Toc35393621"/>
      <w:r/>
      <w:bookmarkStart w:id="10" w:name="_Toc38985263"/>
      <w:r/>
      <w:bookmarkStart w:id="11" w:name="_Toc28359002"/>
      <w:r/>
      <w:bookmarkStart w:id="12" w:name="_Toc35393790"/>
      <w:r/>
      <w:bookmarkStart w:id="13" w:name="_Toc28359079"/>
      <w:r/>
      <w:bookmarkStart w:id="14" w:name="_Hlk24379207"/>
      <w:r>
        <w:rPr>
          <w:rFonts w:hint="eastAsia" w:ascii="方正黑体_GBK" w:hAnsi="方正黑体_GBK" w:eastAsia="方正黑体_GBK" w:cs="方正黑体_GBK"/>
          <w:sz w:val="28"/>
          <w:szCs w:val="28"/>
        </w:rPr>
        <w:t xml:space="preserve">一、项目基本情况</w:t>
      </w:r>
      <w:bookmarkEnd w:id="8"/>
      <w:r/>
      <w:bookmarkEnd w:id="9"/>
      <w:r/>
      <w:bookmarkEnd w:id="10"/>
      <w:r/>
      <w:bookmarkEnd w:id="11"/>
      <w:r/>
      <w:bookmarkEnd w:id="12"/>
      <w:r/>
      <w:bookmarkEnd w:id="13"/>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eastAsia="方正仿宋_GBK"/>
          <w:sz w:val="28"/>
          <w:szCs w:val="28"/>
        </w:rPr>
        <w:t xml:space="preserve">JSZC-320000-SCZX-G2026-0279</w:t>
      </w:r>
      <w:r/>
    </w:p>
    <w:p>
      <w:pPr>
        <w:ind w:firstLine="560"/>
        <w:spacing w:line="400" w:lineRule="exact"/>
        <w:rPr>
          <w:rFonts w:eastAsia="方正仿宋_GBK"/>
          <w:sz w:val="28"/>
          <w:szCs w:val="28"/>
        </w:rPr>
      </w:pPr>
      <w:r>
        <w:rPr>
          <w:rFonts w:hint="eastAsia" w:ascii="方正仿宋_GBK" w:hAnsi="方正仿宋_GBK" w:eastAsia="方正仿宋_GBK" w:cs="方正仿宋_GBK"/>
          <w:sz w:val="28"/>
          <w:szCs w:val="28"/>
        </w:rPr>
        <w:t xml:space="preserve">2.项目名称：</w:t>
      </w:r>
      <w:bookmarkEnd w:id="14"/>
      <w:r>
        <w:rPr>
          <w:rFonts w:hint="eastAsia" w:eastAsia="方正仿宋_GBK"/>
          <w:sz w:val="28"/>
          <w:szCs w:val="28"/>
        </w:rPr>
        <w:t xml:space="preserve">南京中医药大学服务器采购项目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2"/>
        <w:gridCol w:w="3312"/>
      </w:tblGrid>
      <w:tr>
        <w:trPr/>
        <w:tc>
          <w:tcPr>
            <w:tcW w:w="109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textDirection w:val="lrTb"/>
            <w:noWrap w:val="false"/>
          </w:tcPr>
          <w:p>
            <w:pPr>
              <w:ind w:firstLine="1120"/>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64</w:t>
            </w:r>
            <w:r/>
          </w:p>
        </w:tc>
      </w:tr>
      <w:tr>
        <w:trPr/>
        <w:tc>
          <w:tcPr>
            <w:tcW w:w="109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312" w:type="dxa"/>
            <w:textDirection w:val="lrTb"/>
            <w:noWrap w:val="false"/>
          </w:tcPr>
          <w:p>
            <w:pPr>
              <w:ind w:firstLine="1120"/>
              <w:spacing w:line="400" w:lineRule="exact"/>
              <w:rPr>
                <w:rFonts w:eastAsia="方正仿宋_GBK"/>
                <w:sz w:val="28"/>
                <w:szCs w:val="28"/>
              </w:rPr>
            </w:pPr>
            <w:r>
              <w:rPr>
                <w:rFonts w:eastAsia="方正仿宋_GBK"/>
                <w:sz w:val="28"/>
                <w:szCs w:val="28"/>
              </w:rPr>
              <w:t xml:space="preserve">86</w:t>
            </w:r>
            <w:r>
              <w:rPr>
                <w:rFonts w:hint="eastAsia" w:eastAsia="方正仿宋_GBK"/>
                <w:sz w:val="28"/>
                <w:szCs w:val="28"/>
              </w:rPr>
              <w:t xml:space="preserve">.</w:t>
            </w:r>
            <w:r>
              <w:rPr>
                <w:rFonts w:eastAsia="方正仿宋_GBK"/>
                <w:sz w:val="28"/>
                <w:szCs w:val="28"/>
              </w:rPr>
              <w:t xml:space="preserve">4</w:t>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5"/>
        <w:gridCol w:w="3296"/>
      </w:tblGrid>
      <w:tr>
        <w:trPr>
          <w:trHeight w:val="849"/>
        </w:trPr>
        <w:tc>
          <w:tcPr>
            <w:tcW w:w="108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9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8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96"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64</w:t>
            </w:r>
            <w:r/>
          </w:p>
        </w:tc>
      </w:tr>
      <w:tr>
        <w:trPr/>
        <w:tc>
          <w:tcPr>
            <w:tcW w:w="108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296" w:type="dxa"/>
            <w:textDirection w:val="lrTb"/>
            <w:noWrap w:val="false"/>
          </w:tcPr>
          <w:p>
            <w:pPr>
              <w:jc w:val="center"/>
              <w:spacing w:line="400" w:lineRule="exact"/>
              <w:rPr>
                <w:rFonts w:eastAsia="方正仿宋_GBK"/>
                <w:sz w:val="28"/>
                <w:szCs w:val="28"/>
              </w:rPr>
            </w:pPr>
            <w:r>
              <w:rPr>
                <w:rFonts w:eastAsia="方正仿宋_GBK"/>
                <w:sz w:val="28"/>
                <w:szCs w:val="28"/>
              </w:rPr>
              <w:t xml:space="preserve">86</w:t>
            </w:r>
            <w:r>
              <w:rPr>
                <w:rFonts w:hint="eastAsia" w:eastAsia="方正仿宋_GBK"/>
                <w:sz w:val="28"/>
                <w:szCs w:val="28"/>
              </w:rPr>
              <w:t xml:space="preserve">.</w:t>
            </w:r>
            <w:r>
              <w:rPr>
                <w:rFonts w:eastAsia="方正仿宋_GBK"/>
                <w:sz w:val="28"/>
                <w:szCs w:val="28"/>
              </w:rPr>
              <w:t xml:space="preserve">4</w:t>
            </w:r>
            <w:r/>
          </w:p>
        </w:tc>
      </w:tr>
    </w:tbl>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5.采购需求(简介)：（详细内容见本招标文件第四章）</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w:t>
      </w:r>
      <w:r>
        <w:rPr>
          <w:rFonts w:hint="eastAsia" w:eastAsia="方正仿宋_GBK"/>
          <w:sz w:val="28"/>
          <w:szCs w:val="28"/>
        </w:rPr>
        <w:t xml:space="preserve">自合同签订后</w:t>
      </w:r>
      <w:r>
        <w:rPr>
          <w:rFonts w:eastAsia="方正仿宋_GBK"/>
          <w:sz w:val="28"/>
          <w:szCs w:val="28"/>
        </w:rPr>
        <w:t xml:space="preserve">30</w:t>
      </w:r>
      <w:r>
        <w:rPr>
          <w:rFonts w:hint="eastAsia" w:eastAsia="方正仿宋_GBK"/>
          <w:sz w:val="28"/>
          <w:szCs w:val="28"/>
        </w:rPr>
        <w:t xml:space="preserve">个日历天内所有货物安装调试完成，交付使用。</w:t>
      </w:r>
      <w:r/>
    </w:p>
    <w:p>
      <w:pPr>
        <w:jc w:val="left"/>
        <w:keepNext/>
        <w:spacing w:line="400" w:lineRule="exact"/>
        <w:rPr>
          <w:rFonts w:ascii="方正黑体_GBK" w:hAnsi="方正黑体_GBK" w:eastAsia="方正黑体_GBK" w:cs="方正黑体_GBK"/>
          <w:sz w:val="28"/>
          <w:szCs w:val="28"/>
        </w:rPr>
        <w:outlineLvl w:val="0"/>
      </w:pPr>
      <w:r/>
      <w:bookmarkStart w:id="15" w:name="_Toc233969279"/>
      <w:r/>
      <w:bookmarkStart w:id="16" w:name="_Toc35393622"/>
      <w:r/>
      <w:bookmarkStart w:id="17" w:name="_Toc28359003"/>
      <w:r/>
      <w:bookmarkStart w:id="18" w:name="_Toc28359080"/>
      <w:r/>
      <w:bookmarkStart w:id="19" w:name="_Toc35393791"/>
      <w:r/>
      <w:bookmarkStart w:id="20" w:name="_Toc38985264"/>
      <w:r>
        <w:rPr>
          <w:rFonts w:hint="eastAsia" w:ascii="方正黑体_GBK" w:hAnsi="方正黑体_GBK" w:eastAsia="方正黑体_GBK" w:cs="方正黑体_GBK"/>
          <w:sz w:val="28"/>
          <w:szCs w:val="28"/>
        </w:rPr>
        <w:t xml:space="preserve">二、申请人的资格要求</w:t>
      </w:r>
      <w:bookmarkEnd w:id="15"/>
      <w:r/>
      <w:bookmarkEnd w:id="16"/>
      <w:r/>
      <w:bookmarkEnd w:id="17"/>
      <w:r/>
      <w:bookmarkEnd w:id="18"/>
      <w:r/>
      <w:bookmarkEnd w:id="19"/>
      <w:r/>
      <w:bookmarkEnd w:id="20"/>
      <w:r/>
      <w:r/>
    </w:p>
    <w:p>
      <w:pPr>
        <w:ind w:firstLine="560"/>
        <w:spacing w:line="400" w:lineRule="exact"/>
        <w:rPr>
          <w:rFonts w:ascii="方正楷体_GBK" w:hAnsi="方正楷体_GBK" w:eastAsia="方正楷体_GBK" w:cs="方正楷体_GBK"/>
          <w:sz w:val="28"/>
          <w:szCs w:val="28"/>
        </w:rPr>
      </w:pPr>
      <w:r/>
      <w:bookmarkStart w:id="21" w:name="_Toc38985265"/>
      <w:r/>
      <w:bookmarkStart w:id="22" w:name="_Toc35393792"/>
      <w:r/>
      <w:bookmarkStart w:id="23" w:name="_Toc28359004"/>
      <w:r/>
      <w:bookmarkStart w:id="24" w:name="_Toc28359081"/>
      <w:r/>
      <w:bookmarkStart w:id="25" w:name="_Toc35393623"/>
      <w:r>
        <w:rPr>
          <w:rFonts w:hint="eastAsia" w:ascii="方正楷体_GBK" w:hAnsi="方正楷体_GBK" w:eastAsia="方正楷体_GBK" w:cs="方正楷体_GBK"/>
          <w:sz w:val="28"/>
          <w:szCs w:val="28"/>
        </w:rPr>
        <w:t xml:space="preserve">（一）通用资格要求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上一年度的财务状况报告（成立不满一年无需提供）；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w:t>
      </w:r>
      <w:r>
        <w:rPr>
          <w:rFonts w:hint="eastAsia" w:ascii="方正仿宋_GBK" w:hAnsi="方正仿宋_GBK" w:eastAsia="方正仿宋_GBK" w:cs="方正仿宋_GBK"/>
          <w:sz w:val="28"/>
          <w:szCs w:val="28"/>
        </w:rPr>
        <w:t xml:space="preserve">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296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ind w:firstLine="560"/>
        <w:spacing w:line="4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bookmarkStart w:id="26" w:name="_Toc233969280"/>
            <w:r>
              <w:rPr>
                <w:rFonts w:hint="eastAsia" w:ascii="方正仿宋_GBK" w:hAnsi="方正仿宋_GBK" w:eastAsia="方正仿宋_GBK" w:cs="方正仿宋_GBK"/>
                <w:sz w:val="28"/>
                <w:szCs w:val="28"/>
              </w:rPr>
              <w:t xml:space="preserve">2</w:t>
            </w:r>
            <w:r/>
          </w:p>
        </w:tc>
        <w:tc>
          <w:tcPr>
            <w:tcW w:w="592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jc w:val="left"/>
        <w:keepNext/>
        <w:spacing w:line="400" w:lineRule="exact"/>
        <w:rPr>
          <w:rFonts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三、获取招标文件</w:t>
      </w:r>
      <w:bookmarkEnd w:id="26"/>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jc w:val="left"/>
        <w:keepNext/>
        <w:spacing w:line="400" w:lineRule="exact"/>
        <w:rPr>
          <w:rFonts w:ascii="方正黑体_GBK" w:hAnsi="方正黑体_GBK" w:eastAsia="方正黑体_GBK" w:cs="方正黑体_GBK"/>
          <w:sz w:val="28"/>
          <w:szCs w:val="28"/>
        </w:rPr>
        <w:outlineLvl w:val="0"/>
      </w:pPr>
      <w:r/>
      <w:bookmarkStart w:id="27" w:name="_Toc28359082"/>
      <w:r/>
      <w:bookmarkStart w:id="28" w:name="_Toc28359005"/>
      <w:r/>
      <w:bookmarkStart w:id="29" w:name="_Toc233969281"/>
      <w:r/>
      <w:bookmarkStart w:id="30" w:name="_Toc35393793"/>
      <w:r/>
      <w:bookmarkStart w:id="31" w:name="_Toc35393624"/>
      <w:r/>
      <w:bookmarkStart w:id="32" w:name="_Toc38985266"/>
      <w:r/>
      <w:bookmarkEnd w:id="21"/>
      <w:r/>
      <w:bookmarkEnd w:id="22"/>
      <w:r/>
      <w:bookmarkEnd w:id="23"/>
      <w:r/>
      <w:bookmarkEnd w:id="24"/>
      <w:r/>
      <w:bookmarkEnd w:id="25"/>
      <w:r>
        <w:rPr>
          <w:rFonts w:hint="eastAsia" w:ascii="方正黑体_GBK" w:hAnsi="方正黑体_GBK" w:eastAsia="方正黑体_GBK" w:cs="方正黑体_GBK"/>
          <w:sz w:val="28"/>
          <w:szCs w:val="28"/>
        </w:rPr>
        <w:t xml:space="preserve">四、提交投标文件</w:t>
      </w:r>
      <w:bookmarkEnd w:id="27"/>
      <w:r/>
      <w:bookmarkEnd w:id="28"/>
      <w:r>
        <w:rPr>
          <w:rFonts w:hint="eastAsia" w:ascii="方正黑体_GBK" w:hAnsi="方正黑体_GBK" w:eastAsia="方正黑体_GBK" w:cs="方正黑体_GBK"/>
          <w:sz w:val="28"/>
          <w:szCs w:val="28"/>
        </w:rPr>
        <w:t xml:space="preserve">截止时间、开标时间和地点</w:t>
      </w:r>
      <w:bookmarkEnd w:id="29"/>
      <w:r/>
      <w:bookmarkEnd w:id="30"/>
      <w:r/>
      <w:bookmarkEnd w:id="31"/>
      <w:r/>
      <w:bookmarkEnd w:id="32"/>
      <w:r/>
      <w:r/>
    </w:p>
    <w:p>
      <w:pPr>
        <w:ind w:firstLine="560"/>
        <w:spacing w:line="400" w:lineRule="exact"/>
        <w:rPr>
          <w:rFonts w:hint="eastAsia" w:ascii="宋体" w:hAnsi="宋体"/>
          <w:bCs/>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年8</w:t>
      </w:r>
      <w:r>
        <w:rPr>
          <w:rFonts w:hint="eastAsia" w:ascii="方正仿宋_GBK" w:hAnsi="方正仿宋_GBK" w:eastAsia="方正仿宋_GBK" w:cs="方正仿宋_GBK"/>
          <w:bCs/>
          <w:sz w:val="28"/>
          <w:szCs w:val="28"/>
        </w:rPr>
        <w:t xml:space="preserve">月14</w:t>
      </w:r>
      <w:r>
        <w:rPr>
          <w:rFonts w:hint="eastAsia" w:ascii="方正仿宋_GBK" w:hAnsi="方正仿宋_GBK" w:eastAsia="方正仿宋_GBK" w:cs="方正仿宋_GBK"/>
          <w:bCs/>
          <w:sz w:val="28"/>
          <w:szCs w:val="28"/>
        </w:rPr>
        <w:t xml:space="preserve">日9</w:t>
      </w:r>
      <w:r>
        <w:rPr>
          <w:rFonts w:hint="eastAsia" w:ascii="方正仿宋_GBK" w:hAnsi="方正仿宋_GBK" w:eastAsia="方正仿宋_GBK" w:cs="方正仿宋_GBK"/>
          <w:sz w:val="28"/>
          <w:szCs w:val="28"/>
        </w:rPr>
        <w:t xml:space="preserve">时30</w:t>
      </w:r>
      <w:r>
        <w:rPr>
          <w:rFonts w:hint="eastAsia" w:ascii="方正仿宋_GBK" w:hAnsi="方正仿宋_GBK" w:eastAsia="方正仿宋_GBK" w:cs="方正仿宋_GBK"/>
          <w:bCs/>
          <w:sz w:val="28"/>
          <w:szCs w:val="28"/>
        </w:rPr>
        <w:t xml:space="preserve">分（北京时间）</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jc w:val="left"/>
        <w:keepNext/>
        <w:spacing w:line="400" w:lineRule="exact"/>
        <w:rPr>
          <w:rFonts w:ascii="方正黑体_GBK" w:hAnsi="方正黑体_GBK" w:eastAsia="方正黑体_GBK" w:cs="方正黑体_GBK"/>
          <w:sz w:val="28"/>
          <w:szCs w:val="28"/>
        </w:rPr>
        <w:outlineLvl w:val="0"/>
      </w:pPr>
      <w:r/>
      <w:bookmarkStart w:id="33" w:name="_Toc233969282"/>
      <w:r/>
      <w:bookmarkStart w:id="34" w:name="_Toc28359007"/>
      <w:r/>
      <w:bookmarkStart w:id="35" w:name="_Toc35393794"/>
      <w:r/>
      <w:bookmarkStart w:id="36" w:name="_Toc28359084"/>
      <w:r/>
      <w:bookmarkStart w:id="37" w:name="_Toc35393625"/>
      <w:r/>
      <w:bookmarkStart w:id="38" w:name="_Toc38985267"/>
      <w:r>
        <w:rPr>
          <w:rFonts w:hint="eastAsia" w:ascii="方正黑体_GBK" w:hAnsi="方正黑体_GBK" w:eastAsia="方正黑体_GBK" w:cs="方正黑体_GBK"/>
          <w:sz w:val="28"/>
          <w:szCs w:val="28"/>
        </w:rPr>
        <w:t xml:space="preserve">五、公告期限</w:t>
      </w:r>
      <w:bookmarkEnd w:id="33"/>
      <w:r/>
      <w:bookmarkEnd w:id="34"/>
      <w:r/>
      <w:bookmarkEnd w:id="35"/>
      <w:r/>
      <w:bookmarkEnd w:id="36"/>
      <w:r/>
      <w:bookmarkEnd w:id="37"/>
      <w:r/>
      <w:bookmarkEnd w:id="38"/>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jc w:val="left"/>
        <w:keepNext/>
        <w:spacing w:line="400" w:lineRule="exact"/>
        <w:rPr>
          <w:rFonts w:ascii="方正黑体_GBK" w:hAnsi="方正黑体_GBK" w:eastAsia="方正黑体_GBK" w:cs="方正黑体_GBK"/>
          <w:sz w:val="28"/>
          <w:szCs w:val="28"/>
        </w:rPr>
        <w:outlineLvl w:val="0"/>
      </w:pPr>
      <w:r/>
      <w:bookmarkStart w:id="39" w:name="_Toc38985268"/>
      <w:r/>
      <w:bookmarkStart w:id="40" w:name="_Toc35393626"/>
      <w:r/>
      <w:bookmarkStart w:id="41" w:name="_Toc233969283"/>
      <w:r/>
      <w:bookmarkStart w:id="42" w:name="_Toc35393795"/>
      <w:r>
        <w:rPr>
          <w:rFonts w:hint="eastAsia" w:ascii="方正黑体_GBK" w:hAnsi="方正黑体_GBK" w:eastAsia="方正黑体_GBK" w:cs="方正黑体_GBK"/>
          <w:sz w:val="28"/>
          <w:szCs w:val="28"/>
        </w:rPr>
        <w:t xml:space="preserve">六、其他补充事宜</w:t>
      </w:r>
      <w:bookmarkEnd w:id="39"/>
      <w:r/>
      <w:bookmarkEnd w:id="40"/>
      <w:r/>
      <w:bookmarkEnd w:id="41"/>
      <w:r/>
      <w:bookmarkEnd w:id="42"/>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jc w:val="left"/>
        <w:keepNext/>
        <w:spacing w:line="400" w:lineRule="exact"/>
        <w:rPr>
          <w:rFonts w:ascii="方正黑体_GBK" w:hAnsi="方正黑体_GBK" w:eastAsia="方正黑体_GBK" w:cs="方正黑体_GBK"/>
          <w:sz w:val="28"/>
          <w:szCs w:val="28"/>
        </w:rPr>
        <w:outlineLvl w:val="0"/>
      </w:pPr>
      <w:r/>
      <w:bookmarkStart w:id="43" w:name="_Toc35393796"/>
      <w:r/>
      <w:bookmarkStart w:id="44" w:name="_Toc28359008"/>
      <w:r/>
      <w:bookmarkStart w:id="45" w:name="_Toc233969284"/>
      <w:r/>
      <w:bookmarkStart w:id="46" w:name="_Toc35393627"/>
      <w:r/>
      <w:bookmarkStart w:id="47" w:name="_Toc38985269"/>
      <w:r/>
      <w:bookmarkStart w:id="48" w:name="_Toc28359085"/>
      <w:r>
        <w:rPr>
          <w:rFonts w:hint="eastAsia" w:ascii="方正黑体_GBK" w:hAnsi="方正黑体_GBK" w:eastAsia="方正黑体_GBK" w:cs="方正黑体_GBK"/>
          <w:sz w:val="28"/>
          <w:szCs w:val="28"/>
        </w:rPr>
        <w:t xml:space="preserve">七、本次招标联系方式</w:t>
      </w:r>
      <w:bookmarkEnd w:id="43"/>
      <w:r/>
      <w:bookmarkEnd w:id="44"/>
      <w:r/>
      <w:bookmarkEnd w:id="45"/>
      <w:r/>
      <w:bookmarkEnd w:id="46"/>
      <w:r/>
      <w:bookmarkEnd w:id="47"/>
      <w:r/>
      <w:bookmarkEnd w:id="48"/>
      <w:r/>
      <w:r/>
    </w:p>
    <w:p>
      <w:pPr>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南京中医药大学</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ascii="方正仿宋_GB2312" w:hAnsi="方正仿宋_GB2312" w:eastAsia="方正仿宋_GB2312" w:cs="方正仿宋_GB2312"/>
          <w:sz w:val="28"/>
          <w:szCs w:val="28"/>
          <w:u w:val="single"/>
        </w:rPr>
        <w:t xml:space="preserve">南京市</w:t>
      </w:r>
      <w:r>
        <w:rPr>
          <w:rFonts w:hint="eastAsia" w:ascii="宋体" w:hAnsi="宋体" w:cs="宋体"/>
          <w:sz w:val="28"/>
          <w:szCs w:val="28"/>
          <w:u w:val="single"/>
        </w:rPr>
        <w:t xml:space="preserve">栖霞</w:t>
      </w:r>
      <w:r>
        <w:rPr>
          <w:rFonts w:hint="eastAsia" w:ascii="___WRD_EMBED_SUB_52" w:hAnsi="___WRD_EMBED_SUB_52" w:eastAsia="___WRD_EMBED_SUB_52" w:cs="___WRD_EMBED_SUB_52"/>
          <w:sz w:val="28"/>
          <w:szCs w:val="28"/>
          <w:u w:val="single"/>
        </w:rPr>
        <w:t xml:space="preserve">区</w:t>
      </w:r>
      <w:r>
        <w:rPr>
          <w:rFonts w:hint="eastAsia" w:ascii="宋体" w:hAnsi="宋体" w:cs="宋体"/>
          <w:sz w:val="28"/>
          <w:szCs w:val="28"/>
          <w:u w:val="single"/>
        </w:rPr>
        <w:t xml:space="preserve">仙林</w:t>
      </w:r>
      <w:r>
        <w:rPr>
          <w:rFonts w:hint="eastAsia" w:ascii="___WRD_EMBED_SUB_52" w:hAnsi="___WRD_EMBED_SUB_52" w:eastAsia="___WRD_EMBED_SUB_52" w:cs="___WRD_EMBED_SUB_52"/>
          <w:sz w:val="28"/>
          <w:szCs w:val="28"/>
          <w:u w:val="single"/>
        </w:rPr>
        <w:t xml:space="preserve">大</w:t>
      </w:r>
      <w:r>
        <w:rPr>
          <w:rFonts w:hint="eastAsia" w:ascii="宋体" w:hAnsi="宋体" w:cs="宋体"/>
          <w:sz w:val="28"/>
          <w:szCs w:val="28"/>
          <w:u w:val="single"/>
        </w:rPr>
        <w:t xml:space="preserve">道</w:t>
      </w:r>
      <w:r>
        <w:rPr>
          <w:rFonts w:ascii="方正仿宋_GB2312" w:hAnsi="方正仿宋_GB2312" w:eastAsia="方正仿宋_GB2312" w:cs="方正仿宋_GB2312"/>
          <w:sz w:val="28"/>
          <w:szCs w:val="28"/>
          <w:u w:val="single"/>
        </w:rPr>
        <w:t xml:space="preserve">138号南京中</w:t>
      </w:r>
      <w:r>
        <w:rPr>
          <w:rFonts w:hint="eastAsia" w:ascii="宋体" w:hAnsi="宋体" w:cs="宋体"/>
          <w:sz w:val="28"/>
          <w:szCs w:val="28"/>
          <w:u w:val="single"/>
        </w:rPr>
        <w:t xml:space="preserve">医药</w:t>
      </w:r>
      <w:r>
        <w:rPr>
          <w:rFonts w:hint="eastAsia" w:ascii="___WRD_EMBED_SUB_52" w:hAnsi="___WRD_EMBED_SUB_52" w:eastAsia="___WRD_EMBED_SUB_52" w:cs="___WRD_EMBED_SUB_52"/>
          <w:sz w:val="28"/>
          <w:szCs w:val="28"/>
          <w:u w:val="single"/>
        </w:rPr>
        <w:t xml:space="preserve">大</w:t>
      </w:r>
      <w:r>
        <w:rPr>
          <w:rFonts w:hint="eastAsia" w:ascii="宋体" w:hAnsi="宋体" w:cs="宋体"/>
          <w:sz w:val="28"/>
          <w:szCs w:val="28"/>
          <w:u w:val="single"/>
        </w:rPr>
        <w:t xml:space="preserve">学</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梁老师</w:t>
      </w:r>
      <w:r>
        <w:rPr>
          <w:rFonts w:hint="eastAsia" w:ascii="方正仿宋_GBK" w:hAnsi="方正仿宋_GBK" w:eastAsia="方正仿宋_GBK" w:cs="方正仿宋_GBK"/>
          <w:sz w:val="28"/>
          <w:szCs w:val="28"/>
          <w:u w:val="single"/>
        </w:rPr>
        <w:t xml:space="preserve">           </w:t>
      </w:r>
      <w:r/>
    </w:p>
    <w:p>
      <w:pPr>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025-85811022</w:t>
      </w:r>
      <w:r>
        <w:rPr>
          <w:rFonts w:hint="eastAsia" w:ascii="方正仿宋_GBK" w:hAnsi="方正仿宋_GBK" w:eastAsia="方正仿宋_GBK" w:cs="方正仿宋_GBK"/>
          <w:sz w:val="28"/>
          <w:szCs w:val="28"/>
          <w:u w:val="single"/>
        </w:rPr>
        <w:t xml:space="preserve">　　　　</w:t>
      </w:r>
      <w:r/>
    </w:p>
    <w:p>
      <w:pPr>
        <w:ind w:firstLine="560"/>
        <w:jc w:val="left"/>
        <w:spacing w:line="400" w:lineRule="exact"/>
        <w:rPr>
          <w:rFonts w:hint="eastAsia" w:ascii="方正仿宋_GBK" w:hAnsi="方正仿宋_GBK" w:eastAsia="方正仿宋_GBK" w:cs="方正仿宋_GBK"/>
          <w:sz w:val="28"/>
          <w:szCs w:val="28"/>
        </w:rPr>
      </w:pPr>
      <w:r/>
      <w:bookmarkStart w:id="49" w:name="_Toc28359009"/>
      <w:r/>
      <w:bookmarkStart w:id="50" w:name="_Toc28359086"/>
      <w:r>
        <w:rPr>
          <w:rFonts w:hint="eastAsia" w:ascii="方正仿宋_GBK" w:hAnsi="方正仿宋_GBK" w:eastAsia="方正仿宋_GBK" w:cs="方正仿宋_GBK"/>
          <w:sz w:val="28"/>
          <w:szCs w:val="28"/>
        </w:rPr>
        <w:t xml:space="preserve">2.江苏省政府采购中心信息</w:t>
      </w:r>
      <w:bookmarkEnd w:id="49"/>
      <w:r/>
      <w:bookmarkEnd w:id="50"/>
      <w:r/>
      <w:r/>
    </w:p>
    <w:p>
      <w:pPr>
        <w:ind w:firstLine="560"/>
        <w:spacing w:line="400" w:lineRule="exact"/>
        <w:rPr>
          <w:rFonts w:ascii="方正仿宋_GB2312" w:hAnsi="方正仿宋_GB2312" w:eastAsia="方正仿宋_GB2312" w:cs="方正仿宋_GB2312"/>
          <w:sz w:val="28"/>
          <w:szCs w:val="28"/>
        </w:rPr>
      </w:pPr>
      <w:r/>
      <w:bookmarkStart w:id="51" w:name="_Toc28359087"/>
      <w:r/>
      <w:bookmarkStart w:id="52" w:name="_Toc28359010"/>
      <w:r>
        <w:rPr>
          <w:rFonts w:hint="eastAsia" w:ascii="方正仿宋_GB2312" w:hAnsi="方正仿宋_GB2312" w:eastAsia="方正仿宋_GB2312" w:cs="方正仿宋_GB2312"/>
          <w:sz w:val="28"/>
          <w:szCs w:val="28"/>
        </w:rPr>
        <w:t xml:space="preserve">地　址：</w:t>
      </w:r>
      <w:r>
        <w:rPr>
          <w:rFonts w:hint="eastAsia" w:ascii="方正仿宋_GB2312" w:hAnsi="方正仿宋_GB2312" w:eastAsia="方正仿宋_GB2312" w:cs="方正仿宋_GB2312"/>
          <w:sz w:val="28"/>
          <w:szCs w:val="28"/>
          <w:u w:val="single"/>
        </w:rPr>
        <w:t xml:space="preserve">　南京市汉中门大街145号省政务中心二期3楼南区　</w:t>
      </w:r>
      <w:r/>
    </w:p>
    <w:p>
      <w:pPr>
        <w:ind w:firstLine="560"/>
        <w:spacing w:line="400" w:lineRule="exact"/>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联系人：</w:t>
      </w:r>
      <w:r>
        <w:rPr>
          <w:rFonts w:hint="eastAsia" w:ascii="方正仿宋_GB2312" w:hAnsi="方正仿宋_GB2312" w:eastAsia="方正仿宋_GB2312" w:cs="方正仿宋_GB2312"/>
          <w:sz w:val="28"/>
          <w:szCs w:val="28"/>
          <w:u w:val="single"/>
        </w:rPr>
        <w:t xml:space="preserve">  </w:t>
      </w:r>
      <w:r>
        <w:rPr>
          <w:rFonts w:hint="eastAsia" w:ascii="宋体" w:hAnsi="宋体" w:cs="宋体"/>
          <w:sz w:val="28"/>
          <w:szCs w:val="28"/>
          <w:u w:val="single"/>
        </w:rPr>
        <w:t xml:space="preserve">付钢</w:t>
      </w:r>
      <w:r>
        <w:rPr>
          <w:rFonts w:hint="eastAsia" w:ascii="方正仿宋_GB2312" w:hAnsi="方正仿宋_GB2312" w:eastAsia="方正仿宋_GB2312" w:cs="方正仿宋_GB2312"/>
          <w:sz w:val="28"/>
          <w:szCs w:val="28"/>
          <w:u w:val="single"/>
        </w:rPr>
        <w:t xml:space="preserve">、唐文                    </w:t>
      </w:r>
      <w:r/>
    </w:p>
    <w:p>
      <w:pPr>
        <w:ind w:firstLine="560"/>
        <w:spacing w:line="400" w:lineRule="exact"/>
        <w:rPr>
          <w:rFonts w:hint="eastAsia" w:ascii="方正仿宋_GB2312" w:hAnsi="方正仿宋_GB2312" w:eastAsia="等线" w:cs="方正仿宋_GB2312"/>
          <w:sz w:val="28"/>
          <w:szCs w:val="28"/>
          <w:u w:val="single"/>
        </w:rPr>
      </w:pPr>
      <w:r>
        <w:rPr>
          <w:rFonts w:hint="eastAsia" w:ascii="方正仿宋_GB2312" w:hAnsi="方正仿宋_GB2312" w:eastAsia="方正仿宋_GB2312" w:cs="方正仿宋_GB2312"/>
          <w:sz w:val="28"/>
          <w:szCs w:val="28"/>
          <w:u w:val="single"/>
        </w:rPr>
        <w:t xml:space="preserve">联系方式：025-83668520/83668519　</w:t>
      </w:r>
      <w:r/>
    </w:p>
    <w:p>
      <w:pPr>
        <w:jc w:val="left"/>
        <w:keepNext/>
        <w:spacing w:line="400" w:lineRule="exact"/>
        <w:rPr>
          <w:rFonts w:ascii="方正黑体_GBK" w:hAnsi="方正黑体_GBK" w:eastAsia="方正黑体_GBK" w:cs="方正黑体_GBK"/>
          <w:sz w:val="28"/>
          <w:szCs w:val="28"/>
        </w:rPr>
        <w:outlineLvl w:val="0"/>
      </w:pPr>
      <w:r/>
      <w:bookmarkStart w:id="53" w:name="_Toc233969285"/>
      <w:r/>
      <w:bookmarkEnd w:id="51"/>
      <w:r/>
      <w:bookmarkEnd w:id="52"/>
      <w:r>
        <w:rPr>
          <w:rFonts w:hint="eastAsia" w:ascii="方正黑体_GBK" w:hAnsi="方正黑体_GBK" w:eastAsia="方正黑体_GBK" w:cs="方正黑体_GBK"/>
          <w:sz w:val="28"/>
          <w:szCs w:val="28"/>
        </w:rPr>
        <w:t xml:space="preserve">八、其他</w:t>
      </w:r>
      <w:bookmarkEnd w:id="53"/>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eastAsia="方正仿宋_GBK"/>
          <w:sz w:val="28"/>
          <w:szCs w:val="28"/>
        </w:rPr>
        <w:t xml:space="preserve">。</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br w:type="page" w:clear="all"/>
      </w:r>
      <w:r/>
    </w:p>
    <w:p>
      <w:pPr>
        <w:jc w:val="center"/>
        <w:keepNext/>
        <w:spacing w:line="400" w:lineRule="exact"/>
        <w:rPr>
          <w:rFonts w:ascii="方正黑体_GBK" w:hAnsi="方正黑体_GBK" w:eastAsia="方正黑体_GBK" w:cs="方正黑体_GBK"/>
          <w:sz w:val="28"/>
          <w:szCs w:val="28"/>
        </w:rPr>
        <w:outlineLvl w:val="0"/>
      </w:pPr>
      <w:r/>
      <w:bookmarkStart w:id="54" w:name="_Toc233969286"/>
      <w:r>
        <w:rPr>
          <w:rFonts w:hint="eastAsia" w:ascii="方正黑体_GBK" w:hAnsi="方正黑体_GBK" w:eastAsia="方正黑体_GBK" w:cs="方正黑体_GBK"/>
          <w:sz w:val="28"/>
          <w:szCs w:val="28"/>
        </w:rPr>
        <w:t xml:space="preserve">第二章  投标人须知</w:t>
      </w:r>
      <w:bookmarkEnd w:id="54"/>
      <w:r/>
      <w:r/>
    </w:p>
    <w:p>
      <w:pPr>
        <w:ind w:firstLine="498"/>
        <w:keepLines/>
        <w:keepNext/>
        <w:spacing w:before="156" w:after="156" w:line="400" w:lineRule="exact"/>
        <w:rPr>
          <w:b/>
          <w:bCs/>
          <w:sz w:val="32"/>
          <w:szCs w:val="32"/>
        </w:rPr>
        <w:outlineLvl w:val="2"/>
      </w:pPr>
      <w:r>
        <w:rPr>
          <w:rFonts w:hint="eastAsia"/>
          <w:b/>
          <w:bCs/>
          <w:sz w:val="32"/>
          <w:szCs w:val="32"/>
        </w:rPr>
        <w:t xml:space="preserve">一、总则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hint="eastAsia" w:ascii="Arial" w:hAnsi="Arial" w:eastAsia="黑体" w:cs="Arial"/>
          <w:sz w:val="28"/>
          <w:szCs w:val="28"/>
        </w:rPr>
        <w:t xml:space="preserve">、招标方式</w:t>
      </w:r>
      <w:r/>
    </w:p>
    <w:p>
      <w:pPr>
        <w:ind w:firstLine="480"/>
        <w:spacing w:line="4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3</w:t>
      </w:r>
      <w:r>
        <w:rPr>
          <w:rFonts w:hint="eastAsia" w:ascii="Arial" w:hAnsi="Arial" w:eastAsia="黑体" w:cs="Arial"/>
          <w:sz w:val="28"/>
          <w:szCs w:val="28"/>
        </w:rPr>
        <w:t xml:space="preserve">、适用法律和标准</w:t>
      </w:r>
      <w:r/>
    </w:p>
    <w:p>
      <w:pPr>
        <w:ind w:firstLine="420"/>
        <w:spacing w:line="4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spacing w:line="400" w:lineRule="exact"/>
        <w:rPr>
          <w:rFonts w:hint="eastAsia" w:ascii="宋体" w:hAnsi="宋体"/>
          <w:sz w:val="24"/>
          <w:szCs w:val="21"/>
        </w:rPr>
      </w:pPr>
      <w:r>
        <w:rPr>
          <w:rFonts w:hint="eastAsia" w:ascii="宋体" w:hAnsi="宋体"/>
          <w:sz w:val="24"/>
          <w:szCs w:val="21"/>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r/>
    </w:p>
    <w:p>
      <w:pPr>
        <w:ind w:firstLine="480"/>
        <w:spacing w:line="4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szCs w:val="21"/>
        </w:rPr>
      </w:pPr>
      <w:r>
        <w:rPr>
          <w:rFonts w:hint="eastAsia" w:ascii="宋体" w:hAnsi="宋体"/>
          <w:sz w:val="24"/>
          <w:szCs w:val="21"/>
        </w:rPr>
        <w:t xml:space="preserve">4.2本次招标采购中心和采购人不收取标书工本费与中标服务费。</w:t>
      </w:r>
      <w:r/>
    </w:p>
    <w:p>
      <w:pPr>
        <w:ind w:firstLine="452"/>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1"/>
        <w:keepLines/>
        <w:keepNext/>
        <w:spacing w:before="156" w:after="156" w:line="400" w:lineRule="exact"/>
        <w:rPr>
          <w:b/>
          <w:bCs/>
          <w:sz w:val="32"/>
          <w:szCs w:val="32"/>
        </w:rPr>
        <w:outlineLvl w:val="2"/>
      </w:pPr>
      <w:r>
        <w:rPr>
          <w:rFonts w:hint="eastAsia"/>
          <w:b/>
          <w:bCs/>
          <w:sz w:val="32"/>
          <w:szCs w:val="32"/>
        </w:rPr>
        <w:t xml:space="preserve">二、招标文件</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r/>
    </w:p>
    <w:p>
      <w:pPr>
        <w:ind w:firstLine="480"/>
        <w:spacing w:line="4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szCs w:val="21"/>
        </w:rPr>
      </w:pPr>
      <w:r>
        <w:rPr>
          <w:rFonts w:hint="eastAsia" w:ascii="宋体" w:hAnsi="宋体"/>
          <w:sz w:val="24"/>
          <w:szCs w:val="21"/>
        </w:rPr>
        <w:t xml:space="preserve">请仔细检查招标文件是否齐全，如有缺漏请立即与采购中心联系解决。</w:t>
      </w:r>
      <w:r/>
    </w:p>
    <w:p>
      <w:pPr>
        <w:ind w:firstLine="480"/>
        <w:spacing w:line="4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w:t>
      </w:r>
      <w:r>
        <w:rPr>
          <w:rFonts w:hint="eastAsia" w:ascii="宋体" w:hAnsi="宋体"/>
          <w:sz w:val="24"/>
          <w:szCs w:val="21"/>
        </w:rPr>
        <w:t xml:space="preserve">使其投标文件对招标文件作出实质性响应，否则其风险由投标人自行承担。</w:t>
      </w:r>
      <w:r/>
    </w:p>
    <w:p>
      <w:pPr>
        <w:ind w:firstLine="56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7</w:t>
      </w:r>
      <w:r>
        <w:rPr>
          <w:rFonts w:hint="eastAsia" w:ascii="Arial" w:hAnsi="Arial" w:eastAsia="黑体" w:cs="Arial"/>
          <w:sz w:val="28"/>
          <w:szCs w:val="28"/>
        </w:rPr>
        <w:t xml:space="preserve">、招标文件的修改</w:t>
      </w:r>
      <w:r/>
    </w:p>
    <w:p>
      <w:pPr>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p>
    <w:p>
      <w:pPr>
        <w:ind w:firstLine="480"/>
        <w:spacing w:line="400" w:lineRule="exact"/>
        <w:rPr>
          <w:rFonts w:ascii="宋体" w:hAnsi="Arial"/>
          <w:sz w:val="28"/>
          <w:szCs w:val="21"/>
        </w:rPr>
      </w:pPr>
      <w:r>
        <w:rPr>
          <w:rFonts w:ascii="宋体" w:hAnsi="宋体"/>
          <w:bCs/>
          <w:sz w:val="24"/>
          <w:szCs w:val="21"/>
        </w:rPr>
        <w:t xml:space="preserve">7</w:t>
      </w:r>
      <w:r>
        <w:rPr>
          <w:rFonts w:hint="eastAsia" w:ascii="宋体" w:hAnsi="宋体"/>
          <w:bCs/>
          <w:sz w:val="24"/>
          <w:szCs w:val="21"/>
        </w:rPr>
        <w:t xml:space="preserve">.2 </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p>
    <w:p>
      <w:pPr>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before="156" w:after="156" w:line="400" w:lineRule="exact"/>
        <w:rPr>
          <w:b/>
          <w:bCs/>
          <w:sz w:val="32"/>
          <w:szCs w:val="32"/>
        </w:rPr>
        <w:outlineLvl w:val="2"/>
      </w:pPr>
      <w:r>
        <w:rPr>
          <w:rFonts w:hint="eastAsia"/>
          <w:b/>
          <w:bCs/>
          <w:sz w:val="32"/>
          <w:szCs w:val="32"/>
        </w:rPr>
        <w:t xml:space="preserve">三、投标文件的编制</w:t>
      </w:r>
      <w:r/>
    </w:p>
    <w:p>
      <w:pPr>
        <w:ind w:firstLine="560"/>
        <w:keepLines/>
        <w:keepNext/>
        <w:spacing w:line="400" w:lineRule="exact"/>
        <w:rPr>
          <w:rFonts w:ascii="Arial" w:hAnsi="Arial" w:eastAsia="黑体" w:cs="Arial"/>
          <w:b/>
          <w:sz w:val="28"/>
          <w:szCs w:val="28"/>
        </w:rPr>
        <w:outlineLvl w:val="3"/>
      </w:pPr>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r/>
    </w:p>
    <w:p>
      <w:pPr>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 投标人提交的投标文件以及投标人与采购中心就有关投标的所有来往通知、函件和文件均应使用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9</w:t>
      </w:r>
      <w:r>
        <w:rPr>
          <w:rFonts w:hint="eastAsia" w:ascii="Arial" w:hAnsi="Arial" w:eastAsia="黑体" w:cs="Arial"/>
          <w:sz w:val="28"/>
          <w:szCs w:val="28"/>
        </w:rPr>
        <w:t xml:space="preserve">、投标文件构成</w:t>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r/>
    </w:p>
    <w:p>
      <w:pPr>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投标人按照招标文件规定格式填报投标分项报价表。</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w:t>
      </w:r>
      <w:r>
        <w:rPr>
          <w:rFonts w:hint="eastAsia" w:ascii="宋体" w:hAnsi="宋体"/>
          <w:sz w:val="24"/>
          <w:szCs w:val="24"/>
        </w:rPr>
        <w:t xml:space="preserve">机构的分布情况，售后服务人员的数量、素质、技术水平及售后服务的反应能力等。</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1"/>
          <w:lang w:val="zh-CN"/>
        </w:rPr>
        <w:t xml:space="preserve">所投标的的主要组成部分、功能设计、实现思路及关键技术等。</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 投标人应按照招标文件中提供的格式完整、正确填写投标函、开标一览表。</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4</w:t>
      </w:r>
      <w:r>
        <w:rPr>
          <w:rFonts w:hint="eastAsia" w:ascii="宋体" w:hAnsi="宋体"/>
          <w:sz w:val="24"/>
          <w:szCs w:val="21"/>
        </w:rPr>
        <w:t xml:space="preserve">.2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.1投标有效期为采购中心规定的开标之日后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p>
    <w:p>
      <w:pPr>
        <w:keepLines/>
        <w:keepNext/>
        <w:spacing w:before="156" w:after="156" w:line="400" w:lineRule="exact"/>
        <w:rPr>
          <w:b/>
          <w:bCs/>
          <w:sz w:val="32"/>
          <w:szCs w:val="32"/>
        </w:rPr>
        <w:outlineLvl w:val="2"/>
      </w:pPr>
      <w:r>
        <w:rPr>
          <w:rFonts w:hint="eastAsia"/>
          <w:b/>
          <w:bCs/>
          <w:sz w:val="32"/>
          <w:szCs w:val="32"/>
        </w:rPr>
        <w:t xml:space="preserve">四、投标文件的递交</w:t>
      </w:r>
      <w:r/>
    </w:p>
    <w:p>
      <w:pPr>
        <w:ind w:firstLine="420"/>
        <w:keepLines/>
        <w:keepNext/>
        <w:spacing w:line="400" w:lineRule="exact"/>
        <w:rPr>
          <w:rFonts w:ascii="黑体"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投标文件的递交</w:t>
      </w:r>
      <w:r/>
    </w:p>
    <w:p>
      <w:pPr>
        <w:ind w:left="525"/>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w:t>
      </w:r>
      <w:r/>
    </w:p>
    <w:p>
      <w:pPr>
        <w:spacing w:line="400" w:lineRule="exact"/>
        <w:rPr>
          <w:rFonts w:hint="eastAsia" w:ascii="宋体" w:hAnsi="宋体"/>
          <w:bCs/>
          <w:sz w:val="24"/>
          <w:szCs w:val="21"/>
        </w:rPr>
      </w:pPr>
      <w:r>
        <w:rPr>
          <w:rFonts w:hint="eastAsia" w:ascii="宋体" w:hAnsi="宋体"/>
          <w:bCs/>
          <w:sz w:val="24"/>
          <w:szCs w:val="21"/>
        </w:rPr>
        <w:t xml:space="preserve">子投标文件。</w:t>
      </w:r>
      <w:r/>
    </w:p>
    <w:p>
      <w:pPr>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r/>
    </w:p>
    <w:p>
      <w:pPr>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 投标人上传电子投标文件的时间不得迟于招标公告中规定的投标截止时间。</w:t>
      </w:r>
      <w:r/>
    </w:p>
    <w:p>
      <w:pPr>
        <w:ind w:firstLine="480"/>
        <w:spacing w:line="4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w:t>
      </w:r>
      <w:r>
        <w:rPr>
          <w:rFonts w:ascii="宋体" w:hAnsi="宋体"/>
          <w:bCs/>
          <w:sz w:val="24"/>
          <w:szCs w:val="21"/>
        </w:rPr>
        <w:t xml:space="preserve">6</w:t>
      </w:r>
      <w:r>
        <w:rPr>
          <w:rFonts w:hint="eastAsia" w:ascii="宋体" w:hAnsi="宋体"/>
          <w:bCs/>
          <w:sz w:val="24"/>
          <w:szCs w:val="21"/>
        </w:rPr>
        <w:t xml:space="preserve">.1.2条规定做无效投标处理。</w:t>
      </w:r>
      <w:r/>
    </w:p>
    <w:p>
      <w:pPr>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采购中心可以按照规定，通过修改招标文件酌情延长投标截止日期，在此情况下，投标人的所有权利和义务以及投标人受制的截止日期均应以延长</w:t>
      </w:r>
      <w:r>
        <w:rPr>
          <w:rFonts w:hint="eastAsia" w:ascii="宋体" w:hAnsi="宋体"/>
          <w:bCs/>
          <w:sz w:val="24"/>
          <w:szCs w:val="21"/>
        </w:rPr>
        <w:t xml:space="preserve">后新的截止日期为准。</w:t>
      </w:r>
      <w:r/>
    </w:p>
    <w:p>
      <w:pPr>
        <w:ind w:firstLine="42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19</w:t>
      </w:r>
      <w:r>
        <w:rPr>
          <w:rFonts w:hint="eastAsia" w:ascii="Arial" w:hAnsi="Arial" w:eastAsia="黑体" w:cs="Arial"/>
          <w:sz w:val="28"/>
          <w:szCs w:val="28"/>
        </w:rPr>
        <w:t xml:space="preserve">、投标文件的拒收</w:t>
      </w:r>
      <w:r/>
    </w:p>
    <w:p>
      <w:pPr>
        <w:ind w:firstLine="480"/>
        <w:spacing w:line="4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投标文件的撤回</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.1.1 电子投标文件的撤回</w:t>
      </w:r>
      <w:r/>
    </w:p>
    <w:p>
      <w:pPr>
        <w:ind w:firstLine="480"/>
        <w:spacing w:line="4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before="156" w:after="156" w:line="400" w:lineRule="exact"/>
        <w:rPr>
          <w:b/>
          <w:bCs/>
          <w:sz w:val="32"/>
          <w:szCs w:val="32"/>
        </w:rPr>
        <w:outlineLvl w:val="2"/>
      </w:pPr>
      <w:r>
        <w:rPr>
          <w:rFonts w:hint="eastAsia"/>
          <w:b/>
          <w:bCs/>
          <w:sz w:val="32"/>
          <w:szCs w:val="32"/>
        </w:rPr>
        <w:t xml:space="preserve">五、开标与评标</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评标委员会由采购人代表和有关技术、经济等方面的专家组成，且人员构成符合政府采购有关规定。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.3评标委员会独立工作，负责评审所有投标文件并确定中标侯选人。</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w:t>
      </w:r>
      <w:r>
        <w:rPr>
          <w:rFonts w:hint="eastAsia" w:ascii="宋体" w:hAnsi="宋体"/>
          <w:bCs/>
          <w:sz w:val="24"/>
          <w:szCs w:val="21"/>
        </w:rPr>
        <w:t xml:space="preserve">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r/>
    </w:p>
    <w:p>
      <w:pPr>
        <w:ind w:firstLine="480"/>
        <w:spacing w:line="40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接到评标委员会澄清、说明和补正要求的投标人如未按规定做出澄清、说明和补正，其风险由投标人自行承担。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t>
      </w:r>
      <w:r>
        <w:rPr>
          <w:bCs/>
          <w:szCs w:val="21"/>
        </w:rPr>
        <w:t xml:space="preserve">（</w:t>
      </w:r>
      <w:r>
        <w:rPr>
          <w:bCs/>
          <w:szCs w:val="21"/>
        </w:rPr>
        <w:t xml:space="preserve">www.creditchina.gov.cn</w:t>
      </w:r>
      <w:r>
        <w:rPr>
          <w:bCs/>
          <w:szCs w:val="21"/>
        </w:rPr>
        <w:t xml:space="preserve">）</w:t>
      </w:r>
      <w:r>
        <w:rPr>
          <w:rFonts w:hint="eastAsia" w:ascii="宋体" w:hAnsi="宋体"/>
          <w:bCs/>
          <w:sz w:val="24"/>
          <w:szCs w:val="21"/>
        </w:rPr>
        <w:t xml:space="preserve">查询投标人的信用记录，以确定投标人是否具备投标资格,查询结果留存并归档。</w:t>
      </w:r>
      <w:r/>
    </w:p>
    <w:p>
      <w:pPr>
        <w:ind w:firstLine="480"/>
        <w:spacing w:line="4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.1.3 未通过资格审查或符合性审查的投标人，采购中心将在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.4</w:t>
      </w:r>
      <w:r>
        <w:rPr>
          <w:rFonts w:hint="eastAsia" w:ascii="宋体" w:hAnsi="宋体"/>
          <w:bCs/>
          <w:sz w:val="24"/>
          <w:szCs w:val="21"/>
        </w:rPr>
        <w:t xml:space="preserve">评标委员会将对确定为实质性响应的投标进行进一步审核，看其是否有计算上或累加上的算术错误，修正错误的原则如下：</w:t>
      </w:r>
      <w:r/>
    </w:p>
    <w:p>
      <w:pPr>
        <w:ind w:firstLine="480"/>
        <w:spacing w:line="4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4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.5</w:t>
      </w:r>
      <w:r>
        <w:rPr>
          <w:rFonts w:hint="eastAsia" w:ascii="宋体" w:hAnsi="宋体"/>
          <w:bCs/>
          <w:sz w:val="24"/>
          <w:szCs w:val="21"/>
        </w:rPr>
        <w:t xml:space="preserve">评标委员会将按上述修正错误的方法调整投标文件中的投标报价，并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4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w:t>
      </w:r>
      <w:r>
        <w:rPr>
          <w:rFonts w:ascii="宋体" w:hAnsi="宋体"/>
          <w:sz w:val="24"/>
          <w:szCs w:val="21"/>
        </w:rPr>
        <w:t xml:space="preserve">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4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 异常低价投标审查</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25.8.1 评标过程中出现下列情形之一的，评标委员会应当启动异常低价投标审查程序：</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（1）投标报价低于全部通过符合性审查供应商投标报价平均值</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的，即投标报价&lt;全部通过符合性审查供应商投标报价平均值×</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（2）投标报价低于通过符合性审查的次低报价供应商投标报价</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的，即投标报价&lt;通过符合性审查的次低报价供应商投标报价×</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（3）投标报价低于采购项目最高限价</w:t>
      </w:r>
      <w:r>
        <w:rPr>
          <w:rFonts w:hint="eastAsia" w:ascii="方正魏碑_GBK" w:hAnsi="方正魏碑_GBK" w:eastAsia="方正魏碑_GBK" w:cs="方正魏碑_GBK"/>
          <w:sz w:val="24"/>
          <w:szCs w:val="21"/>
          <w:u w:val="single"/>
        </w:rPr>
        <w:t xml:space="preserve">45%</w:t>
      </w:r>
      <w:r>
        <w:rPr>
          <w:rFonts w:hint="eastAsia" w:ascii="方正魏碑_GBK" w:hAnsi="方正魏碑_GBK" w:eastAsia="方正魏碑_GBK" w:cs="方正魏碑_GBK"/>
          <w:sz w:val="24"/>
          <w:szCs w:val="21"/>
        </w:rPr>
        <w:t xml:space="preserve">的，即投标报价&lt;采购项目最高限价×</w:t>
      </w:r>
      <w:r>
        <w:rPr>
          <w:rFonts w:hint="eastAsia" w:ascii="方正魏碑_GBK" w:hAnsi="方正魏碑_GBK" w:eastAsia="方正魏碑_GBK" w:cs="方正魏碑_GBK"/>
          <w:sz w:val="24"/>
          <w:szCs w:val="21"/>
          <w:u w:val="single"/>
        </w:rPr>
        <w:t xml:space="preserve">45%</w:t>
      </w:r>
      <w:r>
        <w:rPr>
          <w:rFonts w:hint="eastAsia" w:ascii="方正魏碑_GBK" w:hAnsi="方正魏碑_GBK" w:eastAsia="方正魏碑_GBK" w:cs="方正魏碑_GBK"/>
          <w:sz w:val="24"/>
          <w:szCs w:val="21"/>
        </w:rPr>
        <w:t xml:space="preserve">；</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400" w:lineRule="exact"/>
        <w:rPr>
          <w:rFonts w:ascii="方正魏碑_GBK" w:hAnsi="方正魏碑_GBK" w:eastAsia="方正魏碑_GBK" w:cs="方正魏碑_GBK"/>
          <w:sz w:val="24"/>
          <w:szCs w:val="21"/>
        </w:rPr>
      </w:pPr>
      <w:r>
        <w:rPr>
          <w:rFonts w:ascii="方正魏碑_GBK" w:hAnsi="方正魏碑_GBK" w:eastAsia="方正魏碑_GBK" w:cs="方正魏碑_GBK"/>
          <w:sz w:val="24"/>
          <w:szCs w:val="21"/>
        </w:rPr>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、无效投标条款和废标条款</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投标人同一</w:t>
      </w:r>
      <w:r>
        <w:rPr>
          <w:rFonts w:ascii="宋体" w:hAnsi="宋体"/>
          <w:bCs/>
          <w:sz w:val="24"/>
          <w:szCs w:val="21"/>
        </w:rPr>
        <w:t xml:space="preserve">采购包</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4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0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ind w:firstLine="420"/>
        <w:spacing w:line="400" w:lineRule="exact"/>
        <w:rPr>
          <w:rFonts w:hint="eastAsia" w:ascii="宋体" w:hAnsi="宋体"/>
          <w:sz w:val="24"/>
          <w:szCs w:val="21"/>
        </w:rPr>
      </w:pPr>
      <w:r>
        <w:rPr>
          <w:rFonts w:hint="eastAsia" w:ascii="宋体" w:hAnsi="宋体"/>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20"/>
        <w:spacing w:line="400" w:lineRule="exact"/>
        <w:rPr>
          <w:rFonts w:hint="eastAsia" w:ascii="宋体" w:hAnsi="宋体"/>
          <w:sz w:val="24"/>
          <w:szCs w:val="21"/>
        </w:rPr>
      </w:pPr>
      <w:r>
        <w:rPr>
          <w:rFonts w:hint="eastAsia" w:ascii="宋体" w:hAnsi="宋体"/>
          <w:sz w:val="24"/>
          <w:szCs w:val="21"/>
        </w:rPr>
        <w:t xml:space="preserve">26.1.13 投标人所投标产品不符合招标文件中所列国家强制性标准的。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.1.14其他法律、法规及本招标文件规定的属无效投标的情形。</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.2废标条款 </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.2.1符合专业条件的供应商或者对招标文件作实质响应的供应商不足三</w:t>
      </w:r>
      <w:r/>
    </w:p>
    <w:p>
      <w:pPr>
        <w:spacing w:line="400" w:lineRule="exact"/>
        <w:rPr>
          <w:rFonts w:hint="eastAsia" w:ascii="宋体" w:hAnsi="宋体"/>
          <w:bCs/>
          <w:sz w:val="24"/>
          <w:szCs w:val="21"/>
        </w:rPr>
      </w:pPr>
      <w:r>
        <w:rPr>
          <w:rFonts w:hint="eastAsia" w:ascii="宋体" w:hAnsi="宋体"/>
          <w:bCs/>
          <w:sz w:val="24"/>
          <w:szCs w:val="21"/>
        </w:rPr>
        <w:t xml:space="preserve">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.2.2出现影响采购公正的违法、违规行为的。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.2.3因重大变故，采购任务取消的。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.2.4评标委员会认定招标文件存在歧义、重大缺陷导致评审工作无法进</w:t>
      </w:r>
      <w:r/>
    </w:p>
    <w:p>
      <w:pPr>
        <w:spacing w:line="400" w:lineRule="exact"/>
        <w:rPr>
          <w:rFonts w:hint="eastAsia" w:ascii="宋体" w:hAnsi="宋体"/>
          <w:bCs/>
          <w:sz w:val="24"/>
          <w:szCs w:val="21"/>
        </w:rPr>
      </w:pPr>
      <w:r>
        <w:rPr>
          <w:rFonts w:hint="eastAsia" w:ascii="宋体" w:hAnsi="宋体"/>
          <w:bCs/>
          <w:sz w:val="24"/>
          <w:szCs w:val="21"/>
        </w:rPr>
        <w:t xml:space="preserve">行。</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投标截止时间结束后参加投标的供应商不足三家的处理：</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400" w:lineRule="exact"/>
        <w:rPr>
          <w:b/>
          <w:bCs/>
          <w:sz w:val="32"/>
          <w:szCs w:val="32"/>
        </w:rPr>
        <w:outlineLvl w:val="2"/>
      </w:pPr>
      <w:r>
        <w:rPr>
          <w:rFonts w:hint="eastAsia"/>
          <w:b/>
          <w:bCs/>
          <w:sz w:val="32"/>
          <w:szCs w:val="32"/>
        </w:rPr>
        <w:t xml:space="preserve">六、定标</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、确定中标单位</w:t>
      </w:r>
      <w:r/>
    </w:p>
    <w:p>
      <w:pPr>
        <w:ind w:firstLine="480"/>
        <w:spacing w:line="400" w:lineRule="exact"/>
        <w:rPr>
          <w:rFonts w:hint="eastAsia" w:ascii="宋体" w:hAnsi="宋体"/>
          <w:bCs/>
          <w:sz w:val="24"/>
          <w:szCs w:val="21"/>
        </w:rPr>
      </w:pPr>
      <w:r>
        <w:rPr>
          <w:rFonts w:hint="eastAsia" w:ascii="宋体" w:hAnsi="宋体"/>
          <w:bCs/>
          <w:sz w:val="24"/>
          <w:szCs w:val="21"/>
        </w:rPr>
        <w:t xml:space="preserve">27.1中标候选人的选取原则和数量见招标文件第五章规定。 </w:t>
      </w:r>
      <w:r/>
    </w:p>
    <w:p>
      <w:pPr>
        <w:ind w:firstLine="480"/>
        <w:spacing w:line="400" w:lineRule="exact"/>
        <w:rPr>
          <w:rFonts w:hint="eastAsia" w:ascii="宋体" w:hAnsi="宋体"/>
          <w:bCs/>
          <w:sz w:val="24"/>
          <w:szCs w:val="21"/>
        </w:rPr>
      </w:pPr>
      <w:r>
        <w:rPr>
          <w:rFonts w:hint="eastAsia" w:ascii="宋体" w:hAnsi="宋体"/>
          <w:bCs/>
          <w:sz w:val="24"/>
          <w:szCs w:val="21"/>
        </w:rPr>
        <w:t xml:space="preserve">27.2 采购人应根据评标委员会推荐的中标候选人确定中标供应商。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27.4.3属于本文件规定的无效条件，但在评标过程中又未被评标委员会发现的。</w:t>
      </w:r>
      <w:r/>
    </w:p>
    <w:p>
      <w:pPr>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hint="eastAsia"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sz w:val="24"/>
          <w:szCs w:val="24"/>
        </w:rPr>
      </w:pPr>
      <w:r>
        <w:rPr>
          <w:rFonts w:hint="eastAsia" w:ascii="宋体" w:hAnsi="宋体"/>
          <w:sz w:val="24"/>
          <w:szCs w:val="24"/>
        </w:rPr>
        <w:t xml:space="preserve">28.4 供应商（含潜在供应商）对采购方式、招标文件中采购需求、供应商</w:t>
      </w:r>
      <w:r>
        <w:rPr>
          <w:rFonts w:hint="eastAsia" w:ascii="宋体" w:hAnsi="宋体"/>
          <w:sz w:val="24"/>
          <w:szCs w:val="24"/>
        </w:rPr>
        <w:t xml:space="preserve">资格条件、评标方法与评标标准、合同文本及资格审查结果的询问、质疑请向采购人提出，由采购人负责答复。供应商对其他事项的询问、质疑请向采购中心提出，由采购中心负责答复。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sz w:val="32"/>
          <w:szCs w:val="32"/>
        </w:rPr>
        <w:outlineLvl w:val="2"/>
      </w:pPr>
      <w:r>
        <w:rPr>
          <w:rFonts w:hint="eastAsia"/>
          <w:b/>
          <w:bCs/>
          <w:sz w:val="32"/>
          <w:szCs w:val="32"/>
        </w:rPr>
        <w:t xml:space="preserve">七、授予合同</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ind w:firstLine="420"/>
        <w:spacing w:line="400" w:lineRule="exact"/>
        <w:rPr>
          <w:szCs w:val="21"/>
        </w:rPr>
      </w:pPr>
      <w:r/>
      <w:bookmarkStart w:id="55" w:name="_Toc20823314"/>
      <w:r/>
      <w:bookmarkStart w:id="56" w:name="_Toc513029242"/>
      <w:r/>
      <w:bookmarkStart w:id="57" w:name="_Toc479757207"/>
      <w:r/>
      <w:bookmarkStart w:id="58" w:name="_Toc16938558"/>
      <w:r/>
      <w:bookmarkStart w:id="59" w:name="_Toc120614221"/>
      <w:r/>
      <w:bookmarkEnd w:id="2"/>
      <w:r/>
      <w:bookmarkEnd w:id="3"/>
      <w:r/>
      <w:bookmarkEnd w:id="4"/>
      <w:r/>
      <w:bookmarkEnd w:id="5"/>
      <w:r/>
      <w:bookmarkEnd w:id="6"/>
      <w:r/>
      <w:r/>
    </w:p>
    <w:p>
      <w:pPr>
        <w:spacing w:line="500" w:lineRule="exact"/>
        <w:rPr>
          <w:rFonts w:hint="eastAsia" w:ascii="宋体" w:hAnsi="宋体"/>
          <w:bCs/>
          <w:sz w:val="24"/>
          <w:szCs w:val="24"/>
        </w:rPr>
      </w:pPr>
      <w:r>
        <w:rPr>
          <w:rFonts w:hint="eastAsia" w:ascii="宋体" w:hAnsi="宋体"/>
          <w:bCs/>
          <w:sz w:val="24"/>
          <w:szCs w:val="24"/>
        </w:rPr>
      </w:r>
      <w:r/>
    </w:p>
    <w:p>
      <w:pPr>
        <w:jc w:val="center"/>
        <w:keepNext/>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br w:type="page" w:clear="all"/>
      </w:r>
      <w:bookmarkStart w:id="60" w:name="_Toc233969287"/>
      <w:r>
        <w:rPr>
          <w:rFonts w:hint="eastAsia" w:ascii="方正黑体_GBK" w:hAnsi="方正黑体_GBK" w:eastAsia="方正黑体_GBK" w:cs="方正黑体_GBK"/>
          <w:sz w:val="28"/>
          <w:szCs w:val="28"/>
        </w:rPr>
        <w:t xml:space="preserve">第三章  合同</w:t>
      </w:r>
      <w:bookmarkEnd w:id="55"/>
      <w:r/>
      <w:bookmarkEnd w:id="56"/>
      <w:r/>
      <w:bookmarkEnd w:id="57"/>
      <w:r/>
      <w:bookmarkEnd w:id="58"/>
      <w:r/>
      <w:bookmarkEnd w:id="59"/>
      <w:r>
        <w:rPr>
          <w:rFonts w:hint="eastAsia" w:ascii="方正黑体_GBK" w:hAnsi="方正黑体_GBK" w:eastAsia="方正黑体_GBK" w:cs="方正黑体_GBK"/>
          <w:sz w:val="28"/>
          <w:szCs w:val="28"/>
        </w:rPr>
        <w:t xml:space="preserve">文本</w:t>
      </w:r>
      <w:bookmarkEnd w:id="60"/>
      <w:r/>
      <w:r/>
    </w:p>
    <w:p>
      <w:pPr>
        <w:spacing w:line="400" w:lineRule="exact"/>
        <w:rPr>
          <w:rFonts w:hint="eastAsia" w:ascii="宋体" w:hAnsi="宋体"/>
          <w:bCs/>
          <w:sz w:val="28"/>
          <w:szCs w:val="28"/>
        </w:rPr>
      </w:pPr>
      <w:r/>
      <w:bookmarkStart w:id="61" w:name="_Toc513029243"/>
      <w:r/>
      <w:bookmarkStart w:id="62" w:name="_Toc16938559"/>
      <w:r/>
      <w:bookmarkStart w:id="63" w:name="_Toc3995"/>
      <w:r/>
      <w:bookmarkStart w:id="64" w:name="_Toc20823315"/>
      <w:r/>
      <w:bookmarkStart w:id="65" w:name="_Hlt16619350"/>
      <w:r/>
      <w:bookmarkStart w:id="66" w:name="_Toc20823346"/>
      <w:r/>
      <w:bookmarkStart w:id="67" w:name="_Toc16938590"/>
      <w:r/>
      <w:bookmarkStart w:id="68" w:name="_Toc120614244"/>
      <w:r/>
      <w:bookmarkStart w:id="69" w:name="_Toc462564139"/>
      <w:r/>
      <w:bookmarkStart w:id="70" w:name="_Toc479757211"/>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bookmarkEnd w:id="61"/>
      <w:bookmarkEnd w:id="62"/>
      <w:bookmarkEnd w:id="63"/>
      <w:bookmarkEnd w:id="64"/>
      <w:r/>
    </w:p>
    <w:p>
      <w:pPr>
        <w:spacing w:line="500" w:lineRule="exact"/>
        <w:rPr>
          <w:rFonts w:hint="eastAsia" w:ascii="宋体" w:hAnsi="宋体"/>
          <w:bCs/>
          <w:sz w:val="28"/>
          <w:szCs w:val="28"/>
        </w:rPr>
      </w:pPr>
      <w:r>
        <w:rPr>
          <w:rFonts w:hint="eastAsia" w:ascii="宋体" w:hAnsi="宋体"/>
          <w:bCs/>
          <w:sz w:val="28"/>
          <w:szCs w:val="28"/>
        </w:rPr>
      </w:r>
      <w:r/>
    </w:p>
    <w:p>
      <w:pPr>
        <w:pStyle w:val="1021"/>
        <w:jc w:val="center"/>
        <w:rPr>
          <w:rFonts w:hint="eastAsia" w:ascii="宋体" w:hAnsi="宋体" w:eastAsia="宋体" w:cs="宋体"/>
          <w:b/>
          <w:bCs/>
          <w:spacing w:val="-20"/>
        </w:rPr>
      </w:pPr>
      <w:r>
        <w:rPr>
          <w:rFonts w:hint="eastAsia" w:ascii="宋体" w:hAnsi="宋体" w:eastAsia="宋体" w:cs="宋体"/>
          <w:b/>
          <w:bCs/>
          <w:spacing w:val="-20"/>
        </w:rPr>
      </w:r>
      <w:r/>
    </w:p>
    <w:p>
      <w:pPr>
        <w:pStyle w:val="1021"/>
        <w:jc w:val="center"/>
        <w:rPr>
          <w:rFonts w:hint="eastAsia" w:ascii="宋体" w:hAnsi="宋体" w:eastAsia="宋体" w:cs="宋体"/>
          <w:spacing w:val="-20"/>
        </w:rPr>
      </w:pPr>
      <w:r>
        <w:rPr>
          <w:rFonts w:hint="eastAsia" w:ascii="宋体" w:hAnsi="宋体" w:eastAsia="宋体" w:cs="宋体"/>
          <w:spacing w:val="-20"/>
        </w:rPr>
      </w:r>
      <w:r/>
    </w:p>
    <w:p>
      <w:pPr>
        <w:pStyle w:val="1021"/>
        <w:jc w:val="center"/>
        <w:spacing w:line="660" w:lineRule="exact"/>
        <w:rPr>
          <w:rFonts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财政部 政府采购货物买卖合同（试行）</w:t>
      </w:r>
      <w:r/>
    </w:p>
    <w:p>
      <w:pPr>
        <w:pStyle w:val="1021"/>
        <w:jc w:val="center"/>
        <w:spacing w:line="660" w:lineRule="exact"/>
        <w:rPr>
          <w:rFonts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ind w:left="420"/>
        <w:spacing w:line="66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rPr>
          <w:sz w:val="28"/>
          <w:szCs w:val="28"/>
        </w:rPr>
      </w:pPr>
      <w:r>
        <w:rPr>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spacing w:line="4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jc w:val="center"/>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1.本合同标准文本适用于购买现成货物的采购项目，不包括需要供应商定制开发、创新研发的货物采购项目。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2.本合同标准文本为政府采购货物买卖合同编制提供参考，可以结合采购项目具体情况，对文本作必要的调整修订后使用。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3.本合同标准文本各条款中，如涉及填写多家供应商、制造商，多种采购标的、分包主要内容等信息的，可根据采购项目具体情况添加信息项。</w:t>
      </w:r>
      <w:r/>
    </w:p>
    <w:p>
      <w:pPr>
        <w:ind w:firstLine="560"/>
        <w:rPr>
          <w:rFonts w:eastAsia="黑体"/>
          <w:sz w:val="28"/>
          <w:szCs w:val="28"/>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28"/>
          <w:szCs w:val="28"/>
        </w:rPr>
      </w:r>
      <w:r/>
    </w:p>
    <w:p>
      <w:pPr>
        <w:pStyle w:val="993"/>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pStyle w:val="1023"/>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p>
    <w:p>
      <w:pPr>
        <w:pStyle w:val="1023"/>
        <w:numPr>
          <w:ilvl w:val="0"/>
          <w:numId w:val="4"/>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p>
    <w:p>
      <w:pPr>
        <w:pStyle w:val="1023"/>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p>
    <w:p>
      <w:pPr>
        <w:pStyle w:val="1023"/>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095"/>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095"/>
        <w:ind w:firstLine="560"/>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是否涉及绿色产品： </w:t>
      </w:r>
      <w:r/>
    </w:p>
    <w:p>
      <w:pPr>
        <w:pStyle w:val="1095"/>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095"/>
        <w:ind w:firstLine="560"/>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095"/>
        <w:ind w:firstLine="84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p>
    <w:p>
      <w:pPr>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spacing w:line="400" w:lineRule="exact"/>
        <w:rPr>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（3）付款方式（按项目实际勾选填写）：</w:t>
      </w:r>
      <w:r/>
    </w:p>
    <w:p>
      <w:pPr>
        <w:ind w:firstLine="560"/>
        <w:spacing w:line="400" w:lineRule="exact"/>
        <w:rPr>
          <w:rFonts w:hint="eastAsia" w:ascii="方正仿宋_GBK" w:hAnsi="方正仿宋_GBK" w:eastAsia="方正仿宋_GBK" w:cs="方正仿宋_GBK"/>
          <w:bCs/>
          <w:sz w:val="28"/>
          <w:szCs w:val="28"/>
        </w:rPr>
      </w:pPr>
      <w:r>
        <w:rPr>
          <w:rFonts w:ascii="Wingdings 2" w:hAnsi="Wingdings 2" w:eastAsia="Wingdings 2" w:cs="Wingdings 2"/>
          <w:sz w:val="28"/>
          <w:szCs w:val="28"/>
        </w:rPr>
        <w:t xml:space="preserve">R</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u w:val="single"/>
        </w:rPr>
        <w:t xml:space="preserve">所有设备供货、搬运上楼、安装、调试完成并通过甲方验收后10个工作日内支付合同价款的1</w:t>
      </w:r>
      <w:r>
        <w:rPr>
          <w:rFonts w:ascii="方正仿宋_GBK" w:hAnsi="方正仿宋_GBK" w:eastAsia="方正仿宋_GBK" w:cs="方正仿宋_GBK"/>
          <w:bCs/>
          <w:sz w:val="28"/>
          <w:szCs w:val="28"/>
          <w:u w:val="single"/>
        </w:rPr>
        <w:t xml:space="preserve">00%</w:t>
      </w:r>
      <w:r>
        <w:rPr>
          <w:rFonts w:hint="eastAsia" w:ascii="方正仿宋_GBK" w:hAnsi="方正仿宋_GBK" w:eastAsia="方正仿宋_GBK" w:cs="方正仿宋_GBK"/>
          <w:bCs/>
          <w:sz w:val="28"/>
          <w:szCs w:val="28"/>
          <w:u w:val="single"/>
        </w:rPr>
        <w:t xml:space="preserve">。</w:t>
      </w:r>
      <w:r/>
    </w:p>
    <w:p>
      <w:pPr>
        <w:ind w:firstLine="56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p>
    <w:p>
      <w:pPr>
        <w:ind w:firstLine="562"/>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2" w:hAnsi="Wingdings 2" w:eastAsia="Wingdings 2" w:cs="Wingdings 2"/>
          <w:sz w:val="28"/>
          <w:szCs w:val="28"/>
        </w:rPr>
        <w:t xml:space="preserve">R</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银行汇款、现金形式，乙方需将合同总金额的5％作为履约保证金通过银行转账提交至南京中医药大学指定账户，账户名称：南京中医药大学，账号：4301010109001027264，开户行：工商银行汉中门支行，备注：项目名称+履约保证金            </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合同价款的5%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自甲方最终书面确认验收合格之日起算【12】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p>
    <w:p>
      <w:pPr>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 详见招标文件第四章项目需求内容进行验收</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（6）履约验收标准：（招投标文件技术标准）</w:t>
      </w:r>
      <w:r>
        <w:rPr>
          <w:rFonts w:hint="eastAsia" w:ascii="方正仿宋_GBK" w:hAnsi="方正仿宋_GBK" w:eastAsia="方正仿宋_GBK" w:cs="方正仿宋_GBK"/>
          <w:bCs/>
          <w:sz w:val="28"/>
          <w:szCs w:val="28"/>
          <w:u w:val="single"/>
        </w:rPr>
        <w:t xml:space="preserve">                                         </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（8）国家法律、行政法规和规章制度规定或合同约定的作为合同组成部分的其他文件</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1063"/>
        <w:spacing w:line="400" w:lineRule="exact"/>
        <w:rPr>
          <w:sz w:val="28"/>
          <w:szCs w:val="28"/>
          <w:lang w:eastAsia="zh-CN"/>
        </w:rPr>
      </w:pPr>
      <w:r>
        <w:rPr>
          <w:sz w:val="28"/>
          <w:szCs w:val="28"/>
          <w:lang w:eastAsia="zh-CN"/>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58"/>
        <w:gridCol w:w="2901"/>
        <w:gridCol w:w="1644"/>
        <w:gridCol w:w="2202"/>
      </w:tblGrid>
      <w:tr>
        <w:trPr>
          <w:trHeight w:val="490"/>
        </w:trPr>
        <w:tc>
          <w:tcPr>
            <w:gridSpan w:val="2"/>
            <w:tcBorders>
              <w:bottom w:val="single" w:color="000000" w:sz="2" w:space="0"/>
              <w:right w:val="single" w:color="000000" w:sz="2" w:space="0"/>
            </w:tcBorders>
            <w:tcW w:w="2791"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Borders>
              <w:left w:val="single" w:color="000000" w:sz="2" w:space="0"/>
              <w:bottom w:val="single" w:color="000000" w:sz="2" w:space="0"/>
            </w:tcBorders>
            <w:tcW w:w="2208"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cantSplit/>
          <w:trHeight w:val="1171"/>
        </w:trPr>
        <w:tc>
          <w:tcPr>
            <w:tcBorders>
              <w:top w:val="single" w:color="000000" w:sz="2" w:space="0"/>
              <w:right w:val="single" w:color="000000" w:sz="2" w:space="0"/>
            </w:tcBorders>
            <w:tcW w:w="1125" w:type="pct"/>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000000" w:sz="2" w:space="0"/>
              <w:left w:val="single" w:color="000000" w:sz="2" w:space="0"/>
              <w:right w:val="single" w:color="000000" w:sz="2" w:space="0"/>
            </w:tcBorders>
            <w:tcW w:w="1666" w:type="pct"/>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83"/>
        </w:trPr>
        <w:tc>
          <w:tcPr>
            <w:tcBorders>
              <w:bottom w:val="single" w:color="000000" w:sz="2" w:space="0"/>
              <w:right w:val="single" w:color="000000" w:sz="2" w:space="0"/>
            </w:tcBorders>
            <w:tcW w:w="1125" w:type="pct"/>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left w:val="single" w:color="000000" w:sz="2" w:space="0"/>
              <w:bottom w:val="single" w:color="000000" w:sz="2" w:space="0"/>
              <w:right w:val="single" w:color="000000" w:sz="2" w:space="0"/>
            </w:tcBorders>
            <w:tcW w:w="1666" w:type="pct"/>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Borders>
              <w:top w:val="single" w:color="000000" w:sz="2" w:space="0"/>
            </w:tcBorders>
            <w:tcW w:w="5000" w:type="pct"/>
            <w:vAlign w:val="center"/>
            <w:textDirection w:val="lrTb"/>
            <w:noWrap w:val="false"/>
          </w:tcPr>
          <w:p>
            <w:pPr>
              <w:pStyle w:val="1023"/>
              <w:ind w:left="0"/>
              <w:jc w:val="left"/>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993"/>
        <w:spacing w:line="400" w:lineRule="exact"/>
        <w:rPr>
          <w:rFonts w:hint="eastAsia" w:ascii="黑体" w:hAnsi="黑体" w:eastAsia="黑体"/>
          <w:sz w:val="28"/>
          <w:szCs w:val="28"/>
        </w:rPr>
      </w:pPr>
      <w:r>
        <w:rPr>
          <w:rFonts w:ascii="宋体" w:hAnsi="宋体"/>
          <w:sz w:val="28"/>
          <w:szCs w:val="28"/>
          <w:u w:val="single"/>
        </w:rPr>
        <w:br w:type="page" w:clear="all"/>
      </w:r>
      <w:r>
        <w:rPr>
          <w:rFonts w:hint="eastAsia" w:ascii="黑体" w:hAnsi="黑体" w:eastAsia="黑体"/>
          <w:b w:val="0"/>
          <w:bCs w:val="0"/>
          <w:sz w:val="28"/>
          <w:szCs w:val="28"/>
        </w:rPr>
        <w:t xml:space="preserve">第二节 政府采购合同通用条款</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w:t>
      </w:r>
      <w:r>
        <w:rPr>
          <w:rFonts w:hint="eastAsia" w:ascii="方正仿宋_GBK" w:hAnsi="方正仿宋_GBK" w:eastAsia="方正仿宋_GBK" w:cs="方正仿宋_GBK"/>
          <w:sz w:val="28"/>
          <w:szCs w:val="28"/>
        </w:rPr>
        <w:t xml:space="preserve">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w:t>
      </w:r>
      <w:r>
        <w:rPr>
          <w:rFonts w:hint="eastAsia" w:ascii="方正仿宋_GBK" w:hAnsi="方正仿宋_GBK" w:eastAsia="方正仿宋_GBK" w:cs="方正仿宋_GBK"/>
          <w:sz w:val="28"/>
          <w:szCs w:val="28"/>
        </w:rPr>
        <w:t xml:space="preserve">指导，配合甲方的履约检查及验收，并负责项目实施过程中的所有协调工作。</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p>
    <w:p>
      <w:pPr>
        <w:pStyle w:val="1095"/>
        <w:numPr>
          <w:ilvl w:val="0"/>
          <w:numId w:val="5"/>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095"/>
        <w:numPr>
          <w:ilvl w:val="0"/>
          <w:numId w:val="6"/>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95"/>
        <w:ind w:firstLine="560"/>
        <w:rPr>
          <w:rFonts w:hint="eastAsia"/>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095"/>
        <w:numPr>
          <w:ilvl w:val="0"/>
          <w:numId w:val="7"/>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095"/>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993"/>
        <w:spacing w:line="400" w:lineRule="exact"/>
        <w:rPr>
          <w:rFonts w:hint="eastAsia"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28"/>
          <w:szCs w:val="28"/>
        </w:rPr>
        <w:t xml:space="preserve">第三节 政府采购合同专用条款</w:t>
      </w:r>
      <w:r/>
    </w:p>
    <w:tbl>
      <w:tblPr>
        <w:tblW w:w="8627" w:type="dxa"/>
        <w:tblInd w:w="-2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2369"/>
        <w:gridCol w:w="3154"/>
        <w:gridCol w:w="3104"/>
      </w:tblGrid>
      <w:tr>
        <w:trPr>
          <w:trHeight w:val="736"/>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1.2</w:t>
            </w:r>
            <w:r>
              <w:rPr>
                <w:rFonts w:hint="eastAsia"/>
                <w:szCs w:val="21"/>
              </w:rPr>
              <w:t xml:space="preserve">（</w:t>
            </w:r>
            <w:r>
              <w:rPr>
                <w:rFonts w:hint="eastAsia"/>
                <w:szCs w:val="21"/>
              </w:rPr>
              <w:t xml:space="preserve">6</w:t>
            </w:r>
            <w:r>
              <w:rPr>
                <w:rFonts w:hint="eastAsia"/>
                <w:szCs w:val="21"/>
              </w:rPr>
              <w:t xml:space="preserve">）项</w:t>
            </w:r>
            <w:r/>
          </w:p>
        </w:tc>
        <w:tc>
          <w:tcPr>
            <w:tcW w:w="3115" w:type="dxa"/>
            <w:vAlign w:val="center"/>
            <w:textDirection w:val="lrTb"/>
            <w:noWrap w:val="false"/>
          </w:tcPr>
          <w:p>
            <w:pPr>
              <w:jc w:val="left"/>
              <w:widowControl/>
              <w:rPr>
                <w:szCs w:val="21"/>
              </w:rPr>
            </w:pPr>
            <w:r>
              <w:rPr>
                <w:rFonts w:hint="eastAsia"/>
                <w:szCs w:val="21"/>
              </w:rPr>
              <w:t xml:space="preserve">联合体具体要求</w:t>
            </w:r>
            <w:r/>
          </w:p>
        </w:tc>
        <w:tc>
          <w:tcPr>
            <w:tcW w:w="3065" w:type="dxa"/>
            <w:vAlign w:val="center"/>
            <w:textDirection w:val="lrTb"/>
            <w:noWrap w:val="false"/>
          </w:tcPr>
          <w:p>
            <w:pPr>
              <w:jc w:val="left"/>
              <w:widowControl/>
              <w:rPr>
                <w:szCs w:val="21"/>
              </w:rPr>
            </w:pPr>
            <w:r>
              <w:rPr>
                <w:szCs w:val="21"/>
              </w:rPr>
            </w:r>
            <w:r/>
          </w:p>
        </w:tc>
      </w:tr>
      <w:tr>
        <w:trPr>
          <w:trHeight w:val="604"/>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1.2</w:t>
            </w:r>
            <w:r>
              <w:rPr>
                <w:rFonts w:hint="eastAsia"/>
                <w:szCs w:val="21"/>
              </w:rPr>
              <w:t xml:space="preserve">（</w:t>
            </w:r>
            <w:r>
              <w:rPr>
                <w:rFonts w:hint="eastAsia"/>
                <w:szCs w:val="21"/>
              </w:rPr>
              <w:t xml:space="preserve">7</w:t>
            </w:r>
            <w:r>
              <w:rPr>
                <w:rFonts w:hint="eastAsia"/>
                <w:szCs w:val="21"/>
              </w:rPr>
              <w:t xml:space="preserve">）项</w:t>
            </w:r>
            <w:r/>
          </w:p>
        </w:tc>
        <w:tc>
          <w:tcPr>
            <w:tcW w:w="3115" w:type="dxa"/>
            <w:vAlign w:val="center"/>
            <w:textDirection w:val="lrTb"/>
            <w:noWrap w:val="false"/>
          </w:tcPr>
          <w:p>
            <w:pPr>
              <w:jc w:val="left"/>
              <w:widowControl/>
              <w:rPr>
                <w:szCs w:val="21"/>
              </w:rPr>
            </w:pPr>
            <w:r>
              <w:rPr>
                <w:rFonts w:hint="eastAsia"/>
                <w:szCs w:val="21"/>
              </w:rPr>
              <w:t xml:space="preserve">其他术语解释</w:t>
            </w:r>
            <w:r/>
          </w:p>
        </w:tc>
        <w:tc>
          <w:tcPr>
            <w:tcW w:w="3065" w:type="dxa"/>
            <w:vAlign w:val="center"/>
            <w:textDirection w:val="lrTb"/>
            <w:noWrap w:val="false"/>
          </w:tcPr>
          <w:p>
            <w:pPr>
              <w:jc w:val="left"/>
              <w:widowControl/>
              <w:rPr>
                <w:szCs w:val="21"/>
              </w:rPr>
            </w:pPr>
            <w:r>
              <w:rPr>
                <w:szCs w:val="21"/>
              </w:rPr>
            </w:r>
            <w:r/>
          </w:p>
        </w:tc>
      </w:tr>
      <w:tr>
        <w:trPr>
          <w:trHeight w:val="736"/>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4.4</w:t>
            </w:r>
            <w:r>
              <w:rPr>
                <w:rFonts w:hint="eastAsia"/>
                <w:szCs w:val="21"/>
              </w:rPr>
              <w:t xml:space="preserve">款</w:t>
            </w:r>
            <w:r/>
          </w:p>
        </w:tc>
        <w:tc>
          <w:tcPr>
            <w:tcW w:w="3115" w:type="dxa"/>
            <w:vAlign w:val="center"/>
            <w:textDirection w:val="lrTb"/>
            <w:noWrap w:val="false"/>
          </w:tcPr>
          <w:p>
            <w:pPr>
              <w:jc w:val="left"/>
              <w:widowControl/>
              <w:rPr>
                <w:szCs w:val="21"/>
              </w:rPr>
            </w:pPr>
            <w:r>
              <w:rPr>
                <w:rFonts w:hint="eastAsia"/>
                <w:szCs w:val="21"/>
              </w:rPr>
              <w:t xml:space="preserve">履约验收中甲方提出异议或作出说明的期限</w:t>
            </w:r>
            <w:r/>
          </w:p>
        </w:tc>
        <w:tc>
          <w:tcPr>
            <w:tcW w:w="3065" w:type="dxa"/>
            <w:vAlign w:val="center"/>
            <w:textDirection w:val="lrTb"/>
            <w:noWrap w:val="false"/>
          </w:tcPr>
          <w:p>
            <w:pPr>
              <w:jc w:val="left"/>
              <w:widowControl/>
              <w:rPr>
                <w:szCs w:val="21"/>
              </w:rPr>
            </w:pPr>
            <w:r>
              <w:rPr>
                <w:rFonts w:hint="eastAsia"/>
                <w:szCs w:val="21"/>
              </w:rPr>
              <w:t xml:space="preserve">自乙方交付之日起</w:t>
            </w:r>
            <w:r>
              <w:rPr>
                <w:rFonts w:hint="eastAsia"/>
                <w:szCs w:val="21"/>
              </w:rPr>
              <w:t xml:space="preserve">30</w:t>
            </w:r>
            <w:r>
              <w:rPr>
                <w:rFonts w:hint="eastAsia"/>
                <w:szCs w:val="21"/>
              </w:rPr>
              <w:t xml:space="preserve">天</w:t>
            </w:r>
            <w:r/>
          </w:p>
        </w:tc>
      </w:tr>
      <w:tr>
        <w:trPr>
          <w:trHeight w:val="736"/>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4.6</w:t>
            </w:r>
            <w:r>
              <w:rPr>
                <w:rFonts w:hint="eastAsia"/>
                <w:szCs w:val="21"/>
              </w:rPr>
              <w:t xml:space="preserve">款</w:t>
            </w:r>
            <w:r/>
          </w:p>
        </w:tc>
        <w:tc>
          <w:tcPr>
            <w:tcW w:w="3115" w:type="dxa"/>
            <w:vAlign w:val="center"/>
            <w:textDirection w:val="lrTb"/>
            <w:noWrap w:val="false"/>
          </w:tcPr>
          <w:p>
            <w:pPr>
              <w:jc w:val="left"/>
              <w:widowControl/>
              <w:rPr>
                <w:szCs w:val="21"/>
              </w:rPr>
            </w:pPr>
            <w:r>
              <w:rPr>
                <w:rFonts w:hint="eastAsia"/>
                <w:szCs w:val="21"/>
              </w:rPr>
              <w:t xml:space="preserve">约定甲方承担的其他义务和责任</w:t>
            </w:r>
            <w:r/>
          </w:p>
        </w:tc>
        <w:tc>
          <w:tcPr>
            <w:tcW w:w="3065" w:type="dxa"/>
            <w:vAlign w:val="center"/>
            <w:textDirection w:val="lrTb"/>
            <w:noWrap w:val="false"/>
          </w:tcPr>
          <w:p>
            <w:pPr>
              <w:jc w:val="left"/>
              <w:widowControl/>
              <w:rPr>
                <w:szCs w:val="21"/>
              </w:rPr>
            </w:pPr>
            <w:r>
              <w:rPr>
                <w:rFonts w:hint="eastAsia"/>
                <w:szCs w:val="21"/>
              </w:rPr>
              <w:t xml:space="preserve">为乙方履行合同提供必要且合理的配合和协助</w:t>
            </w:r>
            <w:r/>
          </w:p>
        </w:tc>
      </w:tr>
      <w:tr>
        <w:trPr>
          <w:trHeight w:val="736"/>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rFonts w:ascii="Calibri" w:hAnsi="Calibri"/>
                <w:szCs w:val="21"/>
              </w:rPr>
            </w:pPr>
            <w:r>
              <w:rPr>
                <w:rFonts w:hint="eastAsia"/>
                <w:szCs w:val="21"/>
              </w:rPr>
              <w:t xml:space="preserve">第</w:t>
            </w:r>
            <w:r>
              <w:rPr>
                <w:rFonts w:hint="eastAsia"/>
                <w:szCs w:val="21"/>
              </w:rPr>
              <w:t xml:space="preserve">5.4</w:t>
            </w:r>
            <w:r>
              <w:rPr>
                <w:rFonts w:hint="eastAsia"/>
                <w:szCs w:val="21"/>
              </w:rPr>
              <w:t xml:space="preserve">款</w:t>
            </w:r>
            <w:r/>
          </w:p>
        </w:tc>
        <w:tc>
          <w:tcPr>
            <w:tcW w:w="3115" w:type="dxa"/>
            <w:vAlign w:val="center"/>
            <w:textDirection w:val="lrTb"/>
            <w:noWrap w:val="false"/>
          </w:tcPr>
          <w:p>
            <w:pPr>
              <w:jc w:val="left"/>
              <w:widowControl/>
              <w:rPr>
                <w:szCs w:val="21"/>
              </w:rPr>
            </w:pPr>
            <w:r>
              <w:rPr>
                <w:rFonts w:hint="eastAsia"/>
                <w:szCs w:val="21"/>
              </w:rPr>
              <w:t xml:space="preserve">约定乙方承担的其他义务和责任</w:t>
            </w:r>
            <w:r/>
          </w:p>
        </w:tc>
        <w:tc>
          <w:tcPr>
            <w:tcW w:w="3065" w:type="dxa"/>
            <w:vAlign w:val="center"/>
            <w:textDirection w:val="lrTb"/>
            <w:noWrap w:val="false"/>
          </w:tcPr>
          <w:p>
            <w:pPr>
              <w:numPr>
                <w:ilvl w:val="0"/>
                <w:numId w:val="8"/>
              </w:numPr>
              <w:spacing w:line="360" w:lineRule="auto"/>
              <w:rPr>
                <w:rFonts w:hint="eastAsia" w:ascii="宋体" w:hAnsi="宋体" w:cs="宋体"/>
                <w:szCs w:val="21"/>
              </w:rPr>
            </w:pPr>
            <w:r>
              <w:rPr>
                <w:rFonts w:hint="eastAsia" w:ascii="宋体" w:hAnsi="宋体" w:cs="宋体"/>
                <w:szCs w:val="21"/>
              </w:rPr>
              <w:t xml:space="preserve">乙方对其所提供货物应当拥有完整物权，并且乙方负有保证第三人不得向甲方主张任何权利</w:t>
            </w:r>
            <w:r>
              <w:rPr>
                <w:rFonts w:hint="eastAsia" w:ascii="宋体" w:hAnsi="宋体" w:cs="宋体"/>
                <w:szCs w:val="21"/>
              </w:rPr>
              <w:t xml:space="preserve">（包括知识产权）的义务，且乙方所提供的货物必须符合招标文件要求，符合国家有关规定和行业通行标准并能够提供货物合格证书；乙方应保证货物中的软件产品或货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w:t>
            </w:r>
            <w:r>
              <w:rPr>
                <w:rFonts w:hint="eastAsia" w:ascii="宋体" w:hAnsi="宋体" w:cs="宋体"/>
                <w:szCs w:val="21"/>
              </w:rPr>
              <w:t xml:space="preserve">提供的货物不是原装合格正品，并经查实后，乙方必须无条件接受退货，并按本合同约定价格将货款全额退还甲方，除此以外，甲方还保留按有关规定进一步索赔的权利。</w:t>
            </w:r>
            <w:r/>
          </w:p>
          <w:p>
            <w:pPr>
              <w:numPr>
                <w:ilvl w:val="0"/>
                <w:numId w:val="8"/>
              </w:numPr>
              <w:spacing w:line="360" w:lineRule="auto"/>
              <w:rPr>
                <w:rFonts w:hint="eastAsia" w:ascii="宋体" w:hAnsi="宋体" w:cs="宋体"/>
                <w:szCs w:val="21"/>
              </w:rPr>
            </w:pPr>
            <w:r>
              <w:rPr>
                <w:rFonts w:hint="eastAsia" w:ascii="宋体" w:hAnsi="宋体" w:cs="宋体"/>
                <w:szCs w:val="21"/>
              </w:rPr>
              <w:t xml:space="preserve">乙方应根据甲方的要求（包括招标文件和本合同约定的要求），严格按照经甲方认可的设计图纸、布局图或作法说明安装调试货物和配套装饰装修，并应在安装和配套装饰装修过</w:t>
            </w:r>
            <w:r>
              <w:rPr>
                <w:rFonts w:hint="eastAsia" w:ascii="宋体" w:hAnsi="宋体" w:cs="宋体"/>
                <w:szCs w:val="21"/>
              </w:rPr>
              <w:t xml:space="preserve">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w:t>
            </w:r>
            <w:r>
              <w:rPr>
                <w:rFonts w:hint="eastAsia" w:ascii="宋体" w:hAnsi="宋体" w:cs="宋体"/>
                <w:szCs w:val="21"/>
              </w:rPr>
              <w:t xml:space="preserve">试结束后，乙方必须及时完成安装现场及周边环境的恢复清理，确保完工后安装现场及周边环境的整洁美观且无安全隐患，相关费用已包含在本合同总价款中，甲方不再额外支付费用。</w:t>
            </w:r>
            <w:r/>
          </w:p>
          <w:p>
            <w:pPr>
              <w:spacing w:line="360" w:lineRule="auto"/>
              <w:rPr>
                <w:rFonts w:hint="eastAsia" w:ascii="宋体" w:hAnsi="宋体" w:cs="宋体"/>
                <w:szCs w:val="21"/>
              </w:rPr>
            </w:pPr>
            <w:r>
              <w:rPr>
                <w:rFonts w:hint="eastAsia" w:ascii="宋体" w:hAnsi="宋体" w:cs="宋体"/>
                <w:szCs w:val="21"/>
              </w:rPr>
              <w:t xml:space="preserve">3.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rFonts w:hint="eastAsia" w:ascii="宋体" w:hAnsi="宋体" w:cs="宋体"/>
                <w:szCs w:val="21"/>
                <w:u w:val="single"/>
              </w:rPr>
              <w:t xml:space="preserve">   %</w:t>
            </w:r>
            <w:r>
              <w:rPr>
                <w:rFonts w:hint="eastAsia" w:ascii="宋体" w:hAnsi="宋体" w:cs="宋体"/>
                <w:szCs w:val="21"/>
              </w:rPr>
              <w:t xml:space="preserve">违约金。</w:t>
            </w:r>
            <w:r/>
          </w:p>
          <w:p>
            <w:pPr>
              <w:spacing w:line="360" w:lineRule="auto"/>
              <w:rPr>
                <w:rFonts w:hint="eastAsia" w:ascii="宋体" w:hAnsi="宋体" w:cs="宋体"/>
                <w:szCs w:val="21"/>
              </w:rPr>
            </w:pPr>
            <w:r>
              <w:rPr>
                <w:rFonts w:hint="eastAsia" w:ascii="宋体" w:hAnsi="宋体" w:cs="宋体"/>
                <w:szCs w:val="21"/>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w:t>
            </w:r>
            <w:r>
              <w:rPr>
                <w:rFonts w:hint="eastAsia" w:ascii="宋体" w:hAnsi="宋体" w:cs="宋体"/>
                <w:szCs w:val="21"/>
              </w:rPr>
              <w:t xml:space="preserve">须做出相应赔偿，赔偿范围包括甲方的直接损失和间接损失。</w:t>
            </w:r>
            <w:r/>
          </w:p>
          <w:p>
            <w:pPr>
              <w:spacing w:line="360" w:lineRule="auto"/>
              <w:rPr>
                <w:rFonts w:hint="eastAsia" w:ascii="宋体" w:hAnsi="宋体" w:cs="宋体"/>
                <w:szCs w:val="21"/>
              </w:rPr>
            </w:pPr>
            <w:r>
              <w:rPr>
                <w:rFonts w:hint="eastAsia" w:ascii="宋体" w:hAnsi="宋体" w:cs="宋体"/>
                <w:szCs w:val="21"/>
              </w:rPr>
              <w:t xml:space="preserve">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宋体" w:hAnsi="宋体" w:cs="宋体"/>
                <w:szCs w:val="21"/>
                <w:u w:val="single"/>
              </w:rPr>
              <w:t xml:space="preserve">   %</w:t>
            </w:r>
            <w:r>
              <w:rPr>
                <w:rFonts w:hint="eastAsia" w:ascii="宋体" w:hAnsi="宋体" w:cs="宋体"/>
                <w:szCs w:val="21"/>
              </w:rPr>
              <w:t xml:space="preserve">的违约金。若乙方支付的违约金不足以弥补甲方损失的，乙方还须继续承担损失赔偿责任。  </w:t>
            </w:r>
            <w:r/>
          </w:p>
          <w:p>
            <w:pPr>
              <w:ind w:firstLine="422"/>
              <w:spacing w:line="360" w:lineRule="auto"/>
              <w:rPr>
                <w:rFonts w:hint="eastAsia" w:ascii="宋体" w:hAnsi="宋体" w:cs="宋体"/>
                <w:b/>
                <w:bCs/>
                <w:szCs w:val="21"/>
              </w:rPr>
            </w:pPr>
            <w:r>
              <w:rPr>
                <w:rFonts w:hint="eastAsia" w:ascii="宋体" w:hAnsi="宋体" w:cs="宋体"/>
                <w:b/>
                <w:bCs/>
                <w:szCs w:val="21"/>
              </w:rPr>
              <w:t xml:space="preserve">以上条款中乙方的责任承担期限不受甲方已收货且出具验收确认书的限制。</w:t>
            </w:r>
            <w:r/>
          </w:p>
          <w:p>
            <w:pPr>
              <w:spacing w:line="360" w:lineRule="auto"/>
              <w:rPr>
                <w:rFonts w:hint="eastAsia" w:ascii="宋体" w:hAnsi="宋体" w:cs="宋体"/>
                <w:szCs w:val="21"/>
              </w:rPr>
            </w:pPr>
            <w:r>
              <w:rPr>
                <w:rFonts w:hint="eastAsia" w:ascii="宋体" w:hAnsi="宋体" w:cs="宋体"/>
                <w:szCs w:val="21"/>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jc w:val="left"/>
              <w:widowControl/>
              <w:rPr>
                <w:szCs w:val="21"/>
              </w:rPr>
            </w:pPr>
            <w:r>
              <w:rPr>
                <w:szCs w:val="21"/>
              </w:rPr>
            </w:r>
            <w:r/>
          </w:p>
        </w:tc>
      </w:tr>
      <w:tr>
        <w:trPr>
          <w:trHeight w:val="736"/>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6.1</w:t>
            </w:r>
            <w:r>
              <w:rPr>
                <w:rFonts w:hint="eastAsia"/>
                <w:szCs w:val="21"/>
              </w:rPr>
              <w:t xml:space="preserve">款</w:t>
            </w:r>
            <w:r/>
          </w:p>
        </w:tc>
        <w:tc>
          <w:tcPr>
            <w:tcW w:w="3115" w:type="dxa"/>
            <w:vAlign w:val="center"/>
            <w:textDirection w:val="lrTb"/>
            <w:noWrap w:val="false"/>
          </w:tcPr>
          <w:p>
            <w:pPr>
              <w:jc w:val="left"/>
              <w:widowControl/>
              <w:rPr>
                <w:szCs w:val="21"/>
              </w:rPr>
            </w:pPr>
            <w:r>
              <w:rPr>
                <w:rFonts w:hint="eastAsia"/>
                <w:szCs w:val="21"/>
              </w:rPr>
              <w:t xml:space="preserve">履行合同义务的顺序</w:t>
            </w:r>
            <w:r/>
          </w:p>
        </w:tc>
        <w:tc>
          <w:tcPr>
            <w:tcW w:w="3065" w:type="dxa"/>
            <w:vAlign w:val="center"/>
            <w:textDirection w:val="lrTb"/>
            <w:noWrap w:val="false"/>
          </w:tcPr>
          <w:p>
            <w:pPr>
              <w:jc w:val="left"/>
              <w:widowControl/>
              <w:rPr>
                <w:szCs w:val="21"/>
              </w:rPr>
            </w:pPr>
            <w:r>
              <w:rPr>
                <w:rFonts w:hint="eastAsia"/>
                <w:szCs w:val="21"/>
              </w:rPr>
              <w:t xml:space="preserve">乙方履行合同义务在先，甲方履行合同义务在后。</w:t>
            </w:r>
            <w:r/>
          </w:p>
        </w:tc>
      </w:tr>
      <w:tr>
        <w:trPr>
          <w:cantSplit/>
          <w:trHeight w:val="667"/>
        </w:trPr>
        <w:tc>
          <w:tcPr>
            <w:tcW w:w="2339" w:type="dxa"/>
            <w:vAlign w:val="center"/>
            <w:vMerge w:val="restart"/>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7.1</w:t>
            </w:r>
            <w:r>
              <w:rPr>
                <w:rFonts w:hint="eastAsia"/>
                <w:szCs w:val="21"/>
              </w:rPr>
              <w:t xml:space="preserve">款</w:t>
            </w:r>
            <w:r/>
          </w:p>
        </w:tc>
        <w:tc>
          <w:tcPr>
            <w:tcW w:w="3115" w:type="dxa"/>
            <w:vAlign w:val="center"/>
            <w:textDirection w:val="lrTb"/>
            <w:noWrap w:val="false"/>
          </w:tcPr>
          <w:p>
            <w:pPr>
              <w:jc w:val="left"/>
              <w:widowControl/>
              <w:rPr>
                <w:szCs w:val="21"/>
              </w:rPr>
            </w:pPr>
            <w:r>
              <w:rPr>
                <w:rFonts w:hint="eastAsia"/>
                <w:szCs w:val="21"/>
              </w:rPr>
              <w:t xml:space="preserve">包装特殊要求</w:t>
            </w:r>
            <w:r/>
          </w:p>
        </w:tc>
        <w:tc>
          <w:tcPr>
            <w:tcW w:w="3065" w:type="dxa"/>
            <w:vAlign w:val="center"/>
            <w:textDirection w:val="lrTb"/>
            <w:noWrap w:val="false"/>
          </w:tcPr>
          <w:p>
            <w:pPr>
              <w:jc w:val="left"/>
              <w:widowControl/>
              <w:rPr>
                <w:rFonts w:ascii="Calibri" w:hAnsi="Calibri"/>
                <w:szCs w:val="21"/>
              </w:rPr>
            </w:pPr>
            <w:r>
              <w:rPr>
                <w:rFonts w:ascii="Calibri" w:hAnsi="Calibri"/>
                <w:szCs w:val="21"/>
              </w:rPr>
            </w:r>
            <w:r/>
          </w:p>
        </w:tc>
      </w:tr>
      <w:tr>
        <w:trPr>
          <w:cantSplit/>
          <w:trHeight w:val="667"/>
        </w:trPr>
        <w:tc>
          <w:tcPr>
            <w:tcW w:w="2339" w:type="dxa"/>
            <w:vAlign w:val="center"/>
            <w:vMerge w:val="continue"/>
            <w:textDirection w:val="lrTb"/>
            <w:noWrap w:val="false"/>
          </w:tcPr>
          <w:p>
            <w:pPr>
              <w:jc w:val="center"/>
              <w:widowControl/>
              <w:rPr>
                <w:szCs w:val="21"/>
              </w:rPr>
            </w:pPr>
            <w:r>
              <w:rPr>
                <w:szCs w:val="21"/>
              </w:rPr>
            </w:r>
            <w:r/>
          </w:p>
        </w:tc>
        <w:tc>
          <w:tcPr>
            <w:tcW w:w="3115" w:type="dxa"/>
            <w:vAlign w:val="center"/>
            <w:textDirection w:val="lrTb"/>
            <w:noWrap w:val="false"/>
          </w:tcPr>
          <w:p>
            <w:pPr>
              <w:jc w:val="left"/>
              <w:widowControl/>
              <w:rPr>
                <w:szCs w:val="21"/>
              </w:rPr>
            </w:pPr>
            <w:r>
              <w:rPr>
                <w:rFonts w:hint="eastAsia"/>
                <w:szCs w:val="21"/>
              </w:rPr>
              <w:t xml:space="preserve">指定现场</w:t>
            </w:r>
            <w:r/>
          </w:p>
        </w:tc>
        <w:tc>
          <w:tcPr>
            <w:tcW w:w="3065" w:type="dxa"/>
            <w:vAlign w:val="center"/>
            <w:textDirection w:val="lrTb"/>
            <w:noWrap w:val="false"/>
          </w:tcPr>
          <w:p>
            <w:pPr>
              <w:jc w:val="left"/>
              <w:widowControl/>
              <w:rPr>
                <w:rFonts w:ascii="Calibri" w:hAnsi="Calibri"/>
                <w:szCs w:val="21"/>
              </w:rPr>
            </w:pPr>
            <w:r>
              <w:rPr>
                <w:rFonts w:hint="eastAsia" w:ascii="Calibri" w:hAnsi="Calibri"/>
                <w:szCs w:val="21"/>
              </w:rPr>
              <w:t xml:space="preserve">以甲方书面指定地点为准</w:t>
            </w:r>
            <w:r/>
          </w:p>
        </w:tc>
      </w:tr>
      <w:tr>
        <w:trPr>
          <w:trHeight w:val="772"/>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7.2</w:t>
            </w:r>
            <w:r>
              <w:rPr>
                <w:rFonts w:hint="eastAsia"/>
                <w:szCs w:val="21"/>
              </w:rPr>
              <w:t xml:space="preserve">款</w:t>
            </w:r>
            <w:r/>
          </w:p>
        </w:tc>
        <w:tc>
          <w:tcPr>
            <w:tcW w:w="3115" w:type="dxa"/>
            <w:vAlign w:val="center"/>
            <w:textDirection w:val="lrTb"/>
            <w:noWrap w:val="false"/>
          </w:tcPr>
          <w:p>
            <w:pPr>
              <w:jc w:val="left"/>
              <w:widowControl/>
              <w:rPr>
                <w:szCs w:val="21"/>
              </w:rPr>
            </w:pPr>
            <w:r>
              <w:rPr>
                <w:rFonts w:hint="eastAsia"/>
                <w:szCs w:val="21"/>
              </w:rPr>
              <w:t xml:space="preserve">运输特殊要求</w:t>
            </w:r>
            <w:r/>
          </w:p>
        </w:tc>
        <w:tc>
          <w:tcPr>
            <w:tcW w:w="3065" w:type="dxa"/>
            <w:vAlign w:val="center"/>
            <w:textDirection w:val="lrTb"/>
            <w:noWrap w:val="false"/>
          </w:tcPr>
          <w:p>
            <w:pPr>
              <w:jc w:val="left"/>
              <w:widowControl/>
              <w:rPr>
                <w:rFonts w:ascii="Calibri" w:hAnsi="Calibri"/>
                <w:szCs w:val="21"/>
              </w:rPr>
            </w:pPr>
            <w:r>
              <w:rPr>
                <w:rFonts w:ascii="Calibri" w:hAnsi="Calibri"/>
                <w:szCs w:val="21"/>
              </w:rPr>
            </w:r>
            <w:r/>
          </w:p>
        </w:tc>
      </w:tr>
      <w:tr>
        <w:trPr>
          <w:trHeight w:val="667"/>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7.3</w:t>
            </w:r>
            <w:r>
              <w:rPr>
                <w:rFonts w:hint="eastAsia"/>
                <w:szCs w:val="21"/>
              </w:rPr>
              <w:t xml:space="preserve">款</w:t>
            </w:r>
            <w:r/>
          </w:p>
        </w:tc>
        <w:tc>
          <w:tcPr>
            <w:tcW w:w="3115" w:type="dxa"/>
            <w:vAlign w:val="center"/>
            <w:textDirection w:val="lrTb"/>
            <w:noWrap w:val="false"/>
          </w:tcPr>
          <w:p>
            <w:pPr>
              <w:jc w:val="left"/>
              <w:widowControl/>
              <w:rPr>
                <w:szCs w:val="21"/>
              </w:rPr>
            </w:pPr>
            <w:r>
              <w:rPr>
                <w:rFonts w:hint="eastAsia"/>
                <w:szCs w:val="21"/>
              </w:rPr>
              <w:t xml:space="preserve">保险要求</w:t>
            </w:r>
            <w:r/>
          </w:p>
        </w:tc>
        <w:tc>
          <w:tcPr>
            <w:tcW w:w="3065" w:type="dxa"/>
            <w:vAlign w:val="center"/>
            <w:textDirection w:val="lrTb"/>
            <w:noWrap w:val="false"/>
          </w:tcPr>
          <w:p>
            <w:pPr>
              <w:jc w:val="left"/>
              <w:widowControl/>
              <w:rPr>
                <w:rFonts w:ascii="Calibri" w:hAnsi="Calibri"/>
                <w:szCs w:val="21"/>
              </w:rPr>
            </w:pPr>
            <w:r>
              <w:rPr>
                <w:rFonts w:hint="eastAsia"/>
                <w:szCs w:val="21"/>
              </w:rPr>
              <w:t xml:space="preserve">由乙方自行承担，已包含在合同价款中，甲方不再另行支付。</w:t>
            </w:r>
            <w:r/>
          </w:p>
        </w:tc>
      </w:tr>
      <w:tr>
        <w:trPr>
          <w:trHeight w:val="736"/>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8.2</w:t>
            </w:r>
            <w:r>
              <w:rPr>
                <w:rFonts w:hint="eastAsia"/>
                <w:szCs w:val="21"/>
              </w:rPr>
              <w:t xml:space="preserve">（</w:t>
            </w:r>
            <w:r>
              <w:rPr>
                <w:rFonts w:hint="eastAsia"/>
                <w:szCs w:val="21"/>
              </w:rPr>
              <w:t xml:space="preserve">1</w:t>
            </w:r>
            <w:r>
              <w:rPr>
                <w:rFonts w:hint="eastAsia"/>
                <w:szCs w:val="21"/>
              </w:rPr>
              <w:t xml:space="preserve">）项</w:t>
            </w:r>
            <w:r/>
          </w:p>
        </w:tc>
        <w:tc>
          <w:tcPr>
            <w:tcW w:w="3115" w:type="dxa"/>
            <w:vAlign w:val="center"/>
            <w:textDirection w:val="lrTb"/>
            <w:noWrap w:val="false"/>
          </w:tcPr>
          <w:p>
            <w:pPr>
              <w:jc w:val="left"/>
              <w:widowControl/>
              <w:rPr>
                <w:szCs w:val="21"/>
              </w:rPr>
            </w:pPr>
            <w:r>
              <w:rPr>
                <w:rFonts w:hint="eastAsia"/>
                <w:szCs w:val="21"/>
              </w:rPr>
              <w:t xml:space="preserve">质量保证期</w:t>
            </w:r>
            <w:r/>
          </w:p>
        </w:tc>
        <w:tc>
          <w:tcPr>
            <w:tcW w:w="3065" w:type="dxa"/>
            <w:vAlign w:val="center"/>
            <w:textDirection w:val="lrTb"/>
            <w:noWrap w:val="false"/>
          </w:tcPr>
          <w:p>
            <w:pPr>
              <w:jc w:val="left"/>
              <w:widowControl/>
              <w:rPr>
                <w:szCs w:val="21"/>
              </w:rPr>
            </w:pPr>
            <w:r>
              <w:rPr>
                <w:rFonts w:ascii="宋体" w:hAnsi="宋体" w:cs="宋体"/>
                <w:szCs w:val="21"/>
              </w:rPr>
              <w:t xml:space="preserve">自项目验收合格之日起，</w:t>
            </w:r>
            <w:r>
              <w:rPr>
                <w:rFonts w:hint="eastAsia" w:ascii="宋体" w:hAnsi="宋体" w:cs="宋体"/>
                <w:szCs w:val="21"/>
                <w:u w:val="single"/>
              </w:rPr>
              <w:t xml:space="preserve">  </w:t>
            </w:r>
            <w:r>
              <w:rPr>
                <w:rFonts w:ascii="宋体" w:hAnsi="宋体" w:cs="宋体"/>
                <w:szCs w:val="21"/>
              </w:rPr>
              <w:t xml:space="preserve">个月</w:t>
            </w:r>
            <w:r>
              <w:rPr>
                <w:rFonts w:hint="eastAsia" w:ascii="宋体" w:hAnsi="宋体" w:cs="宋体"/>
                <w:szCs w:val="21"/>
              </w:rPr>
              <w:t xml:space="preserve">（招标要求不少于36个月）</w:t>
            </w:r>
            <w:r/>
          </w:p>
        </w:tc>
      </w:tr>
      <w:tr>
        <w:trPr>
          <w:trHeight w:val="736"/>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8.2</w:t>
            </w:r>
            <w:r>
              <w:rPr>
                <w:rFonts w:hint="eastAsia"/>
                <w:szCs w:val="21"/>
              </w:rPr>
              <w:t xml:space="preserve">（</w:t>
            </w:r>
            <w:r>
              <w:rPr>
                <w:rFonts w:hint="eastAsia"/>
                <w:szCs w:val="21"/>
              </w:rPr>
              <w:t xml:space="preserve">3</w:t>
            </w:r>
            <w:r>
              <w:rPr>
                <w:rFonts w:hint="eastAsia"/>
                <w:szCs w:val="21"/>
              </w:rPr>
              <w:t xml:space="preserve">）项</w:t>
            </w:r>
            <w:r/>
          </w:p>
        </w:tc>
        <w:tc>
          <w:tcPr>
            <w:tcW w:w="3115" w:type="dxa"/>
            <w:vAlign w:val="center"/>
            <w:textDirection w:val="lrTb"/>
            <w:noWrap w:val="false"/>
          </w:tcPr>
          <w:p>
            <w:pPr>
              <w:jc w:val="left"/>
              <w:widowControl/>
              <w:rPr>
                <w:szCs w:val="21"/>
              </w:rPr>
            </w:pPr>
            <w:r>
              <w:rPr>
                <w:rFonts w:hint="eastAsia"/>
                <w:szCs w:val="21"/>
              </w:rPr>
              <w:t xml:space="preserve">货物质量缺陷</w:t>
            </w:r>
            <w:r/>
          </w:p>
          <w:p>
            <w:pPr>
              <w:jc w:val="left"/>
              <w:widowControl/>
              <w:rPr>
                <w:szCs w:val="21"/>
              </w:rPr>
            </w:pPr>
            <w:r>
              <w:rPr>
                <w:rFonts w:hint="eastAsia"/>
                <w:szCs w:val="21"/>
              </w:rPr>
              <w:t xml:space="preserve">响应时间</w:t>
            </w:r>
            <w:r/>
          </w:p>
        </w:tc>
        <w:tc>
          <w:tcPr>
            <w:tcW w:w="3065" w:type="dxa"/>
            <w:vAlign w:val="center"/>
            <w:textDirection w:val="lrTb"/>
            <w:noWrap w:val="false"/>
          </w:tcPr>
          <w:p>
            <w:pPr>
              <w:jc w:val="left"/>
              <w:widowControl/>
              <w:rPr>
                <w:szCs w:val="21"/>
              </w:rPr>
            </w:pPr>
            <w:r>
              <w:rPr>
                <w:rFonts w:hint="eastAsia" w:ascii="宋体" w:hAnsi="宋体" w:cs="宋体"/>
                <w:szCs w:val="21"/>
              </w:rPr>
              <w:t xml:space="preserve">质保期内，如在使用过程中发生问题等，则乙方在接到甲方提出的维修维保要求通知后，应于2小时电话响应，对甲方的服务要求提出解决方案，经确认如有需要，技术人员须在24小时内到达甲方现场，并于【2】日内完成维修维保工作；重大问题或其他无法迅速解决的问题应在一周内解决或提出明确解决方案，否则乙方应赔偿甲方相应损失。</w:t>
            </w:r>
            <w:r/>
          </w:p>
        </w:tc>
      </w:tr>
      <w:tr>
        <w:trPr>
          <w:trHeight w:val="736"/>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spacing w:line="400" w:lineRule="exact"/>
              <w:widowControl/>
              <w:rPr>
                <w:rFonts w:hint="eastAsia" w:ascii="华文楷体" w:hAnsi="华文楷体" w:eastAsia="华文楷体" w:cs="华文楷体"/>
                <w:sz w:val="22"/>
                <w:szCs w:val="21"/>
              </w:rPr>
            </w:pPr>
            <w:r>
              <w:rPr>
                <w:rFonts w:hint="eastAsia"/>
                <w:sz w:val="22"/>
                <w:szCs w:val="21"/>
              </w:rPr>
              <w:t xml:space="preserve">第</w:t>
            </w:r>
            <w:r>
              <w:rPr>
                <w:rFonts w:hint="eastAsia"/>
                <w:sz w:val="22"/>
                <w:szCs w:val="21"/>
              </w:rPr>
              <w:t xml:space="preserve">11.1</w:t>
            </w:r>
            <w:r>
              <w:rPr>
                <w:rFonts w:hint="eastAsia"/>
                <w:sz w:val="22"/>
                <w:szCs w:val="21"/>
              </w:rPr>
              <w:t xml:space="preserve">款</w:t>
            </w:r>
            <w:r/>
          </w:p>
        </w:tc>
        <w:tc>
          <w:tcPr>
            <w:tcW w:w="3115" w:type="dxa"/>
            <w:vAlign w:val="center"/>
            <w:textDirection w:val="lrTb"/>
            <w:noWrap w:val="false"/>
          </w:tcPr>
          <w:p>
            <w:pPr>
              <w:jc w:val="left"/>
              <w:widowControl/>
              <w:rPr>
                <w:szCs w:val="21"/>
              </w:rPr>
            </w:pPr>
            <w:r>
              <w:rPr>
                <w:rFonts w:hint="eastAsia"/>
                <w:szCs w:val="21"/>
              </w:rPr>
              <w:t xml:space="preserve">其他应当保密的信息</w:t>
            </w:r>
            <w:r/>
          </w:p>
        </w:tc>
        <w:tc>
          <w:tcPr>
            <w:tcW w:w="3065" w:type="dxa"/>
            <w:vAlign w:val="center"/>
            <w:textDirection w:val="lrTb"/>
            <w:noWrap w:val="false"/>
          </w:tcPr>
          <w:p>
            <w:pPr>
              <w:jc w:val="left"/>
              <w:widowControl/>
              <w:rPr>
                <w:szCs w:val="21"/>
              </w:rPr>
            </w:pPr>
            <w:r>
              <w:rPr>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12.2</w:t>
            </w:r>
            <w:r>
              <w:rPr>
                <w:rFonts w:hint="eastAsia"/>
                <w:szCs w:val="21"/>
              </w:rPr>
              <w:t xml:space="preserve">款</w:t>
            </w:r>
            <w:r/>
          </w:p>
        </w:tc>
        <w:tc>
          <w:tcPr>
            <w:tcW w:w="3115" w:type="dxa"/>
            <w:vAlign w:val="center"/>
            <w:textDirection w:val="lrTb"/>
            <w:noWrap w:val="false"/>
          </w:tcPr>
          <w:p>
            <w:pPr>
              <w:jc w:val="left"/>
              <w:widowControl/>
              <w:rPr>
                <w:szCs w:val="21"/>
              </w:rPr>
            </w:pPr>
            <w:r>
              <w:rPr>
                <w:rFonts w:hint="eastAsia"/>
                <w:szCs w:val="21"/>
              </w:rPr>
              <w:t xml:space="preserve">合同价款支付时间</w:t>
            </w:r>
            <w:r/>
          </w:p>
        </w:tc>
        <w:tc>
          <w:tcPr>
            <w:tcW w:w="3065" w:type="dxa"/>
            <w:vAlign w:val="center"/>
            <w:textDirection w:val="lrTb"/>
            <w:noWrap w:val="false"/>
          </w:tcPr>
          <w:p>
            <w:pPr>
              <w:jc w:val="left"/>
              <w:spacing w:line="378" w:lineRule="exact"/>
              <w:widowControl/>
              <w:rPr>
                <w:rFonts w:hint="eastAsia" w:ascii="宋体" w:hAnsi="宋体" w:cs="宋体"/>
                <w:szCs w:val="21"/>
              </w:rPr>
            </w:pPr>
            <w:r>
              <w:rPr>
                <w:rFonts w:ascii="宋体" w:hAnsi="宋体" w:cs="宋体"/>
                <w:szCs w:val="21"/>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乙方将全部货物运到甲方指定的交货地点，并按照招标文件、本合同约定及甲方的要求安装调试结束，经甲方最终书面确认验收合格无误后，乙方向甲方提供合法有效的正规增值税发票，甲方在收到发票后1</w:t>
            </w:r>
            <w:r>
              <w:rPr>
                <w:rFonts w:hint="eastAsia" w:ascii="宋体" w:hAnsi="宋体" w:cs="宋体"/>
                <w:szCs w:val="21"/>
              </w:rPr>
              <w:t xml:space="preserve">0</w:t>
            </w:r>
            <w:r>
              <w:rPr>
                <w:rFonts w:ascii="宋体" w:hAnsi="宋体" w:cs="宋体"/>
                <w:szCs w:val="21"/>
              </w:rPr>
              <w:t xml:space="preserve">个工作日内向乙方付清应付款项。</w:t>
            </w:r>
            <w:r/>
          </w:p>
          <w:p>
            <w:pPr>
              <w:jc w:val="left"/>
              <w:widowControl/>
              <w:rPr>
                <w:szCs w:val="21"/>
              </w:rPr>
            </w:pPr>
            <w:r>
              <w:rPr>
                <w:szCs w:val="21"/>
              </w:rPr>
            </w:r>
            <w:r/>
          </w:p>
        </w:tc>
      </w:tr>
      <w:tr>
        <w:trPr>
          <w:trHeight w:val="697"/>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13.2</w:t>
            </w:r>
            <w:r>
              <w:rPr>
                <w:rFonts w:hint="eastAsia"/>
                <w:szCs w:val="21"/>
              </w:rPr>
              <w:t xml:space="preserve">款</w:t>
            </w:r>
            <w:r/>
          </w:p>
        </w:tc>
        <w:tc>
          <w:tcPr>
            <w:tcW w:w="3115" w:type="dxa"/>
            <w:vAlign w:val="center"/>
            <w:textDirection w:val="lrTb"/>
            <w:noWrap w:val="false"/>
          </w:tcPr>
          <w:p>
            <w:pPr>
              <w:jc w:val="left"/>
              <w:widowControl/>
              <w:rPr>
                <w:szCs w:val="21"/>
              </w:rPr>
            </w:pPr>
            <w:r>
              <w:rPr>
                <w:rFonts w:hint="eastAsia"/>
                <w:szCs w:val="21"/>
              </w:rPr>
              <w:t xml:space="preserve">履约保证金不予退还的情形</w:t>
            </w:r>
            <w:r/>
          </w:p>
        </w:tc>
        <w:tc>
          <w:tcPr>
            <w:tcW w:w="3065" w:type="dxa"/>
            <w:vAlign w:val="center"/>
            <w:textDirection w:val="lrTb"/>
            <w:noWrap w:val="false"/>
          </w:tcPr>
          <w:p>
            <w:pPr>
              <w:jc w:val="left"/>
              <w:widowControl/>
              <w:rPr>
                <w:szCs w:val="21"/>
              </w:rPr>
            </w:pPr>
            <w:r>
              <w:rPr>
                <w:rFonts w:hint="eastAsia"/>
                <w:szCs w:val="21"/>
              </w:rPr>
              <w:t xml:space="preserve">1.</w:t>
            </w:r>
            <w:r>
              <w:rPr>
                <w:rFonts w:hint="eastAsia"/>
                <w:szCs w:val="21"/>
              </w:rPr>
              <w:t xml:space="preserve">未经甲方书面认可，逾期交货；</w:t>
            </w:r>
            <w:r/>
          </w:p>
          <w:p>
            <w:pPr>
              <w:spacing w:line="360" w:lineRule="auto"/>
              <w:rPr>
                <w:rFonts w:hint="eastAsia" w:ascii="宋体" w:hAnsi="宋体" w:cs="宋体"/>
                <w:szCs w:val="21"/>
                <w:u w:val="single"/>
              </w:rPr>
            </w:pPr>
            <w:r>
              <w:rPr>
                <w:rFonts w:hint="eastAsia" w:ascii="宋体" w:hAnsi="宋体" w:cs="宋体"/>
                <w:szCs w:val="21"/>
              </w:rPr>
              <w:t xml:space="preserve">2.乙方未能遵守甲方有关管理</w:t>
            </w:r>
            <w:r>
              <w:rPr>
                <w:rFonts w:hint="eastAsia" w:ascii="宋体" w:hAnsi="宋体" w:cs="宋体"/>
                <w:szCs w:val="21"/>
              </w:rPr>
              <w:t xml:space="preserve">制度和规定，在货物运输、安装调试、维修维保等过程中未服从甲方管理，给甲方或第三人造成伤害或财产损失，如履约保证金不足以弥补甲方和第三人的损失，乙方承担继续赔偿责任。</w:t>
            </w:r>
            <w:r/>
          </w:p>
          <w:p>
            <w:pPr>
              <w:jc w:val="left"/>
              <w:widowControl/>
              <w:rPr>
                <w:szCs w:val="21"/>
              </w:rPr>
            </w:pPr>
            <w:r>
              <w:rPr>
                <w:rFonts w:hint="eastAsia"/>
                <w:szCs w:val="21"/>
              </w:rPr>
              <w:t xml:space="preserve">3.</w:t>
            </w:r>
            <w:r>
              <w:rPr>
                <w:rFonts w:hint="eastAsia"/>
                <w:szCs w:val="21"/>
              </w:rPr>
              <w:t xml:space="preserve">乙方不参与验收、故意拖延验收，货物验收不合格。</w:t>
            </w:r>
            <w:r/>
          </w:p>
          <w:p>
            <w:pPr>
              <w:jc w:val="left"/>
              <w:widowControl/>
              <w:rPr>
                <w:szCs w:val="21"/>
              </w:rPr>
            </w:pPr>
            <w:r>
              <w:rPr>
                <w:rFonts w:hint="eastAsia"/>
                <w:szCs w:val="21"/>
              </w:rPr>
              <w:t xml:space="preserve">4.</w:t>
            </w:r>
            <w:r>
              <w:rPr>
                <w:rFonts w:hint="eastAsia"/>
                <w:szCs w:val="21"/>
              </w:rPr>
              <w:t xml:space="preserve">乙方未及时按招标文件、投标文件和合同约定提供货物质保服务。</w:t>
            </w:r>
            <w:r/>
          </w:p>
        </w:tc>
      </w:tr>
      <w:tr>
        <w:trPr>
          <w:trHeight w:val="736"/>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13.3</w:t>
            </w:r>
            <w:r>
              <w:rPr>
                <w:rFonts w:hint="eastAsia"/>
                <w:szCs w:val="21"/>
              </w:rPr>
              <w:t xml:space="preserve">款</w:t>
            </w:r>
            <w:r/>
          </w:p>
        </w:tc>
        <w:tc>
          <w:tcPr>
            <w:tcW w:w="3115" w:type="dxa"/>
            <w:vAlign w:val="center"/>
            <w:textDirection w:val="lrTb"/>
            <w:noWrap w:val="false"/>
          </w:tcPr>
          <w:p>
            <w:pPr>
              <w:jc w:val="left"/>
              <w:widowControl/>
              <w:rPr>
                <w:szCs w:val="21"/>
              </w:rPr>
            </w:pPr>
            <w:r>
              <w:rPr>
                <w:rFonts w:hint="eastAsia"/>
                <w:szCs w:val="21"/>
              </w:rPr>
              <w:t xml:space="preserve">履约保证金退还时间及逾期退还的违约金</w:t>
            </w:r>
            <w:r/>
          </w:p>
        </w:tc>
        <w:tc>
          <w:tcPr>
            <w:tcW w:w="3065" w:type="dxa"/>
            <w:vAlign w:val="center"/>
            <w:textDirection w:val="lrTb"/>
            <w:noWrap w:val="false"/>
          </w:tcPr>
          <w:p>
            <w:pPr>
              <w:jc w:val="left"/>
              <w:widowControl/>
              <w:rPr>
                <w:szCs w:val="21"/>
              </w:rPr>
            </w:pPr>
            <w:r>
              <w:rPr>
                <w:rFonts w:hint="eastAsia"/>
                <w:szCs w:val="21"/>
              </w:rPr>
              <w:t xml:space="preserve">1.</w:t>
            </w:r>
            <w:r>
              <w:rPr>
                <w:szCs w:val="21"/>
              </w:rPr>
              <w:t xml:space="preserve">自甲方最终书面确认验收合格之日起算【</w:t>
            </w:r>
            <w:r>
              <w:rPr>
                <w:szCs w:val="21"/>
              </w:rPr>
              <w:t xml:space="preserve">12</w:t>
            </w:r>
            <w:r>
              <w:rPr>
                <w:szCs w:val="21"/>
              </w:rPr>
              <w:t xml:space="preserve">】个月后，甲方确认无质量问题且乙方无违约情形后将履约保证金无息退还给乙方。</w:t>
            </w:r>
            <w:r>
              <w:rPr>
                <w:rFonts w:hint="eastAsia"/>
                <w:szCs w:val="21"/>
              </w:rPr>
              <w:t xml:space="preserve">具体退还时间以甲方内部审批流程通过后实际退还的时间为准。</w:t>
            </w:r>
            <w:r/>
          </w:p>
          <w:p>
            <w:pPr>
              <w:rPr>
                <w:szCs w:val="21"/>
              </w:rPr>
            </w:pPr>
            <w:r>
              <w:rPr>
                <w:rFonts w:hint="eastAsia"/>
                <w:szCs w:val="21"/>
              </w:rPr>
              <w:t xml:space="preserve">2.</w:t>
            </w:r>
            <w:r>
              <w:rPr>
                <w:rFonts w:hint="eastAsia"/>
                <w:szCs w:val="21"/>
              </w:rPr>
              <w:t xml:space="preserve">无逾期退还履约保证金的违约金。</w:t>
            </w:r>
            <w:r/>
          </w:p>
        </w:tc>
      </w:tr>
      <w:tr>
        <w:trPr>
          <w:trHeight w:val="784"/>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14.1</w:t>
            </w:r>
            <w:r>
              <w:rPr>
                <w:rFonts w:hint="eastAsia"/>
                <w:szCs w:val="21"/>
              </w:rPr>
              <w:t xml:space="preserve">（</w:t>
            </w:r>
            <w:r>
              <w:rPr>
                <w:rFonts w:hint="eastAsia"/>
                <w:szCs w:val="21"/>
              </w:rPr>
              <w:t xml:space="preserve">3</w:t>
            </w:r>
            <w:r>
              <w:rPr>
                <w:rFonts w:hint="eastAsia"/>
                <w:szCs w:val="21"/>
              </w:rPr>
              <w:t xml:space="preserve">）项</w:t>
            </w:r>
            <w:r/>
          </w:p>
        </w:tc>
        <w:tc>
          <w:tcPr>
            <w:tcW w:w="3115" w:type="dxa"/>
            <w:vAlign w:val="center"/>
            <w:textDirection w:val="lrTb"/>
            <w:noWrap w:val="false"/>
          </w:tcPr>
          <w:p>
            <w:pPr>
              <w:jc w:val="left"/>
              <w:widowControl/>
              <w:rPr>
                <w:szCs w:val="21"/>
              </w:rPr>
            </w:pPr>
            <w:r>
              <w:rPr>
                <w:rFonts w:hint="eastAsia"/>
                <w:szCs w:val="21"/>
              </w:rPr>
              <w:t xml:space="preserve">运行监督、维修期限</w:t>
            </w:r>
            <w:r/>
          </w:p>
        </w:tc>
        <w:tc>
          <w:tcPr>
            <w:tcW w:w="3065" w:type="dxa"/>
            <w:vAlign w:val="center"/>
            <w:textDirection w:val="lrTb"/>
            <w:noWrap w:val="false"/>
          </w:tcPr>
          <w:p>
            <w:pPr>
              <w:jc w:val="left"/>
              <w:widowControl/>
              <w:rPr>
                <w:szCs w:val="21"/>
              </w:rPr>
            </w:pPr>
            <w:r>
              <w:rPr>
                <w:rFonts w:hint="eastAsia"/>
                <w:szCs w:val="21"/>
              </w:rPr>
              <w:t xml:space="preserve">按招标文件的要求和乙方投标响应执行，具体如下：</w:t>
            </w:r>
            <w:r/>
          </w:p>
          <w:p>
            <w:pPr>
              <w:jc w:val="left"/>
              <w:widowControl/>
              <w:rPr>
                <w:szCs w:val="21"/>
              </w:rPr>
            </w:pPr>
            <w:r>
              <w:rPr>
                <w:rFonts w:hint="eastAsia"/>
                <w:szCs w:val="21"/>
              </w:rPr>
              <w:t xml:space="preserve">【</w:t>
            </w:r>
            <w:r>
              <w:rPr>
                <w:rFonts w:hint="eastAsia"/>
                <w:szCs w:val="21"/>
              </w:rPr>
              <w:t xml:space="preserve">     </w:t>
            </w:r>
            <w:r>
              <w:rPr>
                <w:rFonts w:hint="eastAsia"/>
                <w:szCs w:val="21"/>
              </w:rPr>
              <w:t xml:space="preserve">】</w:t>
            </w:r>
            <w:r/>
          </w:p>
        </w:tc>
      </w:tr>
      <w:tr>
        <w:trPr>
          <w:trHeight w:val="784"/>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14.1</w:t>
            </w:r>
            <w:r>
              <w:rPr>
                <w:rFonts w:hint="eastAsia"/>
                <w:szCs w:val="21"/>
              </w:rPr>
              <w:t xml:space="preserve">（</w:t>
            </w:r>
            <w:r>
              <w:rPr>
                <w:rFonts w:hint="eastAsia"/>
                <w:szCs w:val="21"/>
              </w:rPr>
              <w:t xml:space="preserve">5</w:t>
            </w:r>
            <w:r>
              <w:rPr>
                <w:rFonts w:hint="eastAsia"/>
                <w:szCs w:val="21"/>
              </w:rPr>
              <w:t xml:space="preserve">）项</w:t>
            </w:r>
            <w:r/>
          </w:p>
        </w:tc>
        <w:tc>
          <w:tcPr>
            <w:tcW w:w="3115" w:type="dxa"/>
            <w:vAlign w:val="center"/>
            <w:textDirection w:val="lrTb"/>
            <w:noWrap w:val="false"/>
          </w:tcPr>
          <w:p>
            <w:pPr>
              <w:jc w:val="left"/>
              <w:widowControl/>
              <w:rPr>
                <w:szCs w:val="21"/>
              </w:rPr>
            </w:pPr>
            <w:r>
              <w:rPr>
                <w:rFonts w:hint="eastAsia"/>
                <w:szCs w:val="21"/>
              </w:rPr>
              <w:t xml:space="preserve">货物回收的约定</w:t>
            </w:r>
            <w:r/>
          </w:p>
        </w:tc>
        <w:tc>
          <w:tcPr>
            <w:tcW w:w="3065" w:type="dxa"/>
            <w:vAlign w:val="center"/>
            <w:textDirection w:val="lrTb"/>
            <w:noWrap w:val="false"/>
          </w:tcPr>
          <w:p>
            <w:pPr>
              <w:jc w:val="left"/>
              <w:widowControl/>
              <w:rPr>
                <w:szCs w:val="21"/>
              </w:rPr>
            </w:pPr>
            <w:r>
              <w:rPr>
                <w:rFonts w:hint="eastAsia"/>
                <w:szCs w:val="21"/>
              </w:rPr>
              <w:t xml:space="preserve">按相关法律法规执行。</w:t>
            </w:r>
            <w:r/>
          </w:p>
        </w:tc>
      </w:tr>
      <w:tr>
        <w:trPr>
          <w:trHeight w:val="736"/>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14.1</w:t>
            </w:r>
            <w:r>
              <w:rPr>
                <w:rFonts w:hint="eastAsia"/>
                <w:szCs w:val="21"/>
              </w:rPr>
              <w:t xml:space="preserve">（</w:t>
            </w:r>
            <w:r>
              <w:rPr>
                <w:rFonts w:hint="eastAsia"/>
                <w:szCs w:val="21"/>
              </w:rPr>
              <w:t xml:space="preserve">6</w:t>
            </w:r>
            <w:r>
              <w:rPr>
                <w:rFonts w:hint="eastAsia"/>
                <w:szCs w:val="21"/>
              </w:rPr>
              <w:t xml:space="preserve">）项</w:t>
            </w:r>
            <w:r/>
          </w:p>
        </w:tc>
        <w:tc>
          <w:tcPr>
            <w:tcW w:w="3115" w:type="dxa"/>
            <w:vAlign w:val="center"/>
            <w:textDirection w:val="lrTb"/>
            <w:noWrap w:val="false"/>
          </w:tcPr>
          <w:p>
            <w:pPr>
              <w:jc w:val="left"/>
              <w:widowControl/>
              <w:rPr>
                <w:szCs w:val="21"/>
              </w:rPr>
            </w:pPr>
            <w:r>
              <w:rPr>
                <w:rFonts w:hint="eastAsia"/>
                <w:szCs w:val="21"/>
              </w:rPr>
              <w:t xml:space="preserve">乙方提供的其他服务</w:t>
            </w:r>
            <w:r/>
          </w:p>
        </w:tc>
        <w:tc>
          <w:tcPr>
            <w:tcW w:w="306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p>
          <w:p>
            <w:pPr>
              <w:jc w:val="left"/>
              <w:spacing w:line="360" w:lineRule="auto"/>
              <w:rPr>
                <w:rFonts w:hint="eastAsia" w:ascii="宋体" w:hAnsi="宋体" w:cs="宋体"/>
                <w:szCs w:val="21"/>
              </w:rPr>
            </w:pPr>
            <w:r>
              <w:rPr>
                <w:rFonts w:hint="eastAsia" w:ascii="宋体" w:hAnsi="宋体" w:cs="宋体"/>
                <w:szCs w:val="21"/>
              </w:rPr>
              <w:t xml:space="preserve">2.质保和售后服务：乙方保证按本合同约定以及投标响应文件的服务承诺履行质保和售后服务义务，其中免费质保期为【   】年，自甲方最终书面确认验收合</w:t>
            </w:r>
            <w:r>
              <w:rPr>
                <w:rFonts w:hint="eastAsia" w:ascii="宋体" w:hAnsi="宋体" w:cs="宋体"/>
                <w:szCs w:val="21"/>
              </w:rPr>
              <w:t xml:space="preserve">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r/>
          </w:p>
          <w:p>
            <w:pPr>
              <w:jc w:val="left"/>
              <w:spacing w:line="360" w:lineRule="auto"/>
              <w:rPr>
                <w:rFonts w:hint="eastAsia" w:ascii="宋体" w:hAnsi="宋体" w:cs="宋体"/>
                <w:szCs w:val="21"/>
              </w:rPr>
            </w:pPr>
            <w:r>
              <w:rPr>
                <w:rFonts w:hint="eastAsia" w:ascii="宋体" w:hAnsi="宋体" w:cs="宋体"/>
                <w:szCs w:val="21"/>
              </w:rPr>
              <w:t xml:space="preserve">3.售后服务响应时间：乙方应在国内有专门负责的维修工程师或技术支持工程师。质保期内，如在使用过程中发生问题等，则乙方在接到甲方提出的维修维保要求通知后，应于2</w:t>
            </w:r>
            <w:r>
              <w:rPr>
                <w:rFonts w:hint="eastAsia" w:ascii="宋体" w:hAnsi="宋体" w:cs="宋体"/>
                <w:szCs w:val="21"/>
              </w:rPr>
              <w:t xml:space="preserve">小时电话响应，对甲方的服务要求提出解决方案，经确认如有需要，技术人员须在24小时内到达甲方现场，并于【  】日内完成维修维保工作；重大问题或其他无法迅速</w:t>
            </w:r>
            <w:r>
              <w:rPr>
                <w:rFonts w:hint="eastAsia" w:ascii="宋体" w:hAnsi="宋体" w:cs="宋体"/>
                <w:szCs w:val="21"/>
              </w:rPr>
              <w:t xml:space="preserve">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r/>
          </w:p>
          <w:p>
            <w:pPr>
              <w:jc w:val="left"/>
              <w:spacing w:line="360" w:lineRule="auto"/>
              <w:rPr>
                <w:rFonts w:hint="eastAsia" w:ascii="宋体" w:hAnsi="宋体" w:cs="宋体"/>
                <w:szCs w:val="21"/>
              </w:rPr>
            </w:pPr>
            <w:r>
              <w:rPr>
                <w:rFonts w:hint="eastAsia"/>
                <w:b/>
                <w:bCs/>
                <w:szCs w:val="21"/>
              </w:rPr>
              <w:t xml:space="preserve">4.</w:t>
            </w:r>
            <w:r>
              <w:rPr>
                <w:rFonts w:hint="eastAsia"/>
                <w:b/>
                <w:bCs/>
                <w:szCs w:val="21"/>
              </w:rPr>
              <w:t xml:space="preserve">乙方应按投标响应文件的售后服务响应和承诺提供售后服务、维修保养服务等。</w:t>
            </w:r>
            <w:r/>
          </w:p>
        </w:tc>
      </w:tr>
      <w:tr>
        <w:trPr>
          <w:trHeight w:val="736"/>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15.1</w:t>
            </w:r>
            <w:r>
              <w:rPr>
                <w:rFonts w:hint="eastAsia"/>
                <w:szCs w:val="21"/>
              </w:rPr>
              <w:t xml:space="preserve">款</w:t>
            </w:r>
            <w:r/>
          </w:p>
        </w:tc>
        <w:tc>
          <w:tcPr>
            <w:tcW w:w="3115" w:type="dxa"/>
            <w:vAlign w:val="center"/>
            <w:textDirection w:val="lrTb"/>
            <w:noWrap w:val="false"/>
          </w:tcPr>
          <w:p>
            <w:pPr>
              <w:jc w:val="left"/>
              <w:widowControl/>
              <w:rPr>
                <w:szCs w:val="21"/>
              </w:rPr>
            </w:pPr>
            <w:r>
              <w:rPr>
                <w:rFonts w:hint="eastAsia"/>
                <w:szCs w:val="21"/>
              </w:rPr>
              <w:t xml:space="preserve">修理、重作、更换相关具体规定</w:t>
            </w:r>
            <w:r/>
          </w:p>
        </w:tc>
        <w:tc>
          <w:tcPr>
            <w:tcW w:w="3065" w:type="dxa"/>
            <w:vAlign w:val="center"/>
            <w:textDirection w:val="lrTb"/>
            <w:noWrap w:val="false"/>
          </w:tcPr>
          <w:p>
            <w:pPr>
              <w:jc w:val="left"/>
              <w:widowControl/>
              <w:rPr>
                <w:szCs w:val="21"/>
              </w:rPr>
            </w:pPr>
            <w:r>
              <w:rPr>
                <w:szCs w:val="21"/>
              </w:rPr>
              <w:t xml:space="preserve">乙方提供的货物在质量期内因货物本身的质量问题发生故障，乙方应负责免费更换。对达不到技术要求者，根据实际</w:t>
            </w:r>
            <w:r>
              <w:rPr>
                <w:szCs w:val="21"/>
              </w:rPr>
              <w:t xml:space="preserve">情况，经双方协商，可按以下办法处理：</w:t>
            </w:r>
            <w:r/>
          </w:p>
          <w:p>
            <w:pPr>
              <w:jc w:val="left"/>
              <w:widowControl/>
              <w:rPr>
                <w:szCs w:val="21"/>
              </w:rPr>
            </w:pPr>
            <w:r>
              <w:rPr>
                <w:rFonts w:hint="eastAsia"/>
                <w:szCs w:val="21"/>
              </w:rPr>
              <w:t xml:space="preserve">（</w:t>
            </w:r>
            <w:r>
              <w:rPr>
                <w:rFonts w:hint="eastAsia"/>
                <w:szCs w:val="21"/>
              </w:rPr>
              <w:t xml:space="preserve">1</w:t>
            </w:r>
            <w:r>
              <w:rPr>
                <w:rFonts w:hint="eastAsia"/>
                <w:szCs w:val="21"/>
              </w:rPr>
              <w:t xml:space="preserve">）</w:t>
            </w:r>
            <w:r>
              <w:rPr>
                <w:szCs w:val="21"/>
              </w:rPr>
              <w:t xml:space="preserve">更换：由乙方承担所发生的全部费用。</w:t>
            </w:r>
            <w:r/>
          </w:p>
          <w:p>
            <w:pPr>
              <w:jc w:val="left"/>
              <w:widowControl/>
              <w:rPr>
                <w:szCs w:val="21"/>
              </w:rPr>
            </w:pPr>
            <w:r>
              <w:rPr>
                <w:rFonts w:hint="eastAsia"/>
                <w:szCs w:val="21"/>
              </w:rPr>
              <w:t xml:space="preserve">（</w:t>
            </w:r>
            <w:r>
              <w:rPr>
                <w:rFonts w:hint="eastAsia"/>
                <w:szCs w:val="21"/>
              </w:rPr>
              <w:t xml:space="preserve">2</w:t>
            </w:r>
            <w:r>
              <w:rPr>
                <w:rFonts w:hint="eastAsia"/>
                <w:szCs w:val="21"/>
              </w:rPr>
              <w:t xml:space="preserve">）</w:t>
            </w:r>
            <w:r>
              <w:rPr>
                <w:szCs w:val="21"/>
              </w:rPr>
              <w:t xml:space="preserve">贬值处理：由甲乙双方合议定价。</w:t>
            </w:r>
            <w:r/>
          </w:p>
          <w:p>
            <w:pPr>
              <w:jc w:val="left"/>
              <w:widowControl/>
              <w:rPr>
                <w:szCs w:val="21"/>
              </w:rPr>
            </w:pPr>
            <w:r>
              <w:rPr>
                <w:rFonts w:hint="eastAsia"/>
                <w:szCs w:val="21"/>
              </w:rPr>
              <w:t xml:space="preserve">（</w:t>
            </w:r>
            <w:r>
              <w:rPr>
                <w:rFonts w:hint="eastAsia"/>
                <w:szCs w:val="21"/>
              </w:rPr>
              <w:t xml:space="preserve">3</w:t>
            </w:r>
            <w:r>
              <w:rPr>
                <w:rFonts w:hint="eastAsia"/>
                <w:szCs w:val="21"/>
              </w:rPr>
              <w:t xml:space="preserve">）</w:t>
            </w:r>
            <w:r>
              <w:rPr>
                <w:szCs w:val="21"/>
              </w:rPr>
              <w:t xml:space="preserve">退货处理：乙方应退还甲方支付的合同款，同时应承担该货物的直接费用（运输、保险、检验、货款利息及银行手续费等）。</w:t>
            </w:r>
            <w:r/>
          </w:p>
        </w:tc>
      </w:tr>
      <w:tr>
        <w:trPr>
          <w:trHeight w:val="736"/>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15.2</w:t>
            </w:r>
            <w:r>
              <w:rPr>
                <w:rFonts w:hint="eastAsia"/>
                <w:szCs w:val="21"/>
              </w:rPr>
              <w:t xml:space="preserve">（</w:t>
            </w:r>
            <w:r>
              <w:rPr>
                <w:rFonts w:hint="eastAsia"/>
                <w:szCs w:val="21"/>
              </w:rPr>
              <w:t xml:space="preserve">2</w:t>
            </w:r>
            <w:r>
              <w:rPr>
                <w:rFonts w:hint="eastAsia"/>
                <w:szCs w:val="21"/>
              </w:rPr>
              <w:t xml:space="preserve">）项</w:t>
            </w:r>
            <w:r/>
          </w:p>
        </w:tc>
        <w:tc>
          <w:tcPr>
            <w:tcW w:w="3115" w:type="dxa"/>
            <w:vAlign w:val="center"/>
            <w:textDirection w:val="lrTb"/>
            <w:noWrap w:val="false"/>
          </w:tcPr>
          <w:p>
            <w:pPr>
              <w:jc w:val="left"/>
              <w:widowControl/>
              <w:rPr>
                <w:szCs w:val="21"/>
              </w:rPr>
            </w:pPr>
            <w:r>
              <w:rPr>
                <w:rFonts w:hint="eastAsia"/>
                <w:szCs w:val="21"/>
              </w:rPr>
              <w:t xml:space="preserve">迟延交货赔偿费</w:t>
            </w:r>
            <w:r/>
          </w:p>
        </w:tc>
        <w:tc>
          <w:tcPr>
            <w:tcW w:w="3065" w:type="dxa"/>
            <w:vAlign w:val="center"/>
            <w:textDirection w:val="lrTb"/>
            <w:noWrap w:val="false"/>
          </w:tcPr>
          <w:p>
            <w:pPr>
              <w:jc w:val="left"/>
              <w:widowControl/>
              <w:rPr>
                <w:szCs w:val="21"/>
              </w:rPr>
            </w:pPr>
            <w:r>
              <w:rPr>
                <w:rFonts w:hint="eastAsia"/>
                <w:szCs w:val="21"/>
              </w:rPr>
              <w:t xml:space="preserve">（</w:t>
            </w:r>
            <w:r>
              <w:rPr>
                <w:rFonts w:hint="eastAsia"/>
                <w:szCs w:val="21"/>
              </w:rPr>
              <w:t xml:space="preserve">1</w:t>
            </w:r>
            <w:r>
              <w:rPr>
                <w:rFonts w:hint="eastAsia"/>
                <w:szCs w:val="21"/>
              </w:rPr>
              <w:t xml:space="preserve">）</w:t>
            </w:r>
            <w:r>
              <w:rPr>
                <w:szCs w:val="21"/>
              </w:rPr>
              <w:t xml:space="preserve">乙方逾期交付货物的，乙方应按逾期交货总额每日千分之六向甲方支付违约金，由甲方从待付货款中扣除。逾期超过约定日期</w:t>
            </w:r>
            <w:r>
              <w:rPr>
                <w:szCs w:val="21"/>
              </w:rPr>
              <w:t xml:space="preserve">10</w:t>
            </w:r>
            <w:r>
              <w:rPr>
                <w:szCs w:val="21"/>
              </w:rPr>
              <w:t xml:space="preserve">个工作日不能交货的，甲方可解除本合同。乙方因逾期交货或因其他违约行为导致甲方解除合同的，乙方应向甲方支付合同总值</w:t>
            </w:r>
            <w:r>
              <w:rPr>
                <w:szCs w:val="21"/>
              </w:rPr>
              <w:t xml:space="preserve">15%</w:t>
            </w:r>
            <w:r>
              <w:rPr>
                <w:szCs w:val="21"/>
              </w:rPr>
              <w:t xml:space="preserve">的违约金，如造成甲方损失超过违约金的，超出部分由乙方继续承担赔偿责任。</w:t>
            </w:r>
            <w:r>
              <w:rPr>
                <w:szCs w:val="21"/>
              </w:rPr>
              <w:t xml:space="preserve"> </w:t>
            </w:r>
            <w:r/>
          </w:p>
          <w:p>
            <w:pPr>
              <w:jc w:val="left"/>
              <w:widowControl/>
              <w:rPr>
                <w:szCs w:val="21"/>
                <w:u w:val="single"/>
              </w:rPr>
            </w:pPr>
            <w:r>
              <w:rPr>
                <w:rFonts w:hint="eastAsia"/>
                <w:szCs w:val="21"/>
              </w:rPr>
              <w:t xml:space="preserve">（</w:t>
            </w:r>
            <w:r>
              <w:rPr>
                <w:rFonts w:hint="eastAsia"/>
                <w:szCs w:val="21"/>
              </w:rPr>
              <w:t xml:space="preserve">2</w:t>
            </w:r>
            <w:r>
              <w:rPr>
                <w:rFonts w:hint="eastAsia"/>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15.3</w:t>
            </w:r>
            <w:r>
              <w:rPr>
                <w:rFonts w:hint="eastAsia"/>
                <w:szCs w:val="21"/>
              </w:rPr>
              <w:t xml:space="preserve">款</w:t>
            </w:r>
            <w:r/>
          </w:p>
        </w:tc>
        <w:tc>
          <w:tcPr>
            <w:tcW w:w="3115" w:type="dxa"/>
            <w:vAlign w:val="center"/>
            <w:textDirection w:val="lrTb"/>
            <w:noWrap w:val="false"/>
          </w:tcPr>
          <w:p>
            <w:pPr>
              <w:jc w:val="left"/>
              <w:widowControl/>
              <w:rPr>
                <w:szCs w:val="21"/>
              </w:rPr>
            </w:pPr>
            <w:r>
              <w:rPr>
                <w:rFonts w:hint="eastAsia"/>
                <w:szCs w:val="21"/>
              </w:rPr>
              <w:t xml:space="preserve">逾期付款利息</w:t>
            </w:r>
            <w:r/>
          </w:p>
        </w:tc>
        <w:tc>
          <w:tcPr>
            <w:tcW w:w="3065" w:type="dxa"/>
            <w:vAlign w:val="center"/>
            <w:textDirection w:val="lrTb"/>
            <w:noWrap w:val="false"/>
          </w:tcPr>
          <w:p>
            <w:pPr>
              <w:jc w:val="left"/>
              <w:widowControl/>
              <w:rPr>
                <w:szCs w:val="21"/>
                <w:u w:val="single"/>
              </w:rPr>
            </w:pPr>
            <w:r>
              <w:rPr>
                <w:rFonts w:hint="eastAsia"/>
                <w:szCs w:val="21"/>
              </w:rPr>
              <w:t xml:space="preserve">乙方</w:t>
            </w:r>
            <w:r>
              <w:rPr>
                <w:szCs w:val="21"/>
              </w:rPr>
              <w:t xml:space="preserve">理解</w:t>
            </w:r>
            <w:r>
              <w:rPr>
                <w:rFonts w:hint="eastAsia"/>
                <w:szCs w:val="21"/>
              </w:rPr>
              <w:t xml:space="preserve">甲方</w:t>
            </w:r>
            <w:r>
              <w:rPr>
                <w:szCs w:val="21"/>
              </w:rPr>
              <w:t xml:space="preserve">高校</w:t>
            </w:r>
            <w:r>
              <w:rPr>
                <w:rFonts w:hint="eastAsia"/>
                <w:szCs w:val="21"/>
              </w:rPr>
              <w:t xml:space="preserve">财务制度</w:t>
            </w:r>
            <w:r>
              <w:rPr>
                <w:szCs w:val="21"/>
              </w:rPr>
              <w:t xml:space="preserve">的特殊性，自愿放弃</w:t>
            </w:r>
            <w:r>
              <w:rPr>
                <w:rFonts w:hint="eastAsia"/>
                <w:szCs w:val="21"/>
              </w:rPr>
              <w:t xml:space="preserve">向甲方主张逾期付款利息</w:t>
            </w:r>
            <w:r>
              <w:rPr>
                <w:szCs w:val="21"/>
              </w:rPr>
              <w:t xml:space="preserve">。</w:t>
            </w:r>
            <w:r/>
          </w:p>
        </w:tc>
      </w:tr>
      <w:tr>
        <w:trPr>
          <w:trHeight w:val="876"/>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15.4</w:t>
            </w:r>
            <w:r>
              <w:rPr>
                <w:rFonts w:hint="eastAsia"/>
                <w:szCs w:val="21"/>
              </w:rPr>
              <w:t xml:space="preserve">款</w:t>
            </w:r>
            <w:r/>
          </w:p>
        </w:tc>
        <w:tc>
          <w:tcPr>
            <w:tcW w:w="3115" w:type="dxa"/>
            <w:vAlign w:val="center"/>
            <w:textDirection w:val="lrTb"/>
            <w:noWrap w:val="false"/>
          </w:tcPr>
          <w:p>
            <w:pPr>
              <w:jc w:val="left"/>
              <w:widowControl/>
              <w:rPr>
                <w:szCs w:val="21"/>
              </w:rPr>
            </w:pPr>
            <w:r>
              <w:rPr>
                <w:rFonts w:hint="eastAsia"/>
                <w:szCs w:val="21"/>
              </w:rPr>
              <w:t xml:space="preserve">其他违约责任</w:t>
            </w:r>
            <w:r/>
          </w:p>
        </w:tc>
        <w:tc>
          <w:tcPr>
            <w:tcW w:w="3065" w:type="dxa"/>
            <w:vAlign w:val="center"/>
            <w:textDirection w:val="lrTb"/>
            <w:noWrap w:val="false"/>
          </w:tcPr>
          <w:p>
            <w:pPr>
              <w:jc w:val="left"/>
              <w:widowControl/>
              <w:rPr>
                <w:szCs w:val="21"/>
              </w:rPr>
            </w:pPr>
            <w:r>
              <w:rPr>
                <w:rFonts w:hint="eastAsia"/>
                <w:szCs w:val="21"/>
              </w:rPr>
              <w:t xml:space="preserve">（</w:t>
            </w:r>
            <w:r>
              <w:rPr>
                <w:rFonts w:hint="eastAsia"/>
                <w:szCs w:val="21"/>
              </w:rPr>
              <w:t xml:space="preserve">1</w:t>
            </w:r>
            <w:r>
              <w:rPr>
                <w:rFonts w:hint="eastAsia"/>
                <w:szCs w:val="21"/>
              </w:rPr>
              <w:t xml:space="preserve">）</w:t>
            </w:r>
            <w:r>
              <w:rPr>
                <w:szCs w:val="21"/>
              </w:rPr>
              <w:t xml:space="preserve">乙方如有转包或未经甲方同意的分包行为</w:t>
            </w:r>
            <w:r>
              <w:rPr>
                <w:rFonts w:hint="eastAsia"/>
                <w:szCs w:val="21"/>
              </w:rPr>
              <w:t xml:space="preserve">，则构成乙方违约，甲方有权单方解除合同，并没收乙方履约保证金。</w:t>
            </w:r>
            <w:r/>
          </w:p>
          <w:p>
            <w:pPr>
              <w:jc w:val="left"/>
              <w:widowControl/>
              <w:rPr>
                <w:szCs w:val="21"/>
              </w:rPr>
            </w:pPr>
            <w:r>
              <w:rPr>
                <w:rFonts w:hint="eastAsia"/>
                <w:szCs w:val="21"/>
              </w:rPr>
              <w:t xml:space="preserve">（</w:t>
            </w:r>
            <w:r>
              <w:rPr>
                <w:rFonts w:hint="eastAsia"/>
                <w:szCs w:val="21"/>
              </w:rPr>
              <w:t xml:space="preserve">2</w:t>
            </w:r>
            <w:r>
              <w:rPr>
                <w:rFonts w:hint="eastAsia"/>
                <w:szCs w:val="21"/>
              </w:rPr>
              <w:t xml:space="preserve">）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w:t>
            </w:r>
            <w:r>
              <w:rPr>
                <w:rFonts w:hint="eastAsia"/>
                <w:szCs w:val="21"/>
              </w:rPr>
              <w:t xml:space="preserve">甲方及第三方因此蒙受的所有直接或者间接的损失；同时，造成本合同项下及甲方物品损毁的，乙方负责恢复原样，如无法复原则按被损坏物品市场价格向甲方进行赔偿，并向甲方支付合同价</w:t>
            </w:r>
            <w:r>
              <w:rPr>
                <w:rFonts w:hint="eastAsia"/>
                <w:szCs w:val="21"/>
              </w:rPr>
              <w:t xml:space="preserve">10%</w:t>
            </w:r>
            <w:r>
              <w:rPr>
                <w:rFonts w:hint="eastAsia"/>
                <w:szCs w:val="21"/>
              </w:rPr>
              <w:t xml:space="preserve">的违约金。</w:t>
            </w:r>
            <w:r/>
          </w:p>
          <w:p>
            <w:pPr>
              <w:jc w:val="left"/>
              <w:widowControl/>
              <w:rPr>
                <w:szCs w:val="21"/>
              </w:rPr>
            </w:pPr>
            <w:r>
              <w:rPr>
                <w:rFonts w:hint="eastAsia"/>
                <w:szCs w:val="21"/>
              </w:rPr>
              <w:t xml:space="preserve">（</w:t>
            </w:r>
            <w:r>
              <w:rPr>
                <w:rFonts w:hint="eastAsia"/>
                <w:szCs w:val="21"/>
              </w:rPr>
              <w:t xml:space="preserve">3</w:t>
            </w:r>
            <w:r>
              <w:rPr>
                <w:rFonts w:hint="eastAsia"/>
                <w:szCs w:val="21"/>
              </w:rPr>
              <w:t xml:space="preserve">）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w:t>
            </w:r>
            <w:r>
              <w:rPr>
                <w:rFonts w:hint="eastAsia"/>
                <w:szCs w:val="21"/>
              </w:rPr>
              <w:t xml:space="preserve">2000.00</w:t>
            </w:r>
            <w:r>
              <w:rPr>
                <w:rFonts w:hint="eastAsia"/>
                <w:szCs w:val="21"/>
              </w:rPr>
              <w:t xml:space="preserve">元违约金，甲方有权从履约保证金中扣除前述违约金，履约保证金不足扣除或已退还乙方的，甲方有权要求乙方继续支付。</w:t>
            </w:r>
            <w:r/>
          </w:p>
          <w:p>
            <w:pPr>
              <w:jc w:val="left"/>
              <w:widowControl/>
              <w:rPr>
                <w:szCs w:val="21"/>
              </w:rPr>
            </w:pPr>
            <w:r>
              <w:rPr>
                <w:rFonts w:hint="eastAsia"/>
                <w:szCs w:val="21"/>
              </w:rPr>
              <w:t xml:space="preserve">（</w:t>
            </w:r>
            <w:r>
              <w:rPr>
                <w:rFonts w:hint="eastAsia"/>
                <w:szCs w:val="21"/>
              </w:rPr>
              <w:t xml:space="preserve">4</w:t>
            </w:r>
            <w:r>
              <w:rPr>
                <w:rFonts w:hint="eastAsia"/>
                <w:szCs w:val="21"/>
              </w:rPr>
              <w:t xml:space="preserve">）如因产品质量问题，致使设备不能有效使用运转时长超过</w:t>
            </w:r>
            <w:r>
              <w:rPr>
                <w:rFonts w:hint="eastAsia"/>
                <w:szCs w:val="21"/>
              </w:rPr>
              <w:t xml:space="preserve">48</w:t>
            </w:r>
            <w:r>
              <w:rPr>
                <w:rFonts w:hint="eastAsia"/>
                <w:szCs w:val="21"/>
              </w:rPr>
              <w:t xml:space="preserve">小时，则构成乙方违约，乙方自自设备不能有效使用运转之日起，乙方应按每日</w:t>
            </w:r>
            <w:r>
              <w:rPr>
                <w:rFonts w:hint="eastAsia"/>
                <w:szCs w:val="21"/>
              </w:rPr>
              <w:t xml:space="preserve">2000.00</w:t>
            </w:r>
            <w:r>
              <w:rPr>
                <w:rFonts w:hint="eastAsia"/>
                <w:szCs w:val="21"/>
              </w:rPr>
              <w:t xml:space="preserve">元向甲方支付违约金，直至设备恢复正常使用之日。</w:t>
            </w:r>
            <w:r/>
          </w:p>
          <w:p>
            <w:pPr>
              <w:jc w:val="left"/>
              <w:widowControl/>
              <w:rPr>
                <w:szCs w:val="21"/>
                <w:u w:val="single"/>
              </w:rPr>
            </w:pPr>
            <w:r>
              <w:rPr>
                <w:rFonts w:hint="eastAsia"/>
                <w:szCs w:val="21"/>
              </w:rPr>
              <w:t xml:space="preserve">（</w:t>
            </w:r>
            <w:r>
              <w:rPr>
                <w:rFonts w:hint="eastAsia"/>
                <w:szCs w:val="21"/>
              </w:rPr>
              <w:t xml:space="preserve">5</w:t>
            </w:r>
            <w:r>
              <w:rPr>
                <w:rFonts w:hint="eastAsia"/>
                <w:szCs w:val="21"/>
              </w:rPr>
              <w:t xml:space="preserve">）乙方未能按照本合同要求提供相应质保服务的，甲方有权将乙方列入采购黑名单，以后将不予合作。</w:t>
            </w:r>
            <w:r/>
          </w:p>
        </w:tc>
      </w:tr>
      <w:tr>
        <w:trPr>
          <w:trHeight w:val="90"/>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19.2</w:t>
            </w:r>
            <w:r>
              <w:rPr>
                <w:rFonts w:hint="eastAsia"/>
                <w:szCs w:val="21"/>
              </w:rPr>
              <w:t xml:space="preserve">款</w:t>
            </w:r>
            <w:r/>
          </w:p>
        </w:tc>
        <w:tc>
          <w:tcPr>
            <w:tcW w:w="3115" w:type="dxa"/>
            <w:vAlign w:val="center"/>
            <w:textDirection w:val="lrTb"/>
            <w:noWrap w:val="false"/>
          </w:tcPr>
          <w:p>
            <w:pPr>
              <w:jc w:val="left"/>
              <w:widowControl/>
              <w:rPr>
                <w:szCs w:val="21"/>
              </w:rPr>
            </w:pPr>
            <w:r>
              <w:rPr>
                <w:rFonts w:hint="eastAsia"/>
                <w:szCs w:val="21"/>
              </w:rPr>
              <w:t xml:space="preserve">解决争议的方法</w:t>
            </w:r>
            <w:r/>
          </w:p>
        </w:tc>
        <w:tc>
          <w:tcPr>
            <w:tcW w:w="3065" w:type="dxa"/>
            <w:vAlign w:val="center"/>
            <w:textDirection w:val="lrTb"/>
            <w:noWrap w:val="false"/>
          </w:tcPr>
          <w:p>
            <w:pPr>
              <w:jc w:val="left"/>
              <w:spacing w:line="400" w:lineRule="exact"/>
              <w:widowControl/>
              <w:rPr>
                <w:iCs/>
                <w:szCs w:val="21"/>
              </w:rPr>
            </w:pPr>
            <w:r>
              <w:rPr>
                <w:rFonts w:hint="eastAsia"/>
                <w:iCs/>
                <w:szCs w:val="21"/>
              </w:rPr>
              <w:t xml:space="preserve">因本合同及合同有关事项发生的争议，按下列第</w:t>
            </w:r>
            <w:r>
              <w:rPr>
                <w:rFonts w:hint="eastAsia"/>
                <w:iCs/>
                <w:szCs w:val="21"/>
                <w:u w:val="single"/>
              </w:rPr>
              <w:t xml:space="preserve"> </w:t>
            </w:r>
            <w:r>
              <w:rPr>
                <w:rFonts w:hint="eastAsia"/>
                <w:iCs/>
                <w:szCs w:val="21"/>
                <w:u w:val="single"/>
              </w:rPr>
              <w:t xml:space="preserve">（</w:t>
            </w:r>
            <w:r>
              <w:rPr>
                <w:rFonts w:hint="eastAsia"/>
                <w:iCs/>
                <w:szCs w:val="21"/>
                <w:u w:val="single"/>
              </w:rPr>
              <w:t xml:space="preserve">2</w:t>
            </w:r>
            <w:r>
              <w:rPr>
                <w:rFonts w:hint="eastAsia"/>
                <w:iCs/>
                <w:szCs w:val="21"/>
                <w:u w:val="single"/>
              </w:rPr>
              <w:t xml:space="preserve">）</w:t>
            </w:r>
            <w:r>
              <w:rPr>
                <w:rFonts w:hint="eastAsia"/>
                <w:iCs/>
                <w:szCs w:val="21"/>
                <w:u w:val="single"/>
              </w:rPr>
              <w:t xml:space="preserve"> </w:t>
            </w:r>
            <w:r>
              <w:rPr>
                <w:rFonts w:hint="eastAsia"/>
                <w:iCs/>
                <w:szCs w:val="21"/>
              </w:rPr>
              <w:t xml:space="preserve">种方式解决：</w:t>
            </w:r>
            <w:r/>
          </w:p>
          <w:p>
            <w:pPr>
              <w:jc w:val="left"/>
              <w:spacing w:line="400" w:lineRule="exact"/>
              <w:widowControl/>
              <w:rPr>
                <w:iCs/>
                <w:szCs w:val="21"/>
              </w:rPr>
            </w:pPr>
            <w:r>
              <w:rPr>
                <w:rFonts w:hint="eastAsia"/>
                <w:iCs/>
                <w:szCs w:val="21"/>
              </w:rPr>
              <w:t xml:space="preserve">（</w:t>
            </w:r>
            <w:r>
              <w:rPr>
                <w:rFonts w:hint="eastAsia"/>
                <w:iCs/>
                <w:szCs w:val="21"/>
              </w:rPr>
              <w:t xml:space="preserve">1</w:t>
            </w:r>
            <w:r>
              <w:rPr>
                <w:rFonts w:hint="eastAsia"/>
                <w:iCs/>
                <w:szCs w:val="21"/>
              </w:rPr>
              <w:t xml:space="preserve">）向仲裁委员会申请仲裁，仲裁地点为</w:t>
            </w:r>
            <w:r>
              <w:rPr>
                <w:rFonts w:hint="eastAsia"/>
                <w:iCs/>
                <w:szCs w:val="21"/>
                <w:u w:val="single"/>
              </w:rPr>
              <w:t xml:space="preserve"> </w:t>
            </w:r>
            <w:r>
              <w:rPr>
                <w:rFonts w:hint="eastAsia"/>
                <w:iCs/>
                <w:szCs w:val="21"/>
              </w:rPr>
              <w:t xml:space="preserve">；</w:t>
            </w:r>
            <w:r/>
          </w:p>
          <w:p>
            <w:pPr>
              <w:jc w:val="left"/>
              <w:widowControl/>
              <w:rPr>
                <w:szCs w:val="21"/>
                <w:u w:val="single"/>
              </w:rPr>
            </w:pPr>
            <w:r>
              <w:rPr>
                <w:rFonts w:hint="eastAsia"/>
                <w:iCs/>
                <w:szCs w:val="21"/>
              </w:rPr>
              <w:t xml:space="preserve">（</w:t>
            </w:r>
            <w:r>
              <w:rPr>
                <w:rFonts w:hint="eastAsia"/>
                <w:iCs/>
                <w:szCs w:val="21"/>
              </w:rPr>
              <w:t xml:space="preserve">2</w:t>
            </w:r>
            <w:r>
              <w:rPr>
                <w:rFonts w:hint="eastAsia"/>
                <w:iCs/>
                <w:szCs w:val="21"/>
              </w:rPr>
              <w:t xml:space="preserve">）向</w:t>
            </w:r>
            <w:r>
              <w:rPr>
                <w:rFonts w:hint="eastAsia"/>
                <w:iCs/>
                <w:szCs w:val="21"/>
                <w:u w:val="single"/>
              </w:rPr>
              <w:t xml:space="preserve">甲方所在地</w:t>
            </w:r>
            <w:r>
              <w:rPr>
                <w:rFonts w:hint="eastAsia"/>
                <w:iCs/>
                <w:szCs w:val="21"/>
              </w:rPr>
              <w:t xml:space="preserve">人民法院起诉。</w:t>
            </w:r>
            <w:r/>
          </w:p>
        </w:tc>
      </w:tr>
      <w:tr>
        <w:trPr>
          <w:trHeight w:val="770"/>
        </w:trPr>
        <w:tc>
          <w:tcPr>
            <w:tcW w:w="2339" w:type="dxa"/>
            <w:vAlign w:val="center"/>
            <w:textDirection w:val="lrTb"/>
            <w:noWrap w:val="false"/>
          </w:tcPr>
          <w:p>
            <w:pPr>
              <w:jc w:val="center"/>
              <w:widowControl/>
              <w:rPr>
                <w:szCs w:val="21"/>
              </w:rPr>
            </w:pPr>
            <w:r>
              <w:rPr>
                <w:rFonts w:hint="eastAsia"/>
                <w:szCs w:val="21"/>
              </w:rPr>
              <w:t xml:space="preserve">第二节</w:t>
            </w:r>
            <w:r/>
          </w:p>
          <w:p>
            <w:pPr>
              <w:jc w:val="center"/>
              <w:widowControl/>
              <w:rPr>
                <w:szCs w:val="21"/>
              </w:rPr>
            </w:pPr>
            <w:r>
              <w:rPr>
                <w:rFonts w:hint="eastAsia"/>
                <w:szCs w:val="21"/>
              </w:rPr>
              <w:t xml:space="preserve">第</w:t>
            </w:r>
            <w:r>
              <w:rPr>
                <w:rFonts w:hint="eastAsia"/>
                <w:szCs w:val="21"/>
              </w:rPr>
              <w:t xml:space="preserve">23.1</w:t>
            </w:r>
            <w:r>
              <w:rPr>
                <w:rFonts w:hint="eastAsia"/>
                <w:szCs w:val="21"/>
              </w:rPr>
              <w:t xml:space="preserve">款</w:t>
            </w:r>
            <w:r/>
          </w:p>
        </w:tc>
        <w:tc>
          <w:tcPr>
            <w:tcW w:w="3115" w:type="dxa"/>
            <w:vAlign w:val="center"/>
            <w:textDirection w:val="lrTb"/>
            <w:noWrap w:val="false"/>
          </w:tcPr>
          <w:p>
            <w:pPr>
              <w:jc w:val="left"/>
              <w:widowControl/>
              <w:rPr>
                <w:szCs w:val="21"/>
              </w:rPr>
            </w:pPr>
            <w:r>
              <w:rPr>
                <w:rFonts w:hint="eastAsia"/>
                <w:bCs/>
                <w:szCs w:val="21"/>
              </w:rPr>
              <w:t xml:space="preserve">其他专用条款</w:t>
            </w:r>
            <w:r/>
          </w:p>
        </w:tc>
        <w:tc>
          <w:tcPr>
            <w:tcW w:w="3065" w:type="dxa"/>
            <w:vAlign w:val="center"/>
            <w:textDirection w:val="lrTb"/>
            <w:noWrap w:val="false"/>
          </w:tcPr>
          <w:p>
            <w:pPr>
              <w:jc w:val="left"/>
              <w:widowControl/>
              <w:rPr>
                <w:szCs w:val="21"/>
              </w:rPr>
            </w:pPr>
            <w:r>
              <w:rPr>
                <w:rFonts w:hint="eastAsia"/>
                <w:szCs w:val="21"/>
              </w:rPr>
              <w:t xml:space="preserve">1</w:t>
            </w:r>
            <w:r>
              <w:rPr>
                <w:rFonts w:hint="eastAsia"/>
                <w:b/>
                <w:bCs/>
                <w:szCs w:val="21"/>
              </w:rPr>
              <w:t xml:space="preserve">.</w:t>
            </w:r>
            <w:r>
              <w:rPr>
                <w:rFonts w:hint="eastAsia"/>
                <w:szCs w:val="21"/>
              </w:rPr>
              <w:t xml:space="preserve">乙方应于签订合同之日起【</w:t>
            </w:r>
            <w:r>
              <w:rPr>
                <w:rFonts w:hint="eastAsia"/>
                <w:szCs w:val="21"/>
              </w:rPr>
              <w:t xml:space="preserve">30</w:t>
            </w:r>
            <w:r>
              <w:rPr>
                <w:rFonts w:hint="eastAsia"/>
                <w:szCs w:val="21"/>
              </w:rPr>
              <w:t xml:space="preserve">】个日历天内完成供货、安装、调试、交付甲方。</w:t>
            </w:r>
            <w:r/>
          </w:p>
          <w:p>
            <w:pPr>
              <w:jc w:val="left"/>
              <w:spacing w:line="378" w:lineRule="exact"/>
              <w:widowControl/>
              <w:rPr>
                <w:szCs w:val="21"/>
              </w:rPr>
            </w:pPr>
            <w:r>
              <w:rPr>
                <w:rFonts w:hint="eastAsia" w:ascii="宋体" w:hAnsi="宋体" w:cs="宋体"/>
                <w:szCs w:val="21"/>
              </w:rPr>
              <w:t xml:space="preserve">2.【         】</w:t>
            </w:r>
            <w:r>
              <w:rPr>
                <w:rFonts w:ascii="宋体" w:hAnsi="宋体" w:cs="宋体"/>
                <w:szCs w:val="21"/>
              </w:rPr>
              <w:t xml:space="preserve">。</w:t>
            </w:r>
            <w:r/>
          </w:p>
          <w:p>
            <w:pPr>
              <w:jc w:val="left"/>
              <w:widowControl/>
              <w:rPr>
                <w:szCs w:val="21"/>
              </w:rPr>
            </w:pPr>
            <w:r>
              <w:rPr>
                <w:szCs w:val="21"/>
              </w:rPr>
            </w:r>
            <w:r/>
          </w:p>
        </w:tc>
      </w:tr>
    </w:tbl>
    <w:p>
      <w:pPr>
        <w:jc w:val="left"/>
        <w:widowControl/>
        <w:rPr>
          <w:szCs w:val="21"/>
        </w:rPr>
      </w:pPr>
      <w:r>
        <w:rPr>
          <w:szCs w:val="21"/>
        </w:rPr>
      </w:r>
      <w:r/>
    </w:p>
    <w:p>
      <w:pPr>
        <w:pStyle w:val="1021"/>
        <w:jc w:val="center"/>
        <w:rPr>
          <w:rFonts w:ascii="黑体" w:hAnsi="Courier New" w:eastAsia="黑体" w:cs="Courier New"/>
          <w:bCs/>
          <w:sz w:val="44"/>
          <w:szCs w:val="21"/>
        </w:rPr>
      </w:pPr>
      <w:r>
        <w:rPr>
          <w:rFonts w:ascii="黑体" w:hAnsi="Courier New" w:eastAsia="黑体" w:cs="Courier New"/>
          <w:bCs/>
          <w:sz w:val="44"/>
          <w:szCs w:val="21"/>
        </w:rPr>
        <w:br w:type="page" w:clear="all"/>
      </w:r>
      <w:r/>
    </w:p>
    <w:p>
      <w:pPr>
        <w:jc w:val="center"/>
        <w:keepNext/>
        <w:spacing w:line="400" w:lineRule="exact"/>
        <w:rPr>
          <w:rFonts w:ascii="方正黑体_GBK" w:hAnsi="方正黑体_GBK" w:eastAsia="方正黑体_GBK" w:cs="方正黑体_GBK"/>
          <w:sz w:val="28"/>
          <w:szCs w:val="28"/>
        </w:rPr>
        <w:outlineLvl w:val="0"/>
      </w:pPr>
      <w:r/>
      <w:bookmarkStart w:id="71" w:name="_Toc233969288"/>
      <w:r>
        <w:rPr>
          <w:rFonts w:hint="eastAsia" w:ascii="方正黑体_GBK" w:hAnsi="方正黑体_GBK" w:eastAsia="方正黑体_GBK" w:cs="方正黑体_GBK"/>
          <w:sz w:val="28"/>
          <w:szCs w:val="28"/>
        </w:rPr>
        <w:t xml:space="preserve">第</w:t>
      </w:r>
      <w:bookmarkEnd w:id="65"/>
      <w:r>
        <w:rPr>
          <w:rFonts w:hint="eastAsia" w:ascii="方正黑体_GBK" w:hAnsi="方正黑体_GBK" w:eastAsia="方正黑体_GBK" w:cs="方正黑体_GBK"/>
          <w:sz w:val="28"/>
          <w:szCs w:val="28"/>
        </w:rPr>
        <w:t xml:space="preserve">四章 采购需求</w:t>
      </w:r>
      <w:bookmarkEnd w:id="66"/>
      <w:r/>
      <w:bookmarkEnd w:id="67"/>
      <w:r/>
      <w:bookmarkEnd w:id="68"/>
      <w:r/>
      <w:bookmarkEnd w:id="71"/>
      <w:r/>
      <w:r/>
    </w:p>
    <w:p>
      <w:pPr>
        <w:pStyle w:val="993"/>
        <w:jc w:val="left"/>
        <w:spacing w:line="400" w:lineRule="exact"/>
        <w:rPr>
          <w:rFonts w:hint="eastAsia" w:ascii="黑体" w:hAnsi="黑体" w:eastAsia="黑体"/>
          <w:b w:val="0"/>
          <w:bCs w:val="0"/>
          <w:sz w:val="28"/>
          <w:szCs w:val="28"/>
        </w:rPr>
      </w:pPr>
      <w:r/>
      <w:bookmarkStart w:id="72" w:name="_Toc49090575"/>
      <w:r/>
      <w:bookmarkStart w:id="73" w:name="_Toc26554093"/>
      <w:r>
        <w:rPr>
          <w:rFonts w:hint="eastAsia" w:ascii="黑体" w:hAnsi="黑体" w:eastAsia="黑体"/>
          <w:b w:val="0"/>
          <w:bCs w:val="0"/>
          <w:sz w:val="28"/>
          <w:szCs w:val="28"/>
        </w:rPr>
        <w:t xml:space="preserve">一、采购标的清单</w:t>
      </w:r>
      <w:r/>
    </w:p>
    <w:tbl>
      <w:tblPr>
        <w:tblW w:w="95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0"/>
        <w:gridCol w:w="1321"/>
        <w:gridCol w:w="2929"/>
        <w:gridCol w:w="1860"/>
        <w:gridCol w:w="2648"/>
      </w:tblGrid>
      <w:tr>
        <w:trPr>
          <w:cantSplit/>
          <w:jc w:val="center"/>
          <w:trHeight w:val="701"/>
        </w:trPr>
        <w:tc>
          <w:tcPr>
            <w:tcW w:w="79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132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292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1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264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79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1</w:t>
            </w:r>
            <w:r/>
          </w:p>
        </w:tc>
        <w:tc>
          <w:tcPr>
            <w:tcW w:w="132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2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ARM服务器</w:t>
            </w:r>
            <w:r/>
          </w:p>
        </w:tc>
        <w:tc>
          <w:tcPr>
            <w:tcW w:w="1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4套</w:t>
            </w:r>
            <w:r/>
          </w:p>
        </w:tc>
        <w:tc>
          <w:tcPr>
            <w:tcW w:w="26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r>
        <w:trPr>
          <w:cantSplit/>
          <w:jc w:val="center"/>
          <w:trHeight w:val="291"/>
        </w:trPr>
        <w:tc>
          <w:tcPr>
            <w:tcW w:w="790"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2</w:t>
            </w:r>
            <w:r/>
          </w:p>
        </w:tc>
        <w:tc>
          <w:tcPr>
            <w:tcW w:w="132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2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服务器</w:t>
            </w:r>
            <w:r/>
          </w:p>
        </w:tc>
        <w:tc>
          <w:tcPr>
            <w:tcW w:w="1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3套</w:t>
            </w:r>
            <w:r/>
          </w:p>
        </w:tc>
        <w:tc>
          <w:tcPr>
            <w:tcW w:w="26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p>
        </w:tc>
      </w:tr>
    </w:tbl>
    <w:p>
      <w:pPr>
        <w:pStyle w:val="993"/>
        <w:jc w:val="left"/>
        <w:spacing w:before="0" w:after="0" w:line="46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二、政府采购中实施本国产品标准及相关政策</w:t>
      </w:r>
      <w:r/>
    </w:p>
    <w:p>
      <w:pPr>
        <w:ind w:firstLine="560"/>
        <w:spacing w:line="4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spacing w:line="4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93"/>
        <w:jc w:val="left"/>
        <w:spacing w:before="0" w:after="0" w:line="46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三、技术要求</w:t>
      </w:r>
      <w:r/>
    </w:p>
    <w:p>
      <w:pPr>
        <w:pStyle w:val="1098"/>
        <w:ind w:firstLine="482"/>
        <w:spacing w:beforeAutospacing="0" w:afterAutospacing="0" w:line="460" w:lineRule="exact"/>
        <w:rPr>
          <w:rFonts w:hint="eastAsia" w:ascii="方正仿宋_GBK" w:hAnsi="方正仿宋_GBK" w:eastAsia="方正仿宋_GBK" w:cs="方正仿宋_GBK"/>
          <w:b/>
          <w:i/>
          <w:iCs/>
          <w:sz w:val="28"/>
          <w:szCs w:val="28"/>
          <w:u w:val="single"/>
        </w:rPr>
      </w:pPr>
      <w:r>
        <w:rPr>
          <w:rFonts w:hint="eastAsia" w:ascii="方正仿宋_GBK" w:hAnsi="方正仿宋_GBK" w:eastAsia="方正仿宋_GBK" w:cs="方正仿宋_GBK"/>
          <w:bCs/>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t xml:space="preserve">标注有“</w:t>
      </w:r>
      <w:r>
        <w:rPr>
          <w:rFonts w:hint="eastAsia" w:ascii="微软雅黑" w:hAnsi="微软雅黑" w:eastAsia="微软雅黑" w:cs="微软雅黑"/>
          <w:bCs/>
          <w:sz w:val="28"/>
          <w:szCs w:val="28"/>
        </w:rPr>
        <w:t xml:space="preserve">▲</w:t>
      </w:r>
      <w:r>
        <w:rPr>
          <w:rFonts w:hint="eastAsia" w:ascii="方正仿宋_GBK" w:hAnsi="方正仿宋_GBK" w:eastAsia="方正仿宋_GBK" w:cs="方正仿宋_GBK"/>
          <w:bCs/>
          <w:sz w:val="28"/>
          <w:szCs w:val="28"/>
        </w:rPr>
        <w:t xml:space="preserve">”号的条款为重要技术条款。</w:t>
      </w:r>
      <w:r/>
    </w:p>
    <w:p>
      <w:pPr>
        <w:spacing w:line="120" w:lineRule="exact"/>
      </w:pPr>
      <w:r/>
      <w:r/>
    </w:p>
    <w:p>
      <w:pPr>
        <w:ind w:left="525"/>
        <w:jc w:val="left"/>
        <w:spacing w:line="378" w:lineRule="exact"/>
        <w:rPr>
          <w:rFonts w:hint="eastAsia" w:ascii="宋体" w:hAnsi="宋体" w:cs="宋体"/>
        </w:rPr>
      </w:pPr>
      <w:r>
        <w:rPr>
          <w:rFonts w:hint="eastAsia" w:ascii="宋体" w:hAnsi="宋体" w:cs="宋体"/>
        </w:rPr>
      </w:r>
      <w:r/>
    </w:p>
    <w:p>
      <w:pPr>
        <w:ind w:left="525"/>
        <w:jc w:val="left"/>
        <w:spacing w:line="378" w:lineRule="exact"/>
      </w:pPr>
      <w:r>
        <w:rPr>
          <w:rFonts w:hint="eastAsia" w:ascii="宋体" w:hAnsi="宋体" w:cs="宋体"/>
        </w:rPr>
        <w:t xml:space="preserve">采购包1 </w:t>
      </w:r>
      <w:r>
        <w:rPr>
          <w:rFonts w:ascii="宋体" w:hAnsi="宋体" w:cs="宋体"/>
        </w:rPr>
        <w:t xml:space="preserve">ARM服务器 4台</w:t>
      </w:r>
      <w:r/>
    </w:p>
    <w:tbl>
      <w:tblPr>
        <w:tblW w:w="9600" w:type="dxa"/>
        <w:jc w:val="center"/>
        <w:tblBorders>
          <w:top w:val="single" w:color="000000" w:sz="6" w:space="0"/>
          <w:left w:val="single" w:color="000000" w:sz="6" w:space="0"/>
          <w:bottom w:val="single" w:color="000000" w:sz="6" w:space="0"/>
          <w:right w:val="single" w:color="000000" w:sz="6" w:space="0"/>
          <w:insideH w:val="single" w:color="000000" w:sz="0" w:space="0"/>
          <w:insideV w:val="single" w:color="000000" w:sz="0" w:space="0"/>
        </w:tblBorders>
        <w:tblCellMar>
          <w:left w:w="10" w:type="dxa"/>
          <w:right w:w="10" w:type="dxa"/>
        </w:tblCellMar>
        <w:tblLook w:val="04A0" w:firstRow="1" w:lastRow="0" w:firstColumn="1" w:lastColumn="0" w:noHBand="0" w:noVBand="1"/>
      </w:tblPr>
      <w:tblGrid>
        <w:gridCol w:w="4913"/>
        <w:gridCol w:w="4687"/>
      </w:tblGrid>
      <w:tr>
        <w:trPr>
          <w:jc w:val="center"/>
        </w:trPr>
        <w:tc>
          <w:tcPr>
            <w:tcBorders>
              <w:top w:val="none" w:color="000000" w:sz="4" w:space="0"/>
              <w:left w:val="none" w:color="000000" w:sz="4" w:space="0"/>
              <w:bottom w:val="none" w:color="000000" w:sz="4" w:space="0"/>
              <w:right w:val="none" w:color="000000" w:sz="4" w:space="0"/>
            </w:tcBorders>
            <w:tcW w:w="4913" w:type="dxa"/>
            <w:vAlign w:val="center"/>
            <w:textDirection w:val="lrTb"/>
            <w:noWrap w:val="false"/>
          </w:tcPr>
          <w:p>
            <w:pPr>
              <w:jc w:val="left"/>
            </w:pPr>
            <w:r/>
            <w:r/>
          </w:p>
        </w:tc>
        <w:tc>
          <w:tcPr>
            <w:tcBorders>
              <w:top w:val="none" w:color="000000" w:sz="4" w:space="0"/>
              <w:left w:val="none" w:color="000000" w:sz="4" w:space="0"/>
              <w:bottom w:val="none" w:color="000000" w:sz="4" w:space="0"/>
              <w:right w:val="none" w:color="000000" w:sz="4" w:space="0"/>
            </w:tcBorders>
            <w:tcW w:w="4687" w:type="dxa"/>
            <w:vAlign w:val="center"/>
            <w:textDirection w:val="lrTb"/>
            <w:noWrap w:val="false"/>
          </w:tcPr>
          <w:p>
            <w:pPr>
              <w:jc w:val="left"/>
            </w:pPr>
            <w:r/>
            <w:r/>
          </w:p>
        </w:tc>
      </w:tr>
      <w:tr>
        <w:trPr>
          <w:jc w:val="center"/>
          <w:trHeight w:val="300"/>
        </w:trPr>
        <w:tc>
          <w:tcPr>
            <w:shd w:val="clear" w:color="auto" w:fill="e7e6e6"/>
            <w:tcBorders>
              <w:top w:val="none" w:color="000000" w:sz="4" w:space="0"/>
              <w:left w:val="none" w:color="000000" w:sz="4" w:space="0"/>
              <w:bottom w:val="single" w:color="000000" w:sz="6" w:space="0"/>
              <w:right w:val="single" w:color="000000" w:sz="6" w:space="0"/>
            </w:tcBorders>
            <w:tcW w:w="4913" w:type="dxa"/>
            <w:vAlign w:val="center"/>
            <w:textDirection w:val="lrTb"/>
            <w:noWrap w:val="false"/>
          </w:tcPr>
          <w:p>
            <w:pPr>
              <w:jc w:val="center"/>
              <w:spacing w:line="378" w:lineRule="exact"/>
            </w:pPr>
            <w:r>
              <w:rPr>
                <w:rFonts w:ascii="宋体" w:hAnsi="宋体" w:cs="宋体"/>
                <w:b/>
              </w:rPr>
              <w:t xml:space="preserve">指标项</w:t>
            </w:r>
            <w:r/>
          </w:p>
        </w:tc>
        <w:tc>
          <w:tcPr>
            <w:shd w:val="clear" w:color="auto" w:fill="e7e6e6"/>
            <w:tcBorders>
              <w:top w:val="none" w:color="000000" w:sz="4" w:space="0"/>
              <w:left w:val="none" w:color="000000" w:sz="4" w:space="0"/>
              <w:bottom w:val="single" w:color="000000" w:sz="6" w:space="0"/>
              <w:right w:val="none" w:color="000000" w:sz="4" w:space="0"/>
            </w:tcBorders>
            <w:tcW w:w="4687" w:type="dxa"/>
            <w:vAlign w:val="center"/>
            <w:textDirection w:val="lrTb"/>
            <w:noWrap w:val="false"/>
          </w:tcPr>
          <w:p>
            <w:pPr>
              <w:jc w:val="center"/>
              <w:spacing w:line="378" w:lineRule="exact"/>
            </w:pPr>
            <w:r>
              <w:rPr>
                <w:rFonts w:ascii="宋体" w:hAnsi="宋体" w:cs="宋体"/>
                <w:b/>
              </w:rPr>
              <w:t xml:space="preserve">技术规格要求</w:t>
            </w:r>
            <w:r/>
          </w:p>
        </w:tc>
      </w:tr>
      <w:tr>
        <w:trPr>
          <w:jc w:val="center"/>
          <w:trHeight w:val="300"/>
        </w:trPr>
        <w:tc>
          <w:tcPr>
            <w:tcBorders>
              <w:top w:val="none" w:color="000000" w:sz="4" w:space="0"/>
              <w:left w:val="none" w:color="000000" w:sz="4" w:space="0"/>
              <w:bottom w:val="single" w:color="000000" w:sz="6" w:space="0"/>
              <w:right w:val="single" w:color="000000" w:sz="6" w:space="0"/>
            </w:tcBorders>
            <w:tcW w:w="4913" w:type="dxa"/>
            <w:vAlign w:val="center"/>
            <w:textDirection w:val="lrTb"/>
            <w:noWrap w:val="false"/>
          </w:tcPr>
          <w:p>
            <w:pPr>
              <w:jc w:val="center"/>
              <w:spacing w:line="378" w:lineRule="exact"/>
            </w:pPr>
            <w:r>
              <w:rPr>
                <w:rFonts w:ascii="宋体" w:hAnsi="宋体" w:cs="宋体"/>
              </w:rPr>
              <w:t xml:space="preserve">机型</w:t>
            </w:r>
            <w:r/>
          </w:p>
        </w:tc>
        <w:tc>
          <w:tcPr>
            <w:tcBorders>
              <w:top w:val="none" w:color="000000" w:sz="4" w:space="0"/>
              <w:left w:val="none" w:color="000000" w:sz="4" w:space="0"/>
              <w:bottom w:val="single" w:color="000000" w:sz="6" w:space="0"/>
              <w:right w:val="none" w:color="000000" w:sz="4" w:space="0"/>
            </w:tcBorders>
            <w:tcW w:w="4687" w:type="dxa"/>
            <w:vAlign w:val="center"/>
            <w:textDirection w:val="lrTb"/>
            <w:noWrap w:val="false"/>
          </w:tcPr>
          <w:p>
            <w:pPr>
              <w:jc w:val="left"/>
              <w:spacing w:line="378" w:lineRule="exact"/>
            </w:pPr>
            <w:r>
              <w:rPr>
                <w:rFonts w:ascii="宋体" w:hAnsi="宋体" w:cs="宋体"/>
              </w:rPr>
              <w:t xml:space="preserve">机架式服务器</w:t>
            </w:r>
            <w:r/>
          </w:p>
        </w:tc>
      </w:tr>
      <w:tr>
        <w:trPr>
          <w:cantSplit/>
          <w:jc w:val="center"/>
          <w:trHeight w:val="300"/>
        </w:trPr>
        <w:tc>
          <w:tcPr>
            <w:tcBorders>
              <w:top w:val="none" w:color="000000" w:sz="4" w:space="0"/>
              <w:left w:val="none" w:color="000000" w:sz="4" w:space="0"/>
              <w:bottom w:val="single" w:color="000000" w:sz="6" w:space="0"/>
              <w:right w:val="single" w:color="000000" w:sz="6" w:space="0"/>
            </w:tcBorders>
            <w:tcW w:w="4913" w:type="dxa"/>
            <w:vAlign w:val="center"/>
            <w:vMerge w:val="restart"/>
            <w:textDirection w:val="lrTb"/>
            <w:noWrap w:val="false"/>
          </w:tcPr>
          <w:p>
            <w:pPr>
              <w:jc w:val="center"/>
              <w:spacing w:line="378" w:lineRule="exact"/>
            </w:pPr>
            <w:r>
              <w:rPr>
                <w:rFonts w:ascii="宋体" w:hAnsi="宋体" w:cs="宋体"/>
              </w:rPr>
              <w:t xml:space="preserve">★基本要求</w:t>
            </w:r>
            <w:r/>
          </w:p>
        </w:tc>
        <w:tc>
          <w:tcPr>
            <w:tcBorders>
              <w:top w:val="none" w:color="000000" w:sz="4" w:space="0"/>
              <w:left w:val="none" w:color="000000" w:sz="4" w:space="0"/>
              <w:bottom w:val="single" w:color="000000" w:sz="6" w:space="0"/>
              <w:right w:val="none" w:color="000000" w:sz="4" w:space="0"/>
            </w:tcBorders>
            <w:tcW w:w="4687" w:type="dxa"/>
            <w:vAlign w:val="center"/>
            <w:textDirection w:val="lrTb"/>
            <w:noWrap w:val="false"/>
          </w:tcPr>
          <w:p>
            <w:pPr>
              <w:jc w:val="left"/>
              <w:spacing w:line="378" w:lineRule="exact"/>
            </w:pPr>
            <w:r>
              <w:rPr>
                <w:rFonts w:ascii="宋体" w:hAnsi="宋体" w:cs="宋体"/>
              </w:rPr>
              <w:t xml:space="preserve">≥2颗国产化芯片处理器，64位ARM架构，单颗≥32个物理核心，主频≥2.6GHz。（CPU须通过中国信息安全测评中心，并在安全可靠测评结果公告的名单内，安全可靠等级达到I级及以上）</w:t>
            </w:r>
            <w:r/>
          </w:p>
        </w:tc>
      </w:tr>
      <w:tr>
        <w:trPr>
          <w:cantSplit/>
          <w:jc w:val="center"/>
          <w:trHeight w:val="300"/>
        </w:trPr>
        <w:tc>
          <w:tcPr>
            <w:tcBorders>
              <w:top w:val="none" w:color="000000" w:sz="4" w:space="0"/>
              <w:left w:val="none" w:color="000000" w:sz="4" w:space="0"/>
              <w:bottom w:val="single" w:color="000000" w:sz="6" w:space="0"/>
              <w:right w:val="single" w:color="000000" w:sz="6" w:space="0"/>
            </w:tcBorders>
            <w:tcW w:w="4913" w:type="dxa"/>
            <w:vMerge w:val="continue"/>
            <w:textDirection w:val="lrTb"/>
            <w:noWrap w:val="false"/>
          </w:tcPr>
          <w:p>
            <w:r/>
            <w:r/>
          </w:p>
        </w:tc>
        <w:tc>
          <w:tcPr>
            <w:tcBorders>
              <w:top w:val="none" w:color="000000" w:sz="4" w:space="0"/>
              <w:left w:val="none" w:color="000000" w:sz="4" w:space="0"/>
              <w:bottom w:val="single" w:color="000000" w:sz="6" w:space="0"/>
              <w:right w:val="none" w:color="000000" w:sz="4" w:space="0"/>
            </w:tcBorders>
            <w:tcW w:w="4687" w:type="dxa"/>
            <w:vAlign w:val="center"/>
            <w:textDirection w:val="lrTb"/>
            <w:noWrap w:val="false"/>
          </w:tcPr>
          <w:p>
            <w:pPr>
              <w:jc w:val="left"/>
              <w:spacing w:line="378" w:lineRule="exact"/>
            </w:pPr>
            <w:r>
              <w:rPr>
                <w:rFonts w:ascii="宋体" w:hAnsi="宋体" w:cs="宋体"/>
              </w:rPr>
              <w:t xml:space="preserve">≥512GB DDR ECC内存</w:t>
            </w:r>
            <w:r/>
          </w:p>
        </w:tc>
      </w:tr>
      <w:tr>
        <w:trPr>
          <w:cantSplit/>
          <w:jc w:val="center"/>
          <w:trHeight w:val="300"/>
        </w:trPr>
        <w:tc>
          <w:tcPr>
            <w:tcBorders>
              <w:top w:val="none" w:color="000000" w:sz="4" w:space="0"/>
              <w:left w:val="none" w:color="000000" w:sz="4" w:space="0"/>
              <w:bottom w:val="single" w:color="000000" w:sz="6" w:space="0"/>
              <w:right w:val="single" w:color="000000" w:sz="6" w:space="0"/>
            </w:tcBorders>
            <w:tcW w:w="4913" w:type="dxa"/>
            <w:vMerge w:val="continue"/>
            <w:textDirection w:val="lrTb"/>
            <w:noWrap w:val="false"/>
          </w:tcPr>
          <w:p>
            <w:r/>
            <w:r/>
          </w:p>
        </w:tc>
        <w:tc>
          <w:tcPr>
            <w:tcBorders>
              <w:top w:val="none" w:color="000000" w:sz="4" w:space="0"/>
              <w:left w:val="none" w:color="000000" w:sz="4" w:space="0"/>
              <w:bottom w:val="single" w:color="000000" w:sz="6" w:space="0"/>
              <w:right w:val="none" w:color="000000" w:sz="4" w:space="0"/>
            </w:tcBorders>
            <w:tcW w:w="4687" w:type="dxa"/>
            <w:vAlign w:val="center"/>
            <w:textDirection w:val="lrTb"/>
            <w:noWrap w:val="false"/>
          </w:tcPr>
          <w:p>
            <w:pPr>
              <w:jc w:val="left"/>
              <w:spacing w:line="378" w:lineRule="exact"/>
            </w:pPr>
            <w:r>
              <w:rPr>
                <w:rFonts w:ascii="宋体" w:hAnsi="宋体" w:cs="宋体"/>
              </w:rPr>
              <w:t xml:space="preserve">≥1块独立阵列卡，缓存≥2G，支持RAID 0/1/5，支持直通，支持超级电容保护。</w:t>
            </w:r>
            <w:r/>
          </w:p>
        </w:tc>
      </w:tr>
      <w:tr>
        <w:trPr>
          <w:cantSplit/>
          <w:jc w:val="center"/>
          <w:trHeight w:val="300"/>
        </w:trPr>
        <w:tc>
          <w:tcPr>
            <w:tcBorders>
              <w:top w:val="none" w:color="000000" w:sz="4" w:space="0"/>
              <w:left w:val="none" w:color="000000" w:sz="4" w:space="0"/>
              <w:bottom w:val="single" w:color="000000" w:sz="6" w:space="0"/>
              <w:right w:val="single" w:color="000000" w:sz="6" w:space="0"/>
            </w:tcBorders>
            <w:tcW w:w="4913" w:type="dxa"/>
            <w:vMerge w:val="continue"/>
            <w:textDirection w:val="lrTb"/>
            <w:noWrap w:val="false"/>
          </w:tcPr>
          <w:p>
            <w:r/>
            <w:r/>
          </w:p>
        </w:tc>
        <w:tc>
          <w:tcPr>
            <w:tcBorders>
              <w:top w:val="none" w:color="000000" w:sz="4" w:space="0"/>
              <w:left w:val="none" w:color="000000" w:sz="4" w:space="0"/>
              <w:bottom w:val="single" w:color="000000" w:sz="6" w:space="0"/>
              <w:right w:val="none" w:color="000000" w:sz="4" w:space="0"/>
            </w:tcBorders>
            <w:tcW w:w="4687" w:type="dxa"/>
            <w:vAlign w:val="center"/>
            <w:textDirection w:val="lrTb"/>
            <w:noWrap w:val="false"/>
          </w:tcPr>
          <w:p>
            <w:pPr>
              <w:jc w:val="left"/>
              <w:spacing w:line="378" w:lineRule="exact"/>
            </w:pPr>
            <w:r>
              <w:rPr>
                <w:rFonts w:ascii="宋体" w:hAnsi="宋体" w:cs="宋体"/>
              </w:rPr>
              <w:t xml:space="preserve">≥2*480GB SATA SSD硬盘、≥8*4TB SATA硬盘。</w:t>
            </w:r>
            <w:r/>
          </w:p>
        </w:tc>
      </w:tr>
      <w:tr>
        <w:trPr>
          <w:cantSplit/>
          <w:jc w:val="center"/>
          <w:trHeight w:val="300"/>
        </w:trPr>
        <w:tc>
          <w:tcPr>
            <w:tcBorders>
              <w:top w:val="none" w:color="000000" w:sz="4" w:space="0"/>
              <w:left w:val="none" w:color="000000" w:sz="4" w:space="0"/>
              <w:bottom w:val="single" w:color="000000" w:sz="6" w:space="0"/>
              <w:right w:val="single" w:color="000000" w:sz="6" w:space="0"/>
            </w:tcBorders>
            <w:tcW w:w="4913" w:type="dxa"/>
            <w:vMerge w:val="continue"/>
            <w:textDirection w:val="lrTb"/>
            <w:noWrap w:val="false"/>
          </w:tcPr>
          <w:p>
            <w:r/>
            <w:r/>
          </w:p>
        </w:tc>
        <w:tc>
          <w:tcPr>
            <w:tcBorders>
              <w:top w:val="none" w:color="000000" w:sz="4" w:space="0"/>
              <w:left w:val="none" w:color="000000" w:sz="4" w:space="0"/>
              <w:bottom w:val="single" w:color="000000" w:sz="6" w:space="0"/>
              <w:right w:val="none" w:color="000000" w:sz="4" w:space="0"/>
            </w:tcBorders>
            <w:tcW w:w="4687" w:type="dxa"/>
            <w:vAlign w:val="center"/>
            <w:textDirection w:val="lrTb"/>
            <w:noWrap w:val="false"/>
          </w:tcPr>
          <w:p>
            <w:pPr>
              <w:jc w:val="left"/>
              <w:spacing w:line="378" w:lineRule="exact"/>
            </w:pPr>
            <w:r>
              <w:rPr>
                <w:rFonts w:ascii="宋体" w:hAnsi="宋体" w:cs="宋体"/>
              </w:rPr>
              <w:t xml:space="preserve">≥2*1GE电口、≥4*10GE SFP+光口（满配多模光模块）。</w:t>
            </w:r>
            <w:r/>
          </w:p>
        </w:tc>
      </w:tr>
      <w:tr>
        <w:trPr>
          <w:jc w:val="center"/>
          <w:trHeight w:val="300"/>
        </w:trPr>
        <w:tc>
          <w:tcPr>
            <w:tcBorders>
              <w:top w:val="none" w:color="000000" w:sz="4" w:space="0"/>
              <w:left w:val="none" w:color="000000" w:sz="4" w:space="0"/>
              <w:bottom w:val="single" w:color="000000" w:sz="6" w:space="0"/>
              <w:right w:val="single" w:color="000000" w:sz="6" w:space="0"/>
            </w:tcBorders>
            <w:tcW w:w="4913" w:type="dxa"/>
            <w:vAlign w:val="center"/>
            <w:textDirection w:val="lrTb"/>
            <w:noWrap w:val="false"/>
          </w:tcPr>
          <w:p>
            <w:pPr>
              <w:jc w:val="center"/>
              <w:spacing w:line="378" w:lineRule="exact"/>
            </w:pPr>
            <w:r>
              <w:rPr>
                <w:rFonts w:ascii="宋体" w:hAnsi="宋体" w:cs="宋体"/>
              </w:rPr>
              <w:t xml:space="preserve">内存</w:t>
            </w:r>
            <w:r/>
          </w:p>
        </w:tc>
        <w:tc>
          <w:tcPr>
            <w:tcBorders>
              <w:top w:val="none" w:color="000000" w:sz="4" w:space="0"/>
              <w:left w:val="none" w:color="000000" w:sz="4" w:space="0"/>
              <w:bottom w:val="single" w:color="000000" w:sz="6" w:space="0"/>
              <w:right w:val="none" w:color="000000" w:sz="4" w:space="0"/>
            </w:tcBorders>
            <w:tcW w:w="4687" w:type="dxa"/>
            <w:vAlign w:val="center"/>
            <w:textDirection w:val="lrTb"/>
            <w:noWrap w:val="false"/>
          </w:tcPr>
          <w:p>
            <w:pPr>
              <w:jc w:val="left"/>
              <w:spacing w:line="378" w:lineRule="exact"/>
            </w:pPr>
            <w:r>
              <w:rPr>
                <w:rFonts w:ascii="宋体" w:hAnsi="宋体" w:cs="宋体"/>
              </w:rPr>
              <w:t xml:space="preserve">支持≥24个内存插槽</w:t>
            </w:r>
            <w:r/>
          </w:p>
        </w:tc>
      </w:tr>
      <w:tr>
        <w:trPr>
          <w:jc w:val="center"/>
          <w:trHeight w:val="300"/>
        </w:trPr>
        <w:tc>
          <w:tcPr>
            <w:tcBorders>
              <w:top w:val="none" w:color="000000" w:sz="4" w:space="0"/>
              <w:left w:val="none" w:color="000000" w:sz="4" w:space="0"/>
              <w:bottom w:val="single" w:color="000000" w:sz="6" w:space="0"/>
              <w:right w:val="single" w:color="000000" w:sz="6" w:space="0"/>
            </w:tcBorders>
            <w:tcW w:w="4913" w:type="dxa"/>
            <w:vAlign w:val="center"/>
            <w:textDirection w:val="lrTb"/>
            <w:noWrap w:val="false"/>
          </w:tcPr>
          <w:p>
            <w:pPr>
              <w:jc w:val="center"/>
              <w:spacing w:line="378" w:lineRule="exact"/>
            </w:pPr>
            <w:r>
              <w:rPr>
                <w:rFonts w:ascii="宋体" w:hAnsi="宋体" w:cs="宋体"/>
              </w:rPr>
              <w:t xml:space="preserve">硬盘</w:t>
            </w:r>
            <w:r/>
          </w:p>
        </w:tc>
        <w:tc>
          <w:tcPr>
            <w:tcBorders>
              <w:top w:val="none" w:color="000000" w:sz="4" w:space="0"/>
              <w:left w:val="none" w:color="000000" w:sz="4" w:space="0"/>
              <w:bottom w:val="single" w:color="000000" w:sz="6" w:space="0"/>
              <w:right w:val="none" w:color="000000" w:sz="4" w:space="0"/>
            </w:tcBorders>
            <w:tcW w:w="4687" w:type="dxa"/>
            <w:vAlign w:val="center"/>
            <w:textDirection w:val="lrTb"/>
            <w:noWrap w:val="false"/>
          </w:tcPr>
          <w:p>
            <w:pPr>
              <w:jc w:val="left"/>
              <w:spacing w:line="378" w:lineRule="exact"/>
            </w:pPr>
            <w:r>
              <w:rPr>
                <w:rFonts w:ascii="宋体" w:hAnsi="宋体" w:cs="宋体"/>
              </w:rPr>
              <w:t xml:space="preserve">支持≥2个M.2 SSD、≥12个3.5/2.5英寸硬盘位、≥4个</w:t>
            </w:r>
            <w:r>
              <w:rPr>
                <w:rFonts w:ascii="宋体" w:hAnsi="宋体" w:cs="宋体"/>
              </w:rPr>
              <w:t xml:space="preserve">NVMe</w:t>
            </w:r>
            <w:r>
              <w:rPr>
                <w:rFonts w:ascii="宋体" w:hAnsi="宋体" w:cs="宋体"/>
              </w:rPr>
              <w:t xml:space="preserve"> SSD盘位</w:t>
            </w:r>
            <w:r/>
          </w:p>
        </w:tc>
      </w:tr>
      <w:tr>
        <w:trPr>
          <w:jc w:val="center"/>
          <w:trHeight w:val="300"/>
        </w:trPr>
        <w:tc>
          <w:tcPr>
            <w:tcBorders>
              <w:top w:val="none" w:color="000000" w:sz="4" w:space="0"/>
              <w:left w:val="none" w:color="000000" w:sz="4" w:space="0"/>
              <w:bottom w:val="single" w:color="000000" w:sz="6" w:space="0"/>
              <w:right w:val="single" w:color="000000" w:sz="6" w:space="0"/>
            </w:tcBorders>
            <w:tcW w:w="4913" w:type="dxa"/>
            <w:vAlign w:val="center"/>
            <w:textDirection w:val="lrTb"/>
            <w:noWrap w:val="false"/>
          </w:tcPr>
          <w:p>
            <w:pPr>
              <w:jc w:val="center"/>
              <w:spacing w:line="378" w:lineRule="exact"/>
            </w:pPr>
            <w:r>
              <w:rPr>
                <w:rFonts w:ascii="宋体" w:hAnsi="宋体" w:cs="宋体"/>
              </w:rPr>
              <w:t xml:space="preserve">网卡</w:t>
            </w:r>
            <w:r/>
          </w:p>
        </w:tc>
        <w:tc>
          <w:tcPr>
            <w:tcBorders>
              <w:top w:val="none" w:color="000000" w:sz="4" w:space="0"/>
              <w:left w:val="none" w:color="000000" w:sz="4" w:space="0"/>
              <w:bottom w:val="single" w:color="000000" w:sz="6" w:space="0"/>
              <w:right w:val="none" w:color="000000" w:sz="4" w:space="0"/>
            </w:tcBorders>
            <w:tcW w:w="4687" w:type="dxa"/>
            <w:vAlign w:val="center"/>
            <w:textDirection w:val="lrTb"/>
            <w:noWrap w:val="false"/>
          </w:tcPr>
          <w:p>
            <w:pPr>
              <w:jc w:val="left"/>
              <w:spacing w:line="378" w:lineRule="exact"/>
            </w:pPr>
            <w:r>
              <w:rPr>
                <w:rFonts w:ascii="宋体" w:hAnsi="宋体" w:cs="宋体"/>
              </w:rPr>
              <w:t xml:space="preserve">支持OCP3.0网卡，支持热插拔；板载1个千兆管理专用以太网口。</w:t>
            </w:r>
            <w:r/>
          </w:p>
        </w:tc>
      </w:tr>
      <w:tr>
        <w:trPr>
          <w:jc w:val="center"/>
          <w:trHeight w:val="300"/>
        </w:trPr>
        <w:tc>
          <w:tcPr>
            <w:tcBorders>
              <w:top w:val="none" w:color="000000" w:sz="4" w:space="0"/>
              <w:left w:val="none" w:color="000000" w:sz="4" w:space="0"/>
              <w:bottom w:val="single" w:color="000000" w:sz="6" w:space="0"/>
              <w:right w:val="single" w:color="000000" w:sz="6" w:space="0"/>
            </w:tcBorders>
            <w:tcW w:w="4913" w:type="dxa"/>
            <w:vAlign w:val="center"/>
            <w:textDirection w:val="lrTb"/>
            <w:noWrap w:val="false"/>
          </w:tcPr>
          <w:p>
            <w:pPr>
              <w:jc w:val="center"/>
              <w:spacing w:line="378" w:lineRule="exact"/>
            </w:pPr>
            <w:r>
              <w:rPr>
                <w:rFonts w:ascii="宋体" w:hAnsi="宋体" w:cs="宋体"/>
              </w:rPr>
              <w:t xml:space="preserve">扩展插槽</w:t>
            </w:r>
            <w:r/>
          </w:p>
        </w:tc>
        <w:tc>
          <w:tcPr>
            <w:tcBorders>
              <w:top w:val="none" w:color="000000" w:sz="4" w:space="0"/>
              <w:left w:val="none" w:color="000000" w:sz="4" w:space="0"/>
              <w:bottom w:val="single" w:color="000000" w:sz="6" w:space="0"/>
              <w:right w:val="none" w:color="000000" w:sz="4" w:space="0"/>
            </w:tcBorders>
            <w:tcW w:w="4687" w:type="dxa"/>
            <w:vAlign w:val="center"/>
            <w:textDirection w:val="lrTb"/>
            <w:noWrap w:val="false"/>
          </w:tcPr>
          <w:p>
            <w:pPr>
              <w:jc w:val="left"/>
              <w:spacing w:line="378" w:lineRule="exact"/>
            </w:pPr>
            <w:r>
              <w:rPr>
                <w:rFonts w:ascii="宋体" w:hAnsi="宋体" w:cs="宋体"/>
              </w:rPr>
              <w:t xml:space="preserve">最大支持≥8个PCIe 4.0插槽（不含OCP插槽和存储设备专用插槽）。</w:t>
            </w:r>
            <w:r/>
          </w:p>
        </w:tc>
      </w:tr>
      <w:tr>
        <w:trPr>
          <w:jc w:val="center"/>
          <w:trHeight w:val="300"/>
        </w:trPr>
        <w:tc>
          <w:tcPr>
            <w:tcBorders>
              <w:top w:val="none" w:color="000000" w:sz="4" w:space="0"/>
              <w:left w:val="none" w:color="000000" w:sz="4" w:space="0"/>
              <w:bottom w:val="single" w:color="000000" w:sz="6" w:space="0"/>
              <w:right w:val="single" w:color="000000" w:sz="6" w:space="0"/>
            </w:tcBorders>
            <w:tcW w:w="4913" w:type="dxa"/>
            <w:vAlign w:val="center"/>
            <w:textDirection w:val="lrTb"/>
            <w:noWrap w:val="false"/>
          </w:tcPr>
          <w:p>
            <w:pPr>
              <w:jc w:val="center"/>
              <w:spacing w:line="378" w:lineRule="exact"/>
            </w:pPr>
            <w:r>
              <w:rPr>
                <w:rFonts w:ascii="宋体" w:hAnsi="宋体" w:cs="宋体"/>
              </w:rPr>
              <w:t xml:space="preserve">风扇电源</w:t>
            </w:r>
            <w:r/>
          </w:p>
        </w:tc>
        <w:tc>
          <w:tcPr>
            <w:tcBorders>
              <w:top w:val="none" w:color="000000" w:sz="4" w:space="0"/>
              <w:left w:val="none" w:color="000000" w:sz="4" w:space="0"/>
              <w:bottom w:val="single" w:color="000000" w:sz="6" w:space="0"/>
              <w:right w:val="none" w:color="000000" w:sz="4" w:space="0"/>
            </w:tcBorders>
            <w:tcW w:w="4687" w:type="dxa"/>
            <w:vAlign w:val="center"/>
            <w:textDirection w:val="lrTb"/>
            <w:noWrap w:val="false"/>
          </w:tcPr>
          <w:p>
            <w:pPr>
              <w:jc w:val="left"/>
              <w:spacing w:line="378" w:lineRule="exact"/>
            </w:pPr>
            <w:r>
              <w:rPr>
                <w:rFonts w:ascii="宋体" w:hAnsi="宋体" w:cs="宋体"/>
              </w:rPr>
              <w:t xml:space="preserve">热插拔风扇、冗余电源。</w:t>
            </w:r>
            <w:r/>
          </w:p>
        </w:tc>
      </w:tr>
      <w:tr>
        <w:trPr>
          <w:jc w:val="center"/>
          <w:trHeight w:val="300"/>
        </w:trPr>
        <w:tc>
          <w:tcPr>
            <w:tcBorders>
              <w:top w:val="none" w:color="000000" w:sz="4" w:space="0"/>
              <w:left w:val="none" w:color="000000" w:sz="4" w:space="0"/>
              <w:bottom w:val="single" w:color="000000" w:sz="6" w:space="0"/>
              <w:right w:val="single" w:color="000000" w:sz="6" w:space="0"/>
            </w:tcBorders>
            <w:tcW w:w="4913" w:type="dxa"/>
            <w:vAlign w:val="center"/>
            <w:textDirection w:val="lrTb"/>
            <w:noWrap w:val="false"/>
          </w:tcPr>
          <w:p>
            <w:pPr>
              <w:jc w:val="center"/>
              <w:spacing w:line="378" w:lineRule="exact"/>
            </w:pPr>
            <w:r>
              <w:rPr>
                <w:rFonts w:ascii="宋体" w:hAnsi="宋体" w:cs="宋体"/>
              </w:rPr>
              <w:t xml:space="preserve">管理功能</w:t>
            </w:r>
            <w:r/>
          </w:p>
        </w:tc>
        <w:tc>
          <w:tcPr>
            <w:tcBorders>
              <w:top w:val="none" w:color="000000" w:sz="4" w:space="0"/>
              <w:left w:val="none" w:color="000000" w:sz="4" w:space="0"/>
              <w:bottom w:val="single" w:color="000000" w:sz="6" w:space="0"/>
              <w:right w:val="none" w:color="000000" w:sz="4" w:space="0"/>
            </w:tcBorders>
            <w:tcW w:w="4687" w:type="dxa"/>
            <w:vAlign w:val="center"/>
            <w:textDirection w:val="lrTb"/>
            <w:noWrap w:val="false"/>
          </w:tcPr>
          <w:p>
            <w:pPr>
              <w:jc w:val="left"/>
              <w:spacing w:line="378" w:lineRule="exact"/>
            </w:pPr>
            <w:r>
              <w:rPr>
                <w:rFonts w:ascii="宋体" w:hAnsi="宋体" w:cs="宋体"/>
              </w:rPr>
              <w:t xml:space="preserve">集成BMC芯片，支持IPMI、SNMP、Redfish等协议，开放远程管理界面命令及API接口，虚拟媒介等高级管理功能，实现设备微码升级、开关机和重启、启动顺序调整、配置和查询Raid配置信息、虚拟光驱挂载等管理功能</w:t>
            </w:r>
            <w:r/>
          </w:p>
        </w:tc>
      </w:tr>
      <w:tr>
        <w:trPr>
          <w:jc w:val="center"/>
          <w:trHeight w:val="300"/>
        </w:trPr>
        <w:tc>
          <w:tcPr>
            <w:tcBorders>
              <w:top w:val="none" w:color="000000" w:sz="4" w:space="0"/>
              <w:left w:val="none" w:color="000000" w:sz="4" w:space="0"/>
              <w:bottom w:val="single" w:color="000000" w:sz="6" w:space="0"/>
              <w:right w:val="single" w:color="000000" w:sz="6" w:space="0"/>
            </w:tcBorders>
            <w:tcW w:w="4913" w:type="dxa"/>
            <w:vAlign w:val="center"/>
            <w:textDirection w:val="lrTb"/>
            <w:noWrap w:val="false"/>
          </w:tcPr>
          <w:p>
            <w:pPr>
              <w:jc w:val="center"/>
              <w:spacing w:line="378" w:lineRule="exact"/>
            </w:pPr>
            <w:r>
              <w:rPr>
                <w:rFonts w:ascii="宋体" w:hAnsi="宋体" w:cs="宋体"/>
              </w:rPr>
              <w:t xml:space="preserve">★虚拟化支持</w:t>
            </w:r>
            <w:r/>
          </w:p>
        </w:tc>
        <w:tc>
          <w:tcPr>
            <w:tcBorders>
              <w:top w:val="none" w:color="000000" w:sz="4" w:space="0"/>
              <w:left w:val="none" w:color="000000" w:sz="4" w:space="0"/>
              <w:bottom w:val="single" w:color="000000" w:sz="6" w:space="0"/>
              <w:right w:val="none" w:color="000000" w:sz="4" w:space="0"/>
            </w:tcBorders>
            <w:tcW w:w="4687" w:type="dxa"/>
            <w:vAlign w:val="center"/>
            <w:textDirection w:val="lrTb"/>
            <w:noWrap w:val="false"/>
          </w:tcPr>
          <w:p>
            <w:pPr>
              <w:jc w:val="left"/>
              <w:spacing w:line="378" w:lineRule="exact"/>
            </w:pPr>
            <w:r>
              <w:rPr>
                <w:rFonts w:ascii="宋体" w:hAnsi="宋体" w:cs="宋体"/>
              </w:rPr>
              <w:t xml:space="preserve">支持主流国产超融合软件兼容性。对接学校现有云平台深信服</w:t>
            </w:r>
            <w:r>
              <w:rPr>
                <w:rFonts w:ascii="宋体" w:hAnsi="宋体" w:cs="宋体"/>
              </w:rPr>
              <w:t xml:space="preserve">sCloud</w:t>
            </w:r>
            <w:r>
              <w:rPr>
                <w:rFonts w:ascii="宋体" w:hAnsi="宋体" w:cs="宋体"/>
              </w:rPr>
              <w:t xml:space="preserve"> 6.11.1及以上版本（提供兼容性证明材料）</w:t>
            </w:r>
            <w:r/>
          </w:p>
        </w:tc>
      </w:tr>
      <w:tr>
        <w:trPr>
          <w:jc w:val="center"/>
          <w:trHeight w:val="300"/>
        </w:trPr>
        <w:tc>
          <w:tcPr>
            <w:tcBorders>
              <w:top w:val="none" w:color="000000" w:sz="4" w:space="0"/>
              <w:left w:val="none" w:color="000000" w:sz="4" w:space="0"/>
              <w:bottom w:val="single" w:color="000000" w:sz="6" w:space="0"/>
              <w:right w:val="single" w:color="000000" w:sz="6" w:space="0"/>
            </w:tcBorders>
            <w:tcW w:w="4913" w:type="dxa"/>
            <w:vAlign w:val="center"/>
            <w:textDirection w:val="lrTb"/>
            <w:noWrap w:val="false"/>
          </w:tcPr>
          <w:p>
            <w:pPr>
              <w:jc w:val="center"/>
              <w:spacing w:line="378" w:lineRule="exact"/>
            </w:pPr>
            <w:r>
              <w:rPr>
                <w:rFonts w:ascii="宋体" w:hAnsi="宋体" w:cs="宋体"/>
              </w:rPr>
              <w:t xml:space="preserve">操作系统</w:t>
            </w:r>
            <w:r/>
          </w:p>
        </w:tc>
        <w:tc>
          <w:tcPr>
            <w:tcBorders>
              <w:top w:val="none" w:color="000000" w:sz="4" w:space="0"/>
              <w:left w:val="none" w:color="000000" w:sz="4" w:space="0"/>
              <w:bottom w:val="single" w:color="000000" w:sz="6" w:space="0"/>
              <w:right w:val="none" w:color="000000" w:sz="4" w:space="0"/>
            </w:tcBorders>
            <w:tcW w:w="4687" w:type="dxa"/>
            <w:vAlign w:val="center"/>
            <w:textDirection w:val="lrTb"/>
            <w:noWrap w:val="false"/>
          </w:tcPr>
          <w:p>
            <w:pPr>
              <w:jc w:val="left"/>
              <w:spacing w:line="378" w:lineRule="exact"/>
            </w:pPr>
            <w:r>
              <w:rPr>
                <w:rFonts w:ascii="宋体" w:hAnsi="宋体" w:cs="宋体"/>
              </w:rPr>
              <w:t xml:space="preserve">支持主流服务器操作系统，支持银河麒麟、统信UOS等国产服务器操作系统。</w:t>
            </w:r>
            <w:r/>
          </w:p>
        </w:tc>
      </w:tr>
      <w:tr>
        <w:trPr>
          <w:jc w:val="center"/>
          <w:trHeight w:val="300"/>
        </w:trPr>
        <w:tc>
          <w:tcPr>
            <w:tcBorders>
              <w:top w:val="none" w:color="000000" w:sz="4" w:space="0"/>
              <w:left w:val="none" w:color="000000" w:sz="4" w:space="0"/>
              <w:bottom w:val="none" w:color="000000" w:sz="4" w:space="0"/>
              <w:right w:val="single" w:color="000000" w:sz="6" w:space="0"/>
            </w:tcBorders>
            <w:tcW w:w="4913" w:type="dxa"/>
            <w:vAlign w:val="center"/>
            <w:textDirection w:val="lrTb"/>
            <w:noWrap w:val="false"/>
          </w:tcPr>
          <w:p>
            <w:pPr>
              <w:jc w:val="center"/>
              <w:spacing w:line="378" w:lineRule="exact"/>
            </w:pPr>
            <w:r>
              <w:rPr>
                <w:rFonts w:ascii="宋体" w:hAnsi="宋体" w:cs="宋体"/>
              </w:rPr>
              <w:t xml:space="preserve">★质保</w:t>
            </w:r>
            <w:r/>
          </w:p>
        </w:tc>
        <w:tc>
          <w:tcPr>
            <w:tcBorders>
              <w:top w:val="none" w:color="000000" w:sz="4" w:space="0"/>
              <w:left w:val="none" w:color="000000" w:sz="4" w:space="0"/>
              <w:bottom w:val="none" w:color="000000" w:sz="4" w:space="0"/>
              <w:right w:val="none" w:color="000000" w:sz="4" w:space="0"/>
            </w:tcBorders>
            <w:tcW w:w="4687" w:type="dxa"/>
            <w:vAlign w:val="center"/>
            <w:textDirection w:val="lrTb"/>
            <w:noWrap w:val="false"/>
          </w:tcPr>
          <w:p>
            <w:pPr>
              <w:jc w:val="left"/>
              <w:spacing w:line="378" w:lineRule="exact"/>
            </w:pPr>
            <w:r>
              <w:rPr>
                <w:rFonts w:ascii="宋体" w:hAnsi="宋体" w:cs="宋体"/>
              </w:rPr>
              <w:t xml:space="preserve">三年免费质保服务。（提供三年设备厂商服务承诺函，设备由原厂直发到用户所在地，不接受拆改配，最终用户必须为：南京中医药大学）</w:t>
            </w:r>
            <w:r/>
          </w:p>
        </w:tc>
      </w:tr>
    </w:tbl>
    <w:p>
      <w:pPr>
        <w:jc w:val="left"/>
        <w:spacing w:line="378" w:lineRule="exact"/>
        <w:rPr>
          <w:rFonts w:hint="eastAsia" w:ascii="宋体" w:hAnsi="宋体" w:cs="宋体"/>
        </w:rPr>
      </w:pPr>
      <w:r>
        <w:rPr>
          <w:rFonts w:hint="eastAsia" w:ascii="宋体" w:hAnsi="宋体" w:cs="宋体"/>
        </w:rPr>
      </w:r>
      <w:r/>
    </w:p>
    <w:p>
      <w:pPr>
        <w:jc w:val="left"/>
        <w:spacing w:line="378" w:lineRule="exact"/>
      </w:pPr>
      <w:r>
        <w:rPr>
          <w:rFonts w:hint="eastAsia" w:ascii="宋体" w:hAnsi="宋体" w:cs="宋体"/>
        </w:rPr>
        <w:t xml:space="preserve">采购包2</w:t>
      </w:r>
      <w:r>
        <w:rPr>
          <w:rFonts w:ascii="宋体" w:hAnsi="宋体" w:cs="宋体"/>
        </w:rPr>
        <w:tab/>
      </w:r>
      <w:r>
        <w:rPr>
          <w:rFonts w:ascii="宋体" w:hAnsi="宋体" w:cs="宋体"/>
        </w:rPr>
        <w:tab/>
        <w:t xml:space="preserve">服务器  3台 </w:t>
      </w:r>
      <w:r/>
    </w:p>
    <w:tbl>
      <w:tblPr>
        <w:tblW w:w="9600" w:type="dxa"/>
        <w:jc w:val="center"/>
        <w:tblBorders>
          <w:top w:val="single" w:color="000000" w:sz="6" w:space="0"/>
          <w:left w:val="single" w:color="000000" w:sz="6" w:space="0"/>
          <w:bottom w:val="single" w:color="000000" w:sz="6" w:space="0"/>
          <w:right w:val="single" w:color="000000" w:sz="6" w:space="0"/>
          <w:insideH w:val="single" w:color="000000" w:sz="0" w:space="0"/>
          <w:insideV w:val="single" w:color="000000" w:sz="0" w:space="0"/>
        </w:tblBorders>
        <w:tblCellMar>
          <w:left w:w="10" w:type="dxa"/>
          <w:right w:w="10" w:type="dxa"/>
        </w:tblCellMar>
        <w:tblLook w:val="04A0" w:firstRow="1" w:lastRow="0" w:firstColumn="1" w:lastColumn="0" w:noHBand="0" w:noVBand="1"/>
      </w:tblPr>
      <w:tblGrid>
        <w:gridCol w:w="5190"/>
        <w:gridCol w:w="4410"/>
      </w:tblGrid>
      <w:tr>
        <w:trPr>
          <w:jc w:val="center"/>
        </w:trPr>
        <w:tc>
          <w:tcPr>
            <w:tcBorders>
              <w:top w:val="none" w:color="000000" w:sz="4" w:space="0"/>
              <w:left w:val="none" w:color="000000" w:sz="4" w:space="0"/>
              <w:bottom w:val="none" w:color="000000" w:sz="4" w:space="0"/>
              <w:right w:val="none" w:color="000000" w:sz="4" w:space="0"/>
            </w:tcBorders>
            <w:tcW w:w="1725" w:type="dxa"/>
            <w:vAlign w:val="center"/>
            <w:textDirection w:val="lrTb"/>
            <w:noWrap w:val="false"/>
          </w:tcPr>
          <w:p>
            <w:pPr>
              <w:jc w:val="left"/>
            </w:pPr>
            <w:r/>
            <w:r/>
          </w:p>
        </w:tc>
        <w:tc>
          <w:tcPr>
            <w:tcBorders>
              <w:top w:val="none" w:color="000000" w:sz="4" w:space="0"/>
              <w:left w:val="none" w:color="000000" w:sz="4" w:space="0"/>
              <w:bottom w:val="none" w:color="000000" w:sz="4" w:space="0"/>
              <w:right w:val="none" w:color="000000" w:sz="4" w:space="0"/>
            </w:tcBorders>
            <w:tcW w:w="7875" w:type="dxa"/>
            <w:vAlign w:val="center"/>
            <w:textDirection w:val="lrTb"/>
            <w:noWrap w:val="false"/>
          </w:tcPr>
          <w:p>
            <w:pPr>
              <w:jc w:val="left"/>
            </w:pPr>
            <w:r/>
            <w:r/>
          </w:p>
        </w:tc>
      </w:tr>
      <w:tr>
        <w:trPr>
          <w:jc w:val="center"/>
          <w:trHeight w:val="300"/>
        </w:trPr>
        <w:tc>
          <w:tcPr>
            <w:shd w:val="clear" w:color="auto" w:fill="e7e6e6"/>
            <w:tcBorders>
              <w:top w:val="none" w:color="000000" w:sz="4" w:space="0"/>
              <w:left w:val="none" w:color="000000" w:sz="4" w:space="0"/>
              <w:bottom w:val="single" w:color="000000" w:sz="6" w:space="0"/>
              <w:right w:val="single" w:color="000000" w:sz="6" w:space="0"/>
            </w:tcBorders>
            <w:tcW w:w="1725" w:type="dxa"/>
            <w:vAlign w:val="center"/>
            <w:textDirection w:val="lrTb"/>
            <w:noWrap w:val="false"/>
          </w:tcPr>
          <w:p>
            <w:pPr>
              <w:jc w:val="center"/>
              <w:spacing w:line="378" w:lineRule="exact"/>
            </w:pPr>
            <w:r>
              <w:rPr>
                <w:rFonts w:ascii="宋体" w:hAnsi="宋体" w:cs="宋体"/>
                <w:b/>
              </w:rPr>
              <w:t xml:space="preserve">指标项</w:t>
            </w:r>
            <w:r/>
          </w:p>
        </w:tc>
        <w:tc>
          <w:tcPr>
            <w:shd w:val="clear" w:color="auto" w:fill="e7e6e6"/>
            <w:tcBorders>
              <w:top w:val="none" w:color="000000" w:sz="4" w:space="0"/>
              <w:left w:val="none" w:color="000000" w:sz="4" w:space="0"/>
              <w:bottom w:val="single" w:color="000000" w:sz="6" w:space="0"/>
              <w:right w:val="none" w:color="000000" w:sz="4" w:space="0"/>
            </w:tcBorders>
            <w:tcW w:w="7875" w:type="dxa"/>
            <w:vAlign w:val="center"/>
            <w:textDirection w:val="lrTb"/>
            <w:noWrap w:val="false"/>
          </w:tcPr>
          <w:p>
            <w:pPr>
              <w:jc w:val="center"/>
              <w:spacing w:line="378" w:lineRule="exact"/>
            </w:pPr>
            <w:r>
              <w:rPr>
                <w:rFonts w:ascii="宋体" w:hAnsi="宋体" w:cs="宋体"/>
                <w:b/>
              </w:rPr>
              <w:t xml:space="preserve">技术规格要求</w:t>
            </w:r>
            <w:r/>
          </w:p>
        </w:tc>
      </w:tr>
      <w:tr>
        <w:trPr>
          <w:cantSplit/>
          <w:jc w:val="center"/>
          <w:trHeight w:val="300"/>
        </w:trPr>
        <w:tc>
          <w:tcPr>
            <w:tcBorders>
              <w:top w:val="none" w:color="000000" w:sz="4" w:space="0"/>
              <w:left w:val="none" w:color="000000" w:sz="4" w:space="0"/>
              <w:bottom w:val="single" w:color="000000" w:sz="6" w:space="0"/>
              <w:right w:val="single" w:color="000000" w:sz="6" w:space="0"/>
            </w:tcBorders>
            <w:tcW w:w="10335" w:type="dxa"/>
            <w:vAlign w:val="center"/>
            <w:vMerge w:val="restart"/>
            <w:textDirection w:val="lrTb"/>
            <w:noWrap w:val="false"/>
          </w:tcPr>
          <w:p>
            <w:pPr>
              <w:jc w:val="center"/>
              <w:spacing w:line="378" w:lineRule="exact"/>
            </w:pPr>
            <w:r>
              <w:rPr>
                <w:rFonts w:ascii="宋体" w:hAnsi="宋体" w:cs="宋体"/>
              </w:rPr>
              <w:t xml:space="preserve">★基本要求</w:t>
            </w:r>
            <w:r/>
          </w:p>
        </w:tc>
        <w:tc>
          <w:tcPr>
            <w:tcBorders>
              <w:top w:val="none" w:color="000000" w:sz="4" w:space="0"/>
              <w:left w:val="none" w:color="000000" w:sz="4" w:space="0"/>
              <w:bottom w:val="single" w:color="000000" w:sz="6" w:space="0"/>
              <w:right w:val="none" w:color="000000" w:sz="4" w:space="0"/>
            </w:tcBorders>
            <w:tcW w:w="7875" w:type="dxa"/>
            <w:vAlign w:val="center"/>
            <w:textDirection w:val="lrTb"/>
            <w:noWrap w:val="false"/>
          </w:tcPr>
          <w:p>
            <w:pPr>
              <w:jc w:val="left"/>
              <w:spacing w:line="378" w:lineRule="exact"/>
            </w:pPr>
            <w:r>
              <w:rPr>
                <w:rFonts w:ascii="宋体" w:hAnsi="宋体" w:cs="宋体"/>
              </w:rPr>
              <w:t xml:space="preserve">机架式服务器，配置导轨</w:t>
            </w:r>
            <w:r/>
          </w:p>
        </w:tc>
      </w:tr>
      <w:tr>
        <w:trPr>
          <w:cantSplit/>
          <w:jc w:val="center"/>
          <w:trHeight w:val="300"/>
        </w:trPr>
        <w:tc>
          <w:tcPr>
            <w:tcBorders>
              <w:top w:val="none" w:color="000000" w:sz="4" w:space="0"/>
              <w:left w:val="none" w:color="000000" w:sz="4" w:space="0"/>
              <w:bottom w:val="single" w:color="000000" w:sz="6" w:space="0"/>
              <w:right w:val="single" w:color="000000" w:sz="6" w:space="0"/>
            </w:tcBorders>
            <w:tcW w:w="10335" w:type="dxa"/>
            <w:vMerge w:val="continue"/>
            <w:textDirection w:val="lrTb"/>
            <w:noWrap w:val="false"/>
          </w:tcPr>
          <w:p>
            <w:r/>
            <w:r/>
          </w:p>
        </w:tc>
        <w:tc>
          <w:tcPr>
            <w:tcBorders>
              <w:top w:val="none" w:color="000000" w:sz="4" w:space="0"/>
              <w:left w:val="none" w:color="000000" w:sz="4" w:space="0"/>
              <w:bottom w:val="single" w:color="000000" w:sz="6" w:space="0"/>
              <w:right w:val="none" w:color="000000" w:sz="4" w:space="0"/>
            </w:tcBorders>
            <w:tcW w:w="7875" w:type="dxa"/>
            <w:vAlign w:val="center"/>
            <w:textDirection w:val="lrTb"/>
            <w:noWrap w:val="false"/>
          </w:tcPr>
          <w:p>
            <w:pPr>
              <w:jc w:val="left"/>
              <w:spacing w:line="378" w:lineRule="exact"/>
            </w:pPr>
            <w:r>
              <w:rPr>
                <w:rFonts w:ascii="宋体" w:hAnsi="宋体" w:cs="宋体"/>
              </w:rPr>
              <w:t xml:space="preserve">≥2颗自主可控X86架构处理器，单颗核心数≥32核、主频≥2.7GHz、L3缓存≥64MB；（CPU须通过中国信息安全测评中心，并在安全可靠测评结果公告的名单内，安全可靠等级达到I级及以上）</w:t>
            </w:r>
            <w:r/>
          </w:p>
        </w:tc>
      </w:tr>
      <w:tr>
        <w:trPr>
          <w:cantSplit/>
          <w:jc w:val="center"/>
          <w:trHeight w:val="300"/>
        </w:trPr>
        <w:tc>
          <w:tcPr>
            <w:tcBorders>
              <w:top w:val="none" w:color="000000" w:sz="4" w:space="0"/>
              <w:left w:val="none" w:color="000000" w:sz="4" w:space="0"/>
              <w:bottom w:val="single" w:color="000000" w:sz="6" w:space="0"/>
              <w:right w:val="single" w:color="000000" w:sz="6" w:space="0"/>
            </w:tcBorders>
            <w:tcW w:w="10335" w:type="dxa"/>
            <w:vMerge w:val="continue"/>
            <w:textDirection w:val="lrTb"/>
            <w:noWrap w:val="false"/>
          </w:tcPr>
          <w:p>
            <w:r/>
            <w:r/>
          </w:p>
        </w:tc>
        <w:tc>
          <w:tcPr>
            <w:tcBorders>
              <w:top w:val="none" w:color="000000" w:sz="4" w:space="0"/>
              <w:left w:val="none" w:color="000000" w:sz="4" w:space="0"/>
              <w:bottom w:val="single" w:color="000000" w:sz="6" w:space="0"/>
              <w:right w:val="none" w:color="000000" w:sz="4" w:space="0"/>
            </w:tcBorders>
            <w:tcW w:w="7875" w:type="dxa"/>
            <w:vAlign w:val="center"/>
            <w:textDirection w:val="lrTb"/>
            <w:noWrap w:val="false"/>
          </w:tcPr>
          <w:p>
            <w:pPr>
              <w:jc w:val="left"/>
              <w:spacing w:line="378" w:lineRule="exact"/>
            </w:pPr>
            <w:r>
              <w:rPr>
                <w:rFonts w:ascii="宋体" w:hAnsi="宋体" w:cs="宋体"/>
              </w:rPr>
              <w:t xml:space="preserve">≥1024GB ECC内存。</w:t>
            </w:r>
            <w:r/>
          </w:p>
        </w:tc>
      </w:tr>
      <w:tr>
        <w:trPr>
          <w:cantSplit/>
          <w:jc w:val="center"/>
          <w:trHeight w:val="300"/>
        </w:trPr>
        <w:tc>
          <w:tcPr>
            <w:tcBorders>
              <w:top w:val="none" w:color="000000" w:sz="4" w:space="0"/>
              <w:left w:val="none" w:color="000000" w:sz="4" w:space="0"/>
              <w:bottom w:val="single" w:color="000000" w:sz="6" w:space="0"/>
              <w:right w:val="single" w:color="000000" w:sz="6" w:space="0"/>
            </w:tcBorders>
            <w:tcW w:w="10335" w:type="dxa"/>
            <w:vMerge w:val="continue"/>
            <w:textDirection w:val="lrTb"/>
            <w:noWrap w:val="false"/>
          </w:tcPr>
          <w:p>
            <w:r/>
            <w:r/>
          </w:p>
        </w:tc>
        <w:tc>
          <w:tcPr>
            <w:tcBorders>
              <w:top w:val="none" w:color="000000" w:sz="4" w:space="0"/>
              <w:left w:val="none" w:color="000000" w:sz="4" w:space="0"/>
              <w:bottom w:val="single" w:color="000000" w:sz="6" w:space="0"/>
              <w:right w:val="none" w:color="000000" w:sz="4" w:space="0"/>
            </w:tcBorders>
            <w:tcW w:w="7875" w:type="dxa"/>
            <w:vAlign w:val="center"/>
            <w:textDirection w:val="lrTb"/>
            <w:noWrap w:val="false"/>
          </w:tcPr>
          <w:p>
            <w:pPr>
              <w:jc w:val="left"/>
              <w:spacing w:line="378" w:lineRule="exact"/>
            </w:pPr>
            <w:r>
              <w:rPr>
                <w:rFonts w:ascii="宋体" w:hAnsi="宋体" w:cs="宋体"/>
              </w:rPr>
              <w:t xml:space="preserve">≥1块独立阵列卡，缓存≥2G，支持RAID 0/1/5，支持直通，支持超级电容保护。</w:t>
            </w:r>
            <w:r/>
          </w:p>
        </w:tc>
      </w:tr>
      <w:tr>
        <w:trPr>
          <w:cantSplit/>
          <w:jc w:val="center"/>
          <w:trHeight w:val="300"/>
        </w:trPr>
        <w:tc>
          <w:tcPr>
            <w:tcBorders>
              <w:top w:val="none" w:color="000000" w:sz="4" w:space="0"/>
              <w:left w:val="none" w:color="000000" w:sz="4" w:space="0"/>
              <w:bottom w:val="single" w:color="000000" w:sz="6" w:space="0"/>
              <w:right w:val="single" w:color="000000" w:sz="6" w:space="0"/>
            </w:tcBorders>
            <w:tcW w:w="10335" w:type="dxa"/>
            <w:vMerge w:val="continue"/>
            <w:textDirection w:val="lrTb"/>
            <w:noWrap w:val="false"/>
          </w:tcPr>
          <w:p>
            <w:r/>
            <w:r/>
          </w:p>
        </w:tc>
        <w:tc>
          <w:tcPr>
            <w:tcBorders>
              <w:top w:val="none" w:color="000000" w:sz="4" w:space="0"/>
              <w:left w:val="none" w:color="000000" w:sz="4" w:space="0"/>
              <w:bottom w:val="single" w:color="000000" w:sz="6" w:space="0"/>
              <w:right w:val="none" w:color="000000" w:sz="4" w:space="0"/>
            </w:tcBorders>
            <w:tcW w:w="7875" w:type="dxa"/>
            <w:vAlign w:val="center"/>
            <w:textDirection w:val="lrTb"/>
            <w:noWrap w:val="false"/>
          </w:tcPr>
          <w:p>
            <w:pPr>
              <w:jc w:val="left"/>
              <w:spacing w:line="378" w:lineRule="exact"/>
            </w:pPr>
            <w:r>
              <w:rPr>
                <w:rFonts w:ascii="宋体" w:hAnsi="宋体" w:cs="宋体"/>
              </w:rPr>
              <w:t xml:space="preserve">≥2*480GB SSD、≥2*3.84T NVME SSD。</w:t>
            </w:r>
            <w:r/>
          </w:p>
        </w:tc>
      </w:tr>
      <w:tr>
        <w:trPr>
          <w:cantSplit/>
          <w:jc w:val="center"/>
          <w:trHeight w:val="300"/>
        </w:trPr>
        <w:tc>
          <w:tcPr>
            <w:tcBorders>
              <w:top w:val="none" w:color="000000" w:sz="4" w:space="0"/>
              <w:left w:val="none" w:color="000000" w:sz="4" w:space="0"/>
              <w:bottom w:val="single" w:color="000000" w:sz="6" w:space="0"/>
              <w:right w:val="single" w:color="000000" w:sz="6" w:space="0"/>
            </w:tcBorders>
            <w:tcW w:w="10335" w:type="dxa"/>
            <w:vMerge w:val="continue"/>
            <w:textDirection w:val="lrTb"/>
            <w:noWrap w:val="false"/>
          </w:tcPr>
          <w:p>
            <w:r/>
            <w:r/>
          </w:p>
        </w:tc>
        <w:tc>
          <w:tcPr>
            <w:tcBorders>
              <w:top w:val="none" w:color="000000" w:sz="4" w:space="0"/>
              <w:left w:val="none" w:color="000000" w:sz="4" w:space="0"/>
              <w:bottom w:val="single" w:color="000000" w:sz="6" w:space="0"/>
              <w:right w:val="none" w:color="000000" w:sz="4" w:space="0"/>
            </w:tcBorders>
            <w:tcW w:w="7875" w:type="dxa"/>
            <w:vAlign w:val="center"/>
            <w:textDirection w:val="lrTb"/>
            <w:noWrap w:val="false"/>
          </w:tcPr>
          <w:p>
            <w:pPr>
              <w:jc w:val="left"/>
              <w:spacing w:line="378" w:lineRule="exact"/>
            </w:pPr>
            <w:r>
              <w:rPr>
                <w:rFonts w:ascii="宋体" w:hAnsi="宋体" w:cs="宋体"/>
              </w:rPr>
              <w:t xml:space="preserve">≥2*1GE电口、≥4*10GE SFP+光口（满配多模光模块）、≥2*25GE SFP28光口（满配多模光模块）。</w:t>
            </w:r>
            <w:r/>
          </w:p>
        </w:tc>
      </w:tr>
      <w:tr>
        <w:trPr>
          <w:jc w:val="center"/>
          <w:trHeight w:val="300"/>
        </w:trPr>
        <w:tc>
          <w:tcPr>
            <w:tcBorders>
              <w:top w:val="none" w:color="000000" w:sz="4" w:space="0"/>
              <w:left w:val="none" w:color="000000" w:sz="4" w:space="0"/>
              <w:bottom w:val="single" w:color="000000" w:sz="6" w:space="0"/>
              <w:right w:val="single" w:color="000000" w:sz="6" w:space="0"/>
            </w:tcBorders>
            <w:tcW w:w="1725" w:type="dxa"/>
            <w:vAlign w:val="center"/>
            <w:textDirection w:val="lrTb"/>
            <w:noWrap w:val="false"/>
          </w:tcPr>
          <w:p>
            <w:pPr>
              <w:jc w:val="center"/>
              <w:spacing w:line="378" w:lineRule="exact"/>
            </w:pPr>
            <w:r>
              <w:rPr>
                <w:rFonts w:ascii="宋体" w:hAnsi="宋体" w:cs="宋体"/>
              </w:rPr>
              <w:t xml:space="preserve">内存</w:t>
            </w:r>
            <w:r/>
          </w:p>
        </w:tc>
        <w:tc>
          <w:tcPr>
            <w:tcBorders>
              <w:top w:val="none" w:color="000000" w:sz="4" w:space="0"/>
              <w:left w:val="none" w:color="000000" w:sz="4" w:space="0"/>
              <w:bottom w:val="single" w:color="000000" w:sz="6" w:space="0"/>
              <w:right w:val="none" w:color="000000" w:sz="4" w:space="0"/>
            </w:tcBorders>
            <w:tcW w:w="7875" w:type="dxa"/>
            <w:vAlign w:val="center"/>
            <w:textDirection w:val="lrTb"/>
            <w:noWrap w:val="false"/>
          </w:tcPr>
          <w:p>
            <w:pPr>
              <w:jc w:val="left"/>
              <w:spacing w:line="378" w:lineRule="exact"/>
            </w:pPr>
            <w:r>
              <w:rPr>
                <w:rFonts w:ascii="宋体" w:hAnsi="宋体" w:cs="宋体"/>
              </w:rPr>
              <w:t xml:space="preserve">可扩展≥32个内存插槽，支持最大容量4TB，支持内存纠错功能。</w:t>
            </w:r>
            <w:r/>
          </w:p>
        </w:tc>
      </w:tr>
      <w:tr>
        <w:trPr>
          <w:jc w:val="center"/>
          <w:trHeight w:val="300"/>
        </w:trPr>
        <w:tc>
          <w:tcPr>
            <w:tcBorders>
              <w:top w:val="none" w:color="000000" w:sz="4" w:space="0"/>
              <w:left w:val="none" w:color="000000" w:sz="4" w:space="0"/>
              <w:bottom w:val="single" w:color="000000" w:sz="6" w:space="0"/>
              <w:right w:val="single" w:color="000000" w:sz="6" w:space="0"/>
            </w:tcBorders>
            <w:tcW w:w="1725" w:type="dxa"/>
            <w:vAlign w:val="center"/>
            <w:textDirection w:val="lrTb"/>
            <w:noWrap w:val="false"/>
          </w:tcPr>
          <w:p>
            <w:pPr>
              <w:jc w:val="center"/>
              <w:spacing w:line="378" w:lineRule="exact"/>
            </w:pPr>
            <w:r>
              <w:rPr>
                <w:rFonts w:ascii="宋体" w:hAnsi="宋体" w:cs="宋体"/>
              </w:rPr>
              <w:t xml:space="preserve">硬盘</w:t>
            </w:r>
            <w:r/>
          </w:p>
        </w:tc>
        <w:tc>
          <w:tcPr>
            <w:tcBorders>
              <w:top w:val="none" w:color="000000" w:sz="4" w:space="0"/>
              <w:left w:val="none" w:color="000000" w:sz="4" w:space="0"/>
              <w:bottom w:val="single" w:color="000000" w:sz="6" w:space="0"/>
              <w:right w:val="none" w:color="000000" w:sz="4" w:space="0"/>
            </w:tcBorders>
            <w:tcW w:w="7875" w:type="dxa"/>
            <w:vAlign w:val="center"/>
            <w:textDirection w:val="lrTb"/>
            <w:noWrap w:val="false"/>
          </w:tcPr>
          <w:p>
            <w:pPr>
              <w:jc w:val="left"/>
              <w:spacing w:line="378" w:lineRule="exact"/>
            </w:pPr>
            <w:r>
              <w:rPr>
                <w:rFonts w:ascii="宋体" w:hAnsi="宋体" w:cs="宋体"/>
              </w:rPr>
              <w:t xml:space="preserve">支持≥2块M.2 SSD硬盘，最大支持≥20块3.5英寸硬盘，最大支持≥24块U.2 </w:t>
            </w:r>
            <w:r>
              <w:rPr>
                <w:rFonts w:ascii="宋体" w:hAnsi="宋体" w:cs="宋体"/>
              </w:rPr>
              <w:t xml:space="preserve">NVMe</w:t>
            </w:r>
            <w:r>
              <w:rPr>
                <w:rFonts w:ascii="宋体" w:hAnsi="宋体" w:cs="宋体"/>
              </w:rPr>
              <w:t xml:space="preserve"> 硬盘。</w:t>
            </w:r>
            <w:r/>
          </w:p>
        </w:tc>
      </w:tr>
      <w:tr>
        <w:trPr>
          <w:jc w:val="center"/>
          <w:trHeight w:val="300"/>
        </w:trPr>
        <w:tc>
          <w:tcPr>
            <w:tcBorders>
              <w:top w:val="none" w:color="000000" w:sz="4" w:space="0"/>
              <w:left w:val="none" w:color="000000" w:sz="4" w:space="0"/>
              <w:bottom w:val="single" w:color="000000" w:sz="6" w:space="0"/>
              <w:right w:val="single" w:color="000000" w:sz="6" w:space="0"/>
            </w:tcBorders>
            <w:tcW w:w="1725" w:type="dxa"/>
            <w:vAlign w:val="center"/>
            <w:textDirection w:val="lrTb"/>
            <w:noWrap w:val="false"/>
          </w:tcPr>
          <w:p>
            <w:pPr>
              <w:jc w:val="center"/>
              <w:spacing w:line="378" w:lineRule="exact"/>
            </w:pPr>
            <w:r>
              <w:rPr>
                <w:rFonts w:ascii="宋体" w:hAnsi="宋体" w:cs="宋体"/>
              </w:rPr>
              <w:t xml:space="preserve">网卡</w:t>
            </w:r>
            <w:r/>
          </w:p>
        </w:tc>
        <w:tc>
          <w:tcPr>
            <w:tcBorders>
              <w:top w:val="none" w:color="000000" w:sz="4" w:space="0"/>
              <w:left w:val="none" w:color="000000" w:sz="4" w:space="0"/>
              <w:bottom w:val="single" w:color="000000" w:sz="6" w:space="0"/>
              <w:right w:val="none" w:color="000000" w:sz="4" w:space="0"/>
            </w:tcBorders>
            <w:tcW w:w="7875" w:type="dxa"/>
            <w:vAlign w:val="center"/>
            <w:textDirection w:val="lrTb"/>
            <w:noWrap w:val="false"/>
          </w:tcPr>
          <w:p>
            <w:pPr>
              <w:jc w:val="left"/>
              <w:spacing w:line="378" w:lineRule="exact"/>
            </w:pPr>
            <w:r>
              <w:rPr>
                <w:rFonts w:ascii="宋体" w:hAnsi="宋体" w:cs="宋体"/>
              </w:rPr>
              <w:t xml:space="preserve">支持OCP3.0网卡，支持热插拔；板载1个千兆管理专用以太网口。</w:t>
            </w:r>
            <w:r/>
          </w:p>
        </w:tc>
      </w:tr>
      <w:tr>
        <w:trPr>
          <w:jc w:val="center"/>
          <w:trHeight w:val="300"/>
        </w:trPr>
        <w:tc>
          <w:tcPr>
            <w:tcBorders>
              <w:top w:val="none" w:color="000000" w:sz="4" w:space="0"/>
              <w:left w:val="none" w:color="000000" w:sz="4" w:space="0"/>
              <w:bottom w:val="single" w:color="000000" w:sz="6" w:space="0"/>
              <w:right w:val="single" w:color="000000" w:sz="6" w:space="0"/>
            </w:tcBorders>
            <w:tcW w:w="1725" w:type="dxa"/>
            <w:vAlign w:val="center"/>
            <w:textDirection w:val="lrTb"/>
            <w:noWrap w:val="false"/>
          </w:tcPr>
          <w:p>
            <w:pPr>
              <w:jc w:val="center"/>
              <w:spacing w:line="378" w:lineRule="exact"/>
            </w:pPr>
            <w:r>
              <w:rPr>
                <w:rFonts w:ascii="宋体" w:hAnsi="宋体" w:cs="宋体"/>
              </w:rPr>
              <w:t xml:space="preserve">扩展插槽</w:t>
            </w:r>
            <w:r/>
          </w:p>
        </w:tc>
        <w:tc>
          <w:tcPr>
            <w:tcBorders>
              <w:top w:val="none" w:color="000000" w:sz="4" w:space="0"/>
              <w:left w:val="none" w:color="000000" w:sz="4" w:space="0"/>
              <w:bottom w:val="single" w:color="000000" w:sz="6" w:space="0"/>
              <w:right w:val="none" w:color="000000" w:sz="4" w:space="0"/>
            </w:tcBorders>
            <w:tcW w:w="7875" w:type="dxa"/>
            <w:vAlign w:val="center"/>
            <w:textDirection w:val="lrTb"/>
            <w:noWrap w:val="false"/>
          </w:tcPr>
          <w:p>
            <w:pPr>
              <w:jc w:val="left"/>
              <w:spacing w:line="378" w:lineRule="exact"/>
            </w:pPr>
            <w:r>
              <w:rPr>
                <w:rFonts w:ascii="宋体" w:hAnsi="宋体" w:cs="宋体"/>
              </w:rPr>
              <w:t xml:space="preserve">最大支持≥10个PCIe 4.0插槽（不含OCP插槽和存储设备专用插槽）。</w:t>
            </w:r>
            <w:r/>
          </w:p>
        </w:tc>
      </w:tr>
      <w:tr>
        <w:trPr>
          <w:jc w:val="center"/>
          <w:trHeight w:val="300"/>
        </w:trPr>
        <w:tc>
          <w:tcPr>
            <w:tcBorders>
              <w:top w:val="none" w:color="000000" w:sz="4" w:space="0"/>
              <w:left w:val="none" w:color="000000" w:sz="4" w:space="0"/>
              <w:bottom w:val="single" w:color="000000" w:sz="6" w:space="0"/>
              <w:right w:val="single" w:color="000000" w:sz="6" w:space="0"/>
            </w:tcBorders>
            <w:tcW w:w="1725" w:type="dxa"/>
            <w:vAlign w:val="center"/>
            <w:textDirection w:val="lrTb"/>
            <w:noWrap w:val="false"/>
          </w:tcPr>
          <w:p>
            <w:pPr>
              <w:jc w:val="center"/>
              <w:spacing w:line="378" w:lineRule="exact"/>
            </w:pPr>
            <w:r>
              <w:rPr>
                <w:rFonts w:ascii="宋体" w:hAnsi="宋体" w:cs="宋体"/>
              </w:rPr>
              <w:t xml:space="preserve">风扇电源</w:t>
            </w:r>
            <w:r/>
          </w:p>
        </w:tc>
        <w:tc>
          <w:tcPr>
            <w:tcBorders>
              <w:top w:val="none" w:color="000000" w:sz="4" w:space="0"/>
              <w:left w:val="none" w:color="000000" w:sz="4" w:space="0"/>
              <w:bottom w:val="single" w:color="000000" w:sz="6" w:space="0"/>
              <w:right w:val="none" w:color="000000" w:sz="4" w:space="0"/>
            </w:tcBorders>
            <w:tcW w:w="7875" w:type="dxa"/>
            <w:vAlign w:val="center"/>
            <w:textDirection w:val="lrTb"/>
            <w:noWrap w:val="false"/>
          </w:tcPr>
          <w:p>
            <w:pPr>
              <w:jc w:val="left"/>
              <w:spacing w:line="378" w:lineRule="exact"/>
            </w:pPr>
            <w:r>
              <w:rPr>
                <w:rFonts w:ascii="宋体" w:hAnsi="宋体" w:cs="宋体"/>
              </w:rPr>
              <w:t xml:space="preserve">热插拔风扇、冗余电源。</w:t>
            </w:r>
            <w:r/>
          </w:p>
        </w:tc>
      </w:tr>
      <w:tr>
        <w:trPr>
          <w:jc w:val="center"/>
          <w:trHeight w:val="300"/>
        </w:trPr>
        <w:tc>
          <w:tcPr>
            <w:tcBorders>
              <w:top w:val="none" w:color="000000" w:sz="4" w:space="0"/>
              <w:left w:val="none" w:color="000000" w:sz="4" w:space="0"/>
              <w:bottom w:val="single" w:color="000000" w:sz="6" w:space="0"/>
              <w:right w:val="single" w:color="000000" w:sz="6" w:space="0"/>
            </w:tcBorders>
            <w:tcW w:w="1725" w:type="dxa"/>
            <w:vAlign w:val="center"/>
            <w:textDirection w:val="lrTb"/>
            <w:noWrap w:val="false"/>
          </w:tcPr>
          <w:p>
            <w:pPr>
              <w:jc w:val="center"/>
              <w:spacing w:line="378" w:lineRule="exact"/>
            </w:pPr>
            <w:r>
              <w:rPr>
                <w:rFonts w:ascii="宋体" w:hAnsi="宋体" w:cs="宋体"/>
              </w:rPr>
              <w:t xml:space="preserve">★虚拟化支持</w:t>
            </w:r>
            <w:r/>
          </w:p>
        </w:tc>
        <w:tc>
          <w:tcPr>
            <w:tcBorders>
              <w:top w:val="none" w:color="000000" w:sz="4" w:space="0"/>
              <w:left w:val="none" w:color="000000" w:sz="4" w:space="0"/>
              <w:bottom w:val="single" w:color="000000" w:sz="6" w:space="0"/>
              <w:right w:val="none" w:color="000000" w:sz="4" w:space="0"/>
            </w:tcBorders>
            <w:tcW w:w="7875" w:type="dxa"/>
            <w:vAlign w:val="center"/>
            <w:textDirection w:val="lrTb"/>
            <w:noWrap w:val="false"/>
          </w:tcPr>
          <w:p>
            <w:pPr>
              <w:jc w:val="left"/>
              <w:spacing w:line="378" w:lineRule="exact"/>
            </w:pPr>
            <w:r>
              <w:rPr>
                <w:rFonts w:ascii="宋体" w:hAnsi="宋体" w:cs="宋体"/>
              </w:rPr>
              <w:t xml:space="preserve">支持主流国产超融合软件兼容性。对接学校现有云平台深信服</w:t>
            </w:r>
            <w:r>
              <w:rPr>
                <w:rFonts w:ascii="宋体" w:hAnsi="宋体" w:cs="宋体"/>
              </w:rPr>
              <w:t xml:space="preserve">sCloud</w:t>
            </w:r>
            <w:r>
              <w:rPr>
                <w:rFonts w:ascii="宋体" w:hAnsi="宋体" w:cs="宋体"/>
              </w:rPr>
              <w:t xml:space="preserve"> 6.11.1及以上版本（提供兼容性证明材料）</w:t>
            </w:r>
            <w:r/>
          </w:p>
        </w:tc>
      </w:tr>
      <w:tr>
        <w:trPr>
          <w:jc w:val="center"/>
          <w:trHeight w:val="300"/>
        </w:trPr>
        <w:tc>
          <w:tcPr>
            <w:tcBorders>
              <w:top w:val="none" w:color="000000" w:sz="4" w:space="0"/>
              <w:left w:val="none" w:color="000000" w:sz="4" w:space="0"/>
              <w:bottom w:val="single" w:color="000000" w:sz="6" w:space="0"/>
              <w:right w:val="single" w:color="000000" w:sz="6" w:space="0"/>
            </w:tcBorders>
            <w:tcW w:w="1725" w:type="dxa"/>
            <w:vAlign w:val="center"/>
            <w:textDirection w:val="lrTb"/>
            <w:noWrap w:val="false"/>
          </w:tcPr>
          <w:p>
            <w:pPr>
              <w:jc w:val="center"/>
              <w:spacing w:line="378" w:lineRule="exact"/>
            </w:pPr>
            <w:r>
              <w:rPr>
                <w:rFonts w:ascii="宋体" w:hAnsi="宋体" w:cs="宋体"/>
              </w:rPr>
              <w:t xml:space="preserve">操作系统</w:t>
            </w:r>
            <w:r/>
          </w:p>
        </w:tc>
        <w:tc>
          <w:tcPr>
            <w:tcBorders>
              <w:top w:val="none" w:color="000000" w:sz="4" w:space="0"/>
              <w:left w:val="none" w:color="000000" w:sz="4" w:space="0"/>
              <w:bottom w:val="single" w:color="000000" w:sz="6" w:space="0"/>
              <w:right w:val="none" w:color="000000" w:sz="4" w:space="0"/>
            </w:tcBorders>
            <w:tcW w:w="7875" w:type="dxa"/>
            <w:vAlign w:val="center"/>
            <w:textDirection w:val="lrTb"/>
            <w:noWrap w:val="false"/>
          </w:tcPr>
          <w:p>
            <w:pPr>
              <w:jc w:val="left"/>
              <w:spacing w:line="378" w:lineRule="exact"/>
            </w:pPr>
            <w:r>
              <w:rPr>
                <w:rFonts w:ascii="宋体" w:hAnsi="宋体" w:cs="宋体"/>
              </w:rPr>
              <w:t xml:space="preserve">支持主流服务器操作系统，支持银河麒麟、统信UOS等国产服务器操作系统。</w:t>
            </w:r>
            <w:r/>
          </w:p>
        </w:tc>
      </w:tr>
      <w:tr>
        <w:trPr>
          <w:jc w:val="center"/>
          <w:trHeight w:val="300"/>
        </w:trPr>
        <w:tc>
          <w:tcPr>
            <w:tcBorders>
              <w:top w:val="none" w:color="000000" w:sz="4" w:space="0"/>
              <w:left w:val="none" w:color="000000" w:sz="4" w:space="0"/>
              <w:bottom w:val="none" w:color="000000" w:sz="4" w:space="0"/>
              <w:right w:val="single" w:color="000000" w:sz="6" w:space="0"/>
            </w:tcBorders>
            <w:tcW w:w="1725" w:type="dxa"/>
            <w:vAlign w:val="center"/>
            <w:textDirection w:val="lrTb"/>
            <w:noWrap w:val="false"/>
          </w:tcPr>
          <w:p>
            <w:pPr>
              <w:jc w:val="center"/>
              <w:spacing w:line="378" w:lineRule="exact"/>
            </w:pPr>
            <w:r>
              <w:rPr>
                <w:rFonts w:ascii="宋体" w:hAnsi="宋体" w:cs="宋体"/>
              </w:rPr>
              <w:t xml:space="preserve">★质保</w:t>
            </w:r>
            <w:r/>
          </w:p>
        </w:tc>
        <w:tc>
          <w:tcPr>
            <w:tcBorders>
              <w:top w:val="none" w:color="000000" w:sz="4" w:space="0"/>
              <w:left w:val="none" w:color="000000" w:sz="4" w:space="0"/>
              <w:bottom w:val="none" w:color="000000" w:sz="4" w:space="0"/>
              <w:right w:val="none" w:color="000000" w:sz="4" w:space="0"/>
            </w:tcBorders>
            <w:tcW w:w="7875" w:type="dxa"/>
            <w:vAlign w:val="center"/>
            <w:textDirection w:val="lrTb"/>
            <w:noWrap w:val="false"/>
          </w:tcPr>
          <w:p>
            <w:pPr>
              <w:jc w:val="left"/>
              <w:spacing w:line="378" w:lineRule="exact"/>
            </w:pPr>
            <w:r>
              <w:rPr>
                <w:rFonts w:ascii="宋体" w:hAnsi="宋体" w:cs="宋体"/>
              </w:rPr>
              <w:t xml:space="preserve">三年免费质保服务。（提供三年设备厂商服务承诺函，设备由原厂直发到用户所在地，不接受拆改配，最终用户必须为：南京中医药大学）</w:t>
            </w:r>
            <w:r/>
          </w:p>
        </w:tc>
      </w:tr>
    </w:tbl>
    <w:p>
      <w:pPr>
        <w:ind w:firstLine="210"/>
        <w:jc w:val="left"/>
        <w:spacing w:line="378" w:lineRule="exact"/>
      </w:pPr>
      <w:r/>
      <w:r/>
    </w:p>
    <w:p>
      <w:pPr>
        <w:spacing w:line="120" w:lineRule="exact"/>
      </w:pPr>
      <w:r/>
      <w:r/>
    </w:p>
    <w:p>
      <w:pPr>
        <w:pStyle w:val="993"/>
        <w:jc w:val="left"/>
        <w:spacing w:before="0" w:after="0" w:line="460" w:lineRule="exact"/>
        <w:rPr>
          <w:rFonts w:hint="eastAsia" w:ascii="黑体" w:hAnsi="黑体" w:eastAsia="黑体"/>
          <w:b w:val="0"/>
          <w:bCs w:val="0"/>
          <w:sz w:val="28"/>
          <w:szCs w:val="28"/>
        </w:rPr>
      </w:pPr>
      <w:r>
        <w:rPr>
          <w:rFonts w:ascii="黑体" w:hAnsi="黑体" w:eastAsia="黑体"/>
          <w:b w:val="0"/>
          <w:bCs w:val="0"/>
          <w:sz w:val="28"/>
          <w:szCs w:val="28"/>
        </w:rPr>
        <w:t xml:space="preserve">四</w:t>
      </w:r>
      <w:r>
        <w:rPr>
          <w:rFonts w:hint="eastAsia" w:ascii="黑体" w:hAnsi="黑体" w:eastAsia="黑体"/>
          <w:b w:val="0"/>
          <w:bCs w:val="0"/>
          <w:sz w:val="28"/>
          <w:szCs w:val="28"/>
        </w:rPr>
        <w:t xml:space="preserve">、</w:t>
      </w:r>
      <w:r>
        <w:rPr>
          <w:rFonts w:ascii="黑体" w:hAnsi="黑体" w:eastAsia="黑体"/>
          <w:b w:val="0"/>
          <w:bCs w:val="0"/>
          <w:sz w:val="28"/>
          <w:szCs w:val="28"/>
        </w:rPr>
        <w:t xml:space="preserve">服务要求</w:t>
      </w:r>
      <w:r/>
    </w:p>
    <w:p>
      <w:pPr>
        <w:spacing w:line="120" w:lineRule="exact"/>
      </w:pPr>
      <w:r/>
      <w:r/>
    </w:p>
    <w:p>
      <w:pPr>
        <w:jc w:val="left"/>
        <w:spacing w:line="378" w:lineRule="exact"/>
      </w:pPr>
      <w:r>
        <w:rPr>
          <w:rFonts w:ascii="宋体" w:hAnsi="宋体" w:cs="宋体"/>
        </w:rPr>
        <w:t xml:space="preserve">服务承诺</w:t>
      </w:r>
      <w:r/>
    </w:p>
    <w:p>
      <w:pPr>
        <w:jc w:val="left"/>
        <w:spacing w:line="378" w:lineRule="exact"/>
      </w:pPr>
      <w:r>
        <w:rPr>
          <w:rFonts w:ascii="宋体" w:hAnsi="宋体" w:cs="宋体"/>
        </w:rPr>
        <w:t xml:space="preserve">（1）安装调试：设备到货后，卖方在接到通知的2个工作日内派人前往负责该平台的安装、调试和操作培训，直至达到各项验收指标合格。</w:t>
      </w:r>
      <w:r/>
    </w:p>
    <w:p>
      <w:pPr>
        <w:jc w:val="left"/>
        <w:spacing w:line="378" w:lineRule="exact"/>
      </w:pPr>
      <w:r>
        <w:rPr>
          <w:rFonts w:ascii="宋体" w:hAnsi="宋体" w:cs="宋体"/>
        </w:rPr>
        <w:t xml:space="preserve">（2）保修期：自验收合格之日起算，提供3年7*24小时原厂维保，原厂上门安装,投标时提供原厂商针对该项目授权书及原厂商针对该项目售后服务承诺函。质保期内发生任何设备损坏，所需要的维修费用（包括零部件费用、维修费用）均由卖方承担（人为操作不当造成的损坏除外）。保修期满6个月前由卖方对用户的设备进行一次免费的、全面的检查。</w:t>
      </w:r>
      <w:r/>
    </w:p>
    <w:p>
      <w:pPr>
        <w:jc w:val="left"/>
        <w:spacing w:line="378" w:lineRule="exact"/>
      </w:pPr>
      <w:r>
        <w:rPr>
          <w:rFonts w:ascii="宋体" w:hAnsi="宋体" w:cs="宋体"/>
        </w:rPr>
        <w:t xml:space="preserve">（3）维修响应时间：卖方应在国内有专门负责的维修工程师或技术支持工程师。卖方应在2小时内电话响应，对用户的服务要求提出解决方案，经确认如有需要，技术人员须在24小时内到达现场；重大问题或其他无法迅速解决的问题应在72小时内解决或提出得到买方认可的解决方案，否则卖方应赔偿相应损失。</w:t>
      </w:r>
      <w:r/>
    </w:p>
    <w:p>
      <w:pPr>
        <w:jc w:val="left"/>
        <w:spacing w:line="378" w:lineRule="exact"/>
      </w:pPr>
      <w:r>
        <w:rPr>
          <w:rFonts w:ascii="宋体" w:hAnsi="宋体" w:cs="宋体"/>
        </w:rPr>
        <w:t xml:space="preserve">（4）交货时间：合同签订后，45个日历天内完成设备到货、安装及调试合格。卖方免费提供由专业工程师现场指导的安装、调试。</w:t>
      </w:r>
      <w:r/>
    </w:p>
    <w:p>
      <w:pPr>
        <w:jc w:val="left"/>
        <w:spacing w:line="378" w:lineRule="exact"/>
      </w:pPr>
      <w:r>
        <w:rPr>
          <w:rFonts w:ascii="宋体" w:hAnsi="宋体" w:cs="宋体"/>
        </w:rPr>
        <w:t xml:space="preserve">（5）交货地点：南京中医药大学仙林校区。</w:t>
      </w:r>
      <w:r/>
    </w:p>
    <w:p>
      <w:pPr>
        <w:pStyle w:val="993"/>
        <w:jc w:val="left"/>
        <w:spacing w:before="0" w:after="0"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五、商务要求</w:t>
      </w:r>
      <w:r/>
    </w:p>
    <w:p>
      <w:pPr>
        <w:ind w:firstLine="560"/>
        <w:spacing w:line="400" w:lineRule="exact"/>
        <w:rPr>
          <w:rFonts w:hint="eastAsia" w:ascii="宋体" w:hAnsi="宋体"/>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（一）</w:t>
      </w:r>
      <w:r>
        <w:rPr>
          <w:rFonts w:ascii="方正仿宋_GBK" w:hAnsi="方正仿宋_GBK" w:eastAsia="方正仿宋_GBK" w:cs="方正仿宋_GBK"/>
          <w:b/>
          <w:sz w:val="28"/>
          <w:szCs w:val="28"/>
        </w:rPr>
        <w:t xml:space="preserve">验收标准</w:t>
      </w:r>
      <w:r/>
    </w:p>
    <w:p>
      <w:pPr>
        <w:jc w:val="left"/>
        <w:spacing w:line="378" w:lineRule="exact"/>
      </w:pPr>
      <w:r>
        <w:rPr>
          <w:rFonts w:ascii="宋体" w:hAnsi="宋体" w:cs="宋体"/>
        </w:rPr>
        <w:t xml:space="preserve">1.甲方对乙方提交的货物依据招标文件上的技术要求、合同约定和国家有关质量标准进行现场清点、初步验收，外观、说明书符合招标文件技术要求的，予以签收，初步验收不合格的不予签收。货到后甲方指定地点，乙方须在1</w:t>
      </w:r>
      <w:r>
        <w:rPr>
          <w:rFonts w:hint="eastAsia" w:ascii="宋体" w:hAnsi="宋体" w:cs="宋体"/>
        </w:rPr>
        <w:t xml:space="preserve">0</w:t>
      </w:r>
      <w:r>
        <w:rPr>
          <w:rFonts w:ascii="宋体" w:hAnsi="宋体" w:cs="宋体"/>
        </w:rPr>
        <w:t xml:space="preserve">个工作日内配合甲方予以初步验收，乙方项目经理应参与初步验收。</w:t>
      </w:r>
      <w:r/>
    </w:p>
    <w:p>
      <w:pPr>
        <w:jc w:val="left"/>
        <w:spacing w:line="378" w:lineRule="exact"/>
      </w:pPr>
      <w:r>
        <w:rPr>
          <w:rFonts w:ascii="宋体" w:hAnsi="宋体" w:cs="宋体"/>
        </w:rPr>
        <w:t xml:space="preserve">2.乙方交货前应对产品做出全面检查和对初步验收文件进行整理，提供与货物有关的清晰、正确、完整的技术资料，并列出清单，如：可运行的系统（安装光盘，如有）、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r/>
    </w:p>
    <w:p>
      <w:pPr>
        <w:jc w:val="left"/>
        <w:spacing w:line="378" w:lineRule="exact"/>
      </w:pPr>
      <w:r>
        <w:rPr>
          <w:rFonts w:ascii="宋体" w:hAnsi="宋体" w:cs="宋体"/>
        </w:rPr>
        <w:t xml:space="preserve">3.甲方人员在清点核查、初步验收时若发现货物有明显缺漏、损坏、包装破损、遗失等情形，甲方有权拒绝接收该批次货物，乙方应按照甲方的要求及时整改，免费更换直至符合招标文件及本合同约定要求，因此产生的相关费用全部由乙方自行承担。甲方人员在验收时发现货物无法正常</w:t>
      </w:r>
      <w:r>
        <w:rPr>
          <w:rFonts w:ascii="宋体" w:hAnsi="宋体" w:cs="宋体"/>
        </w:rPr>
        <w:t xml:space="preserve">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并没收乙方的履约保证金，乙方必须无条件接受退货。</w:t>
      </w:r>
      <w:r/>
    </w:p>
    <w:p>
      <w:pPr>
        <w:jc w:val="left"/>
        <w:spacing w:line="378" w:lineRule="exact"/>
      </w:pPr>
      <w:r>
        <w:rPr>
          <w:rFonts w:ascii="宋体" w:hAnsi="宋体" w:cs="宋体"/>
        </w:rPr>
        <w:t xml:space="preserve">4.设备到货后，乙方应派专业工程师前往甲方指定的安装地点负责设备的安装调试，且甲方在设备使用前进行调试时，乙方应免费培训甲方的使用操作人员，提供相关的技术咨询，并协助甲方一起调试，直到符合招标文件及本合同约定的技术要求并被甲方所能应用，甲方才做最终验收。乙方项目经理应参与最终验收。</w:t>
      </w:r>
      <w:r/>
    </w:p>
    <w:p>
      <w:pPr>
        <w:jc w:val="left"/>
        <w:spacing w:line="378" w:lineRule="exact"/>
      </w:pPr>
      <w:r>
        <w:rPr>
          <w:rFonts w:ascii="宋体" w:hAnsi="宋体" w:cs="宋体"/>
        </w:rPr>
        <w:t xml:space="preserve">5.对于本合同约定的货物，乙方同意甲方有权单方聘请国家认可的专业检测机构参与初步验收及最终验收，并由其出具质量检测报告，相关检测费用由乙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（二）</w:t>
      </w:r>
      <w:r>
        <w:rPr>
          <w:rFonts w:ascii="方正仿宋_GBK" w:hAnsi="方正仿宋_GBK" w:eastAsia="方正仿宋_GBK" w:cs="方正仿宋_GBK"/>
          <w:b/>
          <w:sz w:val="28"/>
          <w:szCs w:val="28"/>
        </w:rPr>
        <w:t xml:space="preserve">质保期及履约保证金</w:t>
      </w:r>
      <w:r/>
    </w:p>
    <w:p>
      <w:pPr>
        <w:jc w:val="left"/>
        <w:spacing w:line="378" w:lineRule="exact"/>
      </w:pPr>
      <w:r>
        <w:rPr>
          <w:rFonts w:ascii="宋体" w:hAnsi="宋体" w:cs="宋体"/>
        </w:rPr>
        <w:t xml:space="preserve">一、免费质保期</w:t>
      </w:r>
      <w:r/>
    </w:p>
    <w:p>
      <w:pPr>
        <w:ind w:firstLine="420"/>
        <w:jc w:val="left"/>
        <w:spacing w:line="378" w:lineRule="exact"/>
      </w:pPr>
      <w:r>
        <w:rPr>
          <w:rFonts w:ascii="宋体" w:hAnsi="宋体" w:cs="宋体"/>
        </w:rPr>
        <w:t xml:space="preserve">自项目验收合格之日起，不少于</w:t>
      </w:r>
      <w:r>
        <w:rPr>
          <w:rFonts w:ascii="宋体" w:hAnsi="宋体" w:cs="宋体"/>
          <w:u w:val="single"/>
        </w:rPr>
        <w:t xml:space="preserve">36</w:t>
      </w:r>
      <w:r>
        <w:rPr>
          <w:rFonts w:ascii="宋体" w:hAnsi="宋体" w:cs="宋体"/>
        </w:rPr>
        <w:t xml:space="preserve">个月。(无质保要求的“/”表示)</w:t>
      </w:r>
      <w:r/>
    </w:p>
    <w:p>
      <w:pPr>
        <w:jc w:val="left"/>
        <w:spacing w:line="378" w:lineRule="exact"/>
      </w:pPr>
      <w:r>
        <w:rPr>
          <w:rFonts w:ascii="宋体" w:hAnsi="宋体" w:cs="宋体"/>
        </w:rPr>
        <w:t xml:space="preserve">二、履约保证金</w:t>
      </w:r>
      <w:r/>
    </w:p>
    <w:p>
      <w:pPr>
        <w:ind w:firstLine="420"/>
        <w:jc w:val="left"/>
        <w:spacing w:line="378" w:lineRule="exact"/>
      </w:pPr>
      <w:r>
        <w:rPr>
          <w:rFonts w:ascii="宋体" w:hAnsi="宋体" w:cs="宋体"/>
        </w:rPr>
        <w:t xml:space="preserve">乙方于本合同签订前向甲方交纳人民币</w:t>
      </w:r>
      <w:r>
        <w:rPr>
          <w:rFonts w:ascii="宋体" w:hAnsi="宋体" w:cs="宋体"/>
          <w:u w:val="single"/>
        </w:rPr>
        <w:t xml:space="preserve">　　　</w:t>
      </w:r>
      <w:r>
        <w:rPr>
          <w:rFonts w:ascii="宋体" w:hAnsi="宋体" w:cs="宋体"/>
        </w:rPr>
        <w:t xml:space="preserve">元（合同价的【5】%）作为本合同的履约保证金。</w:t>
      </w:r>
      <w:r/>
    </w:p>
    <w:p>
      <w:pPr>
        <w:ind w:firstLine="420"/>
        <w:spacing w:line="400" w:lineRule="exact"/>
        <w:rPr>
          <w:rFonts w:hint="eastAsia" w:ascii="宋体" w:hAnsi="宋体" w:cs="宋体"/>
        </w:rPr>
      </w:pPr>
      <w:r>
        <w:rPr>
          <w:rFonts w:ascii="宋体" w:hAnsi="宋体" w:cs="宋体"/>
        </w:rPr>
        <w:t xml:space="preserve">自甲方最终书面确认验收合格之日起算【</w:t>
      </w:r>
      <w:r>
        <w:rPr>
          <w:rFonts w:ascii="宋体" w:hAnsi="宋体" w:cs="宋体"/>
          <w:u w:val="single"/>
        </w:rPr>
        <w:t xml:space="preserve">12</w:t>
      </w:r>
      <w:r>
        <w:rPr>
          <w:rFonts w:ascii="宋体" w:hAnsi="宋体" w:cs="宋体"/>
        </w:rPr>
        <w:t xml:space="preserve">】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（三）</w:t>
      </w:r>
      <w:r>
        <w:rPr>
          <w:rFonts w:ascii="方正仿宋_GBK" w:hAnsi="方正仿宋_GBK" w:eastAsia="方正仿宋_GBK" w:cs="方正仿宋_GBK"/>
          <w:b/>
          <w:sz w:val="28"/>
          <w:szCs w:val="28"/>
        </w:rPr>
        <w:t xml:space="preserve">付款方式</w:t>
      </w:r>
      <w:r/>
    </w:p>
    <w:p>
      <w:pPr>
        <w:ind w:firstLine="420"/>
        <w:jc w:val="left"/>
        <w:spacing w:line="378" w:lineRule="exact"/>
      </w:pPr>
      <w:r>
        <w:rPr>
          <w:rFonts w:ascii="宋体" w:hAnsi="宋体" w:cs="宋体"/>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乙方将全部货物运到甲方指定的交货地点，并按照招标文件、本合同约定及甲方的要求安装调试结束，经甲方最终书面确认验收合格无误后，乙方向甲方提供合法有效的正规增值税发票，甲方在收到发票后1</w:t>
      </w:r>
      <w:r>
        <w:rPr>
          <w:rFonts w:hint="eastAsia" w:ascii="宋体" w:hAnsi="宋体" w:cs="宋体"/>
        </w:rPr>
        <w:t xml:space="preserve">0</w:t>
      </w:r>
      <w:r>
        <w:rPr>
          <w:rFonts w:ascii="宋体" w:hAnsi="宋体" w:cs="宋体"/>
        </w:rPr>
        <w:t xml:space="preserve">个工作日内向乙方付清应付款项。</w:t>
      </w:r>
      <w:r/>
    </w:p>
    <w:p>
      <w:pPr>
        <w:pStyle w:val="993"/>
        <w:jc w:val="left"/>
        <w:spacing w:before="0" w:after="0"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六、其他要求</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81"/>
        <w:gridCol w:w="3369"/>
      </w:tblGrid>
      <w:tr>
        <w:trPr/>
        <w:tc>
          <w:tcPr>
            <w:tcW w:w="168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336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p>
        </w:tc>
      </w:tr>
      <w:tr>
        <w:trPr/>
        <w:tc>
          <w:tcPr>
            <w:tcW w:w="168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6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ARM服务器</w:t>
            </w:r>
            <w:r/>
          </w:p>
        </w:tc>
      </w:tr>
      <w:tr>
        <w:trPr/>
        <w:tc>
          <w:tcPr>
            <w:tcW w:w="168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36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服务器</w:t>
            </w:r>
            <w:r/>
          </w:p>
        </w:tc>
      </w:tr>
    </w:tbl>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00"/>
        <w:gridCol w:w="3762"/>
      </w:tblGrid>
      <w:tr>
        <w:trPr/>
        <w:tc>
          <w:tcPr>
            <w:tcW w:w="130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76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p>
        </w:tc>
      </w:tr>
      <w:tr>
        <w:trPr/>
        <w:tc>
          <w:tcPr>
            <w:tcW w:w="130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76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r>
        <w:trPr/>
        <w:tc>
          <w:tcPr>
            <w:tcW w:w="130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76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bl>
    <w:p>
      <w:pPr>
        <w:jc w:val="center"/>
        <w:keepNext/>
        <w:spacing w:line="400" w:lineRule="exact"/>
        <w:rPr>
          <w:rFonts w:hint="eastAsia" w:ascii="黑体" w:hAnsi="黑体" w:eastAsia="黑体"/>
          <w:b/>
          <w:bCs/>
          <w:sz w:val="28"/>
          <w:szCs w:val="28"/>
        </w:rPr>
        <w:outlineLvl w:val="0"/>
      </w:pPr>
      <w:r/>
      <w:bookmarkStart w:id="74" w:name="_Toc120614281"/>
      <w:r>
        <w:rPr>
          <w:b/>
          <w:bCs/>
        </w:rPr>
        <w:br w:type="page" w:clear="all"/>
      </w:r>
      <w:bookmarkStart w:id="75" w:name="_Toc233969289"/>
      <w:r>
        <w:rPr>
          <w:rFonts w:hint="eastAsia" w:ascii="方正黑体_GBK" w:hAnsi="方正黑体_GBK" w:eastAsia="方正黑体_GBK" w:cs="方正黑体_GBK"/>
          <w:sz w:val="28"/>
          <w:szCs w:val="28"/>
        </w:rPr>
        <w:t xml:space="preserve">第五章  评标方法与评标标准</w:t>
      </w:r>
      <w:bookmarkEnd w:id="75"/>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采用综合评分法的，评标结果按评审后得分由高到低顺序排列。得分相同的，按投标报价由低到高顺序排列。得分且投标报价相同的并列。</w:t>
      </w:r>
      <w:r/>
    </w:p>
    <w:tbl>
      <w:tblPr>
        <w:tblW w:w="0" w:type="auto"/>
        <w:tblInd w:w="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50"/>
        <w:gridCol w:w="2152"/>
        <w:gridCol w:w="4985"/>
      </w:tblGrid>
      <w:tr>
        <w:trPr/>
        <w:tc>
          <w:tcPr>
            <w:tcW w:w="167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cantSplit/>
          <w:trHeight w:val="544"/>
        </w:trPr>
        <w:tc>
          <w:tcPr>
            <w:tcW w:w="167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063" w:type="dxa"/>
            <w:vMerge w:val="restart"/>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r>
        <w:trPr>
          <w:cantSplit/>
        </w:trPr>
        <w:tc>
          <w:tcPr>
            <w:tcW w:w="167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218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063" w:type="dxa"/>
            <w:vMerge w:val="continue"/>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562"/>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政府采购政策功能落实</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ind w:firstLine="42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（1）本项目对小型和微型企业产品给予10%的扣除价格，用扣除后的价格参与评审。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p>
    <w:p>
      <w:pPr>
        <w:ind w:firstLine="560"/>
        <w:spacing w:line="400" w:lineRule="exact"/>
        <w:rPr>
          <w:rFonts w:hint="eastAsia" w:ascii="华文新魏" w:hAnsi="宋体" w:eastAsia="华文新魏"/>
          <w:sz w:val="28"/>
          <w:szCs w:val="28"/>
        </w:rPr>
      </w:pPr>
      <w:r>
        <w:rPr>
          <w:rFonts w:hint="eastAsia" w:ascii="方正仿宋_GBK" w:hAnsi="方正仿宋_GBK" w:eastAsia="方正仿宋_GBK" w:cs="方正仿宋_GBK"/>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供应商需按照招标文件的要求提供《关于符合本国产品标准的声明函》（以下简称《声明函》），如不提供将不享受本国产品价格评审优惠。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供应商需在《声明函》中逐一、准确填写产品名称、厂名、生产厂址三项信息（《声明函》中标注“ </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 ”的地方无需填写），三项信息中任意一项未填写的视为该项产品不符合本国产品标准，不享受本国产品价格评审优惠。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w:t>
      </w:r>
      <w:r>
        <w:rPr>
          <w:rFonts w:hint="eastAsia" w:ascii="方正仿宋_GBK" w:hAnsi="方正仿宋_GBK" w:eastAsia="方正仿宋_GBK" w:cs="方正仿宋_GBK"/>
          <w:sz w:val="28"/>
          <w:szCs w:val="28"/>
        </w:rPr>
        <w:t xml:space="preserve">号）和招标文件规定的，供应商提供的相关产品视为不符合本国产品标准。</w:t>
      </w:r>
      <w:r/>
    </w:p>
    <w:p>
      <w:pPr>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评标方法与评标标准</w:t>
      </w:r>
      <w:r/>
    </w:p>
    <w:p>
      <w:pPr>
        <w:ind w:firstLine="420"/>
        <w:jc w:val="left"/>
        <w:spacing w:before="19" w:after="19"/>
      </w:pPr>
      <w:r/>
      <w:r/>
    </w:p>
    <w:tbl>
      <w:tblPr>
        <w:tblW w:w="9570" w:type="dxa"/>
        <w:jc w:val="center"/>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CellMar>
          <w:left w:w="10" w:type="dxa"/>
          <w:right w:w="10" w:type="dxa"/>
        </w:tblCellMar>
        <w:tblLook w:val="04A0" w:firstRow="1" w:lastRow="0" w:firstColumn="1" w:lastColumn="0" w:noHBand="0" w:noVBand="1"/>
      </w:tblPr>
      <w:tblGrid>
        <w:gridCol w:w="1200"/>
        <w:gridCol w:w="690"/>
        <w:gridCol w:w="7080"/>
        <w:gridCol w:w="600"/>
      </w:tblGrid>
      <w:tr>
        <w:trPr>
          <w:jc w:val="center"/>
          <w:trHeight w:val="600"/>
        </w:trPr>
        <w:tc>
          <w:tcPr>
            <w:tcBorders>
              <w:top w:val="single" w:color="000000" w:sz="12" w:space="0"/>
              <w:left w:val="single" w:color="000000"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cs="宋体"/>
                <w:b/>
              </w:rPr>
              <w:t xml:space="preserve">评分因素</w:t>
            </w:r>
            <w:r/>
          </w:p>
        </w:tc>
        <w:tc>
          <w:tcPr>
            <w:tcBorders>
              <w:top w:val="single" w:color="000000" w:sz="12" w:space="0"/>
              <w:left w:val="single" w:color="000000"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line="378" w:lineRule="exact"/>
            </w:pPr>
            <w:r>
              <w:rPr>
                <w:rFonts w:ascii="宋体" w:hAnsi="宋体" w:cs="宋体"/>
                <w:b/>
              </w:rPr>
              <w:t xml:space="preserve">分值</w:t>
            </w:r>
            <w:r/>
          </w:p>
        </w:tc>
        <w:tc>
          <w:tcPr>
            <w:tcBorders>
              <w:top w:val="single" w:color="000000" w:sz="12" w:space="0"/>
              <w:left w:val="single" w:color="000000" w:sz="6" w:space="0"/>
              <w:bottom w:val="none" w:color="000000" w:sz="4" w:space="0"/>
              <w:right w:val="none" w:color="000000" w:sz="4" w:space="0"/>
            </w:tcBorders>
            <w:tcMar>
              <w:left w:w="20" w:type="dxa"/>
              <w:top w:w="20" w:type="dxa"/>
              <w:right w:w="20" w:type="dxa"/>
              <w:bottom w:w="20" w:type="dxa"/>
            </w:tcMar>
            <w:tcW w:w="7080" w:type="dxa"/>
            <w:vAlign w:val="center"/>
            <w:textDirection w:val="lrTb"/>
            <w:noWrap w:val="false"/>
          </w:tcPr>
          <w:p>
            <w:pPr>
              <w:jc w:val="center"/>
              <w:spacing w:line="378" w:lineRule="exact"/>
            </w:pPr>
            <w:r>
              <w:rPr>
                <w:rFonts w:ascii="宋体" w:hAnsi="宋体" w:cs="宋体"/>
                <w:b/>
              </w:rPr>
              <w:t xml:space="preserve">评分标准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r/>
            <w:r/>
          </w:p>
        </w:tc>
      </w:tr>
      <w:tr>
        <w:trPr>
          <w:jc w:val="center"/>
          <w:trHeight w:val="72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cs="宋体"/>
              </w:rPr>
              <w:t xml:space="preserve">投标报价</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pPr>
            <w:r>
              <w:rPr>
                <w:rFonts w:ascii="宋体" w:hAnsi="宋体" w:cs="宋体"/>
              </w:rPr>
              <w:t xml:space="preserve">60</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78" w:lineRule="exact"/>
            </w:pPr>
            <w:r>
              <w:rPr>
                <w:rFonts w:ascii="宋体" w:hAnsi="宋体" w:cs="宋体"/>
                <w:b/>
              </w:rPr>
              <w:t xml:space="preserve">投标最低报价为评标基准价</w:t>
            </w:r>
            <w:r>
              <w:rPr>
                <w:rFonts w:ascii="宋体" w:hAnsi="宋体" w:cs="宋体"/>
              </w:rPr>
              <w:t xml:space="preserve">：满足招标文件要求且投标价格最低的投标报价为评标基准价，其价格分为满分。其他投标人的价格分统一按照下列公式计算：投标报价得分=(评标基准价/投标报价)×60。</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r/>
            <w:r/>
          </w:p>
        </w:tc>
      </w:tr>
      <w:tr>
        <w:trPr>
          <w:jc w:val="center"/>
          <w:trHeight w:val="72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cs="宋体"/>
              </w:rPr>
              <w:t xml:space="preserve">技术响应</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pPr>
            <w:r>
              <w:rPr>
                <w:rFonts w:ascii="宋体" w:hAnsi="宋体" w:cs="宋体"/>
              </w:rPr>
              <w:t xml:space="preserve">15</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78" w:lineRule="exact"/>
            </w:pPr>
            <w:r>
              <w:rPr>
                <w:rFonts w:ascii="宋体" w:hAnsi="宋体" w:cs="宋体"/>
              </w:rPr>
              <w:t xml:space="preserve">由评标委员会根据投标人的投标文件中《技术要求响应及偏离表》等有关资料打分，完全满足招标文件技术参数要求的得</w:t>
            </w:r>
            <w:r>
              <w:rPr>
                <w:rFonts w:hint="eastAsia" w:ascii="宋体" w:hAnsi="宋体" w:cs="宋体"/>
              </w:rPr>
              <w:t xml:space="preserve">15</w:t>
            </w:r>
            <w:r>
              <w:rPr>
                <w:rFonts w:ascii="宋体" w:hAnsi="宋体" w:cs="宋体"/>
              </w:rPr>
              <w:t xml:space="preserve">分。</w:t>
            </w:r>
            <w:r/>
          </w:p>
          <w:p>
            <w:pPr>
              <w:jc w:val="left"/>
              <w:spacing w:line="378" w:lineRule="exact"/>
            </w:pPr>
            <w:r>
              <w:rPr>
                <w:rFonts w:ascii="宋体" w:hAnsi="宋体" w:cs="宋体"/>
              </w:rPr>
              <w:t xml:space="preserve">（1）本招标文件中标注“★”为实质性要求和条件，不满足招标要求作废标处理；</w:t>
            </w:r>
            <w:r/>
          </w:p>
          <w:p>
            <w:pPr>
              <w:jc w:val="left"/>
              <w:spacing w:line="378" w:lineRule="exact"/>
            </w:pPr>
            <w:r>
              <w:rPr>
                <w:rFonts w:ascii="宋体" w:hAnsi="宋体" w:cs="宋体"/>
              </w:rPr>
              <w:t xml:space="preserve">（2）无标识指标为普通指标，每一条不满足或负偏离的扣2</w:t>
            </w:r>
            <w:r>
              <w:rPr>
                <w:rFonts w:hint="eastAsia" w:ascii="宋体" w:hAnsi="宋体" w:cs="宋体"/>
              </w:rPr>
              <w:t xml:space="preserve">.5</w:t>
            </w:r>
            <w:r>
              <w:rPr>
                <w:rFonts w:ascii="宋体" w:hAnsi="宋体" w:cs="宋体"/>
              </w:rPr>
              <w:t xml:space="preserve">分，扣完为止。</w:t>
            </w:r>
            <w:r/>
          </w:p>
          <w:p>
            <w:pPr>
              <w:jc w:val="left"/>
              <w:spacing w:line="378" w:lineRule="exact"/>
            </w:pPr>
            <w:r>
              <w:rPr>
                <w:rFonts w:ascii="宋体" w:hAnsi="宋体" w:cs="宋体"/>
              </w:rPr>
              <w:t xml:space="preserve">投标人应在《技术要求响应及偏离表》中逐一响应，若投标人未按照要求提供所投设备的技术支持资料，评标委员会有权不予认可，并在评分中扣除相应的分值。（佐证材料以产品制造商出具的技术说明书或产品制造商公开发布的产品彩页或彩页复印件、产品官方网站、产品标准、技术白皮书、使用说明书、有资质的第三方出具的检验报告等材料为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cs="宋体"/>
              </w:rPr>
              <w:t xml:space="preserve">原厂质保</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pPr>
            <w:r>
              <w:rPr>
                <w:rFonts w:ascii="宋体" w:hAnsi="宋体" w:cs="宋体"/>
              </w:rPr>
              <w:t xml:space="preserve">6</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78" w:lineRule="exact"/>
            </w:pPr>
            <w:r>
              <w:rPr>
                <w:rFonts w:ascii="宋体" w:hAnsi="宋体" w:cs="宋体"/>
              </w:rPr>
              <w:t xml:space="preserve">在满足招标参数中原厂质保3年的基础上，所投产品质保期每增加一年原厂质保加3分，最高得6分。（提供书面承诺函，格式自拟）。</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cs="宋体"/>
              </w:rPr>
              <w:t xml:space="preserve">方案评价</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pPr>
            <w:r>
              <w:rPr>
                <w:rFonts w:ascii="宋体" w:hAnsi="宋体" w:cs="宋体"/>
              </w:rPr>
              <w:t xml:space="preserve">13</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78" w:lineRule="exact"/>
            </w:pPr>
            <w:r>
              <w:rPr>
                <w:rFonts w:ascii="宋体" w:hAnsi="宋体" w:cs="宋体"/>
              </w:rPr>
              <w:t xml:space="preserve">投标人应根据招标文件的采购内容和后续配合进行</w:t>
            </w:r>
            <w:r>
              <w:rPr>
                <w:rFonts w:hint="eastAsia" w:ascii="宋体" w:hAnsi="宋体" w:cs="宋体"/>
              </w:rPr>
              <w:t xml:space="preserve">国产化</w:t>
            </w:r>
            <w:r>
              <w:rPr>
                <w:rFonts w:ascii="宋体" w:hAnsi="宋体" w:cs="宋体"/>
              </w:rPr>
              <w:t xml:space="preserve">应用迁移的要求提供具体详实的项目实施方案、售后服务方案</w:t>
            </w:r>
            <w:r>
              <w:rPr>
                <w:rFonts w:hint="eastAsia" w:ascii="宋体" w:hAnsi="宋体" w:cs="宋体"/>
              </w:rPr>
              <w:t xml:space="preserve">、</w:t>
            </w:r>
            <w:r>
              <w:rPr>
                <w:rFonts w:ascii="宋体" w:hAnsi="宋体" w:cs="宋体"/>
              </w:rPr>
              <w:t xml:space="preserve">培训方案。根据投标人对项目需求的理解程度、策划方案的科学性与合理性、组织实施方案的可行性及售后服务保障能力进行综合评审。</w:t>
            </w:r>
            <w:r/>
          </w:p>
          <w:p>
            <w:pPr>
              <w:jc w:val="left"/>
              <w:spacing w:line="378" w:lineRule="exact"/>
              <w:rPr>
                <w:szCs w:val="21"/>
              </w:rPr>
            </w:pPr>
            <w:r>
              <w:rPr>
                <w:rFonts w:hint="eastAsia"/>
                <w:szCs w:val="21"/>
              </w:rPr>
              <w:t xml:space="preserve">1</w:t>
            </w:r>
            <w:r>
              <w:rPr>
                <w:rFonts w:hint="eastAsia"/>
                <w:szCs w:val="21"/>
              </w:rPr>
              <w:t xml:space="preserve">、项目实施方案：投标人应根据招标文件要求提供具体详实的项目实施方案（</w:t>
            </w:r>
            <w:r>
              <w:rPr>
                <w:rFonts w:hint="eastAsia"/>
                <w:szCs w:val="21"/>
              </w:rPr>
              <w:t xml:space="preserve">1</w:t>
            </w:r>
            <w:r>
              <w:rPr>
                <w:rFonts w:hint="eastAsia"/>
                <w:szCs w:val="21"/>
              </w:rPr>
              <w:t xml:space="preserve">）投标文件未符合“方案”中全部条款要求的，视为不符合招标文件，本项得</w:t>
            </w:r>
            <w:r>
              <w:rPr>
                <w:rFonts w:hint="eastAsia"/>
                <w:szCs w:val="21"/>
              </w:rPr>
              <w:t xml:space="preserve">0</w:t>
            </w:r>
            <w:r>
              <w:rPr>
                <w:rFonts w:hint="eastAsia"/>
                <w:szCs w:val="21"/>
              </w:rPr>
              <w:t xml:space="preserve">分。</w:t>
            </w:r>
            <w:r/>
          </w:p>
          <w:p>
            <w:pPr>
              <w:jc w:val="left"/>
              <w:spacing w:line="378" w:lineRule="exact"/>
              <w:rPr>
                <w:szCs w:val="21"/>
              </w:rPr>
            </w:pPr>
            <w:r>
              <w:rPr>
                <w:rFonts w:hint="eastAsia"/>
                <w:szCs w:val="21"/>
              </w:rPr>
              <w:t xml:space="preserve">（</w:t>
            </w:r>
            <w:r>
              <w:rPr>
                <w:rFonts w:hint="eastAsia"/>
                <w:szCs w:val="21"/>
              </w:rPr>
              <w:t xml:space="preserve">2</w:t>
            </w:r>
            <w:r>
              <w:rPr>
                <w:rFonts w:hint="eastAsia"/>
                <w:szCs w:val="21"/>
              </w:rPr>
              <w:t xml:space="preserve">）投标文件符合“方案”中全部条款要求的，视为符合招标文件，本项得</w:t>
            </w:r>
            <w:r>
              <w:rPr>
                <w:rFonts w:hint="eastAsia"/>
                <w:szCs w:val="21"/>
              </w:rPr>
              <w:t xml:space="preserve">2</w:t>
            </w:r>
            <w:r>
              <w:rPr>
                <w:rFonts w:hint="eastAsia"/>
                <w:szCs w:val="21"/>
              </w:rPr>
              <w:t xml:space="preserve">分。</w:t>
            </w:r>
            <w:r/>
          </w:p>
          <w:p>
            <w:pPr>
              <w:jc w:val="left"/>
              <w:spacing w:line="378" w:lineRule="exact"/>
              <w:rPr>
                <w:szCs w:val="21"/>
              </w:rPr>
            </w:pPr>
            <w:r>
              <w:rPr>
                <w:rFonts w:hint="eastAsia"/>
                <w:szCs w:val="21"/>
              </w:rPr>
              <w:t xml:space="preserve">（</w:t>
            </w:r>
            <w:r>
              <w:rPr>
                <w:rFonts w:hint="eastAsia"/>
                <w:szCs w:val="21"/>
              </w:rPr>
              <w:t xml:space="preserve">3</w:t>
            </w:r>
            <w:r>
              <w:rPr>
                <w:rFonts w:hint="eastAsia"/>
                <w:szCs w:val="21"/>
              </w:rPr>
              <w:t xml:space="preserve">）投标文件对“方案”中全部条款全部优于招标文件要求的，本项得</w:t>
            </w:r>
            <w:r>
              <w:rPr>
                <w:szCs w:val="21"/>
              </w:rPr>
              <w:t xml:space="preserve">4</w:t>
            </w:r>
            <w:r>
              <w:rPr>
                <w:rFonts w:hint="eastAsia"/>
                <w:szCs w:val="21"/>
              </w:rPr>
              <w:t xml:space="preserve">分。</w:t>
            </w:r>
            <w:r/>
          </w:p>
          <w:p>
            <w:pPr>
              <w:jc w:val="left"/>
              <w:spacing w:line="378" w:lineRule="exact"/>
              <w:rPr>
                <w:szCs w:val="21"/>
              </w:rPr>
            </w:pPr>
            <w:r>
              <w:rPr>
                <w:szCs w:val="21"/>
              </w:rPr>
              <w:t xml:space="preserve">2</w:t>
            </w:r>
            <w:r>
              <w:rPr>
                <w:rFonts w:hint="eastAsia"/>
                <w:szCs w:val="21"/>
              </w:rPr>
              <w:t xml:space="preserve">、售后服务方案：投标人根据招标文件要求提供具体详实的售后服务方案</w:t>
            </w:r>
            <w:r/>
          </w:p>
          <w:p>
            <w:pPr>
              <w:jc w:val="left"/>
              <w:spacing w:line="378" w:lineRule="exact"/>
              <w:rPr>
                <w:szCs w:val="21"/>
              </w:rPr>
            </w:pPr>
            <w:r>
              <w:rPr>
                <w:rFonts w:hint="eastAsia"/>
                <w:szCs w:val="21"/>
              </w:rPr>
              <w:t xml:space="preserve">（</w:t>
            </w:r>
            <w:r>
              <w:rPr>
                <w:rFonts w:hint="eastAsia"/>
                <w:szCs w:val="21"/>
              </w:rPr>
              <w:t xml:space="preserve">1</w:t>
            </w:r>
            <w:r>
              <w:rPr>
                <w:rFonts w:hint="eastAsia"/>
                <w:szCs w:val="21"/>
              </w:rPr>
              <w:t xml:space="preserve">）投标文件未符合“方案”中全部条款要求的，视为不符合招标文件，本项得</w:t>
            </w:r>
            <w:r>
              <w:rPr>
                <w:rFonts w:hint="eastAsia"/>
                <w:szCs w:val="21"/>
              </w:rPr>
              <w:t xml:space="preserve">0</w:t>
            </w:r>
            <w:r>
              <w:rPr>
                <w:rFonts w:hint="eastAsia"/>
                <w:szCs w:val="21"/>
              </w:rPr>
              <w:t xml:space="preserve">分。</w:t>
            </w:r>
            <w:r/>
          </w:p>
          <w:p>
            <w:pPr>
              <w:jc w:val="left"/>
              <w:spacing w:line="378" w:lineRule="exact"/>
              <w:rPr>
                <w:szCs w:val="21"/>
              </w:rPr>
            </w:pPr>
            <w:r>
              <w:rPr>
                <w:rFonts w:hint="eastAsia"/>
                <w:szCs w:val="21"/>
              </w:rPr>
              <w:t xml:space="preserve">（</w:t>
            </w:r>
            <w:r>
              <w:rPr>
                <w:rFonts w:hint="eastAsia"/>
                <w:szCs w:val="21"/>
              </w:rPr>
              <w:t xml:space="preserve">2</w:t>
            </w:r>
            <w:r>
              <w:rPr>
                <w:rFonts w:hint="eastAsia"/>
                <w:szCs w:val="21"/>
              </w:rPr>
              <w:t xml:space="preserve">）投标文件符合“方案”中全部条款要求的，视为符合招标文件，本项得</w:t>
            </w:r>
            <w:r>
              <w:rPr>
                <w:rFonts w:hint="eastAsia"/>
                <w:szCs w:val="21"/>
              </w:rPr>
              <w:t xml:space="preserve">3</w:t>
            </w:r>
            <w:r>
              <w:rPr>
                <w:rFonts w:hint="eastAsia"/>
                <w:szCs w:val="21"/>
              </w:rPr>
              <w:t xml:space="preserve">分。</w:t>
            </w:r>
            <w:r/>
          </w:p>
          <w:p>
            <w:pPr>
              <w:jc w:val="left"/>
              <w:spacing w:line="378" w:lineRule="exact"/>
              <w:rPr>
                <w:szCs w:val="21"/>
              </w:rPr>
            </w:pPr>
            <w:r>
              <w:rPr>
                <w:rFonts w:hint="eastAsia"/>
                <w:szCs w:val="21"/>
              </w:rPr>
              <w:t xml:space="preserve">（</w:t>
            </w:r>
            <w:r>
              <w:rPr>
                <w:rFonts w:hint="eastAsia"/>
                <w:szCs w:val="21"/>
              </w:rPr>
              <w:t xml:space="preserve">3</w:t>
            </w:r>
            <w:r>
              <w:rPr>
                <w:rFonts w:hint="eastAsia"/>
                <w:szCs w:val="21"/>
              </w:rPr>
              <w:t xml:space="preserve">）投标文件对“方案”中全部条款全部优于招标文件要求的，本项得</w:t>
            </w:r>
            <w:r>
              <w:rPr>
                <w:szCs w:val="21"/>
              </w:rPr>
              <w:t xml:space="preserve">5</w:t>
            </w:r>
            <w:r>
              <w:rPr>
                <w:rFonts w:hint="eastAsia"/>
                <w:szCs w:val="21"/>
              </w:rPr>
              <w:t xml:space="preserve">分。</w:t>
            </w:r>
            <w:r/>
          </w:p>
          <w:p>
            <w:pPr>
              <w:jc w:val="left"/>
              <w:spacing w:line="378" w:lineRule="exact"/>
              <w:rPr>
                <w:szCs w:val="21"/>
              </w:rPr>
            </w:pPr>
            <w:r>
              <w:rPr>
                <w:szCs w:val="21"/>
              </w:rPr>
              <w:t xml:space="preserve">3</w:t>
            </w:r>
            <w:r>
              <w:rPr>
                <w:rFonts w:hint="eastAsia"/>
                <w:szCs w:val="21"/>
              </w:rPr>
              <w:t xml:space="preserve">、培训方案：投标人应根据招标文件要求提供具体详实的项目培训方案</w:t>
            </w:r>
            <w:r/>
          </w:p>
          <w:p>
            <w:pPr>
              <w:jc w:val="left"/>
              <w:spacing w:line="378" w:lineRule="exact"/>
              <w:rPr>
                <w:szCs w:val="21"/>
              </w:rPr>
            </w:pPr>
            <w:r>
              <w:rPr>
                <w:rFonts w:hint="eastAsia"/>
                <w:szCs w:val="21"/>
              </w:rPr>
              <w:t xml:space="preserve">（</w:t>
            </w:r>
            <w:r>
              <w:rPr>
                <w:rFonts w:hint="eastAsia"/>
                <w:szCs w:val="21"/>
              </w:rPr>
              <w:t xml:space="preserve">1</w:t>
            </w:r>
            <w:r>
              <w:rPr>
                <w:rFonts w:hint="eastAsia"/>
                <w:szCs w:val="21"/>
              </w:rPr>
              <w:t xml:space="preserve">）投标文件未符合“方案”中全部条款要求的，视为不符合招标文件，本项得</w:t>
            </w:r>
            <w:r>
              <w:rPr>
                <w:rFonts w:hint="eastAsia"/>
                <w:szCs w:val="21"/>
              </w:rPr>
              <w:t xml:space="preserve">0</w:t>
            </w:r>
            <w:r>
              <w:rPr>
                <w:rFonts w:hint="eastAsia"/>
                <w:szCs w:val="21"/>
              </w:rPr>
              <w:t xml:space="preserve">分。</w:t>
            </w:r>
            <w:r/>
          </w:p>
          <w:p>
            <w:pPr>
              <w:jc w:val="left"/>
              <w:spacing w:line="378" w:lineRule="exact"/>
              <w:rPr>
                <w:szCs w:val="21"/>
              </w:rPr>
            </w:pPr>
            <w:r>
              <w:rPr>
                <w:rFonts w:hint="eastAsia"/>
                <w:szCs w:val="21"/>
              </w:rPr>
              <w:t xml:space="preserve">（</w:t>
            </w:r>
            <w:r>
              <w:rPr>
                <w:rFonts w:hint="eastAsia"/>
                <w:szCs w:val="21"/>
              </w:rPr>
              <w:t xml:space="preserve">2</w:t>
            </w:r>
            <w:r>
              <w:rPr>
                <w:rFonts w:hint="eastAsia"/>
                <w:szCs w:val="21"/>
              </w:rPr>
              <w:t xml:space="preserve">）投标文件符合“方案”中全部条款要求的，视为符合招标文件，本项得</w:t>
            </w:r>
            <w:r>
              <w:rPr>
                <w:rFonts w:hint="eastAsia"/>
                <w:szCs w:val="21"/>
              </w:rPr>
              <w:t xml:space="preserve">2</w:t>
            </w:r>
            <w:r>
              <w:rPr>
                <w:rFonts w:hint="eastAsia"/>
                <w:szCs w:val="21"/>
              </w:rPr>
              <w:t xml:space="preserve">分。</w:t>
            </w:r>
            <w:r/>
          </w:p>
          <w:p>
            <w:pPr>
              <w:jc w:val="left"/>
              <w:spacing w:line="378" w:lineRule="exact"/>
            </w:pPr>
            <w:r>
              <w:rPr>
                <w:rFonts w:hint="eastAsia"/>
                <w:szCs w:val="21"/>
              </w:rPr>
              <w:t xml:space="preserve">（</w:t>
            </w:r>
            <w:r>
              <w:rPr>
                <w:rFonts w:hint="eastAsia"/>
                <w:szCs w:val="21"/>
              </w:rPr>
              <w:t xml:space="preserve">3</w:t>
            </w:r>
            <w:r>
              <w:rPr>
                <w:rFonts w:hint="eastAsia"/>
                <w:szCs w:val="21"/>
              </w:rPr>
              <w:t xml:space="preserve">）投标文件对“方案”中全部条款全部优于招标文件要求的，本项得</w:t>
            </w:r>
            <w:r>
              <w:rPr>
                <w:szCs w:val="21"/>
              </w:rPr>
              <w:t xml:space="preserve">4</w:t>
            </w:r>
            <w:r>
              <w:rPr>
                <w:rFonts w:hint="eastAsia"/>
                <w:szCs w:val="21"/>
              </w:rPr>
              <w:t xml:space="preserve">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Borders>
              <w:top w:val="single" w:color="000000" w:sz="6" w:space="0"/>
              <w:left w:val="single" w:color="000000" w:sz="12" w:space="0"/>
              <w:bottom w:val="singl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pPr>
            <w:r>
              <w:rPr>
                <w:rFonts w:ascii="宋体" w:hAnsi="宋体" w:cs="宋体"/>
              </w:rPr>
              <w:t xml:space="preserve">业绩</w:t>
            </w:r>
            <w:r/>
          </w:p>
        </w:tc>
        <w:tc>
          <w:tcPr>
            <w:tcBorders>
              <w:top w:val="single" w:color="000000" w:sz="6" w:space="0"/>
              <w:left w:val="single" w:color="000000" w:sz="6" w:space="0"/>
              <w:bottom w:val="singl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pPr>
            <w:r>
              <w:rPr>
                <w:rFonts w:ascii="宋体" w:hAnsi="宋体" w:cs="宋体"/>
              </w:rPr>
              <w:t xml:space="preserve">4</w:t>
            </w:r>
            <w:r/>
          </w:p>
        </w:tc>
        <w:tc>
          <w:tcPr>
            <w:tcBorders>
              <w:top w:val="single" w:color="000000" w:sz="6" w:space="0"/>
              <w:left w:val="single" w:color="000000" w:sz="6" w:space="0"/>
              <w:bottom w:val="single" w:color="000000" w:sz="4" w:space="0"/>
              <w:right w:val="none" w:color="000000" w:sz="4" w:space="0"/>
            </w:tcBorders>
            <w:tcMar>
              <w:left w:w="20" w:type="dxa"/>
              <w:top w:w="20" w:type="dxa"/>
              <w:right w:w="20" w:type="dxa"/>
              <w:bottom w:w="20" w:type="dxa"/>
            </w:tcMar>
            <w:tcW w:w="7080" w:type="dxa"/>
            <w:textDirection w:val="lrTb"/>
            <w:noWrap w:val="false"/>
          </w:tcPr>
          <w:p>
            <w:pPr>
              <w:jc w:val="left"/>
              <w:spacing w:line="378" w:lineRule="exact"/>
            </w:pPr>
            <w:r>
              <w:rPr>
                <w:rFonts w:ascii="宋体" w:hAnsi="宋体" w:cs="宋体"/>
              </w:rPr>
              <w:t xml:space="preserve">所投同类产品近三年(2023年1月以来)的类似业绩。每提供一份有效合同复印件得1分，最多得4分。提供合同复印件。</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Borders>
              <w:top w:val="single" w:color="000000" w:sz="4" w:space="0"/>
              <w:left w:val="single" w:color="000000" w:sz="4" w:space="0"/>
              <w:bottom w:val="singl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78" w:lineRule="exact"/>
              <w:rPr>
                <w:rFonts w:hint="eastAsia" w:ascii="宋体" w:hAnsi="宋体" w:cs="宋体"/>
              </w:rPr>
            </w:pPr>
            <w:r>
              <w:rPr>
                <w:rFonts w:hint="eastAsia" w:ascii="宋体" w:hAnsi="宋体" w:cs="宋体"/>
              </w:rPr>
              <w:t xml:space="preserve">节能环保</w:t>
            </w:r>
            <w:r/>
          </w:p>
        </w:tc>
        <w:tc>
          <w:tcPr>
            <w:tcBorders>
              <w:top w:val="single" w:color="000000" w:sz="4" w:space="0"/>
              <w:left w:val="single" w:color="000000" w:sz="6" w:space="0"/>
              <w:bottom w:val="singl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6" w:space="0"/>
              <w:bottom w:val="single" w:color="000000" w:sz="4" w:space="0"/>
              <w:right w:val="single" w:color="000000" w:sz="4" w:space="0"/>
            </w:tcBorders>
            <w:tcMar>
              <w:left w:w="20" w:type="dxa"/>
              <w:top w:w="20" w:type="dxa"/>
              <w:right w:w="20" w:type="dxa"/>
              <w:bottom w:w="20" w:type="dxa"/>
            </w:tcMar>
            <w:tcW w:w="7080" w:type="dxa"/>
            <w:textDirection w:val="lrTb"/>
            <w:noWrap w:val="false"/>
          </w:tcPr>
          <w:p>
            <w:pPr>
              <w:jc w:val="left"/>
              <w:spacing w:line="378" w:lineRule="exact"/>
              <w:rPr>
                <w:rFonts w:hint="eastAsia" w:ascii="宋体" w:hAnsi="宋体" w:cs="宋体"/>
              </w:rPr>
            </w:pPr>
            <w:r>
              <w:rPr>
                <w:rFonts w:hint="eastAsia" w:ascii="宋体" w:hAnsi="宋体" w:cs="宋体"/>
              </w:rPr>
              <w:t xml:space="preserve">投标产品属于财政部、国家发改委公布的“节能产品品目清单”范围内的，投标人提供国家确定的认证机构出具的、处于有效期之内的该节能产品认证证书复印件的（认证证书中产品名称须与采购需求产品相符），有1个得0.5分，最多得1分。</w:t>
            </w:r>
            <w:r/>
          </w:p>
          <w:p>
            <w:pPr>
              <w:jc w:val="left"/>
              <w:spacing w:line="378" w:lineRule="exact"/>
              <w:rPr>
                <w:rFonts w:hint="eastAsia" w:ascii="宋体" w:hAnsi="宋体" w:cs="宋体"/>
              </w:rPr>
            </w:pPr>
            <w:r>
              <w:rPr>
                <w:rFonts w:hint="eastAsia" w:ascii="宋体" w:hAnsi="宋体" w:cs="宋体"/>
              </w:rPr>
              <w:t xml:space="preserve">投标产品属于财政部、生态环境部公布的“环境标志产品品目清单”范围内的，投标人提供国家确定的认证机构出具的、处于有效期内的该投标产品环境标志产品认证证书复印件的（认证证书中产品名称须与采购需求产品相符），有1个得0.5分，最多得1分。</w:t>
            </w:r>
            <w:r/>
          </w:p>
        </w:tc>
        <w:tc>
          <w:tcPr>
            <w:tcBorders>
              <w:top w:val="none" w:color="000000" w:sz="4" w:space="0"/>
              <w:left w:val="single" w:color="000000" w:sz="4"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pPr>
            <w:r/>
            <w:r/>
          </w:p>
        </w:tc>
      </w:tr>
    </w:tbl>
    <w:p>
      <w:r/>
      <w:r/>
    </w:p>
    <w:p>
      <w:pPr>
        <w:jc w:val="center"/>
        <w:keepNext/>
        <w:spacing w:line="400" w:lineRule="exact"/>
        <w:rPr>
          <w:rFonts w:hint="eastAsia" w:ascii="黑体" w:hAnsi="黑体" w:eastAsia="黑体"/>
          <w:b/>
          <w:bCs/>
          <w:sz w:val="28"/>
          <w:szCs w:val="28"/>
        </w:rPr>
        <w:outlineLvl w:val="0"/>
      </w:pPr>
      <w:r>
        <w:rPr>
          <w:rFonts w:hint="eastAsia" w:ascii="黑体" w:hAnsi="黑体" w:eastAsia="黑体"/>
          <w:b/>
          <w:bCs/>
          <w:sz w:val="28"/>
          <w:szCs w:val="28"/>
        </w:rPr>
        <w:br w:type="page" w:clear="all"/>
      </w:r>
      <w:bookmarkStart w:id="76" w:name="_Toc233969290"/>
      <w:r>
        <w:rPr>
          <w:rFonts w:hint="eastAsia" w:ascii="方正黑体_GBK" w:hAnsi="方正黑体_GBK" w:eastAsia="方正黑体_GBK" w:cs="方正黑体_GBK"/>
          <w:sz w:val="28"/>
          <w:szCs w:val="28"/>
        </w:rPr>
        <w:t xml:space="preserve">第六章  投标</w:t>
      </w:r>
      <w:bookmarkEnd w:id="72"/>
      <w:r/>
      <w:bookmarkEnd w:id="73"/>
      <w:r/>
      <w:bookmarkEnd w:id="74"/>
      <w:r>
        <w:rPr>
          <w:rFonts w:hint="eastAsia" w:ascii="方正黑体_GBK" w:hAnsi="方正黑体_GBK" w:eastAsia="方正黑体_GBK" w:cs="方正黑体_GBK"/>
          <w:sz w:val="28"/>
          <w:szCs w:val="28"/>
        </w:rPr>
        <w:t xml:space="preserve">文件格式</w:t>
      </w:r>
      <w:bookmarkEnd w:id="76"/>
      <w:r/>
      <w:r/>
    </w:p>
    <w:p>
      <w:pPr>
        <w:jc w:val="center"/>
        <w:spacing w:line="400" w:lineRule="exact"/>
        <w:rPr>
          <w:rFonts w:hint="eastAsia" w:ascii="宋体" w:hAnsi="宋体"/>
          <w:b/>
          <w:sz w:val="28"/>
          <w:szCs w:val="28"/>
        </w:rPr>
      </w:pPr>
      <w:r/>
      <w:bookmarkStart w:id="77" w:name="_Hlt26955039"/>
      <w:r/>
      <w:bookmarkStart w:id="78" w:name="_Hlt26671244"/>
      <w:r/>
      <w:bookmarkStart w:id="79" w:name="_Toc49090576"/>
      <w:r/>
      <w:bookmarkStart w:id="80" w:name="_Toc120614282"/>
      <w:r/>
      <w:bookmarkStart w:id="81" w:name="_Toc26554094"/>
      <w:r/>
      <w:bookmarkEnd w:id="77"/>
      <w:r/>
      <w:bookmarkEnd w:id="78"/>
      <w:r/>
      <w:r/>
    </w:p>
    <w:p>
      <w:pPr>
        <w:jc w:val="center"/>
        <w:spacing w:line="400" w:lineRule="exact"/>
        <w:rPr>
          <w:rFonts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p>
    <w:p>
      <w:pPr>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p>
    <w:p>
      <w:pPr>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br w:type="page" w:clear="all"/>
      </w:r>
      <w:r>
        <w:rPr>
          <w:rFonts w:hint="eastAsia" w:ascii="方正黑体_GBK" w:hAnsi="方正黑体_GBK" w:eastAsia="方正黑体_GBK" w:cs="方正黑体_GBK"/>
          <w:sz w:val="28"/>
          <w:szCs w:val="28"/>
        </w:rPr>
        <w:t xml:space="preserve">投标文件的组成</w:t>
      </w:r>
      <w:r/>
    </w:p>
    <w:p>
      <w:pPr>
        <w:jc w:val="center"/>
        <w:spacing w:line="400" w:lineRule="exact"/>
        <w:rPr>
          <w:rFonts w:hint="eastAsia" w:ascii="宋体" w:hAnsi="宋体"/>
          <w:b/>
          <w:bCs/>
          <w:sz w:val="28"/>
          <w:szCs w:val="28"/>
        </w:rPr>
      </w:pPr>
      <w:r>
        <w:rPr>
          <w:rFonts w:hint="eastAsia" w:ascii="宋体" w:hAnsi="宋体"/>
          <w:b/>
          <w:bCs/>
          <w:sz w:val="28"/>
          <w:szCs w:val="28"/>
        </w:rPr>
      </w:r>
      <w:r/>
    </w:p>
    <w:p>
      <w:pPr>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2.投标分项报价表（格式见附件2）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w:t>
      </w:r>
      <w:r/>
    </w:p>
    <w:p>
      <w:pPr>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上一年度的财务状况报告（投标人成立不满一年无需提供）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eastAsia="方正仿宋_GBK"/>
          <w:sz w:val="28"/>
          <w:szCs w:val="28"/>
        </w:rPr>
        <w:t xml:space="preserve">（</w:t>
      </w:r>
      <w:r>
        <w:rPr>
          <w:rFonts w:eastAsia="方正仿宋_GBK"/>
          <w:sz w:val="28"/>
          <w:szCs w:val="28"/>
        </w:rPr>
        <w:t xml:space="preserve">www.creditchina.gov.cn</w:t>
      </w:r>
      <w:r>
        <w:rPr>
          <w:rFonts w:eastAsia="方正仿宋_GBK"/>
          <w:sz w:val="28"/>
          <w:szCs w:val="28"/>
        </w:rPr>
        <w:t xml:space="preserve">）</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总备注：上述“资格审查内容”中1-6条、8、9条投标人必须在投标文件中提供相关材料，否则作无效投标处理。</w:t>
      </w:r>
      <w:r/>
    </w:p>
    <w:p>
      <w:pPr>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的实质性要求逐条做出响应，并按照招标文件要求提供证明材料，否则作无效投标处理。（格式见附件11）</w:t>
      </w:r>
      <w:r/>
    </w:p>
    <w:p>
      <w:pPr>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3.关于符合本国产品标准的声明函（格式见附件12）</w:t>
      </w:r>
      <w:r/>
    </w:p>
    <w:p>
      <w:pPr>
        <w:ind w:firstLine="480"/>
        <w:spacing w:line="400" w:lineRule="exact"/>
        <w:rPr>
          <w:rFonts w:hint="eastAsia" w:ascii="宋体" w:hAnsi="宋体"/>
          <w:sz w:val="24"/>
          <w:szCs w:val="21"/>
        </w:rPr>
      </w:pPr>
      <w:r>
        <w:rPr>
          <w:rFonts w:hint="eastAsia" w:ascii="宋体" w:hAnsi="宋体"/>
          <w:sz w:val="24"/>
          <w:szCs w:val="21"/>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附件1 开标一览表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gridSpan w:val="2"/>
            <w:tcW w:w="8886"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r>
        <w:trPr>
          <w:cantSplit/>
          <w:trHeight w:val="505"/>
        </w:trPr>
        <w:tc>
          <w:tcPr>
            <w:tcW w:w="248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p>
        </w:tc>
        <w:tc>
          <w:tcPr>
            <w:tcW w:w="640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spacing w:line="400" w:lineRule="exact"/>
        <w:rPr>
          <w:rFonts w:hint="eastAsia" w:ascii="宋体" w:hAnsi="宋体"/>
          <w:sz w:val="28"/>
          <w:szCs w:val="28"/>
        </w:rPr>
      </w:pPr>
      <w:r>
        <w:rPr>
          <w:rFonts w:hint="eastAsia" w:ascii="宋体" w:hAnsi="宋体"/>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附件2 投标分项报价表（采购包号：XX）</w:t>
      </w:r>
      <w:r/>
    </w:p>
    <w:tbl>
      <w:tblPr>
        <w:tblW w:w="9514" w:type="dxa"/>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514" w:type="dxa"/>
            <w:textDirection w:val="lrTb"/>
            <w:noWrap w:val="false"/>
          </w:tcPr>
          <w:p>
            <w:pPr>
              <w:pStyle w:val="1044"/>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400" w:lineRule="exact"/>
        <w:rPr>
          <w:rFonts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附件4-1  证明材料1，证明材料2，……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Start w:id="82" w:name="_Toc120614284"/>
      <w:r/>
      <w:bookmarkEnd w:id="79"/>
      <w:r/>
      <w:bookmarkEnd w:id="80"/>
      <w:r/>
      <w:bookmarkEnd w:id="81"/>
      <w:r/>
      <w:r/>
    </w:p>
    <w:p>
      <w:pPr>
        <w:spacing w:line="400" w:lineRule="exact"/>
        <w:rPr>
          <w:rFonts w:hint="eastAsia" w:ascii="宋体" w:hAnsi="宋体"/>
          <w:b/>
          <w:sz w:val="28"/>
          <w:szCs w:val="28"/>
        </w:rPr>
      </w:pPr>
      <w:r>
        <w:rPr>
          <w:rFonts w:hint="eastAsia" w:ascii="宋体" w:hAnsi="宋体"/>
          <w:b/>
          <w:sz w:val="28"/>
          <w:szCs w:val="28"/>
        </w:rPr>
      </w:r>
      <w:r/>
    </w:p>
    <w:p>
      <w:pPr>
        <w:ind w:firstLine="480"/>
        <w:spacing w:line="400" w:lineRule="exact"/>
        <w:rPr>
          <w:rFonts w:hint="eastAsia" w:ascii="宋体" w:hAnsi="宋体"/>
          <w:b/>
          <w:sz w:val="28"/>
          <w:szCs w:val="28"/>
        </w:rPr>
      </w:pPr>
      <w:r>
        <w:rPr>
          <w:rFonts w:hint="eastAsia" w:ascii="宋体" w:hAnsi="宋体"/>
          <w:b/>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（投标人名称）授权</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bookmarkStart w:id="83" w:name="_格式3__银行出具的资信证明"/>
      <w:r/>
      <w:bookmarkStart w:id="84" w:name="_Hlt26671380"/>
      <w:r/>
      <w:bookmarkStart w:id="85" w:name="_Hlt26955070"/>
      <w:r/>
      <w:bookmarkEnd w:id="83"/>
      <w:r/>
      <w:bookmarkEnd w:id="84"/>
      <w:r/>
      <w:bookmarkEnd w:id="85"/>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420"/>
        <w:spacing w:line="400" w:lineRule="exact"/>
        <w:rPr>
          <w:sz w:val="28"/>
          <w:szCs w:val="28"/>
        </w:rPr>
      </w:pPr>
      <w:r>
        <w:rPr>
          <w:sz w:val="28"/>
          <w:szCs w:val="28"/>
        </w:rPr>
      </w:r>
      <w:r/>
    </w:p>
    <w:p>
      <w:pPr>
        <w:spacing w:line="400" w:lineRule="exact"/>
        <w:rPr>
          <w:rFonts w:hint="eastAsia" w:ascii="黑体" w:hAnsi="黑体" w:eastAsia="黑体"/>
          <w:b/>
          <w:i/>
          <w:sz w:val="28"/>
          <w:szCs w:val="28"/>
          <w:u w:val="single"/>
        </w:rPr>
      </w:pPr>
      <w:r>
        <w:rPr>
          <w:rFonts w:ascii="宋体" w:hAnsi="宋体" w:eastAsia="幼圆" w:cs="Arial"/>
          <w:b/>
          <w:sz w:val="28"/>
          <w:szCs w:val="28"/>
        </w:rPr>
        <w:br w:type="page" w:clear="all"/>
      </w:r>
      <w:r>
        <w:rPr>
          <w:rFonts w:hint="eastAsia" w:ascii="方正黑体_GBK" w:hAnsi="方正黑体_GBK" w:eastAsia="方正黑体_GBK" w:cs="方正黑体_GBK"/>
          <w:bCs/>
          <w:sz w:val="28"/>
          <w:szCs w:val="28"/>
        </w:rPr>
        <w:t xml:space="preserve">附件8                    投标函</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项目（项目名称）的招标文件，正式授权下述签字人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（投标人的名称），全权处理本次项目投标的有关事宜。</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1.按招标文件规定的各项要求，向买方提供所需货物（包含与货物相关的服务）。</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ind w:left="420" w:firstLine="560"/>
        <w:jc w:val="left"/>
        <w:spacing w:line="400" w:lineRule="exact"/>
        <w:rPr>
          <w:rFonts w:hint="eastAsia" w:ascii="宋体" w:hAnsi="宋体"/>
          <w:sz w:val="28"/>
          <w:szCs w:val="28"/>
        </w:rPr>
      </w:pPr>
      <w:r>
        <w:rPr>
          <w:rFonts w:hint="eastAsia" w:ascii="宋体" w:hAnsi="宋体"/>
          <w:sz w:val="28"/>
          <w:szCs w:val="28"/>
        </w:rPr>
      </w:r>
      <w:r/>
    </w:p>
    <w:p>
      <w:pPr>
        <w:ind w:left="38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ind w:left="3830"/>
        <w:jc w:val="left"/>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日    期：___年____月____日</w:t>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spacing w:line="36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中小微企业声明函（货物类项目）（采购包号：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p>
    <w:p>
      <w:pPr>
        <w:ind w:firstLine="560"/>
        <w:spacing w:line="36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36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jc w:val="right"/>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p>
    <w:p>
      <w:pPr>
        <w:ind w:right="480" w:firstLine="364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期：___年____月____日</w:t>
      </w:r>
      <w:r/>
    </w:p>
    <w:p>
      <w:pPr>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left"/>
        <w:spacing w:line="360" w:lineRule="exact"/>
        <w:rPr>
          <w:rFonts w:hint="eastAsia" w:ascii="宋体" w:hAnsi="宋体"/>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sz w:val="28"/>
          <w:szCs w:val="28"/>
        </w:rPr>
        <w:t xml:space="preserve">        </w:t>
      </w:r>
      <w:r/>
    </w:p>
    <w:p>
      <w:pPr>
        <w:ind w:firstLine="560"/>
        <w:jc w:val="left"/>
        <w:spacing w:line="400" w:lineRule="exact"/>
        <w:rPr>
          <w:rFonts w:hint="eastAsia" w:ascii="宋体" w:hAnsi="宋体"/>
          <w:sz w:val="28"/>
          <w:szCs w:val="28"/>
        </w:rPr>
      </w:pPr>
      <w:r>
        <w:rPr>
          <w:rFonts w:hint="eastAsia" w:ascii="宋体" w:hAnsi="宋体"/>
          <w:sz w:val="28"/>
          <w:szCs w:val="28"/>
        </w:rPr>
      </w:r>
      <w:r/>
    </w:p>
    <w:p>
      <w:pPr>
        <w:ind w:firstLine="560"/>
        <w:jc w:val="left"/>
        <w:spacing w:line="400" w:lineRule="exact"/>
        <w:rPr>
          <w:rFonts w:hint="eastAsia" w:ascii="宋体" w:hAnsi="宋体"/>
          <w:sz w:val="28"/>
          <w:szCs w:val="28"/>
        </w:rPr>
      </w:pPr>
      <w:r>
        <w:rPr>
          <w:rFonts w:hint="eastAsia" w:ascii="宋体" w:hAnsi="宋体"/>
          <w:sz w:val="28"/>
          <w:szCs w:val="28"/>
        </w:rPr>
      </w:r>
      <w:r/>
    </w:p>
    <w:p>
      <w:pPr>
        <w:jc w:val="left"/>
        <w:spacing w:line="400" w:lineRule="exact"/>
        <w:rPr>
          <w:rFonts w:hint="eastAsia" w:ascii="宋体" w:hAnsi="宋体"/>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sz w:val="28"/>
          <w:szCs w:val="28"/>
        </w:rPr>
        <w:t xml:space="preserve">JSZC-320000-SCZX-G20XX-XXXX</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spacing w:line="400" w:lineRule="exact"/>
        <w:rPr>
          <w:rFonts w:ascii="仿宋_GB2312" w:eastAsia="仿宋_GB2312"/>
          <w:spacing w:val="6"/>
          <w:sz w:val="28"/>
          <w:szCs w:val="28"/>
        </w:rPr>
      </w:pPr>
      <w:r>
        <w:rPr>
          <w:rFonts w:ascii="仿宋_GB2312" w:eastAsia="仿宋_GB2312"/>
          <w:spacing w:val="6"/>
          <w:sz w:val="28"/>
          <w:szCs w:val="28"/>
        </w:rPr>
      </w:r>
      <w:r/>
    </w:p>
    <w:p>
      <w:pPr>
        <w:ind w:right="180" w:firstLine="584"/>
        <w:jc w:val="right"/>
        <w:spacing w:line="400" w:lineRule="exact"/>
        <w:rPr>
          <w:rFonts w:hint="eastAsia"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期：___年____月____日 </w:t>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ind w:firstLine="645"/>
        <w:spacing w:line="400" w:lineRule="exact"/>
        <w:rPr>
          <w:rFonts w:hint="eastAsia" w:ascii="宋体" w:hAnsi="宋体"/>
          <w:sz w:val="28"/>
          <w:szCs w:val="28"/>
        </w:rPr>
      </w:pPr>
      <w:r>
        <w:rPr>
          <w:rFonts w:hint="eastAsia" w:ascii="宋体" w:hAnsi="宋体"/>
          <w:sz w:val="28"/>
          <w:szCs w:val="28"/>
        </w:rPr>
      </w:r>
      <w:r/>
    </w:p>
    <w:p>
      <w:pPr>
        <w:jc w:val="left"/>
        <w:spacing w:line="400" w:lineRule="exact"/>
        <w:rPr>
          <w:rFonts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附件11实质性要求响应及偏离表（采购包号：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spacing w:line="400" w:lineRule="exact"/>
        <w:rPr>
          <w:rFonts w:hint="eastAsia" w:ascii="宋体" w:hAnsi="宋体"/>
          <w:sz w:val="28"/>
          <w:szCs w:val="28"/>
        </w:rPr>
      </w:pPr>
      <w:r>
        <w:rPr>
          <w:rFonts w:hint="eastAsia" w:ascii="宋体" w:hAnsi="宋体"/>
          <w:sz w:val="28"/>
          <w:szCs w:val="28"/>
        </w:rPr>
      </w:r>
      <w:r/>
    </w:p>
    <w:p>
      <w:pPr>
        <w:jc w:val="left"/>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附件12  关于符合本国产品标准的声明函（采购包号：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1044"/>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56"/>
          <w:rFonts w:hint="eastAsia" w:ascii="方正仿宋_GBK" w:hAnsi="方正仿宋_GBK" w:eastAsia="方正仿宋_GBK" w:cs="方正仿宋_GBK"/>
          <w:i w:val="0"/>
          <w:sz w:val="28"/>
          <w:szCs w:val="28"/>
          <w:u w:val="single"/>
          <w:shd w:val="clear" w:color="auto" w:fill="ffffff"/>
        </w:rPr>
        <w:t xml:space="preserve">（产品名称1）</w:t>
      </w:r>
      <w:r>
        <w:rPr>
          <w:rStyle w:val="1056"/>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56"/>
          <w:rFonts w:hint="eastAsia" w:ascii="方正仿宋_GBK" w:hAnsi="方正仿宋_GBK" w:eastAsia="方正仿宋_GBK" w:cs="方正仿宋_GBK"/>
          <w:i w:val="0"/>
          <w:sz w:val="28"/>
          <w:szCs w:val="28"/>
          <w:u w:val="single"/>
          <w:shd w:val="clear" w:color="auto" w:fill="ffffff"/>
        </w:rPr>
        <w:t xml:space="preserve">（厂名）</w:t>
      </w:r>
      <w:r>
        <w:rPr>
          <w:rStyle w:val="1056"/>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5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5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56"/>
          <w:rFonts w:hint="eastAsia" w:ascii="方正仿宋_GBK" w:hAnsi="方正仿宋_GBK" w:eastAsia="方正仿宋_GBK" w:cs="方正仿宋_GBK"/>
          <w:i w:val="0"/>
          <w:sz w:val="28"/>
          <w:szCs w:val="28"/>
          <w:u w:val="single"/>
          <w:shd w:val="clear" w:color="auto" w:fill="ffffff"/>
        </w:rPr>
        <w:t xml:space="preserve">/  </w:t>
      </w:r>
      <w:r>
        <w:rPr>
          <w:rStyle w:val="1056"/>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5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56"/>
          <w:rFonts w:hint="eastAsia" w:ascii="方正仿宋_GBK" w:hAnsi="方正仿宋_GBK" w:eastAsia="方正仿宋_GBK" w:cs="方正仿宋_GBK"/>
          <w:i w:val="0"/>
          <w:sz w:val="28"/>
          <w:szCs w:val="28"/>
          <w:u w:val="single"/>
          <w:shd w:val="clear" w:color="auto" w:fill="ffffff"/>
        </w:rPr>
        <w:t xml:space="preserve">/  </w:t>
      </w:r>
      <w:r>
        <w:rPr>
          <w:rStyle w:val="1056"/>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5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56"/>
          <w:rFonts w:hint="eastAsia" w:ascii="方正仿宋_GBK" w:hAnsi="方正仿宋_GBK" w:eastAsia="方正仿宋_GBK" w:cs="方正仿宋_GBK"/>
          <w:i w:val="0"/>
          <w:sz w:val="28"/>
          <w:szCs w:val="28"/>
          <w:u w:val="single"/>
          <w:shd w:val="clear" w:color="auto" w:fill="ffffff"/>
        </w:rPr>
        <w:t xml:space="preserve">/  </w:t>
      </w:r>
      <w:r>
        <w:rPr>
          <w:rStyle w:val="1056"/>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104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56"/>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56"/>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5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5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5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5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5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5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5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p>
    <w:p>
      <w:pPr>
        <w:pStyle w:val="104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p>
    <w:p>
      <w:pPr>
        <w:pStyle w:val="104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1044"/>
        <w:spacing w:before="30" w:beforeAutospacing="0" w:after="30" w:afterAutospacing="0" w:line="400" w:lineRule="exact"/>
        <w:rPr>
          <w:rFonts w:hint="eastAsia"/>
          <w:sz w:val="28"/>
          <w:szCs w:val="28"/>
        </w:rPr>
      </w:pPr>
      <w:r>
        <w:rPr>
          <w:rFonts w:hint="eastAsia"/>
          <w:sz w:val="28"/>
          <w:szCs w:val="28"/>
        </w:rPr>
      </w:r>
      <w:r/>
    </w:p>
    <w:p>
      <w:pPr>
        <w:pStyle w:val="1044"/>
        <w:ind w:firstLine="560"/>
        <w:jc w:val="right"/>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p>
    <w:p>
      <w:pPr>
        <w:pStyle w:val="1044"/>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p>
    <w:p>
      <w:pPr>
        <w:pStyle w:val="1044"/>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p>
    <w:p>
      <w:pPr>
        <w:pStyle w:val="1044"/>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p>
    <w:p>
      <w:pPr>
        <w:pStyle w:val="1044"/>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p>
    <w:p>
      <w:pPr>
        <w:pStyle w:val="1044"/>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p>
    <w:p>
      <w:pPr>
        <w:pStyle w:val="1044"/>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1044"/>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5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bookmarkEnd w:id="69"/>
      <w:bookmarkEnd w:id="70"/>
      <w:bookmarkEnd w:id="82"/>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质疑函范本</w:t>
      </w:r>
      <w:r/>
    </w:p>
    <w:p>
      <w:pPr>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400" w:lineRule="exact"/>
        <w:widowControl/>
        <w:rPr>
          <w:rFonts w:hint="eastAsia" w:ascii="宋体" w:hAnsi="宋体"/>
          <w:sz w:val="28"/>
          <w:szCs w:val="28"/>
        </w:rPr>
      </w:pPr>
      <w:r>
        <w:rPr>
          <w:rFonts w:hint="eastAsia" w:ascii="宋体" w:hAnsi="宋体"/>
          <w:sz w:val="28"/>
          <w:szCs w:val="28"/>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魏碑_GBK">
    <w:panose1 w:val="020B0503020202020204"/>
  </w:font>
  <w:font w:name="方正仿宋_GB2312">
    <w:panose1 w:val="020B0503020202020204"/>
  </w:font>
  <w:font w:name="方正楷体_GBK">
    <w:panose1 w:val="020B050302020202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___WRD_EMBED_SUB_52">
    <w:panose1 w:val="020B0503020202020204"/>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pPr>
    <w:r/>
    <w:r/>
  </w:p>
  <w:p>
    <w:pPr>
      <w:pStyle w:val="10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fldChar w:fldCharType="begin"/>
                          </w:r>
                          <w:r>
                            <w:instrText xml:space="preserve"> PAGE  \* MERGEFORMAT </w:instrText>
                          </w:r>
                          <w:r>
                            <w:fldChar w:fldCharType="separate"/>
                          </w:r>
                          <w:r>
                            <w:t xml:space="preserve">16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p>
  <w:p>
    <w:pPr>
      <w:pStyle w:val="10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fldChar w:fldCharType="begin"/>
                          </w:r>
                          <w:r>
                            <w:instrText xml:space="preserve"> PAGE  \* MERGEFORMAT </w:instrText>
                          </w:r>
                          <w:r>
                            <w:fldChar w:fldCharType="separate"/>
                          </w:r>
                          <w:r>
                            <w:t xml:space="preserve">43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fldChar w:fldCharType="begin"/>
                    </w:r>
                    <w:r>
                      <w:instrText xml:space="preserve"> PAGE  \* MERGEFORMAT </w:instrText>
                    </w:r>
                    <w:r>
                      <w:fldChar w:fldCharType="separate"/>
                    </w:r>
                    <w:r>
                      <w:t xml:space="preserve">43</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rStyle w:val="1054"/>
      </w:rPr>
      <w:framePr w:wrap="around" w:vAnchor="text" w:hAnchor="margin" w:xAlign="center" w:y="1"/>
    </w:pPr>
    <w:r>
      <w:fldChar w:fldCharType="begin"/>
    </w:r>
    <w:r>
      <w:rPr>
        <w:rStyle w:val="1054"/>
      </w:rPr>
      <w:instrText xml:space="preserve">PAGE  </w:instrText>
    </w:r>
    <w:r>
      <w:fldChar w:fldCharType="separate"/>
    </w:r>
    <w:r>
      <w:rPr>
        <w:rStyle w:val="1054"/>
      </w:rPr>
      <w:t xml:space="preserve">1</w:t>
    </w:r>
    <w:r>
      <w:fldChar w:fldCharType="end"/>
    </w:r>
    <w:r/>
  </w:p>
  <w:p>
    <w:pPr>
      <w:pStyle w:val="10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07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8"/>
      <w:isLgl w:val="false"/>
      <w:suff w:val="nothing"/>
      <w:lvlText w:val=""/>
      <w:lvlJc w:val="left"/>
      <w:pPr>
        <w:ind w:left="0" w:firstLine="0"/>
      </w:pPr>
      <w:rPr>
        <w:rFonts w:hint="eastAsia"/>
      </w:rPr>
    </w:lvl>
    <w:lvl w:ilvl="6">
      <w:start w:val="1"/>
      <w:numFmt w:val="decimal"/>
      <w:pStyle w:val="999"/>
      <w:isLgl w:val="false"/>
      <w:suff w:val="nothing"/>
      <w:lvlText w:val=""/>
      <w:lvlJc w:val="left"/>
      <w:pPr>
        <w:ind w:left="0" w:firstLine="0"/>
      </w:pPr>
      <w:rPr>
        <w:rFonts w:hint="eastAsia"/>
      </w:rPr>
    </w:lvl>
    <w:lvl w:ilvl="7">
      <w:start w:val="1"/>
      <w:numFmt w:val="decimal"/>
      <w:pStyle w:val="1000"/>
      <w:isLgl w:val="false"/>
      <w:suff w:val="nothing"/>
      <w:lvlText w:val=""/>
      <w:lvlJc w:val="left"/>
      <w:pPr>
        <w:ind w:left="0" w:firstLine="0"/>
      </w:pPr>
      <w:rPr>
        <w:rFonts w:hint="eastAsia"/>
      </w:rPr>
    </w:lvl>
    <w:lvl w:ilvl="8">
      <w:start w:val="1"/>
      <w:numFmt w:val="decimal"/>
      <w:pStyle w:val="1001"/>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5"/>
  </w:num>
  <w:num w:numId="5">
    <w:abstractNumId w:val="7"/>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3" w:default="1">
    <w:name w:val="Normal"/>
    <w:qFormat/>
    <w:pPr>
      <w:jc w:val="both"/>
      <w:widowControl w:val="off"/>
    </w:pPr>
    <w:rPr>
      <w:sz w:val="21"/>
      <w:szCs w:val="22"/>
    </w:rPr>
  </w:style>
  <w:style w:type="paragraph" w:styleId="774">
    <w:name w:val="Heading 1"/>
    <w:basedOn w:val="773"/>
    <w:next w:val="773"/>
    <w:link w:val="844"/>
    <w:uiPriority w:val="9"/>
    <w:qFormat/>
    <w:pPr>
      <w:keepLines/>
      <w:keepNext/>
      <w:spacing w:before="480" w:after="200"/>
      <w:outlineLvl w:val="0"/>
    </w:pPr>
    <w:rPr>
      <w:rFonts w:ascii="Arial" w:hAnsi="Arial" w:eastAsia="Arial" w:cs="Arial"/>
      <w:sz w:val="40"/>
      <w:szCs w:val="40"/>
    </w:rPr>
  </w:style>
  <w:style w:type="paragraph" w:styleId="775">
    <w:name w:val="Heading 2"/>
    <w:basedOn w:val="773"/>
    <w:next w:val="773"/>
    <w:link w:val="845"/>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73"/>
    <w:link w:val="846"/>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link w:val="847"/>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link w:val="848"/>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849"/>
    <w:uiPriority w:val="9"/>
    <w:unhideWhenUsed/>
    <w:qFormat/>
    <w:pPr>
      <w:keepLines/>
      <w:keepNext/>
      <w:spacing w:before="320" w:after="200"/>
      <w:outlineLvl w:val="5"/>
    </w:pPr>
    <w:rPr>
      <w:rFonts w:ascii="Arial" w:hAnsi="Arial" w:eastAsia="Arial" w:cs="Arial"/>
      <w:b/>
      <w:bCs/>
      <w:sz w:val="22"/>
    </w:rPr>
  </w:style>
  <w:style w:type="paragraph" w:styleId="780">
    <w:name w:val="Heading 7"/>
    <w:basedOn w:val="773"/>
    <w:next w:val="773"/>
    <w:link w:val="850"/>
    <w:uiPriority w:val="9"/>
    <w:unhideWhenUsed/>
    <w:qFormat/>
    <w:pPr>
      <w:keepLines/>
      <w:keepNext/>
      <w:spacing w:before="320" w:after="200"/>
      <w:outlineLvl w:val="6"/>
    </w:pPr>
    <w:rPr>
      <w:rFonts w:ascii="Arial" w:hAnsi="Arial" w:eastAsia="Arial" w:cs="Arial"/>
      <w:b/>
      <w:bCs/>
      <w:i/>
      <w:iCs/>
      <w:sz w:val="22"/>
    </w:rPr>
  </w:style>
  <w:style w:type="paragraph" w:styleId="781">
    <w:name w:val="Heading 8"/>
    <w:basedOn w:val="773"/>
    <w:next w:val="773"/>
    <w:link w:val="851"/>
    <w:uiPriority w:val="9"/>
    <w:unhideWhenUsed/>
    <w:qFormat/>
    <w:pPr>
      <w:keepLines/>
      <w:keepNext/>
      <w:spacing w:before="320" w:after="200"/>
      <w:outlineLvl w:val="7"/>
    </w:pPr>
    <w:rPr>
      <w:rFonts w:ascii="Arial" w:hAnsi="Arial" w:eastAsia="Arial" w:cs="Arial"/>
      <w:i/>
      <w:iCs/>
      <w:sz w:val="22"/>
    </w:rPr>
  </w:style>
  <w:style w:type="paragraph" w:styleId="782">
    <w:name w:val="Heading 9"/>
    <w:basedOn w:val="773"/>
    <w:next w:val="773"/>
    <w:link w:val="852"/>
    <w:uiPriority w:val="9"/>
    <w:unhideWhenUsed/>
    <w:qFormat/>
    <w:pPr>
      <w:keepLines/>
      <w:keepNext/>
      <w:spacing w:before="320" w:after="200"/>
      <w:outlineLvl w:val="8"/>
    </w:pPr>
    <w:rPr>
      <w:rFonts w:ascii="Arial" w:hAnsi="Arial" w:eastAsia="Arial" w:cs="Arial"/>
      <w:i/>
      <w:iCs/>
      <w:szCs w:val="21"/>
    </w:rPr>
  </w:style>
  <w:style w:type="character" w:styleId="783" w:default="1">
    <w:name w:val="Default Paragraph Font"/>
    <w:uiPriority w:val="1"/>
    <w:semiHidden/>
    <w:unhideWhenUsed/>
  </w:style>
  <w:style w:type="table" w:styleId="784" w:default="1">
    <w:name w:val="Normal Table"/>
    <w:uiPriority w:val="99"/>
    <w:semiHidden/>
    <w:unhideWhenUsed/>
    <w:tblPr>
      <w:tblInd w:w="0" w:type="dxa"/>
      <w:tblCellMar>
        <w:left w:w="108" w:type="dxa"/>
        <w:top w:w="0" w:type="dxa"/>
        <w:right w:w="108" w:type="dxa"/>
        <w:bottom w:w="0" w:type="dxa"/>
      </w:tblCellMar>
    </w:tblPr>
  </w:style>
  <w:style w:type="numbering" w:styleId="785" w:default="1">
    <w:name w:val="No List"/>
    <w:uiPriority w:val="99"/>
    <w:semiHidden/>
    <w:unhideWhenUsed/>
  </w:style>
  <w:style w:type="paragraph" w:styleId="786">
    <w:name w:val="toc 7"/>
    <w:basedOn w:val="773"/>
    <w:next w:val="773"/>
    <w:semiHidden/>
    <w:pPr>
      <w:ind w:left="1260"/>
      <w:jc w:val="left"/>
    </w:pPr>
    <w:rPr>
      <w:szCs w:val="21"/>
    </w:rPr>
  </w:style>
  <w:style w:type="paragraph" w:styleId="787">
    <w:name w:val="Caption"/>
    <w:basedOn w:val="773"/>
    <w:next w:val="773"/>
    <w:uiPriority w:val="35"/>
    <w:semiHidden/>
    <w:unhideWhenUsed/>
    <w:qFormat/>
    <w:pPr>
      <w:spacing w:line="276" w:lineRule="auto"/>
    </w:pPr>
    <w:rPr>
      <w:b/>
      <w:bCs/>
      <w:color w:val="4f81bd" w:themeColor="accent1"/>
      <w:sz w:val="18"/>
      <w:szCs w:val="18"/>
    </w:rPr>
  </w:style>
  <w:style w:type="paragraph" w:styleId="788">
    <w:name w:val="toc 5"/>
    <w:basedOn w:val="773"/>
    <w:next w:val="773"/>
    <w:semiHidden/>
    <w:pPr>
      <w:ind w:left="840"/>
      <w:jc w:val="left"/>
    </w:pPr>
    <w:rPr>
      <w:szCs w:val="21"/>
    </w:rPr>
  </w:style>
  <w:style w:type="paragraph" w:styleId="789">
    <w:name w:val="toc 3"/>
    <w:basedOn w:val="773"/>
    <w:next w:val="773"/>
    <w:semiHidden/>
    <w:pPr>
      <w:ind w:left="420"/>
      <w:jc w:val="left"/>
    </w:pPr>
    <w:rPr>
      <w:i/>
      <w:iCs/>
      <w:szCs w:val="24"/>
    </w:rPr>
  </w:style>
  <w:style w:type="paragraph" w:styleId="790">
    <w:name w:val="toc 8"/>
    <w:basedOn w:val="773"/>
    <w:next w:val="773"/>
    <w:semiHidden/>
    <w:pPr>
      <w:ind w:left="1470"/>
      <w:jc w:val="left"/>
    </w:pPr>
    <w:rPr>
      <w:szCs w:val="21"/>
    </w:rPr>
  </w:style>
  <w:style w:type="paragraph" w:styleId="791">
    <w:name w:val="endnote text"/>
    <w:basedOn w:val="773"/>
    <w:link w:val="990"/>
    <w:uiPriority w:val="99"/>
    <w:semiHidden/>
    <w:unhideWhenUsed/>
    <w:rPr>
      <w:sz w:val="20"/>
    </w:rPr>
  </w:style>
  <w:style w:type="paragraph" w:styleId="792">
    <w:name w:val="Footer"/>
    <w:basedOn w:val="773"/>
    <w:link w:val="863"/>
    <w:uiPriority w:val="99"/>
    <w:unhideWhenUsed/>
    <w:pPr>
      <w:tabs>
        <w:tab w:val="center" w:pos="7143" w:leader="none"/>
        <w:tab w:val="right" w:pos="14287" w:leader="none"/>
      </w:tabs>
    </w:pPr>
  </w:style>
  <w:style w:type="paragraph" w:styleId="793">
    <w:name w:val="Header"/>
    <w:basedOn w:val="773"/>
    <w:link w:val="861"/>
    <w:uiPriority w:val="99"/>
    <w:unhideWhenUsed/>
    <w:pPr>
      <w:tabs>
        <w:tab w:val="center" w:pos="7143" w:leader="none"/>
        <w:tab w:val="right" w:pos="14287" w:leader="none"/>
      </w:tabs>
    </w:pPr>
  </w:style>
  <w:style w:type="paragraph" w:styleId="794">
    <w:name w:val="toc 1"/>
    <w:basedOn w:val="773"/>
    <w:next w:val="773"/>
    <w:uiPriority w:val="39"/>
    <w:pPr>
      <w:jc w:val="left"/>
      <w:spacing w:before="120" w:after="120" w:line="400" w:lineRule="exact"/>
      <w:tabs>
        <w:tab w:val="right" w:pos="8720" w:leader="dot"/>
      </w:tabs>
    </w:pPr>
    <w:rPr>
      <w:rFonts w:ascii="宋体" w:hAnsi="宋体"/>
      <w:caps/>
      <w:sz w:val="24"/>
      <w:szCs w:val="24"/>
    </w:rPr>
  </w:style>
  <w:style w:type="paragraph" w:styleId="795">
    <w:name w:val="toc 4"/>
    <w:basedOn w:val="773"/>
    <w:next w:val="773"/>
    <w:semiHidden/>
    <w:pPr>
      <w:ind w:left="630"/>
      <w:jc w:val="left"/>
    </w:pPr>
    <w:rPr>
      <w:szCs w:val="21"/>
    </w:rPr>
  </w:style>
  <w:style w:type="paragraph" w:styleId="796">
    <w:name w:val="Subtitle"/>
    <w:basedOn w:val="773"/>
    <w:next w:val="773"/>
    <w:link w:val="856"/>
    <w:uiPriority w:val="11"/>
    <w:qFormat/>
    <w:pPr>
      <w:spacing w:before="200" w:after="200"/>
    </w:pPr>
    <w:rPr>
      <w:sz w:val="24"/>
      <w:szCs w:val="24"/>
    </w:rPr>
  </w:style>
  <w:style w:type="paragraph" w:styleId="797">
    <w:name w:val="footnote text"/>
    <w:basedOn w:val="773"/>
    <w:link w:val="989"/>
    <w:uiPriority w:val="99"/>
    <w:semiHidden/>
    <w:unhideWhenUsed/>
    <w:pPr>
      <w:spacing w:after="40"/>
    </w:pPr>
    <w:rPr>
      <w:sz w:val="18"/>
    </w:rPr>
  </w:style>
  <w:style w:type="paragraph" w:styleId="798">
    <w:name w:val="toc 6"/>
    <w:basedOn w:val="773"/>
    <w:next w:val="773"/>
    <w:semiHidden/>
    <w:pPr>
      <w:ind w:left="1050"/>
      <w:jc w:val="left"/>
    </w:pPr>
    <w:rPr>
      <w:szCs w:val="21"/>
    </w:rPr>
  </w:style>
  <w:style w:type="paragraph" w:styleId="799">
    <w:name w:val="table of figures"/>
    <w:basedOn w:val="773"/>
    <w:next w:val="773"/>
    <w:uiPriority w:val="99"/>
    <w:unhideWhenUsed/>
  </w:style>
  <w:style w:type="paragraph" w:styleId="800">
    <w:name w:val="toc 2"/>
    <w:basedOn w:val="773"/>
    <w:next w:val="773"/>
    <w:semiHidden/>
    <w:pPr>
      <w:ind w:left="210"/>
      <w:jc w:val="left"/>
    </w:pPr>
    <w:rPr>
      <w:smallCaps/>
      <w:szCs w:val="24"/>
    </w:rPr>
  </w:style>
  <w:style w:type="paragraph" w:styleId="801">
    <w:name w:val="toc 9"/>
    <w:basedOn w:val="773"/>
    <w:next w:val="773"/>
    <w:semiHidden/>
    <w:pPr>
      <w:ind w:left="1680"/>
      <w:jc w:val="left"/>
    </w:pPr>
    <w:rPr>
      <w:szCs w:val="21"/>
    </w:rPr>
  </w:style>
  <w:style w:type="paragraph" w:styleId="802">
    <w:name w:val="Title"/>
    <w:basedOn w:val="773"/>
    <w:next w:val="773"/>
    <w:link w:val="855"/>
    <w:uiPriority w:val="10"/>
    <w:qFormat/>
    <w:pPr>
      <w:contextualSpacing/>
      <w:spacing w:before="300" w:after="200"/>
    </w:pPr>
    <w:rPr>
      <w:sz w:val="48"/>
      <w:szCs w:val="48"/>
    </w:rPr>
  </w:style>
  <w:style w:type="table" w:styleId="803">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endnote reference"/>
    <w:uiPriority w:val="99"/>
    <w:semiHidden/>
    <w:unhideWhenUsed/>
    <w:rPr>
      <w:vertAlign w:val="superscript"/>
    </w:rPr>
  </w:style>
  <w:style w:type="character" w:styleId="805">
    <w:name w:val="Hyperlink"/>
    <w:uiPriority w:val="99"/>
    <w:unhideWhenUsed/>
    <w:rPr>
      <w:color w:val="0000ff" w:themeColor="hyperlink"/>
      <w:u w:val="single"/>
    </w:rPr>
  </w:style>
  <w:style w:type="character" w:styleId="806">
    <w:name w:val="footnote reference"/>
    <w:uiPriority w:val="99"/>
    <w:unhideWhenUsed/>
    <w:rPr>
      <w:vertAlign w:val="superscript"/>
    </w:rPr>
  </w:style>
  <w:style w:type="character" w:styleId="807" w:customStyle="1">
    <w:name w:val="Heading 1 Char"/>
    <w:basedOn w:val="783"/>
    <w:uiPriority w:val="9"/>
    <w:rPr>
      <w:rFonts w:ascii="Arial" w:hAnsi="Arial" w:eastAsia="Arial" w:cs="Arial"/>
      <w:sz w:val="40"/>
      <w:szCs w:val="40"/>
    </w:rPr>
  </w:style>
  <w:style w:type="character" w:styleId="808" w:customStyle="1">
    <w:name w:val="Heading 2 Char"/>
    <w:basedOn w:val="783"/>
    <w:uiPriority w:val="9"/>
    <w:rPr>
      <w:rFonts w:ascii="Arial" w:hAnsi="Arial" w:eastAsia="Arial" w:cs="Arial"/>
      <w:sz w:val="34"/>
    </w:rPr>
  </w:style>
  <w:style w:type="character" w:styleId="809" w:customStyle="1">
    <w:name w:val="Heading 3 Char"/>
    <w:basedOn w:val="783"/>
    <w:uiPriority w:val="9"/>
    <w:rPr>
      <w:rFonts w:ascii="Arial" w:hAnsi="Arial" w:eastAsia="Arial" w:cs="Arial"/>
      <w:sz w:val="30"/>
      <w:szCs w:val="30"/>
    </w:rPr>
  </w:style>
  <w:style w:type="character" w:styleId="810" w:customStyle="1">
    <w:name w:val="Heading 4 Char"/>
    <w:basedOn w:val="783"/>
    <w:uiPriority w:val="9"/>
    <w:rPr>
      <w:rFonts w:ascii="Arial" w:hAnsi="Arial" w:eastAsia="Arial" w:cs="Arial"/>
      <w:b/>
      <w:bCs/>
      <w:sz w:val="26"/>
      <w:szCs w:val="26"/>
    </w:rPr>
  </w:style>
  <w:style w:type="character" w:styleId="811" w:customStyle="1">
    <w:name w:val="Heading 5 Char"/>
    <w:basedOn w:val="783"/>
    <w:uiPriority w:val="9"/>
    <w:rPr>
      <w:rFonts w:ascii="Arial" w:hAnsi="Arial" w:eastAsia="Arial" w:cs="Arial"/>
      <w:b/>
      <w:bCs/>
      <w:sz w:val="24"/>
      <w:szCs w:val="24"/>
    </w:rPr>
  </w:style>
  <w:style w:type="character" w:styleId="812" w:customStyle="1">
    <w:name w:val="Heading 6 Char"/>
    <w:basedOn w:val="783"/>
    <w:uiPriority w:val="9"/>
    <w:rPr>
      <w:rFonts w:ascii="Arial" w:hAnsi="Arial" w:eastAsia="Arial" w:cs="Arial"/>
      <w:b/>
      <w:bCs/>
      <w:sz w:val="22"/>
      <w:szCs w:val="22"/>
    </w:rPr>
  </w:style>
  <w:style w:type="character" w:styleId="813" w:customStyle="1">
    <w:name w:val="Heading 7 Char"/>
    <w:basedOn w:val="783"/>
    <w:uiPriority w:val="9"/>
    <w:rPr>
      <w:rFonts w:ascii="Arial" w:hAnsi="Arial" w:eastAsia="Arial" w:cs="Arial"/>
      <w:b/>
      <w:bCs/>
      <w:i/>
      <w:iCs/>
      <w:sz w:val="22"/>
      <w:szCs w:val="22"/>
    </w:rPr>
  </w:style>
  <w:style w:type="character" w:styleId="814" w:customStyle="1">
    <w:name w:val="Heading 8 Char"/>
    <w:basedOn w:val="783"/>
    <w:uiPriority w:val="9"/>
    <w:rPr>
      <w:rFonts w:ascii="Arial" w:hAnsi="Arial" w:eastAsia="Arial" w:cs="Arial"/>
      <w:i/>
      <w:iCs/>
      <w:sz w:val="22"/>
      <w:szCs w:val="22"/>
    </w:rPr>
  </w:style>
  <w:style w:type="character" w:styleId="815" w:customStyle="1">
    <w:name w:val="Heading 9 Char"/>
    <w:basedOn w:val="783"/>
    <w:uiPriority w:val="9"/>
    <w:rPr>
      <w:rFonts w:ascii="Arial" w:hAnsi="Arial" w:eastAsia="Arial" w:cs="Arial"/>
      <w:i/>
      <w:iCs/>
      <w:sz w:val="21"/>
      <w:szCs w:val="21"/>
    </w:rPr>
  </w:style>
  <w:style w:type="character" w:styleId="816" w:customStyle="1">
    <w:name w:val="Title Char"/>
    <w:basedOn w:val="783"/>
    <w:uiPriority w:val="10"/>
    <w:rPr>
      <w:sz w:val="48"/>
      <w:szCs w:val="48"/>
    </w:rPr>
  </w:style>
  <w:style w:type="character" w:styleId="817" w:customStyle="1">
    <w:name w:val="Subtitle Char"/>
    <w:basedOn w:val="783"/>
    <w:uiPriority w:val="11"/>
    <w:rPr>
      <w:sz w:val="24"/>
      <w:szCs w:val="24"/>
    </w:rPr>
  </w:style>
  <w:style w:type="character" w:styleId="818" w:customStyle="1">
    <w:name w:val="Quote Char"/>
    <w:uiPriority w:val="29"/>
    <w:rPr>
      <w:i/>
    </w:rPr>
  </w:style>
  <w:style w:type="character" w:styleId="819" w:customStyle="1">
    <w:name w:val="Intense Quote Char"/>
    <w:uiPriority w:val="30"/>
    <w:rPr>
      <w:i/>
    </w:rPr>
  </w:style>
  <w:style w:type="character" w:styleId="820" w:customStyle="1">
    <w:name w:val="Header Char"/>
    <w:basedOn w:val="783"/>
    <w:uiPriority w:val="99"/>
  </w:style>
  <w:style w:type="character" w:styleId="821" w:customStyle="1">
    <w:name w:val="Caption Char"/>
    <w:uiPriority w:val="99"/>
  </w:style>
  <w:style w:type="table" w:styleId="822" w:customStyle="1">
    <w:name w:val="无格式表格 11"/>
    <w:basedOn w:val="78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8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8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8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8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84"/>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8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9" w:customStyle="1">
    <w:name w:val="网格表 31"/>
    <w:basedOn w:val="78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basedOn w:val="78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网格表 5 深色1"/>
    <w:basedOn w:val="78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网格表 6 彩色1"/>
    <w:basedOn w:val="784"/>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3" w:customStyle="1">
    <w:name w:val="网格表 7 彩色1"/>
    <w:basedOn w:val="784"/>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4" w:customStyle="1">
    <w:name w:val="清单表 1 浅色1"/>
    <w:basedOn w:val="784"/>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清单表 21"/>
    <w:basedOn w:val="784"/>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6" w:customStyle="1">
    <w:name w:val="清单表 31"/>
    <w:basedOn w:val="78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41"/>
    <w:basedOn w:val="78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5 深色1"/>
    <w:basedOn w:val="784"/>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9" w:customStyle="1">
    <w:name w:val="清单表 6 彩色1"/>
    <w:basedOn w:val="784"/>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0" w:customStyle="1">
    <w:name w:val="清单表 7 彩色1"/>
    <w:basedOn w:val="784"/>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1" w:customStyle="1">
    <w:name w:val="Footnote Text Char"/>
    <w:uiPriority w:val="99"/>
    <w:rPr>
      <w:sz w:val="18"/>
    </w:rPr>
  </w:style>
  <w:style w:type="character" w:styleId="842" w:customStyle="1">
    <w:name w:val="Endnote Text Char"/>
    <w:uiPriority w:val="99"/>
    <w:rPr>
      <w:sz w:val="20"/>
    </w:rPr>
  </w:style>
  <w:style w:type="paragraph" w:styleId="843" w:customStyle="1">
    <w:name w:val="TOC 标题1"/>
    <w:uiPriority w:val="39"/>
    <w:unhideWhenUsed/>
  </w:style>
  <w:style w:type="character" w:styleId="844" w:customStyle="1">
    <w:name w:val="标题 1 字符1"/>
    <w:link w:val="774"/>
    <w:uiPriority w:val="9"/>
    <w:rPr>
      <w:rFonts w:ascii="Arial" w:hAnsi="Arial" w:eastAsia="Arial" w:cs="Arial"/>
      <w:sz w:val="40"/>
      <w:szCs w:val="40"/>
    </w:rPr>
  </w:style>
  <w:style w:type="character" w:styleId="845" w:customStyle="1">
    <w:name w:val="标题 2 字符1"/>
    <w:link w:val="775"/>
    <w:uiPriority w:val="9"/>
    <w:rPr>
      <w:rFonts w:ascii="Arial" w:hAnsi="Arial" w:eastAsia="Arial" w:cs="Arial"/>
      <w:sz w:val="34"/>
    </w:rPr>
  </w:style>
  <w:style w:type="character" w:styleId="846" w:customStyle="1">
    <w:name w:val="标题 3 字符1"/>
    <w:link w:val="776"/>
    <w:uiPriority w:val="9"/>
    <w:rPr>
      <w:rFonts w:ascii="Arial" w:hAnsi="Arial" w:eastAsia="Arial" w:cs="Arial"/>
      <w:sz w:val="30"/>
      <w:szCs w:val="30"/>
    </w:rPr>
  </w:style>
  <w:style w:type="character" w:styleId="847" w:customStyle="1">
    <w:name w:val="标题 4 字符1"/>
    <w:link w:val="777"/>
    <w:uiPriority w:val="9"/>
    <w:rPr>
      <w:rFonts w:ascii="Arial" w:hAnsi="Arial" w:eastAsia="Arial" w:cs="Arial"/>
      <w:b/>
      <w:bCs/>
      <w:sz w:val="26"/>
      <w:szCs w:val="26"/>
    </w:rPr>
  </w:style>
  <w:style w:type="character" w:styleId="848" w:customStyle="1">
    <w:name w:val="标题 5 字符1"/>
    <w:link w:val="778"/>
    <w:uiPriority w:val="9"/>
    <w:rPr>
      <w:rFonts w:ascii="Arial" w:hAnsi="Arial" w:eastAsia="Arial" w:cs="Arial"/>
      <w:b/>
      <w:bCs/>
      <w:sz w:val="24"/>
      <w:szCs w:val="24"/>
    </w:rPr>
  </w:style>
  <w:style w:type="character" w:styleId="849" w:customStyle="1">
    <w:name w:val="标题 6 字符1"/>
    <w:link w:val="779"/>
    <w:uiPriority w:val="9"/>
    <w:rPr>
      <w:rFonts w:ascii="Arial" w:hAnsi="Arial" w:eastAsia="Arial" w:cs="Arial"/>
      <w:b/>
      <w:bCs/>
      <w:sz w:val="22"/>
      <w:szCs w:val="22"/>
    </w:rPr>
  </w:style>
  <w:style w:type="character" w:styleId="850" w:customStyle="1">
    <w:name w:val="标题 7 字符1"/>
    <w:link w:val="780"/>
    <w:uiPriority w:val="9"/>
    <w:rPr>
      <w:rFonts w:ascii="Arial" w:hAnsi="Arial" w:eastAsia="Arial" w:cs="Arial"/>
      <w:b/>
      <w:bCs/>
      <w:i/>
      <w:iCs/>
      <w:sz w:val="22"/>
      <w:szCs w:val="22"/>
    </w:rPr>
  </w:style>
  <w:style w:type="character" w:styleId="851" w:customStyle="1">
    <w:name w:val="标题 8 字符1"/>
    <w:link w:val="781"/>
    <w:uiPriority w:val="9"/>
    <w:rPr>
      <w:rFonts w:ascii="Arial" w:hAnsi="Arial" w:eastAsia="Arial" w:cs="Arial"/>
      <w:i/>
      <w:iCs/>
      <w:sz w:val="22"/>
      <w:szCs w:val="22"/>
    </w:rPr>
  </w:style>
  <w:style w:type="character" w:styleId="852" w:customStyle="1">
    <w:name w:val="标题 9 字符1"/>
    <w:link w:val="782"/>
    <w:uiPriority w:val="9"/>
    <w:rPr>
      <w:rFonts w:ascii="Arial" w:hAnsi="Arial" w:eastAsia="Arial" w:cs="Arial"/>
      <w:i/>
      <w:iCs/>
      <w:sz w:val="21"/>
      <w:szCs w:val="21"/>
    </w:rPr>
  </w:style>
  <w:style w:type="paragraph" w:styleId="853">
    <w:name w:val="List Paragraph"/>
    <w:basedOn w:val="773"/>
    <w:uiPriority w:val="34"/>
    <w:qFormat/>
    <w:pPr>
      <w:contextualSpacing/>
      <w:ind w:left="720"/>
    </w:pPr>
  </w:style>
  <w:style w:type="paragraph" w:styleId="854">
    <w:name w:val="No Spacing"/>
    <w:uiPriority w:val="1"/>
    <w:qFormat/>
  </w:style>
  <w:style w:type="character" w:styleId="855" w:customStyle="1">
    <w:name w:val="标题 字符"/>
    <w:link w:val="802"/>
    <w:uiPriority w:val="10"/>
    <w:rPr>
      <w:sz w:val="48"/>
      <w:szCs w:val="48"/>
    </w:rPr>
  </w:style>
  <w:style w:type="character" w:styleId="856" w:customStyle="1">
    <w:name w:val="副标题 字符"/>
    <w:link w:val="796"/>
    <w:uiPriority w:val="11"/>
    <w:rPr>
      <w:sz w:val="24"/>
      <w:szCs w:val="24"/>
    </w:rPr>
  </w:style>
  <w:style w:type="paragraph" w:styleId="857">
    <w:name w:val="Quote"/>
    <w:basedOn w:val="773"/>
    <w:next w:val="773"/>
    <w:link w:val="858"/>
    <w:uiPriority w:val="29"/>
    <w:qFormat/>
    <w:pPr>
      <w:ind w:left="720" w:right="720"/>
    </w:pPr>
    <w:rPr>
      <w:i/>
    </w:rPr>
  </w:style>
  <w:style w:type="character" w:styleId="858" w:customStyle="1">
    <w:name w:val="引用 字符"/>
    <w:link w:val="857"/>
    <w:uiPriority w:val="29"/>
    <w:rPr>
      <w:i/>
    </w:rPr>
  </w:style>
  <w:style w:type="paragraph" w:styleId="859">
    <w:name w:val="Intense Quote"/>
    <w:basedOn w:val="773"/>
    <w:next w:val="773"/>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字符"/>
    <w:link w:val="859"/>
    <w:uiPriority w:val="30"/>
    <w:rPr>
      <w:i/>
    </w:rPr>
  </w:style>
  <w:style w:type="character" w:styleId="861" w:customStyle="1">
    <w:name w:val="页眉 字符1"/>
    <w:link w:val="793"/>
    <w:uiPriority w:val="99"/>
  </w:style>
  <w:style w:type="character" w:styleId="862" w:customStyle="1">
    <w:name w:val="Footer Char"/>
    <w:uiPriority w:val="99"/>
  </w:style>
  <w:style w:type="character" w:styleId="863" w:customStyle="1">
    <w:name w:val="页脚 字符1"/>
    <w:link w:val="792"/>
    <w:uiPriority w:val="99"/>
  </w:style>
  <w:style w:type="table" w:styleId="864"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5"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7"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3"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4"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5"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6"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7"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8"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6"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7"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08"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9"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0"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1"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2"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3"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9"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2"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3"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4"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7"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8"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9"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0"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1"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2"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3"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6"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7"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8"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9"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0"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3"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4"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5"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6"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7"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8"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9"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0"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1"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2"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3"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4"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5"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56"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57"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58"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59"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0"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1"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2"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8"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9"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0"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1"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2"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6"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7"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8"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9"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3"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4"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5"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6"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7"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8"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9" w:customStyle="1">
    <w:name w:val="脚注文本 字符"/>
    <w:link w:val="797"/>
    <w:uiPriority w:val="99"/>
    <w:rPr>
      <w:sz w:val="18"/>
    </w:rPr>
  </w:style>
  <w:style w:type="character" w:styleId="990" w:customStyle="1">
    <w:name w:val="尾注文本 字符"/>
    <w:link w:val="791"/>
    <w:uiPriority w:val="99"/>
    <w:rPr>
      <w:sz w:val="20"/>
    </w:rPr>
  </w:style>
  <w:style w:type="paragraph" w:styleId="991" w:customStyle="1">
    <w:name w:val="TOC 标题1"/>
    <w:uiPriority w:val="39"/>
    <w:unhideWhenUsed/>
  </w:style>
  <w:style w:type="paragraph" w:styleId="992" w:customStyle="1">
    <w:name w:val="标题 11"/>
    <w:basedOn w:val="773"/>
    <w:next w:val="773"/>
    <w:link w:val="1004"/>
    <w:qFormat/>
    <w:pPr>
      <w:jc w:val="center"/>
      <w:keepNext/>
      <w:outlineLvl w:val="0"/>
    </w:pPr>
    <w:rPr>
      <w:rFonts w:ascii="楷体_GB2312" w:eastAsia="楷体_GB2312"/>
      <w:sz w:val="28"/>
      <w:szCs w:val="28"/>
    </w:rPr>
  </w:style>
  <w:style w:type="paragraph" w:styleId="993" w:customStyle="1">
    <w:name w:val="标题 21"/>
    <w:basedOn w:val="773"/>
    <w:next w:val="994"/>
    <w:link w:val="1005"/>
    <w:qFormat/>
    <w:pPr>
      <w:jc w:val="center"/>
      <w:keepLines/>
      <w:keepNext/>
      <w:spacing w:before="260" w:after="260" w:line="416" w:lineRule="auto"/>
      <w:outlineLvl w:val="1"/>
    </w:pPr>
    <w:rPr>
      <w:rFonts w:ascii="Arial" w:hAnsi="Arial" w:eastAsia="幼圆" w:cs="Arial"/>
      <w:b/>
      <w:bCs/>
      <w:sz w:val="44"/>
      <w:szCs w:val="44"/>
    </w:rPr>
  </w:style>
  <w:style w:type="paragraph" w:styleId="994" w:customStyle="1">
    <w:name w:val="正文缩进1"/>
    <w:basedOn w:val="773"/>
    <w:link w:val="1006"/>
    <w:pPr>
      <w:ind w:firstLine="420"/>
    </w:pPr>
    <w:rPr>
      <w:szCs w:val="21"/>
    </w:rPr>
  </w:style>
  <w:style w:type="paragraph" w:styleId="995" w:customStyle="1">
    <w:name w:val="标题 31"/>
    <w:basedOn w:val="773"/>
    <w:next w:val="994"/>
    <w:link w:val="1007"/>
    <w:qFormat/>
    <w:pPr>
      <w:keepLines/>
      <w:keepNext/>
      <w:spacing w:before="260" w:after="260" w:line="416" w:lineRule="auto"/>
      <w:outlineLvl w:val="2"/>
    </w:pPr>
    <w:rPr>
      <w:b/>
      <w:bCs/>
      <w:sz w:val="32"/>
      <w:szCs w:val="32"/>
    </w:rPr>
  </w:style>
  <w:style w:type="paragraph" w:styleId="996" w:customStyle="1">
    <w:name w:val="标题 41"/>
    <w:basedOn w:val="773"/>
    <w:next w:val="994"/>
    <w:link w:val="1008"/>
    <w:qFormat/>
    <w:pPr>
      <w:keepLines/>
      <w:keepNext/>
      <w:spacing w:before="280" w:after="290" w:line="376" w:lineRule="auto"/>
      <w:outlineLvl w:val="3"/>
    </w:pPr>
    <w:rPr>
      <w:rFonts w:ascii="Arial" w:hAnsi="Arial" w:eastAsia="黑体" w:cs="Arial"/>
      <w:b/>
      <w:bCs/>
      <w:sz w:val="28"/>
      <w:szCs w:val="28"/>
    </w:rPr>
  </w:style>
  <w:style w:type="paragraph" w:styleId="997" w:customStyle="1">
    <w:name w:val="标题 51"/>
    <w:basedOn w:val="773"/>
    <w:next w:val="994"/>
    <w:link w:val="1009"/>
    <w:qFormat/>
    <w:pPr>
      <w:keepNext/>
      <w:outlineLvl w:val="4"/>
    </w:pPr>
    <w:rPr>
      <w:rFonts w:ascii="宋体"/>
      <w:color w:val="000000"/>
      <w:sz w:val="28"/>
      <w:szCs w:val="28"/>
    </w:rPr>
  </w:style>
  <w:style w:type="paragraph" w:styleId="998" w:customStyle="1">
    <w:name w:val="标题 61"/>
    <w:basedOn w:val="773"/>
    <w:next w:val="773"/>
    <w:link w:val="101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9" w:customStyle="1">
    <w:name w:val="标题 71"/>
    <w:basedOn w:val="773"/>
    <w:next w:val="773"/>
    <w:link w:val="1011"/>
    <w:qFormat/>
    <w:pPr>
      <w:numPr>
        <w:ilvl w:val="6"/>
        <w:numId w:val="1"/>
      </w:numPr>
      <w:keepLines/>
      <w:keepNext/>
      <w:spacing w:before="240" w:after="64" w:line="320" w:lineRule="auto"/>
      <w:outlineLvl w:val="6"/>
    </w:pPr>
    <w:rPr>
      <w:b/>
      <w:bCs/>
      <w:sz w:val="24"/>
      <w:szCs w:val="24"/>
    </w:rPr>
  </w:style>
  <w:style w:type="paragraph" w:styleId="1000" w:customStyle="1">
    <w:name w:val="标题 81"/>
    <w:basedOn w:val="773"/>
    <w:next w:val="773"/>
    <w:link w:val="1012"/>
    <w:qFormat/>
    <w:pPr>
      <w:numPr>
        <w:ilvl w:val="7"/>
        <w:numId w:val="1"/>
      </w:numPr>
      <w:keepLines/>
      <w:keepNext/>
      <w:spacing w:before="240" w:after="64" w:line="320" w:lineRule="auto"/>
      <w:outlineLvl w:val="7"/>
    </w:pPr>
    <w:rPr>
      <w:rFonts w:ascii="Arial" w:hAnsi="Arial" w:eastAsia="黑体"/>
      <w:sz w:val="24"/>
      <w:szCs w:val="24"/>
    </w:rPr>
  </w:style>
  <w:style w:type="paragraph" w:styleId="1001" w:customStyle="1">
    <w:name w:val="标题 91"/>
    <w:basedOn w:val="773"/>
    <w:next w:val="773"/>
    <w:link w:val="1013"/>
    <w:qFormat/>
    <w:pPr>
      <w:numPr>
        <w:ilvl w:val="8"/>
        <w:numId w:val="1"/>
      </w:numPr>
      <w:keepLines/>
      <w:keepNext/>
      <w:spacing w:before="240" w:after="64" w:line="320" w:lineRule="auto"/>
      <w:outlineLvl w:val="8"/>
    </w:pPr>
    <w:rPr>
      <w:rFonts w:ascii="Arial" w:hAnsi="Arial" w:eastAsia="黑体"/>
      <w:szCs w:val="21"/>
    </w:rPr>
  </w:style>
  <w:style w:type="character" w:styleId="1002" w:customStyle="1">
    <w:name w:val="默认段落字体1"/>
    <w:uiPriority w:val="1"/>
    <w:unhideWhenUsed/>
  </w:style>
  <w:style w:type="table" w:styleId="1003" w:customStyle="1">
    <w:name w:val="普通表格11"/>
    <w:uiPriority w:val="99"/>
    <w:unhideWhenUsed/>
    <w:tblPr>
      <w:tblCellMar>
        <w:left w:w="0" w:type="dxa"/>
        <w:top w:w="0" w:type="dxa"/>
        <w:right w:w="0" w:type="dxa"/>
        <w:bottom w:w="0" w:type="dxa"/>
      </w:tblCellMar>
    </w:tblPr>
  </w:style>
  <w:style w:type="character" w:styleId="1004" w:customStyle="1">
    <w:name w:val="标题 1 字符"/>
    <w:link w:val="992"/>
    <w:rPr>
      <w:rFonts w:ascii="楷体_GB2312" w:hAnsi="Times New Roman" w:eastAsia="楷体_GB2312" w:cs="Times New Roman"/>
      <w:sz w:val="28"/>
      <w:szCs w:val="28"/>
    </w:rPr>
  </w:style>
  <w:style w:type="character" w:styleId="1005" w:customStyle="1">
    <w:name w:val="标题 2 字符"/>
    <w:link w:val="993"/>
    <w:rPr>
      <w:rFonts w:ascii="Arial" w:hAnsi="Arial" w:eastAsia="幼圆" w:cs="Arial"/>
      <w:b/>
      <w:bCs/>
      <w:sz w:val="44"/>
      <w:szCs w:val="44"/>
    </w:rPr>
  </w:style>
  <w:style w:type="character" w:styleId="1006" w:customStyle="1">
    <w:name w:val="正文缩进 字符"/>
    <w:link w:val="994"/>
    <w:rPr>
      <w:szCs w:val="21"/>
    </w:rPr>
  </w:style>
  <w:style w:type="character" w:styleId="1007" w:customStyle="1">
    <w:name w:val="标题 3 字符"/>
    <w:link w:val="995"/>
    <w:rPr>
      <w:rFonts w:ascii="Times New Roman" w:hAnsi="Times New Roman" w:eastAsia="宋体" w:cs="Times New Roman"/>
      <w:b/>
      <w:bCs/>
      <w:sz w:val="32"/>
      <w:szCs w:val="32"/>
    </w:rPr>
  </w:style>
  <w:style w:type="character" w:styleId="1008" w:customStyle="1">
    <w:name w:val="标题 4 字符"/>
    <w:link w:val="996"/>
    <w:rPr>
      <w:rFonts w:ascii="Arial" w:hAnsi="Arial" w:eastAsia="黑体" w:cs="Arial"/>
      <w:b/>
      <w:bCs/>
      <w:sz w:val="28"/>
      <w:szCs w:val="28"/>
    </w:rPr>
  </w:style>
  <w:style w:type="character" w:styleId="1009" w:customStyle="1">
    <w:name w:val="标题 5 字符"/>
    <w:link w:val="997"/>
    <w:rPr>
      <w:rFonts w:ascii="宋体" w:hAnsi="Times New Roman" w:eastAsia="宋体" w:cs="Times New Roman"/>
      <w:color w:val="000000"/>
      <w:sz w:val="28"/>
      <w:szCs w:val="28"/>
    </w:rPr>
  </w:style>
  <w:style w:type="character" w:styleId="1010" w:customStyle="1">
    <w:name w:val="标题 6 字符"/>
    <w:link w:val="998"/>
    <w:rPr>
      <w:rFonts w:ascii="Arial" w:hAnsi="Arial" w:eastAsia="黑体" w:cs="Times New Roman"/>
      <w:b/>
      <w:bCs/>
      <w:sz w:val="24"/>
      <w:szCs w:val="24"/>
    </w:rPr>
  </w:style>
  <w:style w:type="character" w:styleId="1011" w:customStyle="1">
    <w:name w:val="标题 7 字符"/>
    <w:link w:val="999"/>
    <w:rPr>
      <w:rFonts w:ascii="Times New Roman" w:hAnsi="Times New Roman" w:eastAsia="宋体" w:cs="Times New Roman"/>
      <w:b/>
      <w:bCs/>
      <w:sz w:val="24"/>
      <w:szCs w:val="24"/>
    </w:rPr>
  </w:style>
  <w:style w:type="character" w:styleId="1012" w:customStyle="1">
    <w:name w:val="标题 8 字符"/>
    <w:link w:val="1000"/>
    <w:rPr>
      <w:rFonts w:ascii="Arial" w:hAnsi="Arial" w:eastAsia="黑体" w:cs="Times New Roman"/>
      <w:sz w:val="24"/>
      <w:szCs w:val="24"/>
    </w:rPr>
  </w:style>
  <w:style w:type="character" w:styleId="1013" w:customStyle="1">
    <w:name w:val="标题 9 字符"/>
    <w:link w:val="1001"/>
    <w:rPr>
      <w:rFonts w:ascii="Arial" w:hAnsi="Arial" w:eastAsia="黑体" w:cs="Times New Roman"/>
      <w:szCs w:val="21"/>
    </w:rPr>
  </w:style>
  <w:style w:type="paragraph" w:styleId="1014" w:customStyle="1">
    <w:name w:val="列表 31"/>
    <w:basedOn w:val="773"/>
    <w:pPr>
      <w:ind w:left="100" w:hanging="200"/>
    </w:pPr>
    <w:rPr>
      <w:szCs w:val="21"/>
    </w:rPr>
  </w:style>
  <w:style w:type="paragraph" w:styleId="1015" w:customStyle="1">
    <w:name w:val="文档结构图1"/>
    <w:basedOn w:val="773"/>
    <w:link w:val="1016"/>
    <w:semiHidden/>
    <w:pPr>
      <w:shd w:val="clear" w:color="auto" w:fill="000080"/>
    </w:pPr>
    <w:rPr>
      <w:szCs w:val="21"/>
    </w:rPr>
  </w:style>
  <w:style w:type="character" w:styleId="1016" w:customStyle="1">
    <w:name w:val="文档结构图 字符"/>
    <w:link w:val="1015"/>
    <w:semiHidden/>
    <w:rPr>
      <w:rFonts w:ascii="Times New Roman" w:hAnsi="Times New Roman" w:eastAsia="宋体" w:cs="Times New Roman"/>
      <w:szCs w:val="21"/>
      <w:shd w:val="clear" w:color="auto" w:fill="000080"/>
    </w:rPr>
  </w:style>
  <w:style w:type="paragraph" w:styleId="1017" w:customStyle="1">
    <w:name w:val="批注文字1"/>
    <w:basedOn w:val="773"/>
    <w:link w:val="1018"/>
    <w:unhideWhenUsed/>
    <w:pPr>
      <w:jc w:val="left"/>
    </w:pPr>
  </w:style>
  <w:style w:type="character" w:styleId="1018" w:customStyle="1">
    <w:name w:val="批注文字 字符"/>
    <w:link w:val="1017"/>
    <w:uiPriority w:val="99"/>
    <w:semiHidden/>
  </w:style>
  <w:style w:type="paragraph" w:styleId="1019" w:customStyle="1">
    <w:name w:val="正文文本 31"/>
    <w:basedOn w:val="773"/>
    <w:link w:val="1020"/>
    <w:rPr>
      <w:rFonts w:ascii="仿宋_GB2312" w:hAnsi="Arial" w:eastAsia="仿宋_GB2312"/>
      <w:sz w:val="32"/>
      <w:szCs w:val="32"/>
    </w:rPr>
  </w:style>
  <w:style w:type="character" w:styleId="1020" w:customStyle="1">
    <w:name w:val="正文文本 3 字符"/>
    <w:link w:val="1019"/>
    <w:rPr>
      <w:rFonts w:ascii="仿宋_GB2312" w:hAnsi="Arial" w:eastAsia="仿宋_GB2312" w:cs="Times New Roman"/>
      <w:sz w:val="32"/>
      <w:szCs w:val="32"/>
    </w:rPr>
  </w:style>
  <w:style w:type="paragraph" w:styleId="1021" w:customStyle="1">
    <w:name w:val="正文文本1"/>
    <w:basedOn w:val="773"/>
    <w:link w:val="1022"/>
    <w:rPr>
      <w:rFonts w:ascii="楷体_GB2312" w:hAnsi="Arial" w:eastAsia="楷体_GB2312"/>
      <w:sz w:val="28"/>
      <w:szCs w:val="28"/>
    </w:rPr>
  </w:style>
  <w:style w:type="character" w:styleId="1022" w:customStyle="1">
    <w:name w:val="正文文本 字符"/>
    <w:link w:val="1021"/>
    <w:rPr>
      <w:rFonts w:ascii="楷体_GB2312" w:hAnsi="Arial" w:eastAsia="楷体_GB2312" w:cs="Times New Roman"/>
      <w:sz w:val="28"/>
      <w:szCs w:val="28"/>
    </w:rPr>
  </w:style>
  <w:style w:type="paragraph" w:styleId="1023" w:customStyle="1">
    <w:name w:val="正文文本缩进1"/>
    <w:basedOn w:val="773"/>
    <w:link w:val="1024"/>
    <w:unhideWhenUsed/>
    <w:pPr>
      <w:ind w:left="420"/>
      <w:spacing w:after="120"/>
    </w:pPr>
  </w:style>
  <w:style w:type="character" w:styleId="1024" w:customStyle="1">
    <w:name w:val="正文文本缩进 字符"/>
    <w:link w:val="1023"/>
    <w:uiPriority w:val="99"/>
    <w:semiHidden/>
  </w:style>
  <w:style w:type="paragraph" w:styleId="1025" w:customStyle="1">
    <w:name w:val="列表 21"/>
    <w:basedOn w:val="773"/>
    <w:pPr>
      <w:ind w:left="100" w:hanging="200"/>
    </w:pPr>
    <w:rPr>
      <w:szCs w:val="21"/>
    </w:rPr>
  </w:style>
  <w:style w:type="paragraph" w:styleId="1026" w:customStyle="1">
    <w:name w:val="纯文本1"/>
    <w:basedOn w:val="773"/>
    <w:link w:val="1027"/>
    <w:qFormat/>
    <w:rPr>
      <w:rFonts w:ascii="宋体" w:hAnsi="Courier New" w:cs="Courier New"/>
      <w:szCs w:val="21"/>
    </w:rPr>
  </w:style>
  <w:style w:type="character" w:styleId="1027" w:customStyle="1">
    <w:name w:val="纯文本 字符"/>
    <w:link w:val="1026"/>
    <w:rPr>
      <w:rFonts w:ascii="宋体" w:hAnsi="Courier New" w:eastAsia="宋体" w:cs="Courier New"/>
      <w:szCs w:val="21"/>
    </w:rPr>
  </w:style>
  <w:style w:type="paragraph" w:styleId="1028" w:customStyle="1">
    <w:name w:val="日期1"/>
    <w:basedOn w:val="773"/>
    <w:next w:val="773"/>
    <w:link w:val="1029"/>
    <w:rPr>
      <w:sz w:val="24"/>
      <w:szCs w:val="24"/>
    </w:rPr>
  </w:style>
  <w:style w:type="character" w:styleId="1029" w:customStyle="1">
    <w:name w:val="日期 字符"/>
    <w:link w:val="1028"/>
    <w:rPr>
      <w:rFonts w:ascii="Times New Roman" w:hAnsi="Times New Roman" w:eastAsia="宋体" w:cs="Times New Roman"/>
      <w:sz w:val="24"/>
      <w:szCs w:val="24"/>
    </w:rPr>
  </w:style>
  <w:style w:type="paragraph" w:styleId="1030" w:customStyle="1">
    <w:name w:val="正文文本缩进 21"/>
    <w:basedOn w:val="773"/>
    <w:link w:val="1031"/>
    <w:pPr>
      <w:ind w:left="630" w:firstLine="645"/>
    </w:pPr>
    <w:rPr>
      <w:rFonts w:ascii="Arial" w:hAnsi="Arial" w:eastAsia="仿宋_GB2312" w:cs="Arial"/>
      <w:sz w:val="32"/>
      <w:szCs w:val="32"/>
    </w:rPr>
  </w:style>
  <w:style w:type="character" w:styleId="1031" w:customStyle="1">
    <w:name w:val="正文文本缩进 2 字符"/>
    <w:link w:val="1030"/>
    <w:rPr>
      <w:rFonts w:ascii="Arial" w:hAnsi="Arial" w:eastAsia="仿宋_GB2312" w:cs="Arial"/>
      <w:sz w:val="32"/>
      <w:szCs w:val="32"/>
    </w:rPr>
  </w:style>
  <w:style w:type="paragraph" w:styleId="1032" w:customStyle="1">
    <w:name w:val="批注框文本1"/>
    <w:basedOn w:val="773"/>
    <w:link w:val="1033"/>
    <w:semiHidden/>
    <w:rPr>
      <w:sz w:val="18"/>
      <w:szCs w:val="18"/>
    </w:rPr>
  </w:style>
  <w:style w:type="character" w:styleId="1033" w:customStyle="1">
    <w:name w:val="批注框文本 字符"/>
    <w:link w:val="1032"/>
    <w:semiHidden/>
    <w:rPr>
      <w:rFonts w:ascii="Times New Roman" w:hAnsi="Times New Roman" w:eastAsia="宋体" w:cs="Times New Roman"/>
      <w:sz w:val="18"/>
      <w:szCs w:val="18"/>
    </w:rPr>
  </w:style>
  <w:style w:type="paragraph" w:styleId="1034" w:customStyle="1">
    <w:name w:val="页脚1"/>
    <w:basedOn w:val="773"/>
    <w:link w:val="1035"/>
    <w:uiPriority w:val="99"/>
    <w:pPr>
      <w:jc w:val="left"/>
      <w:tabs>
        <w:tab w:val="center" w:pos="4153" w:leader="none"/>
        <w:tab w:val="right" w:pos="8306" w:leader="none"/>
      </w:tabs>
    </w:pPr>
    <w:rPr>
      <w:sz w:val="18"/>
      <w:szCs w:val="18"/>
    </w:rPr>
  </w:style>
  <w:style w:type="character" w:styleId="1035" w:customStyle="1">
    <w:name w:val="页脚 字符"/>
    <w:link w:val="1034"/>
    <w:uiPriority w:val="99"/>
    <w:rPr>
      <w:rFonts w:ascii="Times New Roman" w:hAnsi="Times New Roman" w:eastAsia="宋体" w:cs="Times New Roman"/>
      <w:sz w:val="18"/>
      <w:szCs w:val="18"/>
    </w:rPr>
  </w:style>
  <w:style w:type="paragraph" w:styleId="1036" w:customStyle="1">
    <w:name w:val="页眉1"/>
    <w:basedOn w:val="773"/>
    <w:link w:val="1037"/>
    <w:pPr>
      <w:jc w:val="center"/>
      <w:tabs>
        <w:tab w:val="center" w:pos="4153" w:leader="none"/>
        <w:tab w:val="right" w:pos="8306" w:leader="none"/>
      </w:tabs>
      <w:pBdr>
        <w:bottom w:val="single" w:color="000000" w:sz="6" w:space="1"/>
      </w:pBdr>
    </w:pPr>
    <w:rPr>
      <w:sz w:val="18"/>
      <w:szCs w:val="18"/>
    </w:rPr>
  </w:style>
  <w:style w:type="character" w:styleId="1037" w:customStyle="1">
    <w:name w:val="页眉 字符"/>
    <w:link w:val="1036"/>
    <w:rPr>
      <w:rFonts w:ascii="Times New Roman" w:hAnsi="Times New Roman" w:eastAsia="宋体" w:cs="Times New Roman"/>
      <w:sz w:val="18"/>
      <w:szCs w:val="18"/>
    </w:rPr>
  </w:style>
  <w:style w:type="paragraph" w:styleId="1038" w:customStyle="1">
    <w:name w:val="列表1"/>
    <w:basedOn w:val="773"/>
    <w:pPr>
      <w:ind w:left="200" w:hanging="200"/>
    </w:pPr>
    <w:rPr>
      <w:szCs w:val="21"/>
    </w:rPr>
  </w:style>
  <w:style w:type="paragraph" w:styleId="1039" w:customStyle="1">
    <w:name w:val="正文文本缩进 31"/>
    <w:basedOn w:val="773"/>
    <w:link w:val="1040"/>
    <w:pPr>
      <w:ind w:left="645" w:firstLine="645"/>
    </w:pPr>
    <w:rPr>
      <w:rFonts w:ascii="Arial" w:hAnsi="Arial" w:eastAsia="仿宋_GB2312" w:cs="Arial"/>
      <w:color w:val="ffff00"/>
      <w:sz w:val="32"/>
      <w:szCs w:val="32"/>
    </w:rPr>
  </w:style>
  <w:style w:type="character" w:styleId="1040" w:customStyle="1">
    <w:name w:val="正文文本缩进 3 字符"/>
    <w:link w:val="1039"/>
    <w:rPr>
      <w:rFonts w:ascii="Arial" w:hAnsi="Arial" w:eastAsia="仿宋_GB2312" w:cs="Arial"/>
      <w:color w:val="ffff00"/>
      <w:sz w:val="32"/>
      <w:szCs w:val="32"/>
    </w:rPr>
  </w:style>
  <w:style w:type="paragraph" w:styleId="1041" w:customStyle="1">
    <w:name w:val="图表目录1"/>
    <w:basedOn w:val="773"/>
    <w:next w:val="773"/>
    <w:semiHidden/>
    <w:pPr>
      <w:ind w:left="840" w:hanging="420"/>
    </w:pPr>
    <w:rPr>
      <w:szCs w:val="21"/>
    </w:rPr>
  </w:style>
  <w:style w:type="paragraph" w:styleId="1042" w:customStyle="1">
    <w:name w:val="正文文本 21"/>
    <w:basedOn w:val="773"/>
    <w:link w:val="1043"/>
    <w:pPr>
      <w:jc w:val="center"/>
      <w:widowControl/>
    </w:pPr>
    <w:rPr>
      <w:rFonts w:ascii="楷体_GB2312" w:eastAsia="楷体_GB2312"/>
      <w:sz w:val="28"/>
      <w:szCs w:val="28"/>
    </w:rPr>
  </w:style>
  <w:style w:type="character" w:styleId="1043" w:customStyle="1">
    <w:name w:val="正文文本 2 字符"/>
    <w:link w:val="1042"/>
    <w:rPr>
      <w:rFonts w:ascii="楷体_GB2312" w:hAnsi="Times New Roman" w:eastAsia="楷体_GB2312" w:cs="Times New Roman"/>
      <w:sz w:val="28"/>
      <w:szCs w:val="28"/>
    </w:rPr>
  </w:style>
  <w:style w:type="paragraph" w:styleId="1044" w:customStyle="1">
    <w:name w:val="普通(网站)11"/>
    <w:basedOn w:val="773"/>
    <w:uiPriority w:val="99"/>
    <w:pPr>
      <w:jc w:val="left"/>
      <w:spacing w:before="100" w:beforeAutospacing="1" w:after="100" w:afterAutospacing="1"/>
      <w:widowControl/>
    </w:pPr>
    <w:rPr>
      <w:rFonts w:ascii="宋体" w:hAnsi="宋体" w:cs="宋体"/>
      <w:sz w:val="24"/>
      <w:szCs w:val="24"/>
    </w:rPr>
  </w:style>
  <w:style w:type="paragraph" w:styleId="1045" w:customStyle="1">
    <w:name w:val="索引 11"/>
    <w:basedOn w:val="773"/>
    <w:next w:val="773"/>
    <w:semiHidden/>
    <w:pPr>
      <w:spacing w:line="240" w:lineRule="atLeast"/>
    </w:pPr>
    <w:rPr>
      <w:b/>
      <w:bCs/>
      <w:szCs w:val="21"/>
    </w:rPr>
  </w:style>
  <w:style w:type="paragraph" w:styleId="1046" w:customStyle="1">
    <w:name w:val="批注主题1"/>
    <w:basedOn w:val="1017"/>
    <w:next w:val="1017"/>
    <w:link w:val="1047"/>
    <w:semiHidden/>
    <w:rPr>
      <w:b/>
      <w:bCs/>
      <w:szCs w:val="21"/>
    </w:rPr>
  </w:style>
  <w:style w:type="character" w:styleId="1047" w:customStyle="1">
    <w:name w:val="批注主题 字符"/>
    <w:link w:val="1046"/>
    <w:semiHidden/>
    <w:rPr>
      <w:rFonts w:ascii="Times New Roman" w:hAnsi="Times New Roman" w:eastAsia="宋体" w:cs="Times New Roman"/>
      <w:b/>
      <w:bCs/>
      <w:szCs w:val="21"/>
    </w:rPr>
  </w:style>
  <w:style w:type="paragraph" w:styleId="1048" w:customStyle="1">
    <w:name w:val="正文文本首行缩进1"/>
    <w:basedOn w:val="773"/>
    <w:link w:val="1049"/>
    <w:pPr>
      <w:ind w:firstLine="200"/>
      <w:spacing w:line="360" w:lineRule="auto"/>
    </w:pPr>
    <w:rPr>
      <w:rFonts w:ascii="仿宋_GB2312" w:eastAsia="仿宋_GB2312"/>
      <w:sz w:val="30"/>
      <w:szCs w:val="30"/>
    </w:rPr>
  </w:style>
  <w:style w:type="character" w:styleId="1049" w:customStyle="1">
    <w:name w:val="正文文本首行缩进 字符"/>
    <w:link w:val="1048"/>
    <w:rPr>
      <w:rFonts w:ascii="仿宋_GB2312" w:hAnsi="Times New Roman" w:eastAsia="仿宋_GB2312" w:cs="Times New Roman"/>
      <w:sz w:val="30"/>
      <w:szCs w:val="30"/>
    </w:rPr>
  </w:style>
  <w:style w:type="paragraph" w:styleId="1050" w:customStyle="1">
    <w:name w:val="正文文本首行缩进 21"/>
    <w:basedOn w:val="1023"/>
    <w:link w:val="1051"/>
    <w:pPr>
      <w:ind w:left="0" w:firstLine="420"/>
      <w:spacing w:after="0" w:line="360" w:lineRule="auto"/>
    </w:pPr>
    <w:rPr>
      <w:rFonts w:ascii="宋体" w:hAnsi="宋体"/>
      <w:szCs w:val="20"/>
    </w:rPr>
  </w:style>
  <w:style w:type="character" w:styleId="1051" w:customStyle="1">
    <w:name w:val="正文文本首行缩进 2 字符"/>
    <w:link w:val="1050"/>
    <w:rPr>
      <w:rFonts w:ascii="宋体" w:hAnsi="宋体" w:eastAsia="宋体" w:cs="Times New Roman"/>
      <w:szCs w:val="20"/>
    </w:rPr>
  </w:style>
  <w:style w:type="table" w:styleId="1052" w:customStyle="1">
    <w:name w:val="网格型11"/>
    <w:basedOn w:val="1003"/>
    <w:pPr>
      <w:jc w:val="both"/>
      <w:widowControl w:val="off"/>
    </w:pPr>
    <w:tblPr/>
  </w:style>
  <w:style w:type="character" w:styleId="1053" w:customStyle="1">
    <w:name w:val="要点1"/>
    <w:qFormat/>
    <w:rPr>
      <w:b/>
      <w:bCs/>
    </w:rPr>
  </w:style>
  <w:style w:type="character" w:styleId="1054" w:customStyle="1">
    <w:name w:val="页码1"/>
  </w:style>
  <w:style w:type="character" w:styleId="1055" w:customStyle="1">
    <w:name w:val="访问过的超链接1"/>
    <w:rPr>
      <w:color w:val="800080"/>
      <w:u w:val="single"/>
    </w:rPr>
  </w:style>
  <w:style w:type="character" w:styleId="1056" w:customStyle="1">
    <w:name w:val="强调1"/>
    <w:qFormat/>
    <w:rPr>
      <w:i/>
    </w:rPr>
  </w:style>
  <w:style w:type="character" w:styleId="1057" w:customStyle="1">
    <w:name w:val="超链接1"/>
    <w:rPr>
      <w:color w:val="0000ff"/>
      <w:u w:val="single"/>
    </w:rPr>
  </w:style>
  <w:style w:type="character" w:styleId="1058" w:customStyle="1">
    <w:name w:val="批注引用1"/>
    <w:semiHidden/>
    <w:rPr>
      <w:sz w:val="21"/>
      <w:szCs w:val="21"/>
    </w:rPr>
  </w:style>
  <w:style w:type="character" w:styleId="1059" w:customStyle="1">
    <w:name w:val="font5 Char"/>
    <w:rPr>
      <w:rFonts w:ascii="宋体" w:hAnsi="宋体" w:eastAsia="宋体"/>
      <w:sz w:val="28"/>
      <w:szCs w:val="28"/>
      <w:lang w:val="en-US" w:eastAsia="zh-CN" w:bidi="ar-SA"/>
    </w:rPr>
  </w:style>
  <w:style w:type="character" w:styleId="1060" w:customStyle="1">
    <w:name w:val="二级目录 Char"/>
    <w:link w:val="1061"/>
    <w:rPr>
      <w:b/>
      <w:sz w:val="30"/>
      <w:szCs w:val="28"/>
    </w:rPr>
  </w:style>
  <w:style w:type="paragraph" w:styleId="1061" w:customStyle="1">
    <w:name w:val="二级目录"/>
    <w:next w:val="773"/>
    <w:link w:val="1060"/>
    <w:pPr>
      <w:ind w:left="907" w:hanging="907"/>
      <w:tabs>
        <w:tab w:val="left" w:pos="907" w:leader="none"/>
        <w:tab w:val="left" w:pos="1145" w:leader="none"/>
      </w:tabs>
      <w:outlineLvl w:val="1"/>
    </w:pPr>
    <w:rPr>
      <w:b/>
      <w:sz w:val="30"/>
      <w:szCs w:val="28"/>
    </w:rPr>
  </w:style>
  <w:style w:type="character" w:styleId="1062" w:customStyle="1">
    <w:name w:val="列出段落 Char"/>
    <w:link w:val="1063"/>
    <w:rPr>
      <w:rFonts w:ascii="Calibri" w:hAnsi="Calibri"/>
      <w:sz w:val="24"/>
      <w:szCs w:val="24"/>
      <w:lang w:eastAsia="en-US" w:bidi="en-US"/>
    </w:rPr>
  </w:style>
  <w:style w:type="paragraph" w:styleId="1063" w:customStyle="1">
    <w:name w:val="列出段落1"/>
    <w:basedOn w:val="773"/>
    <w:link w:val="1062"/>
    <w:qFormat/>
    <w:pPr>
      <w:contextualSpacing/>
      <w:ind w:left="720"/>
      <w:jc w:val="left"/>
      <w:widowControl/>
    </w:pPr>
    <w:rPr>
      <w:rFonts w:ascii="Calibri" w:hAnsi="Calibri"/>
      <w:sz w:val="24"/>
      <w:szCs w:val="24"/>
      <w:lang w:eastAsia="en-US" w:bidi="en-US"/>
    </w:rPr>
  </w:style>
  <w:style w:type="paragraph" w:styleId="1064" w:customStyle="1">
    <w:name w:val="Body Text(ch)"/>
    <w:basedOn w:val="773"/>
    <w:next w:val="1021"/>
    <w:pPr>
      <w:spacing w:after="120"/>
    </w:pPr>
    <w:rPr>
      <w:rFonts w:ascii="宋体" w:hAnsi="Arial"/>
      <w:bCs/>
      <w:iCs/>
      <w:szCs w:val="24"/>
    </w:rPr>
  </w:style>
  <w:style w:type="paragraph" w:styleId="1065" w:customStyle="1">
    <w:name w:val="xl27"/>
    <w:basedOn w:val="7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6" w:customStyle="1">
    <w:name w:val="xl26"/>
    <w:basedOn w:val="7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7" w:customStyle="1">
    <w:name w:val="Char"/>
    <w:basedOn w:val="773"/>
    <w:pPr>
      <w:ind w:firstLine="200"/>
      <w:tabs>
        <w:tab w:val="left" w:pos="360" w:leader="none"/>
      </w:tabs>
    </w:pPr>
    <w:rPr>
      <w:sz w:val="28"/>
      <w:szCs w:val="30"/>
    </w:rPr>
  </w:style>
  <w:style w:type="paragraph" w:styleId="1068" w:customStyle="1">
    <w:name w:val="Char1"/>
    <w:basedOn w:val="1015"/>
    <w:rPr>
      <w:rFonts w:ascii="Tahoma" w:hAnsi="Tahoma"/>
      <w:sz w:val="24"/>
      <w:szCs w:val="24"/>
    </w:rPr>
  </w:style>
  <w:style w:type="paragraph" w:styleId="1069" w:customStyle="1">
    <w:name w:val="普通正文"/>
    <w:basedOn w:val="773"/>
    <w:pPr>
      <w:ind w:firstLine="480"/>
      <w:jc w:val="left"/>
      <w:spacing w:before="120" w:after="120" w:line="360" w:lineRule="auto"/>
    </w:pPr>
    <w:rPr>
      <w:rFonts w:ascii="Arial" w:hAnsi="Arial"/>
      <w:sz w:val="24"/>
      <w:szCs w:val="24"/>
    </w:rPr>
  </w:style>
  <w:style w:type="paragraph" w:styleId="1070" w:customStyle="1">
    <w:name w:val="table_lines"/>
    <w:basedOn w:val="773"/>
    <w:pPr>
      <w:jc w:val="left"/>
      <w:widowControl/>
    </w:pPr>
    <w:rPr>
      <w:sz w:val="20"/>
      <w:szCs w:val="20"/>
      <w:lang w:val="de-DE" w:eastAsia="de-DE"/>
    </w:rPr>
  </w:style>
  <w:style w:type="paragraph" w:styleId="1071" w:customStyle="1">
    <w:name w:val="附录1"/>
    <w:pPr>
      <w:numPr>
        <w:numId w:val="2"/>
      </w:numPr>
      <w:spacing w:before="240" w:line="600" w:lineRule="atLeast"/>
    </w:pPr>
    <w:rPr>
      <w:b/>
      <w:i/>
      <w:sz w:val="28"/>
    </w:rPr>
  </w:style>
  <w:style w:type="paragraph" w:styleId="1072" w:customStyle="1">
    <w:name w:val="font7"/>
    <w:basedOn w:val="773"/>
    <w:pPr>
      <w:jc w:val="left"/>
      <w:spacing w:before="100" w:beforeAutospacing="1" w:after="100" w:afterAutospacing="1"/>
      <w:widowControl/>
    </w:pPr>
    <w:rPr>
      <w:rFonts w:hint="eastAsia" w:ascii="宋体" w:hAnsi="宋体"/>
      <w:sz w:val="18"/>
      <w:szCs w:val="18"/>
    </w:rPr>
  </w:style>
  <w:style w:type="paragraph" w:styleId="1073" w:customStyle="1">
    <w:name w:val="Char Char Char Char"/>
    <w:basedOn w:val="1015"/>
    <w:pPr>
      <w:spacing w:line="360" w:lineRule="auto"/>
    </w:pPr>
    <w:rPr>
      <w:rFonts w:ascii="Tahoma" w:hAnsi="Tahoma"/>
      <w:sz w:val="24"/>
      <w:szCs w:val="24"/>
    </w:rPr>
  </w:style>
  <w:style w:type="paragraph" w:styleId="1074" w:customStyle="1">
    <w:name w:val="列表段落1"/>
    <w:basedOn w:val="773"/>
    <w:qFormat/>
    <w:pPr>
      <w:contextualSpacing/>
      <w:ind w:left="720"/>
      <w:jc w:val="left"/>
      <w:widowControl/>
    </w:pPr>
    <w:rPr>
      <w:rFonts w:ascii="Calibri" w:hAnsi="Calibri"/>
      <w:sz w:val="24"/>
      <w:szCs w:val="24"/>
      <w:lang w:eastAsia="en-US" w:bidi="en-US"/>
    </w:rPr>
  </w:style>
  <w:style w:type="paragraph" w:styleId="1075" w:customStyle="1">
    <w:name w:val="4"/>
    <w:basedOn w:val="773"/>
    <w:next w:val="1039"/>
    <w:pPr>
      <w:ind w:firstLine="420"/>
      <w:spacing w:line="360" w:lineRule="auto"/>
    </w:pPr>
    <w:rPr>
      <w:color w:val="ff0000"/>
      <w:sz w:val="24"/>
      <w:szCs w:val="24"/>
    </w:rPr>
  </w:style>
  <w:style w:type="paragraph" w:styleId="1076" w:customStyle="1">
    <w:name w:val="普通 (Web)"/>
    <w:basedOn w:val="773"/>
    <w:pPr>
      <w:jc w:val="left"/>
      <w:spacing w:before="100" w:beforeAutospacing="1" w:after="100" w:afterAutospacing="1"/>
      <w:widowControl/>
    </w:pPr>
    <w:rPr>
      <w:rFonts w:ascii="宋体" w:hAnsi="宋体"/>
      <w:sz w:val="24"/>
      <w:szCs w:val="24"/>
    </w:rPr>
  </w:style>
  <w:style w:type="paragraph" w:styleId="1077" w:customStyle="1">
    <w:name w:val="Char Char Char Char Char Char Char Char Char Char"/>
    <w:basedOn w:val="773"/>
    <w:pPr>
      <w:spacing w:line="360" w:lineRule="auto"/>
    </w:pPr>
    <w:rPr>
      <w:sz w:val="24"/>
      <w:szCs w:val="20"/>
    </w:rPr>
  </w:style>
  <w:style w:type="paragraph" w:styleId="1078" w:customStyle="1">
    <w:name w:val="样式1"/>
    <w:basedOn w:val="773"/>
    <w:pPr>
      <w:numPr>
        <w:numId w:val="3"/>
      </w:numPr>
    </w:pPr>
    <w:rPr>
      <w:rFonts w:ascii="宋体" w:hAnsi="宋体"/>
      <w:szCs w:val="21"/>
    </w:rPr>
  </w:style>
  <w:style w:type="paragraph" w:styleId="1079" w:customStyle="1">
    <w:name w:val="font6"/>
    <w:basedOn w:val="773"/>
    <w:pPr>
      <w:jc w:val="left"/>
      <w:spacing w:before="100" w:beforeAutospacing="1" w:after="100" w:afterAutospacing="1"/>
      <w:widowControl/>
    </w:pPr>
    <w:rPr>
      <w:rFonts w:hint="eastAsia" w:ascii="宋体" w:hAnsi="宋体"/>
      <w:sz w:val="28"/>
      <w:szCs w:val="28"/>
      <w:u w:val="single"/>
    </w:rPr>
  </w:style>
  <w:style w:type="paragraph" w:styleId="1080" w:customStyle="1">
    <w:name w:val="xl25"/>
    <w:basedOn w:val="7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1" w:customStyle="1">
    <w:name w:val="图标"/>
    <w:basedOn w:val="773"/>
    <w:next w:val="7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2" w:customStyle="1">
    <w:name w:val="标题3"/>
    <w:basedOn w:val="773"/>
    <w:next w:val="773"/>
    <w:pPr>
      <w:ind w:firstLine="624"/>
      <w:spacing w:line="590" w:lineRule="atLeast"/>
    </w:pPr>
    <w:rPr>
      <w:rFonts w:ascii="方正黑体_GBK" w:eastAsia="方正黑体_GBK"/>
      <w:sz w:val="32"/>
      <w:szCs w:val="32"/>
    </w:rPr>
  </w:style>
  <w:style w:type="paragraph" w:styleId="1083" w:customStyle="1">
    <w:name w:val="xl24"/>
    <w:basedOn w:val="7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4" w:customStyle="1">
    <w:name w:val="xl29"/>
    <w:basedOn w:val="7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5" w:customStyle="1">
    <w:name w:val="Char Char Char Char Char Char Char Char"/>
    <w:basedOn w:val="773"/>
    <w:pPr>
      <w:jc w:val="left"/>
      <w:spacing w:after="160" w:line="240" w:lineRule="exact"/>
      <w:widowControl/>
    </w:pPr>
    <w:rPr>
      <w:rFonts w:ascii="Verdana" w:hAnsi="Verdana"/>
      <w:sz w:val="20"/>
      <w:szCs w:val="20"/>
      <w:lang w:eastAsia="en-US"/>
    </w:rPr>
  </w:style>
  <w:style w:type="paragraph" w:styleId="1086" w:customStyle="1">
    <w:name w:val="xl28"/>
    <w:basedOn w:val="7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7" w:customStyle="1">
    <w:name w:val="Char Char Char Char Char Char Char Char1"/>
    <w:basedOn w:val="773"/>
    <w:pPr>
      <w:jc w:val="left"/>
      <w:spacing w:after="160" w:line="240" w:lineRule="exact"/>
      <w:widowControl/>
    </w:pPr>
    <w:rPr>
      <w:rFonts w:ascii="Verdana" w:hAnsi="Verdana"/>
      <w:sz w:val="20"/>
      <w:szCs w:val="20"/>
      <w:lang w:eastAsia="en-US"/>
    </w:rPr>
  </w:style>
  <w:style w:type="paragraph" w:styleId="1088" w:customStyle="1">
    <w:name w:val="xl30"/>
    <w:basedOn w:val="773"/>
    <w:pPr>
      <w:jc w:val="center"/>
      <w:spacing w:before="100" w:beforeAutospacing="1" w:after="100" w:afterAutospacing="1"/>
      <w:widowControl/>
    </w:pPr>
    <w:rPr>
      <w:rFonts w:ascii="宋体" w:hAnsi="宋体"/>
      <w:b/>
      <w:bCs/>
      <w:sz w:val="36"/>
      <w:szCs w:val="36"/>
    </w:rPr>
  </w:style>
  <w:style w:type="paragraph" w:styleId="1089" w:customStyle="1">
    <w:name w:val="Char Char Char Char1"/>
    <w:basedOn w:val="1015"/>
    <w:pPr>
      <w:spacing w:line="360" w:lineRule="auto"/>
    </w:pPr>
    <w:rPr>
      <w:rFonts w:ascii="Tahoma" w:hAnsi="Tahoma"/>
      <w:sz w:val="24"/>
      <w:szCs w:val="24"/>
    </w:rPr>
  </w:style>
  <w:style w:type="paragraph" w:styleId="1090" w:customStyle="1">
    <w:name w:val="table_1stline"/>
    <w:basedOn w:val="773"/>
    <w:pPr>
      <w:jc w:val="left"/>
      <w:spacing w:before="120"/>
      <w:widowControl/>
    </w:pPr>
    <w:rPr>
      <w:bCs/>
      <w:sz w:val="20"/>
      <w:szCs w:val="20"/>
      <w:lang w:val="de-DE" w:eastAsia="de-DE"/>
    </w:rPr>
  </w:style>
  <w:style w:type="paragraph" w:styleId="1091" w:customStyle="1">
    <w:name w:val="font5"/>
    <w:basedOn w:val="773"/>
    <w:pPr>
      <w:jc w:val="left"/>
      <w:spacing w:before="100" w:beforeAutospacing="1" w:after="100" w:afterAutospacing="1"/>
      <w:widowControl/>
    </w:pPr>
    <w:rPr>
      <w:rFonts w:hint="eastAsia" w:ascii="宋体" w:hAnsi="宋体"/>
      <w:sz w:val="28"/>
      <w:szCs w:val="28"/>
    </w:rPr>
  </w:style>
  <w:style w:type="paragraph" w:styleId="1092" w:customStyle="1">
    <w:name w:val="标题1"/>
    <w:basedOn w:val="773"/>
    <w:next w:val="77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3" w:customStyle="1">
    <w:name w:val="修订1"/>
    <w:uiPriority w:val="99"/>
    <w:semiHidden/>
    <w:rPr>
      <w:sz w:val="21"/>
      <w:szCs w:val="21"/>
    </w:rPr>
  </w:style>
  <w:style w:type="paragraph" w:styleId="1094" w:customStyle="1">
    <w:name w:val="无间隔1"/>
    <w:uiPriority w:val="99"/>
    <w:qFormat/>
    <w:pPr>
      <w:jc w:val="both"/>
      <w:widowControl w:val="off"/>
    </w:pPr>
    <w:rPr>
      <w:sz w:val="21"/>
      <w:szCs w:val="21"/>
    </w:rPr>
  </w:style>
  <w:style w:type="paragraph" w:styleId="1095" w:customStyle="1">
    <w:name w:val="AONormal"/>
    <w:qFormat/>
    <w:pPr>
      <w:ind w:firstLine="440"/>
      <w:spacing w:line="400" w:lineRule="exact"/>
    </w:pPr>
    <w:rPr>
      <w:rFonts w:ascii="华文楷体" w:hAnsi="华文楷体" w:eastAsia="华文楷体" w:cs="华文楷体"/>
      <w:sz w:val="22"/>
      <w:szCs w:val="21"/>
    </w:rPr>
  </w:style>
  <w:style w:type="paragraph" w:styleId="1096" w:customStyle="1">
    <w:name w:val="标题 311"/>
    <w:basedOn w:val="773"/>
    <w:next w:val="1097"/>
    <w:qFormat/>
    <w:pPr>
      <w:keepLines/>
      <w:keepNext/>
      <w:spacing w:before="260" w:after="260" w:line="416" w:lineRule="auto"/>
      <w:outlineLvl w:val="2"/>
    </w:pPr>
    <w:rPr>
      <w:b/>
      <w:bCs/>
      <w:sz w:val="32"/>
      <w:szCs w:val="32"/>
    </w:rPr>
  </w:style>
  <w:style w:type="paragraph" w:styleId="1097" w:customStyle="1">
    <w:name w:val="正文缩进111"/>
    <w:basedOn w:val="773"/>
    <w:qFormat/>
    <w:pPr>
      <w:ind w:firstLine="420"/>
    </w:pPr>
  </w:style>
  <w:style w:type="paragraph" w:styleId="1098" w:customStyle="1">
    <w:name w:val="普通(网站)1"/>
    <w:basedOn w:val="773"/>
    <w:uiPriority w:val="99"/>
    <w:qFormat/>
    <w:pPr>
      <w:jc w:val="left"/>
      <w:spacing w:before="100" w:beforeAutospacing="1" w:after="100" w:afterAutospacing="1"/>
      <w:widowControl/>
    </w:pPr>
    <w:rPr>
      <w:rFonts w:ascii="宋体" w:hAnsi="宋体" w:cs="宋体"/>
      <w:sz w:val="24"/>
      <w:szCs w:val="24"/>
    </w:rPr>
  </w:style>
  <w:style w:type="paragraph" w:styleId="1099" w:customStyle="1">
    <w:name w:val="目录 11"/>
    <w:basedOn w:val="773"/>
    <w:next w:val="773"/>
    <w:semiHidden/>
    <w:qFormat/>
    <w:pPr>
      <w:jc w:val="left"/>
      <w:spacing w:before="120" w:after="120" w:line="400" w:lineRule="exact"/>
      <w:tabs>
        <w:tab w:val="right" w:pos="8720" w:leader="dot"/>
      </w:tabs>
    </w:pPr>
    <w:rPr>
      <w:rFonts w:ascii="宋体" w:hAnsi="宋体"/>
      <w:caps/>
      <w:sz w:val="24"/>
      <w:szCs w:val="24"/>
    </w:rPr>
  </w:style>
  <w:style w:type="table" w:styleId="1100" w:customStyle="1">
    <w:name w:val="网格型1"/>
    <w:basedOn w:val="1101"/>
    <w:qFormat/>
    <w:pPr>
      <w:jc w:val="both"/>
      <w:widowControl w:val="off"/>
    </w:pPr>
    <w:tblPr/>
  </w:style>
  <w:style w:type="table" w:styleId="1101" w:customStyle="1">
    <w:name w:val="普通表格1"/>
    <w:uiPriority w:val="99"/>
    <w:unhideWhenUsed/>
    <w:qFormat/>
    <w:tblPr>
      <w:tblCellMar>
        <w:left w:w="0" w:type="dxa"/>
        <w:top w:w="0" w:type="dxa"/>
        <w:right w:w="0" w:type="dxa"/>
        <w:bottom w:w="0" w:type="dxa"/>
      </w:tblCellMar>
    </w:tblPr>
  </w:style>
  <w:style w:type="character" w:styleId="1102" w:customStyle="1">
    <w:name w:val="font01"/>
    <w:qFormat/>
    <w:rPr>
      <w:rFonts w:ascii="Times New Roman" w:hAnsi="Times New Roman" w:eastAsia="宋体" w:cs="Times New Roman"/>
      <w:sz w:val="21"/>
      <w:szCs w:val="22"/>
      <w:lang w:val="en-US" w:eastAsia="zh-CN" w:bidi="ar-SA"/>
    </w:rPr>
  </w:style>
  <w:style w:type="paragraph" w:styleId="1103" w:customStyle="1">
    <w:name w:val="修订2"/>
    <w:hidden/>
    <w:uiPriority w:val="99"/>
    <w:unhideWhenUsed/>
    <w:rPr>
      <w:sz w:val="21"/>
      <w:szCs w:val="22"/>
    </w:rPr>
  </w:style>
  <w:style w:type="paragraph" w:styleId="1104">
    <w:name w:val="annotation text"/>
    <w:basedOn w:val="773"/>
    <w:link w:val="1105"/>
    <w:uiPriority w:val="99"/>
    <w:semiHidden/>
    <w:unhideWhenUsed/>
    <w:pPr>
      <w:jc w:val="left"/>
    </w:pPr>
  </w:style>
  <w:style w:type="character" w:styleId="1105" w:customStyle="1">
    <w:name w:val="批注文字 字符1"/>
    <w:basedOn w:val="783"/>
    <w:link w:val="1104"/>
    <w:uiPriority w:val="99"/>
    <w:semiHidden/>
    <w:rPr>
      <w:sz w:val="21"/>
      <w:szCs w:val="22"/>
    </w:rPr>
  </w:style>
  <w:style w:type="character" w:styleId="1106">
    <w:name w:val="annotation reference"/>
    <w:basedOn w:val="783"/>
    <w:uiPriority w:val="99"/>
    <w:semiHidden/>
    <w:unhideWhenUsed/>
    <w:rPr>
      <w:sz w:val="21"/>
      <w:szCs w:val="21"/>
    </w:rPr>
  </w:style>
  <w:style w:type="paragraph" w:styleId="1107">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7</cp:revision>
  <dcterms:created xsi:type="dcterms:W3CDTF">2026-07-21T07:41:00Z</dcterms:created>
  <dcterms:modified xsi:type="dcterms:W3CDTF">2026-07-24T03:12:35Z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2052-12.1.23540.23540</vt:lpwstr>
  </property>
  <property fmtid="{D5CDD505-2E9C-101B-9397-08002B2CF9AE}" pid="3" name="ICV">
    <vt:lpwstr>407F15088572ADE28A125A6A4D339BF4_42</vt:lpwstr>
  </property>
</Properties>
</file>