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0"/>
        <w:ind w:firstLine="0"/>
        <w:rPr>
          <w:rFonts w:hint="eastAsia" w:eastAsia="黑体"/>
          <w:b/>
          <w:bCs/>
          <w:sz w:val="84"/>
        </w:rPr>
      </w:pPr>
      <w:r>
        <w:rPr>
          <w:rFonts w:hint="eastAsia" w:eastAsia="黑体"/>
          <w:b/>
          <w:bCs/>
          <w:sz w:val="84"/>
        </w:rPr>
      </w:r>
      <w:r/>
    </w:p>
    <w:p>
      <w:pPr>
        <w:pStyle w:val="970"/>
        <w:ind w:firstLine="0"/>
        <w:jc w:val="center"/>
        <w:rPr>
          <w:rFonts w:hint="eastAsia" w:eastAsia="黑体"/>
          <w:b/>
          <w:bCs/>
          <w:sz w:val="84"/>
        </w:rPr>
      </w:pPr>
      <w:r>
        <w:rPr>
          <w:rFonts w:hint="eastAsia" w:eastAsia="黑体"/>
          <w:b/>
          <w:bCs/>
          <w:sz w:val="84"/>
        </w:rPr>
        <w:t xml:space="preserve">招　标　文　件</w:t>
      </w:r>
      <w:r/>
    </w:p>
    <w:p>
      <w:pPr>
        <w:pStyle w:val="953"/>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hint="eastAsia" w:ascii="宋体" w:hAnsi="宋体" w:eastAsia="宋体" w:cs="宋体"/>
          <w:color w:val="000000"/>
          <w:sz w:val="32"/>
          <w:szCs w:val="32"/>
        </w:rPr>
        <w:t xml:space="preserve">学校物业管理服务项目</w:t>
      </w:r>
      <w:r/>
    </w:p>
    <w:p>
      <w:pPr>
        <w:ind w:left="2100" w:firstLine="161"/>
        <w:rPr>
          <w:b/>
          <w:color w:val="ff0000"/>
          <w:sz w:val="30"/>
          <w:szCs w:val="30"/>
        </w:rPr>
      </w:pPr>
      <w:r>
        <w:rPr>
          <w:rFonts w:ascii="宋体" w:hAnsi="宋体" w:eastAsia="宋体" w:cs="宋体"/>
          <w:b/>
          <w:color w:val="ff0000"/>
          <w:sz w:val="32"/>
          <w:szCs w:val="32"/>
        </w:rPr>
        <w:t xml:space="preserve">项目编号：</w:t>
      </w:r>
      <w:r>
        <w:rPr>
          <w:rFonts w:hint="eastAsia" w:ascii="宋体" w:hAnsi="宋体" w:eastAsia="宋体" w:cs="宋体"/>
          <w:color w:val="ff0000"/>
          <w:sz w:val="21"/>
          <w:szCs w:val="21"/>
        </w:rPr>
        <w:t xml:space="preserve"> </w:t>
      </w:r>
      <w:r>
        <w:rPr>
          <w:rFonts w:hint="eastAsia" w:ascii="宋体" w:hAnsi="宋体" w:eastAsia="宋体" w:cs="宋体"/>
          <w:color w:val="000000"/>
          <w:sz w:val="22"/>
          <w:szCs w:val="22"/>
        </w:rPr>
        <w:t xml:space="preserve">JSZC-320400-JZCG-G2026-0198</w:t>
      </w:r>
      <w:r>
        <w:rPr>
          <w:rFonts w:hint="eastAsia" w:ascii="宋体" w:hAnsi="宋体" w:eastAsia="宋体" w:cs="宋体"/>
          <w:color w:val="ff0000"/>
          <w:sz w:val="21"/>
          <w:szCs w:val="21"/>
        </w:rPr>
        <w:t xml:space="preserve">  </w:t>
      </w:r>
      <w:r>
        <w:rPr>
          <w:rFonts w:hint="eastAsia" w:ascii="宋体" w:hAnsi="宋体" w:eastAsia="宋体" w:cs="宋体"/>
          <w:b/>
          <w:color w:val="ff0000"/>
          <w:sz w:val="30"/>
          <w:szCs w:val="30"/>
        </w:rPr>
        <w:t xml:space="preserve"> </w:t>
      </w:r>
      <w:r>
        <w:rPr>
          <w:rFonts w:hint="eastAsia" w:ascii="宋体" w:hAnsi="宋体" w:eastAsia="宋体" w:cs="宋体"/>
          <w:color w:val="ff0000"/>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spacing w:before="0" w:after="0"/>
        <w:rPr>
          <w:rFonts w:hint="eastAsia" w:ascii="宋体" w:hAnsi="宋体"/>
        </w:rPr>
      </w:pPr>
      <w:r>
        <w:rPr>
          <w:rFonts w:hint="eastAsia" w:ascii="宋体" w:hAnsi="宋体"/>
        </w:rPr>
      </w:r>
      <w:r/>
    </w:p>
    <w:p>
      <w:pPr>
        <w:pStyle w:val="970"/>
        <w:ind w:firstLine="0"/>
        <w:jc w:val="center"/>
        <w:rPr>
          <w:rFonts w:hint="eastAsia"/>
          <w:b/>
          <w:bCs/>
          <w:sz w:val="32"/>
        </w:rPr>
      </w:pPr>
      <w:r>
        <w:rPr>
          <w:rFonts w:hint="eastAsia"/>
          <w:b/>
          <w:bCs/>
          <w:sz w:val="32"/>
        </w:rPr>
        <w:t xml:space="preserve">常州市政府采购中心</w:t>
      </w:r>
      <w:r/>
    </w:p>
    <w:p>
      <w:pPr>
        <w:pStyle w:val="970"/>
        <w:ind w:firstLine="0"/>
        <w:jc w:val="center"/>
        <w:rPr>
          <w:rFonts w:hint="eastAsia"/>
          <w:b/>
          <w:bCs/>
          <w:sz w:val="32"/>
          <w:u w:val="none"/>
        </w:rPr>
      </w:pPr>
      <w:r>
        <w:rPr>
          <w:rFonts w:hint="eastAsia"/>
          <w:b/>
          <w:bCs/>
          <w:sz w:val="32"/>
          <w:u w:val="none"/>
          <w:lang w:val="en-US" w:eastAsia="zh-CN"/>
        </w:rPr>
        <w:t xml:space="preserve">2026</w:t>
      </w:r>
      <w:r>
        <w:rPr>
          <w:rFonts w:hint="eastAsia"/>
          <w:b/>
          <w:bCs/>
          <w:sz w:val="32"/>
          <w:u w:val="none"/>
        </w:rPr>
        <w:t xml:space="preserve">年</w:t>
      </w:r>
      <w:r>
        <w:rPr>
          <w:rFonts w:hint="eastAsia"/>
          <w:b/>
          <w:bCs/>
          <w:sz w:val="32"/>
          <w:u w:val="none"/>
          <w:lang w:val="en-US" w:eastAsia="zh-CN"/>
        </w:rPr>
        <w:t xml:space="preserve">07</w:t>
      </w:r>
      <w:r>
        <w:rPr>
          <w:rFonts w:hint="eastAsia"/>
          <w:b/>
          <w:bCs/>
          <w:sz w:val="32"/>
          <w:u w:val="none"/>
        </w:rPr>
        <w:t xml:space="preserve">月</w:t>
      </w:r>
      <w:r>
        <w:rPr>
          <w:rFonts w:hint="eastAsia"/>
          <w:b/>
          <w:bCs/>
          <w:sz w:val="32"/>
          <w:u w:val="none"/>
          <w:lang w:val="en-US" w:eastAsia="zh-CN"/>
        </w:rPr>
        <w:t xml:space="preserve">30</w:t>
      </w:r>
      <w:r>
        <w:rPr>
          <w:rFonts w:hint="eastAsia"/>
          <w:b/>
          <w:bCs/>
          <w:sz w:val="32"/>
          <w:u w:val="none"/>
        </w:rPr>
        <w:t xml:space="preserve">日</w:t>
      </w:r>
      <w:r/>
    </w:p>
    <w:p>
      <w:pPr>
        <w:pStyle w:val="970"/>
        <w:ind w:firstLine="0"/>
        <w:rPr>
          <w:rFonts w:hint="eastAsia"/>
          <w:u w:val="single"/>
        </w:rPr>
      </w:pPr>
      <w:r>
        <w:rPr>
          <w:rFonts w:hint="eastAsia"/>
        </w:rPr>
        <w:t xml:space="preserve">                        </w:t>
      </w:r>
      <w:r/>
    </w:p>
    <w:p>
      <w:pPr>
        <w:pStyle w:val="970"/>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pStyle w:val="953"/>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spacing w:before="0" w:beforeAutospacing="0" w:after="0" w:afterAutospacing="0"/>
        <w:rPr>
          <w:rFonts w:hint="eastAsia" w:ascii="宋体" w:hAnsi="宋体"/>
          <w:sz w:val="24"/>
          <w:szCs w:val="24"/>
        </w:rPr>
      </w:pPr>
      <w:r>
        <w:rPr>
          <w:rFonts w:hint="eastAsia" w:ascii="宋体" w:hAnsi="宋体" w:eastAsia="宋体" w:cs="Times New Roman"/>
          <w:color w:val="000000"/>
          <w:sz w:val="24"/>
          <w:szCs w:val="24"/>
        </w:rPr>
        <w:t xml:space="preserve">受常州信息职业技术学院的委托，常州市政府采购中心就[学校物业管理服务项目][JSZC-320400-JZCG-G2026-0198]项目进行公开招标采购，欢迎符合条件的供应商投标。</w:t>
      </w:r>
      <w:r/>
    </w:p>
    <w:p>
      <w:pPr>
        <w:ind w:firstLine="480"/>
        <w:rPr>
          <w:rFonts w:ascii="宋体" w:hAnsi="宋体"/>
          <w:sz w:val="24"/>
          <w:szCs w:val="24"/>
        </w:rPr>
      </w:pPr>
      <w:r>
        <w:rPr>
          <w:rFonts w:ascii="宋体" w:hAnsi="宋体"/>
          <w:sz w:val="24"/>
          <w:szCs w:val="24"/>
        </w:rPr>
      </w:r>
      <w:r/>
    </w:p>
    <w:p>
      <w:pPr>
        <w:pStyle w:val="886"/>
        <w:ind w:firstLine="498"/>
        <w:spacing w:before="156" w:after="156" w:line="360" w:lineRule="auto"/>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spacing w:before="0" w:beforeAutospacing="0" w:after="0" w:afterAutospacing="0"/>
        <w:rPr>
          <w:rFonts w:hint="eastAsia" w:ascii="宋体" w:hAnsi="宋体"/>
          <w:sz w:val="24"/>
          <w:szCs w:val="24"/>
        </w:rPr>
      </w:pPr>
      <w:r>
        <w:rPr>
          <w:rFonts w:hint="eastAsia" w:ascii="宋体" w:hAnsi="宋体" w:eastAsia="宋体" w:cs="Times New Roman"/>
          <w:color w:val="000000"/>
          <w:sz w:val="24"/>
          <w:szCs w:val="24"/>
        </w:rPr>
        <w:t xml:space="preserve">1.项目编号：JSZC-320400-JZCG-G2026-0198</w:t>
      </w:r>
      <w:r/>
    </w:p>
    <w:p>
      <w:pPr>
        <w:ind w:firstLine="480"/>
        <w:rPr>
          <w:rFonts w:ascii="宋体" w:hAnsi="宋体"/>
          <w:sz w:val="24"/>
          <w:szCs w:val="24"/>
        </w:rPr>
      </w:pPr>
      <w:r>
        <w:rPr>
          <w:rFonts w:hint="eastAsia" w:ascii="宋体" w:hAnsi="宋体" w:eastAsia="宋体" w:cs="Times New Roman"/>
          <w:color w:val="000000"/>
          <w:sz w:val="24"/>
          <w:szCs w:val="24"/>
        </w:rPr>
        <w:t xml:space="preserve">2.项目名称：学校物业管理服务项目</w:t>
      </w:r>
      <w:bookmarkEnd w:id="11"/>
      <w:r/>
    </w:p>
    <w:p>
      <w:pPr>
        <w:ind w:firstLine="480"/>
        <w:rPr>
          <w:rFonts w:hint="eastAsia" w:ascii="宋体" w:hAnsi="宋体"/>
          <w:sz w:val="24"/>
          <w:szCs w:val="24"/>
          <w:lang w:eastAsia="zh-CN"/>
        </w:rPr>
      </w:pPr>
      <w:r>
        <w:rPr>
          <w:rFonts w:hint="eastAsia" w:ascii="宋体" w:hAnsi="宋体"/>
          <w:sz w:val="24"/>
          <w:szCs w:val="24"/>
        </w:rPr>
        <w:t xml:space="preserve">3.预算金额：三年总预算</w:t>
      </w:r>
      <w:r>
        <w:rPr>
          <w:rFonts w:ascii="宋体" w:hAnsi="宋体"/>
          <w:sz w:val="24"/>
          <w:szCs w:val="24"/>
        </w:rPr>
        <w:t xml:space="preserve">1965</w:t>
      </w:r>
      <w:r>
        <w:rPr>
          <w:rFonts w:hint="eastAsia" w:ascii="宋体" w:hAnsi="宋体"/>
          <w:sz w:val="24"/>
          <w:szCs w:val="24"/>
        </w:rPr>
        <w:t xml:space="preserve">.</w:t>
      </w:r>
      <w:r>
        <w:rPr>
          <w:rFonts w:ascii="宋体" w:hAnsi="宋体"/>
          <w:sz w:val="24"/>
          <w:szCs w:val="24"/>
        </w:rPr>
        <w:t xml:space="preserve">4293</w:t>
      </w:r>
      <w:r>
        <w:rPr>
          <w:rFonts w:hint="eastAsia" w:ascii="宋体" w:hAnsi="宋体"/>
          <w:sz w:val="24"/>
          <w:szCs w:val="24"/>
        </w:rPr>
        <w:t xml:space="preserve">万元 ，其中</w:t>
      </w:r>
      <w:r>
        <w:rPr>
          <w:rFonts w:hint="eastAsia" w:ascii="宋体" w:hAnsi="宋体"/>
          <w:sz w:val="24"/>
          <w:szCs w:val="24"/>
          <w:lang w:eastAsia="zh-CN"/>
        </w:rPr>
        <w:t xml:space="preserve">：</w:t>
      </w:r>
      <w:r/>
    </w:p>
    <w:p>
      <w:pPr>
        <w:ind w:firstLine="480"/>
        <w:rPr>
          <w:rFonts w:hint="eastAsia" w:ascii="宋体" w:hAnsi="宋体"/>
          <w:sz w:val="24"/>
          <w:szCs w:val="24"/>
        </w:rPr>
      </w:pPr>
      <w:r>
        <w:rPr>
          <w:rFonts w:hint="eastAsia" w:ascii="宋体" w:hAnsi="宋体"/>
          <w:sz w:val="24"/>
          <w:szCs w:val="24"/>
        </w:rPr>
        <w:t xml:space="preserve">包一：公寓物业服务 预算金额1144.6821万元/三年</w:t>
      </w:r>
      <w:r/>
    </w:p>
    <w:p>
      <w:pPr>
        <w:ind w:firstLine="480"/>
        <w:rPr>
          <w:rFonts w:ascii="宋体" w:hAnsi="宋体"/>
          <w:sz w:val="24"/>
          <w:szCs w:val="24"/>
        </w:rPr>
      </w:pPr>
      <w:r>
        <w:rPr>
          <w:rFonts w:hint="eastAsia" w:ascii="宋体" w:hAnsi="宋体"/>
          <w:sz w:val="24"/>
          <w:szCs w:val="24"/>
        </w:rPr>
        <w:t xml:space="preserve">包二：楼宇物业服务 预算金额820.7472万元/三年 </w:t>
      </w:r>
      <w:r/>
    </w:p>
    <w:p>
      <w:pPr>
        <w:ind w:firstLine="480"/>
        <w:rPr>
          <w:rFonts w:hint="eastAsia" w:ascii="宋体" w:hAnsi="宋体"/>
          <w:sz w:val="24"/>
          <w:szCs w:val="24"/>
          <w:lang w:eastAsia="zh-CN"/>
        </w:rPr>
      </w:pPr>
      <w:r>
        <w:rPr>
          <w:rFonts w:hint="eastAsia" w:ascii="宋体" w:hAnsi="宋体"/>
          <w:sz w:val="24"/>
          <w:szCs w:val="24"/>
        </w:rPr>
        <w:t xml:space="preserve">4.本项目</w:t>
      </w:r>
      <w:r>
        <w:rPr>
          <w:rFonts w:hint="eastAsia" w:ascii="宋体" w:hAnsi="宋体"/>
          <w:sz w:val="24"/>
          <w:szCs w:val="24"/>
          <w:u w:val="single"/>
        </w:rPr>
        <w:t xml:space="preserve"> 设定</w:t>
      </w:r>
      <w:r>
        <w:rPr>
          <w:rFonts w:hint="eastAsia" w:ascii="宋体" w:hAnsi="宋体"/>
          <w:sz w:val="24"/>
          <w:szCs w:val="24"/>
        </w:rPr>
        <w:t xml:space="preserve">最高限价，最高限价为</w:t>
      </w:r>
      <w:r>
        <w:rPr>
          <w:rFonts w:hint="eastAsia" w:ascii="宋体" w:hAnsi="宋体"/>
          <w:sz w:val="24"/>
          <w:szCs w:val="24"/>
          <w:u w:val="single"/>
        </w:rPr>
        <w:t xml:space="preserve">1965.4293</w:t>
      </w:r>
      <w:r>
        <w:rPr>
          <w:rFonts w:hint="eastAsia" w:ascii="宋体" w:hAnsi="宋体"/>
          <w:sz w:val="24"/>
          <w:szCs w:val="24"/>
        </w:rPr>
        <w:t xml:space="preserve">万元（三年）。其中</w:t>
      </w:r>
      <w:r>
        <w:rPr>
          <w:rFonts w:hint="eastAsia" w:ascii="宋体" w:hAnsi="宋体"/>
          <w:sz w:val="24"/>
          <w:szCs w:val="24"/>
          <w:lang w:eastAsia="zh-CN"/>
        </w:rPr>
        <w:t xml:space="preserve">：</w:t>
      </w:r>
      <w:r/>
    </w:p>
    <w:p>
      <w:pPr>
        <w:ind w:firstLine="480"/>
        <w:rPr>
          <w:rFonts w:hint="eastAsia" w:ascii="宋体" w:hAnsi="宋体"/>
          <w:sz w:val="24"/>
          <w:szCs w:val="24"/>
        </w:rPr>
      </w:pPr>
      <w:r>
        <w:rPr>
          <w:rFonts w:hint="eastAsia" w:ascii="宋体" w:hAnsi="宋体"/>
          <w:sz w:val="24"/>
          <w:szCs w:val="24"/>
        </w:rPr>
        <w:t xml:space="preserve">包一：公寓物业服务 最高限价为1144.6821万元/三年</w:t>
      </w:r>
      <w:r/>
    </w:p>
    <w:p>
      <w:pPr>
        <w:ind w:firstLine="480"/>
        <w:rPr>
          <w:rFonts w:hint="eastAsia" w:ascii="宋体" w:hAnsi="宋体"/>
          <w:sz w:val="24"/>
          <w:szCs w:val="24"/>
        </w:rPr>
      </w:pPr>
      <w:r>
        <w:rPr>
          <w:rFonts w:hint="eastAsia" w:ascii="宋体" w:hAnsi="宋体"/>
          <w:sz w:val="24"/>
          <w:szCs w:val="24"/>
        </w:rPr>
        <w:t xml:space="preserve">包二：楼宇物业服务最高限价为820.7472万元/三年</w:t>
      </w:r>
      <w:r/>
    </w:p>
    <w:p>
      <w:pPr>
        <w:ind w:firstLine="480"/>
        <w:rPr>
          <w:rFonts w:hint="eastAsia" w:ascii="宋体" w:hAnsi="宋体" w:cs="宋体"/>
          <w:sz w:val="24"/>
          <w:szCs w:val="24"/>
        </w:rPr>
      </w:pPr>
      <w:r>
        <w:rPr>
          <w:rFonts w:hint="eastAsia" w:ascii="宋体" w:hAnsi="宋体"/>
          <w:sz w:val="24"/>
          <w:szCs w:val="24"/>
        </w:rPr>
        <w:t xml:space="preserve">5.采购需求（简介）：常州信息职业技术学院坐落于常州高职园区，学校占地916.61亩，建筑面积34.76万平方米，在校生10000余人，专任教师近600人。学校物业服务分为公寓管理和楼宇管理两部分，目前总服务面积约32万平方米，其中公寓管理范围包括1#—12#学生公寓和2号楼辅楼，服务面积约12万平方米；楼宇管理范围包括教学楼、图文楼、实训楼、文体楼、行政楼、工业互联网产学研创中心以及继续教育学院校区、信息产业园，服务面积约20万平方米。</w:t>
      </w:r>
      <w:r>
        <w:rPr>
          <w:rFonts w:hint="eastAsia" w:ascii="宋体" w:hAnsi="宋体" w:cs="宋体"/>
          <w:sz w:val="24"/>
          <w:szCs w:val="24"/>
        </w:rPr>
        <w:t xml:space="preserve">（详细内容见本招标文件第四章） </w:t>
      </w:r>
      <w:r/>
    </w:p>
    <w:p>
      <w:pPr>
        <w:ind w:firstLine="482"/>
        <w:rPr>
          <w:rFonts w:hint="eastAsia" w:ascii="宋体" w:hAnsi="宋体" w:cs="宋体"/>
          <w:sz w:val="24"/>
          <w:szCs w:val="24"/>
        </w:rPr>
      </w:pPr>
      <w:r>
        <w:rPr>
          <w:rFonts w:hint="eastAsia" w:ascii="宋体" w:hAnsi="宋体" w:cs="仿宋_GB2312"/>
          <w:b/>
          <w:bCs/>
          <w:color w:val="000000"/>
          <w:sz w:val="24"/>
          <w:szCs w:val="24"/>
        </w:rPr>
        <w:t xml:space="preserve">每个投标人可选择相应的分包投标，兼投不兼中。在分包一中被推荐为第一中标候选人的单位可参与分包二评标，但不得成为分包二的推荐中标候选人，按分包顺序，以此类推。</w:t>
      </w:r>
      <w:r/>
    </w:p>
    <w:p>
      <w:pPr>
        <w:ind w:firstLine="480"/>
        <w:rPr>
          <w:rFonts w:hint="eastAsia" w:ascii="宋体" w:hAnsi="宋体"/>
          <w:sz w:val="24"/>
          <w:szCs w:val="24"/>
        </w:rPr>
      </w:pPr>
      <w:r>
        <w:rPr>
          <w:rFonts w:hint="eastAsia" w:ascii="宋体" w:hAnsi="宋体"/>
          <w:sz w:val="24"/>
          <w:szCs w:val="24"/>
        </w:rPr>
        <w:t xml:space="preserve">6.合同履行期限：学校物业管理服务期三年，合同一年一签，合同期内经学校管理部门考核合格后可续签下一年合同，最多续签两次。</w:t>
      </w:r>
      <w:r/>
    </w:p>
    <w:p>
      <w:pPr>
        <w:ind w:firstLine="480"/>
        <w:rPr>
          <w:rFonts w:ascii="宋体" w:hAnsi="宋体"/>
          <w:sz w:val="24"/>
          <w:szCs w:val="24"/>
          <w:u w:val="single"/>
        </w:rPr>
      </w:pPr>
      <w:r>
        <w:rPr>
          <w:rFonts w:hint="eastAsia"/>
          <w:sz w:val="24"/>
          <w:szCs w:val="24"/>
        </w:rPr>
        <w:t xml:space="preserve">合同执行期间费用一律不予调整，供应商报价表中所报的单价和合价以及报价汇总表中的价格应包括：员工费用和管理人员费用、保险、管理费、人员培训费、加班费、利润、设备、工具、消耗品、各种税费、政策性文件规定及合同明示或暗示的所有风险、责任、义务等各项应有的费用。供应商在报价时自行预测并纳入总价中。</w:t>
      </w:r>
      <w:r>
        <w:rPr>
          <w:rFonts w:hint="eastAsia" w:ascii="宋体" w:hAnsi="宋体"/>
          <w:sz w:val="24"/>
          <w:szCs w:val="24"/>
        </w:rPr>
        <w:t xml:space="preserve">若因学校发展需要，增加物业管理服务内容产生的费用由学校承担，但所增加承担的金额不得超过原合同采购金额的百分之十。如超过，学校将有权重新启动招标程序。</w:t>
      </w:r>
      <w:r/>
    </w:p>
    <w:p>
      <w:pPr>
        <w:pStyle w:val="886"/>
        <w:ind w:firstLine="498"/>
        <w:spacing w:before="156" w:after="156" w:line="360" w:lineRule="auto"/>
      </w:pPr>
      <w:r/>
      <w:bookmarkStart w:id="12" w:name="_Toc28359080"/>
      <w:r/>
      <w:bookmarkStart w:id="13" w:name="_Toc35393622"/>
      <w:r/>
      <w:bookmarkStart w:id="14" w:name="_Toc35393791"/>
      <w:r/>
      <w:bookmarkStart w:id="15" w:name="_Toc28359003"/>
      <w:r/>
      <w:bookmarkStart w:id="16" w:name="_Toc38985264"/>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8985265"/>
      <w:r/>
      <w:bookmarkStart w:id="18" w:name="_Toc28359081"/>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p>
    <w:p>
      <w:pPr>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p>
    <w:p>
      <w:pPr>
        <w:ind w:firstLine="480"/>
        <w:rPr>
          <w:rFonts w:ascii="宋体" w:hAnsi="宋体"/>
          <w:sz w:val="24"/>
          <w:szCs w:val="24"/>
        </w:rPr>
      </w:pPr>
      <w:r>
        <w:rPr>
          <w:rFonts w:hint="eastAsia" w:ascii="宋体" w:hAnsi="宋体"/>
          <w:sz w:val="24"/>
          <w:szCs w:val="24"/>
        </w:rPr>
        <w:t xml:space="preserve">（二）本项目的特定资格要求</w:t>
      </w:r>
      <w:r/>
    </w:p>
    <w:p>
      <w:pPr>
        <w:ind w:firstLine="480"/>
        <w:rPr>
          <w:rFonts w:ascii="宋体" w:hAnsi="宋体" w:cs="宋体"/>
          <w:sz w:val="24"/>
          <w:szCs w:val="24"/>
        </w:rPr>
      </w:pPr>
      <w:r>
        <w:rPr>
          <w:rFonts w:hint="eastAsia" w:ascii="宋体" w:hAnsi="宋体"/>
          <w:sz w:val="24"/>
          <w:szCs w:val="24"/>
        </w:rPr>
        <w:t xml:space="preserve">无</w:t>
      </w:r>
      <w:r/>
    </w:p>
    <w:p>
      <w:pPr>
        <w:pStyle w:val="886"/>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82"/>
      <w:r/>
      <w:bookmarkStart w:id="23" w:name="_Toc38985266"/>
      <w:r/>
      <w:bookmarkStart w:id="24" w:name="_Toc28359005"/>
      <w:r/>
      <w:bookmarkStart w:id="25" w:name="_Toc35393624"/>
      <w:r/>
      <w:bookmarkStart w:id="26"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22"/>
      <w:bookmarkEnd w:id="23"/>
      <w:bookmarkEnd w:id="24"/>
      <w:bookmarkEnd w:id="25"/>
      <w:bookmarkEnd w:id="26"/>
      <w:r/>
    </w:p>
    <w:p>
      <w:pPr>
        <w:pStyle w:val="886"/>
        <w:ind w:firstLine="498"/>
        <w:spacing w:before="156" w:after="156" w:line="360" w:lineRule="auto"/>
      </w:pPr>
      <w:r/>
      <w:bookmarkStart w:id="27" w:name="_Toc35393625"/>
      <w:r/>
      <w:bookmarkStart w:id="28" w:name="_Toc38985267"/>
      <w:r/>
      <w:bookmarkStart w:id="29" w:name="_Toc28359007"/>
      <w:r/>
      <w:bookmarkStart w:id="30" w:name="_Toc28359084"/>
      <w:r/>
      <w:bookmarkStart w:id="31" w:name="_Toc35393794"/>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886"/>
        <w:ind w:firstLine="498"/>
        <w:spacing w:before="156" w:after="156" w:line="360" w:lineRule="auto"/>
      </w:pPr>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p>
    <w:p>
      <w:pPr>
        <w:pStyle w:val="886"/>
        <w:ind w:firstLine="498"/>
        <w:spacing w:before="156" w:after="156" w:line="360" w:lineRule="auto"/>
      </w:pPr>
      <w:r>
        <w:rPr>
          <w:rFonts w:hint="eastAsia"/>
        </w:rPr>
        <w:t xml:space="preserve">六、其他补充事宜</w:t>
      </w:r>
      <w:bookmarkEnd w:id="32"/>
      <w:r/>
      <w:bookmarkEnd w:id="33"/>
      <w:r/>
      <w:bookmarkEnd w:id="34"/>
      <w:r/>
      <w:r/>
    </w:p>
    <w:p>
      <w:pPr>
        <w:ind w:firstLine="480"/>
        <w:rPr>
          <w:rFonts w:ascii="宋体" w:hAnsi="宋体" w:cs="宋体"/>
          <w:sz w:val="24"/>
          <w:szCs w:val="24"/>
        </w:rPr>
      </w:pPr>
      <w:r>
        <w:rPr>
          <w:rFonts w:hint="eastAsia" w:ascii="宋体" w:hAnsi="宋体" w:cs="宋体"/>
          <w:sz w:val="24"/>
          <w:szCs w:val="24"/>
        </w:rPr>
        <w:t xml:space="preserve">无</w:t>
      </w:r>
      <w:r/>
    </w:p>
    <w:p>
      <w:pPr>
        <w:pStyle w:val="886"/>
        <w:ind w:firstLine="498"/>
        <w:spacing w:before="156" w:after="156" w:line="360" w:lineRule="auto"/>
      </w:pPr>
      <w:r/>
      <w:bookmarkStart w:id="35" w:name="_Toc35393796"/>
      <w:r/>
      <w:bookmarkStart w:id="36" w:name="_Toc38985269"/>
      <w:r/>
      <w:bookmarkStart w:id="37" w:name="_Toc35393627"/>
      <w:r/>
      <w:bookmarkStart w:id="38" w:name="_Toc28359008"/>
      <w:r/>
      <w:bookmarkStart w:id="39" w:name="_Toc28359085"/>
      <w:r>
        <w:rPr>
          <w:rFonts w:hint="eastAsia"/>
        </w:rPr>
        <w:t xml:space="preserve">七、本次招标联系方式</w:t>
      </w:r>
      <w:bookmarkEnd w:id="35"/>
      <w:r/>
      <w:bookmarkEnd w:id="36"/>
      <w:r/>
      <w:bookmarkEnd w:id="37"/>
      <w:r/>
      <w:bookmarkEnd w:id="38"/>
      <w:r/>
      <w:bookmarkEnd w:id="39"/>
      <w:r/>
      <w:r/>
    </w:p>
    <w:p>
      <w:pPr>
        <w:ind w:firstLine="480"/>
        <w:jc w:val="both"/>
        <w:widowControl w:val="off"/>
        <w:rPr>
          <w:rFonts w:ascii="宋体" w:hAnsi="宋体"/>
          <w:sz w:val="24"/>
          <w:szCs w:val="24"/>
        </w:rPr>
      </w:pPr>
      <w:r>
        <w:rPr>
          <w:rFonts w:hint="eastAsia" w:ascii="宋体" w:hAnsi="宋体" w:cs="Times New Roman"/>
          <w:sz w:val="24"/>
          <w:szCs w:val="24"/>
        </w:rPr>
        <w:t xml:space="preserve">1.采购人信息</w:t>
      </w:r>
      <w:r/>
    </w:p>
    <w:p>
      <w:pPr>
        <w:ind w:left="0" w:firstLine="480"/>
        <w:jc w:val="both"/>
        <w:spacing w:line="24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none"/>
        </w:rPr>
        <w:t xml:space="preserve">常州信息职业技术学院　</w:t>
      </w:r>
      <w:r/>
    </w:p>
    <w:p>
      <w:pPr>
        <w:ind w:left="0" w:firstLine="480"/>
        <w:jc w:val="both"/>
        <w:spacing w:line="24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none"/>
        </w:rPr>
        <w:t xml:space="preserve">常州市武进区鸣新中路22号</w:t>
      </w:r>
      <w:r/>
    </w:p>
    <w:p>
      <w:pPr>
        <w:ind w:left="0" w:firstLine="480"/>
        <w:jc w:val="both"/>
        <w:spacing w:line="24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none"/>
        </w:rPr>
        <w:t xml:space="preserve">何老师 </w:t>
      </w:r>
      <w:r/>
    </w:p>
    <w:p>
      <w:pPr>
        <w:ind w:left="0" w:firstLine="480"/>
        <w:jc w:val="both"/>
        <w:spacing w:line="240" w:lineRule="auto"/>
        <w:rPr>
          <w:rFonts w:hint="eastAsia" w:ascii="宋体" w:hAnsi="宋体"/>
          <w:sz w:val="24"/>
          <w:szCs w:val="24"/>
          <w:u w:val="none"/>
        </w:rPr>
      </w:pPr>
      <w:r>
        <w:rPr>
          <w:rFonts w:hint="eastAsia" w:ascii="宋体" w:hAnsi="宋体"/>
          <w:sz w:val="24"/>
          <w:szCs w:val="24"/>
        </w:rPr>
        <w:t xml:space="preserve">联系方式：</w:t>
      </w:r>
      <w:r>
        <w:rPr>
          <w:rFonts w:hint="eastAsia" w:ascii="宋体" w:hAnsi="宋体"/>
          <w:sz w:val="24"/>
          <w:szCs w:val="24"/>
          <w:u w:val="none"/>
        </w:rPr>
        <w:t xml:space="preserve">0519-86338034 </w:t>
      </w:r>
      <w:bookmarkStart w:id="40" w:name="_Toc28359009"/>
      <w:r/>
      <w:bookmarkStart w:id="41" w:name="_Toc28359086"/>
      <w:r/>
      <w:bookmarkEnd w:id="40"/>
      <w:bookmarkEnd w:id="41"/>
      <w:r/>
    </w:p>
    <w:p>
      <w:pPr>
        <w:ind w:left="0"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bookmarkStart w:id="42" w:name="_Toc28359010"/>
      <w:r/>
      <w:bookmarkStart w:id="43" w:name="_Toc28359087"/>
      <w:r>
        <w:rPr>
          <w:rFonts w:hint="eastAsia" w:ascii="宋体" w:hAnsi="宋体" w:cs="Times New Roman"/>
          <w:color w:val="000000"/>
          <w:sz w:val="24"/>
          <w:szCs w:val="24"/>
        </w:rPr>
        <w:t xml:space="preserve">2.常州市政府采购中心信息</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地　址：常州市锦绣路2号常州市政务服务中心1-1号楼6楼</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采购文件相关联系人：</w:t>
      </w:r>
      <w:r>
        <w:rPr>
          <w:rFonts w:hint="eastAsia" w:ascii="宋体" w:hAnsi="宋体" w:eastAsia="宋体" w:cs="Times New Roman"/>
          <w:sz w:val="24"/>
          <w:szCs w:val="24"/>
        </w:rPr>
        <w:t xml:space="preserve">马樱</w:t>
      </w:r>
      <w:r>
        <w:rPr>
          <w:rFonts w:hint="eastAsia" w:ascii="宋体" w:hAnsi="宋体" w:cs="Times New Roman"/>
          <w:color w:val="000000"/>
          <w:sz w:val="24"/>
          <w:szCs w:val="24"/>
        </w:rPr>
        <w:t xml:space="preserve">                </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电  　话：</w:t>
      </w:r>
      <w:r>
        <w:rPr>
          <w:rFonts w:hint="eastAsia" w:ascii="宋体" w:hAnsi="宋体" w:eastAsia="宋体" w:cs="Times New Roman"/>
          <w:sz w:val="24"/>
          <w:szCs w:val="24"/>
        </w:rPr>
        <w:t xml:space="preserve">0519-85588166</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开标评审相关联系人：卢先生             </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电  　话：0519-85588157</w:t>
      </w:r>
      <w:r/>
    </w:p>
    <w:p>
      <w:pPr>
        <w:ind w:firstLine="480"/>
        <w:spacing w:line="240" w:lineRule="auto"/>
        <w:rPr>
          <w:rFonts w:hint="eastAsia"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cs="Times New Roman"/>
          <w:color w:val="000000"/>
          <w:sz w:val="24"/>
          <w:szCs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42"/>
      <w:bookmarkEnd w:id="43"/>
      <w:r/>
    </w:p>
    <w:p>
      <w:pPr>
        <w:pStyle w:val="886"/>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sz w:val="24"/>
        </w:rPr>
      </w:pPr>
      <w:r>
        <w:rPr>
          <w:rFonts w:hint="eastAsia" w:ascii="宋体" w:hAnsi="宋体"/>
          <w:bCs/>
          <w:sz w:val="24"/>
          <w:szCs w:val="24"/>
        </w:rPr>
        <w:t xml:space="preserve">3. 本次招标不收取投标保证金。</w:t>
      </w:r>
      <w:r/>
    </w:p>
    <w:p>
      <w:pPr>
        <w:ind w:right="840"/>
        <w:rPr>
          <w:rFonts w:hint="eastAsia" w:ascii="宋体" w:hAnsi="宋体"/>
          <w:sz w:val="24"/>
          <w:szCs w:val="24"/>
        </w:rPr>
      </w:pPr>
      <w:r>
        <w:rPr>
          <w:rFonts w:ascii="宋体" w:hAnsi="宋体"/>
          <w:sz w:val="24"/>
          <w:szCs w:val="24"/>
        </w:rPr>
        <w:br w:type="page" w:clear="all"/>
      </w:r>
      <w:r/>
    </w:p>
    <w:p>
      <w:pPr>
        <w:pStyle w:val="884"/>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eastAsia="黑体"/>
        </w:rPr>
        <w:t xml:space="preserve">投标人须知</w:t>
      </w:r>
      <w:bookmarkEnd w:id="45"/>
      <w:r/>
      <w:bookmarkEnd w:id="46"/>
      <w:r/>
      <w:bookmarkEnd w:id="47"/>
      <w:r/>
      <w:bookmarkEnd w:id="48"/>
      <w:r/>
      <w:r/>
    </w:p>
    <w:p>
      <w:pPr>
        <w:pStyle w:val="886"/>
        <w:ind w:firstLine="498"/>
        <w:spacing w:before="156" w:after="156" w:line="360" w:lineRule="auto"/>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
    </w:p>
    <w:p>
      <w:pPr>
        <w:pStyle w:val="887"/>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87"/>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887"/>
        <w:ind w:firstLine="420"/>
        <w:spacing w:before="0" w:after="0" w:line="240" w:lineRule="auto"/>
        <w:rPr>
          <w:rFonts w:hint="eastAsia"/>
          <w:b w:val="0"/>
          <w:bCs w:val="0"/>
        </w:rPr>
      </w:pPr>
      <w:r/>
      <w:bookmarkStart w:id="61" w:name="_Toc513029206"/>
      <w:r/>
      <w:bookmarkStart w:id="62" w:name="_Toc16938522"/>
      <w:r/>
      <w:bookmarkStart w:id="63" w:name="_Toc20823278"/>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887"/>
        <w:ind w:firstLine="420"/>
        <w:spacing w:before="0" w:after="0" w:line="240" w:lineRule="auto"/>
        <w:rPr>
          <w:rFonts w:hint="eastAsia"/>
          <w:b w:val="0"/>
          <w:bCs w:val="0"/>
        </w:rPr>
      </w:pPr>
      <w:r/>
      <w:bookmarkStart w:id="64" w:name="_Toc513029207"/>
      <w:r/>
      <w:bookmarkStart w:id="65" w:name="_Toc16938523"/>
      <w:r/>
      <w:bookmarkStart w:id="66" w:name="_Toc462564067"/>
      <w:r/>
      <w:bookmarkStart w:id="67" w:name="_Toc20823279"/>
      <w:r>
        <w:rPr>
          <w:rFonts w:hint="eastAsia"/>
          <w:b w:val="0"/>
          <w:bCs w:val="0"/>
        </w:rPr>
        <w:t xml:space="preserve">4、投标费用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8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6"/>
        <w:ind w:firstLine="321"/>
        <w:spacing w:before="156" w:after="156"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
    </w:p>
    <w:p>
      <w:pPr>
        <w:pStyle w:val="887"/>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7"/>
        <w:ind w:firstLine="560"/>
        <w:spacing w:before="0" w:after="0" w:line="240" w:lineRule="auto"/>
        <w:rPr>
          <w:rFonts w:hint="eastAsia"/>
          <w:b w:val="0"/>
          <w:bCs w:val="0"/>
        </w:rPr>
      </w:pPr>
      <w:r/>
      <w:bookmarkStart w:id="75" w:name="_Toc513029211"/>
      <w:r/>
      <w:bookmarkStart w:id="76" w:name="_Toc20823283"/>
      <w:r/>
      <w:bookmarkStart w:id="77" w:name="_Toc462564070"/>
      <w:r/>
      <w:bookmarkStart w:id="78" w:name="_Toc16938527"/>
      <w:r>
        <w:rPr>
          <w:rFonts w:hint="eastAsia"/>
          <w:b w:val="0"/>
          <w:bCs w:val="0"/>
        </w:rPr>
        <w:t xml:space="preserve">7、招标文件的澄清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887"/>
        <w:ind w:firstLine="560"/>
        <w:spacing w:before="0" w:after="0" w:line="240" w:lineRule="auto"/>
        <w:rPr>
          <w:rFonts w:hint="eastAsia"/>
          <w:b w:val="0"/>
          <w:bCs w:val="0"/>
        </w:rPr>
      </w:pPr>
      <w:r/>
      <w:bookmarkStart w:id="79" w:name="_Toc16938528"/>
      <w:r/>
      <w:bookmarkStart w:id="80" w:name="_Toc20823284"/>
      <w:r/>
      <w:bookmarkStart w:id="81" w:name="_Toc513029212"/>
      <w:r/>
      <w:bookmarkStart w:id="82" w:name="_Toc462564071"/>
      <w:r>
        <w:rPr>
          <w:rFonts w:hint="eastAsia"/>
          <w:b w:val="0"/>
          <w:bCs w:val="0"/>
        </w:rPr>
        <w:t xml:space="preserve">8、招标文件的修改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86"/>
        <w:ind w:firstLine="482"/>
        <w:spacing w:before="156" w:after="156" w:line="360" w:lineRule="auto"/>
        <w:rPr>
          <w:rFonts w:hint="eastAsia"/>
        </w:rPr>
      </w:pPr>
      <w:r/>
      <w:bookmarkStart w:id="83" w:name="_Toc462564072"/>
      <w:r/>
      <w:bookmarkStart w:id="84" w:name="_Toc20823285"/>
      <w:r/>
      <w:bookmarkStart w:id="85" w:name="_Toc120614216"/>
      <w:r/>
      <w:bookmarkStart w:id="86" w:name="_Toc513029213"/>
      <w:r/>
      <w:bookmarkStart w:id="87" w:name="_Toc16938529"/>
      <w:r>
        <w:rPr>
          <w:rFonts w:hint="eastAsia"/>
        </w:rPr>
        <w:t xml:space="preserve">三、投标文件的编制</w:t>
      </w:r>
      <w:bookmarkEnd w:id="83"/>
      <w:r/>
      <w:bookmarkEnd w:id="84"/>
      <w:r/>
      <w:bookmarkEnd w:id="85"/>
      <w:r/>
      <w:bookmarkEnd w:id="86"/>
      <w:r/>
      <w:bookmarkEnd w:id="87"/>
      <w:r/>
      <w:r/>
    </w:p>
    <w:p>
      <w:pPr>
        <w:pStyle w:val="887"/>
        <w:ind w:firstLine="560"/>
        <w:spacing w:before="0" w:after="0" w:line="240" w:lineRule="auto"/>
        <w:rPr>
          <w:rFonts w:hint="eastAsia"/>
          <w:bCs w:val="0"/>
        </w:rPr>
      </w:pPr>
      <w:r/>
      <w:bookmarkStart w:id="88" w:name="_Toc16938530"/>
      <w:r/>
      <w:bookmarkStart w:id="89" w:name="_Toc462564073"/>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87"/>
        <w:ind w:firstLine="420"/>
        <w:spacing w:before="0" w:after="0" w:line="240" w:lineRule="auto"/>
        <w:rPr>
          <w:rFonts w:hint="eastAsia"/>
          <w:b w:val="0"/>
          <w:bCs w:val="0"/>
        </w:rPr>
      </w:pPr>
      <w:r/>
      <w:bookmarkStart w:id="92" w:name="_Toc513029215"/>
      <w:r/>
      <w:bookmarkStart w:id="93" w:name="_Toc20823287"/>
      <w:r/>
      <w:bookmarkStart w:id="94" w:name="_Toc462564074"/>
      <w:r/>
      <w:bookmarkStart w:id="95" w:name="_Toc16938531"/>
      <w:r>
        <w:rPr>
          <w:rFonts w:hint="eastAsia"/>
          <w:b w:val="0"/>
          <w:bCs w:val="0"/>
        </w:rPr>
        <w:t xml:space="preserve">10、投标文件构成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887"/>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513029219"/>
      <w:r/>
      <w:bookmarkStart w:id="100" w:name="_Toc14577357"/>
      <w:r/>
      <w:bookmarkStart w:id="101" w:name="_Toc49090509"/>
      <w:r/>
      <w:bookmarkStart w:id="102" w:name="_Toc513029216"/>
      <w:r/>
      <w:bookmarkStart w:id="103" w:name="_Toc49090507"/>
      <w:r/>
      <w:bookmarkStart w:id="104" w:name="_Toc14577354"/>
      <w:r>
        <w:rPr>
          <w:rFonts w:hint="eastAsia"/>
          <w:b w:val="0"/>
          <w:bCs w:val="0"/>
        </w:rPr>
        <w:t xml:space="preserve">11、证明投标人及投标标的符合招标文件规定的文件</w:t>
      </w:r>
      <w:bookmarkEnd w:id="99"/>
      <w:r/>
      <w:bookmarkEnd w:id="100"/>
      <w:r/>
      <w:bookmarkEnd w:id="101"/>
      <w:r/>
      <w:bookmarkEnd w:id="102"/>
      <w:bookmarkEnd w:id="103"/>
      <w:bookmarkEnd w:id="104"/>
      <w:r/>
    </w:p>
    <w:p>
      <w:pPr>
        <w:spacing w:line="480" w:lineRule="exact"/>
        <w:rPr>
          <w:rFonts w:hint="eastAsia"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8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87"/>
        <w:ind w:firstLine="420"/>
        <w:spacing w:before="0" w:after="0" w:line="240" w:lineRule="auto"/>
        <w:rPr>
          <w:rFonts w:hint="eastAsia"/>
          <w:b w:val="0"/>
          <w:bCs w:val="0"/>
        </w:rPr>
      </w:pPr>
      <w:r/>
      <w:bookmarkStart w:id="110" w:name="_Hlt26670482"/>
      <w:r/>
      <w:bookmarkEnd w:id="110"/>
      <w:r/>
      <w:bookmarkStart w:id="111" w:name="_Hlt26954731"/>
      <w:r/>
      <w:bookmarkEnd w:id="111"/>
      <w:r/>
      <w:bookmarkStart w:id="112" w:name="_Hlt26670486"/>
      <w:r/>
      <w:bookmarkEnd w:id="112"/>
      <w:r/>
      <w:bookmarkStart w:id="113" w:name="_Hlt26670403"/>
      <w:r/>
      <w:bookmarkEnd w:id="113"/>
      <w:r/>
      <w:bookmarkStart w:id="114" w:name="_Hlt26668983"/>
      <w:r/>
      <w:bookmarkEnd w:id="114"/>
      <w:r/>
      <w:bookmarkStart w:id="115" w:name="_Hlt26954844"/>
      <w:r/>
      <w:bookmarkEnd w:id="115"/>
      <w:r/>
      <w:bookmarkStart w:id="116" w:name="_Hlt26954842"/>
      <w:r/>
      <w:bookmarkEnd w:id="116"/>
      <w:r/>
      <w:bookmarkStart w:id="117" w:name="_Hlt26954846"/>
      <w:r/>
      <w:bookmarkEnd w:id="117"/>
      <w:r/>
      <w:bookmarkStart w:id="118" w:name="_Hlt26954848"/>
      <w:r/>
      <w:bookmarkEnd w:id="118"/>
      <w:r/>
      <w:bookmarkStart w:id="119" w:name="_Hlt26670425"/>
      <w:r/>
      <w:bookmarkEnd w:id="119"/>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87"/>
        <w:ind w:firstLine="420"/>
        <w:spacing w:before="0" w:after="0" w:line="240" w:lineRule="auto"/>
        <w:rPr>
          <w:rFonts w:hint="eastAsia"/>
          <w:b w:val="0"/>
          <w:bCs w:val="0"/>
        </w:rPr>
      </w:pPr>
      <w:r/>
      <w:bookmarkStart w:id="120" w:name="_Toc49090510"/>
      <w:r/>
      <w:bookmarkStart w:id="121" w:name="_Toc14577359"/>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bookmarkEnd w:id="121"/>
      <w:r/>
    </w:p>
    <w:p>
      <w:pPr>
        <w:pStyle w:val="887"/>
        <w:ind w:firstLine="420"/>
        <w:spacing w:before="0" w:after="0" w:line="240" w:lineRule="auto"/>
        <w:rPr>
          <w:rFonts w:hint="eastAsia"/>
          <w:b w:val="0"/>
          <w:bCs w:val="0"/>
        </w:rPr>
      </w:pPr>
      <w:r/>
      <w:bookmarkStart w:id="122" w:name="_Hlt26954734"/>
      <w:r/>
      <w:bookmarkEnd w:id="122"/>
      <w:r/>
      <w:bookmarkStart w:id="123" w:name="_Hlt26954850"/>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87"/>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86"/>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
    </w:p>
    <w:p>
      <w:pPr>
        <w:pStyle w:val="887"/>
        <w:ind w:firstLine="560"/>
        <w:spacing w:before="0" w:after="0" w:line="240" w:lineRule="auto"/>
        <w:rPr>
          <w:rFonts w:hint="eastAsia" w:ascii="黑体"/>
          <w:b w:val="0"/>
          <w:bCs w:val="0"/>
        </w:rPr>
      </w:pPr>
      <w:r/>
      <w:bookmarkStart w:id="133" w:name="_Toc462564084"/>
      <w:r/>
      <w:bookmarkStart w:id="134" w:name="_Toc16938541"/>
      <w:r/>
      <w:bookmarkStart w:id="135" w:name="_Toc513029225"/>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93"/>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
    </w:p>
    <w:p>
      <w:pPr>
        <w:pStyle w:val="88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7"/>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87"/>
        <w:ind w:firstLine="420"/>
        <w:spacing w:before="0" w:after="0" w:line="240" w:lineRule="auto"/>
        <w:rPr>
          <w:rFonts w:hint="eastAsia"/>
          <w:b w:val="0"/>
          <w:bCs w:val="0"/>
        </w:rPr>
      </w:pPr>
      <w:r/>
      <w:bookmarkStart w:id="143" w:name="_Toc16938544"/>
      <w:r/>
      <w:bookmarkStart w:id="144" w:name="_Toc513029228"/>
      <w:r/>
      <w:bookmarkStart w:id="145" w:name="_Toc20823300"/>
      <w:r>
        <w:rPr>
          <w:rFonts w:hint="eastAsia"/>
          <w:b w:val="0"/>
          <w:bCs w:val="0"/>
        </w:rPr>
        <w:t xml:space="preserve">20、投标文件的撤回和修改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86"/>
        <w:ind w:firstLine="482"/>
        <w:spacing w:before="156" w:after="156" w:line="360" w:lineRule="auto"/>
        <w:rPr>
          <w:rFonts w:hint="eastAsia"/>
        </w:rPr>
      </w:pPr>
      <w:r/>
      <w:bookmarkStart w:id="146" w:name="_Toc120614218"/>
      <w:r/>
      <w:bookmarkStart w:id="147" w:name="_Toc16938545"/>
      <w:r/>
      <w:bookmarkStart w:id="148" w:name="_Toc513029229"/>
      <w:r/>
      <w:bookmarkStart w:id="149" w:name="_Toc20823301"/>
      <w:r>
        <w:rPr>
          <w:rFonts w:hint="eastAsia"/>
        </w:rPr>
        <w:t xml:space="preserve">五、开标与评标</w:t>
      </w:r>
      <w:bookmarkEnd w:id="146"/>
      <w:r/>
      <w:bookmarkEnd w:id="147"/>
      <w:r/>
      <w:bookmarkEnd w:id="148"/>
      <w:r/>
      <w:bookmarkEnd w:id="149"/>
      <w:r/>
      <w:r/>
    </w:p>
    <w:p>
      <w:pPr>
        <w:pStyle w:val="887"/>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887"/>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87"/>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3"/>
      <w:bookmarkEnd w:id="154"/>
      <w:bookmarkEnd w:id="155"/>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887"/>
        <w:ind w:firstLine="420"/>
        <w:spacing w:before="0" w:after="0" w:line="240" w:lineRule="auto"/>
        <w:rPr>
          <w:rFonts w:hint="eastAsia"/>
          <w:b w:val="0"/>
          <w:bCs w:val="0"/>
        </w:rPr>
      </w:pPr>
      <w:r/>
      <w:bookmarkStart w:id="156" w:name="_Toc20823304"/>
      <w:r/>
      <w:bookmarkStart w:id="157" w:name="_Toc16938548"/>
      <w:r/>
      <w:bookmarkStart w:id="158" w:name="_Toc513029232"/>
      <w:r>
        <w:rPr>
          <w:rFonts w:hint="eastAsia"/>
          <w:b w:val="0"/>
          <w:bCs w:val="0"/>
        </w:rPr>
        <w:t xml:space="preserve">24、投标文件的澄清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87"/>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8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86"/>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887"/>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6"/>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bookmarkEnd w:id="174"/>
      <w:bookmarkEnd w:id="175"/>
      <w:bookmarkEnd w:id="176"/>
      <w:r/>
    </w:p>
    <w:p>
      <w:pPr>
        <w:pStyle w:val="887"/>
        <w:ind w:firstLine="600"/>
        <w:spacing w:before="0" w:after="0" w:line="240" w:lineRule="auto"/>
        <w:rPr>
          <w:rFonts w:hint="eastAsia" w:ascii="黑体" w:hAnsi="宋体" w:cs="Times New Roman"/>
          <w:b w:val="0"/>
          <w:sz w:val="30"/>
          <w:szCs w:val="30"/>
        </w:rPr>
      </w:pPr>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87"/>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bookmarkEnd w:id="178"/>
      <w:bookmarkEnd w:id="179"/>
      <w:r/>
    </w:p>
    <w:p>
      <w:pPr>
        <w:pStyle w:val="887"/>
        <w:ind w:firstLine="600"/>
        <w:spacing w:before="0" w:after="0" w:line="240" w:lineRule="auto"/>
        <w:rPr>
          <w:rFonts w:hint="eastAsia" w:ascii="黑体" w:hAnsi="宋体" w:cs="Times New Roman"/>
          <w:b w:val="0"/>
          <w:sz w:val="30"/>
          <w:szCs w:val="30"/>
        </w:rPr>
      </w:pPr>
      <w:r/>
      <w:bookmarkStart w:id="180" w:name="_Toc513029242"/>
      <w:r/>
      <w:bookmarkStart w:id="181" w:name="_Toc16938558"/>
      <w:r/>
      <w:bookmarkStart w:id="182" w:name="_Toc479757207"/>
      <w:r/>
      <w:bookmarkStart w:id="183" w:name="_Toc120614221"/>
      <w:r/>
      <w:bookmarkStart w:id="184" w:name="_Toc20823314"/>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88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pPr>
        <w:pStyle w:val="883"/>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以下为中标后签定本项目合同的通用条款，中标人不得提出实质性的修改。</w:t>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50"/>
        <w:spacing w:before="120" w:after="120"/>
        <w:rPr>
          <w:rFonts w:hAnsi="宋体"/>
          <w:sz w:val="24"/>
          <w:szCs w:val="24"/>
        </w:rPr>
      </w:pPr>
      <w:r>
        <w:rPr>
          <w:rFonts w:hAnsi="宋体"/>
          <w:sz w:val="24"/>
          <w:szCs w:val="24"/>
        </w:rPr>
        <w:t xml:space="preserve">项目名称：                                       项目编号：</w:t>
      </w:r>
      <w:r/>
    </w:p>
    <w:p>
      <w:pPr>
        <w:pStyle w:val="950"/>
        <w:spacing w:before="120" w:after="120"/>
        <w:rPr>
          <w:rFonts w:hAnsi="宋体"/>
          <w:sz w:val="24"/>
          <w:szCs w:val="24"/>
        </w:rPr>
      </w:pPr>
      <w:r>
        <w:rPr>
          <w:rFonts w:hAnsi="宋体"/>
          <w:sz w:val="24"/>
          <w:szCs w:val="24"/>
        </w:rPr>
        <w:t xml:space="preserve">甲方：（买方）_________</w:t>
      </w:r>
      <w:r/>
    </w:p>
    <w:p>
      <w:pPr>
        <w:pStyle w:val="950"/>
        <w:spacing w:before="120" w:after="120"/>
        <w:rPr>
          <w:rFonts w:hint="eastAsia" w:hAnsi="宋体"/>
          <w:sz w:val="24"/>
          <w:szCs w:val="24"/>
        </w:rPr>
      </w:pPr>
      <w:r>
        <w:rPr>
          <w:rFonts w:hAnsi="宋体"/>
          <w:sz w:val="24"/>
          <w:szCs w:val="24"/>
        </w:rPr>
        <w:t xml:space="preserve">乙方：（卖方）_________</w:t>
      </w:r>
      <w:r/>
    </w:p>
    <w:p>
      <w:pPr>
        <w:pStyle w:val="950"/>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50"/>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0"/>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0"/>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0"/>
        <w:spacing w:before="120" w:after="120"/>
        <w:rPr>
          <w:rFonts w:hint="eastAsia" w:hAnsi="宋体"/>
          <w:sz w:val="24"/>
          <w:szCs w:val="24"/>
        </w:rPr>
      </w:pPr>
      <w:r>
        <w:rPr>
          <w:rFonts w:hint="eastAsia" w:hAnsi="宋体"/>
          <w:sz w:val="24"/>
          <w:szCs w:val="24"/>
        </w:rPr>
        <w:t xml:space="preserve">1.3 标的数量（规模）：</w:t>
      </w:r>
      <w:r/>
    </w:p>
    <w:p>
      <w:pPr>
        <w:pStyle w:val="950"/>
        <w:spacing w:before="120" w:after="120"/>
        <w:rPr>
          <w:rFonts w:hint="eastAsia" w:hAnsi="宋体"/>
          <w:sz w:val="24"/>
          <w:szCs w:val="24"/>
        </w:rPr>
      </w:pPr>
      <w:r>
        <w:rPr>
          <w:rFonts w:hint="eastAsia" w:hAnsi="宋体"/>
          <w:sz w:val="24"/>
          <w:szCs w:val="24"/>
        </w:rPr>
        <w:t xml:space="preserve">1.4 履行时间（期限）：</w:t>
      </w:r>
      <w:r/>
    </w:p>
    <w:p>
      <w:pPr>
        <w:pStyle w:val="950"/>
        <w:spacing w:before="120" w:after="120"/>
        <w:rPr>
          <w:rFonts w:hAnsi="宋体"/>
          <w:sz w:val="24"/>
          <w:szCs w:val="24"/>
        </w:rPr>
      </w:pPr>
      <w:r>
        <w:rPr>
          <w:rFonts w:hint="eastAsia" w:hAnsi="宋体"/>
          <w:sz w:val="24"/>
          <w:szCs w:val="24"/>
        </w:rPr>
        <w:t xml:space="preserve">1.5 履行地点：</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50"/>
        <w:spacing w:before="120" w:after="120"/>
        <w:rPr>
          <w:rFonts w:hAnsi="宋体"/>
          <w:b/>
          <w:sz w:val="24"/>
          <w:szCs w:val="24"/>
        </w:rPr>
      </w:pPr>
      <w:r>
        <w:rPr>
          <w:rFonts w:hAnsi="宋体"/>
          <w:b/>
          <w:sz w:val="24"/>
          <w:szCs w:val="24"/>
        </w:rPr>
        <w:t xml:space="preserve">二、合同金额</w:t>
      </w:r>
      <w:r/>
    </w:p>
    <w:p>
      <w:pPr>
        <w:pStyle w:val="950"/>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0"/>
        <w:spacing w:before="120" w:after="120"/>
        <w:rPr>
          <w:rFonts w:hAnsi="宋体"/>
          <w:b/>
          <w:sz w:val="24"/>
          <w:szCs w:val="24"/>
        </w:rPr>
      </w:pPr>
      <w:r>
        <w:rPr>
          <w:rFonts w:hAnsi="宋体"/>
          <w:b/>
          <w:sz w:val="24"/>
          <w:szCs w:val="24"/>
        </w:rPr>
        <w:t xml:space="preserve">三、技术资料</w:t>
      </w:r>
      <w:r/>
    </w:p>
    <w:p>
      <w:pPr>
        <w:pStyle w:val="950"/>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50"/>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0"/>
        <w:ind w:left="412" w:hanging="412"/>
        <w:spacing w:before="120" w:after="120"/>
        <w:rPr>
          <w:rFonts w:hAnsi="宋体"/>
          <w:b/>
          <w:sz w:val="24"/>
          <w:szCs w:val="24"/>
        </w:rPr>
      </w:pPr>
      <w:r>
        <w:rPr>
          <w:rFonts w:hAnsi="宋体"/>
          <w:b/>
          <w:sz w:val="24"/>
          <w:szCs w:val="24"/>
        </w:rPr>
        <w:t xml:space="preserve">四、知识产权</w:t>
      </w:r>
      <w:r/>
    </w:p>
    <w:p>
      <w:pPr>
        <w:pStyle w:val="950"/>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0"/>
        <w:spacing w:before="120" w:after="120"/>
        <w:rPr>
          <w:rFonts w:hAnsi="宋体"/>
          <w:sz w:val="24"/>
          <w:szCs w:val="24"/>
          <w:u w:val="single"/>
        </w:rPr>
      </w:pPr>
      <w:r>
        <w:rPr>
          <w:rFonts w:hAnsi="宋体"/>
          <w:b/>
          <w:sz w:val="24"/>
          <w:szCs w:val="24"/>
        </w:rPr>
        <w:t xml:space="preserve">五、产权担保</w:t>
      </w:r>
      <w:r/>
    </w:p>
    <w:p>
      <w:pPr>
        <w:pStyle w:val="950"/>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50"/>
        <w:ind w:left="410" w:hanging="410"/>
        <w:spacing w:before="120" w:after="120"/>
        <w:rPr>
          <w:rFonts w:hAnsi="宋体"/>
          <w:b/>
          <w:sz w:val="24"/>
          <w:szCs w:val="24"/>
        </w:rPr>
      </w:pPr>
      <w:r>
        <w:rPr>
          <w:rFonts w:hAnsi="宋体"/>
          <w:b/>
          <w:sz w:val="24"/>
          <w:szCs w:val="24"/>
        </w:rPr>
        <w:t xml:space="preserve">六、履约保证金</w:t>
      </w:r>
      <w:r/>
    </w:p>
    <w:p>
      <w:pPr>
        <w:pStyle w:val="950"/>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收取</w:t>
      </w:r>
      <w:r>
        <w:rPr>
          <w:rFonts w:hint="eastAsia" w:hAnsi="宋体"/>
          <w:sz w:val="24"/>
          <w:szCs w:val="24"/>
        </w:rPr>
        <w:t xml:space="preserve">履约保证金。</w:t>
      </w:r>
      <w:r/>
    </w:p>
    <w:p>
      <w:pPr>
        <w:pStyle w:val="950"/>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w:t>
      </w:r>
      <w:r>
        <w:rPr>
          <w:rFonts w:hint="eastAsia" w:hAnsi="宋体"/>
          <w:sz w:val="24"/>
          <w:szCs w:val="24"/>
        </w:rPr>
        <w:t xml:space="preserve">当年合同款项的5% </w:t>
      </w:r>
      <w:r>
        <w:rPr>
          <w:rFonts w:hAnsi="宋体"/>
          <w:sz w:val="24"/>
          <w:szCs w:val="24"/>
        </w:rPr>
        <w:t xml:space="preserve">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0"/>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50"/>
        <w:ind w:left="408" w:hanging="408"/>
        <w:spacing w:before="120" w:after="120"/>
        <w:rPr>
          <w:rFonts w:hAnsi="宋体"/>
          <w:sz w:val="24"/>
          <w:szCs w:val="24"/>
        </w:rPr>
      </w:pPr>
      <w:r>
        <w:rPr>
          <w:rFonts w:hint="eastAsia" w:hAnsi="宋体"/>
          <w:sz w:val="24"/>
          <w:szCs w:val="24"/>
        </w:rPr>
        <w:t xml:space="preserve">6.2.1履约保证金退还方式：通过乙方对公账户渠道无息返还。</w:t>
      </w:r>
      <w:r/>
    </w:p>
    <w:p>
      <w:pPr>
        <w:pStyle w:val="950"/>
        <w:ind w:left="408" w:hanging="408"/>
        <w:spacing w:before="120" w:after="120"/>
        <w:rPr>
          <w:rFonts w:hint="eastAsia" w:hAnsi="宋体"/>
          <w:sz w:val="24"/>
          <w:szCs w:val="24"/>
        </w:rPr>
      </w:pPr>
      <w:r>
        <w:rPr>
          <w:rFonts w:hint="eastAsia" w:hAnsi="宋体"/>
          <w:sz w:val="24"/>
          <w:szCs w:val="24"/>
        </w:rPr>
        <w:t xml:space="preserve">6.2.2履约保证金退还时间：合同履约完成后的30天内</w:t>
      </w:r>
      <w:r/>
    </w:p>
    <w:p>
      <w:pPr>
        <w:pStyle w:val="950"/>
        <w:ind w:left="408" w:hanging="408"/>
        <w:spacing w:before="120" w:after="120"/>
        <w:rPr>
          <w:rFonts w:hAnsi="宋体"/>
          <w:sz w:val="24"/>
          <w:szCs w:val="24"/>
        </w:rPr>
      </w:pPr>
      <w:r>
        <w:rPr>
          <w:rFonts w:hint="eastAsia" w:hAnsi="宋体"/>
          <w:sz w:val="24"/>
          <w:szCs w:val="24"/>
        </w:rPr>
        <w:t xml:space="preserve">6.2.3履约保证金退还条件：按采购文件和合同约定履约完成。</w:t>
      </w:r>
      <w:r/>
    </w:p>
    <w:p>
      <w:pPr>
        <w:pStyle w:val="950"/>
        <w:ind w:left="408" w:hanging="408"/>
        <w:spacing w:before="120" w:after="120"/>
        <w:rPr>
          <w:rFonts w:hAnsi="宋体"/>
          <w:sz w:val="24"/>
          <w:szCs w:val="24"/>
        </w:rPr>
      </w:pPr>
      <w:r>
        <w:rPr>
          <w:rFonts w:hint="eastAsia" w:hAnsi="宋体"/>
          <w:sz w:val="24"/>
          <w:szCs w:val="24"/>
        </w:rPr>
        <w:t xml:space="preserve">6.2.4履约保证金不予退还的情形：乙方不履行合同不予退还、乙方未按合同约定全面履行义务，从履约保证金中取得补偿或赔偿。</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50"/>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hint="eastAsia" w:ascii="宋体" w:hAnsi="宋体"/>
          <w:sz w:val="24"/>
          <w:u w:val="single"/>
        </w:rPr>
      </w:pPr>
      <w:r>
        <w:rPr>
          <w:rFonts w:hint="eastAsia" w:ascii="宋体" w:hAnsi="宋体"/>
          <w:sz w:val="24"/>
        </w:rPr>
        <w:t xml:space="preserve">8.1分期付款：</w:t>
      </w:r>
      <w:r/>
    </w:p>
    <w:p>
      <w:pPr>
        <w:spacing w:before="156" w:after="156"/>
        <w:rPr>
          <w:rFonts w:hint="eastAsia" w:ascii="宋体" w:hAnsi="宋体"/>
          <w:sz w:val="24"/>
          <w:u w:val="single"/>
        </w:rPr>
      </w:pPr>
      <w:r>
        <w:rPr>
          <w:rFonts w:hint="eastAsia" w:ascii="宋体" w:hAnsi="宋体"/>
          <w:sz w:val="24"/>
          <w:u w:val="single"/>
        </w:rPr>
        <w:t xml:space="preserve">（1）预付款：合同签订并收到发票后，10个工作日内，支付10%；</w:t>
      </w:r>
      <w:r/>
    </w:p>
    <w:p>
      <w:pPr>
        <w:spacing w:before="156" w:after="156"/>
        <w:rPr>
          <w:rFonts w:hint="eastAsia" w:ascii="宋体" w:hAnsi="宋体"/>
          <w:sz w:val="24"/>
          <w:u w:val="single"/>
        </w:rPr>
      </w:pPr>
      <w:r>
        <w:rPr>
          <w:rFonts w:hint="eastAsia" w:ascii="宋体" w:hAnsi="宋体"/>
          <w:sz w:val="24"/>
          <w:u w:val="single"/>
        </w:rPr>
        <w:t xml:space="preserve">（2）每三个月：收到发票后，10个工作日内，支付合同价的20%。</w:t>
      </w:r>
      <w:r/>
    </w:p>
    <w:p>
      <w:pPr>
        <w:spacing w:before="156" w:after="156"/>
        <w:rPr>
          <w:rFonts w:hint="eastAsia" w:ascii="宋体" w:hAnsi="宋体"/>
          <w:sz w:val="24"/>
          <w:u w:val="single"/>
        </w:rPr>
      </w:pPr>
      <w:r>
        <w:rPr>
          <w:rFonts w:hint="eastAsia" w:ascii="宋体" w:hAnsi="宋体"/>
          <w:sz w:val="24"/>
          <w:u w:val="single"/>
        </w:rPr>
        <w:t xml:space="preserve">剩余合同款在合同期末根据每月考核扣款情况，按实扣除所有月考核扣款，以扣除扣款后的余款作为最终实际应支付的款项。</w:t>
      </w:r>
      <w:r/>
    </w:p>
    <w:p>
      <w:pPr>
        <w:spacing w:before="156" w:after="156"/>
        <w:rPr>
          <w:rFonts w:hint="eastAsia" w:ascii="宋体" w:hAnsi="宋体"/>
          <w:sz w:val="24"/>
          <w:u w:val="single"/>
        </w:rPr>
      </w:pPr>
      <w:r>
        <w:rPr>
          <w:rFonts w:hint="eastAsia" w:ascii="宋体" w:hAnsi="宋体"/>
          <w:sz w:val="24"/>
          <w:u w:val="single"/>
        </w:rPr>
        <w:t xml:space="preserve">如剩余合同款全扣除后无法弥补考核扣款的，在最后一期服务费中扣除无法弥补的金额。</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0"/>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50"/>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0"/>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0"/>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0"/>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0"/>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0"/>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50"/>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0"/>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50"/>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0"/>
        <w:ind w:left="480" w:hanging="480"/>
        <w:spacing w:before="120" w:after="120" w:line="0" w:lineRule="atLeast"/>
        <w:rPr>
          <w:rFonts w:hAnsi="宋体"/>
          <w:sz w:val="24"/>
          <w:szCs w:val="24"/>
        </w:rPr>
      </w:pPr>
      <w:r>
        <w:rPr>
          <w:rFonts w:hAnsi="宋体"/>
          <w:sz w:val="24"/>
          <w:szCs w:val="24"/>
        </w:rPr>
        <w:t xml:space="preserve">  甲方：                        乙方： </w:t>
      </w:r>
      <w:r/>
    </w:p>
    <w:p>
      <w:pPr>
        <w:pStyle w:val="950"/>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0"/>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0"/>
        <w:ind w:firstLine="240"/>
        <w:spacing w:before="120" w:after="120" w:line="0" w:lineRule="atLeast"/>
        <w:rPr>
          <w:rFonts w:hint="eastAsia"/>
        </w:rPr>
      </w:pPr>
      <w:r>
        <w:rPr>
          <w:rFonts w:hint="eastAsia" w:hAnsi="宋体"/>
          <w:sz w:val="24"/>
          <w:szCs w:val="24"/>
        </w:rPr>
        <w:t xml:space="preserve">联系电话：                    联系电话：          </w:t>
      </w:r>
      <w:r/>
    </w:p>
    <w:p>
      <w:pPr>
        <w:pStyle w:val="950"/>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120614281"/>
      <w:r/>
      <w:bookmarkStart w:id="190" w:name="_Toc26554093"/>
      <w:r/>
      <w:bookmarkStart w:id="191" w:name="_Toc49090575"/>
      <w:r/>
      <w:bookmarkStart w:id="192" w:name="_Toc462564139"/>
      <w:r/>
      <w:bookmarkStart w:id="193" w:name="_Toc479757211"/>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ascii="黑体" w:eastAsia="黑体"/>
          <w:bCs/>
          <w:sz w:val="44"/>
        </w:rPr>
      </w:pPr>
      <w:r>
        <w:rPr>
          <w:rFonts w:hint="eastAsia" w:ascii="黑体" w:eastAsia="黑体"/>
          <w:bCs/>
          <w:sz w:val="44"/>
        </w:rPr>
      </w:r>
      <w:r/>
    </w:p>
    <w:p>
      <w:pPr>
        <w:pStyle w:val="950"/>
        <w:jc w:val="center"/>
        <w:spacing w:before="120" w:after="120" w:line="0" w:lineRule="atLeast"/>
        <w:rPr>
          <w:rFonts w:hint="eastAsia" w:hAnsi="宋体"/>
          <w:color w:val="000000"/>
          <w:sz w:val="24"/>
        </w:rPr>
      </w:pPr>
      <w:r>
        <w:rPr>
          <w:rFonts w:hint="eastAsia"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pStyle w:val="883"/>
        <w:rPr>
          <w:rFonts w:hint="eastAsia" w:ascii="黑体" w:eastAsia="黑体"/>
          <w:b/>
          <w:bCs/>
          <w:sz w:val="44"/>
        </w:rPr>
      </w:pPr>
      <w:r>
        <w:rPr>
          <w:rFonts w:hint="eastAsia" w:ascii="黑体" w:eastAsia="黑体"/>
          <w:b/>
          <w:bCs/>
          <w:sz w:val="44"/>
        </w:rPr>
        <w:t xml:space="preserve">第四章 采购需求</w:t>
      </w:r>
      <w:r/>
    </w:p>
    <w:p>
      <w:pPr>
        <w:pStyle w:val="946"/>
        <w:numPr>
          <w:ilvl w:val="0"/>
          <w:numId w:val="5"/>
        </w:numPr>
        <w:jc w:val="both"/>
        <w:spacing w:line="440" w:lineRule="exact"/>
        <w:widowControl w:val="off"/>
        <w:rPr>
          <w:rFonts w:ascii="Times New Roman" w:hAnsi="Times New Roman"/>
          <w:b/>
        </w:rPr>
      </w:pPr>
      <w:r>
        <w:rPr>
          <w:rFonts w:ascii="Times New Roman" w:hAnsi="Times New Roman"/>
          <w:b/>
        </w:rPr>
        <w:t xml:space="preserve">采购标的</w:t>
      </w:r>
      <w:r/>
    </w:p>
    <w:p>
      <w:pPr>
        <w:ind w:firstLine="480"/>
        <w:spacing w:line="440" w:lineRule="exact"/>
        <w:rPr>
          <w:rFonts w:hint="eastAsia" w:ascii="宋体" w:hAnsi="宋体"/>
          <w:sz w:val="24"/>
          <w:szCs w:val="24"/>
        </w:rPr>
      </w:pPr>
      <w:r>
        <w:rPr>
          <w:bCs/>
          <w:sz w:val="24"/>
          <w:szCs w:val="24"/>
        </w:rPr>
        <w:t xml:space="preserve">1.</w:t>
      </w:r>
      <w:r>
        <w:rPr>
          <w:rFonts w:hint="eastAsia"/>
          <w:bCs/>
          <w:sz w:val="24"/>
          <w:szCs w:val="24"/>
        </w:rPr>
        <w:t xml:space="preserve">项目名称：</w:t>
      </w:r>
      <w:r>
        <w:rPr>
          <w:bCs/>
          <w:sz w:val="24"/>
          <w:szCs w:val="24"/>
        </w:rPr>
        <w:t xml:space="preserve"> </w:t>
      </w:r>
      <w:r>
        <w:rPr>
          <w:rFonts w:hint="eastAsia" w:ascii="宋体" w:hAnsi="宋体"/>
          <w:sz w:val="24"/>
          <w:szCs w:val="24"/>
        </w:rPr>
        <w:t xml:space="preserve">学校物业管理服务项目</w:t>
      </w:r>
      <w:r/>
    </w:p>
    <w:p>
      <w:pPr>
        <w:ind w:firstLine="480"/>
        <w:spacing w:line="440" w:lineRule="exact"/>
        <w:rPr>
          <w:rFonts w:hint="eastAsia" w:ascii="宋体" w:hAnsi="宋体" w:eastAsia="宋体"/>
          <w:sz w:val="24"/>
          <w:szCs w:val="24"/>
          <w:lang w:eastAsia="zh-CN"/>
        </w:rPr>
      </w:pPr>
      <w:r>
        <w:rPr>
          <w:rFonts w:hint="eastAsia" w:ascii="宋体" w:hAnsi="宋体"/>
          <w:sz w:val="24"/>
          <w:szCs w:val="24"/>
        </w:rPr>
        <w:t xml:space="preserve">2.预算金额：三年总预算1965.4293万元 ，其中</w:t>
      </w:r>
      <w:r>
        <w:rPr>
          <w:rFonts w:hint="eastAsia" w:ascii="宋体" w:hAnsi="宋体"/>
          <w:sz w:val="24"/>
          <w:szCs w:val="24"/>
          <w:lang w:eastAsia="zh-CN"/>
        </w:rPr>
        <w:t xml:space="preserve">：</w:t>
      </w:r>
      <w:r/>
    </w:p>
    <w:p>
      <w:pPr>
        <w:ind w:firstLine="480"/>
        <w:spacing w:line="440" w:lineRule="exact"/>
        <w:rPr>
          <w:rFonts w:hint="eastAsia" w:ascii="宋体" w:hAnsi="宋体"/>
          <w:sz w:val="24"/>
          <w:szCs w:val="24"/>
        </w:rPr>
      </w:pPr>
      <w:r>
        <w:rPr>
          <w:rFonts w:hint="eastAsia" w:ascii="宋体" w:hAnsi="宋体"/>
          <w:sz w:val="24"/>
          <w:szCs w:val="24"/>
        </w:rPr>
        <w:t xml:space="preserve">包一：公寓物业服务 预算金额1144.6821万元/三年</w:t>
      </w:r>
      <w:r/>
    </w:p>
    <w:p>
      <w:pPr>
        <w:ind w:firstLine="480"/>
        <w:spacing w:line="440" w:lineRule="exact"/>
        <w:rPr>
          <w:rFonts w:hint="eastAsia" w:ascii="宋体" w:hAnsi="宋体"/>
          <w:sz w:val="24"/>
          <w:szCs w:val="24"/>
        </w:rPr>
      </w:pPr>
      <w:r>
        <w:rPr>
          <w:rFonts w:hint="eastAsia" w:ascii="宋体" w:hAnsi="宋体"/>
          <w:sz w:val="24"/>
          <w:szCs w:val="24"/>
        </w:rPr>
        <w:t xml:space="preserve">包二：楼宇物业服务 预算金额820.7472万元/三年</w:t>
      </w:r>
      <w:r/>
    </w:p>
    <w:p>
      <w:pPr>
        <w:numPr>
          <w:ilvl w:val="0"/>
          <w:numId w:val="6"/>
        </w:numPr>
        <w:ind w:firstLine="480"/>
        <w:spacing w:line="440" w:lineRule="exact"/>
        <w:rPr>
          <w:rFonts w:hint="eastAsia" w:ascii="宋体" w:hAnsi="宋体"/>
          <w:sz w:val="24"/>
          <w:szCs w:val="24"/>
          <w:lang w:eastAsia="zh-CN"/>
        </w:rPr>
      </w:pPr>
      <w:r>
        <w:rPr>
          <w:rFonts w:hint="eastAsia" w:ascii="宋体" w:hAnsi="宋体"/>
          <w:sz w:val="24"/>
          <w:szCs w:val="24"/>
        </w:rPr>
        <w:t xml:space="preserve">最高限价：最高限价为1965.4293万元（三年）。其中</w:t>
      </w:r>
      <w:r>
        <w:rPr>
          <w:rFonts w:hint="eastAsia" w:ascii="宋体" w:hAnsi="宋体"/>
          <w:sz w:val="24"/>
          <w:szCs w:val="24"/>
          <w:lang w:eastAsia="zh-CN"/>
        </w:rPr>
        <w:t xml:space="preserve">：</w:t>
      </w:r>
      <w:r/>
    </w:p>
    <w:p>
      <w:pPr>
        <w:numPr>
          <w:ilvl w:val="0"/>
          <w:numId w:val="0"/>
        </w:numPr>
        <w:ind w:firstLine="480"/>
        <w:spacing w:line="440" w:lineRule="exact"/>
        <w:rPr>
          <w:rFonts w:hint="eastAsia" w:ascii="宋体" w:hAnsi="宋体"/>
          <w:sz w:val="24"/>
          <w:szCs w:val="24"/>
        </w:rPr>
      </w:pPr>
      <w:r>
        <w:rPr>
          <w:rFonts w:hint="eastAsia" w:ascii="宋体" w:hAnsi="宋体"/>
          <w:sz w:val="24"/>
          <w:szCs w:val="24"/>
        </w:rPr>
        <w:t xml:space="preserve">包一：公寓物业服务 最高限价为1144.6821万元/三年</w:t>
      </w:r>
      <w:r/>
    </w:p>
    <w:p>
      <w:pPr>
        <w:numPr>
          <w:ilvl w:val="0"/>
          <w:numId w:val="0"/>
        </w:numPr>
        <w:ind w:firstLine="480"/>
        <w:spacing w:line="440" w:lineRule="exact"/>
        <w:rPr>
          <w:rFonts w:ascii="宋体" w:hAnsi="宋体"/>
          <w:sz w:val="24"/>
          <w:szCs w:val="24"/>
        </w:rPr>
      </w:pPr>
      <w:r>
        <w:rPr>
          <w:rFonts w:hint="eastAsia" w:ascii="宋体" w:hAnsi="宋体"/>
          <w:sz w:val="24"/>
          <w:szCs w:val="24"/>
        </w:rPr>
        <w:t xml:space="preserve">包二：楼宇物业服务 最高限价为820.7472万元/三年 </w:t>
      </w:r>
      <w:r/>
    </w:p>
    <w:p>
      <w:pPr>
        <w:ind w:firstLine="480"/>
        <w:spacing w:line="440" w:lineRule="exact"/>
        <w:rPr>
          <w:rFonts w:hint="eastAsia" w:ascii="宋体" w:hAnsi="宋体" w:cs="宋体"/>
          <w:sz w:val="24"/>
          <w:szCs w:val="24"/>
        </w:rPr>
      </w:pPr>
      <w:r>
        <w:rPr>
          <w:rFonts w:hint="eastAsia" w:ascii="宋体" w:hAnsi="宋体"/>
          <w:sz w:val="24"/>
          <w:szCs w:val="24"/>
        </w:rPr>
        <w:t xml:space="preserve">4.采购项目概况（简介）：</w:t>
      </w:r>
      <w:r>
        <w:rPr>
          <w:rFonts w:hint="eastAsia" w:ascii="宋体" w:hAnsi="宋体" w:cs="宋体"/>
          <w:sz w:val="24"/>
          <w:szCs w:val="24"/>
        </w:rPr>
        <w:t xml:space="preserve">常州信息职业技术学院坐落于常州高职园区，学校占地916.61亩，建筑面积34.76万平方米，在校生10000余人，专任教师近600人。学校物业服务分为公寓管理和楼宇管理两部分，目前总服务面积约32万平方米，其中公寓管理范围包括1#—12#学生公寓和2号楼辅楼，服务面积约12万平方米；楼宇管理范围包括教学楼、图文楼、实训楼、文体楼、行政楼、工业互联网产学研创中心以及继续教育学院校区、信息产业园，服务面积约20万平方米。</w:t>
      </w:r>
      <w:r/>
    </w:p>
    <w:p>
      <w:pPr>
        <w:ind w:firstLine="482"/>
        <w:rPr>
          <w:rFonts w:hint="eastAsia" w:ascii="宋体" w:hAnsi="宋体" w:cs="宋体"/>
          <w:sz w:val="24"/>
          <w:szCs w:val="24"/>
        </w:rPr>
      </w:pPr>
      <w:r>
        <w:rPr>
          <w:rFonts w:hint="eastAsia" w:ascii="宋体" w:hAnsi="宋体" w:cs="仿宋_GB2312"/>
          <w:b/>
          <w:bCs/>
          <w:color w:val="000000"/>
          <w:sz w:val="24"/>
          <w:szCs w:val="24"/>
        </w:rPr>
        <w:t xml:space="preserve">每个投标人可选择相应的分包投标，兼投不兼中。在分包一中被推荐为第一中标候选人的单位可参与分包二评标，但不得成为分包二的推荐中标候选人，按分包顺序，以此类推。</w:t>
      </w:r>
      <w:r/>
    </w:p>
    <w:p>
      <w:pPr>
        <w:ind w:firstLine="480"/>
        <w:spacing w:line="440" w:lineRule="exact"/>
        <w:rPr>
          <w:rFonts w:hint="eastAsia" w:ascii="宋体" w:hAnsi="宋体" w:cs="宋体"/>
          <w:sz w:val="24"/>
          <w:szCs w:val="24"/>
        </w:rPr>
      </w:pPr>
      <w:r>
        <w:rPr>
          <w:rFonts w:hint="eastAsia" w:ascii="宋体" w:hAnsi="宋体" w:cs="宋体"/>
          <w:sz w:val="24"/>
          <w:szCs w:val="24"/>
        </w:rPr>
      </w:r>
      <w:r/>
    </w:p>
    <w:p>
      <w:pPr>
        <w:ind w:firstLine="480"/>
        <w:spacing w:line="440" w:lineRule="exact"/>
        <w:rPr>
          <w:rFonts w:hint="eastAsia" w:ascii="宋体" w:hAnsi="宋体"/>
          <w:sz w:val="24"/>
          <w:szCs w:val="24"/>
        </w:rPr>
      </w:pPr>
      <w:r>
        <w:rPr>
          <w:rFonts w:hint="eastAsia" w:ascii="宋体" w:hAnsi="宋体"/>
          <w:sz w:val="24"/>
          <w:szCs w:val="24"/>
        </w:rPr>
        <w:t xml:space="preserve">5.合同履行期限：学校物业管理服务期三年，合同一年一签，合同期内经学校管理部门考核合格后可续签下一年合同，最多续签两次。合同执行期间费用一律不予调整，供应商必须考虑合同期内的物价、政策等所有风险因素，在报价时自行预测并纳入总价中。若因学校发展需要，增加物业管理服务内容产生的费用由学校承担，但所增加承担的金额不得超过原合同采购金额的百分之十。如超过，学校将有权重新启动招标程序。</w:t>
      </w:r>
      <w:r/>
    </w:p>
    <w:p>
      <w:pPr>
        <w:ind w:firstLine="480"/>
        <w:spacing w:line="440" w:lineRule="exact"/>
        <w:rPr>
          <w:rFonts w:hint="eastAsia" w:ascii="宋体" w:hAnsi="宋体"/>
          <w:sz w:val="24"/>
          <w:szCs w:val="24"/>
        </w:rPr>
      </w:pPr>
      <w:r>
        <w:rPr>
          <w:rFonts w:hint="eastAsia" w:ascii="宋体" w:hAnsi="宋体"/>
          <w:sz w:val="24"/>
          <w:szCs w:val="24"/>
        </w:rPr>
        <w:t xml:space="preserve">6.是/否接受联合体投标： 否  ；</w:t>
      </w:r>
      <w:r/>
    </w:p>
    <w:p>
      <w:pPr>
        <w:ind w:firstLine="480"/>
        <w:spacing w:line="440" w:lineRule="exact"/>
        <w:rPr>
          <w:rFonts w:hint="eastAsia" w:ascii="宋体" w:hAnsi="宋体"/>
          <w:bCs/>
          <w:sz w:val="24"/>
          <w:szCs w:val="24"/>
          <w:highlight w:val="yellow"/>
        </w:rPr>
      </w:pPr>
      <w:r>
        <w:rPr>
          <w:rFonts w:hint="eastAsia"/>
          <w:sz w:val="24"/>
          <w:szCs w:val="24"/>
        </w:rPr>
        <w:t xml:space="preserve">7.</w:t>
      </w:r>
      <w:r>
        <w:rPr>
          <w:sz w:val="24"/>
          <w:szCs w:val="24"/>
        </w:rPr>
        <w:t xml:space="preserve">是</w:t>
      </w:r>
      <w:r>
        <w:rPr>
          <w:rFonts w:hint="eastAsia"/>
          <w:sz w:val="24"/>
          <w:szCs w:val="24"/>
        </w:rPr>
        <w:t xml:space="preserve">/</w:t>
      </w:r>
      <w:r>
        <w:rPr>
          <w:sz w:val="24"/>
          <w:szCs w:val="24"/>
        </w:rPr>
        <w:t xml:space="preserve">否接受分支机构参与响应：</w:t>
      </w:r>
      <w:r>
        <w:rPr>
          <w:rFonts w:hint="eastAsia" w:ascii="宋体" w:hAnsi="宋体"/>
          <w:bCs/>
          <w:sz w:val="24"/>
          <w:szCs w:val="24"/>
        </w:rPr>
        <w:t xml:space="preserve">不接受</w:t>
      </w:r>
      <w:r/>
    </w:p>
    <w:p>
      <w:pPr>
        <w:ind w:firstLine="480"/>
        <w:spacing w:line="440" w:lineRule="exact"/>
        <w:rPr>
          <w:rFonts w:hint="eastAsia" w:ascii="宋体" w:hAnsi="宋体"/>
          <w:sz w:val="24"/>
          <w:szCs w:val="24"/>
        </w:rPr>
      </w:pPr>
      <w:r>
        <w:rPr>
          <w:rFonts w:hint="eastAsia" w:ascii="宋体" w:hAnsi="宋体"/>
          <w:sz w:val="24"/>
          <w:szCs w:val="24"/>
        </w:rPr>
        <w:t xml:space="preserve">8.</w:t>
      </w:r>
      <w:r>
        <w:rPr>
          <w:rFonts w:ascii="宋体" w:hAnsi="宋体"/>
          <w:sz w:val="24"/>
          <w:szCs w:val="24"/>
        </w:rPr>
        <w:t xml:space="preserve">是</w:t>
      </w:r>
      <w:r>
        <w:rPr>
          <w:rFonts w:hint="eastAsia" w:ascii="宋体" w:hAnsi="宋体"/>
          <w:sz w:val="24"/>
          <w:szCs w:val="24"/>
        </w:rPr>
        <w:t xml:space="preserve">/</w:t>
      </w:r>
      <w:r>
        <w:rPr>
          <w:rFonts w:ascii="宋体" w:hAnsi="宋体"/>
          <w:sz w:val="24"/>
          <w:szCs w:val="24"/>
        </w:rPr>
        <w:t xml:space="preserve">否属于政府购买服务：</w:t>
      </w:r>
      <w:r>
        <w:rPr>
          <w:rFonts w:hint="eastAsia" w:ascii="宋体" w:hAnsi="宋体"/>
          <w:sz w:val="24"/>
          <w:szCs w:val="24"/>
        </w:rPr>
        <w:t xml:space="preserve">否</w:t>
      </w:r>
      <w:r/>
    </w:p>
    <w:p>
      <w:pPr>
        <w:ind w:firstLine="480"/>
        <w:spacing w:line="440" w:lineRule="exact"/>
        <w:rPr>
          <w:rFonts w:hint="eastAsia"/>
          <w:sz w:val="24"/>
          <w:szCs w:val="24"/>
        </w:rPr>
      </w:pPr>
      <w:r>
        <w:rPr>
          <w:rFonts w:hint="eastAsia" w:ascii="宋体" w:hAnsi="宋体"/>
          <w:sz w:val="24"/>
          <w:szCs w:val="24"/>
        </w:rPr>
        <w:t xml:space="preserve">9.</w:t>
      </w:r>
      <w:r>
        <w:rPr>
          <w:sz w:val="24"/>
          <w:szCs w:val="24"/>
        </w:rPr>
        <w:t xml:space="preserve">是</w:t>
      </w:r>
      <w:r>
        <w:rPr>
          <w:rFonts w:hint="eastAsia"/>
          <w:sz w:val="24"/>
          <w:szCs w:val="24"/>
        </w:rPr>
        <w:t xml:space="preserve">/</w:t>
      </w:r>
      <w:r>
        <w:rPr>
          <w:sz w:val="24"/>
          <w:szCs w:val="24"/>
        </w:rPr>
        <w:t xml:space="preserve">否接受</w:t>
      </w:r>
      <w:r>
        <w:rPr>
          <w:rFonts w:hint="eastAsia"/>
          <w:sz w:val="24"/>
          <w:szCs w:val="24"/>
        </w:rPr>
        <w:t xml:space="preserve">进口产品投标：否</w:t>
      </w:r>
      <w:r/>
    </w:p>
    <w:p>
      <w:pPr>
        <w:ind w:firstLine="480"/>
        <w:spacing w:line="440" w:lineRule="exact"/>
        <w:rPr>
          <w:rFonts w:hint="eastAsia"/>
          <w:sz w:val="24"/>
          <w:szCs w:val="24"/>
        </w:rPr>
      </w:pPr>
      <w:r>
        <w:rPr>
          <w:rFonts w:hint="eastAsia"/>
          <w:sz w:val="24"/>
          <w:szCs w:val="24"/>
        </w:rPr>
        <w:t xml:space="preserve">10.</w:t>
      </w:r>
      <w:r>
        <w:rPr>
          <w:sz w:val="24"/>
          <w:szCs w:val="24"/>
        </w:rPr>
        <w:t xml:space="preserve"> </w:t>
      </w:r>
      <w:r>
        <w:rPr>
          <w:rFonts w:hint="eastAsia"/>
          <w:sz w:val="24"/>
          <w:szCs w:val="24"/>
        </w:rPr>
        <w:t xml:space="preserve">是/否</w:t>
      </w:r>
      <w:r>
        <w:rPr>
          <w:sz w:val="24"/>
          <w:szCs w:val="24"/>
        </w:rPr>
        <w:t xml:space="preserve">专门面向中小企业预留采购份额</w:t>
      </w:r>
      <w:r>
        <w:rPr>
          <w:rFonts w:hint="eastAsia"/>
          <w:sz w:val="24"/>
          <w:szCs w:val="24"/>
        </w:rPr>
        <w:t xml:space="preserve">：是</w:t>
      </w:r>
      <w:r/>
    </w:p>
    <w:p>
      <w:pPr>
        <w:ind w:firstLine="480"/>
        <w:spacing w:line="440" w:lineRule="exact"/>
        <w:rPr>
          <w:rFonts w:hint="eastAsia" w:ascii="宋体" w:hAnsi="宋体"/>
          <w:bCs/>
          <w:sz w:val="24"/>
          <w:szCs w:val="24"/>
        </w:rPr>
      </w:pPr>
      <w:r>
        <w:rPr>
          <w:rFonts w:hint="eastAsia"/>
          <w:sz w:val="24"/>
          <w:szCs w:val="24"/>
        </w:rPr>
        <w:t xml:space="preserve">11.本项目的特定资格要求：</w:t>
      </w:r>
      <w:r>
        <w:rPr>
          <w:rFonts w:hint="eastAsia" w:ascii="宋体" w:hAnsi="宋体"/>
          <w:bCs/>
          <w:sz w:val="24"/>
          <w:szCs w:val="24"/>
        </w:rPr>
        <w:t xml:space="preserve">否</w:t>
      </w:r>
      <w:r/>
    </w:p>
    <w:p>
      <w:pPr>
        <w:ind w:firstLine="480"/>
        <w:spacing w:line="440" w:lineRule="exact"/>
        <w:rPr>
          <w:rFonts w:hint="eastAsia" w:ascii="宋体" w:hAnsi="宋体"/>
          <w:bCs/>
          <w:sz w:val="24"/>
          <w:szCs w:val="24"/>
        </w:rPr>
      </w:pPr>
      <w:r>
        <w:rPr>
          <w:rFonts w:hint="eastAsia" w:ascii="宋体" w:hAnsi="宋体"/>
          <w:bCs/>
          <w:sz w:val="24"/>
          <w:szCs w:val="24"/>
        </w:rPr>
        <w:t xml:space="preserve">12.项目类别：服务类</w:t>
      </w:r>
      <w:r/>
    </w:p>
    <w:p>
      <w:pPr>
        <w:ind w:firstLine="480"/>
        <w:spacing w:line="440" w:lineRule="exact"/>
        <w:rPr>
          <w:rFonts w:hint="eastAsia" w:ascii="宋体" w:hAnsi="宋体"/>
          <w:bCs/>
          <w:sz w:val="24"/>
          <w:szCs w:val="24"/>
        </w:rPr>
      </w:pPr>
      <w:r>
        <w:rPr>
          <w:rFonts w:hint="eastAsia" w:ascii="宋体" w:hAnsi="宋体"/>
          <w:bCs/>
          <w:sz w:val="24"/>
          <w:szCs w:val="24"/>
        </w:rPr>
        <w:t xml:space="preserve">13.</w:t>
      </w:r>
      <w:r>
        <w:rPr>
          <w:rFonts w:ascii="宋体" w:hAnsi="宋体"/>
          <w:sz w:val="24"/>
          <w:szCs w:val="24"/>
        </w:rPr>
        <w:t xml:space="preserve"> 是</w:t>
      </w:r>
      <w:r>
        <w:rPr>
          <w:rFonts w:hint="eastAsia" w:ascii="宋体" w:hAnsi="宋体"/>
          <w:sz w:val="24"/>
          <w:szCs w:val="24"/>
        </w:rPr>
        <w:t xml:space="preserve">/</w:t>
      </w:r>
      <w:r>
        <w:rPr>
          <w:rFonts w:ascii="宋体" w:hAnsi="宋体"/>
          <w:sz w:val="24"/>
          <w:szCs w:val="24"/>
        </w:rPr>
        <w:t xml:space="preserve">否</w:t>
      </w:r>
      <w:r>
        <w:rPr>
          <w:rFonts w:hint="eastAsia"/>
          <w:sz w:val="24"/>
          <w:szCs w:val="24"/>
        </w:rPr>
        <w:t xml:space="preserve">包含产品采购</w:t>
      </w:r>
      <w:r>
        <w:rPr>
          <w:sz w:val="24"/>
          <w:szCs w:val="24"/>
        </w:rPr>
        <w:t xml:space="preserve">：</w:t>
      </w:r>
      <w:r>
        <w:rPr>
          <w:rFonts w:hint="eastAsia"/>
          <w:sz w:val="24"/>
          <w:szCs w:val="24"/>
        </w:rPr>
        <w:t xml:space="preserve">否</w:t>
      </w:r>
      <w:r/>
    </w:p>
    <w:p>
      <w:pPr>
        <w:spacing w:line="440" w:lineRule="exact"/>
        <w:rPr>
          <w:rFonts w:ascii="宋体" w:hAnsi="宋体"/>
          <w:sz w:val="24"/>
          <w:szCs w:val="24"/>
        </w:rPr>
      </w:pPr>
      <w:r>
        <w:rPr>
          <w:rFonts w:ascii="宋体" w:hAnsi="宋体"/>
          <w:sz w:val="24"/>
          <w:szCs w:val="24"/>
        </w:rPr>
      </w:r>
      <w:r/>
    </w:p>
    <w:p>
      <w:pPr>
        <w:pStyle w:val="946"/>
        <w:numPr>
          <w:ilvl w:val="0"/>
          <w:numId w:val="5"/>
        </w:numPr>
        <w:jc w:val="both"/>
        <w:spacing w:line="440" w:lineRule="exact"/>
        <w:widowControl w:val="off"/>
        <w:rPr>
          <w:rFonts w:ascii="Times New Roman" w:hAnsi="Times New Roman"/>
          <w:b/>
        </w:rPr>
      </w:pPr>
      <w:r>
        <w:rPr>
          <w:rFonts w:ascii="Times New Roman" w:hAnsi="Times New Roman"/>
          <w:b/>
          <w:lang w:eastAsia="zh-CN"/>
        </w:rPr>
        <w:t xml:space="preserve">商务要求</w:t>
      </w:r>
      <w:r/>
    </w:p>
    <w:p>
      <w:pPr>
        <w:spacing w:line="440" w:lineRule="exact"/>
        <w:rPr>
          <w:i/>
          <w:sz w:val="24"/>
          <w:szCs w:val="24"/>
        </w:rPr>
      </w:pPr>
      <w:r>
        <w:rPr>
          <w:sz w:val="24"/>
          <w:szCs w:val="24"/>
        </w:rPr>
        <w:t xml:space="preserve">1. 交付（实施）的时间（期限）和地点（范围）</w:t>
      </w:r>
      <w:r/>
    </w:p>
    <w:p>
      <w:pPr>
        <w:ind w:firstLine="480"/>
        <w:spacing w:line="440" w:lineRule="exact"/>
        <w:rPr>
          <w:rFonts w:hint="eastAsia"/>
          <w:sz w:val="24"/>
          <w:szCs w:val="24"/>
        </w:rPr>
      </w:pPr>
      <w:r>
        <w:rPr>
          <w:rFonts w:hint="eastAsia"/>
          <w:sz w:val="24"/>
          <w:szCs w:val="24"/>
        </w:rPr>
        <w:t xml:space="preserve">学校物业管理服务期三年，合同一年一签，合同期内经学校管理部门考核合格后可续签下一年合同，最多续签两次。</w:t>
      </w:r>
      <w:r/>
    </w:p>
    <w:p>
      <w:pPr>
        <w:ind w:firstLine="480"/>
        <w:spacing w:line="440" w:lineRule="exact"/>
        <w:rPr>
          <w:sz w:val="24"/>
          <w:szCs w:val="24"/>
        </w:rPr>
      </w:pPr>
      <w:r>
        <w:rPr>
          <w:rFonts w:hint="eastAsia"/>
          <w:sz w:val="24"/>
          <w:szCs w:val="24"/>
        </w:rPr>
        <w:t xml:space="preserve">合同执行期间费用一律不予调整，供应商报价表中所报的单价和合价以及报价汇总表中的价格应包括：员工费用和管理人员费用、保险、管理费、人员培训费、加班费、利润、设备、工具、消耗品、各种税费、政策性文件规定及合同明示或暗示的所有风险、责任、义务等各项应有的费用。供应商在报价时自行预测并纳入总价中。若因学校发展需要，增加物业管理服务内容产生的费用由学校承担，但所增加承担的金额不得超过原合同采购金额的百分之十。如超过，学校将有权重新启动招标程序。</w:t>
      </w:r>
      <w:r/>
    </w:p>
    <w:p>
      <w:pPr>
        <w:spacing w:line="440" w:lineRule="exact"/>
        <w:rPr>
          <w:sz w:val="24"/>
          <w:szCs w:val="24"/>
        </w:rPr>
      </w:pPr>
      <w:r>
        <w:rPr>
          <w:sz w:val="24"/>
          <w:szCs w:val="24"/>
        </w:rPr>
        <w:t xml:space="preserve">2. 付款条件（进度和方式）</w:t>
      </w:r>
      <w:r/>
    </w:p>
    <w:p>
      <w:pPr>
        <w:ind w:firstLine="480"/>
        <w:spacing w:line="440" w:lineRule="exact"/>
        <w:rPr>
          <w:rFonts w:hint="eastAsia"/>
          <w:sz w:val="24"/>
          <w:szCs w:val="24"/>
        </w:rPr>
      </w:pPr>
      <w:r>
        <w:rPr>
          <w:rFonts w:hint="eastAsia"/>
          <w:sz w:val="24"/>
          <w:szCs w:val="24"/>
        </w:rPr>
        <w:t xml:space="preserve">（1）预付款：合同签订并收到发票后，10个工作日内，支付10%；</w:t>
      </w:r>
      <w:r/>
    </w:p>
    <w:p>
      <w:pPr>
        <w:ind w:firstLine="480"/>
        <w:spacing w:line="440" w:lineRule="exact"/>
        <w:rPr>
          <w:rFonts w:hint="eastAsia"/>
          <w:sz w:val="24"/>
          <w:szCs w:val="24"/>
        </w:rPr>
      </w:pPr>
      <w:r>
        <w:rPr>
          <w:rFonts w:hint="eastAsia"/>
          <w:sz w:val="24"/>
          <w:szCs w:val="24"/>
        </w:rPr>
        <w:t xml:space="preserve">（2）每三个月：收到发票后，10个工作日内，支付合同价的20%。</w:t>
      </w:r>
      <w:r/>
    </w:p>
    <w:p>
      <w:pPr>
        <w:ind w:firstLine="480"/>
        <w:spacing w:line="440" w:lineRule="exact"/>
        <w:rPr>
          <w:rFonts w:hint="eastAsia"/>
          <w:sz w:val="24"/>
          <w:szCs w:val="24"/>
        </w:rPr>
      </w:pPr>
      <w:r>
        <w:rPr>
          <w:rFonts w:hint="eastAsia"/>
          <w:sz w:val="24"/>
          <w:szCs w:val="24"/>
        </w:rPr>
        <w:t xml:space="preserve">剩余合同款在合同期末根据每月考核扣款情况，按实扣除所有月考核扣款，以扣除扣款后的余款作为最终实际应支付的款项。</w:t>
      </w:r>
      <w:r/>
    </w:p>
    <w:p>
      <w:pPr>
        <w:ind w:firstLine="480"/>
        <w:spacing w:line="440" w:lineRule="exact"/>
        <w:rPr>
          <w:rFonts w:hint="eastAsia"/>
          <w:sz w:val="24"/>
          <w:szCs w:val="24"/>
        </w:rPr>
      </w:pPr>
      <w:r>
        <w:rPr>
          <w:rFonts w:hint="eastAsia"/>
          <w:sz w:val="24"/>
          <w:szCs w:val="24"/>
        </w:rPr>
        <w:t xml:space="preserve">如剩余合同款全扣除后无法弥补考核扣款的，在最后一期服务费中扣除无法弥补的金额。</w:t>
      </w:r>
      <w:r/>
    </w:p>
    <w:p>
      <w:pPr>
        <w:spacing w:line="440" w:lineRule="exact"/>
        <w:rPr>
          <w:rFonts w:hint="eastAsia"/>
          <w:sz w:val="24"/>
          <w:szCs w:val="24"/>
        </w:rPr>
      </w:pPr>
      <w:r>
        <w:rPr>
          <w:sz w:val="24"/>
          <w:szCs w:val="24"/>
        </w:rPr>
        <w:t xml:space="preserve">3. 包装和运输</w:t>
      </w:r>
      <w:r/>
    </w:p>
    <w:p>
      <w:pPr>
        <w:spacing w:line="440" w:lineRule="exact"/>
        <w:rPr>
          <w:sz w:val="24"/>
          <w:szCs w:val="24"/>
        </w:rPr>
      </w:pPr>
      <w:r>
        <w:rPr>
          <w:rFonts w:hint="eastAsia"/>
          <w:sz w:val="24"/>
          <w:szCs w:val="24"/>
        </w:rPr>
        <w:t xml:space="preserve">无</w:t>
      </w:r>
      <w:r/>
    </w:p>
    <w:p>
      <w:pPr>
        <w:spacing w:line="440" w:lineRule="exact"/>
        <w:rPr>
          <w:sz w:val="24"/>
          <w:szCs w:val="24"/>
        </w:rPr>
      </w:pPr>
      <w:r>
        <w:rPr>
          <w:sz w:val="24"/>
          <w:szCs w:val="24"/>
        </w:rPr>
      </w:r>
      <w:r/>
    </w:p>
    <w:p>
      <w:pPr>
        <w:spacing w:line="440" w:lineRule="exact"/>
        <w:rPr>
          <w:sz w:val="24"/>
          <w:szCs w:val="24"/>
        </w:rPr>
      </w:pPr>
      <w:r>
        <w:rPr>
          <w:sz w:val="24"/>
          <w:szCs w:val="24"/>
        </w:rPr>
        <w:t xml:space="preserve">4. 售后服务（质保期</w:t>
      </w:r>
      <w:r>
        <w:rPr>
          <w:rFonts w:hint="eastAsia"/>
          <w:sz w:val="24"/>
          <w:szCs w:val="24"/>
        </w:rPr>
        <w:t xml:space="preserve">等</w:t>
      </w:r>
      <w:r>
        <w:rPr>
          <w:sz w:val="24"/>
          <w:szCs w:val="24"/>
        </w:rPr>
        <w:t xml:space="preserve">）</w:t>
      </w:r>
      <w:r/>
    </w:p>
    <w:p>
      <w:pPr>
        <w:spacing w:line="440" w:lineRule="exact"/>
        <w:rPr>
          <w:rFonts w:hint="eastAsia" w:ascii="宋体" w:hAnsi="宋体" w:cs="宋体"/>
          <w:sz w:val="24"/>
          <w:szCs w:val="24"/>
        </w:rPr>
      </w:pPr>
      <w:r>
        <w:rPr>
          <w:rFonts w:hint="eastAsia" w:ascii="宋体" w:hAnsi="宋体" w:cs="宋体"/>
          <w:color w:val="000000"/>
          <w:sz w:val="24"/>
          <w:szCs w:val="24"/>
        </w:rPr>
        <w:t xml:space="preserve">无</w:t>
      </w:r>
      <w:r/>
    </w:p>
    <w:p>
      <w:pPr>
        <w:spacing w:line="440" w:lineRule="exact"/>
        <w:rPr>
          <w:sz w:val="24"/>
          <w:szCs w:val="24"/>
        </w:rPr>
      </w:pPr>
      <w:r>
        <w:rPr>
          <w:sz w:val="24"/>
          <w:szCs w:val="24"/>
        </w:rPr>
      </w:r>
      <w:r/>
    </w:p>
    <w:p>
      <w:pPr>
        <w:spacing w:line="440" w:lineRule="exact"/>
        <w:rPr>
          <w:rFonts w:hint="eastAsia"/>
          <w:sz w:val="24"/>
          <w:szCs w:val="24"/>
        </w:rPr>
      </w:pPr>
      <w:r>
        <w:rPr>
          <w:sz w:val="24"/>
          <w:szCs w:val="24"/>
        </w:rPr>
        <w:t xml:space="preserve">5. 保险</w:t>
      </w:r>
      <w:r/>
    </w:p>
    <w:p>
      <w:pPr>
        <w:spacing w:line="440" w:lineRule="exact"/>
        <w:rPr>
          <w:rFonts w:hint="eastAsia"/>
          <w:b/>
          <w:i/>
          <w:sz w:val="24"/>
          <w:szCs w:val="24"/>
        </w:rPr>
      </w:pPr>
      <w:r>
        <w:rPr>
          <w:rFonts w:hint="eastAsia"/>
          <w:sz w:val="24"/>
          <w:szCs w:val="24"/>
        </w:rPr>
        <w:t xml:space="preserve">无</w:t>
      </w:r>
      <w:r/>
    </w:p>
    <w:p>
      <w:pPr>
        <w:pStyle w:val="946"/>
        <w:numPr>
          <w:ilvl w:val="0"/>
          <w:numId w:val="5"/>
        </w:numPr>
        <w:jc w:val="both"/>
        <w:spacing w:line="440" w:lineRule="exact"/>
        <w:widowControl w:val="off"/>
        <w:rPr>
          <w:rFonts w:hint="eastAsia" w:ascii="Times New Roman" w:hAnsi="Times New Roman"/>
          <w:b/>
        </w:rPr>
      </w:pPr>
      <w:r>
        <w:rPr>
          <w:rFonts w:ascii="Times New Roman" w:hAnsi="Times New Roman"/>
          <w:b/>
        </w:rPr>
        <w:t xml:space="preserve">技术要求</w:t>
      </w:r>
      <w:r/>
    </w:p>
    <w:p>
      <w:pPr>
        <w:spacing w:line="440" w:lineRule="exact"/>
        <w:rPr>
          <w:sz w:val="24"/>
          <w:szCs w:val="24"/>
        </w:rPr>
      </w:pPr>
      <w:r>
        <w:rPr>
          <w:rFonts w:hint="eastAsia"/>
          <w:sz w:val="24"/>
          <w:szCs w:val="24"/>
        </w:rPr>
        <w:t xml:space="preserve">（一）</w:t>
      </w:r>
      <w:r>
        <w:rPr>
          <w:sz w:val="24"/>
          <w:szCs w:val="24"/>
        </w:rPr>
        <w:t xml:space="preserve">基本要求</w:t>
      </w:r>
      <w:r/>
    </w:p>
    <w:p>
      <w:pPr>
        <w:ind w:firstLine="480"/>
        <w:spacing w:line="440" w:lineRule="exact"/>
        <w:rPr>
          <w:sz w:val="24"/>
          <w:szCs w:val="24"/>
        </w:rPr>
      </w:pPr>
      <w:r>
        <w:rPr>
          <w:rFonts w:hint="eastAsia"/>
          <w:sz w:val="24"/>
          <w:szCs w:val="24"/>
        </w:rPr>
        <w:t xml:space="preserve">常州信息职业技术学院坐落于常州高职园区，学校占地916.61亩，建筑面积34.76万平方米，在校生10000余人，专任教师近600人。学校物业服务分为公寓管理和楼宇管理两部分，目前总服务面积约32万平方米，其中公寓管理范围包括1#—12#学生公寓和2号楼辅楼，服务面积约12万平方米；楼宇管理范围包括教学楼、图文楼、实训楼、文体楼、行政楼、工业互联网产学研创中心以及继续教育学院校区、信息产业园，服务面积约20万平方米。</w:t>
      </w:r>
      <w:r/>
    </w:p>
    <w:p>
      <w:pPr>
        <w:spacing w:line="440" w:lineRule="exact"/>
        <w:rPr>
          <w:rFonts w:hint="eastAsia"/>
          <w:sz w:val="24"/>
          <w:szCs w:val="24"/>
        </w:rPr>
      </w:pPr>
      <w:r>
        <w:rPr>
          <w:rFonts w:hint="eastAsia"/>
          <w:sz w:val="24"/>
          <w:szCs w:val="24"/>
        </w:rPr>
        <w:t xml:space="preserve">（二）</w:t>
      </w:r>
      <w:r>
        <w:rPr>
          <w:sz w:val="24"/>
          <w:szCs w:val="24"/>
        </w:rPr>
        <w:t xml:space="preserve">服务内容及要求/货物技术要求</w:t>
      </w:r>
      <w:r/>
    </w:p>
    <w:p>
      <w:pPr>
        <w:pStyle w:val="946"/>
        <w:ind w:left="0"/>
        <w:spacing w:line="440" w:lineRule="exact"/>
        <w:rPr>
          <w:rFonts w:hint="eastAsia"/>
          <w:b/>
          <w:bCs/>
          <w:lang w:eastAsia="zh-CN"/>
        </w:rPr>
      </w:pPr>
      <w:r>
        <w:rPr>
          <w:rFonts w:hint="eastAsia"/>
          <w:b/>
          <w:bCs/>
          <w:lang w:eastAsia="zh-CN"/>
        </w:rPr>
      </w:r>
      <w:r/>
    </w:p>
    <w:p>
      <w:pPr>
        <w:pStyle w:val="946"/>
        <w:ind w:left="0"/>
        <w:spacing w:line="440" w:lineRule="exact"/>
        <w:rPr>
          <w:rFonts w:ascii="Times New Roman" w:hAnsi="Times New Roman"/>
          <w:b/>
          <w:bCs/>
          <w:lang w:eastAsia="zh-CN"/>
        </w:rPr>
      </w:pPr>
      <w:r>
        <w:rPr>
          <w:rFonts w:hint="eastAsia"/>
          <w:b/>
          <w:bCs/>
          <w:lang w:eastAsia="zh-CN"/>
        </w:rPr>
        <w:t xml:space="preserve">包1：</w:t>
      </w:r>
      <w:r>
        <w:rPr>
          <w:rFonts w:hint="eastAsia" w:ascii="Times New Roman" w:hAnsi="Times New Roman"/>
          <w:b/>
          <w:bCs/>
          <w:lang w:eastAsia="zh-CN"/>
        </w:rPr>
        <w:t xml:space="preserve">公寓物业管理服务要求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一、项目概况</w:t>
      </w:r>
      <w:r/>
    </w:p>
    <w:p>
      <w:pPr>
        <w:ind w:firstLine="480"/>
        <w:spacing w:line="440" w:lineRule="exact"/>
        <w:widowControl/>
        <w:rPr>
          <w:rFonts w:hint="eastAsia" w:ascii="宋体" w:hAnsi="宋体" w:cs="宋体"/>
          <w:color w:val="000000"/>
          <w:sz w:val="24"/>
          <w:szCs w:val="24"/>
        </w:rPr>
      </w:pPr>
      <w:r>
        <w:rPr>
          <w:rFonts w:hint="eastAsia" w:ascii="宋体" w:hAnsi="宋体" w:cs="仿宋_GB2312"/>
          <w:sz w:val="24"/>
          <w:szCs w:val="24"/>
        </w:rPr>
        <w:t xml:space="preserve">常州信息职业技术学院坐落于常州高职园区，学校占地916.61亩，建筑面积34.7</w:t>
      </w:r>
      <w:r>
        <w:rPr>
          <w:rFonts w:ascii="宋体" w:hAnsi="宋体" w:cs="仿宋_GB2312"/>
          <w:sz w:val="24"/>
          <w:szCs w:val="24"/>
        </w:rPr>
        <w:t xml:space="preserve">6</w:t>
      </w:r>
      <w:r>
        <w:rPr>
          <w:rFonts w:hint="eastAsia" w:ascii="宋体" w:hAnsi="宋体" w:cs="仿宋_GB2312"/>
          <w:sz w:val="24"/>
          <w:szCs w:val="24"/>
        </w:rPr>
        <w:t xml:space="preserve">万平方米，在校生10000余人，专任教师近600人。学校物业服务分为公寓管理和楼宇管理两部分，目前总服务面积约</w:t>
      </w:r>
      <w:r>
        <w:rPr>
          <w:rFonts w:ascii="宋体" w:hAnsi="宋体" w:cs="仿宋_GB2312"/>
          <w:sz w:val="24"/>
          <w:szCs w:val="24"/>
        </w:rPr>
        <w:t xml:space="preserve">32</w:t>
      </w:r>
      <w:r>
        <w:rPr>
          <w:rFonts w:hint="eastAsia" w:ascii="宋体" w:hAnsi="宋体" w:cs="仿宋_GB2312"/>
          <w:sz w:val="24"/>
          <w:szCs w:val="24"/>
        </w:rPr>
        <w:t xml:space="preserve">万平方米，其中公寓管理范围包括1#—12#学生公寓和2号楼辅楼，服务面积约12万平方米；楼宇管理范围包括教学楼、图文楼、实训楼、文体楼、行政楼、工业互联网产学研创中心以及继续教育学院校区、信息产业园，服务面积约</w:t>
      </w:r>
      <w:r>
        <w:rPr>
          <w:rFonts w:ascii="宋体" w:hAnsi="宋体" w:cs="仿宋_GB2312"/>
          <w:sz w:val="24"/>
          <w:szCs w:val="24"/>
        </w:rPr>
        <w:t xml:space="preserve">20</w:t>
      </w:r>
      <w:r>
        <w:rPr>
          <w:rFonts w:hint="eastAsia" w:ascii="宋体" w:hAnsi="宋体" w:cs="仿宋_GB2312"/>
          <w:sz w:val="24"/>
          <w:szCs w:val="24"/>
        </w:rPr>
        <w:t xml:space="preserve">万平方米。</w:t>
      </w:r>
      <w:r>
        <w:rPr>
          <w:rFonts w:hint="eastAsia" w:ascii="宋体" w:hAnsi="宋体" w:cs="仿宋_GB2312"/>
          <w:color w:val="000000"/>
          <w:sz w:val="24"/>
          <w:szCs w:val="24"/>
        </w:rPr>
        <w:t xml:space="preserve">学校公寓物业服务需求具体如下：</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（一）公寓物业管理服务范围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12#学生公寓，共12栋楼，每栋学生公寓楼均为七层，服务面积约3万平方米。每栋学生公寓楼内均设有一站式社区活动用房（7号公寓除外），每个楼层均有两间公共卫生间，一层均设有一间公共淋浴房，一层五层均设有开水炉。各学生公寓楼内宿舍数量情况如下： 1#学生公寓（男生）建筑面积约9200平方米，有217间六人间；2#学生公寓（男生）建筑面积约8500平方米，有180间六人间，3#学生公寓（男生）建筑面积约9100平方米，有217间六人间，4#学生（男生）公寓有建筑面积约9</w:t>
      </w:r>
      <w:r>
        <w:rPr>
          <w:rFonts w:ascii="宋体" w:hAnsi="宋体" w:cs="仿宋_GB2312"/>
          <w:color w:val="000000"/>
          <w:sz w:val="24"/>
          <w:szCs w:val="24"/>
        </w:rPr>
        <w:t xml:space="preserve">5</w:t>
      </w:r>
      <w:r>
        <w:rPr>
          <w:rFonts w:hint="eastAsia" w:ascii="宋体" w:hAnsi="宋体" w:cs="仿宋_GB2312"/>
          <w:color w:val="000000"/>
          <w:sz w:val="24"/>
          <w:szCs w:val="24"/>
        </w:rPr>
        <w:t xml:space="preserve">00平方米，247间五人间，5#学生公寓（男生）建筑面积约8</w:t>
      </w:r>
      <w:r>
        <w:rPr>
          <w:rFonts w:ascii="宋体" w:hAnsi="宋体" w:cs="仿宋_GB2312"/>
          <w:color w:val="000000"/>
          <w:sz w:val="24"/>
          <w:szCs w:val="24"/>
        </w:rPr>
        <w:t xml:space="preserve">5</w:t>
      </w:r>
      <w:r>
        <w:rPr>
          <w:rFonts w:hint="eastAsia" w:ascii="宋体" w:hAnsi="宋体" w:cs="仿宋_GB2312"/>
          <w:color w:val="000000"/>
          <w:sz w:val="24"/>
          <w:szCs w:val="24"/>
        </w:rPr>
        <w:t xml:space="preserve">00平方米，有191间五人间，6#学生公寓（男生）建筑面积约9</w:t>
      </w:r>
      <w:r>
        <w:rPr>
          <w:rFonts w:ascii="宋体" w:hAnsi="宋体" w:cs="仿宋_GB2312"/>
          <w:color w:val="000000"/>
          <w:sz w:val="24"/>
          <w:szCs w:val="24"/>
        </w:rPr>
        <w:t xml:space="preserve">5</w:t>
      </w:r>
      <w:r>
        <w:rPr>
          <w:rFonts w:hint="eastAsia" w:ascii="宋体" w:hAnsi="宋体" w:cs="仿宋_GB2312"/>
          <w:color w:val="000000"/>
          <w:sz w:val="24"/>
          <w:szCs w:val="24"/>
        </w:rPr>
        <w:t xml:space="preserve">00平方米，有247间</w:t>
      </w:r>
      <w:r>
        <w:rPr>
          <w:rFonts w:hint="eastAsia" w:ascii="宋体" w:hAnsi="宋体" w:cs="仿宋_GB2312"/>
          <w:color w:val="000000"/>
          <w:sz w:val="24"/>
          <w:szCs w:val="24"/>
        </w:rPr>
        <w:t xml:space="preserve">五人间。8#学生公寓（女生）建筑面积约9200平方米，有189间六人间；9#学生公寓（女生）建筑面积约8200平方米，有161间六人间；10#学生公寓（女生）建筑面积约9000平方米，有217间六人间；11#学生公寓（女生）建筑面积约8500平方米，有181间六人间；12#学生公寓（男生）建筑面积约9100平方米，有217间六人间。7#学生公寓建筑面积约6677平方米，服务对象主要为留学生、部分中国学生以及校企合作教师等，分为甲/乙/丙/丁四个独立单元，每个单元楼层为六层，每单元均有12间套房，共计48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二、项目管理需求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（一）公寓物业服务管理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1、学生公寓物业管理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（1）学生公寓门卫工作、安全保卫工作和有关服务工作；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（2）学生公寓内水电、门窗、家具等所有设施、设备的管理工作；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（3）学生公寓内的水电管理（包括生活用水、饮用水、宿舍用电管理系统等）；</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（4）学生公寓内公共区域及公寓外周边的安全检查；</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（5）学生公寓内公共区域（含开水炉、饮水机、洗衣机、浴室）及公寓外周边的设施设备和建筑物的报修和验收；</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（6）学生寝室内安全管理：检查、教育、整改工作；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（7）协助学生寝室内</w:t>
      </w:r>
      <w:r>
        <w:rPr>
          <w:rFonts w:hint="eastAsia" w:ascii="宋体" w:hAnsi="宋体" w:cs="宋体"/>
          <w:sz w:val="24"/>
          <w:szCs w:val="24"/>
        </w:rPr>
        <w:t xml:space="preserve">（</w:t>
      </w:r>
      <w:r>
        <w:rPr>
          <w:rFonts w:hint="eastAsia" w:ascii="宋体" w:hAnsi="宋体" w:cs="仿宋_GB2312"/>
          <w:color w:val="000000"/>
          <w:sz w:val="24"/>
          <w:szCs w:val="24"/>
        </w:rPr>
        <w:t xml:space="preserve">含家具、空调、风扇、门窗）等设施设备和建筑物的报修和验收；</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（8）学生公寓内公共区域及公寓外围（宿舍楼外墙至宿舍道路路侧石之间）周边范围的卫生保洁，西辅房一楼二楼卫生间保洁；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（9）学生公寓空房间的残物清理（学生遗留物保管）、保洁、报修和验收工作；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（10）学生寝室内卫生管理：检查、教育、整改工作；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（11）经常性进行巡查，维护公寓正常秩序，对学生违规行为进行教育、引导和管理，并向学校反馈；</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（12）学生晚上就寝检查，对晚归和不归学生及时报告；</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（13）对学生公寓内发生的突发事件的应急处置并及时报告；</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（14）学生公寓人文环境建设：积极开展文明公寓创建活动、提供特色服务、开展“认人”比赛活动、检查乱张贴现象并取缔等；</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（15）学生床上用品洗涤工作；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（16）学生公寓屋面雨水管道日常巡查及疏通工作，整体疏通每学期不少于2次；</w:t>
      </w:r>
      <w:r/>
    </w:p>
    <w:p>
      <w:pPr>
        <w:ind w:firstLine="480"/>
        <w:spacing w:line="440" w:lineRule="exact"/>
        <w:widowControl/>
        <w:rPr>
          <w:rFonts w:hint="eastAsia" w:ascii="宋体" w:hAnsi="宋体" w:cs="仿宋_GB2312"/>
          <w:color w:val="000000"/>
          <w:sz w:val="24"/>
          <w:szCs w:val="24"/>
        </w:rPr>
      </w:pPr>
      <w:r>
        <w:rPr>
          <w:rFonts w:hint="eastAsia" w:ascii="宋体" w:hAnsi="宋体" w:cs="仿宋_GB2312"/>
          <w:color w:val="000000"/>
          <w:sz w:val="24"/>
          <w:szCs w:val="24"/>
        </w:rPr>
        <w:t xml:space="preserve">（17）学生公寓出入口户外雨棚清洗工作，每学期不少于1次；</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（18）按照学校要求，做好学生住宿和退宿工作、学生离校返校工作、新生报到工作、寒暑假和节假日放假和开学返校工作、寒暑假学生住宿管理工作；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（19）按照学校要求，针对以上物业服务管理工作内容制定或完善各项制度、规范、流程、职责、台账和检查考核办法；</w:t>
      </w:r>
      <w:r/>
    </w:p>
    <w:p>
      <w:pPr>
        <w:ind w:firstLine="480"/>
        <w:spacing w:line="440" w:lineRule="exact"/>
        <w:widowControl/>
        <w:rPr>
          <w:rFonts w:ascii="宋体" w:hAnsi="宋体" w:cs="仿宋_GB2312"/>
          <w:color w:val="000000"/>
          <w:sz w:val="24"/>
          <w:szCs w:val="24"/>
        </w:rPr>
      </w:pPr>
      <w:r>
        <w:rPr>
          <w:rFonts w:hint="eastAsia" w:ascii="宋体" w:hAnsi="宋体" w:cs="仿宋_GB2312"/>
          <w:color w:val="000000"/>
          <w:sz w:val="24"/>
          <w:szCs w:val="24"/>
        </w:rPr>
        <w:t xml:space="preserve">（20）根据学校整体安排，协助做好各类校园活动宣传等；</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（21）其他属于物业服务管理工作范畴内的工作。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三、服务期限及付款方式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校物业管理服务期自合同签订之日起三年，合同一年一签，合同期内经学校考核合格后可续签下一年合同，最多续签两次。合同执行期间，合同总价不予调整。若因学校发展需要，在物业管理服务所需增加费用由学校承担，但所承担的金额不得超过原合同采购金额的百分之十。如超过，学校将有权重新启动招标程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2.（1）预付款：合同签订并收到发票后，10个工作日内，支付10%；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（2）每三个月：收到发票后，10个工作日内，支付合同价的20%。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剩余合同款在合同期末根据每月考核扣款情况，按实扣除所有月考核扣款，以扣除扣款后的余款作为最终实际应支付的款项。</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如剩余合同款全扣除后无法弥补考核扣款的，在最后一期服务费中扣除无法弥补的金额。</w:t>
      </w:r>
      <w:r/>
    </w:p>
    <w:p>
      <w:pPr>
        <w:ind w:firstLine="480"/>
        <w:spacing w:line="440" w:lineRule="exact"/>
        <w:widowControl/>
        <w:rPr>
          <w:rFonts w:ascii="宋体" w:hAnsi="宋体" w:cs="宋体"/>
          <w:color w:val="000000"/>
          <w:sz w:val="24"/>
          <w:szCs w:val="24"/>
        </w:rPr>
      </w:pPr>
      <w:r>
        <w:rPr>
          <w:rFonts w:hint="eastAsia" w:ascii="宋体" w:hAnsi="宋体" w:cs="仿宋_GB2312"/>
          <w:color w:val="000000"/>
          <w:sz w:val="24"/>
          <w:szCs w:val="24"/>
        </w:rPr>
        <w:t xml:space="preserve">四、项目预算：381.5607万元/年  </w:t>
      </w:r>
      <w:r/>
    </w:p>
    <w:p>
      <w:pPr>
        <w:jc w:val="right"/>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 附件</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常州信息职业技术学院公寓物业管理服务要求</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一、物业管理的服务范围及内容：</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026"/>
        <w:gridCol w:w="648"/>
        <w:gridCol w:w="1067"/>
        <w:gridCol w:w="1958"/>
        <w:gridCol w:w="3097"/>
      </w:tblGrid>
      <w:tr>
        <w:trPr>
          <w:jc w:val="center"/>
          <w:trHeight w:val="567"/>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序号</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岗位</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人数</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负责范围</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基本要求</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其他要求</w:t>
            </w:r>
            <w:r/>
          </w:p>
        </w:tc>
      </w:tr>
      <w:tr>
        <w:trPr>
          <w:jc w:val="center"/>
          <w:trHeight w:val="1781"/>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物业管理</w:t>
            </w:r>
            <w:r/>
          </w:p>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负责人</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年龄在45周岁（含）以下</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品行端正，具备物业管理工作经验，身心健康，具有大专（含）以上文化程度，有丰富的管理经验。政治思想素质高，工作责任性强，熟悉物业管理行业的法律、法规、政策和物业管理工作流程，有较强的管理能力和良好的组织、沟通与协调能力。未经采购人同意，不得更换项目负责人。</w:t>
            </w:r>
            <w:r/>
          </w:p>
        </w:tc>
      </w:tr>
      <w:tr>
        <w:trPr>
          <w:jc w:val="center"/>
          <w:trHeight w:val="567"/>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2</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内勤</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2</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年龄45周岁（含）以下</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身心健康，具有大专（含）以上文化程度。有较强的组织管理能力，能熟练操作电脑进行文字处理。</w:t>
            </w:r>
            <w:r/>
          </w:p>
        </w:tc>
      </w:tr>
      <w:tr>
        <w:trPr>
          <w:jc w:val="center"/>
          <w:trHeight w:val="567"/>
        </w:trPr>
        <w:tc>
          <w:tcPr>
            <w:tcW w:w="723"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3</w:t>
            </w:r>
            <w:r/>
          </w:p>
        </w:tc>
        <w:tc>
          <w:tcPr>
            <w:tcW w:w="1026"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管理员</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46</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男性年龄不超过60周岁（含），女性年龄不超过55周岁（含），其中50周岁（含）以下人数比例不低于40％。</w:t>
            </w:r>
            <w:r/>
          </w:p>
        </w:tc>
        <w:tc>
          <w:tcPr>
            <w:tcW w:w="3097"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1.实行24小时值班，除七号学生公寓外每班在岗人数至少2人；其他情况按采购人要求执行。</w:t>
            </w:r>
            <w:r/>
          </w:p>
          <w:p>
            <w:pPr>
              <w:spacing w:line="440" w:lineRule="exact"/>
              <w:widowControl/>
              <w:rPr>
                <w:rFonts w:ascii="宋体" w:hAnsi="宋体" w:cs="宋体"/>
                <w:color w:val="000000"/>
                <w:sz w:val="24"/>
                <w:szCs w:val="24"/>
              </w:rPr>
            </w:pPr>
            <w:r>
              <w:rPr>
                <w:rFonts w:hint="eastAsia" w:ascii="宋体" w:hAnsi="宋体" w:cs="宋体"/>
                <w:color w:val="000000"/>
                <w:sz w:val="24"/>
                <w:szCs w:val="24"/>
              </w:rPr>
              <w:t xml:space="preserve">2身心健康，无犯罪记录；工作细致认真，有较强的工作责任心、服务意识。</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3.有爱心，关心学生成长，乐于为学生服务。</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5.能独立进行WORD、EXCEL等基本的电脑操作。</w:t>
            </w:r>
            <w:r/>
          </w:p>
        </w:tc>
      </w:tr>
      <w:tr>
        <w:trPr>
          <w:jc w:val="center"/>
          <w:trHeight w:val="567"/>
        </w:trPr>
        <w:tc>
          <w:tcPr>
            <w:tcW w:w="723" w:type="dxa"/>
            <w:vAlign w:val="center"/>
            <w:vMerge w:val="continue"/>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1026" w:type="dxa"/>
            <w:vAlign w:val="center"/>
            <w:vMerge w:val="continue"/>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64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1067"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东辅房</w:t>
            </w:r>
            <w:r/>
          </w:p>
        </w:tc>
        <w:tc>
          <w:tcPr>
            <w:tcW w:w="195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男性年龄不超过60周岁（含），女性年龄不超过55周岁（含），其中50周岁（含）以下人数比例不低于40％。</w:t>
            </w:r>
            <w:r/>
          </w:p>
        </w:tc>
        <w:tc>
          <w:tcPr>
            <w:tcW w:w="3097"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1.执行24小时值班，每班在岗人数2人；其他情况按采购人要求执行。</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2.身心健康，无犯罪记录；有乐于服务，吃苦耐劳的精神。</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3.有良好的团队合作、沟通和管理能力，会说普通话。</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4,能独立进行WORD、EXCEL等基本的电脑操作。</w:t>
            </w:r>
            <w:r/>
          </w:p>
        </w:tc>
      </w:tr>
      <w:tr>
        <w:trPr>
          <w:jc w:val="center"/>
          <w:trHeight w:val="567"/>
        </w:trPr>
        <w:tc>
          <w:tcPr>
            <w:tcW w:w="7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4</w:t>
            </w:r>
            <w:r/>
          </w:p>
        </w:tc>
        <w:tc>
          <w:tcPr>
            <w:tcW w:w="102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保洁员</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24</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1-12号学生公寓</w:t>
            </w:r>
            <w:r/>
          </w:p>
        </w:tc>
        <w:tc>
          <w:tcPr>
            <w:tcW w:w="195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年龄在60周岁（不含）以下，其中50周岁（含）以下人数比例不低于20％，</w:t>
            </w:r>
            <w:r/>
          </w:p>
        </w:tc>
        <w:tc>
          <w:tcPr>
            <w:tcW w:w="309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品行端正，身心健康，无犯罪记录；有乐于服务，吃苦耐劳的精神。了解本岗位工作规范和流程，能按工作要求和质量标准独立完成工作，经培训后上岗。</w:t>
            </w:r>
            <w:r/>
          </w:p>
        </w:tc>
      </w:tr>
      <w:tr>
        <w:trPr>
          <w:jc w:val="center"/>
          <w:trHeight w:val="567"/>
        </w:trPr>
        <w:tc>
          <w:tcPr>
            <w:gridSpan w:val="2"/>
            <w:tcW w:w="17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合   计</w:t>
            </w:r>
            <w:r/>
          </w:p>
        </w:tc>
        <w:tc>
          <w:tcPr>
            <w:tcW w:w="648"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76</w:t>
            </w:r>
            <w:r/>
          </w:p>
        </w:tc>
        <w:tc>
          <w:tcPr>
            <w:gridSpan w:val="3"/>
            <w:tcW w:w="6122"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本表各岗位人数为最低人数要求</w:t>
            </w:r>
            <w:r/>
          </w:p>
        </w:tc>
      </w:tr>
    </w:tbl>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（一）岗位配置表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以上配置人员为本项目物业服务总人数，供应商提供的员工人数不得少于此表人数；所有服务人员须身心健康、适合校园后勤管理工作；有岗前培训机构，服务人员100%经过岗前或在岗培训合格才能独立在岗；人员必须相对固定，所有人员的基本资料（包括身份证、学历证书、技能证书等）上岗前必须报学校管理部门备案，经同意后方能上岗。人员如有变化也须报学校管理部门同意。学校可根据实际使用需求对供应商承接的物业管理岗位数量进行调整，学校根据调整后的实际岗位数量按合同进行结算，供应商无条件服从学校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（二）学生公寓管理项目负责人、 内勤职责及要求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1、负责学校1#～12#学生公寓物业服务的全面工作。工作时间与校内行政办公人员一致；工作办公室地点由学校统一指定安排，电脑、打印机等办公设备均由物业公司自行提供。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2、根据物业管理委托合同和有关物业管理的法规、政策，组织员工向学校提供物业服务。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3、严格执行学校各项管理制度；工作有计划、总结。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4、根据学校要求负责制定健全各类规章制度和防范措施。指导物业公司处置公共突发事件的组织指挥和各种处置方法的拟制、演练。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5、对学校发生的各类安全事故和隐患要认真核实、区分责任，提出处理建议。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6、检查学生公寓楼内清洁卫生和环境美化工作，建立和完善行之有效管理运作流程。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7、定期组织工作例会，通过会议贯彻物业管理质量方针，落实各项工作，及时协调各项工作关系，对员工进行培训和教育，促进服务质量的提高；</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8、每月要全面对所管理的物业区域进行巡视，以便全面检查服务工作质量情况；</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9、负责对所有物业服务人员的业务培训指导和绩效考核。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10、服从学校工作安排，负责完成学校布置的其他临时性任务。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（三）学生公寓管理的人员的基本要求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1、项目负责人：年龄在45周岁（含）以下，身心健康，具有大专（含）以上文化程度，有丰富的管理经验。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2、内勤：年龄在45周岁（含）以下，身心健康，具有大专（含）以上文化程度。有较强的组织管理能力，能熟练操作电脑进行文字处理。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管理员：⑴男性年龄不超过60周岁（含），女性年龄不超过55周岁（含），其中50周岁（含）以下人数比例不低于40％。⑵身心健康，无犯罪记录；工作细致认真，有较强的工作责任心、服务意识。⑶有爱心，关心学生成长，乐于为学生服务。⑷有良好的团队合作、沟通和管理能力，会说普通话；⑸能独立进行WORD、EXCEL等基本的电脑操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4、保洁员：年龄在63周岁（含）以下，其中50周岁（含）以下人数比例不低于20％，身心健康，无犯罪记录；有乐于服务，吃苦耐劳的精神。</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（四）学生公寓管理员的岗位职责及要求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学生公寓管理员必须统一服装，佩戴工号牌上岗。要按照学校相关学生管理等制度，认真履行服务及管理职责。主要负责学生公寓区的安全管理、服务管理、秩序管理、卫生管理等相关工作，主要包括：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1、安全管理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（1）必须建立值班、消防等安全专项制度；有安全用电、用火的相关管理规定及执行情况记录；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（2）管理员岗位职责、工作规范张贴在公寓公共场所明显位置。主要制度必须装订成册。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（3）建立安全管理网络，将楼内消防安全责任人、管理人，责任落实到人到岗。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（4）制定消防安全检查具体计划，并落实到位。</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（5）定期检查公寓内部违章用火用电/私拉乱接电线现象：室内严禁使用电炉、酒精炉、电热毯等大功率违章物品，扣留违章物品有记录、有规定。对于违禁电器按规范做好收缴、保管、领取等工作。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（6）发现公寓楼内有违反法律法规的行为要及时向校保卫处报告，并配合做好学生公寓周边环境治安管理工作。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（7）建立公寓楼内紧急情况处理预案。</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（8）管理员必须熟练掌握消防器材使用及火灾逃生方法，熟悉报警报案电话及程序。</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2、值班管理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（1）管理员要统一着装，挂牌上岗。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（2）实行24小时值班制度，除7号学生公寓外每栋公寓每班在岗人数至少2人，交接班有记录。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（3）管理服务人员应熟悉管区内学生80%以上。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（4）公寓值班制度记录、资料齐全，台账清楚。台账包括：维修登记；卫生、安全检查登记；晚归登记；来客登记；借用物品登记；值班记录；失物认领登记；大件物品进出登记等。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（5）外来人员进出宿舍有规定、有登记。</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（6）来访来客要询问并凭有效证件登记，不能随意进入学生房间。</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（7）公寓区域内无逗留闲杂人员、没有无证摊点，无进公寓楼内推销等经商现象。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（8）女生（男生）不得进入男生（女生）公寓。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3、其他具体要求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（1）进行门岗管理，检查进出人员胸牌。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（2）按作息时间关锁大门、熄灯、公共钥匙和学生公寓钥匙的使用与保管并做好查房工作。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要经常深入学生公寓了解和掌握住宿生的思想、心理和行为变化，做好教育、疏导工作，培养良好生活和卫生习惯，促进学生公寓的精神文明建设。对学生公寓内存在的问题要做到“三及时”，即“及时发现，及时处置，及时上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（4）公寓内无火灾、失窃、触电、斗殴、赌博、传播不良文化等事件和违法行为。</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（5）要掌握学校规章制度，坚持原则，讲究方法；礼貌待人，说话和气，规范接待用语；对学生提出的问题要耐心解答，全心全意为学生服务，全力做好各项服务工作。无论任何原因，不得与学生争吵、冲突。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（6）仔细检查与巡视，保障学生人身和财物安全。严禁异性、走读或非本楼住宿人员进入学生公寓；做到“早、午、夜”人数三校对，杜绝留宿、夜不归宿、打闹、偷盗等情况。</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（7）按学校学生处要求公平公正地做好学生宿舍内务、卫生等情况的检查，并形成公寓检查日报表。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（8）随时维护公寓楼周边车辆停放秩序，严禁乱停乱放。</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做好防火、防盗、防触电、防踩踏等预防措施，消防设施设备设置明显的提示标志；定期对学生公寓内的消防设施设备、公用电器、公共设施等进行巡视、报修；加强对消防栓、灭火器、应急通道及其设备的巡视与检查，保证楼内消防设施设备、公用电器、公共设施等的完好，如有异常及时上报学校管理部门，并做好跟踪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（10）学生公寓管理员必须严格遵守校纪校规，按时上下岗，坚守岗位，值班室24小时有人值班，做好台账，值班期间严禁窜岗、离岗。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（11）服从学校工作安排，积极主动完成学校布置的其他临时性任务。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（五）学生公寓保洁员的岗位职责及要求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学生公寓保洁员必须统一服装，佩戴工号牌上岗，认真做好责任区的各项清洁工作，主要包括：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1、环境卫生制度健全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（1）学生公寓制定环境卫生管理制度、公共部位检查、室内卫生检查有专项要求。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（2）按照学校要求对公寓进行定期消杀；配合学校卫生管理部门对学生开展传染病预防的宣传和按规定实施相关措施。</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（3）配合学生处做好宿舍环境检查评比等工作，并设有卫生评比公示栏。</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2、公寓楼内清洁管理的要求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（1）保洁人员上岗前必须进行岗前培训。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（2）保洁人员应有明确的岗位职责和工作流程。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（3）卫生清洁工具及配套设备齐全，公寓清洁卫生应每天至少开展三次（上、中、下午各一次），特殊时期加强清洁频率，及时清除楼内外垃圾，不得堆积。</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（4）制定环境卫生检查标准，有记录。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（5）公寓环境卫生满意度应达到80%以上。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3、公寓楼内公共部位环境标准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（1）宿舍区域、楼内公共场所（地、墙、走廊、厕所等）环境整洁干净，无污迹、无积灰、无异味、无蛛网。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（2）楼内无蚊蝇、蟑螂、鼠害。春秋季采取适当措施对楼内公共区域进行整体消毒，有定期消杀计划、记录。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（3）楼道、楼梯、地面、墙面、电梯间清洁，无破损，无卫生死角。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（4）楼道内外无私拉电线或网线。</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（5）公共厕所、盥洗间标识齐全、设备完好；室内空气流通无异味；便池无污垢，隔板干净，瓷砖面洁白；墙面和天花板无灰尘无蜘蛛网；下水道畅通。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4、其他具体要求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坚守工作岗位，随时在保洁工作区域内（包括宿舍楼周围绿化带）进行巡视，发现垃圾、纸屑等立即进行清除，保证目视地面无杂物、无尘土、无积水、无污渍；墙面干净整洁，无灰尘、蜘蛛网、无乱贴乱画；区域内无废弃杂物、无乱堆乱放、无卫生死角、无异味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日常清洁卫生：需每日全面、细致的对卫生区域进行打扫、除尘，对学生公寓周边绿化带保洁、楼道、公共区域卫生、垃圾收集清运、绿化保洁。(公共卫生工具、垃圾袋等保洁类用品均由物业公司负责供应；学生宿舍内部相关用品由学校提供，物业公司负责发放)；</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（3）对楼道、门窗玻璃保洁的具体要求：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①楼道每天清扫一次，整日保洁。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②楼梯栏杆、扶手每天擦拭一次。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③楼内门厅、防火门、消防箱、走廊玻璃、各类标识标牌等每周擦拭一次。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④楼道天棚、墙壁每半月清扫一次。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⑤楼道、门上乱贴、乱画当日及时清理。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⑥门窗玻璃明净，天花板洁净无明显污渍，房角和设施设备无尘土和蜘蛛网。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⑦及时清理学生公寓门外生活垃圾和散落垃圾，并将垃圾堆放在学校指定区域。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（4）对公共卫生间、公共浴室、开水房、洗衣房保洁的具体要求: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①卫生间便池清洗干净。</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②卫生间纸篓里的垃圾袋每天清理更换。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③卫生间、浴室、洗衣房地 面拖洗干净，不留垃圾和污渍，对出现的“牛皮癣”及时清理。每日对洗衣房设备外围、洗衣皮圈等进行擦洗消杀以及对室内落水管、井内杂物巡视清理。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④每周需对卫生间便池用清洁剂清洗一次，保持无尿垢、无臭味。</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⑤保持开水房地面墙面干净、瓷砖无锈渍、室内无异味，垃圾清理及时，设备完好无损，金属器具无锈迹、无长流水、无堵塞、无滴漏现象。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（5）学生离校后（包括上岗实习师生）的宿舍卫生清理标准要符合新生接待要求。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（6）做好楼内一站式社区活动用房、物业管理站内、值班室内的卫生清洁工作。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（7）发现楼梯间灯不亮或公共设施可能存在安全隐患时，要及时向学校管理部门、学生处汇报。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（8）工作时间内保证按时上下岗，不得擅自离岗、不得私自使用办公用品。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（9）服从学校工作安排，完成学校交办的其他临时性工作。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（六）学生床上用品洗涤管理员的岗位职责及要求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1、日常工作安排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（1）每周一上午8：30前，学生床上用品洗涤管理员提前将洗涤通知放到指定公寓并告知公寓管理员；</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（2）洗涤管理员每天中午12：00-13：00（按学生上课时间变动）到指定公寓收取学生需要洗涤的床上用品；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（3）学生床上用品（被套、床单、枕套）以宿舍为单位，实行每月每幢公寓免费洗涤一次，确保每位学生都能享受免费洗涤服务；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（4）洗涤管理员在收取洗件时，以宿舍为单位进行编号并登记。收件时，由学生送件至所在公寓服务站并签字；洗好后，由洗涤管理员送件至该公寓服务站，学生取件并签字。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（5）周一到周四收、发洗件同时进行，周五只发件不再收件。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（1）必须统一服装，佩戴工号牌上岗，在岗期间应仪表整洁，严守工作纪律，不在岗位上做与工作无关的事情。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（2）为全校学生提供床上用品的免费洗涤服务，做到每月每幢公寓轮洗一次；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（3）每周一到周五中午，按时到服务点收取床上用品，洗涤干净后，次日按宿舍号及时送到学生手中，保证零失误，无投诉现象；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（4）按操作规范操作洗涤机器，确保安全。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（5）确保洗涤设备完好，有异常及时报修；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（6）有公益劳动学生的情况下，要指导公益劳动学生一起完成任务；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（7）按要求做好疫情防控、床上用品的洗涤日常消毒工作。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（8）下班前切断电源、水源、气源。</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（9）完成领导安排的其他工作。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（七）本项目人员的管理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1、公寓的管理员、保洁员出现包括但不限于以下情况的，相关人员退回供应商处理。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（1）在防火、防用电事故、防人身伤害及管理等方面出现失误，造成后果者。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（2）突发事件隐瞒不报或者处置不当、掩盖真相，造成不良后果，经调查负有直接责任者。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（3）私藏、私拿、索取校内物品的和未经许可擅自买卖废品造成恶劣影响的行为者。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（4）工作态度、业绩及服务能力，经培训、提醒，均无改进、提高或不服从管理者。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（5）因个人原因不能正常工作或造成学校经济或声誉损失者。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（6）其他未尽事项由合同约束，相关管理和考核标准由学校管理部门负责解释。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（八）其他说明</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项目中学生公寓物业管理服务的工作目标和要求参照《高等学校学生公寓管理服务规范》执行；属于设备设施部分、配合部分由学校负责完成；服务外包单位在学生公寓楼内已配置的设备设施下，完成包括学生公寓的安全管理、服务管理、秩序管理、卫生管理等，服务外包单位必须响应和完成学校要求的各项工作任务，具体见考核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二、物业服务管理考核要求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物业考核参照《常州信息职业技术学院学生公寓物业管理考核细则》执行，由学校管理部门与学工处共同负责对供应商的考核管理工作。每月三种检查考核得分按比例之和为物业管理月度考核综合分，其中日常检查分数占50%，满意度测评占30%，月度专项检查占20%。</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2、供应商如拒绝配合考核，学校单独组织考核，考核结果具有同等效力。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3、供应商连续两个月考核分数低于70分或一年内累计三个月考核分数低于70分，学校有权单方面终止合同。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三、其他要求</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1、供应商所用人员必须按照相关劳动法律法规的规定执行，如遇到工资纠纷问题由供应商自行解决。</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2、供应商</w:t>
      </w:r>
      <w:r>
        <w:rPr>
          <w:rFonts w:hint="eastAsia" w:ascii="宋体" w:hAnsi="宋体" w:cs="宋体"/>
          <w:color w:val="000000"/>
          <w:spacing w:val="2"/>
          <w:sz w:val="24"/>
          <w:szCs w:val="24"/>
          <w:lang w:eastAsia="zh-TW"/>
        </w:rPr>
        <w:t xml:space="preserve">根据专业服务的要求</w:t>
      </w:r>
      <w:r>
        <w:rPr>
          <w:rFonts w:hint="eastAsia" w:ascii="宋体" w:hAnsi="宋体" w:cs="宋体"/>
          <w:color w:val="000000"/>
          <w:spacing w:val="2"/>
          <w:sz w:val="24"/>
          <w:szCs w:val="24"/>
        </w:rPr>
        <w:t xml:space="preserve">，所有管理人员以及保洁</w:t>
      </w:r>
      <w:r>
        <w:rPr>
          <w:rFonts w:hint="eastAsia" w:ascii="宋体" w:hAnsi="宋体" w:cs="宋体"/>
          <w:color w:val="000000"/>
          <w:spacing w:val="2"/>
          <w:sz w:val="24"/>
          <w:szCs w:val="24"/>
          <w:lang w:eastAsia="zh-TW"/>
        </w:rPr>
        <w:t xml:space="preserve">服务人员</w:t>
      </w:r>
      <w:r>
        <w:rPr>
          <w:rFonts w:hint="eastAsia" w:ascii="宋体" w:hAnsi="宋体" w:cs="宋体"/>
          <w:color w:val="000000"/>
          <w:spacing w:val="2"/>
          <w:sz w:val="24"/>
          <w:szCs w:val="24"/>
        </w:rPr>
        <w:t xml:space="preserve">必须</w:t>
      </w:r>
      <w:r>
        <w:rPr>
          <w:rFonts w:hint="eastAsia" w:ascii="宋体" w:hAnsi="宋体" w:cs="宋体"/>
          <w:color w:val="000000"/>
          <w:spacing w:val="2"/>
          <w:sz w:val="24"/>
          <w:szCs w:val="24"/>
          <w:lang w:eastAsia="zh-TW"/>
        </w:rPr>
        <w:t xml:space="preserve">要统一着装、佩戴工号</w:t>
      </w:r>
      <w:r>
        <w:rPr>
          <w:rFonts w:hint="eastAsia" w:ascii="宋体" w:hAnsi="宋体" w:cs="宋体"/>
          <w:color w:val="000000"/>
          <w:spacing w:val="2"/>
          <w:sz w:val="24"/>
          <w:szCs w:val="24"/>
        </w:rPr>
        <w:t xml:space="preserve">牌，</w:t>
      </w:r>
      <w:r>
        <w:rPr>
          <w:rFonts w:hint="eastAsia" w:ascii="宋体" w:hAnsi="宋体" w:cs="宋体"/>
          <w:color w:val="000000"/>
          <w:spacing w:val="2"/>
          <w:sz w:val="24"/>
          <w:szCs w:val="24"/>
          <w:lang w:eastAsia="zh-TW"/>
        </w:rPr>
        <w:t xml:space="preserve">岗位职责公开公布。</w:t>
      </w:r>
      <w:r>
        <w:rPr>
          <w:rFonts w:hint="eastAsia" w:ascii="宋体" w:hAnsi="宋体" w:cs="宋体"/>
          <w:color w:val="000000"/>
          <w:spacing w:val="2"/>
          <w:sz w:val="24"/>
          <w:szCs w:val="24"/>
        </w:rPr>
        <w:t xml:space="preserve">员工服装由供应商自行提供。</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3、合同期内若出现人员数量变动（减少），按供应商岗位报价减去相关费用。</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高等学校学生公寓管理服务规范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 范围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本标准规定了高等学校学生公寓管理与服务的术语和定义、基本要求、人员要求、日常管理、服务育人、安全管理、监督与改进等内容。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本标准适用于高等学校学生公寓在管理与服务方面的规范化。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 规范性引用文件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下列文件对于本文件的应用是必不可少的。凡是注日期的引用文件，仅注日期的版本适用于本文件。凡是不注日期的引用文件，其最新版本（包括所有的修改单）适用于本文件。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2894 安全标志及其使用导则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5749 生活饮用水卫生标准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13495.1 消防安全标志 第1部分：标志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15630 消防安全标志设置要求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GB/T 18205 学校卫生综合评价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18584 室内装饰装修材料 木家具中有害物质限量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GB/T 29117 节约型学校评价导则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31177 学生宿舍卫生要求及管理规范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50016 建筑设计防火规范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 50140 建筑灭火器配置设计规范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GB/T 51161 民用建筑能耗标准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JGJ 36 宿舍建筑设计规范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GA 654 人员密集场所消防安全管理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QB/T 2741 学生公寓多功能家具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 术语和定义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下列术语和定义适用本文件。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3.1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高等学校学生公寓 campus student apartment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高等学校学生住宿专用的房屋以及附属设施、设备和场所。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3.2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学生公寓管理委员会 student apartment management committee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由学校分管领导担任主要负责人，由学生工作、后勤管理、保卫、财务等部门领导以及院系领导代表、学生代表等人员组成的协调管理本校学生公寓事务的委员会。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主要职责包括：制定本校学生公寓管理相关制度，明确各职能部门对学生公寓齐抓共管的职责，对学生公寓建设和管理的重大事项、措施及问题进行决策，监督检查学生公寓管理、服务和收费工作，协调解决学生公寓相关部门的矛盾和纠纷，维护各方合法权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3.3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学生公寓管理服务部门 management and service department of student apartment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对学生公寓和配套设施设备及相关场地进行维修、保护、管理，维护相关区域内的环境卫生和生活秩序，对入住在学生公寓的学生有教育、指导和服务等职责的部门。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3.4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学生公寓管理服务人员 management and service person of student apartment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在高等学校中从事提供学生公寓住宿管理、设施设备运维、门禁值班、卫生保洁、秩序维护、生活助理等方面管理服务工作的人员。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3.5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辅导员 instructor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在学生公寓内从事学生的思想政治教育、学生日常管理、就业指导、心理健康以及学生党团建设等方面工作的教师。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3.6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楼长 housemaster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在学生公寓区域内负责一栋或多栋学生公寓对内组织协调以及对师生沟通交流等管理服务工作的人员。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3.7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值班员 watch keeper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在学生公寓值班室（或值班岗位）轮班当值，从事日常管理与服务工作的人员。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 基本要求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4.1 机构设置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4.1.1 成立由学校领导牵头、相关职能部门负责人、院系代表以及学生代表组成的校级管理协调机构。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注：可称为“学生公寓管理委员会”。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4.1.2 学校根据本单位管理模式设立相适应的学生公寓管理服务部门，学校应在其组织构架下，对学生公寓管理服务的各项工作职责作出规定。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 服务设施设备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 基础设施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4.2.1.1 新建、改建、扩建的学生公寓设施的建设设计应符合JGJ 36的要求。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4.2.1.2 每间寝室宜设独立卫生间和盥洗盆，或每层设公共卫生间和公共盥洗室。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4.2.1.3 学生公寓楼或周边有公共热水淋浴场所或寝室内有热水淋浴设备。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4.2.1.4 寝室或学生公寓内宜设置足够的储物空间，基本满足学生存放大件物品的需求。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4.2.1.5 学生公寓区域底层应规划设置无障碍通道和无障碍房间。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4.2.1.6 生均建筑面积应不低于8m2，每间寝室定员本专科生不超过6人，研究生不超过4人。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 配套设施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4.2.2.1 学生公寓区域内或周边应配置食堂、饮用开水装置、自行车存放处、商店等生活服务设施，有条件的可配置自习室、学生文化娱乐活动室、公共体育场所和电瓶车充电设施。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4.2.2.2 学生公寓区域内提供的饮水和盥洗用水水质应符合GB 5749的要求，宜公示饮用水水质检测报告。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4.2.2.3 每栋公寓楼或封闭管理的公寓区的主要入口处设置能监视人员出入情况的值班室，内设值班电话，保管存放各房间钥匙、疏散门钥匙（或控制开关）。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注：宜配备小五金工具、清洁用具、针线包和应急药箱等物品免费供学生使用。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4.2.2.4 每间寝室宜配备带防护罩的电扇，有条件的可安装空调。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4.2.2.5 每生配备一个网络终端接口（或公寓楼实现无线网络覆盖，信号畅通），应为每位学生配备一个电源插座，宜选用7孔插座。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4.2.2.6 学生公寓楼内或公寓区宜配备洗衣机，为学生提供日常洗衣服务。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4.2.2.7 寝室内宜配备垃圾篓、扫帚，有阳台的寝室宜配置晾衣架杆、纱窗、蚊帐悬挂等装置。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4.2.2.8 公寓楼的底层或室外适当场所设置垃圾集中投放处，对生活垃圾分类投放、运输、资源化利用和终端处置等环节的衔接进行安排。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4.2.2.9 学生公寓楼宜配备与实行智能化、信息化管理服务相适应的设施和设备，为学生提供信息查询服务。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 室内家具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4.2.3.1 为学生配备床、桌、椅、衣柜、书架等室内家具，并保证家具使用状况良好。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4.2.3.2 室内家具功能尺寸和结构应符合QB/T 2741的要求，环保性能应符合GB 18584的要求。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4.2.3.3 室内床铺宜采用双层床或高架床。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 管理制度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4.3.1 学校和相关职能部门制度宜包括以下主要事项：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a）学生公寓管理；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安全管理；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学生管理；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服务质量检查考核；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各类突发事件应急管理；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 各相关部门的职责。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4.3.2 涉及学生公寓管理服务及相关事务的部门制度宜包括以下主要事项：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 组织管理；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住宿管理服务；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卫生与环境管理服务；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值班、秩序维护和公共场所管理；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设施维护、维修服务；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 节能环保管理；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 服务承诺；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h) 学校迎新生、送毕业生、大型活动等特殊时间节点服务保障。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4.3.3 与学生公寓管理服务人员应熟知本岗位职责及相关制度，并认真执行。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4.3.4 各项制度的执行记录和资料应齐全完整，主要制度装订成册。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4.3.5 需要学生遵守或列入学生考评的公寓管理事项及相关制度，应通过合适的途径公示告知。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4.3.6 学校或学校授权学生公寓管理服务部门与入住学生签署住宿协议，明确双方的权利与义务。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4.4 经费保障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4.4.1 学校对学生公寓管理的经费投入应能够保证学生公寓管理服务工作正常运作，并随着住宿人数规模、服务内容的变化，物价、用工费用以及其他政策性因素变化，进行适当调整。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4.4.2 学生公寓管理与服务运行经费宜应用于以下项目：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 基础设施及室内家具购置、更新、改造费用；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日常维护、维修、水、电、暖、保洁、安防、消防等物业服务费用；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学生公寓文化建设费用；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从业人员工资、保险及相关待遇费用；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预防和应对突发事件所需费用；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f）管理、办公经费；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g）其他应当由学校（或产权单位）承担的费用。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 人员要求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 人员配置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5.1.1 配备比例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学生公寓管理服务人员配备比例宜不低于住宿学生人数的1%。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5.1.2 辅导员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建立专职辅导员入驻公寓管理制度，入驻数量不少于住宿学生人数的2‰，辅导员应具有本科以上学历，履行学生公寓内学生的思想教育和日常行为管理职责，并和学生公寓管理服务人员配合紧密，及时解决学生在公寓里出现的问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5.1.3 学生公寓管理服务部门负责人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学生公寓管理服务部门负责人应具有大专及以上学历，有较强事业心和责任感，熟悉业务，管理经验丰富。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5.1.4 楼长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学生公寓应配备专（兼）职楼长，人选应具有高中及以上学历或初级及以上职称，熟悉业务，工作认真负责，有较好的组织协调和处理问题的能力。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5.1.5 值班员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每栋学生公寓按值班室数量足额配备值班员，人选应具有初中及以上学历，身体健康、责任心强、掌握消防设施和器材使用方法，熟悉报案、报警、医疗救护等紧急电话号码，应变能力强。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5.1.6 保洁员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按保洁需要配备专职保洁员。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5.1.7 维修员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按实际需要配备维修员，维修员应具备较好的技术能力。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 职业素质与礼仪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5.2.1 无不良记录，身心健康，无不适合岗位要求的传染性疾病。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5.2.2 基于适当的教育、培训、技能和经验，工作人员应能够胜任其工作。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5.2.3 专业技术人员应取得相应专业技术证书或职业技能资格证书。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5.2.4 按岗位统一着装，佩戴工牌，精神面貌良好，服务用语规范。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 日常管理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 住宿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 住宿方案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6.1.1.1 在新生入住或学校大规模住宿调整前，应编制住宿安排方案。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6.1.1.2 住宿安排方案应符合教育行政主管部门的要求、学校有关住宿安排的原则和住宿标准，并考虑个别学生的特殊需求。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6.1.1.3 在入住前，学生公寓管理服务部门应能提前获取住宿学生相关信息。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 入住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6.1.2.1 在新生入住或学校大规模住宿调整前，应对相应的学生公寓设施设备进行检查和维修。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6.1.2.2 办理入住手续时，工作人员应查验入住学生的证件，复核名单或批准手续，准确发放钥匙。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6.1.2.3 宜采用入住学生对寝室的设施进行确认的流程，并保留相关的记录。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 退宿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6.1.3.1在毕业生离校或学校大规模住宿调整前，学生公寓管理服务部门应能获取相关信息，进行退宿工作安排。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6.1.3.2 办理退宿手续时，工作人员应复核名单或批准手续，按规定的流程办理。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6.1.3.3 宜采用退宿时对寝室的设施进行确认的流程，并保留相关的记录。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 其他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6.1.4.1 入住、退宿完成后，应核实、更新住宿学生信息，并向相关部门传递。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6.1.4.2 建立住宿学生、空寝室、空床位电子资料信息库，并持续更新。</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6.1.4.3 对假期留校学生住宿的管理服务工作进行适当的安排。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 值班和公共区域管理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6.2.1 对值班的地点、方式和时间段，学生公寓管理服务部门应作出安排。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6.2.2 值班员按规定开展学生公寓人员进出管理和公共区域管理工作。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6.2.3 值班员对外来会客、钥匙借用等事项执行验证登记手续，记录齐全完整。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6.2.4 保持公共场所文明、整齐、有序，及时制止乱涂写乱张贴、乱拉乱挂、私拉电线或网线等行为，以及未经批准的商业行为。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6.2.5 学生公寓管理服务人员在接受学生投诉或需帮助解决问题时，应进行登记，及时处理或上报。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 环境卫生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 卫生防疫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6.3.1.1 学生公寓卫生应符合GB 31177的要求，定期按照GB/T 18205的相关要求对学生公寓卫生情况进行评价。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6.3.1.2 做好预防传染性疾病消毒工作。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6.3.1.3 在学生公寓内，每年至少消杀两次。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6.3.1.4 春秋两季节，对入住学生重点开展卫生防疫知识宣传工作。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6.3.1.5 教育学生不得在公寓内饲养宠物。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 公共场所环境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6.3.2.1 门、窗、玻璃应保持洁净明亮，门厅、楼道、楼梯地面整洁。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6.3.2.2 学生公寓设有公共卫生间、盥洗室的，应保持清洁、无污迹、异味、积水，卫生洁具无尿碱，镜面、台面、水龙头、洗手池、拖布池等保持洁净，墙面无乱刻乱画现象。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6.3.2.3 门厅、值班室内各类上墙制度应美观、耐久、无积灰，宣传橱窗内粘贴物有序，内容积极向上。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6.3.2.4 学生公寓区整洁无杂物，墙面无贴画现象，各类车辆在规划区域内有序停放。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 维修维护管理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6.4.1 学校相关部门应编制学生公寓各类设施设备的大中修计划和日常维护、保养计划，经过规定的审批程序后实施，保存相关记录。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6.4.2 应建立多种学生公寓设施设备故障报修渠道。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6.4.3 遇到急修事项，维修员应及时到位，其他非急修情况在承诺时间内解决。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6.4.4 接报修、维修和验收记录应准确、齐全。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 能源管理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6.5.1 学生公寓管理服务部门应建立能源管理规章制度，做好能源使用的统计、分析和管理工作。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6.5.2 学生公寓管理服务部门应定期对相关能耗设施进行检查、维修和保养，符合GB/T 51161、GB/T 29117的相关要求，无跑、冒、滴、漏现象。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6.5.3 学生公寓宜采用新技术、节能产品，应用技术革新节能。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 服务育人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 优质服务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7.1.1 树立“以学生为本”理念，恪守职业道德和职业修养，立足岗位服务，实现育人宗旨。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7.1.2 学生公寓管理服务人员职业道德和职业修养要求：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 对待学生应尊重热情，礼貌待人，态度和蔼，微笑服务，积极主动，考虑周密，服务周到；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 热爱本职岗位，兢兢业业，一丝不苟，团队协作，密切配合，高质量服务；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 主动为学生着想，为学生排忧解难，提供满意服务、感动服务；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 了解学生实际状况，为特殊群体学生提供有针对性的服务。对遭遇突发变故的同学，及时提供帮助；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 能够耐心听取学生的各种意见和建议，通情达理。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7.1.3 学生公寓楼或封闭管理的学生公寓区公示内容要求：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a）本楼（区）管理服务人员、辅导员的照片、姓名（或工号）；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b）学生公寓管理部门、保卫部门和其他相关部门的联系方式，应急电话号码；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c）学生公寓管理制度（或条例）、服务标准、消防安全管理制度、治安管理制度等。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 文化建设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7.2.1 学生公寓区宜设置供开展文化活动的场地和相应的设施，开展学生公寓文化、艺术、体育和实践等活动。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7.2.2 学生公寓的门厅、楼道、走廊环境、寝室布置整洁美观，宜突出学校文化内涵和育人功能。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7.2.3 学校相关部门宜定期推送学生公寓宣传资料，及时发布学生公寓信息与学生互动联系。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7.2.4 学校相关部门宜定期开展各类主题评比和活动，宣传典型，表彰先进，营造良好的氛围。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7.2.5 引导学生积极开展各类健康文化活动。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 行为指导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7.3.1 指导住宿学生遵守学生公寓管理的相关规章制度，自觉履行义务，做到遵纪守法，文明住宿。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7.3.2 持续开展节水节电等方面的主题教育、引导活动。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7.3.3 培养学生养成良好的行为规范和生活习惯，引导同学之间团结友爱，和睦相处，寝室整洁，互相关心和帮助。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7.3.4 学校宜根据不同学生类型，制定学生在公寓表现的检查考评制度，定期对学生寝室进行检查。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注：不同学生类型指的是博士生、硕士生、本科生、专科生之间的区别，也可以包括进修生。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7.3.5 经常性地开展安全提示、健康知识、生活信息和常识方面的宣传。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7.3.6 引导学生尊重学生公寓管理服务人员，配合管理服务人员工作，珍惜管理服务人员劳动成果。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7.3.7 引导学生组织参与公寓管理事务，发挥其应有的作用。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 安全管理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 安全管理体系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8.1.1 学校应明确学校主要负责人是学生公寓安全工作第一责任人，明确各部门、各岗位安全责任人。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8.1.2 明确学生公寓管理服务部门、保卫、院系及其他相关部门的安全管理和监督职责。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8.1.3 将学生公寓安全管理纳入学校安全管理体系中，制定学生公寓安全管理控制措施、规章制度、操作规程和突发事件应急预案。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8.1.4 应消除危及学生治安消防安全、设施设备安全及其他安全的隐患。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8.1.5 人防、物防、技防所需设施设备运行正常，相关资料、记录保存完整。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 消防安全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8.2.1 学生公寓消防安全应符合GB 50016、GA 654、《中华人民共和国消防法》《高等学校消防安全管理规定》的要求。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8.2.2 消防设施、器材配置齐全完好有效，摆放到位，应符合GB 50140的要求。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8.2.3 学生公寓设置消防安全和应急疏散指示标识，规范清晰，形象直观，应符合GB 2894、GB 15630、GB 13495.1的要求。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8.2.4 学生公寓管理服务人员应了解本公寓发生火灾的危险性，具备基本的火灾预防知识和消防安全检查知识及相关能力，熟知报警电话及处置程序，熟练使用消防器材以及扑救初起火灾和组织引导疏散学生的方法。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8.2.5 学校应定期组织学生学习消防法规和各项规章制度，提高学生“识险避险，自救互救”的安全意识和防护能力。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8.2.6 学校应定期对学生进行消防安全教育培训，使学生掌握各类消防设施设备的使用方法，具备扑救初起火灾和自救逃生能力，每学年至少进行2次消防应急演练。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8.2.7 公寓楼内、寝室内无吸烟现象，无烟蒂、无烟味，在醒目位置设置禁烟标识和禁烟监督举报电话。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8.2.8 各有关部门应逐级落实学生公寓的消防安全责任制和岗位消防安全责任制，落实巡视、检查制度，发现问题应及时报告整改，并跟踪整改结果。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 设施设备安全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8.3.1 学校应规定学生公寓各类设施设备的运行、维护、检查、检修、鉴定等事项的职责、方法、频次以及发现问题的处理方法。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8.3.2 学校每年至少一次对学生公寓各类设施设备的检查评估，监控重大危险源，及时排查治理隐患。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8.3.3 无法安全使用或达到使用年限和报废条件的设备，应及时停用或报废处理。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 治安防范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8.4.1 学生公寓应配备相应的安防设施。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8.4.2 学生公寓楼内公共区域及楼宇周边应安装视频监控设施，并接入学校的监控网络，视频监控形成的监控映像资料应当至少留存30日备查。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8.4.3 应重视学生之间矛盾纠纷的排查调处工作，防止因矛盾激化而产生不安定因素。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8.4.4 学生公寓床位由住宿学生个人使用，不得出租或出借。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 突发事件与应急预案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8.5.1 学校应按照实际情况，建立电梯、治安、消防、公共安全事件、自然灾害、群体事件、反恐等危机处理机制的应急预案。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8.5.2 应急预案应发放至相关岗位的从业人员，相关岗位从业人员应熟悉应急预案的内容，具备应对突发事件的能力。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8.5.3 按照应急预案的要求配备相应的应急物资及装备。有条件的学校，宜加入所在地的紧急救援网络。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8.5.4 学校应确保能及时启动应急预案，定期对应急预案进行演习、评审，必要时予以修订。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8.5.5 在突发重大事件的情况下，学校应及时引导、安抚学生，并根据应急预案妥善处置。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 监督与改进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9.1 监督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9.1.1 学生公寓管理服务部门应建立监督检查制度，设置专职或兼职检查人员，规定监督检查范围、内容、频次和方法，定期开展监督检查。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9.1.2 发现问题应及时采取有效的改正措施，并保留相关记录。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 投诉和沟通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9.2.1 学生公寓管理服务部门应建立学生对公寓管理服务工作的意见、建议、投诉等事项的沟通机制，并关注网络舆情。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9.2.2 学生公寓管理服务部门定期召开学生座谈会，听取师生意见和建议，改进管理服务质量。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9.2.3 学生公寓管理服务部门接到学生意见和建议，投诉问题应予以登记，及时协调、处理和反馈。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 评价与改进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9.3.1 应建立工作评价考核机制，明确评价指标、评价方式等内容。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9.3.2 学生公寓管理委员会应每年进行满意度测评，对管理服务的实施效果进行评估。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9.3.3 测评视具体情况可采用自我测评、师生测评和第三方测评等多种方式进行。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9.3.4 根据测评结果，制定改进措施，完善服务规范，提高服务质量和保障能力。 </w:t>
      </w:r>
      <w:r/>
    </w:p>
    <w:p>
      <w:pPr>
        <w:pStyle w:val="946"/>
        <w:ind w:left="0" w:firstLine="480"/>
        <w:spacing w:line="440" w:lineRule="exact"/>
        <w:rPr>
          <w:rFonts w:hint="eastAsia" w:ascii="宋体" w:hAnsi="宋体" w:cs="宋体"/>
          <w:color w:val="000000"/>
          <w:lang w:eastAsia="zh-CN"/>
        </w:rPr>
      </w:pPr>
      <w:r>
        <w:rPr>
          <w:rFonts w:hint="eastAsia" w:ascii="宋体" w:hAnsi="宋体" w:cs="宋体"/>
          <w:color w:val="000000"/>
          <w:lang w:eastAsia="zh-CN"/>
        </w:rPr>
      </w:r>
      <w:r/>
    </w:p>
    <w:p>
      <w:pPr>
        <w:pStyle w:val="946"/>
        <w:ind w:left="0" w:firstLine="480"/>
        <w:spacing w:line="440" w:lineRule="exact"/>
        <w:rPr>
          <w:rFonts w:hint="eastAsia" w:ascii="宋体" w:hAnsi="宋体" w:cs="宋体"/>
          <w:color w:val="000000"/>
          <w:lang w:eastAsia="zh-CN"/>
        </w:rPr>
      </w:pPr>
      <w:r>
        <w:rPr>
          <w:rFonts w:hint="eastAsia" w:ascii="宋体" w:hAnsi="宋体" w:cs="宋体"/>
          <w:color w:val="000000"/>
          <w:lang w:eastAsia="zh-CN"/>
        </w:rPr>
      </w:r>
      <w:r/>
    </w:p>
    <w:p>
      <w:pPr>
        <w:pStyle w:val="946"/>
        <w:ind w:left="0" w:firstLine="480"/>
        <w:spacing w:line="440" w:lineRule="exact"/>
        <w:rPr>
          <w:rFonts w:hint="eastAsia" w:ascii="宋体" w:hAnsi="宋体" w:cs="宋体"/>
          <w:color w:val="000000"/>
          <w:lang w:eastAsia="zh-CN"/>
        </w:rPr>
      </w:pPr>
      <w:r>
        <w:rPr>
          <w:rFonts w:hint="eastAsia" w:ascii="宋体" w:hAnsi="宋体" w:cs="宋体"/>
          <w:color w:val="000000"/>
          <w:lang w:eastAsia="zh-CN"/>
        </w:rPr>
      </w:r>
      <w:r/>
    </w:p>
    <w:p>
      <w:pPr>
        <w:jc w:val="left"/>
        <w:spacing w:line="440" w:lineRule="exact"/>
        <w:widowControl/>
        <w:rPr>
          <w:rFonts w:hint="eastAsia" w:ascii="宋体" w:hAnsi="宋体" w:cs="宋体"/>
          <w:b/>
          <w:bCs/>
          <w:color w:val="000000"/>
          <w:sz w:val="24"/>
          <w:szCs w:val="24"/>
        </w:rPr>
      </w:pPr>
      <w:r>
        <w:rPr>
          <w:rFonts w:hint="eastAsia" w:ascii="宋体" w:hAnsi="宋体" w:cs="宋体"/>
          <w:b/>
          <w:bCs/>
          <w:color w:val="000000"/>
          <w:sz w:val="24"/>
          <w:szCs w:val="24"/>
        </w:rPr>
        <w:t xml:space="preserve">包2：</w:t>
      </w:r>
      <w:r>
        <w:rPr>
          <w:rFonts w:hint="eastAsia" w:ascii="宋体" w:hAnsi="宋体" w:cs="方正小标宋_GBK"/>
          <w:b/>
          <w:bCs/>
          <w:color w:val="000000"/>
          <w:sz w:val="24"/>
          <w:szCs w:val="24"/>
        </w:rPr>
        <w:t xml:space="preserve">楼宇物业管理服务需求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一、项目概况</w:t>
      </w:r>
      <w:r/>
    </w:p>
    <w:p>
      <w:pPr>
        <w:ind w:firstLine="480"/>
        <w:spacing w:line="440" w:lineRule="exact"/>
        <w:widowControl/>
        <w:rPr>
          <w:rFonts w:hint="eastAsia" w:ascii="宋体" w:hAnsi="宋体" w:cs="仿宋_GB2312"/>
          <w:sz w:val="24"/>
          <w:szCs w:val="24"/>
        </w:rPr>
      </w:pPr>
      <w:r>
        <w:rPr>
          <w:rFonts w:hint="eastAsia" w:ascii="宋体" w:hAnsi="宋体" w:cs="仿宋_GB2312"/>
          <w:sz w:val="24"/>
          <w:szCs w:val="24"/>
        </w:rPr>
        <w:t xml:space="preserve">常州信息职业技术学院坐落于常州高职园区，学校占地916.61亩，建筑面积34.7</w:t>
      </w:r>
      <w:r>
        <w:rPr>
          <w:rFonts w:ascii="宋体" w:hAnsi="宋体" w:cs="仿宋_GB2312"/>
          <w:sz w:val="24"/>
          <w:szCs w:val="24"/>
        </w:rPr>
        <w:t xml:space="preserve">6</w:t>
      </w:r>
      <w:r>
        <w:rPr>
          <w:rFonts w:hint="eastAsia" w:ascii="宋体" w:hAnsi="宋体" w:cs="仿宋_GB2312"/>
          <w:sz w:val="24"/>
          <w:szCs w:val="24"/>
        </w:rPr>
        <w:t xml:space="preserve">万平方米，在校生10000余人，专任教师近600人。学校物业服务分为公寓管理和楼宇管理两部分，目前总服务面积约</w:t>
      </w:r>
      <w:r>
        <w:rPr>
          <w:rFonts w:ascii="宋体" w:hAnsi="宋体" w:cs="仿宋_GB2312"/>
          <w:sz w:val="24"/>
          <w:szCs w:val="24"/>
        </w:rPr>
        <w:t xml:space="preserve">32</w:t>
      </w:r>
      <w:r>
        <w:rPr>
          <w:rFonts w:hint="eastAsia" w:ascii="宋体" w:hAnsi="宋体" w:cs="仿宋_GB2312"/>
          <w:sz w:val="24"/>
          <w:szCs w:val="24"/>
        </w:rPr>
        <w:t xml:space="preserve">万平方米，其中公寓管理范围包括1#—12#学生公寓和2号楼辅楼，服务面积约12万平方米；楼宇管理范围包括教学楼、图文楼、实训楼、文体楼、行政楼、工业互联网产学研创中心以及继续教育学院校区、信息产业园，服务面积约</w:t>
      </w:r>
      <w:r>
        <w:rPr>
          <w:rFonts w:ascii="宋体" w:hAnsi="宋体" w:cs="仿宋_GB2312"/>
          <w:sz w:val="24"/>
          <w:szCs w:val="24"/>
        </w:rPr>
        <w:t xml:space="preserve">20</w:t>
      </w:r>
      <w:r>
        <w:rPr>
          <w:rFonts w:hint="eastAsia" w:ascii="宋体" w:hAnsi="宋体" w:cs="仿宋_GB2312"/>
          <w:sz w:val="24"/>
          <w:szCs w:val="24"/>
        </w:rPr>
        <w:t xml:space="preserve">万平方米。</w:t>
      </w:r>
      <w:r>
        <w:rPr>
          <w:rFonts w:hint="eastAsia" w:ascii="宋体" w:hAnsi="宋体" w:cs="仿宋_GB2312"/>
          <w:color w:val="000000"/>
          <w:sz w:val="24"/>
          <w:szCs w:val="24"/>
        </w:rPr>
        <w:t xml:space="preserve">学校楼宇物业服务需求如下：</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（一）楼宇物业管理服务范围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1、教学楼共5层，分A/B/C/D/E五栋，建筑面积约39700平方米，教室共计约130间；</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2、图文楼共7层，地下一层，电梯两台，建筑面积约22395平方米；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3、实训楼共5层，电梯3台，分A/B/C三栋，A栋含地下一层，建筑面积约46887平方米；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4、文体楼共3层（含体育看台），建筑面积约7520平方米；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5、行政楼共4层，电梯1台，建筑面积约10150平方米；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6、工业互联网产学研创中心共11层，电梯4台，建筑面积约</w:t>
      </w:r>
      <w:r>
        <w:rPr>
          <w:rFonts w:hint="eastAsia" w:ascii="宋体" w:hAnsi="宋体" w:cs="仿宋_GB2312"/>
          <w:b/>
          <w:color w:val="000000"/>
          <w:sz w:val="24"/>
          <w:szCs w:val="24"/>
        </w:rPr>
        <w:t xml:space="preserve">2</w:t>
      </w:r>
      <w:r>
        <w:rPr>
          <w:rFonts w:ascii="宋体" w:hAnsi="宋体" w:cs="仿宋_GB2312"/>
          <w:b/>
          <w:color w:val="000000"/>
          <w:sz w:val="24"/>
          <w:szCs w:val="24"/>
        </w:rPr>
        <w:t xml:space="preserve">4</w:t>
      </w:r>
      <w:r>
        <w:rPr>
          <w:rFonts w:hint="eastAsia" w:ascii="宋体" w:hAnsi="宋体" w:cs="仿宋_GB2312"/>
          <w:b/>
          <w:color w:val="000000"/>
          <w:sz w:val="24"/>
          <w:szCs w:val="24"/>
        </w:rPr>
        <w:t xml:space="preserve">150</w:t>
      </w:r>
      <w:r>
        <w:rPr>
          <w:rFonts w:hint="eastAsia" w:ascii="宋体" w:hAnsi="宋体" w:cs="仿宋_GB2312"/>
          <w:color w:val="000000"/>
          <w:sz w:val="24"/>
          <w:szCs w:val="24"/>
        </w:rPr>
        <w:t xml:space="preserve">平方米；</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7、继续教育学院校区（常州市天宁区劳动西路9号），共5栋楼，1号楼共5层，有多功能报告厅、接待室、机房、办公室等共27间，1至4层每层1个卫生间（或男或女），2层有1个茶水间，1层北边1间辅房；2号楼共4层，共13个教室，东西辅房各1间，男女卫生间各1个；3号楼为钢结构展览馆，共1层；4号楼共6层，有餐厅、培训室等共19间，其余为展览区域，除1层外每层有男女卫生间各1间；5号楼共3层，目前作为存放杂物的仓库，每层有男女卫生间各1间（目前暂未启用但包含在本次物业管理范围内）；</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8、信息产业园研发楼，共1栋楼，南北大楼各5层，东西辅楼各3层，2，3层环通，大楼建筑面积约13000平方米。南北楼每层各1间公共卫生间（分男女），东西两头都设有楼梯间；东西辅楼有大厅、走廊公共区域。</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二、项目管理需求</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（一）楼宇物业服务管理内容包括：</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1、楼宇内（含地下室）及楼宇外墙至周边道路路侧石之间区域等责任区的卫生保洁；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2、楼宇内消防、水电、门窗、家具等所有设施设备的管理工作；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3、工业互联网产学研创中心负责楼内公共区域的卫生保洁；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4、行政楼各类会务服务、场地布置等相关工作（根据学校实际需求，重大活动期间免费额外增派服务人员6-8名）；</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5、继续教育学院服务管理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（1）楼内外公共区域的卫生保洁；</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（2）楼内教室、会议室、展览区、卫生间的卫生保洁；具体工作根据实际需求开展。</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6、信息产业园服务管理</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（1）楼内公共区域及公共卫生间的卫生保洁。</w:t>
      </w:r>
      <w:r/>
    </w:p>
    <w:p>
      <w:pPr>
        <w:ind w:firstLine="480"/>
        <w:spacing w:line="440" w:lineRule="exact"/>
        <w:widowControl/>
        <w:rPr>
          <w:rFonts w:hint="eastAsia" w:ascii="宋体" w:hAnsi="宋体" w:cs="仿宋_GB2312"/>
          <w:color w:val="000000"/>
          <w:sz w:val="24"/>
          <w:szCs w:val="24"/>
        </w:rPr>
      </w:pPr>
      <w:r>
        <w:rPr>
          <w:rFonts w:hint="eastAsia" w:ascii="宋体" w:hAnsi="宋体" w:cs="仿宋_GB2312"/>
          <w:color w:val="000000"/>
          <w:sz w:val="24"/>
          <w:szCs w:val="24"/>
        </w:rPr>
        <w:t xml:space="preserve">7、各建筑楼宇屋面雨水管道日常巡查及疏通工作，整体疏通每学期不少于2次；</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8、各建筑楼宇户外雨棚清洗工作，每学期不少于1次；</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9、不少于一名具备特种设备作业人员证，协助学校办理电梯年审、应急情况处理等工作，若特检院有最新要求则无条件配备相关人员；</w:t>
      </w:r>
      <w:r/>
    </w:p>
    <w:p>
      <w:pPr>
        <w:ind w:firstLine="480"/>
        <w:spacing w:line="440" w:lineRule="exact"/>
        <w:widowControl/>
        <w:rPr>
          <w:rFonts w:ascii="宋体" w:hAnsi="宋体" w:cs="仿宋_GB2312"/>
          <w:color w:val="000000"/>
          <w:sz w:val="24"/>
          <w:szCs w:val="24"/>
        </w:rPr>
      </w:pPr>
      <w:r>
        <w:rPr>
          <w:rFonts w:hint="eastAsia" w:ascii="宋体" w:hAnsi="宋体" w:cs="仿宋_GB2312"/>
          <w:color w:val="000000"/>
          <w:sz w:val="24"/>
          <w:szCs w:val="24"/>
        </w:rPr>
        <w:t xml:space="preserve">10、提供不限于如移动医疗站、移动雨伞架等便民设施；</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11、其他属于物业服务管理范畴内的工作。</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三、服务期限及付款方式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1.学校物业管理服务期自合同签定之日起三年，合同一年一签，合同期内经学校考核合格后可续签下一年合同，最多续签两次。</w:t>
      </w:r>
      <w:r>
        <w:rPr>
          <w:rFonts w:hint="eastAsia"/>
          <w:sz w:val="24"/>
          <w:szCs w:val="24"/>
        </w:rPr>
        <w:t xml:space="preserve">合同执行期间费用一律不予调整，供应商报价表中所报的单价和合价以及报价汇总表中的价格应包括：员工费用和管理人员费用、保险、管理费、人员培训费、加班费、利润、设备、工具、消耗品、各种税费、政策性文件规定及合同明示或暗示的所有风险、责任、义务等各项应有的费用。供应商在报价时自行预测并纳入总价中。</w:t>
      </w:r>
      <w:r>
        <w:rPr>
          <w:rFonts w:hint="eastAsia" w:ascii="宋体" w:hAnsi="宋体" w:cs="仿宋_GB2312"/>
          <w:color w:val="000000"/>
          <w:sz w:val="24"/>
          <w:szCs w:val="24"/>
        </w:rPr>
        <w:t xml:space="preserve">若因学校发展需要，在物业管理服务所需增加费用由学校承担，但所承担的金额不得超过原合同采购金额的百分之十。如超过，学校将有权重新启动招标程序。</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w:t>
      </w:r>
      <w:r>
        <w:rPr>
          <w:rFonts w:hint="eastAsia" w:ascii="宋体" w:hAnsi="宋体" w:cs="宋体"/>
          <w:color w:val="000000"/>
          <w:sz w:val="24"/>
          <w:szCs w:val="24"/>
        </w:rPr>
        <w:t xml:space="preserve"> </w:t>
      </w:r>
      <w:r>
        <w:rPr>
          <w:rFonts w:hint="eastAsia" w:ascii="宋体" w:hAnsi="宋体" w:cs="仿宋_GB2312"/>
          <w:color w:val="000000"/>
          <w:sz w:val="24"/>
          <w:szCs w:val="24"/>
        </w:rPr>
        <w:t xml:space="preserve">（1）预付款：合同签订并收到发票后，10个工作日内，支付10%；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（2）每三个月：收到发票后，10个工作日内，支付合同价的20%。</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剩余合同款在合同期末根据每月考核扣款情况，按实扣除所有月考核扣款，以扣除扣款后的余款作为最终实际应支付的款项。</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如剩余合同款全扣除后无法弥补考核扣款的，在最后一期服务费中扣除无法弥补的金额。</w:t>
      </w:r>
      <w:r/>
    </w:p>
    <w:p>
      <w:pPr>
        <w:ind w:firstLine="480"/>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四、项目预算：</w:t>
      </w:r>
      <w:r>
        <w:rPr>
          <w:rFonts w:hint="eastAsia" w:ascii="宋体" w:hAnsi="宋体" w:cs="宋体"/>
          <w:color w:val="000000"/>
          <w:sz w:val="24"/>
          <w:szCs w:val="24"/>
        </w:rPr>
        <w:t xml:space="preserve">273.5824万元/年 </w:t>
      </w:r>
      <w:r/>
    </w:p>
    <w:p>
      <w:pPr>
        <w:spacing w:line="440" w:lineRule="exact"/>
        <w:widowControl/>
        <w:rPr>
          <w:rFonts w:hint="eastAsia" w:ascii="宋体" w:hAnsi="宋体" w:cs="宋体"/>
          <w:color w:val="000000"/>
          <w:sz w:val="24"/>
          <w:szCs w:val="24"/>
        </w:rPr>
      </w:pPr>
      <w:r>
        <w:rPr>
          <w:rFonts w:hint="eastAsia" w:ascii="宋体" w:hAnsi="宋体" w:cs="仿宋_GB2312"/>
          <w:color w:val="000000"/>
          <w:sz w:val="24"/>
          <w:szCs w:val="24"/>
        </w:rPr>
        <w:t xml:space="preserve"> </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rPr>
          <w:rFonts w:hint="eastAsia" w:ascii="宋体" w:hAnsi="宋体" w:cs="宋体"/>
          <w:color w:val="000000"/>
          <w:sz w:val="24"/>
          <w:szCs w:val="24"/>
        </w:rPr>
        <w:t xml:space="preserve">附件</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常州信息职业技术学院楼宇物业管理服务要求</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一、物业管理的服务范围及内容：</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（一）岗位配置表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067"/>
        <w:gridCol w:w="549"/>
        <w:gridCol w:w="1447"/>
        <w:gridCol w:w="1730"/>
        <w:gridCol w:w="3270"/>
      </w:tblGrid>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序号</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岗位</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人数</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负责范围</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基本要求</w:t>
            </w:r>
            <w:r/>
          </w:p>
        </w:tc>
        <w:tc>
          <w:tcPr>
            <w:tcW w:w="327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其他要求</w:t>
            </w:r>
            <w:r/>
          </w:p>
        </w:tc>
      </w:tr>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物业管理</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负责人</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447"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教学楼、实训楼、图文楼、文体楼、行政楼、工业互联网产学研创中心、继续教育学院、信息产业园</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年龄在45周岁（含）以下</w:t>
            </w:r>
            <w:r/>
          </w:p>
        </w:tc>
        <w:tc>
          <w:tcPr>
            <w:tcW w:w="3270"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t xml:space="preserve">品行端正，具备物业管理工作经验，身心健康，具有大专（含）以上文化程度，有丰富的管理经验。政治思想素质高，工作责任性强，熟悉物业管理行业的法律、法规、政策和物业管理工作流程，有较强的管理能力和良好的组织、沟通与协调能力。未经采购人同意，不得更换项目负责人。上班时间需满足学校教学及办公的要求。</w:t>
            </w:r>
            <w:r/>
          </w:p>
        </w:tc>
      </w:tr>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内勤</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44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年龄在45周岁（含）以下</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3270"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t xml:space="preserve">身心健康，具有大专（含）以上文化程度。有较强的组织管理能力，能熟练操作电脑进行文字处理。上班时间需满足学校教学及办公的要求。</w:t>
            </w:r>
            <w:r/>
          </w:p>
        </w:tc>
      </w:tr>
      <w:tr>
        <w:trPr>
          <w:jc w:val="center"/>
          <w:trHeight w:val="567"/>
        </w:trPr>
        <w:tc>
          <w:tcPr>
            <w:tcW w:w="456"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1067"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管理员</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教学楼</w:t>
            </w:r>
            <w:r/>
          </w:p>
        </w:tc>
        <w:tc>
          <w:tcPr>
            <w:tcW w:w="1730"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男性年龄不超过60周岁（含），女性年龄不超过55周岁（含），其中50周岁（含）以下人数比例不低于30％</w:t>
            </w:r>
            <w:r/>
          </w:p>
        </w:tc>
        <w:tc>
          <w:tcPr>
            <w:tcW w:w="3270" w:type="dxa"/>
            <w:vAlign w:val="center"/>
            <w:vMerge w:val="restart"/>
            <w:textDirection w:val="lrTb"/>
            <w:noWrap w:val="false"/>
          </w:tcPr>
          <w:p>
            <w:pPr>
              <w:spacing w:line="44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1.  教学楼、实训楼、图文楼、文体楼、工业互联网产学研创中心的物业管理员实行24小时值班制度，教学楼必须保证每班2人在岗，实训楼、图文楼、文体楼、工业互联网产学研创中心必须保证每班1人在岗；图文楼含南北门门禁管理员各1人；文体楼包含器材管理员1人。</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2.身心健康，无犯罪记录；工作细致认真，有较强的工作责任心、服务意识。3.有爱心，关心学生成长，乐于为学生服务。</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5能独立进行WORD、EXCEL等基本的电脑操作。</w:t>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实训楼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图文楼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文体楼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工业互联网产学研创中心</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行政楼</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女性，年龄不超过45周岁（含）</w:t>
            </w:r>
            <w:r/>
          </w:p>
        </w:tc>
        <w:tc>
          <w:tcPr>
            <w:tcW w:w="3270" w:type="dxa"/>
            <w:vAlign w:val="center"/>
            <w:textDirection w:val="lrTb"/>
            <w:noWrap w:val="false"/>
          </w:tcPr>
          <w:p>
            <w:pPr>
              <w:spacing w:line="440" w:lineRule="exact"/>
              <w:widowControl/>
              <w:tabs>
                <w:tab w:val="left" w:pos="312" w:leader="none"/>
              </w:tabs>
              <w:rPr>
                <w:rFonts w:hint="eastAsia" w:ascii="宋体" w:hAnsi="宋体" w:cs="宋体"/>
                <w:sz w:val="24"/>
                <w:szCs w:val="24"/>
              </w:rPr>
            </w:pPr>
            <w:r>
              <w:rPr>
                <w:rFonts w:hint="eastAsia" w:ascii="宋体" w:hAnsi="宋体" w:cs="宋体"/>
                <w:sz w:val="24"/>
                <w:szCs w:val="24"/>
              </w:rPr>
              <w:t xml:space="preserve">1.  行政楼物业管理员上班时间与学校行政楼人员一致，每班2人须均在岗，同时必须接受学校安排的临时、周末、晚上等会务工作，保障各类活动（会议）正常进行。</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2.身心健康，无犯罪记录；工作细致认真，有较强的工作责任心、服务意识。3.</w:t>
            </w:r>
            <w:r>
              <w:rPr>
                <w:rFonts w:hint="eastAsia" w:ascii="宋体" w:hAnsi="宋体" w:cs="宋体"/>
                <w:sz w:val="24"/>
                <w:szCs w:val="24"/>
              </w:rPr>
              <w:t xml:space="preserve">外表端庄，形象气质佳，具有亲和力。</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jc w:val="center"/>
              <w:spacing w:line="440" w:lineRule="exact"/>
              <w:widowControl/>
              <w:rPr>
                <w:rFonts w:hint="eastAsia" w:ascii="宋体" w:hAnsi="宋体" w:cs="宋体"/>
                <w:sz w:val="24"/>
                <w:szCs w:val="24"/>
              </w:rPr>
            </w:pPr>
            <w:r>
              <w:rPr>
                <w:rFonts w:hint="eastAsia" w:ascii="宋体" w:hAnsi="宋体" w:cs="宋体"/>
                <w:color w:val="000000"/>
                <w:sz w:val="24"/>
                <w:szCs w:val="24"/>
              </w:rPr>
              <w:t xml:space="preserve">5能独立进行WORD、EXCEL等基本的电脑操作。</w:t>
            </w:r>
            <w:r/>
          </w:p>
        </w:tc>
      </w:tr>
      <w:tr>
        <w:trPr>
          <w:jc w:val="center"/>
          <w:trHeight w:val="567"/>
        </w:trPr>
        <w:tc>
          <w:tcPr>
            <w:tcW w:w="456"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106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会务服务员</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行政楼</w:t>
            </w:r>
            <w:r/>
          </w:p>
        </w:tc>
        <w:tc>
          <w:tcPr>
            <w:tcW w:w="1730"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女性，年龄在40周岁（含）以下</w:t>
            </w:r>
            <w:r/>
          </w:p>
        </w:tc>
        <w:tc>
          <w:tcPr>
            <w:tcW w:w="3270" w:type="dxa"/>
            <w:vAlign w:val="center"/>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t xml:space="preserve">1.上班时间与学校行政楼人员一致，每班4人须均在岗，同时必须接受学校安排的临时、周末、晚上等会务工作，保障各类活动（会议）正常进行。</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2.身心健康，无犯罪记录；工作细致认真，有较强的工作责任心、服务意识。3.</w:t>
            </w:r>
            <w:r>
              <w:rPr>
                <w:rFonts w:hint="eastAsia" w:ascii="宋体" w:hAnsi="宋体" w:cs="宋体"/>
                <w:sz w:val="24"/>
                <w:szCs w:val="24"/>
              </w:rPr>
              <w:t xml:space="preserve">外表端庄，形象气质佳，具有亲和力。</w:t>
            </w:r>
            <w:r/>
          </w:p>
          <w:p>
            <w:pPr>
              <w:spacing w:line="440" w:lineRule="exact"/>
              <w:widowControl/>
              <w:rPr>
                <w:rFonts w:hint="eastAsia" w:ascii="宋体" w:hAnsi="宋体" w:cs="宋体"/>
                <w:sz w:val="24"/>
                <w:szCs w:val="24"/>
              </w:rPr>
            </w:pPr>
            <w:r>
              <w:rPr>
                <w:rFonts w:hint="eastAsia" w:ascii="宋体" w:hAnsi="宋体" w:cs="宋体"/>
                <w:color w:val="000000"/>
                <w:sz w:val="24"/>
                <w:szCs w:val="24"/>
              </w:rPr>
              <w:t xml:space="preserve">4.有良好的团队合作、沟通和管理能力，会说普通话。</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5.能熟练掌握会议设备操作，具有丰富的会议服务经验，负责日常会务接待等工作。</w:t>
            </w:r>
            <w:r/>
          </w:p>
        </w:tc>
      </w:tr>
      <w:tr>
        <w:trPr>
          <w:jc w:val="center"/>
          <w:trHeight w:val="567"/>
        </w:trPr>
        <w:tc>
          <w:tcPr>
            <w:tcW w:w="456"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4</w:t>
            </w:r>
            <w:r/>
          </w:p>
        </w:tc>
        <w:tc>
          <w:tcPr>
            <w:tcW w:w="1067"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保洁员</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教学楼</w:t>
            </w:r>
            <w:r/>
          </w:p>
        </w:tc>
        <w:tc>
          <w:tcPr>
            <w:tcW w:w="1730"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年龄在60周岁（含）以下，其中50周岁（含）以下人数比例不低于20％</w:t>
            </w:r>
            <w:r/>
          </w:p>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 </w:t>
            </w:r>
            <w:r/>
          </w:p>
        </w:tc>
        <w:tc>
          <w:tcPr>
            <w:tcW w:w="3270" w:type="dxa"/>
            <w:vAlign w:val="center"/>
            <w:vMerge w:val="restart"/>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品行端正，身心健康，无犯罪记录；有乐于服务，吃苦耐劳的精神。了解本岗位工作规范和流程，能按工作要求和质量标准独立完成工作，经培训后上岗。</w:t>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实训楼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图文楼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文体楼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5</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行政楼</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3</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工业互联网产学研创中心</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1</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继续教育学院</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tcW w:w="456"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1067"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2</w:t>
            </w:r>
            <w:r/>
          </w:p>
        </w:tc>
        <w:tc>
          <w:tcPr>
            <w:tcW w:w="1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信息产业园</w:t>
            </w:r>
            <w:r/>
          </w:p>
        </w:tc>
        <w:tc>
          <w:tcPr>
            <w:tcW w:w="173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c>
          <w:tcPr>
            <w:tcW w:w="3270" w:type="dxa"/>
            <w:vAlign w:val="center"/>
            <w:vMerge w:val="continue"/>
            <w:textDirection w:val="lrTb"/>
            <w:noWrap w:val="false"/>
          </w:tcPr>
          <w:p>
            <w:pPr>
              <w:spacing w:line="440" w:lineRule="exact"/>
              <w:widowControl/>
              <w:rPr>
                <w:rFonts w:hint="eastAsia" w:ascii="宋体" w:hAnsi="宋体" w:cs="宋体"/>
                <w:sz w:val="24"/>
                <w:szCs w:val="24"/>
              </w:rPr>
            </w:pPr>
            <w:r>
              <w:rPr>
                <w:rFonts w:hint="eastAsia" w:ascii="宋体" w:hAnsi="宋体" w:cs="宋体"/>
                <w:sz w:val="24"/>
                <w:szCs w:val="24"/>
              </w:rPr>
            </w:r>
            <w:r/>
          </w:p>
        </w:tc>
      </w:tr>
      <w:tr>
        <w:trPr>
          <w:jc w:val="center"/>
          <w:trHeight w:val="567"/>
        </w:trPr>
        <w:tc>
          <w:tcPr>
            <w:gridSpan w:val="2"/>
            <w:tcW w:w="1523"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合   计</w:t>
            </w:r>
            <w:r/>
          </w:p>
        </w:tc>
        <w:tc>
          <w:tcPr>
            <w:tcW w:w="549"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62</w:t>
            </w:r>
            <w:r/>
          </w:p>
        </w:tc>
        <w:tc>
          <w:tcPr>
            <w:gridSpan w:val="3"/>
            <w:tcW w:w="6447" w:type="dxa"/>
            <w:vAlign w:val="center"/>
            <w:textDirection w:val="lrTb"/>
            <w:noWrap w:val="false"/>
          </w:tcPr>
          <w:p>
            <w:pPr>
              <w:jc w:val="center"/>
              <w:spacing w:line="440" w:lineRule="exact"/>
              <w:widowControl/>
              <w:rPr>
                <w:rFonts w:hint="eastAsia" w:ascii="宋体" w:hAnsi="宋体" w:cs="宋体"/>
                <w:sz w:val="24"/>
                <w:szCs w:val="24"/>
              </w:rPr>
            </w:pPr>
            <w:r>
              <w:rPr>
                <w:rFonts w:hint="eastAsia" w:ascii="宋体" w:hAnsi="宋体" w:cs="宋体"/>
                <w:sz w:val="24"/>
                <w:szCs w:val="24"/>
              </w:rPr>
              <w:t xml:space="preserve">本表各岗位人数为最低人数要求</w:t>
            </w:r>
            <w:r/>
          </w:p>
        </w:tc>
      </w:tr>
    </w:tbl>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以上配置人员为本项目物业服务总人数，供应商提供的员工人数不得少于此表人数；所有服务人员须身心健康、适合校园后勤管理工作；有岗前培训机构，服务人员100%经过岗前或在岗培训合格才能独立在岗；人员必须相对固定，所有人员的基本资料（包括身份证、学历证书、技能证书等）上岗前必须报学校管理部门备案，经同意后方能上岗。人员如有变化也须报学校管理部门同意。学校可根据实际使用需求对供应商承接的物业管理岗位数量进行调整，学校根据调整后的实际岗位数量按合同进行结算，供应商无条件服从学校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⑴教学楼、实训楼、图文楼、文体楼、工业互联网产学研创中心的物业管理员实行24小时值班制度，教学楼必须保证每班2人在岗，实训楼、图文楼、文体楼、工业互联网产学研创中心必须保证每班1人在岗；文体楼物业管理员上班时间6：00～22:00，保证每班</w:t>
      </w:r>
      <w:r>
        <w:rPr>
          <w:rFonts w:hint="eastAsia" w:ascii="宋体" w:hAnsi="宋体" w:cs="宋体"/>
          <w:color w:val="000000"/>
          <w:sz w:val="24"/>
          <w:szCs w:val="24"/>
        </w:rPr>
        <w:t xml:space="preserve">1人在岗；文体楼器材管理员每天上班时间9:00～17:00，保证每班1人在岗；图文楼物业管理员上班时间7:00～21:30，保证每班1人在岗；图文楼南门门禁管理员上班时间7:30～21:30，保证每班1人在岗；图文楼北门门禁管理员上班时间8:00～18:00，保证每班1人在岗（遇法定节假日、周末北门不开放）；行政楼物业管理员上班时间与学校行政楼人员一致，每班2人须均在岗，同时必须接受学校安排的临时、周末、晚上等会务工作，保障各类活动（会议）正常进行；本项目负责人，内勤人员上班时间需满足学校教学及办公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⑵工业互联网产学研创中心管理员实行24小时值班制度，必须保证每班1人在岗。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⑶本项目所有保洁员上班时间为上午7:00～10:30，下午为13:00～16:00（行政楼保洁员下班时间比学校下班时间延时半小时）。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⑷本项目所有保洁员工作日白天全员在岗，周六周日以及节假日白天至少保证一半人员在岗。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3、本项目负责人在服务期内无特殊情况不得变更，如项目负责人确需变更，调换人员的基本情况也必须符合上表的要求，并提前一个月以书面形式通知学管理部门得到认可后，方可调换。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4、本项目所有人员(按相关规定可</w:t>
      </w:r>
      <w:r>
        <w:rPr>
          <w:rFonts w:hint="eastAsia" w:ascii="宋体" w:hAnsi="宋体" w:cs="宋体"/>
          <w:color w:val="000000"/>
          <w:sz w:val="24"/>
          <w:szCs w:val="24"/>
        </w:rPr>
        <w:t xml:space="preserve">不缴纳社保的除外)必须在上岗前签订劳动合同并按照国家有关规定参加企业职工社会保险（五险）。供应商在报价时必须按照项目所在地的相关规定来核算，为了本项目采购的公平、公正性，低于本项目所在地社会最低工资待遇或违反项目所在地最低企业缴纳企业职工社会保险（含对缴纳基数和缴纳比例的规定）的，作为无效投标处理。外市或其他地区来投标的供应商请自行查询项目所在地的最低工资和社保缴纳基数及比例的要求，因自己的疏忽所造成的后果由投标供应商自行承担。项目实施期间，未按要求缴纳社保的，学校可扣除相应费用，情节严重的可终止服务合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（二）本项目的人员的基本要求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1、项目负责人：年龄在45周岁以下，身心健康，具有大专（含）以上文化程度，有丰富的管理经验。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2、内勤：年龄在45周岁以下，身心健康，具有大专（含）以上文化程度。有较强的组织管理能力，能熟练操作电脑进行文字处理。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宇管理员：⑴男性年龄不超过60周岁，女性年龄不超过55周岁，其中50周岁以下人数比例不低于30％，行政楼物业管理员要求年龄必须在45周岁以下，外表端庄，形象气质佳，具有亲和力。⑵身心健康，无犯罪记录；工作细致认真，有较强的工作责任心、服务意识。⑶有爱心，关心学生成长，乐于为学生服务。⑷有良好的团队合作、沟通和管理能力，会说普通话；⑸能独立进行WORD、EXCEL等基本的电脑操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4、保洁员：年龄在63周岁以下，其中50周岁以下人数比例不低于20％，身心健康，无犯罪记录；有乐于服务，吃苦耐劳的精神。</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（三）本项目行政管理人员的职责及要求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全面负责学校教学楼、图文楼、实训楼、文体楼、行政楼以及工业互联网研创中心、继续教育学院、信息产业园物业服务工作。工作时间需满足学校教师教学办公及学生学习生活的要求；工作地点由学校统一指定安排，电脑、打印机等办公设施设备均由供应商自行提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2、根据物业管理委托合同和有关物业管理的法规、政策，组织员工向学校提供物业服务。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3、严格执行学校各项管理制度；工作有计划、总结。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4、负责制定健全各类规章制度和防范措施，指导供应商处置公共突发事件的组织指挥和各种处置方法的拟制、演练。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5、对学校发生的各类安全事故和隐患要认真核实、区分责任，提出处理建议。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6、检查所负责楼宇及周边的清洁卫生和环境美化工作，建立和完善行之有效管理运作流程。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7、定期组织工作例会，通过会议贯彻物业管理质量方针，落实各项工作，及时协调各项工作关系，对员工进行培训和教育，促进服务质量的提高。</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8、定期对所管理的物业区域进行巡查，以便全面检查服务工作质量情况。</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9、负责对所有物业服务人员的业务培训指导和绩效考核。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10、按照传染病防治的工作要求做好各项工作。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11、服从学校工作安排，负责完成学校布置的其他临时性任务。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（四）本项目各区域管理员、保洁员的职责及要求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A．教学楼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日常工作安排：6:00打开教学楼各东西大门、走道灯；7:30劳育学生到岗，做好教育动员并分配工作。准备好全部多媒体教室的话筒，8:20前向师生发放并督促借用人作好登记。上课开始后，一人留在值班室协助老师解决话筒无法使用、讲台无法打开等问题，帮助老师调换教室。另一人楼面巡视，检查保洁员工作情况以及设备设施情况以及节水节电情况；</w:t>
      </w:r>
      <w:r>
        <w:rPr>
          <w:rFonts w:hint="eastAsia" w:ascii="宋体" w:hAnsi="宋体" w:cs="宋体"/>
          <w:color w:val="000000"/>
          <w:sz w:val="24"/>
          <w:szCs w:val="24"/>
        </w:rPr>
        <w:t xml:space="preserve">9:50上课前借、换话筒，为师生提供服务；11:40上午课程结束，整理全部话筒；13:00起准备借下午课程话筒。13:30后一人留守值班室，另一人楼面巡视。检查卫生情况、学生劳动情况以及设备设施、节水节电工作；15:15起锁东门，16:40下课后整理话筒。17:00左右根据天气情况开走道灯。18:00开始借选修课话筒；19:30开始夜自修，管理员轮流楼面巡视，杜绝大声喧哗情况，要求督促学生自觉保持教室卫生、桌椅秩序；20:50开始清场，从5层开始往下关锁教室门窗灯、楼道灯、楼层门；22:30左右结束，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保卫：必须统一服装，佩戴工号牌上岗，工作地点和晚上住宿间由学校统一指定安排，电脑、打印机等办公设备均由供应商自行提供。实行24小时值班制度，并且保证每班2人。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教室内（地面、课桌椅、黑板、讲台、窗台、吊扇、日光灯等）、活动室、楼梯及楼梯扶手、门窗玻璃、消防设施、电开水炉、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（5）钥匙管理：负责楼宇内钥匙的管理、发放等服务工作。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（6）多媒体话筒管理：负责向任课老师发放、回收多媒体话筒工作，做好多媒体话筒的日常管理，发现问题及时向教务处汇报。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日常巡视：对楼内情况进行定时巡查，发现问题及时向站长或学校管理部门反映；遇灾害性天气（如大风、暴雨、暴雪等）以及汛期，必须加强巡查频度，特别要重视夜间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（1）保洁责任区：室内包括除教师办公室及专业实训室以外的所有区域；室外包括教学楼周边广场以及绿化带区域。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所有保洁员必须统一服装，佩戴工号牌上岗；早上每天7:00前到岗，到值班室领取教室钥匙，打开各教室门，完成擦黑板、讲台、清理桌面台肚、扫地面。基本在8:00前做好。然后到卫生间，收倒纸篓，冲洗厕所便池、擦镜面、洗台盆。每幢共计6个卫生间。如有劳育学生，则带领劳育学生一起拖扫走廊、连廊、楼梯，擦栏杆、扶手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（3）每天下午1点前到岗，打扫责任区内教室，冲洗卫生间等，根据地面情况，拖连廊、过道。</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（4）每日完成楼外蛛网、教室玻璃、东西玻璃门、教室内桌面凳面卫生，每周四、五完成教室的地面的拖扫工作。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B．图文楼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（1）日常工作安排：7:00前打开各大门，根据天气情况开馆内灯，7:30劳育学生到岗后，对学生进行课前教育、分配劳动任务。8:00前准备好609心理咨询室各教室钥匙，</w:t>
      </w:r>
      <w:r>
        <w:rPr>
          <w:rFonts w:hint="eastAsia" w:ascii="宋体" w:hAnsi="宋体" w:cs="宋体"/>
          <w:color w:val="000000"/>
          <w:sz w:val="24"/>
          <w:szCs w:val="24"/>
        </w:rPr>
        <w:t xml:space="preserve">供老师借用并督促老师作好登记。8:30起楼面巡视，检查保洁员、劳育学生工作情况，根据天气情况开启自修室空调。检查设施设备，发现问题及时报修。配合维修人员工作，对维修结果进行验收。10：:30劳育学生下课报到，对学生的劳动情况进行点评，并告知下午工作安排。11:40检查609心理咨询教室关锁情况并锁6楼西门。13:00开6楼西门，13:20前准备好609教室钥匙供老师借用。13:30起巡视楼内外。合理安排保洁员日常性工作。16:40以后检查609教室，及时关锁门窗灯。21:30关闭馆内灯、自修室门窗灯，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管理：必须统一服装，佩戴工号牌上岗，工作地点由学校统一指定安排（晚上学校安排单人住宿间），电脑、打印机等办公设备均由供应商自行提供；必须保证每班1人在岗；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自习教室、校史馆、活动室、课桌椅、楼梯及楼梯扶手、门窗玻璃、消防设施、电开水炉、楼宇周边绿化带内无垃圾及其他保洁责任区内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巡视：对楼内（包括地下室）情况进行定时巡查，发现问题及时向物业站长或学校管理部门反映；遇灾害性天气（如大风、暴雨、暴雪等）以及汛期，必须加强巡查频度，特别要重视夜间的巡查，发现情况第一时间通知学校管理部门。夜间巡查由教学楼内管理员负责。</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2、南北门门禁管理员的岗位职责及要求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（1）必须统一服装，佩戴工号牌上岗。在岗期间应仪表整洁，严守工作纪律，不在岗位上做与工作无关的事情。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（2）负责南北门入口值守，严格监督读者刷卡或者刷脸入馆，做好未携带一卡通读者或者校外访问人员的信息登记工作。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（3）阻止零食带入图书馆，指导师生在入口处有序摆放雨伞。</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（4）对门禁系统要熟练掌握开启关闭等常识，读者出门禁有报警现象，认真核查。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（5）完成其他与门禁值守管理相关的工作。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3、保洁员的职责及要求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（1）所有保洁员必须统一服装，佩戴工号牌上岗；每天早上7:00前，下午1点前到岗。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责任区：室内包括除图书馆书库（112、113、114、115、116、117、201、207、301、307）、阅览室（401）、办公室之外的所有区域（包含但不限于自修室、走廊、过道、台阶、玻璃门、大厅、楼梯、栏杆、电梯、卫生间及其他公共设施等），室内外包括楼宇周边广场和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（3）日常工作安排：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楼：打扫2个卫生间，收倒纸篓，冲洗厕所便池、擦镜面、洗台盆。拖书库办公室过道、一楼拖大厅，扫东西平台，擦玻璃门。清理、擦拭学生自习处桌椅，收倒各垃圾桶垃圾，更换垃圾袋。阶段性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楼：打扫2个卫生间，收倒纸篓，冲洗厕所便池、擦镜面、洗台盆。拖大厅过道，擦北大门玻璃，扫大台阶。清理、擦拭学生自习处桌椅，收倒各垃圾桶垃圾，更换垃圾袋。阶段性拖东西楼梯、内楼梯，擦楼梯扶手以及圆弧玻璃，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三楼：打扫2个卫生间，收倒纸篓，冲洗厕所便池、擦镜面、洗台盆。拖过道，阶段性拖东西楼梯、内楼梯，擦楼梯扶手以及圆弧玻璃，擦消防器门、开关面板、掸蛛网等。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四楼：打扫2个卫生间，收倒纸篓，冲洗厕所便池、擦镜面、洗台盆。拖过道，阶段性拖东西楼梯、内楼梯，擦楼梯扶手以及圆弧玻璃，擦消防器门、开关面板、掸蛛网等。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五～七楼：打扫4个卫生间，拖过道，阶段性拖东西楼梯、内楼梯，擦楼梯扶手，擦消防器门、开关面板、掸蛛网等。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每周一、五集体打扫3个自修教室，拖609心理咨询室公共部位地面，根据安排打扫各报告厅、会议室、校史馆卫生。阶段性打扫七层顶平台、地下室、停车场卫生。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C．实训楼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（1）每日安排：7:00前打开各大门，根据天气情况开楼道灯，7:30劳</w:t>
      </w:r>
      <w:r>
        <w:rPr>
          <w:rFonts w:hint="eastAsia" w:ascii="宋体" w:hAnsi="宋体" w:cs="宋体"/>
          <w:color w:val="000000"/>
          <w:sz w:val="24"/>
          <w:szCs w:val="24"/>
        </w:rPr>
        <w:t xml:space="preserve">育学生到岗后，对学生进行课前教育、分配劳动任务。 8:00起楼面巡视，检查区域内设施设备情况，发现问题及时报修。检查楼面，关闭无人灯无人水。接受教师报修，检查保洁员工作，检查劳育学生劳动情况，对学生的劳动进行指导。10：:30劳育学生下课报到，对学生的劳动情况进行点评，并告知下午工作安排。 13:30起楼面巡视，检查区域内设施设备，检查保洁员、劳育学生工作情况。如遇到保洁员汇报学生乱丢垃圾等不文明行为，及时向各系部反映。17:00左右根据天气情况开启楼道灯，21:30起巡视楼面，关闭窗、灯，22:30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管理：必须统一服装，佩戴工号牌上岗，工作地点和晚上住宿间由学校统一指定安排，电脑、打印机等办公设备均由供应商自行提供。实行24小时值班制度，保证每班1人在岗。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（3）卫生管理：巡查楼内公共部位、连廊、楼道、卫生间、楼梯及楼梯扶手、门窗玻璃、电开水炉、消防设施、车库、楼宇周边绿化带内无垃圾及其他保洁责任区的卫生保洁情况，落实保洁工作。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遇灾害性天气（如大风、暴雨、暴雪等）以及汛期，必须加强对楼内的巡查，发现情况第一时间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巡视：对楼内（包括地下车库）情况进行定时巡查，发现问题及时向站长或学校管理部门反映；遇灾害性天气（如大风、暴雨、暴雪等）以及汛期，必须加强巡查频度，特别要重视夜间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2、保洁员的工作职责及要求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（1）所有保洁员必须统一服装，佩戴工号牌上岗；每天早上7:00前，中午1点前到岗。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（2）保洁责任区：室内包括除教师办公室和专业实训室以外的所有区域；室外包括楼宇周边及绿化带。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（3）工作内容及安排：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A幢：共计需打扫12个卫生间卫生，收倒纸篓，冲洗厕所便池、擦镜面、洗台盆。拖大厅1个，拖过道连廊共计8条。收倒全楼垃圾桶垃圾，下班前扔到楼外大垃圾桶。阶段性拖楼梯共计12座，擦拭扶手、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B幢：共计需打扫18个卫生间卫生，收倒纸篓，冲洗厕所便池、擦镜面、洗台盆。拖大厅1个，拖过道连廊共计8条。收倒全楼垃圾桶垃圾，下班前扔到楼外大垃圾桶。阶段性拖楼梯共计12座，擦拭扶手、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C幢：共计需打扫10个卫生间卫生，收倒纸篓，冲洗厕所便池、擦镜面、洗台盆。拖大厅1个，拖过道连廊共计8条。收倒全楼垃圾桶垃圾，下班前扔到楼外大垃圾桶。阶段性拖楼梯共计12座，擦拭扶手、消防器门、开关面板、掸蛛网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D．行政楼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安全及日常管理：必须统一服装，佩戴工号牌上岗，在学校指定办公地点上班。行政楼管理员上班时间与学校行政楼人员一致，每班2人须均在岗；必须服从学校统一安排，根据日常会务等需要进行临时性加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管理：巡查楼内公共部位、连廊、楼道、卫生间、会议室、接待室、活动室、吸烟室、楼梯及楼梯扶手、门窗玻璃、电开水炉、消防设施、楼宇周边绿化带内无垃圾及其他指定保洁责任区的卫生保洁情况，落实保洁工作；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（3）维修管理：发现公共设施损坏及时报修并关注维修情况，维修未完成或有其他情况应及时通知学校管理部门，需做好网上报修和线下报修、维修登记工作。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会务工作：微笑上岗，注重个人仪容仪表。日常保证行政楼各会议室干净整洁、桌椅整齐，每天检查、打扫、清理。负责行政楼会议室内灯具、音响、投影、视频等设施设备的调试、使用及日常维护。做好会议（活动）前期工作：包括会议室台形摆放，会场席卡打印、摆放，会场投影调试、准备；会务电脑准备，会议资料打印、摆放，会场瓷杯、茶水布置等；以及校长办公室要求的其他会议前期准备事项。做好会议（活动）期间工作：现场音响、话筒保障，茶水服务（校级活动期间）等。做好会议（活动）收尾工作：会场整理、设备检查归位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（5）智能化设备管理：承担会议室等场所中的智能化设备的安全管理和日常维护，做好智能化设备使用前的调试工作，发现问题及时向院办汇报。</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（6）日常巡视：对楼内情况进行定时巡查，发现问题及时向站长或学校管理部门反映；遇灾害性天气（如大风、暴雨、暴雪等）以及汛期，必须加强对楼内的巡查，发现情况第一时间通知学校管理部门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（8）活动保障：学校重大活动（会议）场地布置、茶水保障等配套保障服务。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（1）保洁责任区：室内包括除普通教职员工办公室以外的所有区域；室外包括楼宇周边广场及绿化带区域。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（2）必须在上班前完成所有会议室及公共区域的清洁、通风，同时需完成校领导办公室内的保洁及泡开水工作。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保洁员必须统一服装，佩戴工号牌上岗。每日早上上班时间为7：00前；下午1点前,二楼层保洁员下午比学院下班时间延时半小时锁楼层门。延时时间内完成楼面应急工作以及会议室的收拾打扫。一、二楼保洁员负责打开行政楼一楼、二楼的8扇通道门，打开校领导办公室、会议室、吸烟室的门窗，三楼、四楼保洁员到岗后首先到二楼协助</w:t>
      </w:r>
      <w:r>
        <w:rPr>
          <w:rFonts w:hint="eastAsia" w:ascii="宋体" w:hAnsi="宋体" w:cs="宋体"/>
          <w:color w:val="000000"/>
          <w:sz w:val="24"/>
          <w:szCs w:val="24"/>
        </w:rPr>
        <w:t xml:space="preserve">。具体分工如下：二楼、四楼保洁员负责每个办公室的桌椅、地面的清洁，三楼保洁员负责每个办公室、会议室泡水以及领导自用杯子、待客瓷杯清洁。全部办公室打扫工作完成后，由三楼保洁员负责关窗、锁门。以上工作必须在8点左右全部完成。然后二楼、四楼保洁员共同打扫221、223的卫生，内容包括桌面、椅子、窗台、烟灰缸的擦洗。打扫二楼南卫生间的卫生、毛巾消毒，以上工作在8点30左右全部完成后，各保洁员分楼层独自完成区域工作任务。因一楼人流量较大，一楼保洁员到岗后首先清洁地面以确保8点左右地面干燥，无法参与其他楼层的协助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日常工作内容：地面、楼梯、扶手、楼面窗台窗户清洁擦洗；盥洗室卫生间的水池、便池、镜面、洗台盆、窗户的清洁并收倒纸篓，更换垃圾袋；。其中二楼南卫生间便池每天用84消毒一次，其他6个卫生间便池每周用84消毒2次。鱼池每天用专门的打捞工具清洁，每周喂鱼3次。所有会议室窗户每天安排清洁，会议室桌椅每天必须擦拭以便随时可以接待会议。每天清洗、更换137值班室的床上用品。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E．文体楼</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1、物业管理员的岗位职责及要求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安全管理：必须统一服装，佩戴工号牌上岗，工作地点由学校统一安排（晚上学校可安排单人住宿间），电脑、打印机等办公设备均由供应商自行提供。保必须证每班1人在岗；要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（2）卫生管理：巡查楼内公共部位、连廊、楼道、卫生间、楼梯及楼梯扶手、门窗玻璃、电开水炉、消防设施、楼宇周边绿化带内无垃圾及其他保洁责任区的卫生保洁情况，落实保洁工作。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（3）维修管理：检查各个体育设施和公共设施的安全状况，发现设施损坏及时报修并关注维修情况，维修未完成或有其他情况应及时通知学校管理部门，并需做好网上报修和线下报修、维修登记工作。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日常巡视：对楼内情况进行定时巡查，发现问题及时向站长或学校管理部门反映；遇灾害性天气（如大风、暴雨、暴雪等）以及汛期，必须加强巡查频度，特别要重视夜间的巡查，发现情况第一时间通知学校管理部门。夜间巡查由实训楼内管理员负责。</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（6）活动保障：楼内举行重大活动（会议）场地布置、窗帘开关、器材搬运等配套保障服务。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（8）如遇高温天气，根据学校的要求在指定地点为师生提供免费冷开水。（打水、储水等设备均由学校提供）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2、器材管理员的岗位职责及要求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（1）必须统一服装，佩戴工号牌上岗，工作地点由学校统一安排。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（2）熟悉各种器材的保管方法、基本养护及维修，会简单的修理器材的技术（如乒乓球拍沾拍、羽毛球拍穿线等）。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（3）负责器材的出借和分发，并做好台账、出入库和报废管理。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（4）定期检查运动场地及运动器材的安全隐患，及时报修。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（5）初步了解各类体育赛事的规则，并能协助体育部做好赛事准备和辅助裁判工作。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（1）必须统一服装，佩戴工号牌上岗。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（2）责任区：室内除教室办公室和健身房以外的所有区域；室外包括楼宇周边广场及绿化带区域。</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工作安排：每天7:00前到岗，分工打扫一、二楼各2个卫生间以及各自楼层走廊，要求镜面干净透亮，纸篓清理干净，地面拖干净。7:20后打扫西辅房卫生间卫生，10:00前带领劳育学生完成106、108、110、119等综合球馆的卫生，擦乒乓台。下班前再次打扫一遍卫生间。</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午1点前上班，并带领劳育学生一起拖楼梯、擦栏杆扶手、擦玻璃，打扫卫生间卫生，洗刷便池、台盆。打扫体育看台下卫生间2个。每天完成各活动室的扶手、镜面、器材卫生，馆内蛛网清掸。做好清洁西辅房2楼卫生间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（4）每日完成楼宇周边绿化带内的保洁，确保绿化带内无垃圾。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F、工业互联网产学研创中心</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（1）每日安排：7:00前打开各大门，根据天气情况开楼道灯，7:30</w:t>
      </w:r>
      <w:r>
        <w:rPr>
          <w:rFonts w:hint="eastAsia" w:ascii="宋体" w:hAnsi="宋体" w:cs="宋体"/>
          <w:color w:val="000000"/>
          <w:sz w:val="24"/>
          <w:szCs w:val="24"/>
        </w:rPr>
        <w:t xml:space="preserve">劳育学生到岗后，对学生进行课前教育、分配劳动任务。 8:00起楼面巡视，检查区域内设施设备情况，发现问题及时报修。检查楼面，关闭无人灯无人水。接受教师报修，检查保洁员工作，检查劳育学生劳动情况，对学生的劳动进行指导。10:30劳育学生下课报到，对学生的劳动情况进行点评，并告知下午工作安排。 13:30起楼面巡视，检查区域内设施设备，检查保洁员、劳育学生工作情况。如遇到保洁员汇报学生乱丢垃圾等不文明行为，及时向各系部反映。17:00左右根据天气情况开启楼道灯，21:30起巡视楼面，关闭窗、灯，22:30闭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安全管理：必须统一服装，佩戴工号牌上岗，工作地点和晚上住宿间由学校统一指定安排，电脑、打印机等办公设备均由乙方自行提供。实行24小时值班制度，保证每班1人在岗。建立严格规范的外来人员联系登记及大件物品出门管理制度；日常及时做好清场检查、关锁门窗工作，休息日、节假日严格控制人员进入；楼内禁止堆放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（3）卫生管理：巡查楼内公共部位、连廊、楼道、卫生间、楼梯及楼梯扶手、门窗玻璃、电开水炉、消防设施、车库、楼宇周边绿化带内无垃圾及其他保洁责任区的卫生保洁情况，落实保洁工作。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维修管理：发现公共设施损坏及时报修并关注维修情况，维修未完成或有其他情况应及时通知学校管理部门，需做好网上报修和线下报修、维修登记工作；遇灾害性天气（如大风、暴雨、暴雪等）以及汛期，必须加强对楼内的巡查，发现情况第一时间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日常巡视：对楼内（包括地下车库）情况进行定时巡查，发现问题及时向站长或学校管理部门反映；遇灾害性天气（如大风、暴雨、暴雪等）以及汛期，必须加强巡查频度，特别要重视夜间的巡查，发现情况第一时间通知学校管理部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（6）日常接待：</w:t>
      </w:r>
      <w:r>
        <w:rPr>
          <w:rFonts w:hint="eastAsia" w:ascii="宋体" w:hAnsi="宋体" w:cs="宋体"/>
          <w:color w:val="000000"/>
          <w:sz w:val="24"/>
          <w:szCs w:val="24"/>
          <w:lang w:eastAsia="zh-TW"/>
        </w:rPr>
        <w:t xml:space="preserve">处理日常接待咨询服务</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严肃办公秩序</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认真对待服务对象的投诉</w:t>
      </w:r>
      <w:r>
        <w:rPr>
          <w:rFonts w:hint="eastAsia" w:ascii="宋体" w:hAnsi="宋体" w:cs="宋体"/>
          <w:color w:val="000000"/>
          <w:sz w:val="24"/>
          <w:szCs w:val="24"/>
        </w:rPr>
        <w:t xml:space="preserve">，</w:t>
      </w:r>
      <w:r>
        <w:rPr>
          <w:rFonts w:hint="eastAsia" w:ascii="宋体" w:hAnsi="宋体" w:cs="宋体"/>
          <w:color w:val="000000"/>
          <w:sz w:val="24"/>
          <w:szCs w:val="24"/>
          <w:lang w:eastAsia="zh-TW"/>
        </w:rPr>
        <w:t xml:space="preserve">建立投诉记录</w:t>
      </w:r>
      <w:r>
        <w:rPr>
          <w:rFonts w:hint="eastAsia" w:ascii="宋体" w:hAnsi="宋体" w:cs="宋体"/>
          <w:color w:val="000000"/>
          <w:sz w:val="24"/>
          <w:szCs w:val="24"/>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（7）活动保障：学校重大活动（会议）场地布置等配套保障服务。</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（8）台账管理：落实楼内日常工作的台账记录，并做好整理、归类工作。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（9）按物业管理规范要求做好其他属于物业管理范围内的工作及学校安排的临时性工作。</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2、保洁员的工作职责及要求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（1）所有保洁员必须统一服装，佩戴工号牌上岗；每天早上7:00前，中午1点前到岗。</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（2）保洁责任区：室内包括除教师办公室和专业实训室以外的所有公共区域以及报告厅内地面、桌面等所有场所；室外包括大楼周边及绿化带。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3、会务管理员的工作职责及要求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微笑上岗，注重个人仪容仪表。做好会议（活动）前期工作：包括会场席卡摆放，会场瓷杯、茶水布置等。做好会议（活动）期间工作：茶水服务（校级活动期间）等。做好会议（活动）收尾工作：会场整理。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G、继续教育学院保洁员的岗位职责及要求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继续教育学院保洁员必须统一服装，佩戴工号牌上岗，认真做好责任区的各项清洁工作，主要包括：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1、环境卫生制度健全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（1）制定环境卫生管理制度、公共部位检查、室内卫生检查有专项要求。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（2）有定期对楼内进行消杀和传染病预防的具体措施和制度。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2、楼内清洁管理的要求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（1）保洁人员上岗前必须进行岗前培训。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（2）保洁人员应有明确的岗位职责和工作流程。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（3）卫生清洁工具及配套设备齐全，楼内清洁卫生应每天至少开展三次（上、中、下午各一次），特殊时期加强清洁频率，及时清除楼内外垃圾，不得堆积。</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（4）制定环境卫生检查标准，有记录。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（5）环境卫生满意度应达到80%以上。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3、楼内公共部位环境标准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（1）楼内公共场所（地、墙、走廊、厕所等）环境整洁干净，无污迹、无积灰、无异味、无蛛网。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（2）楼内无蚊蝇、蟑螂、鼠害。春秋季采取适当措施对楼内公共区域进行整体消毒，有定期消杀计划、记录。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（3）楼道、楼梯、地面、墙面清洁，无破损，无卫生死角。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（4）楼道内外无私拉电线或网线。</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（5）公共厕所、盥洗间标识齐全、设备完好；室内空气流通无异味；便池无污垢，隔板干净，瓷砖面洁白；墙面和天花板无灰尘无蜘蛛网；下水道畅通。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4、公共卫生间的要求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（1）卫生间便池清洗干净。</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（2）卫生间纸篓里的垃圾袋每天清理更换。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（3）卫生间地面拖洗干净，不留垃圾和污渍，对出现的“牛皮癣”及时清理。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（4）每周需对卫生间便池用清洁剂清洗一次，保持无尿垢、无臭味。</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5、其他保洁要求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（1）教室内讲台、清理桌面台肚、扫地面干净，无废纸、杂物。</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（2）展览馆内地面，培训室地面干净整洁。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（3）室外公共地面卫生打扫干净，保持干净整洁。</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H、信息产业园保洁员的岗位职责及要求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信息产业园保洁员必须统一服装，佩戴工号牌上岗，认真做好责任区的各项清洁工作，主要包括：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1、环境卫生制度健全</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（1）制定环境卫生管理制度、公共部位检查、室内卫生检查有专项要求。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（2）有定期对楼内进行消杀和传染病预防的具体措施和制度。</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2、楼内清洁管理的要求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（1）保洁人员上岗前必须进行岗前培训。</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（2）保洁人员应有明确的岗位职责和工作流程。</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（3）卫生清洁工具及配套设备齐全，楼内清洁卫生应每天至少开展三次（上、中、下午各一次），特殊时期加强清洁频率，及时清除楼内外垃圾，不得堆积。</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（4）制定环境卫生检查标准，有记录。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（5）环境卫生满意度应达到80%以上。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3、楼内公共部位环境标准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（1）楼内公共场所（地、墙、走廊、厕所等）环境整洁干净，无污迹、无积灰、无异味、无蛛网。</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（2）楼内无蚊蝇、蟑螂、鼠害。春秋季采取适当措施对楼内公共区域进行整体消毒，有定期消杀计划、记录。</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（3）楼道、楼梯、地面、墙面清洁，无破损，无卫生死角。</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（4）楼道内外无私拉电线或网线。</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（5）公共厕所、盥洗间标识齐全、设备完好；室内空气流通无异味；便池无污垢，隔板干净，瓷砖面洁白；墙面和天花板无灰尘无蜘蛛网；下水道畅通。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4、公共卫生间的要求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（1）卫生间便池清洗干净。</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（2）卫生间纸篓里的垃圾袋每天清理更换。</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（3）卫生间地面拖洗干净，不留垃圾和污渍，对出现的“牛皮癣”及时清理。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（4）每周需对卫生间便池用清洁剂清洗一次，保持无尿垢、无臭味。</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（五）本项目人员的管理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1、供应商承诺必须在管理期内所有人员由于个人或供应商管理不善等原因造成学校人员伤害或财产损失的，由供应商先行承担赔付，或由学校从服务承包经费扣除。赔付金额有学校与供应商协商确定。</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2、楼宇管理员、保洁员出现包括但不限于以下情况的，相关人员退回公司处理。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（1）在防火、防用电事故、防人身伤害及管理等方面出现失误，造成后果者。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（2）突发事件隐瞒不报或者处置不当、掩盖真相，造成不良后果，经调查负有直接责任者。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（3）私藏、私拿、索取校内物品的和未经许可擅自买卖废品造成恶劣影响的行为者。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（4）工作态度、业绩及服务能力，经培训、提醒，均无改进、提高或不服从管理者。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（5）因个人原因不能正常工作或造成学校经济或声誉损失者。</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（6）其他未尽事项由合同约束，相关管理和考核标准由学校管理部门负责解释。</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二、物业服务管理考核要求</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校管理部门根据《常州信息职业技术学院楼宇监管细则》、《常州信息职业技术学院日常保洁考核表》、《常州信息职业技术学院节能、维修、用电系统等职责要求》及满意度测评等要求对楼宇物业供应商定期进行考核管理。每月检查考核得分按比例之和为物业管理月度考核综合分，其中日常检查分数占50%，满意度测评占30%，月度专项检查占20%。</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2、供应商如拒绝配合考核，学校单独组织考核，考核结果具有同等效力。</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3、供应商连续两个月考核分数低于70分或一年内累计三个月考核分数低于70分，学校有权单方面终止合同。</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三、其他要求</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1、供应商所用人员必须按照相关劳动法律法规的规定执行，如遇到工资纠纷问题由供应商自行解决。</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2、供应商</w:t>
      </w:r>
      <w:r>
        <w:rPr>
          <w:rFonts w:hint="eastAsia" w:ascii="宋体" w:hAnsi="宋体" w:cs="宋体"/>
          <w:color w:val="000000"/>
          <w:spacing w:val="2"/>
          <w:sz w:val="24"/>
          <w:szCs w:val="24"/>
          <w:lang w:eastAsia="zh-TW"/>
        </w:rPr>
        <w:t xml:space="preserve">根据专业服务的要求</w:t>
      </w:r>
      <w:r>
        <w:rPr>
          <w:rFonts w:hint="eastAsia" w:ascii="宋体" w:hAnsi="宋体" w:cs="宋体"/>
          <w:color w:val="000000"/>
          <w:spacing w:val="2"/>
          <w:sz w:val="24"/>
          <w:szCs w:val="24"/>
        </w:rPr>
        <w:t xml:space="preserve">，所有管理人员以及保洁</w:t>
      </w:r>
      <w:r>
        <w:rPr>
          <w:rFonts w:hint="eastAsia" w:ascii="宋体" w:hAnsi="宋体" w:cs="宋体"/>
          <w:color w:val="000000"/>
          <w:spacing w:val="2"/>
          <w:sz w:val="24"/>
          <w:szCs w:val="24"/>
          <w:lang w:eastAsia="zh-TW"/>
        </w:rPr>
        <w:t xml:space="preserve">服务人员</w:t>
      </w:r>
      <w:r>
        <w:rPr>
          <w:rFonts w:hint="eastAsia" w:ascii="宋体" w:hAnsi="宋体" w:cs="宋体"/>
          <w:color w:val="000000"/>
          <w:spacing w:val="2"/>
          <w:sz w:val="24"/>
          <w:szCs w:val="24"/>
        </w:rPr>
        <w:t xml:space="preserve">必须</w:t>
      </w:r>
      <w:r>
        <w:rPr>
          <w:rFonts w:hint="eastAsia" w:ascii="宋体" w:hAnsi="宋体" w:cs="宋体"/>
          <w:color w:val="000000"/>
          <w:spacing w:val="2"/>
          <w:sz w:val="24"/>
          <w:szCs w:val="24"/>
          <w:lang w:eastAsia="zh-TW"/>
        </w:rPr>
        <w:t xml:space="preserve">要统一着装、佩戴工号</w:t>
      </w:r>
      <w:r>
        <w:rPr>
          <w:rFonts w:hint="eastAsia" w:ascii="宋体" w:hAnsi="宋体" w:cs="宋体"/>
          <w:color w:val="000000"/>
          <w:spacing w:val="2"/>
          <w:sz w:val="24"/>
          <w:szCs w:val="24"/>
        </w:rPr>
        <w:t xml:space="preserve">牌，</w:t>
      </w:r>
      <w:r>
        <w:rPr>
          <w:rFonts w:hint="eastAsia" w:ascii="宋体" w:hAnsi="宋体" w:cs="宋体"/>
          <w:color w:val="000000"/>
          <w:spacing w:val="2"/>
          <w:sz w:val="24"/>
          <w:szCs w:val="24"/>
          <w:lang w:eastAsia="zh-TW"/>
        </w:rPr>
        <w:t xml:space="preserve">岗位职责公开公布。</w:t>
      </w:r>
      <w:r>
        <w:rPr>
          <w:rFonts w:hint="eastAsia" w:ascii="宋体" w:hAnsi="宋体" w:cs="宋体"/>
          <w:color w:val="000000"/>
          <w:spacing w:val="2"/>
          <w:sz w:val="24"/>
          <w:szCs w:val="24"/>
        </w:rPr>
        <w:t xml:space="preserve">员工服装由供应商自行提供。</w:t>
      </w:r>
      <w:r/>
    </w:p>
    <w:p>
      <w:pPr>
        <w:ind w:firstLine="488"/>
        <w:spacing w:line="440" w:lineRule="exact"/>
        <w:widowControl/>
        <w:rPr>
          <w:rFonts w:hint="eastAsia" w:ascii="宋体" w:hAnsi="宋体" w:cs="宋体"/>
          <w:color w:val="000000"/>
          <w:sz w:val="24"/>
          <w:szCs w:val="24"/>
        </w:rPr>
      </w:pPr>
      <w:r>
        <w:rPr>
          <w:rFonts w:hint="eastAsia" w:ascii="宋体" w:hAnsi="宋体" w:cs="宋体"/>
          <w:color w:val="000000"/>
          <w:spacing w:val="2"/>
          <w:sz w:val="24"/>
          <w:szCs w:val="24"/>
        </w:rPr>
        <w:t xml:space="preserve">3、合同期内若出现人员数量变动（减少），按供应商岗位报价减去相关费用。</w:t>
      </w:r>
      <w:r/>
    </w:p>
    <w:p>
      <w:pPr>
        <w:pStyle w:val="946"/>
        <w:ind w:left="0"/>
        <w:spacing w:line="440" w:lineRule="exact"/>
        <w:rPr>
          <w:i/>
          <w:iCs/>
          <w:lang w:eastAsia="zh-CN"/>
        </w:rPr>
      </w:pPr>
      <w:r>
        <w:rPr>
          <w:rFonts w:hint="eastAsia" w:ascii="宋体" w:hAnsi="宋体" w:cs="宋体"/>
          <w:color w:val="000000"/>
          <w:lang w:eastAsia="zh-CN"/>
        </w:rPr>
        <w:br w:type="page" w:clear="all"/>
      </w:r>
      <w:r>
        <w:rPr>
          <w:rFonts w:hint="eastAsia"/>
          <w:lang w:eastAsia="zh-CN"/>
        </w:rPr>
        <w:t xml:space="preserve">（三）</w:t>
      </w:r>
      <w:r>
        <w:rPr>
          <w:lang w:eastAsia="zh-CN"/>
        </w:rPr>
        <w:t xml:space="preserve">验收标准</w:t>
      </w:r>
      <w:r/>
    </w:p>
    <w:p>
      <w:pPr>
        <w:ind w:firstLine="482"/>
        <w:spacing w:line="440" w:lineRule="exact"/>
        <w:widowControl/>
        <w:rPr>
          <w:rFonts w:hint="eastAsia"/>
          <w:b/>
          <w:sz w:val="24"/>
          <w:szCs w:val="24"/>
        </w:rPr>
      </w:pPr>
      <w:r>
        <w:rPr>
          <w:rFonts w:hint="eastAsia"/>
          <w:b/>
          <w:sz w:val="24"/>
          <w:szCs w:val="24"/>
        </w:rPr>
        <w:t xml:space="preserve">包1：</w:t>
      </w:r>
      <w:r/>
    </w:p>
    <w:p>
      <w:pPr>
        <w:ind w:firstLine="482"/>
        <w:spacing w:line="440" w:lineRule="exact"/>
        <w:widowControl/>
        <w:rPr>
          <w:rFonts w:hint="eastAsia"/>
          <w:b/>
          <w:sz w:val="24"/>
          <w:szCs w:val="24"/>
        </w:rPr>
      </w:pPr>
      <w:r>
        <w:rPr>
          <w:rFonts w:hint="eastAsia"/>
          <w:b/>
          <w:sz w:val="24"/>
          <w:szCs w:val="24"/>
        </w:rPr>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
          <w:bCs/>
          <w:color w:val="000000"/>
          <w:sz w:val="24"/>
          <w:szCs w:val="24"/>
        </w:rPr>
        <w:t xml:space="preserve">常州信息职业技术学院学生公寓物业管理考核细则</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为了加强对常州信息职业技术学院学生公寓物业管理的监管，提高物业管理整体水平，形成高效有序的运行机制，切实贯彻“规范化管理，人性化服务，多样化育人”的物业管理总要求。特制订本考核细则。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安全管理要求（25分）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1、学生公寓实行24小时值班制度，每天做好值班和交接班记录；值班人员每周查夜3次以上并认真作记录，发现异常情况及时上报各二级学院、校学生处。（4分）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师生凭胸牌等证件进出公寓，外来人员进入须凭本人有效证件，管理员要同时做好登记、问询和检查记录等工作。严禁闲杂人员、小商、小贩入内，任何人不得在公寓内兜售物品；学生不得进入异性寝室；异性家长进入学生公寓须由学生本人陪同并征得管理员同意，管理员要认真核对证件、办理登记手续；夜晚任何异性人员（工作人员除外）不得进出公寓，管理员要严格把关并随时巡查。（6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学生公寓无火灾、无治安、刑事案件发生。每周2次以上安全、消防检查及时消除安全隐患，并做好相关记录；每年进行一次以上的安全、消防演习；公寓内无违章使用大功率电器和不合格电器、寝室内无乱拉电线和插座、无使用床头灯等现象；在公寓内严禁任何人使用明火。（8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4、制订公寓钥匙管理规定，钥匙的保管、领用、借用等按规定执行。（2分）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5、制订学生公寓各类突发事件的处理预案，定期进行演练，有突发事件按预案及时处理，并迅速上报校学生处和保卫处。（5分）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二、公共卫生要求（20分）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1、学生公寓走廊、楼梯等公共部位每天清扫2次以上，拖洗1次，楼梯扶手每天抹一次以上，并全天保持整洁；做到地面无积水、无杂物、无垃圾、无痰迹。（4分）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2、门窗玻璃明亮、窗台上无杂物、墙面上磁砖无破损、墙面无划损、无灰尘、无蜘蛛网、无污迹、无乱张贴。（4分）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学生公寓四周环境优美，责任区每天清扫2次以上，并全天保持整洁；做到地面无积水、无泥垢、无痰迹、无纸屑、无瓜皮果壳，道路上无杂物乱堆乱放现象，保持水池、地漏、阴沟等排水通畅；绿化区内做到无杂物、无杂草、无枯草、修剪及时、整齐美观，绿化设施完好。公寓楼门前无乱停、乱放车辆的现象。（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4、学生公寓四周定期灭杀蚊子、苍蝇、老鼠等害虫，做到无滋生源；做好传染病的预防和防止传染病扩散的预案。（3分）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5、学生公寓楼的外立面保持整洁，无污迹、无乱悬挂、无乱张贴。（2分）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6、学生公寓内垃圾做到日产日清，并按要求把垃圾运到指定位置。（2分）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三、维修服务与设备管理要求（10分）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1、学生公寓的公共财物齐全、无人为损坏；公共部位的照明和应急灯具必须每天巡查保证完好无缺。（5分）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2、定期楼内对水电设施、消防器材等其他公用设施设备进行巡查，发现问题及时上报学校管理部门，所有检查、维护、报修、维修均须做好相关记录。（5分）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四、学生内务管理要求（20分）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1、学生寝室内物品摆放整齐划一，地面无污迹、纸屑等，桌面、墙面、门、窗台无污迹、无灰尘、无划痕、无乱张贴，窗户玻璃明亮；环境清洁高雅，卫生间无异味，阳台整洁无杂物。（6分）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2、管理站建立、建全各种学生管理档案。如“学生档案卡、花名册”等，随时供学校相关管理部门调阅。（2分）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3、公寓管理员参照学校《公寓日常检查工作细则》的要求，每天对学生寝室的内务进行早晚查房，及时将检查情况汇总并报学校学生处。（4分）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4、学生公寓内无吸烟、酗酒现象。（3分）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5、学生公寓物业管理员要对内务未达到优良的学生寝室主动进行个别辅导，耐心帮助学生进步，使公寓整体优良率达到90%以上。（2分）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6、管理站主动配合做好学校相关管理部门分配的其他工作。如：发布通知、张贴海报、发放物品等。（3分）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五、公寓文化建设与思想教育要求（10分）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1、在学生公寓内积极宣传党和国家及校区的相关政策和制度。配合推进学生党团组织进公寓和学生思想政治教育进公寓的工作。（2分）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2、掌握学生的思想动态，及时做好引导、说服、教育工作，定期书面向学院管理部门反映学生在公寓内的表现和动态。（2分）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3、积极配合学院做好学生公寓区的各项活动的开展。（3分）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4、开展丰富多彩的文化活动，努力在公寓内营造一个“家” 的氛围。（3分）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六、物业管理站内部管理要求（7分）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1、管理站人员完全按照合同要求配备齐全，不缺勤、不脱岗。管理站人员挂牌上岗，持证上岗，主动接受师生的监督。（1分）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2、管理站内部环境优美整洁，各项规章制度、岗位责任制度齐全并挂在醒目的地方。管理站建立、建全各种管理档案。如“维修档案”等，随时供学院相关管理部门调阅。（1分）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3、管理站人员服装统一、整齐，纪律严明。（1分）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4、学生公寓物业管理员对待师生态度要谦和、服务热情，杜绝和师生争吵的现象。（1分）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5、在一次随机调查中师生对管理站的满意率达到85%以上。（3分）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七、特色服务和特色管理要求（8分）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1、天气、友情提示服务。（2分）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2、为学生病号提供温暖服务。（2分）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3、及时完成校区的临时性服务要求及其他特色服务。（2分）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4、特色管理。（2分）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八、附则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1、供应商都必须按本标准严格进行管理，学院管理部门将按本标准对物业管理的质量进行检查、考核。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2、考核形式：定期检查与日常随机抽查相结合，专职管理人员检查与相关部门检查相结合，学校管理人员检查与学生组织检查相结合，学生座谈听取意见与问卷调查相结合。</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3、考核组成员的组成：管理部门管理人员、学生处管理人员、二级学院公寓辅导员、公寓学生代表等。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4、考核标准：考核成绩70分为合格线，70≤考核分数＜80为一般，80≤考核分数＜90为良，考核分数 ≥90为优。（对学生公寓中发生重大安全事故的供应商，学校实行一票否决制。）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奖惩措施：对在考核检查中发现的问题，学校发出整改通知单限期整改；如果物业管理站在限期内未能整改到位或同一问题连续两次被限期整改，学校将对物业管理站所属乙方予以1000元/次的违约金。对公寓中发生重大安全事故的供应商学校实行一票否决制，并由相关部门追究供应商的责任。对连续三次被评为优秀的物业管理站，学院将给予通报表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考核中如发现有本考核标准中未涉及的违规行为，由考核人员根据招标文件、合同及附件中的有关约定处理；如因受托供应商违规而引发其他问题根据学校的管理规定处理，责任重大的将按有关法律程序由相关执法部门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7、考核办法自公布之日起实施，解释权归常州信息职业技术学院。</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bl>
      <w:tblPr>
        <w:tblStyle w:val="713"/>
        <w:tblW w:w="0" w:type="auto"/>
        <w:tblInd w:w="-15" w:type="dxa"/>
        <w:tblLayout w:type="fixed"/>
        <w:tblCellMar>
          <w:left w:w="15" w:type="dxa"/>
          <w:top w:w="15" w:type="dxa"/>
          <w:right w:w="15" w:type="dxa"/>
          <w:bottom w:w="15" w:type="dxa"/>
        </w:tblCellMar>
        <w:tblLook w:val="04A0" w:firstRow="1" w:lastRow="0" w:firstColumn="1" w:lastColumn="0" w:noHBand="0" w:noVBand="1"/>
      </w:tblPr>
      <w:tblGrid>
        <w:gridCol w:w="442"/>
        <w:gridCol w:w="1072"/>
        <w:gridCol w:w="5582"/>
        <w:gridCol w:w="1238"/>
      </w:tblGrid>
      <w:tr>
        <w:trPr>
          <w:trHeight w:val="555"/>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442"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072"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rPr>
              <w:t xml:space="preserve"> </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5582"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   </w:t>
            </w:r>
            <w:r/>
          </w:p>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常州信息职业技术学院公寓监管考核表</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1238" w:type="dxa"/>
            <w:vAlign w:val="bottom"/>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rPr>
              <w:t xml:space="preserve"> </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违约情况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违约金（元）</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管理制度不上墙，考核、检查等管理台账记录缺失或登记不及时。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工作人员数量未按协议要求配置（缺编人数大于总人数2%，同类岗位连续缺位超过一周）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没有规范用工，对员工没有进行职能培训。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楼宇周边、门口有生活垃圾。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公共部位卫生不达标，卫生间污垢多异味重，楼道（含楼梯台阶）地面有污垢现象（如口香糖、痰迹、垃圾、杂物等）。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楼梯扶手有积灰、蜘蛛网；楼梯底下有堆放杂物，卫生工具、保洁用品有乱放。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露天平台、雨台（积水台）、屋顶、走廊等有烟头、纸屑等丢弃物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窗台、门窗玻璃、玻璃隔断等有灰尘污渍，窗槽内有垃圾。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墙面，顶面或贴脚线等处有积灰蛛网。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标牌标识、开关面板有污渍，电灯、电扇、空调等有积灰蛛网。</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有乱张贴、小广告或乱涂乱画现象，过期通知、宣传材料等未及时除净。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厕所间有异味，地面有积水或脚印，台盆、龙头等设备设施上有灰尘或污垢、长流水现象。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开水房、洗衣房、浴室等清扫不及时，垃圾处理不及时等。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垃圾桶内外不整洁卫生，有异味，垃圾没有实行袋装化管理，不及时清理消毒。</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警告警示标识不明显或未设置（如禁烟、防火等）。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消防、安全防范工作不到位，消防设施设备损坏不能及时报修，存在安全隐患。</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消防箱内有杂物，疏散通道、楼梯周边等公共区域停放代步工具或堆放杂物。</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有私拉乱接线路、违规使用大功率电器等现象。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公寓门口车辆无人管理，地面卫生清洁不到位，车辆停放无序凌乱有安全隐患等。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无完整的报修维修记录，报修不及时。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设施设备有安全隐患时或修复前未在现场设置警示标识、未向甲方及时汇报。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52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管理服务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学生公寓设施设备、钥匙管理不到位，未按相关借用或未经许可私自外借等。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外来人员管理不到位，有混入或者登记手续不规范情况。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楼内节能检查工作不到位，水龙头滴水不报修，楼内存在开无人灯，开无人扇，开无人空调等。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管理员、保洁员与师生发生冲突或师生投诉经查属实。因服务态度和服务质量导致的师生投诉，私自夹带物品回家等。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早、晚查房不能按学生处要求完成或完成质量不达标。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管理人员脱岗、串岗、干私活、玩游戏等做与工作无关的事情。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31</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管理人员不服从监管，整改不及时不到位。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新生接待及新生宿舍清理工作不到位，影响新生正常入住和安全，毕业生离校办理管理不到位、台账记录不清晰等</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33</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满意度综合测评未达到80%以上。</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w:t>
            </w:r>
            <w:r/>
          </w:p>
        </w:tc>
      </w:tr>
      <w:tr>
        <w:trPr>
          <w:trHeight w:val="3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072"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其它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未履行投标文件中的承诺或出现履行合同条款不到位情况。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100~500/项</w:t>
            </w:r>
            <w:r/>
          </w:p>
        </w:tc>
      </w:tr>
      <w:tr>
        <w:trPr>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0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58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内部管理不到位，有发生争吵、打架、偷盗等违规违法现象，给学校造成不良影响的。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3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rHeight w:val="675"/>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bottom w:w="15" w:type="dxa"/>
            </w:tcMar>
            <w:tcW w:w="833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备注：上述违约金按次计算，违约金均为首次违约标准；若整改不到位，同类违约现象再次发生，违约金标准翻倍。此考核细则根据实际管理情况每年可修订一次，供应商需无条件服从。        </w:t>
            </w:r>
            <w:r/>
          </w:p>
        </w:tc>
      </w:tr>
    </w:tbl>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p>
      <w:pPr>
        <w:spacing w:line="440" w:lineRule="exact"/>
        <w:widowControl/>
        <w:rPr>
          <w:rFonts w:ascii="宋体" w:hAnsi="宋体" w:cs="Calibri"/>
          <w:color w:val="000000"/>
          <w:sz w:val="24"/>
          <w:szCs w:val="24"/>
        </w:rPr>
      </w:pPr>
      <w:r>
        <w:rPr>
          <w:rFonts w:ascii="宋体" w:hAnsi="宋体" w:cs="Calibri"/>
          <w:color w:val="000000"/>
          <w:sz w:val="24"/>
          <w:szCs w:val="24"/>
        </w:rPr>
        <w:t xml:space="preserve"> </w:t>
      </w:r>
      <w:r/>
    </w:p>
    <w:p>
      <w:pPr>
        <w:spacing w:line="440" w:lineRule="exact"/>
        <w:widowControl/>
        <w:rPr>
          <w:rFonts w:ascii="宋体" w:hAnsi="宋体" w:cs="Calibri"/>
          <w:color w:val="000000"/>
          <w:sz w:val="24"/>
          <w:szCs w:val="24"/>
        </w:rPr>
      </w:pPr>
      <w:r>
        <w:rPr>
          <w:rFonts w:ascii="宋体" w:hAnsi="宋体" w:cs="Calibri"/>
          <w:color w:val="000000"/>
          <w:sz w:val="24"/>
          <w:szCs w:val="24"/>
        </w:rPr>
      </w:r>
      <w:r/>
    </w:p>
    <w:p>
      <w:pPr>
        <w:spacing w:line="440" w:lineRule="exact"/>
        <w:widowControl/>
        <w:rPr>
          <w:rFonts w:ascii="宋体" w:hAnsi="宋体" w:cs="Calibri"/>
          <w:color w:val="000000"/>
          <w:sz w:val="24"/>
          <w:szCs w:val="24"/>
        </w:rPr>
      </w:pPr>
      <w:r>
        <w:rPr>
          <w:rFonts w:ascii="宋体" w:hAnsi="宋体" w:cs="Calibri"/>
          <w:color w:val="000000"/>
          <w:sz w:val="24"/>
          <w:szCs w:val="24"/>
        </w:rPr>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等线"/>
          <w:color w:val="000000"/>
          <w:sz w:val="24"/>
          <w:szCs w:val="24"/>
          <w:lang w:bidi="ar"/>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常州信息职业技术学院日常保洁考核表</w:t>
      </w:r>
      <w:r/>
    </w:p>
    <w:p>
      <w:pPr>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3"/>
        <w:gridCol w:w="839"/>
        <w:gridCol w:w="1162"/>
        <w:gridCol w:w="3163"/>
        <w:gridCol w:w="731"/>
        <w:gridCol w:w="791"/>
        <w:gridCol w:w="780"/>
      </w:tblGrid>
      <w:tr>
        <w:trPr>
          <w:trHeight w:val="300"/>
        </w:trPr>
        <w:tc>
          <w:tcPr>
            <w:tcW w:w="105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考核地点</w:t>
            </w:r>
            <w:r/>
          </w:p>
        </w:tc>
        <w:tc>
          <w:tcPr>
            <w:gridSpan w:val="2"/>
            <w:tcW w:w="200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考核时间：      年   月   日</w:t>
            </w:r>
            <w:r/>
          </w:p>
        </w:tc>
        <w:tc>
          <w:tcPr>
            <w:tcW w:w="731"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分值</w:t>
            </w:r>
            <w:r/>
          </w:p>
        </w:tc>
        <w:tc>
          <w:tcPr>
            <w:tcW w:w="791"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tc>
        <w:tc>
          <w:tcPr>
            <w:tcW w:w="78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tc>
      </w:tr>
      <w:tr>
        <w:trPr>
          <w:trHeight w:val="441"/>
        </w:trPr>
        <w:tc>
          <w:tcPr>
            <w:tcW w:w="105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考核评分标准</w:t>
            </w:r>
            <w:r/>
          </w:p>
        </w:tc>
        <w:tc>
          <w:tcPr>
            <w:tcW w:w="731"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91"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8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0"/>
        </w:trPr>
        <w:tc>
          <w:tcPr>
            <w:tcW w:w="105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考勤管理（10分）</w:t>
            </w:r>
            <w:r/>
          </w:p>
        </w:tc>
        <w:tc>
          <w:tcPr>
            <w:tcW w:w="8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上班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未按上班时间准时准点上班</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未经请假，出现早退现象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环境卫生（55分）</w:t>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1.学生公寓周边有生活垃圾或大门入口处有杂草。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5"/>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2.公共部位(含楼梯台阶)地面有污垢现象（如积水、纸屑，瓜子壳，口香糖,烟头，堆放杂物等）；有蜘蛛网现象；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8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1.楼梯扶手有积灰；楼梯底下有堆放杂物现象(如纸板、瓶子、保洁用品等),卫生工具摆放无序;保洁用品有乱放现象。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2.楼梯梯段与墙面交接处，窗框内或上方，露天雨台（积水台）有烟头、纸屑等丢弃物。</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门窗</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玻璃</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1.窗槽内有垃圾或有明显的杂物的。</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2.门上有明显积灰或有过期的张贴物（如通知、提示、警示标志等）。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3.玻璃上有不符合要求的张贴物（如报纸或纸张等）。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5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1.墙面或贴脚线或室内门入口处地面上有积灰</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1.卫生间有各类小广告或乱涂乱画的现象。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2.纸篓内废弃纸满的或便池不及时清理，有尿碱,臭味。</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3.厕所间有积水或洗面池不干净（如有水锈或浮灰）。</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4.洗面池底下清理不干净（如污渍或水垢）或洗漱台上不干净或有明显灰尘。</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5.隔板上有积灰;水管上有灰尘或其他污垢;水箱上或小便池上方有灰尘。</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6.卫生工具摆放无序，卫生保洁用品有乱放现象。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65"/>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休息室</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1.员工休息室地面有明显污垢；现场物品摆放无序或凌乱。工作现场出现零食等现象；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39"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2.员工休息室内私拉乱接线路现象.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服务管理（20分）</w:t>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1.工作人员穿戴不得体、未佩戴工作牌，有工作服的未穿整套工作服。</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2.卫生、安全检查的情况无相应的台帐记录。</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3.在光线充足的情况下，存在长明灯现象或公共部位存在长流水现象。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4.未提供完善便民服务。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5.在考评过程中,所在楼宇的员工有明显的语言或出现其他排斥行为的现象。</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文化建设（15分）</w:t>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1.在管理区域内张贴过期的标识，标志以及破损、不清楚标识标牌等。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2.未按规定落实考核，检查及考核要做好记录。</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4"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3.员工例会记录或培训记录台账缺损或没有。</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17"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总分</w:t>
            </w:r>
            <w:r/>
          </w:p>
        </w:tc>
        <w:tc>
          <w:tcPr>
            <w:tcW w:w="73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80"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17"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考评人签字：                   </w:t>
            </w:r>
            <w:r/>
          </w:p>
        </w:tc>
        <w:tc>
          <w:tcPr>
            <w:gridSpan w:val="2"/>
            <w:tcW w:w="152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合计</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得分</w:t>
            </w:r>
            <w:r/>
          </w:p>
        </w:tc>
        <w:tc>
          <w:tcPr>
            <w:tcW w:w="78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c>
          <w:tcPr>
            <w:tcW w:w="105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839"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1162"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31"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80"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r>
    </w:tbl>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此考核细则根据实际管理情况每年可修订一次，供应商需无条件服从。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常州信息职业技术学院</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节能、维修、用电系统等职责要求</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A节能管理要求及员工工作职责：</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一、制度管理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1.物业服务单位须制订节能管理规章制度。</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2.物业服务单位须制订节能工作计划并进行年度总结。</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二、员工管理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w:t>
      </w:r>
      <w:r>
        <w:rPr>
          <w:rFonts w:hint="eastAsia" w:ascii="宋体" w:hAnsi="宋体" w:cs="宋体"/>
          <w:bCs/>
          <w:color w:val="000000"/>
          <w:sz w:val="24"/>
          <w:szCs w:val="24"/>
          <w:lang w:bidi="ar"/>
        </w:rPr>
        <w:t xml:space="preserve">建立员工节能培训计划，能定期对员工进行节能教育，给员工灌输节能降耗意识。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服务单位管理员能遵守学校节能管理相关规定，合理使用水电气设施，不得出现在楼内给电瓶车充电等情况。</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三、节能日常管理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（一）公共部位（含门厅、走廊、连廊、楼梯间、卫生间）照明开启要求</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学生公寓晚上10:30以后除了大厅灯关闭以外，其他灯间隔开启（空楼层关闭）。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教学楼及实训楼晚上清场后一层的过道灯间隔开启，其它区域灯需全部关闭。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行政楼：阴暗天气的白天仅间隔开启内走道灯，其它部位灯关闭；夜间10点之后仅间隔开启一楼走道部位照明。</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互联网工业大楼在清场后灯全部熄灭，声控灯自行启动。</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图书馆、文体楼在闭馆后灯全部熄灭。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（二）开水炉（不含净水设施）</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寒暑假关闭全校开水炉。</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学生宿舍：夜间11点后关闭所有开水炉电源直至学生起床时再开启。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其它楼宇：周末、节假日以及夜间10点后关闭所有开水炉电源直至上班时间后再开启。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（三）广告宣传设施（含灯箱、电子屏、公共打印机等）：仅工作上班时间段开启，其它时间均关闭（特殊情况除外）。    </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（四）电梯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图书馆寒暑假以及夜间楼宇清场后电梯停运。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其它楼宇寒暑假、节假日以及夜间楼宇清场后电梯停运。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（五）加强楼宇巡查频率，发现有无人灯、无人空调、无人电脑的情况需第一时间联系房屋使用人关闭用电设施并做好情况记录。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（六）加强日常用水设施的巡查，发现有跑冒滴漏的现象第一时间电话联系维修单位维修，同时在系统填报报修单。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（七）停水停电后，务必巡查每一间房间灯及每一个水龙头，发现异常及时处理。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（八）加强行政楼会议室巡查频次，会议结束后及时关闭用电设施设备。</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（九）加强宿舍楼内红外感应设施的运行情况巡查，发现持续放水等异常情况及时报修。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（十）寒暑假期间，关闭停用楼宇的总进水阀及供电开关。</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四、节能宣传</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服务单位每月能定期通过横幅、标语、视屏等方式开展节能宣传活动，做好活动记录。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服务单位须完成甲方临时交办的其他节能工作。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B.宿舍用电系统管理要求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服务单位管理员能对本学生公寓楼内用电系统（卡机）能正常操作和使用，包括宿舍用电余额查询、宿舍用电状态查询（正常、欠费、过流等）、强送（软件控制）以及强送之后的恢复（硬件控制）等。</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w:t>
      </w:r>
      <w:r>
        <w:rPr>
          <w:rFonts w:hint="eastAsia" w:ascii="宋体" w:hAnsi="宋体" w:cs="宋体"/>
          <w:bCs/>
          <w:color w:val="000000"/>
          <w:sz w:val="24"/>
          <w:szCs w:val="24"/>
        </w:rPr>
        <w:t xml:space="preserve">进行用电系统报修工作，同时做好书面报修维修记录台账。</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C.楼内物业类维修工作管理要求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服务单位管理员须对楼内公共区域设施设备出现的损坏情况，及时进行线上报修。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服务单位管理员须指导学生对宿舍内出现的设备设施损坏情况进行及时报修。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3.</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服务单位管理员须对上报的维修项目进行实时跟踪，完工后及时进行验收及评价，并做好相关记录。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4.</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w:t>
      </w:r>
      <w:r>
        <w:rPr>
          <w:rFonts w:hint="eastAsia" w:ascii="宋体" w:hAnsi="宋体" w:cs="宋体"/>
          <w:bCs/>
          <w:color w:val="000000"/>
          <w:sz w:val="24"/>
          <w:szCs w:val="24"/>
        </w:rPr>
        <w:t xml:space="preserve">做好与学校其他类型维修改造项目的协调配合工作。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D.疫情防控、传染病防治管理要求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按照国家、地方及学校要求，做好相关配合工作。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F.违约责任</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   后勤管理处将定期或不定期组织人员对物业公司履行职责情况进行检查，并按以下约定处理：</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ascii="宋体" w:hAnsi="宋体"/>
          <w:bCs/>
          <w:color w:val="000000"/>
          <w:sz w:val="24"/>
          <w:szCs w:val="24"/>
          <w:lang w:bidi="ar"/>
        </w:rPr>
        <w:t xml:space="preserve">  </w:t>
      </w:r>
      <w:r>
        <w:rPr>
          <w:rFonts w:hint="eastAsia" w:ascii="宋体" w:hAnsi="宋体" w:cs="宋体"/>
          <w:bCs/>
          <w:color w:val="000000"/>
          <w:sz w:val="24"/>
          <w:szCs w:val="24"/>
          <w:lang w:bidi="ar"/>
        </w:rPr>
        <w:t xml:space="preserve">以上职责未落实到位，物业公司除需承担由此给学校造成的损失外，还需承担违约金</w:t>
      </w:r>
      <w:r>
        <w:rPr>
          <w:rFonts w:hint="eastAsia" w:ascii="宋体" w:hAnsi="宋体" w:cs="宋体"/>
          <w:b/>
          <w:color w:val="000000"/>
          <w:sz w:val="24"/>
          <w:szCs w:val="24"/>
          <w:lang w:bidi="ar"/>
        </w:rPr>
        <w:t xml:space="preserve">500元/次.条</w:t>
      </w:r>
      <w:r>
        <w:rPr>
          <w:rFonts w:hint="eastAsia" w:ascii="宋体" w:hAnsi="宋体" w:cs="宋体"/>
          <w:bCs/>
          <w:color w:val="000000"/>
          <w:sz w:val="24"/>
          <w:szCs w:val="24"/>
          <w:lang w:bidi="ar"/>
        </w:rPr>
        <w:t xml:space="preserve">。</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ascii="宋体" w:hAnsi="宋体"/>
          <w:bCs/>
          <w:color w:val="000000"/>
          <w:sz w:val="24"/>
          <w:szCs w:val="24"/>
          <w:lang w:bidi="ar"/>
        </w:rPr>
        <w:t xml:space="preserve">  </w:t>
      </w:r>
      <w:r>
        <w:rPr>
          <w:rFonts w:hint="eastAsia" w:ascii="宋体" w:hAnsi="宋体" w:cs="宋体"/>
          <w:bCs/>
          <w:color w:val="000000"/>
          <w:sz w:val="24"/>
          <w:szCs w:val="24"/>
          <w:lang w:bidi="ar"/>
        </w:rPr>
        <w:t xml:space="preserve">发现物业公司人员有与学生或维修等单位串通，损害学校利益的，物业公司除需承担由此给学校造成的损失外，还需承担违约金</w:t>
      </w:r>
      <w:r>
        <w:rPr>
          <w:rFonts w:hint="eastAsia" w:ascii="宋体" w:hAnsi="宋体" w:cs="宋体"/>
          <w:b/>
          <w:color w:val="000000"/>
          <w:sz w:val="24"/>
          <w:szCs w:val="24"/>
          <w:lang w:bidi="ar"/>
        </w:rPr>
        <w:t xml:space="preserve">5000元/次</w:t>
      </w:r>
      <w:r>
        <w:rPr>
          <w:rFonts w:hint="eastAsia" w:ascii="宋体" w:hAnsi="宋体" w:cs="宋体"/>
          <w:bCs/>
          <w:color w:val="000000"/>
          <w:sz w:val="24"/>
          <w:szCs w:val="24"/>
          <w:lang w:bidi="ar"/>
        </w:rPr>
        <w:t xml:space="preserve">。</w:t>
      </w:r>
      <w:r/>
    </w:p>
    <w:p>
      <w:pPr>
        <w:ind w:firstLine="480"/>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学校根据实际管理情况每年可修订一次，供应商需无条件服从。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包2：</w:t>
      </w:r>
      <w:r/>
    </w:p>
    <w:p>
      <w:pPr>
        <w:ind w:firstLine="482"/>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常州信息职业技术学院楼宇（单体）物业管理考核细则</w:t>
      </w:r>
      <w:r/>
    </w:p>
    <w:p>
      <w:pPr>
        <w:ind w:firstLine="480"/>
        <w:spacing w:line="440" w:lineRule="exact"/>
        <w:widowControl/>
        <w:rPr>
          <w:rFonts w:hint="eastAsia" w:ascii="宋体" w:hAnsi="宋体" w:cs="宋体"/>
          <w:color w:val="000000"/>
          <w:sz w:val="24"/>
          <w:szCs w:val="24"/>
        </w:rPr>
      </w:pPr>
      <w:r>
        <w:rPr>
          <w:rFonts w:ascii="宋体" w:hAnsi="宋体" w:cs="Calibri"/>
          <w:color w:val="000000"/>
          <w:sz w:val="24"/>
          <w:szCs w:val="24"/>
        </w:rPr>
        <w:t xml:space="preserve"> </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为了加强对常州信息职业技术学院楼宇（单体）物业管理的监管，提高物业管理整体水平，形成高效有序的运行机制，切实贯彻“规范化管理，人性化服务，多样化育人”的物业管理总要求。特制订本考核细则。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一、管理制度（8分）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1、管理制度上墙，考核、检查等管理台账记录情况（3分）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2、用工规范，工作人员数量按要求配置，对员工做好培训（5分）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二、管理服务（26分）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1、教学设施设备管理到位，配合甲方教学、科研的正常开展（3分）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2、未出现私自安排、租借教室、设施设备等情况（</w:t>
      </w:r>
      <w:r>
        <w:rPr>
          <w:rFonts w:ascii="宋体" w:hAnsi="宋体" w:cs="Calibri"/>
          <w:color w:val="000000"/>
          <w:sz w:val="24"/>
          <w:szCs w:val="24"/>
        </w:rPr>
        <w:t xml:space="preserve">3</w:t>
      </w:r>
      <w:r>
        <w:rPr>
          <w:rFonts w:hint="eastAsia" w:ascii="宋体" w:hAnsi="宋体" w:cs="宋体"/>
          <w:color w:val="000000"/>
          <w:sz w:val="24"/>
          <w:szCs w:val="24"/>
        </w:rPr>
        <w:t xml:space="preserve">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3、楼内节能检查工作到位，水龙头滴水及时报修，教室内未出现开无人灯，开无人扇，开无人空调或出现无人充电的情况（3分）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4、能按要求做好学校各类会议、活动、考试等场所的管理布置、配合保障工作（5分）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5、管理人员未出现脱岗、串岗、干私活、玩游戏等做与工作无关的情况（3分）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6、管理人员服从监管，整改及时到位（3分）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7、未出现与师生发生冲突或师生投诉经查属实的情况。（3分）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8、内部管理到位，未出现发生争吵、打架、偷盗等违规违法现象（3分）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三、环境卫生（43分）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1、楼宇内、楼宇周边生活垃圾处理情况（5分）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2、公共部位(含楼梯台阶)地面未出现口香糖、痰迹、垃圾、杂物等（5分）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3、楼梯扶手无积灰、蜘蛛网；楼梯底下未出现堆放杂物，卫生工具、保洁用品有乱放的情况（3分）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4、露天平台、雨台（积水台）、屋顶、走廊等无烟头、纸屑等丢弃物（3）</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5、窗台、门窗玻璃、玻璃隔断等无灰尘污渍，窗槽内无垃圾（3分）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6、墙面、顶面或贴脚线等处无积灰蛛网（3分）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7、标牌标识、开关面板有污渍，公共部位电灯、电扇、空调等无积灰蛛网（3分）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8、无乱张贴、小广告或乱涂乱画的现象，过期通知、宣传材料等及时清除（3分）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9、厕所间打扫及时无异味，地面有积水或脚印，台盆、龙头等设备设施上无灰尘或污垢、长流水现象（3分）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10、教室、走道、会议室、报告厅等清扫及时，垃圾处理及时（3分）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11、垃圾桶内外整洁卫生，无异味（3分）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12、地下停车库清洁卫生到位（3分）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13、电梯轿厢内无乱张贴、水渍、污渍情况，并做到及时消毒（3分）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四、安全管理（23分）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1、警告警示标识不明显或未设置（如：防滑等）（2分）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2、消防、安全防范工作到位，消防设施设备损坏能及时报修（5分）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3、消防箱内无杂物，疏散通道、楼梯周边等公共区域未停放代步工具或堆放杂物（3分）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4、能及时上报私拉乱接线路、违规使用大功率电器等情况（5分）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5、有完整的报修维修记录，报修及时（5分）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6、设施设备有安全隐患时或修复前及时在现场设置警示标识，并向甲方及时汇报（3分）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五、附则</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1、供应商都必须按本标准严格进行管理，学院管理部门将按本标准对物业管理的质量进行检查、考核。</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2、考核形式：定期检查与日常随机抽查相结合，专职管理人员检查与相关部门检查相结合，学校管理人员检查与学生组织检查相结合，学生座谈听取意见与问卷调查相结合。</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3、考核组成员的组成：管理部门管理人员、学生处管理人员、二级学院公寓辅导员、公寓学生代表等。</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4、考核标准：考核成绩70分为合格线，70≤考核分数＜80为一般，80≤考核分数＜90为良，考核分数 ≥90为优。（对学生公寓中发生重大安全事故的供应商，学校实行一票否决制。）</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奖惩措施：对在考核检查中发现的问题，学校发出整改通知单限期整改；如果物业管理站在限期内未能整改到位或同一问题连续两次被限期整改，学校将对物业管理站所属乙方予以1000元/次的违约金。对公寓中发生重大安全事故的供应商学校实行一票否决制，并由相关部门追究供应商的责任。对连续三次被评为优秀的物业管理站，学院将给予通报表扬。</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检查考核中如发现有本考核标准中未涉及的违规行为，由考核人员根据招标文件、合同及附件中的有关约定处理；如因受托供应商违规而引发其他问题根据学校的管理规定处理，责任重大的将按有关法律程序由相关执法部门处理。</w:t>
      </w:r>
      <w:r/>
    </w:p>
    <w:p>
      <w:pPr>
        <w:ind w:firstLine="480"/>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7、考核办法自公布之日起实施，解释权归常州信息职业技术学院。</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常州信息职业技术学院楼宇物业监管考核表</w:t>
      </w:r>
      <w:r/>
    </w:p>
    <w:tbl>
      <w:tblPr>
        <w:tblStyle w:val="71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72"/>
        <w:gridCol w:w="1243"/>
        <w:gridCol w:w="5765"/>
        <w:gridCol w:w="939"/>
      </w:tblGrid>
      <w:tr>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24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5765"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违约情况</w:t>
            </w:r>
            <w:r/>
          </w:p>
        </w:tc>
        <w:tc>
          <w:tcPr>
            <w:tcBorders>
              <w:top w:val="single" w:color="000000" w:sz="4" w:space="0"/>
              <w:left w:val="none" w:color="000000" w:sz="4" w:space="0"/>
              <w:bottom w:val="single" w:color="000000" w:sz="4" w:space="0"/>
              <w:right w:val="single" w:color="000000" w:sz="4" w:space="0"/>
            </w:tcBorders>
            <w:tcW w:w="939"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违约金（元）</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管理制度不上墙，考核、检查等管理台账记录缺失或登记不及时。</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工作人员数量未按协议要求配置（缺编人数大于总人数2%，同类岗位连续缺位超过一周）</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没有规范用工，对员工没有进行职能培训。</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楼宇周边、门口有生活垃圾。</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公共部位(含楼梯台阶)地面有污垢现象（如口香糖、痰迹、垃圾、杂物等）。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楼梯扶手有积灰、蜘蛛网；楼梯底下有堆放杂物，卫生工具、保洁用品有乱放。</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7</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露天平台、雨台（积水台）、屋顶、走廊等有烟头、纸屑等丢弃物。</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8</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窗台、门窗玻璃、玻璃隔断等有灰尘污渍，窗槽内有垃圾。</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墙面、顶面或贴脚线等处有积灰蛛网。</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标牌标识、开关面板有污渍，电灯、电扇、空调等有积灰蛛网。</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11</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有乱张贴、小广告或乱涂乱画的现象，过期通知、宣传材料等未及时清除。</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12</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厕所间有异味，地面有积水或脚印，台盆、龙头等设备设施上有灰尘或污垢、长流水现象。</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13</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教室、走道、会议室、报告厅等清扫不及时，垃圾处理不及时。</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14</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垃圾桶内外不整洁卫生，有异味，垃圾没有实行袋装化管理，不及时清理消毒。</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15</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电梯轿厢内有乱张贴、水渍、污渍，未及时消毒。</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16</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安全管理</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警告警示标识不明显或未设置（如禁烟，防火等）。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17</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消防、安全防范工作不到位，消防设施设备损坏不能及时报修，存在安全隐患。</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消防箱内有杂物，疏散通道、楼梯周边等公共区域停放代步工具或堆放杂物。</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19</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有私拉乱接线路、违规使用大功率电器等现象。</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地下停车库无专人管理，清洁卫生不到位，车辆停放无序凌乱有安全隐患。</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21</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无完整的报修维修记录，报修不及时。</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22</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设施设备有安全隐患时或修复前未在现场设置警示标识、未向甲方及时汇报。</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23</w:t>
            </w:r>
            <w:r/>
          </w:p>
        </w:tc>
        <w:tc>
          <w:tcPr>
            <w:tcBorders>
              <w:top w:val="none" w:color="000000" w:sz="4" w:space="0"/>
              <w:left w:val="singl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管理服务</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教学设施设备管理不到位，影响教学、科研正常开展。</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24</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私自安排、租借教室、设施设备等。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25</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楼内节能检查工作不到位，水龙头滴水不报修，教室内存在开无人灯，开无人扇，开无人空调或出现无人充电。</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26</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不能按要求做好学校各类会议、活动、考试等场所的管理布置、配合保障工作。</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27</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教师休息室管理不到位，供水不及时等。</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28</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管理人员脱岗、串岗、干私活、玩游戏等做与工作无关的事情。</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29</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管理人员不服从监管，整改不及时不到位。</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30</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与师生发生冲突或师生投诉经查属实。</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tcBorders>
              <w:top w:val="non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31</w:t>
            </w:r>
            <w:r/>
          </w:p>
        </w:tc>
        <w:tc>
          <w:tcPr>
            <w:tcBorders>
              <w:top w:val="none" w:color="000000" w:sz="4" w:space="0"/>
              <w:left w:val="singl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满意度综合测评未达到90%以上</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1000</w:t>
            </w:r>
            <w:r/>
          </w:p>
        </w:tc>
      </w:tr>
      <w:tr>
        <w:trPr/>
        <w:tc>
          <w:tcPr>
            <w:tcBorders>
              <w:top w:val="none" w:color="000000" w:sz="4" w:space="0"/>
              <w:left w:val="single" w:color="000000" w:sz="4" w:space="0"/>
              <w:bottom w:val="single" w:color="000000" w:sz="4" w:space="0"/>
              <w:right w:val="single" w:color="000000" w:sz="4" w:space="0"/>
            </w:tcBorders>
            <w:tcW w:w="572"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32</w:t>
            </w:r>
            <w:r/>
          </w:p>
        </w:tc>
        <w:tc>
          <w:tcPr>
            <w:tcBorders>
              <w:top w:val="none" w:color="000000" w:sz="4" w:space="0"/>
              <w:left w:val="none" w:color="000000" w:sz="4" w:space="0"/>
              <w:bottom w:val="single" w:color="000000" w:sz="4" w:space="0"/>
              <w:right w:val="single" w:color="000000" w:sz="4" w:space="0"/>
            </w:tcBorders>
            <w:tcW w:w="1243"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其他</w:t>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未履行投标文件中的承诺或出现履行合同条款不到位情况。</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100～500项</w:t>
            </w:r>
            <w:r/>
          </w:p>
        </w:tc>
      </w:tr>
      <w:tr>
        <w:trPr/>
        <w:tc>
          <w:tcPr>
            <w:tcBorders>
              <w:top w:val="none" w:color="000000" w:sz="4" w:space="0"/>
              <w:left w:val="single" w:color="000000" w:sz="4" w:space="0"/>
              <w:bottom w:val="single" w:color="000000" w:sz="4" w:space="0"/>
              <w:right w:val="single" w:color="000000" w:sz="4" w:space="0"/>
            </w:tcBorders>
            <w:tcW w:w="572"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4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57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内部管理不到位，有发生争吵、打架、偷盗等违规违法现象，给学校造成不良影响的。</w:t>
            </w:r>
            <w:r/>
          </w:p>
        </w:tc>
        <w:tc>
          <w:tcPr>
            <w:tcBorders>
              <w:top w:val="none" w:color="000000" w:sz="4" w:space="0"/>
              <w:left w:val="none" w:color="000000" w:sz="4" w:space="0"/>
              <w:bottom w:val="single" w:color="000000" w:sz="4" w:space="0"/>
              <w:right w:val="single" w:color="000000" w:sz="4" w:space="0"/>
            </w:tcBorders>
            <w:tcW w:w="939"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500</w:t>
            </w:r>
            <w:r/>
          </w:p>
        </w:tc>
      </w:tr>
      <w:tr>
        <w:trPr/>
        <w:tc>
          <w:tcPr>
            <w:gridSpan w:val="4"/>
            <w:tcBorders>
              <w:top w:val="none" w:color="000000" w:sz="4" w:space="0"/>
              <w:left w:val="single" w:color="000000" w:sz="4" w:space="0"/>
              <w:bottom w:val="single" w:color="000000" w:sz="4" w:space="0"/>
              <w:right w:val="single" w:color="000000" w:sz="4" w:space="0"/>
            </w:tcBorders>
            <w:tcW w:w="8519"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备注：</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上述违约按次计算，违约金额均为首次违约标准；若整改不到位，同类违规现象再次发生，违约金标准翻倍。此考核细则根据实际管理情况每年可修订一次，供应商需无条件服从。</w:t>
            </w:r>
            <w:r/>
          </w:p>
        </w:tc>
      </w:tr>
    </w:tbl>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 </w:t>
      </w:r>
      <w:r>
        <w:rPr>
          <w:rFonts w:ascii="宋体" w:hAnsi="宋体" w:cs="Calibri"/>
          <w:b/>
          <w:bCs/>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常州信息职业技术学院日常保洁考核表</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840"/>
        <w:gridCol w:w="1162"/>
        <w:gridCol w:w="3163"/>
        <w:gridCol w:w="733"/>
        <w:gridCol w:w="791"/>
        <w:gridCol w:w="778"/>
      </w:tblGrid>
      <w:tr>
        <w:trPr>
          <w:trHeight w:val="300"/>
        </w:trPr>
        <w:tc>
          <w:tcPr>
            <w:tcW w:w="105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考核地点</w:t>
            </w:r>
            <w:r/>
          </w:p>
        </w:tc>
        <w:tc>
          <w:tcPr>
            <w:gridSpan w:val="2"/>
            <w:tcW w:w="2002"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考核时间：      年   月   日</w:t>
            </w:r>
            <w:r/>
          </w:p>
        </w:tc>
        <w:tc>
          <w:tcPr>
            <w:tcW w:w="733"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分值</w:t>
            </w:r>
            <w:r/>
          </w:p>
        </w:tc>
        <w:tc>
          <w:tcPr>
            <w:tcW w:w="791"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tc>
        <w:tc>
          <w:tcPr>
            <w:tcW w:w="778"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扣分</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说明</w:t>
            </w:r>
            <w:r/>
          </w:p>
        </w:tc>
      </w:tr>
      <w:tr>
        <w:trPr>
          <w:trHeight w:val="441"/>
        </w:trPr>
        <w:tc>
          <w:tcPr>
            <w:tcW w:w="105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考核内容</w:t>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考核评分标准</w:t>
            </w:r>
            <w:r/>
          </w:p>
        </w:tc>
        <w:tc>
          <w:tcPr>
            <w:tcW w:w="733"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91"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778"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rHeight w:val="300"/>
        </w:trPr>
        <w:tc>
          <w:tcPr>
            <w:tcW w:w="1055"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考勤管理（10分）</w:t>
            </w:r>
            <w:r/>
          </w:p>
        </w:tc>
        <w:tc>
          <w:tcPr>
            <w:tcW w:w="84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上班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未按上班时间准时准点上班</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下班</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未经请假，出现早退现象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环境卫生（55分）</w:t>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地面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1.楼宇周边有生活垃圾或楼宇大门入口处有杂草。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95"/>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2.公共部位(含楼梯台阶)地面有污垢现象（如积水、纸屑，瓜子壳，口香糖,烟头，堆放杂物等）；有蜘蛛网现象；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8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楼梯</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1.楼梯扶手有积灰；楼梯底下有堆放杂物现象(如纸板、瓶子、保洁用品等),卫生工具摆放无序;保洁用品有乱放现象。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top"/>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2.楼梯梯段与墙面交接处，窗框内或上方，露天雨台（积水台）有烟头、纸屑等丢弃物。</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门窗</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玻璃</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(9分)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1.窗槽内有垃圾或有明显的杂物的。</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2.门上有明显积灰或有过期的张贴物（如通知、提示、警示标志等）。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3.玻璃上有不符合要求的张贴物（如报纸或纸张等）。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5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墙面</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1.墙面或贴脚线或室内门入口处地面上有积灰</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卫生间</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(18分)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1.卫生间有各类小广告或乱涂乱画的现象。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2.纸篓内废弃纸满的或便池不及时清理，有尿碱,臭味。</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3.厕所间有积水或洗面池不干净（如有水锈或浮灰）。</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4.洗面池底下清理不干净（如污渍或水垢）或洗漱台上不干净或有明显灰尘。</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5.隔板上有积灰;水管上有灰尘或其他污垢;水箱上或小便池上方有灰尘。</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6.卫生工具摆放无序，卫生保洁用品有乱放现象。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465"/>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休息室</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（10分）</w:t>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1.员工休息室地面有明显污垢；现场物品摆放无序或凌乱。工作现场出现零食等现象；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19"/>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tcW w:w="840"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2"/>
            <w:tcW w:w="432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2.员工休息室内私拉乱接线路现象.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服务管理（20分）</w:t>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1.工作人员穿戴不得体、未佩戴工作牌，有工作服的未穿整套工作服。</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2.卫生、安全检查的情况无相应的台帐记录。</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3.在光线充足的情况下，存在长明灯现象或公共部位存在长流水现象。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4.未提供完善便民服务。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5.在考评过程中,所在楼宇的员工有明显的语言或出现其他排斥行为的现象。</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791" w:type="dxa"/>
            <w:vAlign w:val="top"/>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restart"/>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文化建设（15分）</w:t>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1.在管理区域内张贴过期的标识，标志以及破损、不清楚标识标牌等。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2.未按规定落实考核，检查及考核要做好记录。</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tcW w:w="1055"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c>
          <w:tcPr>
            <w:gridSpan w:val="3"/>
            <w:tcW w:w="5165"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3.员工例会记录或培训记录台账缺损或没有。</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2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总分</w:t>
            </w:r>
            <w:r/>
          </w:p>
        </w:tc>
        <w:tc>
          <w:tcPr>
            <w:tcW w:w="733"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100</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c>
          <w:tcPr>
            <w:tcW w:w="778" w:type="dxa"/>
            <w:vAlign w:val="center"/>
            <w:vMerge w:val="restart"/>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tc>
      </w:tr>
      <w:tr>
        <w:trPr>
          <w:trHeight w:val="300"/>
        </w:trPr>
        <w:tc>
          <w:tcPr>
            <w:gridSpan w:val="4"/>
            <w:tcW w:w="6220" w:type="dxa"/>
            <w:vAlign w:val="center"/>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考评人签字：                   </w:t>
            </w:r>
            <w:r/>
          </w:p>
        </w:tc>
        <w:tc>
          <w:tcPr>
            <w:gridSpan w:val="2"/>
            <w:tcW w:w="1524" w:type="dxa"/>
            <w:vAlign w:val="center"/>
            <w:textDirection w:val="lrTb"/>
            <w:noWrap w:val="false"/>
          </w:tcPr>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合计</w:t>
            </w:r>
            <w:r/>
          </w:p>
          <w:p>
            <w:pPr>
              <w:jc w:val="cente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得分</w:t>
            </w:r>
            <w:r/>
          </w:p>
        </w:tc>
        <w:tc>
          <w:tcPr>
            <w:tcW w:w="778" w:type="dxa"/>
            <w:vAlign w:val="center"/>
            <w:vMerge w:val="continue"/>
            <w:textDirection w:val="lrTb"/>
            <w:noWrap w:val="false"/>
          </w:tcPr>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r>
            <w:r/>
          </w:p>
        </w:tc>
      </w:tr>
      <w:tr>
        <w:trPr/>
        <w:tc>
          <w:tcPr>
            <w:tcW w:w="1055"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840"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1162"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316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33"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91"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c>
          <w:tcPr>
            <w:tcW w:w="778" w:type="dxa"/>
            <w:vAlign w:val="center"/>
            <w:textDirection w:val="lrTb"/>
            <w:noWrap w:val="false"/>
          </w:tcPr>
          <w:p>
            <w:pPr>
              <w:spacing w:line="440" w:lineRule="exact"/>
              <w:widowControl/>
              <w:rPr>
                <w:rFonts w:hint="eastAsia" w:ascii="宋体" w:hAnsi="宋体" w:cs="宋体"/>
                <w:color w:val="000000"/>
                <w:sz w:val="24"/>
                <w:szCs w:val="24"/>
              </w:rPr>
            </w:pPr>
            <w:r>
              <w:rPr>
                <w:rFonts w:ascii="宋体" w:hAnsi="宋体" w:cs="宋体"/>
                <w:color w:val="000000"/>
                <w:sz w:val="24"/>
                <w:szCs w:val="24"/>
              </w:rPr>
              <w:t xml:space="preserve"> </w:t>
            </w:r>
            <w:r/>
          </w:p>
        </w:tc>
      </w:tr>
    </w:tbl>
    <w:p>
      <w:pPr>
        <w:spacing w:line="440" w:lineRule="exact"/>
        <w:widowControl/>
        <w:rPr>
          <w:rFonts w:hint="eastAsia" w:ascii="宋体" w:hAnsi="宋体" w:cs="宋体"/>
          <w:color w:val="000000"/>
          <w:sz w:val="24"/>
          <w:szCs w:val="24"/>
        </w:rPr>
      </w:pPr>
      <w:r>
        <w:rPr>
          <w:rFonts w:hint="eastAsia" w:ascii="宋体" w:hAnsi="宋体" w:cs="等线"/>
          <w:color w:val="000000"/>
          <w:sz w:val="24"/>
          <w:szCs w:val="24"/>
          <w:lang w:bidi="ar"/>
        </w:rPr>
        <w:t xml:space="preserve">此考核细则根据实际管理情况每年可修订一次，供应商需无条件服从。 </w:t>
      </w:r>
      <w:r/>
    </w:p>
    <w:p>
      <w:pPr>
        <w:spacing w:line="440" w:lineRule="exact"/>
        <w:widowControl/>
        <w:rPr>
          <w:rFonts w:hint="eastAsia" w:ascii="宋体" w:hAnsi="宋体" w:cs="宋体"/>
          <w:color w:val="000000"/>
          <w:sz w:val="24"/>
          <w:szCs w:val="24"/>
        </w:rPr>
      </w:pPr>
      <w:r>
        <w:rPr>
          <w:rFonts w:hint="eastAsia" w:ascii="宋体" w:hAnsi="宋体" w:cs="宋体"/>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 </w:t>
      </w:r>
      <w:r/>
    </w:p>
    <w:p>
      <w:pPr>
        <w:spacing w:line="440" w:lineRule="exact"/>
        <w:widowControl/>
        <w:rPr>
          <w:rFonts w:hint="eastAsia" w:ascii="宋体" w:hAnsi="宋体" w:cs="宋体"/>
          <w:color w:val="000000"/>
          <w:sz w:val="24"/>
          <w:szCs w:val="24"/>
        </w:rPr>
      </w:pPr>
      <w:r>
        <w:rPr>
          <w:rFonts w:hint="eastAsia" w:ascii="宋体" w:hAnsi="宋体" w:cs="宋体"/>
          <w:b/>
          <w:bCs/>
          <w:color w:val="000000"/>
          <w:sz w:val="24"/>
          <w:szCs w:val="24"/>
        </w:rPr>
        <w:t xml:space="preserve">  </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常州信息职业技术学院</w:t>
      </w:r>
      <w:r/>
    </w:p>
    <w:p>
      <w:pPr>
        <w:jc w:val="center"/>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节能、维修、用电系统等职责要求</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A节能管理要求及员工工作职责：</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一、制度管理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1.物业服务单位须制订节能管理规章制度。</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2.物业服务单位须制订节能工作计划并进行年度总结。</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二、员工管理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1.物业服务单位须</w:t>
      </w:r>
      <w:r>
        <w:rPr>
          <w:rFonts w:hint="eastAsia" w:ascii="宋体" w:hAnsi="宋体" w:cs="宋体"/>
          <w:bCs/>
          <w:color w:val="000000"/>
          <w:sz w:val="24"/>
          <w:szCs w:val="24"/>
          <w:lang w:bidi="ar"/>
        </w:rPr>
        <w:t xml:space="preserve">建立员工节能培训计划，能定期对员工进行节能教育，给员工灌输节能降耗意识。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服务单位管理员能遵守学校节能管理相关规定，合理使用水电气设施，不得出现在楼内给电瓶车充电等情况。</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三、节能日常管理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（一）公共部位（含门厅、走廊、连廊、楼梯间、卫生间）照明开启要求</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学生公寓晚上10:30以后除了大厅灯关闭以外，其他灯间隔开启（空楼层关闭）。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教学楼及实训楼晚上清场后一层的过道灯间隔开启，其它区域灯需全部关闭。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行政楼：阴暗天气的白天仅间隔开启内走道灯，其它部位灯关闭；夜间10点之后仅间隔开启一楼走道部位照明。</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互联网工业大楼在清场后灯全部熄灭，声控灯自行启动。</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图书馆、文体楼在闭馆后灯全部熄灭。</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（二）开水炉（不含净水设施）</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寒暑假关闭全校开水炉。</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学生宿舍：夜间11点后关闭所有开水炉电源直至学生起床时再开启。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其它楼宇：周末、节假日以及夜间10点后关闭所有开水炉电源直至上班时间后再开启。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（三）广告宣传设施（含灯箱、电子屏、公共打印机等）：仅工作上班时间段开启，其它时间均关闭（特殊情况除外）。    </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（四）电梯</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图书馆寒暑假以及夜间楼宇清场后电梯停运。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lang w:bidi="ar"/>
        </w:rPr>
        <w:t xml:space="preserve">.</w:t>
      </w:r>
      <w:r>
        <w:rPr>
          <w:rFonts w:hint="eastAsia" w:ascii="宋体" w:hAnsi="宋体" w:cs="宋体"/>
          <w:bCs/>
          <w:color w:val="000000"/>
          <w:sz w:val="24"/>
          <w:szCs w:val="24"/>
        </w:rPr>
        <w:t xml:space="preserve"> 其它楼宇寒暑假、节假日以及夜间楼宇清场后电梯停运。</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（五）加强楼宇巡查频率，发现有无人灯、无人空调、无人电脑的情况需第一时间联系房屋使用人关闭用电设施并做好情况记录。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（六）加强日常用水设施的巡查，发现有跑冒滴漏的现象第一时间电话联系维修单位维修，同时在系统填报报修单。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（七）停水停电后，务必巡查每一间房间灯及每一个水龙头，发现异常及时处理。</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（八）加强行政楼会议室巡查频次，会议结束后及时关闭用电设施设备。</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（九）加强宿舍楼内红外感应设施的运行情况巡查，发现持续放水等异常情况及时报修。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rPr>
        <w:t xml:space="preserve">（十）寒暑假期间，关闭停用楼宇的总进水阀及供电开关。</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rPr>
        <w:t xml:space="preserve">四、节能宣传</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服务单位每月能定期通过横幅、标语、视屏等方式开展节能宣传活动，做好活动记录。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服务单位须完成甲方临时交办的其他节能工作。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B.楼内物业类维修工作管理要求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1.</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服务单位管理员须对楼内公共区域设施设备出现的损坏情况，及时进行线上报修。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2.</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服务单位管理员须指导学生对宿舍内出现的设备设施损坏情况进行及时报修。</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3.</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服务单位管理员须对上报的维修项目进行实时跟踪，完工后及时进行验收及评价，并做好相关记录。</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4.</w:t>
      </w:r>
      <w:r>
        <w:rPr>
          <w:rFonts w:hint="eastAsia" w:ascii="宋体" w:hAnsi="宋体" w:cs="宋体"/>
          <w:bCs/>
          <w:color w:val="000000"/>
          <w:sz w:val="24"/>
          <w:szCs w:val="24"/>
        </w:rPr>
        <w:t xml:space="preserve">物业</w:t>
      </w:r>
      <w:r>
        <w:rPr>
          <w:rFonts w:hint="eastAsia" w:ascii="宋体" w:hAnsi="宋体" w:cs="宋体"/>
          <w:bCs/>
          <w:color w:val="000000"/>
          <w:sz w:val="24"/>
          <w:szCs w:val="24"/>
          <w:lang w:bidi="ar"/>
        </w:rPr>
        <w:t xml:space="preserve">服务单位须</w:t>
      </w:r>
      <w:r>
        <w:rPr>
          <w:rFonts w:hint="eastAsia" w:ascii="宋体" w:hAnsi="宋体" w:cs="宋体"/>
          <w:bCs/>
          <w:color w:val="000000"/>
          <w:sz w:val="24"/>
          <w:szCs w:val="24"/>
        </w:rPr>
        <w:t xml:space="preserve">做好与学校其他类型维修改造项目的协调配合工作。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C.疫情防控、传染病防治管理要求</w:t>
      </w:r>
      <w:r>
        <w:rPr>
          <w:rFonts w:hint="eastAsia" w:ascii="宋体" w:hAnsi="宋体" w:cs="宋体"/>
          <w:b/>
          <w:color w:val="000000"/>
          <w:sz w:val="24"/>
          <w:szCs w:val="24"/>
        </w:rPr>
        <w:t xml:space="preserve">及员工工作职责</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按照国家、地方及学校要求，做好相关配合工作。</w:t>
      </w:r>
      <w:r/>
    </w:p>
    <w:p>
      <w:pPr>
        <w:ind w:firstLine="482"/>
        <w:spacing w:line="440" w:lineRule="exact"/>
        <w:widowControl/>
        <w:rPr>
          <w:rFonts w:hint="eastAsia" w:ascii="宋体" w:hAnsi="宋体" w:cs="宋体"/>
          <w:color w:val="000000"/>
          <w:sz w:val="24"/>
          <w:szCs w:val="24"/>
        </w:rPr>
      </w:pPr>
      <w:r>
        <w:rPr>
          <w:rFonts w:hint="eastAsia" w:ascii="宋体" w:hAnsi="宋体" w:cs="宋体"/>
          <w:b/>
          <w:color w:val="000000"/>
          <w:sz w:val="24"/>
          <w:szCs w:val="24"/>
          <w:lang w:bidi="ar"/>
        </w:rPr>
        <w:t xml:space="preserve">D.违约责任</w:t>
      </w:r>
      <w:r/>
    </w:p>
    <w:p>
      <w:pPr>
        <w:ind w:firstLine="480"/>
        <w:spacing w:line="440" w:lineRule="exact"/>
        <w:widowControl/>
        <w:rPr>
          <w:rFonts w:hint="eastAsia" w:ascii="宋体" w:hAnsi="宋体" w:cs="宋体"/>
          <w:color w:val="000000"/>
          <w:sz w:val="24"/>
          <w:szCs w:val="24"/>
        </w:rPr>
      </w:pPr>
      <w:r>
        <w:rPr>
          <w:rFonts w:hint="eastAsia" w:ascii="宋体" w:hAnsi="宋体" w:cs="宋体"/>
          <w:bCs/>
          <w:color w:val="000000"/>
          <w:sz w:val="24"/>
          <w:szCs w:val="24"/>
          <w:lang w:bidi="ar"/>
        </w:rPr>
        <w:t xml:space="preserve">   后勤管理处将定期或不定期组织人员对物业公司履行职责情况进行检查，并按以下约定处理：</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1.以上职责未落实到位，物业公司除需承担由此给学校造成的损失外，还需承担违约金</w:t>
      </w:r>
      <w:r>
        <w:rPr>
          <w:rFonts w:hint="eastAsia" w:ascii="宋体" w:hAnsi="宋体" w:cs="宋体"/>
          <w:b/>
          <w:color w:val="000000"/>
          <w:sz w:val="24"/>
          <w:szCs w:val="24"/>
          <w:lang w:bidi="ar"/>
        </w:rPr>
        <w:t xml:space="preserve">500元/次.条</w:t>
      </w:r>
      <w:r>
        <w:rPr>
          <w:rFonts w:hint="eastAsia" w:ascii="宋体" w:hAnsi="宋体" w:cs="宋体"/>
          <w:bCs/>
          <w:color w:val="000000"/>
          <w:sz w:val="24"/>
          <w:szCs w:val="24"/>
          <w:lang w:bidi="ar"/>
        </w:rPr>
        <w:t xml:space="preserve">。</w:t>
      </w:r>
      <w:r/>
    </w:p>
    <w:p>
      <w:pPr>
        <w:ind w:firstLine="480"/>
        <w:spacing w:line="440" w:lineRule="exact"/>
        <w:widowControl/>
        <w:tabs>
          <w:tab w:val="left" w:pos="312" w:leader="none"/>
        </w:tabs>
        <w:rPr>
          <w:rFonts w:hint="eastAsia" w:ascii="宋体" w:hAnsi="宋体" w:cs="宋体"/>
          <w:color w:val="000000"/>
          <w:sz w:val="24"/>
          <w:szCs w:val="24"/>
        </w:rPr>
      </w:pPr>
      <w:r>
        <w:rPr>
          <w:rFonts w:hint="eastAsia" w:ascii="宋体" w:hAnsi="宋体" w:cs="宋体"/>
          <w:bCs/>
          <w:color w:val="000000"/>
          <w:sz w:val="24"/>
          <w:szCs w:val="24"/>
          <w:lang w:bidi="ar"/>
        </w:rPr>
        <w:t xml:space="preserve">2.发现物业公司人员有与学生或维修等单位串通，损害学校利益的，物业公司除需承担由此给学校造成的损失外，还需承担违约金</w:t>
      </w:r>
      <w:r>
        <w:rPr>
          <w:rFonts w:hint="eastAsia" w:ascii="宋体" w:hAnsi="宋体" w:cs="宋体"/>
          <w:b/>
          <w:color w:val="000000"/>
          <w:sz w:val="24"/>
          <w:szCs w:val="24"/>
          <w:lang w:bidi="ar"/>
        </w:rPr>
        <w:t xml:space="preserve">5000元/次</w:t>
      </w:r>
      <w:r>
        <w:rPr>
          <w:rFonts w:hint="eastAsia" w:ascii="宋体" w:hAnsi="宋体" w:cs="宋体"/>
          <w:bCs/>
          <w:color w:val="000000"/>
          <w:sz w:val="24"/>
          <w:szCs w:val="24"/>
          <w:lang w:bidi="ar"/>
        </w:rPr>
        <w:t xml:space="preserve">。</w:t>
      </w:r>
      <w:r/>
    </w:p>
    <w:p>
      <w:pPr>
        <w:ind w:firstLine="480"/>
        <w:spacing w:line="440" w:lineRule="exact"/>
        <w:widowControl/>
        <w:rPr>
          <w:rFonts w:hint="eastAsia" w:ascii="宋体" w:hAnsi="宋体" w:cs="宋体"/>
          <w:sz w:val="24"/>
          <w:szCs w:val="24"/>
        </w:rPr>
      </w:pPr>
      <w:r>
        <w:rPr>
          <w:rFonts w:hint="eastAsia" w:ascii="宋体" w:hAnsi="宋体" w:cs="等线"/>
          <w:color w:val="000000"/>
          <w:sz w:val="24"/>
          <w:szCs w:val="24"/>
          <w:lang w:bidi="ar"/>
        </w:rPr>
        <w:t xml:space="preserve">学校根据实际管理情况每年可修订一次，供应商需无条件服从。</w:t>
      </w:r>
      <w:r/>
    </w:p>
    <w:p>
      <w:pPr>
        <w:spacing w:line="440" w:lineRule="exact"/>
        <w:rPr>
          <w:rFonts w:hint="eastAsia" w:ascii="宋体" w:hAnsi="宋体" w:cs="宋体"/>
          <w:sz w:val="24"/>
          <w:szCs w:val="24"/>
        </w:rPr>
      </w:pPr>
      <w:r>
        <w:rPr>
          <w:rFonts w:hint="eastAsia" w:ascii="宋体" w:hAnsi="宋体" w:cs="宋体"/>
          <w:sz w:val="24"/>
          <w:szCs w:val="24"/>
        </w:rPr>
      </w:r>
      <w:r/>
    </w:p>
    <w:p>
      <w:pPr>
        <w:spacing w:line="440" w:lineRule="exact"/>
        <w:rPr>
          <w:sz w:val="24"/>
          <w:szCs w:val="24"/>
        </w:rPr>
      </w:pPr>
      <w:r>
        <w:rPr>
          <w:rFonts w:hint="eastAsia"/>
          <w:sz w:val="24"/>
          <w:szCs w:val="24"/>
        </w:rPr>
        <w:t xml:space="preserve">（四）</w:t>
      </w:r>
      <w:r>
        <w:rPr>
          <w:sz w:val="24"/>
          <w:szCs w:val="24"/>
        </w:rPr>
        <w:t xml:space="preserve">其他要求</w:t>
      </w:r>
      <w:r/>
    </w:p>
    <w:p>
      <w:pPr>
        <w:ind w:firstLine="480"/>
        <w:spacing w:line="440" w:lineRule="exact"/>
        <w:rPr>
          <w:rFonts w:hint="eastAsia"/>
          <w:sz w:val="24"/>
          <w:szCs w:val="24"/>
        </w:rPr>
      </w:pPr>
      <w:r>
        <w:rPr>
          <w:rFonts w:hint="eastAsia"/>
          <w:sz w:val="24"/>
          <w:szCs w:val="24"/>
        </w:rPr>
        <w:t xml:space="preserve">每个投标人可选择相应的分包投标，兼投不兼中。在分包一中被推荐为第一中标候选人的单位可参与分包二评标，但不得成为分包二的推荐中标候选人，按分包顺序，以此类推。</w:t>
      </w:r>
      <w:r/>
    </w:p>
    <w:p>
      <w:pPr>
        <w:spacing w:line="440" w:lineRule="exact"/>
        <w:rPr>
          <w:rFonts w:hint="eastAsia"/>
          <w:b/>
          <w:sz w:val="24"/>
          <w:szCs w:val="24"/>
        </w:rPr>
      </w:pPr>
      <w:r>
        <w:rPr>
          <w:rFonts w:hint="eastAsia"/>
          <w:sz w:val="24"/>
          <w:szCs w:val="24"/>
        </w:rPr>
        <w:t xml:space="preserve">（五）</w:t>
      </w:r>
      <w:r>
        <w:rPr>
          <w:rFonts w:hint="eastAsia"/>
          <w:b/>
          <w:sz w:val="24"/>
          <w:szCs w:val="24"/>
        </w:rPr>
        <w:t xml:space="preserve">实质性要求</w:t>
      </w:r>
      <w:r/>
    </w:p>
    <w:p>
      <w:pPr>
        <w:spacing w:line="440" w:lineRule="exact"/>
        <w:rPr>
          <w:rFonts w:hint="eastAsia"/>
          <w:iCs/>
          <w:sz w:val="24"/>
          <w:szCs w:val="24"/>
        </w:rPr>
      </w:pPr>
      <w:r>
        <w:rPr>
          <w:rFonts w:hint="eastAsia"/>
          <w:b/>
          <w:iCs/>
          <w:sz w:val="24"/>
          <w:szCs w:val="24"/>
          <w:u w:val="single"/>
        </w:rPr>
        <w:t xml:space="preserve">无</w:t>
      </w:r>
      <w:r/>
    </w:p>
    <w:p>
      <w:pPr>
        <w:spacing w:line="440" w:lineRule="exact"/>
        <w:rPr>
          <w:rFonts w:hint="eastAsia"/>
          <w:sz w:val="24"/>
          <w:szCs w:val="24"/>
        </w:rPr>
      </w:pPr>
      <w:r>
        <w:rPr>
          <w:rFonts w:hint="eastAsia"/>
          <w:sz w:val="24"/>
          <w:szCs w:val="24"/>
        </w:rPr>
        <w:t xml:space="preserve">（六）样品</w:t>
      </w:r>
      <w:r/>
    </w:p>
    <w:p>
      <w:pPr>
        <w:spacing w:line="440" w:lineRule="exact"/>
        <w:rPr>
          <w:rFonts w:hint="eastAsia"/>
          <w:sz w:val="24"/>
          <w:szCs w:val="24"/>
        </w:rPr>
      </w:pPr>
      <w:r>
        <w:rPr>
          <w:rFonts w:hint="eastAsia"/>
          <w:sz w:val="24"/>
          <w:szCs w:val="24"/>
        </w:rPr>
        <w:t xml:space="preserve">无</w:t>
      </w:r>
      <w:r/>
    </w:p>
    <w:p>
      <w:pPr>
        <w:spacing w:line="440" w:lineRule="exact"/>
        <w:rPr>
          <w:rFonts w:hint="eastAsia"/>
          <w:color w:val="000000"/>
          <w:sz w:val="24"/>
          <w:szCs w:val="24"/>
        </w:rPr>
      </w:pPr>
      <w:r>
        <w:rPr>
          <w:rFonts w:hint="eastAsia"/>
          <w:color w:val="000000"/>
          <w:sz w:val="24"/>
          <w:szCs w:val="24"/>
        </w:rPr>
        <w:t xml:space="preserve">（七）演示</w:t>
      </w:r>
      <w:r/>
    </w:p>
    <w:p>
      <w:pPr>
        <w:spacing w:line="440" w:lineRule="exact"/>
        <w:rPr>
          <w:rFonts w:hint="eastAsia"/>
          <w:color w:val="000000"/>
          <w:sz w:val="24"/>
          <w:szCs w:val="24"/>
        </w:rPr>
      </w:pPr>
      <w:r>
        <w:rPr>
          <w:rFonts w:hint="eastAsia"/>
          <w:color w:val="000000"/>
          <w:sz w:val="24"/>
          <w:szCs w:val="24"/>
        </w:rPr>
        <w:t xml:space="preserve">无</w:t>
      </w:r>
      <w:r/>
    </w:p>
    <w:p>
      <w:pPr>
        <w:spacing w:line="440" w:lineRule="exact"/>
        <w:rPr>
          <w:rFonts w:hint="eastAsia" w:ascii="宋体" w:hAnsi="宋体"/>
          <w:sz w:val="24"/>
          <w:szCs w:val="24"/>
        </w:rPr>
      </w:pPr>
      <w:r>
        <w:rPr>
          <w:rFonts w:hint="eastAsia" w:ascii="宋体" w:hAnsi="宋体"/>
          <w:sz w:val="24"/>
          <w:szCs w:val="24"/>
        </w:rPr>
        <w:t xml:space="preserve">（八）采购标的对应的中小企业划分标准所属行业一览表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tcW w:w="3291" w:type="dxa"/>
            <w:vAlign w:val="top"/>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学校物业管理服务项目</w:t>
            </w:r>
            <w:r/>
          </w:p>
        </w:tc>
        <w:tc>
          <w:tcPr>
            <w:tcW w:w="2852" w:type="dxa"/>
            <w:vAlign w:val="top"/>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物业管理</w:t>
            </w:r>
            <w:r/>
          </w:p>
        </w:tc>
      </w:tr>
    </w:tbl>
    <w:p>
      <w:pPr>
        <w:ind w:firstLine="480"/>
        <w:spacing w:line="440" w:lineRule="exact"/>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rPr>
          <w:rFonts w:hint="eastAsia"/>
        </w:rPr>
      </w:pPr>
      <w:r>
        <w:rPr>
          <w:rFonts w:hint="eastAsia"/>
        </w:rPr>
      </w:r>
      <w:r/>
    </w:p>
    <w:p>
      <w:pPr>
        <w:rPr>
          <w:rFonts w:hint="eastAsia"/>
        </w:rPr>
      </w:pPr>
      <w:r>
        <w:rPr>
          <w:rFonts w:hint="eastAsia"/>
        </w:rPr>
      </w:r>
      <w:r/>
    </w:p>
    <w:p>
      <w:pPr>
        <w:pStyle w:val="88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70"/>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70"/>
        <w:ind w:firstLine="441"/>
        <w:rPr>
          <w:rFonts w:hint="eastAsia" w:ascii="宋体" w:hAnsi="宋体"/>
          <w:b/>
          <w:highlight w:val="yellow"/>
        </w:rPr>
      </w:pPr>
      <w:r>
        <w:rPr>
          <w:rFonts w:hint="eastAsia" w:ascii="宋体" w:hAnsi="宋体"/>
          <w:b/>
        </w:rPr>
        <w:t xml:space="preserve">政府采购政策功能落实</w:t>
      </w:r>
      <w:r/>
    </w:p>
    <w:p>
      <w:pPr>
        <w:pStyle w:val="970"/>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970"/>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970"/>
        <w:ind w:firstLine="482"/>
        <w:spacing w:line="0" w:lineRule="atLeast"/>
        <w:rPr>
          <w:rFonts w:hint="eastAsia" w:ascii="宋体" w:hAnsi="宋体"/>
          <w:b/>
        </w:rPr>
      </w:pPr>
      <w:r>
        <w:rPr>
          <w:rFonts w:hint="eastAsia" w:ascii="宋体" w:hAnsi="宋体"/>
          <w:b/>
        </w:rPr>
        <w:t xml:space="preserve">评标方法与评标标准</w:t>
      </w:r>
      <w:r/>
    </w:p>
    <w:p>
      <w:pPr>
        <w:pStyle w:val="970"/>
        <w:ind w:firstLine="482"/>
        <w:spacing w:line="0" w:lineRule="atLeast"/>
        <w:rPr>
          <w:rFonts w:hint="eastAsia" w:ascii="宋体" w:hAnsi="宋体"/>
          <w:b/>
        </w:rPr>
      </w:pPr>
      <w:r>
        <w:rPr>
          <w:rFonts w:hint="eastAsia" w:ascii="宋体" w:hAnsi="宋体"/>
          <w:b/>
        </w:rPr>
      </w:r>
      <w:r/>
    </w:p>
    <w:p>
      <w:pPr>
        <w:ind w:firstLine="880"/>
        <w:jc w:val="center"/>
        <w:spacing w:line="360" w:lineRule="auto"/>
        <w:tabs>
          <w:tab w:val="left" w:pos="360" w:leader="none"/>
          <w:tab w:val="left" w:pos="900" w:leader="none"/>
          <w:tab w:val="left" w:pos="1080" w:leader="none"/>
          <w:tab w:val="left" w:pos="2014" w:leader="none"/>
        </w:tabs>
        <w:rPr>
          <w:rFonts w:hint="eastAsia" w:ascii="方正小标宋简体" w:eastAsia="方正小标宋简体"/>
          <w:sz w:val="44"/>
          <w:szCs w:val="44"/>
        </w:rPr>
      </w:pPr>
      <w:r>
        <w:rPr>
          <w:rFonts w:hint="eastAsia" w:ascii="方正小标宋简体" w:eastAsia="方正小标宋简体"/>
          <w:sz w:val="44"/>
          <w:szCs w:val="44"/>
        </w:rPr>
        <w:t xml:space="preserve">分包</w:t>
      </w:r>
      <w:r>
        <w:rPr>
          <w:rFonts w:ascii="方正小标宋简体" w:eastAsia="方正小标宋简体"/>
          <w:sz w:val="44"/>
          <w:szCs w:val="44"/>
        </w:rPr>
        <w:t xml:space="preserve">1</w:t>
      </w:r>
      <w:r>
        <w:rPr>
          <w:rFonts w:hint="eastAsia" w:ascii="方正小标宋简体" w:eastAsia="方正小标宋简体"/>
          <w:sz w:val="44"/>
          <w:szCs w:val="44"/>
        </w:rPr>
        <w:t xml:space="preserve">（公寓物业管理）</w:t>
      </w:r>
      <w:r/>
    </w:p>
    <w:tbl>
      <w:tblPr>
        <w:tblStyle w:val="713"/>
        <w:tblpPr w:horzAnchor="text" w:tblpXSpec="left" w:vertAnchor="text" w:tblpY="1" w:leftFromText="180" w:topFromText="0" w:rightFromText="180" w:bottomFromText="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1"/>
        <w:gridCol w:w="1124"/>
        <w:gridCol w:w="3555"/>
        <w:gridCol w:w="716"/>
        <w:gridCol w:w="620"/>
        <w:gridCol w:w="1563"/>
        <w:gridCol w:w="614"/>
      </w:tblGrid>
      <w:tr>
        <w:trPr>
          <w:trHeight w:val="704"/>
          <w:tblHeader/>
        </w:trPr>
        <w:tc>
          <w:tcPr>
            <w:tcMar>
              <w:left w:w="0" w:type="dxa"/>
              <w:right w:w="0" w:type="dxa"/>
            </w:tcMar>
            <w:tcW w:w="591" w:type="dxa"/>
            <w:vAlign w:val="center"/>
            <w:textDirection w:val="lrTb"/>
            <w:noWrap w:val="false"/>
          </w:tcPr>
          <w:p>
            <w:pPr>
              <w:jc w:val="center"/>
              <w:spacing w:line="300" w:lineRule="exact"/>
              <w:rPr>
                <w:rFonts w:hint="eastAsia" w:ascii="黑体" w:hAnsi="黑体" w:eastAsia="黑体"/>
                <w:color w:val="1a1a1a"/>
                <w:sz w:val="24"/>
                <w:szCs w:val="24"/>
              </w:rPr>
            </w:pPr>
            <w:r>
              <w:rPr>
                <w:rFonts w:hint="eastAsia" w:ascii="黑体" w:hAnsi="黑体" w:eastAsia="黑体"/>
                <w:color w:val="1a1a1a"/>
                <w:sz w:val="24"/>
                <w:szCs w:val="24"/>
              </w:rPr>
              <w:t xml:space="preserve">序号</w:t>
            </w:r>
            <w:r/>
          </w:p>
        </w:tc>
        <w:tc>
          <w:tcPr>
            <w:tcW w:w="1124" w:type="dxa"/>
            <w:vAlign w:val="center"/>
            <w:textDirection w:val="lrTb"/>
            <w:noWrap w:val="false"/>
          </w:tcPr>
          <w:p>
            <w:pPr>
              <w:jc w:val="center"/>
              <w:spacing w:line="300" w:lineRule="exact"/>
              <w:rPr>
                <w:rFonts w:hint="eastAsia" w:ascii="黑体" w:hAnsi="黑体" w:eastAsia="黑体"/>
                <w:color w:val="1a1a1a"/>
                <w:sz w:val="24"/>
                <w:szCs w:val="24"/>
              </w:rPr>
            </w:pPr>
            <w:r>
              <w:rPr>
                <w:rFonts w:hint="eastAsia" w:ascii="宋体" w:hAnsi="宋体" w:cs="宋体"/>
                <w:b/>
                <w:bCs/>
                <w:sz w:val="20"/>
                <w:szCs w:val="20"/>
              </w:rPr>
              <w:t xml:space="preserve">评分因素</w:t>
            </w:r>
            <w:r/>
          </w:p>
        </w:tc>
        <w:tc>
          <w:tcPr>
            <w:tcMar>
              <w:left w:w="0" w:type="dxa"/>
              <w:right w:w="0" w:type="dxa"/>
            </w:tcMar>
            <w:tcW w:w="3555" w:type="dxa"/>
            <w:vAlign w:val="center"/>
            <w:textDirection w:val="lrTb"/>
            <w:noWrap w:val="false"/>
          </w:tcPr>
          <w:p>
            <w:pPr>
              <w:jc w:val="center"/>
              <w:spacing w:line="300" w:lineRule="exact"/>
              <w:rPr>
                <w:rFonts w:hint="eastAsia" w:ascii="黑体" w:hAnsi="黑体" w:eastAsia="黑体"/>
                <w:color w:val="1a1a1a"/>
                <w:sz w:val="24"/>
                <w:szCs w:val="24"/>
              </w:rPr>
            </w:pPr>
            <w:r>
              <w:rPr>
                <w:rFonts w:hint="eastAsia" w:ascii="黑体" w:hAnsi="黑体" w:eastAsia="黑体"/>
                <w:color w:val="1a1a1a"/>
                <w:sz w:val="24"/>
                <w:szCs w:val="24"/>
              </w:rPr>
              <w:t xml:space="preserve">评分标准和评审材料</w:t>
            </w:r>
            <w:r/>
          </w:p>
        </w:tc>
        <w:tc>
          <w:tcPr>
            <w:tcMar>
              <w:left w:w="0" w:type="dxa"/>
              <w:right w:w="0" w:type="dxa"/>
            </w:tcMar>
            <w:tcW w:w="716" w:type="dxa"/>
            <w:vAlign w:val="center"/>
            <w:textDirection w:val="lrTb"/>
            <w:noWrap w:val="false"/>
          </w:tcPr>
          <w:p>
            <w:pPr>
              <w:jc w:val="center"/>
              <w:rPr>
                <w:rFonts w:hint="eastAsia" w:ascii="黑体" w:hAnsi="黑体" w:eastAsia="黑体"/>
                <w:color w:val="1a1a1a"/>
                <w:sz w:val="24"/>
                <w:szCs w:val="24"/>
              </w:rPr>
            </w:pPr>
            <w:r>
              <w:rPr>
                <w:rFonts w:hint="eastAsia" w:ascii="宋体" w:hAnsi="宋体"/>
                <w:b/>
              </w:rPr>
              <w:t xml:space="preserve">最低分值</w:t>
            </w:r>
            <w:r/>
          </w:p>
        </w:tc>
        <w:tc>
          <w:tcPr>
            <w:tcMar>
              <w:left w:w="0" w:type="dxa"/>
              <w:right w:w="0" w:type="dxa"/>
            </w:tcMar>
            <w:tcW w:w="620" w:type="dxa"/>
            <w:vAlign w:val="top"/>
            <w:textDirection w:val="lrTb"/>
            <w:noWrap w:val="false"/>
          </w:tcPr>
          <w:p>
            <w:pPr>
              <w:jc w:val="center"/>
              <w:rPr>
                <w:rFonts w:hint="eastAsia" w:ascii="黑体" w:hAnsi="黑体" w:eastAsia="黑体"/>
                <w:color w:val="1a1a1a"/>
                <w:sz w:val="24"/>
                <w:szCs w:val="24"/>
              </w:rPr>
            </w:pPr>
            <w:r>
              <w:rPr>
                <w:rFonts w:hint="eastAsia" w:ascii="宋体" w:hAnsi="宋体"/>
                <w:b/>
              </w:rPr>
              <w:t xml:space="preserve">最高分值</w:t>
            </w:r>
            <w:r/>
          </w:p>
        </w:tc>
        <w:tc>
          <w:tcPr>
            <w:tcW w:w="1563" w:type="dxa"/>
            <w:vAlign w:val="top"/>
            <w:textDirection w:val="lrTb"/>
            <w:noWrap w:val="false"/>
          </w:tcPr>
          <w:p>
            <w:pPr>
              <w:jc w:val="center"/>
              <w:rPr>
                <w:rFonts w:hint="eastAsia" w:ascii="黑体" w:hAnsi="黑体" w:eastAsia="黑体"/>
                <w:color w:val="1a1a1a"/>
                <w:sz w:val="24"/>
                <w:szCs w:val="24"/>
              </w:rPr>
            </w:pPr>
            <w:r>
              <w:rPr>
                <w:rFonts w:hint="eastAsia" w:ascii="黑体" w:hAnsi="黑体" w:eastAsia="黑体"/>
                <w:color w:val="1a1a1a"/>
                <w:sz w:val="24"/>
                <w:szCs w:val="24"/>
              </w:rPr>
            </w:r>
            <w:r/>
          </w:p>
        </w:tc>
        <w:tc>
          <w:tcPr>
            <w:tcW w:w="614" w:type="dxa"/>
            <w:vAlign w:val="top"/>
            <w:textDirection w:val="lrTb"/>
            <w:noWrap w:val="false"/>
          </w:tcPr>
          <w:p>
            <w:pPr>
              <w:jc w:val="center"/>
              <w:rPr>
                <w:rFonts w:hint="eastAsia" w:ascii="黑体" w:hAnsi="黑体" w:eastAsia="黑体"/>
                <w:color w:val="1a1a1a"/>
                <w:sz w:val="24"/>
                <w:szCs w:val="24"/>
              </w:rPr>
            </w:pPr>
            <w:r>
              <w:rPr>
                <w:rFonts w:hint="eastAsia" w:ascii="黑体" w:hAnsi="黑体" w:eastAsia="黑体"/>
                <w:color w:val="1a1a1a"/>
                <w:sz w:val="24"/>
                <w:szCs w:val="24"/>
              </w:rPr>
            </w:r>
            <w:r/>
          </w:p>
        </w:tc>
      </w:tr>
      <w:tr>
        <w:trPr>
          <w:trHeight w:val="1404"/>
        </w:trPr>
        <w:tc>
          <w:tcPr>
            <w:tcW w:w="591" w:type="dxa"/>
            <w:vAlign w:val="center"/>
            <w:textDirection w:val="lrTb"/>
            <w:noWrap w:val="false"/>
          </w:tcPr>
          <w:p>
            <w:pPr>
              <w:jc w:val="center"/>
              <w:spacing w:line="300" w:lineRule="exact"/>
              <w:rPr>
                <w:color w:val="1a1a1a"/>
                <w:sz w:val="24"/>
                <w:szCs w:val="24"/>
              </w:rPr>
            </w:pPr>
            <w:r>
              <w:rPr>
                <w:rFonts w:hint="eastAsia"/>
                <w:color w:val="1a1a1a"/>
                <w:sz w:val="24"/>
                <w:szCs w:val="24"/>
              </w:rPr>
              <w:t xml:space="preserve">1</w:t>
            </w:r>
            <w:r/>
          </w:p>
        </w:tc>
        <w:tc>
          <w:tcPr>
            <w:tcW w:w="1124" w:type="dxa"/>
            <w:vAlign w:val="center"/>
            <w:textDirection w:val="lrTb"/>
            <w:noWrap w:val="false"/>
          </w:tcPr>
          <w:p>
            <w:pPr>
              <w:spacing w:line="300" w:lineRule="exact"/>
              <w:rPr>
                <w:rFonts w:hint="eastAsia" w:cs="宋体"/>
                <w:bCs/>
                <w:color w:val="1a1a1a"/>
                <w:sz w:val="24"/>
                <w:szCs w:val="24"/>
              </w:rPr>
            </w:pPr>
            <w:r>
              <w:rPr>
                <w:rFonts w:hint="eastAsia" w:ascii="宋体" w:hAnsi="宋体" w:cs="宋体"/>
                <w:b/>
                <w:bCs/>
                <w:sz w:val="20"/>
                <w:szCs w:val="20"/>
              </w:rPr>
              <w:t xml:space="preserve">价格分</w:t>
            </w:r>
            <w:r/>
          </w:p>
        </w:tc>
        <w:tc>
          <w:tcPr>
            <w:tcW w:w="3555" w:type="dxa"/>
            <w:vAlign w:val="center"/>
            <w:textDirection w:val="lrTb"/>
            <w:noWrap w:val="false"/>
          </w:tcPr>
          <w:p>
            <w:pPr>
              <w:spacing w:line="300" w:lineRule="exact"/>
              <w:rPr>
                <w:color w:val="1a1a1a"/>
                <w:sz w:val="24"/>
                <w:szCs w:val="24"/>
              </w:rPr>
            </w:pPr>
            <w:r>
              <w:rPr>
                <w:rFonts w:hint="eastAsia" w:cs="宋体"/>
                <w:bCs/>
                <w:color w:val="1a1a1a"/>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价格分：采用低价优先法计算，即满足招标文件要求且投标价格最低的投标报价为评标基准价，其价格分为满分。其他投标人的价格分统一按照下列公式计算：投标报价得分=（评标基准价／投标报价）×分值。</w:t>
            </w:r>
            <w:r/>
          </w:p>
        </w:tc>
        <w:tc>
          <w:tcPr>
            <w:tcW w:w="716" w:type="dxa"/>
            <w:vAlign w:val="center"/>
            <w:textDirection w:val="lrTb"/>
            <w:noWrap w:val="false"/>
          </w:tcPr>
          <w:p>
            <w:pPr>
              <w:spacing w:line="300" w:lineRule="exact"/>
              <w:rPr>
                <w:color w:val="1a1a1a"/>
                <w:sz w:val="24"/>
                <w:szCs w:val="24"/>
              </w:rPr>
            </w:pPr>
            <w:r>
              <w:rPr>
                <w:rFonts w:hint="eastAsia"/>
                <w:color w:val="1a1a1a"/>
                <w:sz w:val="24"/>
                <w:szCs w:val="24"/>
              </w:rPr>
              <w:t xml:space="preserve">0</w:t>
            </w:r>
            <w:r/>
          </w:p>
        </w:tc>
        <w:tc>
          <w:tcPr>
            <w:tcW w:w="620" w:type="dxa"/>
            <w:vAlign w:val="top"/>
            <w:textDirection w:val="lrTb"/>
            <w:noWrap w:val="false"/>
          </w:tcPr>
          <w:p>
            <w:pPr>
              <w:spacing w:line="300" w:lineRule="exact"/>
              <w:rPr>
                <w:rFonts w:hint="eastAsia"/>
                <w:color w:val="1a1a1a"/>
                <w:sz w:val="24"/>
                <w:szCs w:val="24"/>
              </w:rPr>
            </w:pPr>
            <w:r>
              <w:rPr>
                <w:rFonts w:hint="eastAsia"/>
                <w:color w:val="1a1a1a"/>
                <w:sz w:val="24"/>
                <w:szCs w:val="24"/>
              </w:rPr>
              <w:t xml:space="preserve">20</w:t>
            </w:r>
            <w:r/>
          </w:p>
        </w:tc>
        <w:tc>
          <w:tcPr>
            <w:tcW w:w="1563" w:type="dxa"/>
            <w:vAlign w:val="top"/>
            <w:textDirection w:val="lrTb"/>
            <w:noWrap w:val="false"/>
          </w:tcPr>
          <w:p>
            <w:pPr>
              <w:ind w:left="-115" w:firstLine="115"/>
              <w:spacing w:line="300" w:lineRule="exact"/>
              <w:rPr>
                <w:rFonts w:hint="eastAsia"/>
                <w:color w:val="1a1a1a"/>
                <w:sz w:val="24"/>
                <w:szCs w:val="24"/>
              </w:rPr>
            </w:pPr>
            <w:r>
              <w:rPr>
                <w:rFonts w:hint="eastAsia"/>
                <w:color w:val="1a1a1a"/>
                <w:sz w:val="24"/>
                <w:szCs w:val="24"/>
              </w:rPr>
            </w:r>
            <w:r/>
          </w:p>
        </w:tc>
        <w:tc>
          <w:tcPr>
            <w:tcW w:w="614" w:type="dxa"/>
            <w:vAlign w:val="top"/>
            <w:textDirection w:val="lrTb"/>
            <w:noWrap w:val="false"/>
          </w:tcPr>
          <w:p>
            <w:pPr>
              <w:spacing w:line="300" w:lineRule="exact"/>
              <w:rPr>
                <w:rFonts w:hint="eastAsia"/>
                <w:color w:val="1a1a1a"/>
                <w:sz w:val="24"/>
                <w:szCs w:val="24"/>
              </w:rPr>
            </w:pPr>
            <w:r>
              <w:rPr>
                <w:rFonts w:hint="eastAsia"/>
                <w:color w:val="1a1a1a"/>
                <w:sz w:val="24"/>
                <w:szCs w:val="24"/>
              </w:rPr>
            </w:r>
            <w:r/>
          </w:p>
        </w:tc>
      </w:tr>
      <w:tr>
        <w:trPr>
          <w:trHeight w:val="1028"/>
        </w:trPr>
        <w:tc>
          <w:tcPr>
            <w:tcW w:w="591" w:type="dxa"/>
            <w:vAlign w:val="center"/>
            <w:textDirection w:val="lrTb"/>
            <w:noWrap w:val="false"/>
          </w:tcPr>
          <w:p>
            <w:pPr>
              <w:jc w:val="center"/>
              <w:spacing w:line="300" w:lineRule="exact"/>
              <w:rPr>
                <w:rFonts w:hint="eastAsia"/>
                <w:b/>
                <w:color w:val="1a1a1a"/>
                <w:sz w:val="24"/>
                <w:szCs w:val="24"/>
              </w:rPr>
            </w:pPr>
            <w:r>
              <w:rPr>
                <w:rFonts w:hint="eastAsia"/>
                <w:b/>
                <w:color w:val="1a1a1a"/>
                <w:sz w:val="24"/>
                <w:szCs w:val="24"/>
              </w:rPr>
              <w:t xml:space="preserve">序号</w:t>
            </w:r>
            <w:r/>
          </w:p>
        </w:tc>
        <w:tc>
          <w:tcPr>
            <w:tcW w:w="1124" w:type="dxa"/>
            <w:vAlign w:val="top"/>
            <w:textDirection w:val="lrTb"/>
            <w:noWrap w:val="false"/>
          </w:tcPr>
          <w:p>
            <w:pPr>
              <w:spacing w:line="300" w:lineRule="exact"/>
              <w:rPr>
                <w:rFonts w:hint="eastAsia"/>
                <w:b/>
                <w:color w:val="1a1a1a"/>
                <w:sz w:val="24"/>
                <w:szCs w:val="24"/>
              </w:rPr>
            </w:pPr>
            <w:r>
              <w:rPr>
                <w:rFonts w:hint="eastAsia" w:ascii="宋体" w:hAnsi="宋体" w:cs="宋体"/>
                <w:b/>
                <w:bCs/>
                <w:sz w:val="20"/>
                <w:szCs w:val="20"/>
              </w:rPr>
              <w:t xml:space="preserve">评分因素</w:t>
            </w:r>
            <w:r/>
          </w:p>
        </w:tc>
        <w:tc>
          <w:tcPr>
            <w:tcW w:w="3555" w:type="dxa"/>
            <w:vAlign w:val="center"/>
            <w:textDirection w:val="lrTb"/>
            <w:noWrap w:val="false"/>
          </w:tcPr>
          <w:p>
            <w:pPr>
              <w:spacing w:line="300" w:lineRule="exact"/>
              <w:rPr>
                <w:b/>
                <w:color w:val="1a1a1a"/>
                <w:sz w:val="24"/>
                <w:szCs w:val="24"/>
              </w:rPr>
            </w:pPr>
            <w:r>
              <w:rPr>
                <w:rFonts w:hint="eastAsia" w:ascii="宋体" w:hAnsi="宋体"/>
                <w:b/>
              </w:rPr>
              <w:t xml:space="preserve">评分标准和评审材料</w:t>
            </w:r>
            <w:r/>
          </w:p>
        </w:tc>
        <w:tc>
          <w:tcPr>
            <w:tcW w:w="716" w:type="dxa"/>
            <w:vAlign w:val="center"/>
            <w:textDirection w:val="lrTb"/>
            <w:noWrap w:val="false"/>
          </w:tcPr>
          <w:p>
            <w:pPr>
              <w:jc w:val="center"/>
              <w:rPr>
                <w:color w:val="1a1a1a"/>
                <w:sz w:val="24"/>
                <w:szCs w:val="24"/>
              </w:rPr>
            </w:pPr>
            <w:r>
              <w:rPr>
                <w:rFonts w:hint="eastAsia" w:ascii="宋体" w:hAnsi="宋体"/>
                <w:b/>
              </w:rPr>
              <w:t xml:space="preserve">最低分值</w:t>
            </w:r>
            <w:r/>
          </w:p>
        </w:tc>
        <w:tc>
          <w:tcPr>
            <w:tcW w:w="620" w:type="dxa"/>
            <w:vAlign w:val="top"/>
            <w:textDirection w:val="lrTb"/>
            <w:noWrap w:val="false"/>
          </w:tcPr>
          <w:p>
            <w:pPr>
              <w:jc w:val="center"/>
              <w:rPr>
                <w:color w:val="1a1a1a"/>
                <w:sz w:val="24"/>
                <w:szCs w:val="24"/>
              </w:rPr>
            </w:pPr>
            <w:r>
              <w:rPr>
                <w:rFonts w:hint="eastAsia" w:ascii="宋体" w:hAnsi="宋体"/>
                <w:b/>
              </w:rPr>
              <w:t xml:space="preserve">最高分值</w:t>
            </w:r>
            <w:r/>
          </w:p>
        </w:tc>
        <w:tc>
          <w:tcPr>
            <w:tcW w:w="1563" w:type="dxa"/>
            <w:vAlign w:val="top"/>
            <w:textDirection w:val="lrTb"/>
            <w:noWrap w:val="false"/>
          </w:tcPr>
          <w:p>
            <w:pPr>
              <w:jc w:val="center"/>
              <w:rPr>
                <w:color w:val="1a1a1a"/>
                <w:sz w:val="24"/>
                <w:szCs w:val="24"/>
              </w:rPr>
            </w:pPr>
            <w:r>
              <w:rPr>
                <w:rFonts w:hint="eastAsia" w:ascii="宋体" w:hAnsi="宋体"/>
                <w:b/>
              </w:rPr>
              <w:t xml:space="preserve">是否暗标评审</w:t>
            </w:r>
            <w:r/>
          </w:p>
        </w:tc>
        <w:tc>
          <w:tcPr>
            <w:tcW w:w="614" w:type="dxa"/>
            <w:vAlign w:val="top"/>
            <w:textDirection w:val="lrTb"/>
            <w:noWrap w:val="false"/>
          </w:tcPr>
          <w:p>
            <w:pPr>
              <w:jc w:val="center"/>
              <w:rPr>
                <w:color w:val="1a1a1a"/>
                <w:sz w:val="24"/>
                <w:szCs w:val="24"/>
              </w:rPr>
            </w:pPr>
            <w:r>
              <w:rPr>
                <w:rFonts w:hint="eastAsia" w:ascii="宋体" w:hAnsi="宋体"/>
                <w:b/>
              </w:rPr>
              <w:t xml:space="preserve">是否客观分</w:t>
            </w:r>
            <w:r/>
          </w:p>
        </w:tc>
      </w:tr>
      <w:tr>
        <w:trPr>
          <w:trHeight w:val="1028"/>
        </w:trPr>
        <w:tc>
          <w:tcPr>
            <w:tcW w:w="591" w:type="dxa"/>
            <w:vAlign w:val="center"/>
            <w:textDirection w:val="lrTb"/>
            <w:noWrap w:val="false"/>
          </w:tcPr>
          <w:p>
            <w:pPr>
              <w:jc w:val="center"/>
              <w:spacing w:line="300" w:lineRule="exact"/>
              <w:rPr>
                <w:b/>
                <w:color w:val="1a1a1a"/>
                <w:sz w:val="24"/>
                <w:szCs w:val="24"/>
              </w:rPr>
            </w:pPr>
            <w:r>
              <w:rPr>
                <w:rFonts w:hint="eastAsia"/>
                <w:b/>
                <w:color w:val="1a1a1a"/>
                <w:sz w:val="24"/>
                <w:szCs w:val="24"/>
              </w:rPr>
              <w:t xml:space="preserve">2</w:t>
            </w:r>
            <w:r/>
          </w:p>
        </w:tc>
        <w:tc>
          <w:tcPr>
            <w:tcW w:w="1124"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spacing w:line="300" w:lineRule="exact"/>
              <w:rPr>
                <w:rFonts w:hint="eastAsia" w:ascii="宋体" w:hAnsi="宋体" w:cs="宋体"/>
                <w:b/>
                <w:bCs/>
                <w:sz w:val="20"/>
                <w:szCs w:val="20"/>
              </w:rPr>
            </w:pPr>
            <w:r>
              <w:rPr>
                <w:rFonts w:hint="eastAsia" w:ascii="宋体" w:hAnsi="宋体" w:cs="宋体"/>
                <w:b/>
                <w:bCs/>
                <w:sz w:val="20"/>
                <w:szCs w:val="20"/>
              </w:rPr>
              <w:t xml:space="preserve">（主观分）</w:t>
            </w:r>
            <w:r/>
          </w:p>
        </w:tc>
        <w:tc>
          <w:tcPr>
            <w:tcW w:w="3555" w:type="dxa"/>
            <w:vAlign w:val="center"/>
            <w:textDirection w:val="lrTb"/>
            <w:noWrap w:val="false"/>
          </w:tcPr>
          <w:p>
            <w:pPr>
              <w:spacing w:line="300" w:lineRule="exact"/>
              <w:rPr>
                <w:rFonts w:hint="eastAsia" w:ascii="宋体" w:hAnsi="宋体"/>
                <w:b/>
              </w:rPr>
            </w:pPr>
            <w:r>
              <w:rPr>
                <w:rFonts w:hint="eastAsia" w:ascii="宋体" w:hAnsi="宋体"/>
                <w:b/>
              </w:rPr>
            </w:r>
            <w:r/>
          </w:p>
        </w:tc>
        <w:tc>
          <w:tcPr>
            <w:tcW w:w="716" w:type="dxa"/>
            <w:vAlign w:val="center"/>
            <w:textDirection w:val="lrTb"/>
            <w:noWrap w:val="false"/>
          </w:tcPr>
          <w:p>
            <w:pPr>
              <w:jc w:val="center"/>
              <w:rPr>
                <w:rFonts w:hint="eastAsia" w:ascii="宋体" w:hAnsi="宋体"/>
                <w:b/>
              </w:rPr>
            </w:pPr>
            <w:r>
              <w:rPr>
                <w:rFonts w:hint="eastAsia" w:ascii="宋体" w:hAnsi="宋体"/>
                <w:b/>
              </w:rPr>
              <w:t xml:space="preserve">0</w:t>
            </w:r>
            <w:r/>
          </w:p>
        </w:tc>
        <w:tc>
          <w:tcPr>
            <w:tcW w:w="620" w:type="dxa"/>
            <w:vAlign w:val="top"/>
            <w:textDirection w:val="lrTb"/>
            <w:noWrap w:val="false"/>
          </w:tcPr>
          <w:p>
            <w:pPr>
              <w:jc w:val="center"/>
              <w:rPr>
                <w:rFonts w:ascii="宋体" w:hAnsi="宋体"/>
                <w:b/>
              </w:rPr>
            </w:pPr>
            <w:r>
              <w:rPr>
                <w:rFonts w:hint="eastAsia" w:ascii="宋体" w:hAnsi="宋体"/>
                <w:b/>
              </w:rPr>
              <w:t xml:space="preserve">33</w:t>
            </w:r>
            <w:r/>
          </w:p>
        </w:tc>
        <w:tc>
          <w:tcPr>
            <w:tcW w:w="1563" w:type="dxa"/>
            <w:vAlign w:val="top"/>
            <w:textDirection w:val="lrTb"/>
            <w:noWrap w:val="false"/>
          </w:tcPr>
          <w:p>
            <w:pPr>
              <w:jc w:val="center"/>
              <w:rPr>
                <w:rFonts w:hint="eastAsia" w:ascii="宋体" w:hAnsi="宋体"/>
                <w:b/>
              </w:rPr>
            </w:pPr>
            <w:r>
              <w:rPr>
                <w:rFonts w:hint="eastAsia" w:ascii="宋体" w:hAnsi="宋体"/>
                <w:b/>
              </w:rPr>
              <w:t xml:space="preserve">否</w:t>
            </w:r>
            <w:r/>
          </w:p>
        </w:tc>
        <w:tc>
          <w:tcPr>
            <w:tcW w:w="614" w:type="dxa"/>
            <w:vAlign w:val="top"/>
            <w:textDirection w:val="lrTb"/>
            <w:noWrap w:val="false"/>
          </w:tcPr>
          <w:p>
            <w:pPr>
              <w:jc w:val="center"/>
              <w:rPr>
                <w:rFonts w:hint="eastAsia" w:ascii="宋体" w:hAnsi="宋体"/>
                <w:b/>
              </w:rPr>
            </w:pPr>
            <w:r>
              <w:rPr>
                <w:rFonts w:hint="eastAsia" w:ascii="宋体" w:hAnsi="宋体"/>
                <w:b/>
              </w:rPr>
              <w:t xml:space="preserve">否</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2.1</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整体服务方案、管理制度与考核办法</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针对本项目提供的整体服务方案应包含以下全部内容：</w:t>
            </w:r>
            <w:r/>
          </w:p>
          <w:p>
            <w:pPr>
              <w:spacing w:line="300" w:lineRule="exact"/>
              <w:rPr>
                <w:rFonts w:hint="eastAsia" w:cs="宋体"/>
                <w:bCs/>
                <w:color w:val="1a1a1a"/>
                <w:sz w:val="24"/>
                <w:szCs w:val="24"/>
              </w:rPr>
            </w:pPr>
            <w:r>
              <w:rPr>
                <w:rFonts w:hint="eastAsia" w:cs="宋体"/>
                <w:bCs/>
                <w:color w:val="1a1a1a"/>
                <w:sz w:val="24"/>
                <w:szCs w:val="24"/>
              </w:rPr>
              <w:t xml:space="preserve">整体服务方案（含服务目标、服务内容、服务流程）；项目管理机构、工作职能及组织运行管理；项目管理制度（包括但不限于考勤、培训、监督、档案管理等）；考核办法及奖惩措施（含考核指标、考核频率、评分规则、含奖励与处罚的具体标准）；培训管理（含培训思路、目标及上岗标准、培训方式、培训工作程序及计划等）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2.2</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管理服务方案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针对本项目提供综合管理服务方案，应包含以下全部内容：</w:t>
            </w:r>
            <w:r/>
          </w:p>
          <w:p>
            <w:pPr>
              <w:spacing w:line="300" w:lineRule="exact"/>
              <w:rPr>
                <w:rFonts w:hint="eastAsia" w:cs="宋体"/>
                <w:bCs/>
                <w:color w:val="1a1a1a"/>
                <w:sz w:val="24"/>
                <w:szCs w:val="24"/>
              </w:rPr>
            </w:pPr>
            <w:r>
              <w:rPr>
                <w:rFonts w:hint="eastAsia" w:cs="宋体"/>
                <w:bCs/>
                <w:color w:val="1a1a1a"/>
                <w:sz w:val="24"/>
                <w:szCs w:val="24"/>
              </w:rPr>
              <w:t xml:space="preserve">保洁管理方案（含卫生管理要求、保洁工作流程及标准、保洁工作质量标准、保洁安全管理规定、保洁用品管理方案、保洁工作应急处理方案等）；</w:t>
            </w:r>
            <w:r/>
          </w:p>
          <w:p>
            <w:pPr>
              <w:spacing w:line="300" w:lineRule="exact"/>
              <w:rPr>
                <w:rFonts w:hint="eastAsia" w:cs="宋体"/>
                <w:bCs/>
                <w:color w:val="1a1a1a"/>
                <w:sz w:val="24"/>
                <w:szCs w:val="24"/>
              </w:rPr>
            </w:pPr>
            <w:r>
              <w:rPr>
                <w:rFonts w:hint="eastAsia" w:cs="宋体"/>
                <w:bCs/>
                <w:color w:val="1a1a1a"/>
                <w:sz w:val="24"/>
                <w:szCs w:val="24"/>
              </w:rPr>
              <w:t xml:space="preserve">值班管理方案（含物业值班工作要求、值班管理制度、值班交接班要求、值班服务流程、日常值班工作规程、值班期间突发事件应急处置等）；</w:t>
            </w:r>
            <w:r/>
          </w:p>
          <w:p>
            <w:pPr>
              <w:spacing w:line="300" w:lineRule="exact"/>
              <w:rPr>
                <w:rFonts w:hint="eastAsia" w:cs="宋体"/>
                <w:bCs/>
                <w:color w:val="1a1a1a"/>
                <w:sz w:val="24"/>
                <w:szCs w:val="24"/>
              </w:rPr>
            </w:pPr>
            <w:r>
              <w:rPr>
                <w:rFonts w:hint="eastAsia" w:cs="宋体"/>
                <w:bCs/>
                <w:color w:val="1a1a1a"/>
                <w:sz w:val="24"/>
                <w:szCs w:val="24"/>
              </w:rPr>
              <w:t xml:space="preserve">学生管理方案（含学生宿舍日常管理细则、学生行为引导与纪律检查、违规行为处理程序、与学生及校方的沟通协调机制等）评委进行综合评分，本项最高得8分。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1.内容完整全面、方案科学合理、针对性强，符合采购人要求的，得8分；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2.内容较为完整、方案基本合理、针对性一般，与采购人要求有所出入的，得6分；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3.内容不太完整、方案针对性较弱的，得4分；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8</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2.3</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项目重点难点可行性方案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实施过程中的管理重难点制定可行性解决方案，方案应包含：重难点识别（至少列出5项，如育人服务、安全管理、卫生服务等）并针对每个重难点的具体解决措施。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2.4</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服务项目交接方案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针对本项目提供服务项目交接方案应包含以下内容：进场工作方案、交接过渡方案、合同到期时的交接承诺等方面。评委进行综合评分，本项最高得5分。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2.5</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突发事件应急处理措施方案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可能发生的突发事件至少应包含：自然灾害、事故灾害、刑事、治安事件、卫生防疫应急预案、消防应急预案、冬季扫雪防滑应急预案等提供应急响应流程及应急处理措施。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2.6</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特色服务方案</w:t>
            </w:r>
            <w:r/>
          </w:p>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针对本项目的特色服务方案，包括但不限于学生宿舍管理、校园勤工助学、奖学金发放、校园文化建设、节能宣传、环境布置等评委进行综合评分，本项最高得5分。</w:t>
            </w:r>
            <w:r/>
          </w:p>
          <w:p>
            <w:pPr>
              <w:spacing w:line="300" w:lineRule="exact"/>
              <w:rPr>
                <w:rFonts w:hint="eastAsia" w:cs="宋体"/>
                <w:bCs/>
                <w:color w:val="1a1a1a"/>
                <w:sz w:val="24"/>
                <w:szCs w:val="24"/>
              </w:rPr>
            </w:pPr>
            <w:r>
              <w:rPr>
                <w:rFonts w:hint="eastAsia" w:cs="宋体"/>
                <w:bCs/>
                <w:color w:val="1a1a1a"/>
                <w:sz w:val="24"/>
                <w:szCs w:val="24"/>
              </w:rPr>
              <w:t xml:space="preserve">1.内容完整全面、方案科学合理、针对性强，符合采购人要求的，得5分；</w:t>
            </w:r>
            <w:r/>
          </w:p>
          <w:p>
            <w:pPr>
              <w:spacing w:line="300" w:lineRule="exact"/>
              <w:rPr>
                <w:rFonts w:hint="eastAsia" w:cs="宋体"/>
                <w:bCs/>
                <w:color w:val="1a1a1a"/>
                <w:sz w:val="24"/>
                <w:szCs w:val="24"/>
              </w:rPr>
            </w:pPr>
            <w:r>
              <w:rPr>
                <w:rFonts w:hint="eastAsia" w:cs="宋体"/>
                <w:bCs/>
                <w:color w:val="1a1a1a"/>
                <w:sz w:val="24"/>
                <w:szCs w:val="24"/>
              </w:rPr>
              <w:t xml:space="preserve">2.内容较为完整、方案基本合理、针对性一般，与采购人要求有所出入的，得4分；</w:t>
            </w:r>
            <w:r/>
          </w:p>
          <w:p>
            <w:pPr>
              <w:spacing w:line="300" w:lineRule="exact"/>
              <w:rPr>
                <w:rFonts w:hint="eastAsia" w:cs="宋体"/>
                <w:bCs/>
                <w:color w:val="1a1a1a"/>
                <w:sz w:val="24"/>
                <w:szCs w:val="24"/>
              </w:rPr>
            </w:pPr>
            <w:r>
              <w:rPr>
                <w:rFonts w:hint="eastAsia" w:cs="宋体"/>
                <w:bCs/>
                <w:color w:val="1a1a1a"/>
                <w:sz w:val="24"/>
                <w:szCs w:val="24"/>
              </w:rPr>
              <w:t xml:space="preserve">3.内容不太完整、方案针对性较弱的，得3分；</w:t>
            </w:r>
            <w:r/>
          </w:p>
          <w:p>
            <w:pPr>
              <w:spacing w:line="300" w:lineRule="exact"/>
              <w:rPr>
                <w:rFonts w:cs="宋体"/>
                <w:bCs/>
                <w:color w:val="1a1a1a"/>
                <w:sz w:val="24"/>
                <w:szCs w:val="24"/>
              </w:rPr>
            </w:pPr>
            <w:r>
              <w:rPr>
                <w:rFonts w:hint="eastAsia" w:cs="宋体"/>
                <w:bCs/>
                <w:color w:val="1a1a1a"/>
                <w:sz w:val="24"/>
                <w:szCs w:val="24"/>
              </w:rPr>
              <w:t xml:space="preserve">4.未提供方案的本项不得分。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1563" w:type="dxa"/>
            <w:vAlign w:val="top"/>
            <w:textDirection w:val="lrTb"/>
            <w:noWrap w:val="false"/>
          </w:tcPr>
          <w:p>
            <w:pPr>
              <w:spacing w:line="300" w:lineRule="exact"/>
              <w:rPr>
                <w:rFonts w:hint="eastAsia" w:cs="宋体"/>
                <w:bCs/>
                <w:color w:val="1a1a1a"/>
                <w:sz w:val="24"/>
                <w:szCs w:val="24"/>
              </w:rPr>
            </w:pPr>
            <w:r>
              <w:rPr>
                <w:rFonts w:hint="eastAsia" w:ascii="宋体" w:hAnsi="宋体"/>
                <w:b/>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r>
      <w:tr>
        <w:trPr>
          <w:trHeight w:val="567"/>
        </w:trPr>
        <w:tc>
          <w:tcPr>
            <w:tcW w:w="591" w:type="dxa"/>
            <w:vAlign w:val="center"/>
            <w:textDirection w:val="lrTb"/>
            <w:noWrap w:val="false"/>
          </w:tcPr>
          <w:p>
            <w:pPr>
              <w:jc w:val="center"/>
              <w:spacing w:line="300" w:lineRule="exact"/>
              <w:rPr>
                <w:rFonts w:cs="宋体"/>
                <w:b/>
                <w:bCs/>
                <w:color w:val="1a1a1a"/>
                <w:sz w:val="24"/>
                <w:szCs w:val="24"/>
              </w:rPr>
            </w:pPr>
            <w:r>
              <w:rPr>
                <w:rFonts w:hint="eastAsia" w:cs="宋体"/>
                <w:b/>
                <w:bCs/>
                <w:color w:val="1a1a1a"/>
                <w:sz w:val="24"/>
                <w:szCs w:val="24"/>
              </w:rPr>
              <w:t xml:space="preserve">3</w:t>
            </w:r>
            <w:r/>
          </w:p>
        </w:tc>
        <w:tc>
          <w:tcPr>
            <w:tcW w:w="1124"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spacing w:line="300" w:lineRule="exact"/>
              <w:rPr>
                <w:rFonts w:hint="eastAsia" w:cs="宋体"/>
                <w:bCs/>
                <w:color w:val="1a1a1a"/>
                <w:sz w:val="24"/>
                <w:szCs w:val="24"/>
              </w:rPr>
            </w:pPr>
            <w:r>
              <w:rPr>
                <w:rFonts w:hint="eastAsia" w:ascii="宋体" w:hAnsi="宋体" w:cs="宋体"/>
                <w:b/>
                <w:bCs/>
                <w:sz w:val="20"/>
                <w:szCs w:val="20"/>
              </w:rPr>
              <w:t xml:space="preserve">（客观分</w:t>
            </w:r>
            <w:r/>
          </w:p>
        </w:tc>
        <w:tc>
          <w:tcPr>
            <w:tcW w:w="3555" w:type="dxa"/>
            <w:vAlign w:val="center"/>
            <w:textDirection w:val="lrTb"/>
            <w:noWrap w:val="false"/>
          </w:tcPr>
          <w:p>
            <w:pPr>
              <w:spacing w:line="300" w:lineRule="exact"/>
              <w:rPr>
                <w:rFonts w:cs="宋体"/>
                <w:bCs/>
                <w:color w:val="1a1a1a"/>
                <w:sz w:val="24"/>
                <w:szCs w:val="24"/>
              </w:rPr>
            </w:pPr>
            <w:r>
              <w:rPr>
                <w:rFonts w:cs="宋体"/>
                <w:bCs/>
                <w:color w:val="1a1a1a"/>
                <w:sz w:val="24"/>
                <w:szCs w:val="24"/>
              </w:rPr>
            </w:r>
            <w:r/>
          </w:p>
        </w:tc>
        <w:tc>
          <w:tcPr>
            <w:tcW w:w="716"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47</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3.1</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履约情况</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1）2023年1月1日（以合同签订时间为准）以来，投标人已完成的类似项目成功案例（至少含日常管理，保洁两项内容），每提供一个完整业绩得2分，本项最高得6分。响应文件中需提供完整业绩合同（需有甲乙双方盖章）扫描件并加盖公章， 同一项目不同时期的有效合同仅按一个计算，未提供或提供不全的不得分。</w:t>
            </w:r>
            <w:r>
              <w:rPr>
                <w:rFonts w:hint="eastAsia" w:cs="宋体"/>
                <w:bCs/>
                <w:color w:val="1a1a1a"/>
                <w:sz w:val="24"/>
                <w:szCs w:val="24"/>
              </w:rPr>
              <w:br w:type="textWrapping" w:clear="all"/>
            </w:r>
            <w:r>
              <w:rPr>
                <w:rFonts w:hint="eastAsia" w:cs="宋体"/>
                <w:bCs/>
                <w:color w:val="1a1a1a"/>
                <w:sz w:val="24"/>
                <w:szCs w:val="24"/>
              </w:rPr>
              <w:t xml:space="preserve">（2）2023年1月1日以来投标人正在实施的与本项目类似的业绩（至少含日常管理，保洁两项内容），每提供一个完整业绩得2分，本项最高得8分。响应文件中需提供完整业绩合同（需有甲乙双方盖章）扫描件并加盖公章， 同一项目不同时期的有效合同仅按一个计算，未提供或提供不全的不得分。</w:t>
            </w:r>
            <w:r/>
          </w:p>
          <w:p>
            <w:pPr>
              <w:spacing w:line="300" w:lineRule="exact"/>
              <w:rPr>
                <w:rFonts w:cs="宋体"/>
                <w:bCs/>
                <w:color w:val="1a1a1a"/>
                <w:sz w:val="24"/>
                <w:szCs w:val="24"/>
              </w:rPr>
            </w:pPr>
            <w:r>
              <w:rPr>
                <w:rFonts w:hint="eastAsia" w:cs="宋体"/>
                <w:bCs/>
                <w:color w:val="1a1a1a"/>
                <w:sz w:val="24"/>
                <w:szCs w:val="24"/>
              </w:rPr>
              <w:t xml:space="preserve">（1）和（2）不重复得分。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14</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3.2</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体系认证</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投标人具有有效的质量管理体系认证证书、环境管理体系认证证书、职业健康管理体系认证证书，每提供一个得2分，本项最高得6分。</w:t>
            </w:r>
            <w:r/>
          </w:p>
          <w:p>
            <w:pPr>
              <w:spacing w:line="300" w:lineRule="exact"/>
              <w:rPr>
                <w:rFonts w:cs="宋体"/>
                <w:bCs/>
                <w:color w:val="1a1a1a"/>
                <w:sz w:val="24"/>
                <w:szCs w:val="24"/>
              </w:rPr>
            </w:pPr>
            <w:r>
              <w:rPr>
                <w:rFonts w:hint="eastAsia" w:cs="宋体"/>
                <w:bCs/>
                <w:color w:val="1a1a1a"/>
                <w:sz w:val="24"/>
                <w:szCs w:val="24"/>
              </w:rPr>
              <w:t xml:space="preserve">评审材料：提供有效的证书扫描件并加盖公章。</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3.3</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项目经理</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拟负责本项目管理的项目经理资历评价：</w:t>
            </w:r>
            <w:r/>
          </w:p>
          <w:p>
            <w:pPr>
              <w:numPr>
                <w:ilvl w:val="0"/>
                <w:numId w:val="7"/>
              </w:numPr>
              <w:spacing w:line="300" w:lineRule="exact"/>
              <w:rPr>
                <w:rFonts w:hint="eastAsia" w:cs="宋体"/>
                <w:bCs/>
                <w:color w:val="1a1a1a"/>
                <w:sz w:val="24"/>
                <w:szCs w:val="24"/>
              </w:rPr>
            </w:pPr>
            <w:r>
              <w:rPr>
                <w:rFonts w:hint="eastAsia" w:cs="宋体"/>
                <w:bCs/>
                <w:color w:val="1a1a1a"/>
                <w:sz w:val="24"/>
                <w:szCs w:val="24"/>
              </w:rPr>
              <w:t xml:space="preserve">具有本科及以上学历得3分。</w:t>
            </w:r>
            <w:r/>
          </w:p>
          <w:p>
            <w:pPr>
              <w:numPr>
                <w:ilvl w:val="0"/>
                <w:numId w:val="7"/>
              </w:numPr>
              <w:spacing w:line="300" w:lineRule="exact"/>
              <w:rPr>
                <w:rFonts w:hint="eastAsia" w:cs="宋体"/>
                <w:bCs/>
                <w:color w:val="1a1a1a"/>
                <w:sz w:val="24"/>
                <w:szCs w:val="24"/>
              </w:rPr>
            </w:pPr>
            <w:r>
              <w:rPr>
                <w:rFonts w:hint="eastAsia" w:cs="宋体"/>
                <w:bCs/>
                <w:color w:val="1a1a1a"/>
                <w:sz w:val="24"/>
                <w:szCs w:val="24"/>
              </w:rPr>
              <w:t xml:space="preserve">具有学校物业管理经验证明材料5年及以上得3分（提供含服务单位主管部门联系方式对应工作经验年数的学校服务单位工作证明）。</w:t>
            </w:r>
            <w:r/>
          </w:p>
          <w:p>
            <w:pPr>
              <w:numPr>
                <w:ilvl w:val="0"/>
                <w:numId w:val="7"/>
              </w:numPr>
              <w:spacing w:line="300" w:lineRule="exact"/>
              <w:rPr>
                <w:rFonts w:hint="eastAsia" w:cs="宋体"/>
                <w:bCs/>
                <w:color w:val="1a1a1a"/>
                <w:sz w:val="24"/>
                <w:szCs w:val="24"/>
              </w:rPr>
            </w:pPr>
            <w:r>
              <w:rPr>
                <w:rFonts w:hint="eastAsia" w:cs="宋体"/>
                <w:bCs/>
                <w:color w:val="1a1a1a"/>
                <w:sz w:val="24"/>
                <w:szCs w:val="24"/>
              </w:rPr>
              <w:t xml:space="preserve">具有中国红十字心肺复苏培训证书得3分。</w:t>
            </w:r>
            <w:r/>
          </w:p>
          <w:p>
            <w:pPr>
              <w:spacing w:line="300" w:lineRule="exact"/>
              <w:tabs>
                <w:tab w:val="left" w:pos="312" w:leader="none"/>
              </w:tabs>
              <w:rPr>
                <w:rFonts w:hint="eastAsia" w:cs="宋体"/>
                <w:bCs/>
                <w:color w:val="1a1a1a"/>
                <w:sz w:val="24"/>
                <w:szCs w:val="24"/>
              </w:rPr>
            </w:pPr>
            <w:r>
              <w:rPr>
                <w:rFonts w:hint="eastAsia" w:cs="宋体"/>
                <w:bCs/>
                <w:color w:val="1a1a1a"/>
                <w:sz w:val="24"/>
                <w:szCs w:val="24"/>
              </w:rPr>
              <w:t xml:space="preserve">最高得9分。</w:t>
            </w:r>
            <w:r/>
          </w:p>
          <w:p>
            <w:pPr>
              <w:spacing w:line="300" w:lineRule="exact"/>
              <w:rPr>
                <w:rFonts w:hint="eastAsia" w:eastAsia="宋体" w:cs="宋体"/>
                <w:bCs/>
                <w:color w:val="1a1a1a"/>
                <w:sz w:val="24"/>
                <w:szCs w:val="24"/>
                <w:lang w:eastAsia="zh-CN"/>
              </w:rPr>
            </w:pPr>
            <w:r>
              <w:rPr>
                <w:rFonts w:hint="eastAsia" w:cs="宋体"/>
                <w:bCs/>
                <w:color w:val="1a1a1a"/>
                <w:sz w:val="24"/>
                <w:szCs w:val="24"/>
              </w:rPr>
              <w:t xml:space="preserve">人员为投标人正式职工，提供人员相关证书、工作证明等证明材料扫描件，以及近1个月投标人为其缴纳的社保缴费证明</w:t>
            </w:r>
            <w:r>
              <w:rPr>
                <w:rFonts w:hint="eastAsia" w:cs="宋体"/>
                <w:bCs/>
                <w:color w:val="1a1a1a"/>
                <w:sz w:val="24"/>
                <w:szCs w:val="24"/>
                <w:lang w:eastAsia="zh-CN"/>
              </w:rPr>
              <w:t xml:space="preserve">。</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9</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3.4</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内勤人员1</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拟负责本项目的团队中内勤人员1的资历评价：</w:t>
            </w:r>
            <w:r/>
          </w:p>
          <w:p>
            <w:pPr>
              <w:spacing w:line="300" w:lineRule="exact"/>
              <w:rPr>
                <w:rFonts w:hint="eastAsia" w:cs="宋体"/>
                <w:bCs/>
                <w:color w:val="1a1a1a"/>
                <w:sz w:val="24"/>
                <w:szCs w:val="24"/>
              </w:rPr>
            </w:pPr>
            <w:r>
              <w:rPr>
                <w:rFonts w:hint="eastAsia" w:cs="宋体"/>
                <w:bCs/>
                <w:color w:val="1a1a1a"/>
                <w:sz w:val="24"/>
                <w:szCs w:val="24"/>
              </w:rPr>
              <w:t xml:space="preserve">1.具有本科及以上学历得1分。2.具有全国计算机等级考试二级合格证书得1分。</w:t>
            </w:r>
            <w:r/>
          </w:p>
          <w:p>
            <w:pPr>
              <w:spacing w:line="300" w:lineRule="exact"/>
              <w:rPr>
                <w:rFonts w:hint="eastAsia" w:cs="宋体"/>
                <w:bCs/>
                <w:color w:val="1a1a1a"/>
                <w:sz w:val="24"/>
                <w:szCs w:val="24"/>
              </w:rPr>
            </w:pPr>
            <w:r>
              <w:rPr>
                <w:rFonts w:hint="eastAsia" w:cs="宋体"/>
                <w:bCs/>
                <w:color w:val="1a1a1a"/>
                <w:sz w:val="24"/>
                <w:szCs w:val="24"/>
              </w:rPr>
              <w:t xml:space="preserve">3.具有普通话水平测试二级乙等证书得1分。</w:t>
            </w:r>
            <w:r/>
          </w:p>
          <w:p>
            <w:pPr>
              <w:spacing w:line="300" w:lineRule="exact"/>
              <w:rPr>
                <w:rFonts w:hint="eastAsia" w:cs="宋体"/>
                <w:bCs/>
                <w:color w:val="1a1a1a"/>
                <w:sz w:val="24"/>
                <w:szCs w:val="24"/>
              </w:rPr>
            </w:pPr>
            <w:r>
              <w:rPr>
                <w:rFonts w:hint="eastAsia" w:cs="宋体"/>
                <w:bCs/>
                <w:color w:val="1a1a1a"/>
                <w:sz w:val="24"/>
                <w:szCs w:val="24"/>
              </w:rPr>
              <w:t xml:space="preserve">4.教育部颁发的英语六级证书得2分；英语四级证书得1分。</w:t>
            </w:r>
            <w:r/>
          </w:p>
          <w:p>
            <w:pPr>
              <w:spacing w:line="300" w:lineRule="exact"/>
              <w:rPr>
                <w:rFonts w:hint="eastAsia" w:cs="宋体"/>
                <w:bCs/>
                <w:color w:val="1a1a1a"/>
                <w:sz w:val="24"/>
                <w:szCs w:val="24"/>
              </w:rPr>
            </w:pPr>
            <w:r>
              <w:rPr>
                <w:rFonts w:hint="eastAsia" w:cs="宋体"/>
                <w:bCs/>
                <w:color w:val="1a1a1a"/>
                <w:sz w:val="24"/>
                <w:szCs w:val="24"/>
              </w:rPr>
              <w:t xml:space="preserve">5.具有职业技能等级中级及以上保洁员证书得1分，最高得6分。</w:t>
            </w:r>
            <w:r/>
          </w:p>
          <w:p>
            <w:pPr>
              <w:spacing w:line="300" w:lineRule="exact"/>
              <w:rPr>
                <w:rFonts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hint="eastAsia"/>
                <w:color w:val="1a1a1a"/>
                <w:sz w:val="24"/>
                <w:szCs w:val="24"/>
              </w:rPr>
            </w:pPr>
            <w:r>
              <w:rPr>
                <w:rFonts w:hint="eastAsia"/>
                <w:color w:val="1a1a1a"/>
                <w:sz w:val="24"/>
                <w:szCs w:val="24"/>
              </w:rPr>
              <w:t xml:space="preserve">3.5</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内勤人员2</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拟负责本项目的团队中内勤人员2的资历评价：</w:t>
            </w:r>
            <w:r/>
          </w:p>
          <w:p>
            <w:pPr>
              <w:spacing w:line="300" w:lineRule="exact"/>
              <w:rPr>
                <w:rFonts w:hint="eastAsia" w:cs="宋体"/>
                <w:bCs/>
                <w:color w:val="1a1a1a"/>
                <w:sz w:val="24"/>
                <w:szCs w:val="24"/>
              </w:rPr>
            </w:pPr>
            <w:r>
              <w:rPr>
                <w:rFonts w:hint="eastAsia" w:cs="宋体"/>
                <w:bCs/>
                <w:color w:val="1a1a1a"/>
                <w:sz w:val="24"/>
                <w:szCs w:val="24"/>
              </w:rPr>
              <w:t xml:space="preserve">1.具有本科及以上学历得2分。</w:t>
            </w:r>
            <w:r/>
          </w:p>
          <w:p>
            <w:pPr>
              <w:spacing w:line="300" w:lineRule="exact"/>
              <w:rPr>
                <w:rFonts w:hint="eastAsia" w:cs="宋体"/>
                <w:bCs/>
                <w:color w:val="1a1a1a"/>
                <w:sz w:val="24"/>
                <w:szCs w:val="24"/>
              </w:rPr>
            </w:pPr>
            <w:r>
              <w:rPr>
                <w:rFonts w:hint="eastAsia" w:cs="宋体"/>
                <w:bCs/>
                <w:color w:val="1a1a1a"/>
                <w:sz w:val="24"/>
                <w:szCs w:val="24"/>
                <w:lang w:val="en-US" w:eastAsia="zh-CN"/>
              </w:rPr>
              <w:t xml:space="preserve">2</w:t>
            </w:r>
            <w:r>
              <w:rPr>
                <w:rFonts w:hint="eastAsia" w:cs="宋体"/>
                <w:bCs/>
                <w:color w:val="1a1a1a"/>
                <w:sz w:val="24"/>
                <w:szCs w:val="24"/>
              </w:rPr>
              <w:t xml:space="preserve">.具有职业技能等级中级及以上保洁员证书得2分；</w:t>
            </w:r>
            <w:r/>
          </w:p>
          <w:p>
            <w:pPr>
              <w:spacing w:line="300" w:lineRule="exact"/>
              <w:rPr>
                <w:rFonts w:hint="eastAsia" w:cs="宋体"/>
                <w:bCs/>
                <w:color w:val="1a1a1a"/>
                <w:sz w:val="24"/>
                <w:szCs w:val="24"/>
              </w:rPr>
            </w:pPr>
            <w:r>
              <w:rPr>
                <w:rFonts w:hint="eastAsia" w:cs="宋体"/>
                <w:bCs/>
                <w:color w:val="1a1a1a"/>
                <w:sz w:val="24"/>
                <w:szCs w:val="24"/>
              </w:rPr>
              <w:t xml:space="preserve">3.具有学校物业工作经验2年及以上得2分（提供含服务单位主管部门联系方式、对应工作经验年数的学校服务单位工作证明盖服务单位主管部门公章）。</w:t>
            </w:r>
            <w:r/>
          </w:p>
          <w:p>
            <w:pPr>
              <w:spacing w:line="300" w:lineRule="exact"/>
              <w:rPr>
                <w:rFonts w:hint="eastAsia" w:cs="宋体"/>
                <w:bCs/>
                <w:color w:val="1a1a1a"/>
                <w:sz w:val="24"/>
                <w:szCs w:val="24"/>
              </w:rPr>
            </w:pPr>
            <w:r>
              <w:rPr>
                <w:rFonts w:hint="eastAsia" w:cs="宋体"/>
                <w:bCs/>
                <w:color w:val="1a1a1a"/>
                <w:sz w:val="24"/>
                <w:szCs w:val="24"/>
              </w:rPr>
              <w:t xml:space="preserve">本项最高得6分。</w:t>
            </w:r>
            <w:r/>
          </w:p>
          <w:p>
            <w:pPr>
              <w:spacing w:line="300" w:lineRule="exact"/>
              <w:rPr>
                <w:rFonts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3.6</w:t>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团队人员</w:t>
            </w:r>
            <w:r/>
          </w:p>
        </w:tc>
        <w:tc>
          <w:tcPr>
            <w:tcW w:w="3555"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拟负责本项目的团队中人员资历评价，具有红十字救护员证书每一个得1分，最高得6分。</w:t>
            </w:r>
            <w:r/>
          </w:p>
          <w:p>
            <w:pPr>
              <w:spacing w:line="300" w:lineRule="exact"/>
              <w:rPr>
                <w:rFonts w:hint="eastAsia" w:cs="宋体"/>
                <w:bCs/>
                <w:color w:val="1a1a1a"/>
                <w:sz w:val="24"/>
                <w:szCs w:val="24"/>
              </w:rPr>
            </w:pPr>
            <w:r>
              <w:rPr>
                <w:rFonts w:hint="eastAsia" w:cs="宋体"/>
                <w:bCs/>
                <w:color w:val="1a1a1a"/>
                <w:sz w:val="24"/>
                <w:szCs w:val="24"/>
              </w:rPr>
              <w:t xml:space="preserve">3.4、3.5、3.6项人员不得重复计分。</w:t>
            </w:r>
            <w:r/>
          </w:p>
          <w:p>
            <w:pPr>
              <w:spacing w:line="300" w:lineRule="exact"/>
              <w:rPr>
                <w:rFonts w:hint="eastAsia"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否</w:t>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是</w:t>
            </w:r>
            <w:r/>
          </w:p>
        </w:tc>
      </w:tr>
      <w:tr>
        <w:trPr>
          <w:trHeight w:val="567"/>
        </w:trPr>
        <w:tc>
          <w:tcPr>
            <w:tcW w:w="591" w:type="dxa"/>
            <w:vAlign w:val="center"/>
            <w:textDirection w:val="lrTb"/>
            <w:noWrap w:val="false"/>
          </w:tcPr>
          <w:p>
            <w:pPr>
              <w:jc w:val="center"/>
              <w:spacing w:line="300" w:lineRule="exact"/>
              <w:rPr>
                <w:rFonts w:cs="宋体"/>
                <w:bCs/>
                <w:color w:val="1a1a1a"/>
                <w:sz w:val="24"/>
                <w:szCs w:val="24"/>
              </w:rPr>
            </w:pPr>
            <w:r>
              <w:rPr>
                <w:rFonts w:cs="宋体"/>
                <w:bCs/>
                <w:color w:val="1a1a1a"/>
                <w:sz w:val="24"/>
                <w:szCs w:val="24"/>
              </w:rPr>
            </w:r>
            <w:r/>
          </w:p>
        </w:tc>
        <w:tc>
          <w:tcPr>
            <w:tcW w:w="112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3555"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总分</w:t>
            </w:r>
            <w:r/>
          </w:p>
        </w:tc>
        <w:tc>
          <w:tcPr>
            <w:tcW w:w="71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620"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100</w:t>
            </w:r>
            <w:r/>
          </w:p>
        </w:tc>
        <w:tc>
          <w:tcPr>
            <w:tcW w:w="1563"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614"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r>
    </w:tbl>
    <w:p>
      <w:pPr>
        <w:ind w:firstLine="640"/>
      </w:pPr>
      <w:r/>
      <w:r/>
    </w:p>
    <w:p>
      <w:pPr>
        <w:ind w:firstLine="880"/>
        <w:jc w:val="center"/>
        <w:spacing w:line="360" w:lineRule="auto"/>
        <w:tabs>
          <w:tab w:val="left" w:pos="360" w:leader="none"/>
          <w:tab w:val="left" w:pos="900" w:leader="none"/>
          <w:tab w:val="left" w:pos="1080" w:leader="none"/>
          <w:tab w:val="left" w:pos="2014" w:leader="none"/>
        </w:tabs>
        <w:rPr>
          <w:rFonts w:ascii="方正小标宋简体" w:eastAsia="方正小标宋简体"/>
          <w:sz w:val="44"/>
          <w:szCs w:val="44"/>
        </w:rPr>
      </w:pPr>
      <w:r>
        <w:rPr>
          <w:rFonts w:ascii="方正小标宋简体" w:eastAsia="方正小标宋简体"/>
          <w:sz w:val="44"/>
          <w:szCs w:val="44"/>
        </w:rPr>
      </w:r>
      <w:r/>
    </w:p>
    <w:p>
      <w:pPr>
        <w:ind w:firstLine="880"/>
        <w:jc w:val="center"/>
        <w:spacing w:line="360" w:lineRule="auto"/>
        <w:tabs>
          <w:tab w:val="left" w:pos="360" w:leader="none"/>
          <w:tab w:val="left" w:pos="900" w:leader="none"/>
          <w:tab w:val="left" w:pos="1080" w:leader="none"/>
          <w:tab w:val="left" w:pos="2014" w:leader="none"/>
        </w:tabs>
        <w:rPr>
          <w:rFonts w:ascii="方正小标宋简体" w:eastAsia="方正小标宋简体"/>
          <w:sz w:val="44"/>
          <w:szCs w:val="44"/>
        </w:rPr>
      </w:pPr>
      <w:r>
        <w:rPr>
          <w:rFonts w:ascii="方正小标宋简体" w:eastAsia="方正小标宋简体"/>
          <w:sz w:val="44"/>
          <w:szCs w:val="44"/>
        </w:rPr>
      </w:r>
      <w:r/>
    </w:p>
    <w:p>
      <w:pPr>
        <w:ind w:firstLine="880"/>
        <w:jc w:val="center"/>
        <w:spacing w:line="360" w:lineRule="auto"/>
        <w:tabs>
          <w:tab w:val="left" w:pos="360" w:leader="none"/>
          <w:tab w:val="left" w:pos="900" w:leader="none"/>
          <w:tab w:val="left" w:pos="1080" w:leader="none"/>
          <w:tab w:val="left" w:pos="2014" w:leader="none"/>
        </w:tabs>
        <w:rPr>
          <w:rFonts w:hint="eastAsia" w:ascii="方正小标宋简体" w:eastAsia="方正小标宋简体"/>
          <w:sz w:val="44"/>
          <w:szCs w:val="44"/>
        </w:rPr>
      </w:pPr>
      <w:r>
        <w:rPr>
          <w:rFonts w:hint="eastAsia" w:ascii="方正小标宋简体" w:eastAsia="方正小标宋简体"/>
          <w:sz w:val="44"/>
          <w:szCs w:val="44"/>
        </w:rPr>
        <w:t xml:space="preserve">分包2（楼宇物业管理）</w:t>
      </w:r>
      <w:r/>
    </w:p>
    <w:tbl>
      <w:tblPr>
        <w:tblStyle w:val="71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18"/>
        <w:gridCol w:w="1116"/>
        <w:gridCol w:w="3904"/>
        <w:gridCol w:w="846"/>
        <w:gridCol w:w="709"/>
        <w:gridCol w:w="710"/>
        <w:gridCol w:w="796"/>
      </w:tblGrid>
      <w:tr>
        <w:trPr>
          <w:trHeight w:val="671"/>
        </w:trPr>
        <w:tc>
          <w:tcPr>
            <w:tcMar>
              <w:left w:w="0" w:type="dxa"/>
              <w:right w:w="0" w:type="dxa"/>
            </w:tcMar>
            <w:tcW w:w="518" w:type="dxa"/>
            <w:vAlign w:val="top"/>
            <w:textDirection w:val="lrTb"/>
            <w:noWrap w:val="false"/>
          </w:tcPr>
          <w:p>
            <w:pPr>
              <w:jc w:val="center"/>
              <w:widowControl/>
              <w:rPr>
                <w:rFonts w:hint="eastAsia" w:ascii="黑体" w:hAnsi="黑体" w:eastAsia="黑体"/>
                <w:color w:val="1a1a1a"/>
                <w:sz w:val="24"/>
                <w:szCs w:val="24"/>
              </w:rPr>
            </w:pPr>
            <w:r>
              <w:rPr>
                <w:rFonts w:hint="eastAsia" w:ascii="宋体" w:hAnsi="宋体" w:cs="宋体"/>
                <w:b/>
                <w:bCs/>
                <w:sz w:val="20"/>
                <w:szCs w:val="20"/>
              </w:rPr>
              <w:t xml:space="preserve">序号</w:t>
            </w:r>
            <w:r/>
          </w:p>
        </w:tc>
        <w:tc>
          <w:tcPr>
            <w:tcW w:w="1116" w:type="dxa"/>
            <w:vAlign w:val="center"/>
            <w:textDirection w:val="lrTb"/>
            <w:noWrap w:val="false"/>
          </w:tcPr>
          <w:p>
            <w:pPr>
              <w:jc w:val="center"/>
              <w:widowControl/>
              <w:rPr>
                <w:rFonts w:hint="eastAsia" w:ascii="黑体" w:hAnsi="黑体" w:eastAsia="黑体"/>
                <w:color w:val="1a1a1a"/>
                <w:sz w:val="24"/>
                <w:szCs w:val="24"/>
              </w:rPr>
            </w:pPr>
            <w:r>
              <w:rPr>
                <w:rFonts w:hint="eastAsia" w:ascii="宋体" w:hAnsi="宋体" w:cs="宋体"/>
                <w:b/>
                <w:bCs/>
                <w:sz w:val="20"/>
                <w:szCs w:val="20"/>
              </w:rPr>
              <w:t xml:space="preserve">评分因素</w:t>
            </w:r>
            <w:r/>
          </w:p>
        </w:tc>
        <w:tc>
          <w:tcPr>
            <w:tcMar>
              <w:left w:w="0" w:type="dxa"/>
              <w:right w:w="0" w:type="dxa"/>
            </w:tcMar>
            <w:tcW w:w="3904" w:type="dxa"/>
            <w:vAlign w:val="center"/>
            <w:textDirection w:val="lrTb"/>
            <w:noWrap w:val="false"/>
          </w:tcPr>
          <w:p>
            <w:pPr>
              <w:jc w:val="center"/>
              <w:widowControl/>
              <w:rPr>
                <w:rFonts w:hint="eastAsia" w:ascii="黑体" w:hAnsi="黑体" w:eastAsia="黑体"/>
                <w:color w:val="1a1a1a"/>
                <w:sz w:val="24"/>
                <w:szCs w:val="24"/>
              </w:rPr>
            </w:pPr>
            <w:r>
              <w:rPr>
                <w:rFonts w:hint="eastAsia" w:ascii="宋体" w:hAnsi="宋体"/>
                <w:b/>
              </w:rPr>
              <w:t xml:space="preserve">评分标准和评审材料</w:t>
            </w:r>
            <w:r/>
          </w:p>
        </w:tc>
        <w:tc>
          <w:tcPr>
            <w:tcMar>
              <w:left w:w="0" w:type="dxa"/>
              <w:right w:w="0" w:type="dxa"/>
            </w:tcMar>
            <w:tcW w:w="846" w:type="dxa"/>
            <w:vAlign w:val="center"/>
            <w:textDirection w:val="lrTb"/>
            <w:noWrap w:val="false"/>
          </w:tcPr>
          <w:p>
            <w:pPr>
              <w:jc w:val="center"/>
              <w:rPr>
                <w:rFonts w:hint="eastAsia" w:ascii="黑体" w:hAnsi="黑体" w:eastAsia="黑体"/>
                <w:color w:val="1a1a1a"/>
                <w:sz w:val="24"/>
                <w:szCs w:val="24"/>
              </w:rPr>
            </w:pPr>
            <w:r>
              <w:rPr>
                <w:rFonts w:hint="eastAsia" w:ascii="宋体" w:hAnsi="宋体"/>
                <w:b/>
              </w:rPr>
              <w:t xml:space="preserve">最低分值</w:t>
            </w:r>
            <w:r/>
          </w:p>
        </w:tc>
        <w:tc>
          <w:tcPr>
            <w:tcMar>
              <w:left w:w="0" w:type="dxa"/>
              <w:right w:w="0" w:type="dxa"/>
            </w:tcMar>
            <w:tcW w:w="709" w:type="dxa"/>
            <w:vAlign w:val="top"/>
            <w:textDirection w:val="lrTb"/>
            <w:noWrap w:val="false"/>
          </w:tcPr>
          <w:p>
            <w:pPr>
              <w:jc w:val="center"/>
              <w:rPr>
                <w:rFonts w:hint="eastAsia" w:ascii="黑体" w:hAnsi="黑体" w:eastAsia="黑体"/>
                <w:color w:val="1a1a1a"/>
                <w:sz w:val="24"/>
                <w:szCs w:val="24"/>
              </w:rPr>
            </w:pPr>
            <w:r>
              <w:rPr>
                <w:rFonts w:hint="eastAsia" w:ascii="宋体" w:hAnsi="宋体"/>
                <w:b/>
              </w:rPr>
              <w:t xml:space="preserve">最高分值</w:t>
            </w:r>
            <w:r/>
          </w:p>
        </w:tc>
        <w:tc>
          <w:tcPr>
            <w:tcMar>
              <w:left w:w="0" w:type="dxa"/>
              <w:right w:w="0" w:type="dxa"/>
            </w:tcMar>
            <w:tcW w:w="710" w:type="dxa"/>
            <w:vAlign w:val="top"/>
            <w:textDirection w:val="lrTb"/>
            <w:noWrap w:val="false"/>
          </w:tcPr>
          <w:p>
            <w:pPr>
              <w:jc w:val="center"/>
              <w:widowControl/>
              <w:rPr>
                <w:rFonts w:hint="eastAsia" w:ascii="黑体" w:hAnsi="黑体" w:eastAsia="黑体"/>
                <w:iCs/>
                <w:color w:val="1a1a1a"/>
                <w:sz w:val="24"/>
                <w:szCs w:val="24"/>
              </w:rPr>
            </w:pPr>
            <w:r>
              <w:rPr>
                <w:rFonts w:hint="eastAsia" w:ascii="黑体" w:hAnsi="黑体" w:eastAsia="黑体"/>
                <w:iCs/>
                <w:color w:val="1a1a1a"/>
                <w:sz w:val="24"/>
                <w:szCs w:val="24"/>
              </w:rPr>
            </w:r>
            <w:r/>
          </w:p>
        </w:tc>
        <w:tc>
          <w:tcPr>
            <w:tcW w:w="796" w:type="dxa"/>
            <w:vAlign w:val="center"/>
            <w:textDirection w:val="lrTb"/>
            <w:noWrap w:val="false"/>
          </w:tcPr>
          <w:p>
            <w:pPr>
              <w:jc w:val="center"/>
              <w:widowControl/>
              <w:rPr>
                <w:rFonts w:hint="eastAsia" w:ascii="黑体" w:hAnsi="黑体" w:eastAsia="黑体"/>
                <w:iCs/>
                <w:color w:val="1a1a1a"/>
                <w:sz w:val="24"/>
                <w:szCs w:val="24"/>
              </w:rPr>
            </w:pPr>
            <w:r>
              <w:rPr>
                <w:rFonts w:hint="eastAsia" w:ascii="黑体" w:hAnsi="黑体" w:eastAsia="黑体"/>
                <w:iCs/>
                <w:color w:val="1a1a1a"/>
                <w:sz w:val="24"/>
                <w:szCs w:val="24"/>
              </w:rPr>
            </w:r>
            <w:r/>
          </w:p>
        </w:tc>
      </w:tr>
      <w:tr>
        <w:trPr>
          <w:trHeight w:val="1404"/>
        </w:trPr>
        <w:tc>
          <w:tcPr>
            <w:tcW w:w="518" w:type="dxa"/>
            <w:vAlign w:val="center"/>
            <w:textDirection w:val="lrTb"/>
            <w:noWrap w:val="false"/>
          </w:tcPr>
          <w:p>
            <w:pPr>
              <w:jc w:val="center"/>
              <w:spacing w:line="300" w:lineRule="exact"/>
              <w:rPr>
                <w:color w:val="1a1a1a"/>
                <w:sz w:val="24"/>
                <w:szCs w:val="24"/>
              </w:rPr>
            </w:pPr>
            <w:r>
              <w:rPr>
                <w:rFonts w:hint="eastAsia"/>
                <w:color w:val="1a1a1a"/>
                <w:sz w:val="24"/>
                <w:szCs w:val="24"/>
              </w:rPr>
              <w:t xml:space="preserve">1</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3904" w:type="dxa"/>
            <w:vAlign w:val="center"/>
            <w:textDirection w:val="lrTb"/>
            <w:noWrap w:val="false"/>
          </w:tcPr>
          <w:p>
            <w:pPr>
              <w:spacing w:line="300" w:lineRule="exact"/>
              <w:rPr>
                <w:color w:val="1a1a1a"/>
                <w:sz w:val="24"/>
                <w:szCs w:val="24"/>
              </w:rPr>
            </w:pPr>
            <w:r>
              <w:rPr>
                <w:rFonts w:hint="eastAsia" w:cs="宋体"/>
                <w:bCs/>
                <w:color w:val="1a1a1a"/>
                <w:sz w:val="24"/>
                <w:szCs w:val="24"/>
              </w:rPr>
              <w:t xml:space="preserve">价格分：采用低价优先法计算，即满足招标文件要求且投标价格最低的投标报价为评标基准价，其价格分为满分。其他投标人的价格分统一按照下列公式计算：投标报价得分=（评标基准价／投标报价）×分值。</w:t>
            </w:r>
            <w:r/>
          </w:p>
        </w:tc>
        <w:tc>
          <w:tcPr>
            <w:tcW w:w="846" w:type="dxa"/>
            <w:vAlign w:val="center"/>
            <w:textDirection w:val="lrTb"/>
            <w:noWrap w:val="false"/>
          </w:tcPr>
          <w:p>
            <w:pPr>
              <w:spacing w:line="300" w:lineRule="exact"/>
              <w:rPr>
                <w:color w:val="1a1a1a"/>
                <w:sz w:val="24"/>
                <w:szCs w:val="24"/>
              </w:rPr>
            </w:pPr>
            <w:r>
              <w:rPr>
                <w:rFonts w:hint="eastAsia"/>
                <w:color w:val="1a1a1a"/>
                <w:sz w:val="24"/>
                <w:szCs w:val="24"/>
              </w:rPr>
              <w:t xml:space="preserve">0</w:t>
            </w:r>
            <w:r/>
          </w:p>
        </w:tc>
        <w:tc>
          <w:tcPr>
            <w:tcW w:w="709" w:type="dxa"/>
            <w:vAlign w:val="top"/>
            <w:textDirection w:val="lrTb"/>
            <w:noWrap w:val="false"/>
          </w:tcPr>
          <w:p>
            <w:pPr>
              <w:spacing w:line="300" w:lineRule="exact"/>
              <w:rPr>
                <w:rFonts w:hint="eastAsia"/>
                <w:color w:val="1a1a1a"/>
                <w:sz w:val="24"/>
                <w:szCs w:val="24"/>
              </w:rPr>
            </w:pPr>
            <w:r>
              <w:rPr>
                <w:color w:val="1a1a1a"/>
                <w:sz w:val="24"/>
                <w:szCs w:val="24"/>
              </w:rPr>
              <w:t xml:space="preserve">2</w:t>
            </w:r>
            <w:r>
              <w:rPr>
                <w:rFonts w:hint="eastAsia"/>
                <w:color w:val="1a1a1a"/>
                <w:sz w:val="24"/>
                <w:szCs w:val="24"/>
              </w:rPr>
              <w:t xml:space="preserve">0</w:t>
            </w:r>
            <w:r/>
          </w:p>
        </w:tc>
        <w:tc>
          <w:tcPr>
            <w:tcW w:w="710" w:type="dxa"/>
            <w:vAlign w:val="center"/>
            <w:textDirection w:val="lrTb"/>
            <w:noWrap w:val="false"/>
          </w:tcPr>
          <w:p>
            <w:pPr>
              <w:spacing w:line="300" w:lineRule="exact"/>
              <w:rPr>
                <w:iCs/>
                <w:color w:val="1a1a1a"/>
                <w:sz w:val="24"/>
                <w:szCs w:val="24"/>
              </w:rPr>
            </w:pPr>
            <w:r>
              <w:rPr>
                <w:iCs/>
                <w:color w:val="1a1a1a"/>
                <w:sz w:val="24"/>
                <w:szCs w:val="24"/>
              </w:rPr>
            </w:r>
            <w:r/>
          </w:p>
        </w:tc>
        <w:tc>
          <w:tcPr>
            <w:tcW w:w="796" w:type="dxa"/>
            <w:vAlign w:val="top"/>
            <w:textDirection w:val="lrTb"/>
            <w:noWrap w:val="false"/>
          </w:tcPr>
          <w:p>
            <w:pPr>
              <w:spacing w:line="300" w:lineRule="exact"/>
              <w:rPr>
                <w:rFonts w:hint="eastAsia"/>
                <w:iCs/>
                <w:color w:val="1a1a1a"/>
                <w:sz w:val="24"/>
                <w:szCs w:val="24"/>
              </w:rPr>
            </w:pPr>
            <w:r>
              <w:rPr>
                <w:rFonts w:hint="eastAsia"/>
                <w:iCs/>
                <w:color w:val="1a1a1a"/>
                <w:sz w:val="24"/>
                <w:szCs w:val="24"/>
              </w:rPr>
            </w:r>
            <w:r/>
          </w:p>
        </w:tc>
      </w:tr>
      <w:tr>
        <w:trPr>
          <w:trHeight w:val="1022"/>
        </w:trPr>
        <w:tc>
          <w:tcPr>
            <w:tcW w:w="518" w:type="dxa"/>
            <w:vAlign w:val="center"/>
            <w:textDirection w:val="lrTb"/>
            <w:noWrap w:val="false"/>
          </w:tcPr>
          <w:p>
            <w:pPr>
              <w:jc w:val="center"/>
              <w:spacing w:line="300" w:lineRule="exact"/>
              <w:rPr>
                <w:rFonts w:hint="eastAsia" w:ascii="宋体" w:hAnsi="宋体" w:cs="宋体"/>
                <w:b/>
                <w:bCs/>
                <w:sz w:val="20"/>
                <w:szCs w:val="20"/>
              </w:rPr>
            </w:pPr>
            <w:r>
              <w:rPr>
                <w:rFonts w:hint="eastAsia"/>
                <w:b/>
                <w:color w:val="1a1a1a"/>
                <w:sz w:val="24"/>
                <w:szCs w:val="24"/>
              </w:rPr>
              <w:t xml:space="preserve">序号</w:t>
            </w:r>
            <w:r/>
          </w:p>
        </w:tc>
        <w:tc>
          <w:tcPr>
            <w:tcW w:w="1116" w:type="dxa"/>
            <w:vAlign w:val="top"/>
            <w:textDirection w:val="lrTb"/>
            <w:noWrap w:val="false"/>
          </w:tcPr>
          <w:p>
            <w:r>
              <w:rPr>
                <w:rFonts w:hint="eastAsia" w:ascii="宋体" w:hAnsi="宋体" w:cs="宋体"/>
                <w:b/>
                <w:bCs/>
                <w:sz w:val="20"/>
                <w:szCs w:val="20"/>
              </w:rPr>
              <w:t xml:space="preserve">评分因素</w:t>
            </w:r>
            <w:r/>
          </w:p>
          <w:p>
            <w:pPr>
              <w:spacing w:line="300" w:lineRule="exact"/>
              <w:rPr>
                <w:rFonts w:hint="eastAsia" w:ascii="宋体" w:hAnsi="宋体" w:cs="宋体"/>
                <w:sz w:val="24"/>
              </w:rPr>
            </w:pPr>
            <w:r>
              <w:rPr>
                <w:rFonts w:hint="eastAsia" w:ascii="宋体" w:hAnsi="宋体" w:cs="宋体"/>
                <w:sz w:val="24"/>
              </w:rPr>
            </w:r>
            <w:r/>
          </w:p>
        </w:tc>
        <w:tc>
          <w:tcPr>
            <w:tcW w:w="3904" w:type="dxa"/>
            <w:vAlign w:val="center"/>
            <w:textDirection w:val="lrTb"/>
            <w:noWrap w:val="false"/>
          </w:tcPr>
          <w:p>
            <w:pPr>
              <w:spacing w:line="300" w:lineRule="exact"/>
              <w:rPr>
                <w:rFonts w:ascii="宋体" w:hAnsi="宋体" w:cs="宋体"/>
                <w:sz w:val="24"/>
              </w:rPr>
            </w:pPr>
            <w:r>
              <w:rPr>
                <w:rFonts w:hint="eastAsia" w:ascii="宋体" w:hAnsi="宋体"/>
                <w:b/>
              </w:rPr>
              <w:t xml:space="preserve">评分标准和评审材料</w:t>
            </w:r>
            <w:r/>
          </w:p>
        </w:tc>
        <w:tc>
          <w:tcPr>
            <w:tcW w:w="846" w:type="dxa"/>
            <w:vAlign w:val="center"/>
            <w:textDirection w:val="lrTb"/>
            <w:noWrap w:val="false"/>
          </w:tcPr>
          <w:p>
            <w:pPr>
              <w:jc w:val="center"/>
              <w:rPr>
                <w:rFonts w:hint="eastAsia" w:ascii="宋体" w:hAnsi="宋体"/>
                <w:b/>
              </w:rPr>
            </w:pPr>
            <w:r>
              <w:rPr>
                <w:rFonts w:hint="eastAsia" w:ascii="宋体" w:hAnsi="宋体"/>
                <w:b/>
              </w:rPr>
              <w:t xml:space="preserve">最低分值</w:t>
            </w:r>
            <w:r/>
          </w:p>
        </w:tc>
        <w:tc>
          <w:tcPr>
            <w:tcW w:w="709" w:type="dxa"/>
            <w:vAlign w:val="top"/>
            <w:textDirection w:val="lrTb"/>
            <w:noWrap w:val="false"/>
          </w:tcPr>
          <w:p>
            <w:pPr>
              <w:jc w:val="center"/>
              <w:rPr>
                <w:rFonts w:hint="eastAsia" w:ascii="宋体" w:hAnsi="宋体"/>
                <w:b/>
              </w:rPr>
            </w:pPr>
            <w:r>
              <w:rPr>
                <w:rFonts w:hint="eastAsia" w:ascii="宋体" w:hAnsi="宋体"/>
                <w:b/>
              </w:rPr>
              <w:t xml:space="preserve">最高分值</w:t>
            </w:r>
            <w:r/>
          </w:p>
        </w:tc>
        <w:tc>
          <w:tcPr>
            <w:tcW w:w="710" w:type="dxa"/>
            <w:vAlign w:val="top"/>
            <w:textDirection w:val="lrTb"/>
            <w:noWrap w:val="false"/>
          </w:tcPr>
          <w:p>
            <w:pPr>
              <w:jc w:val="center"/>
              <w:rPr>
                <w:rFonts w:hint="eastAsia" w:ascii="宋体" w:hAnsi="宋体"/>
                <w:b/>
              </w:rPr>
            </w:pPr>
            <w:r>
              <w:rPr>
                <w:rFonts w:hint="eastAsia" w:ascii="宋体" w:hAnsi="宋体"/>
                <w:b/>
              </w:rPr>
              <w:t xml:space="preserve">是否暗标评审</w:t>
            </w:r>
            <w:r/>
          </w:p>
        </w:tc>
        <w:tc>
          <w:tcPr>
            <w:tcW w:w="796" w:type="dxa"/>
            <w:vAlign w:val="top"/>
            <w:textDirection w:val="lrTb"/>
            <w:noWrap w:val="false"/>
          </w:tcPr>
          <w:p>
            <w:pPr>
              <w:jc w:val="center"/>
              <w:rPr>
                <w:rFonts w:hint="eastAsia" w:ascii="宋体" w:hAnsi="宋体"/>
                <w:b/>
              </w:rPr>
            </w:pPr>
            <w:r>
              <w:rPr>
                <w:rFonts w:hint="eastAsia" w:ascii="宋体" w:hAnsi="宋体"/>
                <w:b/>
              </w:rPr>
              <w:t xml:space="preserve">是否客观分</w:t>
            </w:r>
            <w:r/>
          </w:p>
        </w:tc>
      </w:tr>
      <w:tr>
        <w:trPr>
          <w:trHeight w:val="1022"/>
        </w:trPr>
        <w:tc>
          <w:tcPr>
            <w:tcW w:w="518" w:type="dxa"/>
            <w:vAlign w:val="center"/>
            <w:textDirection w:val="lrTb"/>
            <w:noWrap w:val="false"/>
          </w:tcPr>
          <w:p>
            <w:pPr>
              <w:jc w:val="center"/>
              <w:spacing w:line="300" w:lineRule="exact"/>
              <w:rPr>
                <w:b/>
                <w:color w:val="1a1a1a"/>
                <w:sz w:val="24"/>
                <w:szCs w:val="24"/>
              </w:rPr>
            </w:pPr>
            <w:r>
              <w:rPr>
                <w:rFonts w:hint="eastAsia"/>
                <w:b/>
                <w:color w:val="1a1a1a"/>
                <w:sz w:val="24"/>
                <w:szCs w:val="24"/>
              </w:rPr>
              <w:t xml:space="preserve">2</w:t>
            </w:r>
            <w:r/>
          </w:p>
        </w:tc>
        <w:tc>
          <w:tcPr>
            <w:tcW w:w="1116"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spacing w:line="300" w:lineRule="exact"/>
              <w:rPr>
                <w:rFonts w:hint="eastAsia"/>
                <w:b/>
                <w:color w:val="1a1a1a"/>
                <w:sz w:val="24"/>
                <w:szCs w:val="24"/>
              </w:rPr>
            </w:pPr>
            <w:r>
              <w:rPr>
                <w:rFonts w:hint="eastAsia" w:ascii="宋体" w:hAnsi="宋体" w:cs="宋体"/>
                <w:b/>
                <w:bCs/>
                <w:sz w:val="20"/>
                <w:szCs w:val="20"/>
              </w:rPr>
              <w:t xml:space="preserve">（主观分）</w:t>
            </w:r>
            <w:r/>
          </w:p>
        </w:tc>
        <w:tc>
          <w:tcPr>
            <w:tcW w:w="3904" w:type="dxa"/>
            <w:vAlign w:val="center"/>
            <w:textDirection w:val="lrTb"/>
            <w:noWrap w:val="false"/>
          </w:tcPr>
          <w:p>
            <w:pPr>
              <w:spacing w:line="300" w:lineRule="exact"/>
              <w:rPr>
                <w:b/>
                <w:color w:val="1a1a1a"/>
                <w:sz w:val="24"/>
                <w:szCs w:val="24"/>
              </w:rPr>
            </w:pPr>
            <w:r>
              <w:rPr>
                <w:b/>
                <w:color w:val="1a1a1a"/>
                <w:sz w:val="24"/>
                <w:szCs w:val="24"/>
              </w:rPr>
            </w:r>
            <w:r/>
          </w:p>
        </w:tc>
        <w:tc>
          <w:tcPr>
            <w:tcW w:w="846" w:type="dxa"/>
            <w:vAlign w:val="center"/>
            <w:textDirection w:val="lrTb"/>
            <w:noWrap w:val="false"/>
          </w:tcPr>
          <w:p>
            <w:pPr>
              <w:jc w:val="center"/>
              <w:rPr>
                <w:color w:val="1a1a1a"/>
                <w:sz w:val="24"/>
                <w:szCs w:val="24"/>
              </w:rPr>
            </w:pPr>
            <w:r>
              <w:rPr>
                <w:rFonts w:hint="eastAsia" w:ascii="宋体" w:hAnsi="宋体"/>
                <w:b/>
              </w:rPr>
              <w:t xml:space="preserve">0</w:t>
            </w:r>
            <w:r/>
          </w:p>
        </w:tc>
        <w:tc>
          <w:tcPr>
            <w:tcW w:w="709" w:type="dxa"/>
            <w:vAlign w:val="top"/>
            <w:textDirection w:val="lrTb"/>
            <w:noWrap w:val="false"/>
          </w:tcPr>
          <w:p>
            <w:pPr>
              <w:jc w:val="center"/>
              <w:rPr>
                <w:color w:val="1a1a1a"/>
                <w:sz w:val="24"/>
                <w:szCs w:val="24"/>
              </w:rPr>
            </w:pPr>
            <w:r>
              <w:rPr>
                <w:rFonts w:hint="eastAsia" w:ascii="宋体" w:hAnsi="宋体"/>
                <w:b/>
              </w:rPr>
              <w:t xml:space="preserve">38</w:t>
            </w:r>
            <w:r/>
          </w:p>
        </w:tc>
        <w:tc>
          <w:tcPr>
            <w:tcW w:w="710" w:type="dxa"/>
            <w:vAlign w:val="top"/>
            <w:textDirection w:val="lrTb"/>
            <w:noWrap w:val="false"/>
          </w:tcPr>
          <w:p>
            <w:pPr>
              <w:jc w:val="center"/>
              <w:rPr>
                <w:iCs/>
                <w:color w:val="1a1a1a"/>
                <w:sz w:val="24"/>
                <w:szCs w:val="24"/>
              </w:rPr>
            </w:pPr>
            <w:r>
              <w:rPr>
                <w:rFonts w:hint="eastAsia" w:ascii="宋体" w:hAnsi="宋体"/>
                <w:b/>
              </w:rPr>
              <w:t xml:space="preserve">否</w:t>
            </w:r>
            <w:r/>
          </w:p>
        </w:tc>
        <w:tc>
          <w:tcPr>
            <w:tcW w:w="796" w:type="dxa"/>
            <w:vAlign w:val="top"/>
            <w:textDirection w:val="lrTb"/>
            <w:noWrap w:val="false"/>
          </w:tcPr>
          <w:p>
            <w:pPr>
              <w:jc w:val="center"/>
              <w:rPr>
                <w:rFonts w:hint="eastAsia"/>
                <w:iCs/>
                <w:color w:val="1a1a1a"/>
                <w:sz w:val="24"/>
                <w:szCs w:val="24"/>
              </w:rPr>
            </w:pPr>
            <w:r>
              <w:rPr>
                <w:rFonts w:hint="eastAsia" w:ascii="宋体" w:hAnsi="宋体"/>
                <w:b/>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2.1</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整体服务方案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情况制定整体服务方案、项目管理机构图、工作职能及组织运行图、项目管理制度、考核办法和奖惩措施等，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2.2</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保洁管理服务方案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情况制定具体实施方案包括但不限于保洁、值班等，方案详细、切实可行、完整合理的得8分；方案比较详细、比较可行、比较完整合理的得6分；方案不太详细、勉强可行、不太完整合理的得4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8</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2.3</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会务服务方案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情况制定客服及会议服务方案内容详尽、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2.4</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项目重点难点可行性方案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实施过程中的管理重难点制定可行性解决方案，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2.5</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服务项目交接方案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服务项目有进场工作方案、交接过度方案、合同到期时的交接承诺等，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2.6</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突发事件应急处理措施方案</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根据本项目多种突发事件情况，应急处理措施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2.7</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特色服务</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针对本项目的管理提供特色服务方案，包括但不限于楼宇管理、校园文化建设、节能宣传、环境布置等方案详细、切实可行、完整合理的得5分；方案比较详细、比较可行、比较完整合理的得4分；方案不太详细、勉强可行、不太完整合理的得3分。不详细、不可行或未提供的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5</w:t>
            </w:r>
            <w:r/>
          </w:p>
        </w:tc>
        <w:tc>
          <w:tcPr>
            <w:tcW w:w="710" w:type="dxa"/>
            <w:vAlign w:val="center"/>
            <w:textDirection w:val="lrTb"/>
            <w:noWrap w:val="false"/>
          </w:tcPr>
          <w:p>
            <w:pPr>
              <w:spacing w:line="300" w:lineRule="exact"/>
              <w:rPr>
                <w:rFonts w:cs="宋体"/>
                <w:bCs/>
                <w:iCs/>
                <w:color w:val="1a1a1a"/>
                <w:sz w:val="24"/>
                <w:szCs w:val="24"/>
              </w:rPr>
            </w:pPr>
            <w:r>
              <w:rPr>
                <w:rFonts w:hint="eastAsia" w:ascii="宋体" w:hAnsi="宋体"/>
                <w:b/>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r>
      <w:tr>
        <w:trPr>
          <w:trHeight w:val="567"/>
        </w:trPr>
        <w:tc>
          <w:tcPr>
            <w:tcW w:w="518" w:type="dxa"/>
            <w:vAlign w:val="center"/>
            <w:textDirection w:val="lrTb"/>
            <w:noWrap w:val="false"/>
          </w:tcPr>
          <w:p>
            <w:pPr>
              <w:jc w:val="center"/>
              <w:spacing w:line="300" w:lineRule="exact"/>
              <w:rPr>
                <w:rFonts w:cs="宋体"/>
                <w:b/>
                <w:bCs/>
                <w:color w:val="1a1a1a"/>
                <w:sz w:val="24"/>
                <w:szCs w:val="24"/>
              </w:rPr>
            </w:pPr>
            <w:r>
              <w:rPr>
                <w:rFonts w:hint="eastAsia" w:cs="宋体"/>
                <w:b/>
                <w:bCs/>
                <w:color w:val="1a1a1a"/>
                <w:sz w:val="24"/>
                <w:szCs w:val="24"/>
              </w:rPr>
              <w:t xml:space="preserve">3</w:t>
            </w:r>
            <w:r/>
          </w:p>
        </w:tc>
        <w:tc>
          <w:tcPr>
            <w:tcW w:w="1116"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spacing w:line="300" w:lineRule="exact"/>
              <w:rPr>
                <w:rFonts w:hint="eastAsia" w:cs="宋体"/>
                <w:bCs/>
                <w:color w:val="1a1a1a"/>
                <w:sz w:val="24"/>
                <w:szCs w:val="24"/>
              </w:rPr>
            </w:pPr>
            <w:r>
              <w:rPr>
                <w:rFonts w:hint="eastAsia" w:ascii="宋体" w:hAnsi="宋体" w:cs="宋体"/>
                <w:b/>
                <w:bCs/>
                <w:sz w:val="20"/>
                <w:szCs w:val="20"/>
              </w:rPr>
              <w:t xml:space="preserve">（客观分</w:t>
            </w:r>
            <w:r/>
          </w:p>
        </w:tc>
        <w:tc>
          <w:tcPr>
            <w:tcW w:w="3904" w:type="dxa"/>
            <w:vAlign w:val="center"/>
            <w:textDirection w:val="lrTb"/>
            <w:noWrap w:val="false"/>
          </w:tcPr>
          <w:p>
            <w:pPr>
              <w:spacing w:line="300" w:lineRule="exact"/>
              <w:rPr>
                <w:rFonts w:cs="宋体"/>
                <w:bCs/>
                <w:color w:val="1a1a1a"/>
                <w:sz w:val="24"/>
                <w:szCs w:val="24"/>
              </w:rPr>
            </w:pPr>
            <w:r>
              <w:rPr>
                <w:rFonts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42</w:t>
            </w:r>
            <w:r/>
          </w:p>
        </w:tc>
        <w:tc>
          <w:tcPr>
            <w:tcW w:w="710" w:type="dxa"/>
            <w:vAlign w:val="center"/>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W w:w="796" w:type="dxa"/>
            <w:vAlign w:val="top"/>
            <w:textDirection w:val="lrTb"/>
            <w:noWrap w:val="false"/>
          </w:tcPr>
          <w:p>
            <w:pPr>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2490"/>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3.1</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履约能力</w:t>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投标人20</w:t>
            </w:r>
            <w:r>
              <w:rPr>
                <w:rFonts w:cs="宋体"/>
                <w:bCs/>
                <w:color w:val="1a1a1a"/>
                <w:sz w:val="24"/>
                <w:szCs w:val="24"/>
              </w:rPr>
              <w:t xml:space="preserve">23</w:t>
            </w:r>
            <w:r>
              <w:rPr>
                <w:rFonts w:hint="eastAsia" w:cs="宋体"/>
                <w:bCs/>
                <w:color w:val="1a1a1a"/>
                <w:sz w:val="24"/>
                <w:szCs w:val="24"/>
              </w:rPr>
              <w:t xml:space="preserve">年1月1日以来，实施的与本项目相类似的物业服务项目。每提供一个合同得2分，本项最高得16分。以合同签订日期为准。同一项目不重复得分。响应文件中需提供完整业绩合同（需有甲乙双方盖章）扫描件并加盖公章。</w:t>
            </w:r>
            <w:r/>
          </w:p>
          <w:p>
            <w:pPr>
              <w:spacing w:line="300" w:lineRule="exact"/>
              <w:rPr>
                <w:rFonts w:cs="宋体"/>
                <w:bCs/>
                <w:color w:val="1a1a1a"/>
                <w:sz w:val="24"/>
                <w:szCs w:val="24"/>
              </w:rPr>
            </w:pPr>
            <w:r>
              <w:rPr>
                <w:rFonts w:hint="eastAsia" w:cs="宋体"/>
                <w:bCs/>
                <w:color w:val="1a1a1a"/>
                <w:sz w:val="24"/>
                <w:szCs w:val="24"/>
              </w:rPr>
              <w:t xml:space="preserve">注：3.1和3.3业绩不重复得分</w:t>
            </w:r>
            <w:r/>
          </w:p>
          <w:p>
            <w:pPr>
              <w:spacing w:line="300" w:lineRule="exact"/>
              <w:rPr>
                <w:rFonts w:hint="eastAsia" w:cs="宋体"/>
                <w:bCs/>
                <w:color w:val="1a1a1a"/>
                <w:sz w:val="24"/>
                <w:szCs w:val="24"/>
              </w:rPr>
            </w:pPr>
            <w:r>
              <w:rPr>
                <w:rFonts w:hint="eastAsia" w:cs="宋体"/>
                <w:bCs/>
                <w:color w:val="1a1a1a"/>
                <w:sz w:val="24"/>
                <w:szCs w:val="24"/>
              </w:rPr>
            </w:r>
            <w:r/>
          </w:p>
          <w:p>
            <w:pPr>
              <w:spacing w:line="300" w:lineRule="exact"/>
              <w:rPr>
                <w:rFonts w:hint="eastAsia" w:cs="宋体"/>
                <w:bCs/>
                <w:color w:val="1a1a1a"/>
                <w:sz w:val="24"/>
                <w:szCs w:val="24"/>
              </w:rPr>
            </w:pPr>
            <w:r>
              <w:rPr>
                <w:rFonts w:hint="eastAsia" w:cs="宋体"/>
                <w:bCs/>
                <w:color w:val="1a1a1a"/>
                <w:sz w:val="24"/>
                <w:szCs w:val="24"/>
              </w:rPr>
            </w:r>
            <w:r/>
          </w:p>
          <w:p>
            <w:pPr>
              <w:spacing w:line="300" w:lineRule="exact"/>
              <w:rPr>
                <w:rFonts w:hint="eastAsia" w:cs="宋体"/>
                <w:bCs/>
                <w:color w:val="1a1a1a"/>
                <w:sz w:val="24"/>
                <w:szCs w:val="24"/>
              </w:rPr>
            </w:pPr>
            <w:r>
              <w:rPr>
                <w:rFonts w:hint="eastAsia"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16</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3.2</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体系认证</w:t>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投标人具有有效的质量管理体系、环境管理体系、职业健康安全管理体系、能源管理体系认证证书，每提供一个得1.</w:t>
            </w:r>
            <w:bookmarkStart w:id="194" w:name="OLE_LINK4"/>
            <w:r/>
            <w:bookmarkStart w:id="195" w:name="OLE_LINK3"/>
            <w:r>
              <w:rPr>
                <w:rFonts w:hint="eastAsia" w:cs="宋体"/>
                <w:bCs/>
                <w:color w:val="1a1a1a"/>
                <w:sz w:val="24"/>
                <w:szCs w:val="24"/>
              </w:rPr>
              <w:t xml:space="preserve">5</w:t>
            </w:r>
            <w:bookmarkEnd w:id="194"/>
            <w:r/>
            <w:bookmarkEnd w:id="195"/>
            <w:r>
              <w:rPr>
                <w:rFonts w:hint="eastAsia" w:cs="宋体"/>
                <w:bCs/>
                <w:color w:val="1a1a1a"/>
                <w:sz w:val="24"/>
                <w:szCs w:val="24"/>
              </w:rPr>
              <w:t xml:space="preserve">分；本项最高得6分。</w:t>
            </w:r>
            <w:r/>
          </w:p>
          <w:p>
            <w:pPr>
              <w:spacing w:line="300" w:lineRule="exact"/>
              <w:rPr>
                <w:rFonts w:cs="宋体"/>
                <w:bCs/>
                <w:color w:val="1a1a1a"/>
                <w:sz w:val="24"/>
                <w:szCs w:val="24"/>
              </w:rPr>
            </w:pPr>
            <w:r>
              <w:rPr>
                <w:rFonts w:hint="eastAsia" w:cs="宋体"/>
                <w:bCs/>
                <w:color w:val="1a1a1a"/>
                <w:sz w:val="24"/>
                <w:szCs w:val="24"/>
              </w:rPr>
              <w:t xml:space="preserve">评审材料：提供有效的证书复印件或扫描件。</w:t>
            </w:r>
            <w:r/>
          </w:p>
          <w:p>
            <w:pPr>
              <w:spacing w:line="300" w:lineRule="exact"/>
              <w:rPr>
                <w:rFonts w:hint="eastAsia" w:cs="宋体"/>
                <w:bCs/>
                <w:color w:val="1a1a1a"/>
                <w:sz w:val="24"/>
                <w:szCs w:val="24"/>
              </w:rPr>
            </w:pPr>
            <w:r>
              <w:rPr>
                <w:rFonts w:hint="eastAsia"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6</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hint="eastAsia" w:cs="宋体"/>
                <w:bCs/>
                <w:color w:val="1a1a1a"/>
                <w:sz w:val="24"/>
                <w:szCs w:val="24"/>
              </w:rPr>
              <w:t xml:space="preserve">3.3</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项目负责人</w:t>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拟负责本项目管理的项目负责人资历评价：</w:t>
            </w:r>
            <w:r/>
          </w:p>
          <w:p>
            <w:pPr>
              <w:spacing w:line="300" w:lineRule="exact"/>
              <w:rPr>
                <w:rFonts w:cs="宋体"/>
                <w:bCs/>
                <w:color w:val="1a1a1a"/>
                <w:sz w:val="24"/>
                <w:szCs w:val="24"/>
              </w:rPr>
            </w:pPr>
            <w:r>
              <w:rPr>
                <w:rFonts w:hint="eastAsia" w:cs="宋体"/>
                <w:bCs/>
                <w:color w:val="1a1a1a"/>
                <w:sz w:val="24"/>
                <w:szCs w:val="24"/>
              </w:rPr>
              <w:t xml:space="preserve">（1）具有本科及以上学历、应急管理部门颁发的应急救援员证书、高级保洁员</w:t>
            </w:r>
            <w:bookmarkStart w:id="196" w:name="OLE_LINK25"/>
            <w:r/>
            <w:bookmarkStart w:id="197" w:name="OLE_LINK24"/>
            <w:r>
              <w:rPr>
                <w:rFonts w:hint="eastAsia" w:cs="宋体"/>
                <w:bCs/>
                <w:color w:val="1a1a1a"/>
                <w:sz w:val="24"/>
                <w:szCs w:val="24"/>
              </w:rPr>
              <w:t xml:space="preserve">职业技能</w:t>
            </w:r>
            <w:bookmarkEnd w:id="196"/>
            <w:r/>
            <w:bookmarkEnd w:id="197"/>
            <w:r>
              <w:rPr>
                <w:rFonts w:hint="eastAsia" w:cs="宋体"/>
                <w:bCs/>
                <w:color w:val="1a1a1a"/>
                <w:sz w:val="24"/>
                <w:szCs w:val="24"/>
              </w:rPr>
              <w:t xml:space="preserve">证书，每有1个得2分，本项最高得</w:t>
            </w:r>
            <w:r>
              <w:rPr>
                <w:rFonts w:hint="eastAsia" w:cs="宋体"/>
                <w:bCs/>
                <w:color w:val="1a1a1a"/>
                <w:sz w:val="24"/>
                <w:szCs w:val="24"/>
                <w:lang w:val="en-US" w:eastAsia="zh-CN"/>
              </w:rPr>
              <w:t xml:space="preserve">6</w:t>
            </w:r>
            <w:r>
              <w:rPr>
                <w:rFonts w:hint="eastAsia" w:cs="宋体"/>
                <w:bCs/>
                <w:color w:val="1a1a1a"/>
                <w:sz w:val="24"/>
                <w:szCs w:val="24"/>
              </w:rPr>
              <w:t xml:space="preserve">分。</w:t>
            </w:r>
            <w:r/>
          </w:p>
          <w:p>
            <w:pPr>
              <w:spacing w:line="300" w:lineRule="exact"/>
              <w:rPr>
                <w:rFonts w:hint="eastAsia" w:cs="宋体"/>
                <w:bCs/>
                <w:color w:val="1a1a1a"/>
                <w:sz w:val="24"/>
                <w:szCs w:val="24"/>
              </w:rPr>
            </w:pPr>
            <w:r>
              <w:rPr>
                <w:rFonts w:hint="eastAsia" w:cs="宋体"/>
                <w:bCs/>
                <w:color w:val="1a1a1a"/>
                <w:sz w:val="24"/>
                <w:szCs w:val="24"/>
              </w:rPr>
              <w:t xml:space="preserve">提供相应证书扫描件及近1个月投标人为其缴纳的社保缴费证明。</w:t>
            </w:r>
            <w:r/>
          </w:p>
          <w:p>
            <w:pPr>
              <w:spacing w:line="300" w:lineRule="exact"/>
              <w:rPr>
                <w:rFonts w:hint="eastAsia" w:cs="宋体"/>
                <w:bCs/>
                <w:color w:val="1a1a1a"/>
                <w:sz w:val="24"/>
                <w:szCs w:val="24"/>
              </w:rPr>
            </w:pPr>
            <w:r>
              <w:rPr>
                <w:rFonts w:hint="eastAsia" w:cs="宋体"/>
                <w:bCs/>
                <w:color w:val="1a1a1a"/>
                <w:sz w:val="24"/>
                <w:szCs w:val="24"/>
              </w:rPr>
              <w:t xml:space="preserve">（2）拟负责本项目管理的项目负责人业绩评价，与本项目相类似的物业服务项目经理管理经验的，每提供一个合同得2分，本项最高得</w:t>
            </w:r>
            <w:r>
              <w:rPr>
                <w:rFonts w:hint="eastAsia" w:cs="宋体"/>
                <w:bCs/>
                <w:color w:val="1a1a1a"/>
                <w:sz w:val="24"/>
                <w:szCs w:val="24"/>
                <w:lang w:val="en-US" w:eastAsia="zh-CN"/>
              </w:rPr>
              <w:t xml:space="preserve">8</w:t>
            </w:r>
            <w:bookmarkStart w:id="223" w:name="_GoBack"/>
            <w:r/>
            <w:bookmarkEnd w:id="223"/>
            <w:r>
              <w:rPr>
                <w:rFonts w:hint="eastAsia" w:cs="宋体"/>
                <w:bCs/>
                <w:color w:val="1a1a1a"/>
                <w:sz w:val="24"/>
                <w:szCs w:val="24"/>
              </w:rPr>
              <w:t xml:space="preserve">分。同一项目不重复得分。响应文件中需提供完整业绩合同（需有甲乙双方盖章）扫描件并加盖公章。</w:t>
            </w:r>
            <w:r/>
          </w:p>
          <w:p>
            <w:pPr>
              <w:spacing w:line="300" w:lineRule="exact"/>
              <w:rPr>
                <w:rFonts w:cs="宋体"/>
                <w:bCs/>
                <w:color w:val="1a1a1a"/>
                <w:sz w:val="24"/>
                <w:szCs w:val="24"/>
              </w:rPr>
            </w:pPr>
            <w:r>
              <w:rPr>
                <w:rFonts w:hint="eastAsia" w:cs="宋体"/>
                <w:bCs/>
                <w:color w:val="1a1a1a"/>
                <w:sz w:val="24"/>
                <w:szCs w:val="24"/>
              </w:rPr>
              <w:t xml:space="preserve">注：3.1和3.3业绩不重复得分</w:t>
            </w:r>
            <w:r/>
          </w:p>
          <w:p>
            <w:pPr>
              <w:spacing w:line="300" w:lineRule="exact"/>
              <w:rPr>
                <w:rFonts w:cs="宋体"/>
                <w:bCs/>
                <w:color w:val="1a1a1a"/>
                <w:sz w:val="24"/>
                <w:szCs w:val="24"/>
              </w:rPr>
            </w:pPr>
            <w:r>
              <w:rPr>
                <w:rFonts w:cs="宋体"/>
                <w:bCs/>
                <w:color w:val="1a1a1a"/>
                <w:sz w:val="24"/>
                <w:szCs w:val="24"/>
              </w:rPr>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14</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hint="eastAsia" w:cs="宋体"/>
                <w:bCs/>
                <w:color w:val="1a1a1a"/>
                <w:sz w:val="24"/>
                <w:szCs w:val="24"/>
              </w:rPr>
            </w:pPr>
            <w:r>
              <w:rPr>
                <w:rFonts w:hint="eastAsia" w:cs="宋体"/>
                <w:bCs/>
                <w:color w:val="1a1a1a"/>
                <w:sz w:val="24"/>
                <w:szCs w:val="24"/>
              </w:rPr>
              <w:t xml:space="preserve">3.4</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内勤</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拟负责本项目管理的物业内勤资历评价：具有本科及以上学历、具有应急管理部门颁发的应急救援员证书、高级保洁员职业技能证书，每提供一个得1分，本项最高得3分。</w:t>
            </w:r>
            <w:r/>
          </w:p>
          <w:p>
            <w:pPr>
              <w:spacing w:line="300" w:lineRule="exact"/>
              <w:rPr>
                <w:rFonts w:hint="eastAsia" w:cs="宋体"/>
                <w:bCs/>
                <w:color w:val="1a1a1a"/>
                <w:sz w:val="24"/>
                <w:szCs w:val="24"/>
              </w:rPr>
            </w:pPr>
            <w:r>
              <w:rPr>
                <w:rFonts w:hint="eastAsia" w:cs="宋体"/>
                <w:bCs/>
                <w:color w:val="1a1a1a"/>
                <w:sz w:val="24"/>
                <w:szCs w:val="24"/>
              </w:rPr>
              <w:t xml:space="preserve">提供相应证书扫描件及近1个月投标人为其缴纳的社保缴费证明。</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3</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hint="eastAsia"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hint="eastAsia"/>
                <w:color w:val="1a1a1a"/>
                <w:sz w:val="24"/>
                <w:szCs w:val="24"/>
              </w:rPr>
            </w:pPr>
            <w:r>
              <w:rPr>
                <w:rFonts w:hint="eastAsia"/>
                <w:color w:val="1a1a1a"/>
                <w:sz w:val="24"/>
                <w:szCs w:val="24"/>
              </w:rPr>
              <w:t xml:space="preserve">3.5</w:t>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服务设备</w:t>
            </w:r>
            <w:r/>
          </w:p>
        </w:tc>
        <w:tc>
          <w:tcPr>
            <w:tcW w:w="3904"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提供自有扫地车、高</w:t>
            </w:r>
            <w:bookmarkStart w:id="198" w:name="OLE_LINK14"/>
            <w:r/>
            <w:bookmarkStart w:id="199" w:name="OLE_LINK13"/>
            <w:r>
              <w:rPr>
                <w:rFonts w:hint="eastAsia" w:cs="宋体"/>
                <w:bCs/>
                <w:color w:val="1a1a1a"/>
                <w:sz w:val="24"/>
                <w:szCs w:val="24"/>
              </w:rPr>
              <w:t xml:space="preserve">压冲洗车、洗地机等自动化清扫设备投入证明，每</w:t>
            </w:r>
            <w:bookmarkEnd w:id="198"/>
            <w:r/>
            <w:bookmarkEnd w:id="199"/>
            <w:r>
              <w:rPr>
                <w:rFonts w:hint="eastAsia" w:cs="宋体"/>
                <w:bCs/>
                <w:color w:val="1a1a1a"/>
                <w:sz w:val="24"/>
                <w:szCs w:val="24"/>
              </w:rPr>
              <w:t xml:space="preserve">投入一类得</w:t>
            </w:r>
            <w:r>
              <w:rPr>
                <w:rFonts w:cs="宋体"/>
                <w:bCs/>
                <w:color w:val="1a1a1a"/>
                <w:sz w:val="24"/>
                <w:szCs w:val="24"/>
              </w:rPr>
              <w:t xml:space="preserve">1</w:t>
            </w:r>
            <w:r>
              <w:rPr>
                <w:rFonts w:hint="eastAsia" w:cs="宋体"/>
                <w:bCs/>
                <w:color w:val="1a1a1a"/>
                <w:sz w:val="24"/>
                <w:szCs w:val="24"/>
              </w:rPr>
              <w:t xml:space="preserve">分，最高得3分。提供设备购买发票扫描件（</w:t>
            </w:r>
            <w:r>
              <w:rPr>
                <w:rFonts w:hint="eastAsia" w:ascii="宋体" w:hAnsi="宋体" w:cs="宋体"/>
                <w:color w:val="000000"/>
                <w:sz w:val="24"/>
                <w:szCs w:val="24"/>
                <w:lang w:bidi="ar"/>
              </w:rPr>
              <w:t xml:space="preserve">若为租赁还需提供完整有效的租赁协议扫描件）</w:t>
            </w:r>
            <w:r>
              <w:rPr>
                <w:rFonts w:hint="eastAsia" w:cs="宋体"/>
                <w:bCs/>
                <w:color w:val="1a1a1a"/>
                <w:sz w:val="24"/>
                <w:szCs w:val="24"/>
              </w:rPr>
              <w:t xml:space="preserve">及实物照片，不提供不得分。</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3</w:t>
            </w:r>
            <w:r/>
          </w:p>
        </w:tc>
        <w:tc>
          <w:tcPr>
            <w:tcW w:w="710" w:type="dxa"/>
            <w:vAlign w:val="center"/>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否</w:t>
            </w:r>
            <w:r/>
          </w:p>
        </w:tc>
        <w:tc>
          <w:tcPr>
            <w:tcW w:w="796" w:type="dxa"/>
            <w:vAlign w:val="top"/>
            <w:textDirection w:val="lrTb"/>
            <w:noWrap w:val="false"/>
          </w:tcPr>
          <w:p>
            <w:pPr>
              <w:spacing w:line="300" w:lineRule="exact"/>
              <w:rPr>
                <w:rFonts w:cs="宋体"/>
                <w:bCs/>
                <w:iCs/>
                <w:color w:val="1a1a1a"/>
                <w:sz w:val="24"/>
                <w:szCs w:val="24"/>
              </w:rPr>
            </w:pPr>
            <w:r>
              <w:rPr>
                <w:rFonts w:hint="eastAsia" w:cs="宋体"/>
                <w:bCs/>
                <w:iCs/>
                <w:color w:val="1a1a1a"/>
                <w:sz w:val="24"/>
                <w:szCs w:val="24"/>
              </w:rPr>
              <w:t xml:space="preserve">是</w:t>
            </w:r>
            <w:r/>
          </w:p>
        </w:tc>
      </w:tr>
      <w:tr>
        <w:trPr>
          <w:trHeight w:val="567"/>
        </w:trPr>
        <w:tc>
          <w:tcPr>
            <w:tcW w:w="518" w:type="dxa"/>
            <w:vAlign w:val="center"/>
            <w:textDirection w:val="lrTb"/>
            <w:noWrap w:val="false"/>
          </w:tcPr>
          <w:p>
            <w:pPr>
              <w:jc w:val="center"/>
              <w:spacing w:line="300" w:lineRule="exact"/>
              <w:rPr>
                <w:rFonts w:cs="宋体"/>
                <w:bCs/>
                <w:color w:val="1a1a1a"/>
                <w:sz w:val="24"/>
                <w:szCs w:val="24"/>
              </w:rPr>
            </w:pPr>
            <w:r>
              <w:rPr>
                <w:rFonts w:cs="宋体"/>
                <w:bCs/>
                <w:color w:val="1a1a1a"/>
                <w:sz w:val="24"/>
                <w:szCs w:val="24"/>
              </w:rPr>
            </w:r>
            <w:r/>
          </w:p>
        </w:tc>
        <w:tc>
          <w:tcPr>
            <w:tcW w:w="1116" w:type="dxa"/>
            <w:vAlign w:val="top"/>
            <w:textDirection w:val="lrTb"/>
            <w:noWrap w:val="false"/>
          </w:tcPr>
          <w:p>
            <w:pPr>
              <w:spacing w:line="300" w:lineRule="exact"/>
              <w:rPr>
                <w:rFonts w:hint="eastAsia" w:cs="宋体"/>
                <w:bCs/>
                <w:color w:val="1a1a1a"/>
                <w:sz w:val="24"/>
                <w:szCs w:val="24"/>
              </w:rPr>
            </w:pPr>
            <w:r>
              <w:rPr>
                <w:rFonts w:hint="eastAsia" w:cs="宋体"/>
                <w:bCs/>
                <w:color w:val="1a1a1a"/>
                <w:sz w:val="24"/>
                <w:szCs w:val="24"/>
              </w:rPr>
            </w:r>
            <w:r/>
          </w:p>
        </w:tc>
        <w:tc>
          <w:tcPr>
            <w:tcW w:w="3904" w:type="dxa"/>
            <w:vAlign w:val="center"/>
            <w:textDirection w:val="lrTb"/>
            <w:noWrap w:val="false"/>
          </w:tcPr>
          <w:p>
            <w:pPr>
              <w:spacing w:line="300" w:lineRule="exact"/>
              <w:rPr>
                <w:rFonts w:hint="eastAsia" w:cs="宋体"/>
                <w:bCs/>
                <w:color w:val="1a1a1a"/>
                <w:sz w:val="24"/>
                <w:szCs w:val="24"/>
              </w:rPr>
            </w:pPr>
            <w:r>
              <w:rPr>
                <w:rFonts w:hint="eastAsia" w:cs="宋体"/>
                <w:bCs/>
                <w:color w:val="1a1a1a"/>
                <w:sz w:val="24"/>
                <w:szCs w:val="24"/>
              </w:rPr>
              <w:t xml:space="preserve">合计</w:t>
            </w:r>
            <w:r/>
          </w:p>
        </w:tc>
        <w:tc>
          <w:tcPr>
            <w:tcW w:w="846" w:type="dxa"/>
            <w:vAlign w:val="center"/>
            <w:textDirection w:val="lrTb"/>
            <w:noWrap w:val="false"/>
          </w:tcPr>
          <w:p>
            <w:pPr>
              <w:spacing w:line="300" w:lineRule="exact"/>
              <w:rPr>
                <w:rFonts w:cs="宋体"/>
                <w:bCs/>
                <w:color w:val="1a1a1a"/>
                <w:sz w:val="24"/>
                <w:szCs w:val="24"/>
              </w:rPr>
            </w:pPr>
            <w:r>
              <w:rPr>
                <w:rFonts w:hint="eastAsia" w:cs="宋体"/>
                <w:bCs/>
                <w:color w:val="1a1a1a"/>
                <w:sz w:val="24"/>
                <w:szCs w:val="24"/>
              </w:rPr>
              <w:t xml:space="preserve">0</w:t>
            </w:r>
            <w:r/>
          </w:p>
        </w:tc>
        <w:tc>
          <w:tcPr>
            <w:tcW w:w="709" w:type="dxa"/>
            <w:vAlign w:val="top"/>
            <w:textDirection w:val="lrTb"/>
            <w:noWrap w:val="false"/>
          </w:tcPr>
          <w:p>
            <w:pPr>
              <w:spacing w:line="300" w:lineRule="exact"/>
              <w:rPr>
                <w:rFonts w:hint="eastAsia" w:cs="宋体"/>
                <w:bCs/>
                <w:sz w:val="24"/>
                <w:szCs w:val="24"/>
              </w:rPr>
            </w:pPr>
            <w:r>
              <w:rPr>
                <w:rFonts w:hint="eastAsia" w:cs="宋体"/>
                <w:bCs/>
                <w:color w:val="1a1a1a"/>
                <w:sz w:val="24"/>
                <w:szCs w:val="24"/>
              </w:rPr>
              <w:t xml:space="preserve">100</w:t>
            </w:r>
            <w:r/>
          </w:p>
        </w:tc>
        <w:tc>
          <w:tcPr>
            <w:tcW w:w="710" w:type="dxa"/>
            <w:vAlign w:val="center"/>
            <w:textDirection w:val="lrTb"/>
            <w:noWrap w:val="false"/>
          </w:tcPr>
          <w:p>
            <w:pPr>
              <w:spacing w:line="300" w:lineRule="exact"/>
              <w:rPr>
                <w:rFonts w:cs="宋体"/>
                <w:bCs/>
                <w:iCs/>
                <w:color w:val="1a1a1a"/>
                <w:sz w:val="24"/>
                <w:szCs w:val="24"/>
              </w:rPr>
            </w:pPr>
            <w:r>
              <w:rPr>
                <w:rFonts w:cs="宋体"/>
                <w:bCs/>
                <w:iCs/>
                <w:color w:val="1a1a1a"/>
                <w:sz w:val="24"/>
                <w:szCs w:val="24"/>
              </w:rPr>
            </w:r>
            <w:r/>
          </w:p>
        </w:tc>
        <w:tc>
          <w:tcPr>
            <w:tcW w:w="796" w:type="dxa"/>
            <w:vAlign w:val="top"/>
            <w:textDirection w:val="lrTb"/>
            <w:noWrap w:val="false"/>
          </w:tcPr>
          <w:p>
            <w:pPr>
              <w:spacing w:line="300" w:lineRule="exact"/>
              <w:rPr>
                <w:rFonts w:cs="宋体"/>
                <w:bCs/>
                <w:iCs/>
                <w:color w:val="1a1a1a"/>
                <w:sz w:val="24"/>
                <w:szCs w:val="24"/>
              </w:rPr>
            </w:pPr>
            <w:r>
              <w:rPr>
                <w:rFonts w:cs="宋体"/>
                <w:bCs/>
                <w:iCs/>
                <w:color w:val="1a1a1a"/>
                <w:sz w:val="24"/>
                <w:szCs w:val="24"/>
              </w:rPr>
            </w:r>
            <w:r/>
          </w:p>
        </w:tc>
      </w:tr>
    </w:tbl>
    <w:p>
      <w:pPr>
        <w:ind w:firstLine="480"/>
        <w:spacing w:before="120" w:after="120"/>
        <w:rPr>
          <w:rFonts w:ascii="宋体" w:hAnsi="宋体"/>
          <w:sz w:val="24"/>
        </w:rPr>
      </w:pPr>
      <w:r>
        <w:rPr>
          <w:rFonts w:ascii="宋体" w:hAnsi="宋体"/>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83"/>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jc w:val="center"/>
        <w:rPr>
          <w:rFonts w:hint="eastAsia" w:ascii="宋体" w:hAnsi="宋体"/>
          <w:b/>
          <w:sz w:val="72"/>
        </w:rPr>
      </w:pPr>
      <w:r/>
      <w:bookmarkStart w:id="200" w:name="_Hlt26671244"/>
      <w:r/>
      <w:bookmarkEnd w:id="200"/>
      <w:r/>
      <w:bookmarkStart w:id="201" w:name="_Hlt26955039"/>
      <w:r/>
      <w:bookmarkEnd w:id="201"/>
      <w:r/>
      <w:bookmarkStart w:id="202" w:name="_Toc26554094"/>
      <w:r/>
      <w:bookmarkStart w:id="203" w:name="_Toc120614282"/>
      <w:r/>
      <w:bookmarkStart w:id="204"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2"/>
      <w:bookmarkEnd w:id="203"/>
      <w:bookmarkEnd w:id="204"/>
      <w:r/>
    </w:p>
    <w:p>
      <w:pPr>
        <w:rPr>
          <w:rFonts w:ascii="黑体" w:hAnsi="黑体" w:eastAsia="黑体"/>
          <w:i/>
          <w:sz w:val="32"/>
          <w:szCs w:val="32"/>
          <w:u w:val="single"/>
        </w:rPr>
      </w:pPr>
      <w:r/>
      <w:bookmarkStart w:id="205"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885"/>
        <w:ind w:firstLine="480"/>
        <w:spacing w:line="460" w:lineRule="exact"/>
      </w:pPr>
      <w:r/>
      <w:r/>
    </w:p>
    <w:p>
      <w:pPr>
        <w:pStyle w:val="885"/>
        <w:ind w:firstLine="480"/>
        <w:spacing w:line="460" w:lineRule="exact"/>
      </w:pPr>
      <w:r>
        <w:rPr>
          <w:rFonts w:hint="eastAsia"/>
        </w:rPr>
        <w:t xml:space="preserve">致：常州市政府采购中心</w:t>
      </w:r>
      <w:r/>
    </w:p>
    <w:p>
      <w:pPr>
        <w:pStyle w:val="885"/>
        <w:ind w:firstLine="840"/>
        <w:spacing w:line="460" w:lineRule="exact"/>
        <w:rPr>
          <w:u w:val="single"/>
        </w:rPr>
      </w:pPr>
      <w:r>
        <w:rPr>
          <w:rFonts w:hint="eastAsia"/>
          <w:u w:val="single"/>
        </w:rPr>
        <w:t xml:space="preserve">（采购人名称）</w:t>
      </w:r>
      <w:r/>
    </w:p>
    <w:p>
      <w:pPr>
        <w:pStyle w:val="885"/>
        <w:ind w:firstLine="480"/>
        <w:spacing w:line="460" w:lineRule="exact"/>
      </w:pPr>
      <w:r/>
      <w:r/>
    </w:p>
    <w:p>
      <w:pPr>
        <w:pStyle w:val="885"/>
        <w:ind w:firstLine="480"/>
        <w:spacing w:line="460" w:lineRule="exact"/>
      </w:pPr>
      <w:r>
        <w:rPr>
          <w:rFonts w:hint="eastAsia"/>
        </w:rPr>
        <w:t xml:space="preserve">按照《中华人民共和国政府采购法》第二十二条和招标文件的规定，我单位郑重声明如下：</w:t>
      </w:r>
      <w:r/>
    </w:p>
    <w:p>
      <w:pPr>
        <w:pStyle w:val="88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85"/>
        <w:ind w:firstLine="480"/>
        <w:spacing w:line="460" w:lineRule="exact"/>
      </w:pPr>
      <w:r>
        <w:rPr>
          <w:rFonts w:hint="eastAsia"/>
        </w:rPr>
        <w:t xml:space="preserve">二、我单位具有良好的商业信誉（指投标人经营状况良好，无本资格声明第十条情形）和健全的财务会计制度。</w:t>
      </w:r>
      <w:r/>
    </w:p>
    <w:p>
      <w:pPr>
        <w:pStyle w:val="885"/>
        <w:ind w:firstLine="480"/>
        <w:spacing w:line="460" w:lineRule="exact"/>
      </w:pPr>
      <w:r>
        <w:rPr>
          <w:rFonts w:hint="eastAsia"/>
        </w:rPr>
        <w:t xml:space="preserve">三、我单位依法进行纳税和社会保险申报并实际履行了义务。</w:t>
      </w:r>
      <w:r/>
    </w:p>
    <w:p>
      <w:pPr>
        <w:pStyle w:val="88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5"/>
        <w:ind w:firstLine="480"/>
        <w:spacing w:line="460" w:lineRule="exact"/>
      </w:pPr>
      <w:r>
        <w:rPr>
          <w:rFonts w:hint="eastAsia"/>
        </w:rPr>
        <w:t xml:space="preserve">主要设备有：</w:t>
      </w:r>
      <w:r>
        <w:rPr>
          <w:u w:val="single"/>
        </w:rPr>
        <w:t xml:space="preserve">            </w:t>
      </w:r>
      <w:r/>
    </w:p>
    <w:p>
      <w:pPr>
        <w:pStyle w:val="885"/>
        <w:ind w:firstLine="480"/>
        <w:spacing w:line="460" w:lineRule="exact"/>
      </w:pPr>
      <w:r>
        <w:rPr>
          <w:rFonts w:hint="eastAsia"/>
        </w:rPr>
        <w:t xml:space="preserve">主要专业技术能力有</w:t>
      </w:r>
      <w:r>
        <w:rPr>
          <w:rFonts w:hint="eastAsia"/>
          <w:u w:val="single"/>
        </w:rPr>
        <w:t xml:space="preserve">                 </w:t>
      </w:r>
      <w:r/>
    </w:p>
    <w:p>
      <w:pPr>
        <w:pStyle w:val="88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5"/>
        <w:ind w:firstLine="480"/>
        <w:spacing w:line="460" w:lineRule="exact"/>
      </w:pPr>
      <w:r>
        <w:rPr>
          <w:rFonts w:hint="eastAsia"/>
        </w:rPr>
        <w:t xml:space="preserve">六、我单位具备法律、行政法规规定的其他条件。</w:t>
      </w:r>
      <w:r/>
    </w:p>
    <w:p>
      <w:pPr>
        <w:pStyle w:val="88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8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5"/>
        <w:ind w:firstLine="480"/>
        <w:spacing w:line="460" w:lineRule="exact"/>
      </w:pPr>
      <w:r>
        <w:rPr>
          <w:rFonts w:hint="eastAsia"/>
        </w:rPr>
        <w:t xml:space="preserve">九、</w:t>
      </w:r>
      <w:r>
        <w:t xml:space="preserve">我单位无以下不良信用记录情形：</w:t>
      </w:r>
      <w:r/>
    </w:p>
    <w:p>
      <w:pPr>
        <w:pStyle w:val="885"/>
        <w:ind w:firstLine="480"/>
        <w:spacing w:line="460" w:lineRule="exact"/>
      </w:pPr>
      <w:r>
        <w:t xml:space="preserve">1</w:t>
      </w:r>
      <w:r>
        <w:rPr>
          <w:rFonts w:hint="eastAsia"/>
        </w:rPr>
        <w:t xml:space="preserve">、在“信用中国”网站被列入失信被执行人和重大税收违法案件当事人名单；</w:t>
      </w:r>
      <w:r/>
    </w:p>
    <w:p>
      <w:pPr>
        <w:pStyle w:val="885"/>
        <w:ind w:firstLine="480"/>
        <w:spacing w:line="460" w:lineRule="exact"/>
      </w:pPr>
      <w:r>
        <w:t xml:space="preserve">2</w:t>
      </w:r>
      <w:r>
        <w:rPr>
          <w:rFonts w:hint="eastAsia"/>
        </w:rPr>
        <w:t xml:space="preserve">、在“中国政府采购网”网站被列入政府采购严重违法失信行为记录名单；</w:t>
      </w:r>
      <w:r/>
    </w:p>
    <w:p>
      <w:pPr>
        <w:pStyle w:val="885"/>
        <w:ind w:firstLine="480"/>
        <w:spacing w:line="460" w:lineRule="exact"/>
      </w:pPr>
      <w:r>
        <w:t xml:space="preserve">3</w:t>
      </w:r>
      <w:r>
        <w:rPr>
          <w:rFonts w:hint="eastAsia"/>
        </w:rPr>
        <w:t xml:space="preserve">、</w:t>
      </w:r>
      <w:r>
        <w:t xml:space="preserve">不符合《政府采购法》第二十二条规定的条件。</w:t>
      </w:r>
      <w:r/>
    </w:p>
    <w:p>
      <w:pPr>
        <w:pStyle w:val="885"/>
        <w:ind w:firstLine="480"/>
        <w:spacing w:line="460" w:lineRule="exact"/>
      </w:pPr>
      <w:r/>
      <w:r/>
    </w:p>
    <w:p>
      <w:pPr>
        <w:pStyle w:val="88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85"/>
        <w:ind w:firstLine="480"/>
        <w:spacing w:line="460" w:lineRule="exact"/>
      </w:pPr>
      <w:r/>
      <w:r/>
    </w:p>
    <w:p>
      <w:pPr>
        <w:pStyle w:val="885"/>
        <w:ind w:firstLine="480"/>
        <w:spacing w:line="460" w:lineRule="exact"/>
      </w:pPr>
      <w:r/>
      <w:r/>
    </w:p>
    <w:p>
      <w:pPr>
        <w:pStyle w:val="885"/>
        <w:ind w:firstLine="480"/>
        <w:spacing w:line="460" w:lineRule="exact"/>
      </w:pPr>
      <w:r>
        <w:rPr>
          <w:rFonts w:hint="eastAsia"/>
        </w:rPr>
        <w:t xml:space="preserve">                                            投标人：（加盖公章）</w:t>
      </w:r>
      <w:r/>
    </w:p>
    <w:p>
      <w:pPr>
        <w:pStyle w:val="885"/>
        <w:ind w:firstLine="480"/>
        <w:spacing w:line="460" w:lineRule="exact"/>
      </w:pPr>
      <w:r>
        <w:rPr>
          <w:rFonts w:hint="eastAsia"/>
        </w:rPr>
        <w:t xml:space="preserve">                                           法定代表人（或单位负责人）签字或盖章：</w:t>
      </w:r>
      <w:r/>
    </w:p>
    <w:p>
      <w:pPr>
        <w:pStyle w:val="885"/>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72"/>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72"/>
        <w:ind w:firstLine="480"/>
        <w:rPr>
          <w:rFonts w:hint="eastAsia"/>
          <w:sz w:val="24"/>
          <w:szCs w:val="24"/>
        </w:rPr>
      </w:pPr>
      <w:r>
        <w:rPr>
          <w:rFonts w:hint="eastAsia"/>
          <w:sz w:val="24"/>
          <w:szCs w:val="24"/>
        </w:rPr>
        <w:t xml:space="preserve">本授权书于______年____月____日起生效，特此声明。</w:t>
      </w:r>
      <w:r/>
    </w:p>
    <w:p>
      <w:pPr>
        <w:pStyle w:val="972"/>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72"/>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72"/>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72"/>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72"/>
        <w:ind w:firstLine="480"/>
        <w:rPr>
          <w:rFonts w:hint="eastAsia"/>
          <w:sz w:val="24"/>
          <w:szCs w:val="24"/>
        </w:rPr>
      </w:pPr>
      <w:r>
        <w:rPr>
          <w:rFonts w:hint="eastAsia"/>
          <w:sz w:val="24"/>
          <w:szCs w:val="24"/>
        </w:rPr>
        <w:t xml:space="preserve">      日期：</w:t>
      </w:r>
      <w:bookmarkStart w:id="206" w:name="_Hlt26671380"/>
      <w:r/>
      <w:bookmarkEnd w:id="206"/>
      <w:r/>
      <w:bookmarkStart w:id="207" w:name="_格式3__银行出具的资信证明"/>
      <w:r/>
      <w:bookmarkEnd w:id="207"/>
      <w:r/>
      <w:bookmarkStart w:id="208" w:name="_Hlt26955070"/>
      <w:r/>
      <w:bookmarkEnd w:id="208"/>
      <w:r>
        <w:rPr>
          <w:rFonts w:hint="eastAsia"/>
          <w:sz w:val="24"/>
          <w:szCs w:val="24"/>
          <w:u w:val="single"/>
        </w:rPr>
        <w:t xml:space="preserve">                                         </w:t>
      </w:r>
      <w:r/>
    </w:p>
    <w:p>
      <w:pPr>
        <w:pStyle w:val="885"/>
        <w:rPr>
          <w:rFonts w:hint="eastAsia"/>
          <w:i/>
          <w:sz w:val="24"/>
          <w:szCs w:val="24"/>
          <w:u w:val="single"/>
        </w:rPr>
      </w:pPr>
      <w:r>
        <w:rPr>
          <w:rFonts w:hint="eastAsia"/>
          <w:i/>
          <w:sz w:val="24"/>
          <w:szCs w:val="24"/>
          <w:u w:val="single"/>
        </w:rPr>
      </w:r>
      <w:r/>
    </w:p>
    <w:p>
      <w:pPr>
        <w:pStyle w:val="885"/>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88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970"/>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970"/>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70"/>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70"/>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7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70"/>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70"/>
        <w:ind w:left="420"/>
        <w:spacing w:before="0" w:after="0" w:line="420" w:lineRule="exact"/>
        <w:rPr>
          <w:rFonts w:hint="eastAsia" w:ascii="宋体" w:hAnsi="宋体"/>
          <w:szCs w:val="21"/>
        </w:rPr>
      </w:pPr>
      <w:r>
        <w:rPr>
          <w:rFonts w:hint="eastAsia" w:ascii="宋体" w:hAnsi="宋体"/>
          <w:szCs w:val="21"/>
        </w:rPr>
        <w:t xml:space="preserve">地          址：</w:t>
      </w:r>
      <w:r/>
    </w:p>
    <w:p>
      <w:pPr>
        <w:pStyle w:val="970"/>
        <w:ind w:left="420"/>
        <w:spacing w:before="0" w:after="0" w:line="420" w:lineRule="exact"/>
        <w:rPr>
          <w:rFonts w:hint="eastAsia" w:ascii="宋体" w:hAnsi="宋体"/>
          <w:szCs w:val="21"/>
        </w:rPr>
      </w:pPr>
      <w:r>
        <w:rPr>
          <w:rFonts w:hint="eastAsia" w:ascii="宋体" w:hAnsi="宋体"/>
          <w:szCs w:val="21"/>
        </w:rPr>
        <w:t xml:space="preserve">邮          编：</w:t>
      </w:r>
      <w:r/>
    </w:p>
    <w:p>
      <w:pPr>
        <w:pStyle w:val="970"/>
        <w:ind w:left="420"/>
        <w:spacing w:before="0" w:after="0" w:line="420" w:lineRule="exact"/>
        <w:rPr>
          <w:rFonts w:hint="eastAsia" w:ascii="宋体" w:hAnsi="宋体"/>
          <w:szCs w:val="21"/>
        </w:rPr>
      </w:pPr>
      <w:r>
        <w:rPr>
          <w:rFonts w:hint="eastAsia" w:ascii="宋体" w:hAnsi="宋体"/>
          <w:szCs w:val="21"/>
        </w:rPr>
        <w:t xml:space="preserve">电          话：</w:t>
      </w:r>
      <w:r/>
    </w:p>
    <w:p>
      <w:pPr>
        <w:pStyle w:val="970"/>
        <w:ind w:left="420"/>
        <w:spacing w:before="0" w:after="0" w:line="420" w:lineRule="exact"/>
        <w:rPr>
          <w:rFonts w:hint="eastAsia" w:ascii="宋体" w:hAnsi="宋体"/>
          <w:szCs w:val="21"/>
        </w:rPr>
      </w:pPr>
      <w:r>
        <w:rPr>
          <w:rFonts w:hint="eastAsia" w:ascii="宋体" w:hAnsi="宋体"/>
          <w:szCs w:val="21"/>
        </w:rPr>
        <w:t xml:space="preserve">传          真：</w:t>
      </w:r>
      <w:r/>
    </w:p>
    <w:p>
      <w:pPr>
        <w:pStyle w:val="970"/>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70"/>
        <w:ind w:left="420"/>
        <w:spacing w:before="0" w:after="0" w:line="420" w:lineRule="exact"/>
        <w:rPr>
          <w:rFonts w:hint="eastAsia" w:ascii="宋体" w:hAnsi="宋体"/>
          <w:szCs w:val="21"/>
        </w:rPr>
      </w:pPr>
      <w:r>
        <w:rPr>
          <w:rFonts w:hint="eastAsia" w:ascii="宋体" w:hAnsi="宋体"/>
          <w:szCs w:val="21"/>
        </w:rPr>
        <w:t xml:space="preserve">账          号： </w:t>
      </w:r>
      <w:r/>
    </w:p>
    <w:p>
      <w:pPr>
        <w:pStyle w:val="970"/>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pStyle w:val="884"/>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numPr>
          <w:ilvl w:val="0"/>
          <w:numId w:val="8"/>
        </w:numPr>
        <w:ind w:firstLine="642"/>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投标分项报价表（分包号：一）</w:t>
      </w:r>
      <w:r/>
    </w:p>
    <w:p>
      <w:pPr>
        <w:jc w:val="center"/>
        <w:widowControl/>
        <w:rPr>
          <w:rFonts w:ascii="宋体" w:hAnsi="宋体" w:cs="宋体"/>
          <w:sz w:val="28"/>
          <w:szCs w:val="28"/>
        </w:rPr>
      </w:pPr>
      <w:r>
        <w:rPr>
          <w:rFonts w:hint="eastAsia" w:ascii="宋体" w:hAnsi="宋体" w:cs="宋体"/>
          <w:sz w:val="28"/>
          <w:szCs w:val="28"/>
        </w:rPr>
        <w:t xml:space="preserve">物业分项报价表</w:t>
      </w:r>
      <w:r/>
    </w:p>
    <w:p>
      <w:pPr>
        <w:spacing w:line="260" w:lineRule="exact"/>
        <w:rPr>
          <w:rFonts w:hint="eastAsia"/>
          <w:color w:val="000000"/>
          <w:sz w:val="36"/>
          <w:szCs w:val="36"/>
        </w:rPr>
      </w:pPr>
      <w:r>
        <w:rPr>
          <w:rFonts w:hint="eastAsia"/>
          <w:color w:val="000000"/>
          <w:sz w:val="36"/>
          <w:szCs w:val="36"/>
        </w:rPr>
      </w:r>
      <w:r/>
    </w:p>
    <w:p>
      <w:pPr>
        <w:jc w:val="left"/>
        <w:tabs>
          <w:tab w:val="left" w:pos="1800" w:leader="none"/>
          <w:tab w:val="left" w:pos="5580" w:leader="none"/>
        </w:tabs>
        <w:rPr>
          <w:rFonts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p>
      <w:pPr>
        <w:rPr>
          <w:vanish/>
        </w:rPr>
      </w:pPr>
      <w:r>
        <w:rPr>
          <w:vanish/>
        </w:rPr>
      </w:r>
      <w:r/>
    </w:p>
    <w:tbl>
      <w:tblPr>
        <w:tblStyle w:val="713"/>
        <w:tblpPr w:horzAnchor="page" w:tblpX="1263" w:vertAnchor="text" w:tblpY="102"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176"/>
        <w:gridCol w:w="1276"/>
        <w:gridCol w:w="1134"/>
        <w:gridCol w:w="992"/>
        <w:gridCol w:w="1134"/>
        <w:gridCol w:w="2126"/>
      </w:tblGrid>
      <w:tr>
        <w:trPr>
          <w:trHeight w:val="793"/>
        </w:trPr>
        <w:tc>
          <w:tcPr>
            <w:tcW w:w="48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序号</w:t>
            </w:r>
            <w:r/>
          </w:p>
        </w:tc>
        <w:tc>
          <w:tcPr>
            <w:tcW w:w="89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名称</w:t>
            </w:r>
            <w:r/>
          </w:p>
        </w:tc>
        <w:tc>
          <w:tcPr>
            <w:tcW w:w="11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服务范围</w:t>
            </w:r>
            <w:r/>
          </w:p>
        </w:tc>
        <w:tc>
          <w:tcPr>
            <w:tcW w:w="12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服务要求</w:t>
            </w:r>
            <w:r/>
          </w:p>
        </w:tc>
        <w:tc>
          <w:tcPr>
            <w:tcW w:w="1134"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服务时间</w:t>
            </w:r>
            <w:r/>
          </w:p>
          <w:p>
            <w:pPr>
              <w:jc w:val="center"/>
              <w:widowControl/>
              <w:rPr>
                <w:rFonts w:ascii="宋体" w:hAnsi="宋体" w:cs="宋体"/>
                <w:sz w:val="24"/>
              </w:rPr>
            </w:pPr>
            <w:r>
              <w:rPr>
                <w:rFonts w:hint="eastAsia" w:ascii="宋体" w:hAnsi="宋体" w:cs="宋体"/>
                <w:b/>
                <w:bCs/>
              </w:rPr>
              <w:t xml:space="preserve">（月）</w:t>
            </w:r>
            <w:r/>
          </w:p>
        </w:tc>
        <w:tc>
          <w:tcPr>
            <w:tcW w:w="992"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服务标准</w:t>
            </w:r>
            <w:r/>
          </w:p>
        </w:tc>
        <w:tc>
          <w:tcPr>
            <w:tcW w:w="1134"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服务人数</w:t>
            </w:r>
            <w:r/>
          </w:p>
        </w:tc>
        <w:tc>
          <w:tcPr>
            <w:tcW w:w="212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备注</w:t>
            </w:r>
            <w:r/>
          </w:p>
        </w:tc>
      </w:tr>
      <w:tr>
        <w:trPr>
          <w:trHeight w:val="1596"/>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物业管理负责人</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2126" w:type="dxa"/>
            <w:vAlign w:val="center"/>
            <w:vMerge w:val="restart"/>
            <w:textDirection w:val="lrTb"/>
            <w:noWrap w:val="false"/>
          </w:tcPr>
          <w:p>
            <w:pPr>
              <w:rPr>
                <w:rFonts w:hint="eastAsia"/>
              </w:rPr>
            </w:pPr>
            <w:r>
              <w:rPr>
                <w:rFonts w:hint="eastAsia"/>
              </w:rPr>
              <w:t xml:space="preserve">报价应包含员工费用和管理人员费用、离职补偿金、保险、管理费、培训费、各类加班费（法定</w:t>
            </w:r>
            <w:r>
              <w:rPr>
                <w:rFonts w:hint="eastAsia"/>
              </w:rPr>
              <w:t xml:space="preserve">节假日等）、值班费、岗位补贴、员工福利、利润、设备、工具、消耗品（包括垃圾袋、保洁用品、保洁用具等）、工会费、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p>
        </w:tc>
      </w:tr>
      <w:tr>
        <w:trPr>
          <w:trHeight w:val="1769"/>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内勤</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2341"/>
        </w:trPr>
        <w:tc>
          <w:tcPr>
            <w:tcW w:w="480"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891"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管理员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46</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1933"/>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东辅房</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保洁员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1-12号学生公寓</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992"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详见第四章采购需求包1</w:t>
            </w:r>
            <w:r/>
          </w:p>
        </w:tc>
        <w:tc>
          <w:tcPr>
            <w:tcW w:w="1134"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24</w:t>
            </w:r>
            <w:r/>
          </w:p>
        </w:tc>
        <w:tc>
          <w:tcPr>
            <w:tcW w:w="212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516"/>
        </w:trPr>
        <w:tc>
          <w:tcPr>
            <w:gridSpan w:val="3"/>
            <w:tcW w:w="2547"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W w:w="6662"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r>
        <w:trPr>
          <w:trHeight w:val="516"/>
        </w:trPr>
        <w:tc>
          <w:tcPr>
            <w:gridSpan w:val="3"/>
            <w:tcW w:w="2547" w:type="dxa"/>
            <w:vAlign w:val="center"/>
            <w:textDirection w:val="lrTb"/>
            <w:noWrap w:val="false"/>
          </w:tcPr>
          <w:p>
            <w:pPr>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W w:w="6662"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bl>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color w:val="000000"/>
          <w:sz w:val="24"/>
        </w:rPr>
      </w:pPr>
      <w:r>
        <w:rPr>
          <w:color w:val="000000"/>
          <w:sz w:val="24"/>
        </w:rPr>
        <w:t xml:space="preserve">1.本表应按包分别填写。</w:t>
      </w:r>
      <w:r/>
    </w:p>
    <w:p>
      <w:pPr>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p>
    <w:p>
      <w:pPr>
        <w:jc w:val="left"/>
        <w:tabs>
          <w:tab w:val="left" w:pos="1800" w:leader="none"/>
          <w:tab w:val="left" w:pos="5580" w:leader="none"/>
        </w:tabs>
        <w:rPr>
          <w:color w:val="000000"/>
          <w:sz w:val="24"/>
        </w:rPr>
      </w:pPr>
      <w:r>
        <w:rPr>
          <w:color w:val="000000"/>
          <w:sz w:val="24"/>
        </w:rPr>
      </w:r>
      <w:r/>
    </w:p>
    <w:p>
      <w:pPr>
        <w:spacing w:before="25" w:after="25" w:line="360" w:lineRule="auto"/>
        <w:rPr>
          <w:color w:val="000000"/>
          <w:sz w:val="24"/>
          <w:lang w:val="zh-CN"/>
        </w:rPr>
      </w:pPr>
      <w:r>
        <w:rPr>
          <w:color w:val="000000"/>
          <w:sz w:val="24"/>
          <w:lang w:val="zh-CN"/>
        </w:rPr>
        <w:t xml:space="preserve">                  </w:t>
      </w:r>
      <w:r/>
    </w:p>
    <w:p>
      <w:pPr>
        <w:jc w:val="right"/>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jc w:val="right"/>
        <w:spacing w:before="25" w:after="25" w:line="360" w:lineRule="auto"/>
        <w:rPr>
          <w:color w:val="000000"/>
          <w:sz w:val="24"/>
          <w:lang w:val="zh-CN"/>
        </w:rPr>
      </w:pPr>
      <w:r>
        <w:rPr>
          <w:color w:val="000000"/>
          <w:sz w:val="24"/>
          <w:szCs w:val="20"/>
        </w:rPr>
        <w:t xml:space="preserve">日期：_____年______月______日   </w:t>
      </w:r>
      <w:r/>
    </w:p>
    <w:p>
      <w:pPr>
        <w:rPr>
          <w:rFonts w:hint="eastAsia" w:ascii="黑体" w:hAnsi="黑体" w:eastAsia="黑体"/>
          <w:b/>
          <w:i/>
          <w:sz w:val="32"/>
          <w:szCs w:val="32"/>
          <w:u w:val="single"/>
        </w:rPr>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b/>
          <w:i/>
          <w:sz w:val="32"/>
          <w:szCs w:val="32"/>
          <w:u w:val="single"/>
        </w:rPr>
      </w:r>
      <w:r/>
    </w:p>
    <w:p>
      <w:pPr>
        <w:ind w:firstLine="964"/>
        <w:rPr>
          <w:rFonts w:hint="eastAsia" w:ascii="黑体" w:hAnsi="黑体" w:eastAsia="黑体"/>
          <w:b/>
          <w:i/>
          <w:sz w:val="32"/>
          <w:szCs w:val="32"/>
          <w:u w:val="single"/>
        </w:rPr>
      </w:pPr>
      <w:r>
        <w:rPr>
          <w:rFonts w:hint="eastAsia" w:ascii="黑体" w:hAnsi="黑体" w:eastAsia="黑体"/>
          <w:b/>
          <w:i/>
          <w:sz w:val="32"/>
          <w:szCs w:val="32"/>
          <w:u w:val="single"/>
        </w:rPr>
        <w:t xml:space="preserve">投标分项报价表（分包号：二）</w:t>
      </w:r>
      <w:r/>
    </w:p>
    <w:p>
      <w:pPr>
        <w:jc w:val="center"/>
        <w:widowControl/>
        <w:rPr>
          <w:rFonts w:ascii="宋体" w:hAnsi="宋体" w:cs="宋体"/>
          <w:sz w:val="28"/>
          <w:szCs w:val="28"/>
        </w:rPr>
      </w:pPr>
      <w:r>
        <w:rPr>
          <w:rFonts w:hint="eastAsia" w:ascii="宋体" w:hAnsi="宋体" w:cs="宋体"/>
          <w:sz w:val="28"/>
          <w:szCs w:val="28"/>
        </w:rPr>
        <w:t xml:space="preserve">物业分项报价表</w:t>
      </w:r>
      <w:r/>
    </w:p>
    <w:p>
      <w:pPr>
        <w:spacing w:line="260" w:lineRule="exact"/>
        <w:rPr>
          <w:rFonts w:hint="eastAsia"/>
          <w:color w:val="000000"/>
          <w:sz w:val="36"/>
          <w:szCs w:val="36"/>
        </w:rPr>
      </w:pPr>
      <w:r>
        <w:rPr>
          <w:rFonts w:hint="eastAsia"/>
          <w:color w:val="000000"/>
          <w:sz w:val="36"/>
          <w:szCs w:val="36"/>
        </w:rPr>
      </w:r>
      <w:r/>
    </w:p>
    <w:p>
      <w:pPr>
        <w:jc w:val="left"/>
        <w:tabs>
          <w:tab w:val="left" w:pos="1800" w:leader="none"/>
          <w:tab w:val="left" w:pos="5580" w:leader="none"/>
        </w:tabs>
        <w:rPr>
          <w:rFonts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p>
      <w:pPr>
        <w:rPr>
          <w:vanish/>
        </w:rPr>
      </w:pPr>
      <w:r>
        <w:rPr>
          <w:vanish/>
        </w:rPr>
      </w:r>
      <w:r/>
    </w:p>
    <w:tbl>
      <w:tblPr>
        <w:tblStyle w:val="71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176"/>
        <w:gridCol w:w="1276"/>
        <w:gridCol w:w="1009"/>
        <w:gridCol w:w="1400"/>
        <w:gridCol w:w="851"/>
        <w:gridCol w:w="2268"/>
      </w:tblGrid>
      <w:tr>
        <w:trPr>
          <w:trHeight w:val="793"/>
        </w:trPr>
        <w:tc>
          <w:tcPr>
            <w:tcW w:w="48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序号</w:t>
            </w:r>
            <w:r/>
          </w:p>
        </w:tc>
        <w:tc>
          <w:tcPr>
            <w:tcW w:w="89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名称</w:t>
            </w:r>
            <w:r/>
          </w:p>
        </w:tc>
        <w:tc>
          <w:tcPr>
            <w:tcW w:w="11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服务范围</w:t>
            </w:r>
            <w:r/>
          </w:p>
        </w:tc>
        <w:tc>
          <w:tcPr>
            <w:tcW w:w="127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服务要求</w:t>
            </w:r>
            <w:r/>
          </w:p>
        </w:tc>
        <w:tc>
          <w:tcPr>
            <w:tcW w:w="1009"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服务时间</w:t>
            </w:r>
            <w:r/>
          </w:p>
          <w:p>
            <w:pPr>
              <w:jc w:val="center"/>
              <w:widowControl/>
              <w:rPr>
                <w:rFonts w:ascii="宋体" w:hAnsi="宋体" w:cs="宋体"/>
                <w:sz w:val="24"/>
              </w:rPr>
            </w:pPr>
            <w:r>
              <w:rPr>
                <w:rFonts w:hint="eastAsia" w:ascii="宋体" w:hAnsi="宋体" w:cs="宋体"/>
                <w:b/>
                <w:bCs/>
              </w:rPr>
              <w:t xml:space="preserve">（月）</w:t>
            </w:r>
            <w:r/>
          </w:p>
        </w:tc>
        <w:tc>
          <w:tcPr>
            <w:tcW w:w="140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服务标准</w:t>
            </w:r>
            <w:r/>
          </w:p>
        </w:tc>
        <w:tc>
          <w:tcPr>
            <w:tcW w:w="85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服务人数</w:t>
            </w:r>
            <w:r/>
          </w:p>
        </w:tc>
        <w:tc>
          <w:tcPr>
            <w:tcW w:w="2268"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备注</w:t>
            </w:r>
            <w:r/>
          </w:p>
        </w:tc>
      </w:tr>
      <w:tr>
        <w:trPr>
          <w:trHeight w:val="468"/>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物业管理负责人</w:t>
            </w:r>
            <w:r/>
          </w:p>
        </w:tc>
        <w:tc>
          <w:tcPr>
            <w:tcW w:w="1176"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教学楼、实训楼、图文楼、文体楼、行政楼、工业互联网产学研创中心、继续教育学院、信息产业园</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2268" w:type="dxa"/>
            <w:vAlign w:val="center"/>
            <w:vMerge w:val="restart"/>
            <w:textDirection w:val="lrTb"/>
            <w:noWrap w:val="false"/>
          </w:tcPr>
          <w:p>
            <w:r>
              <w:rPr>
                <w:rFonts w:hint="eastAsia"/>
              </w:rPr>
              <w:t xml:space="preserve">报价应包含员工费用和管理人员费用、离职补偿金、保险、管理费、培训费、各类加班费（法定</w:t>
            </w:r>
            <w:r>
              <w:rPr>
                <w:rFonts w:hint="eastAsia"/>
              </w:rPr>
              <w:t xml:space="preserve">节假日等）、值班费、岗位补贴、员工福利、利润、设备、工具、消耗品（包括垃圾袋、保洁用品、保洁用具等）、工会费、各种税费、政策性文件规定、采购文件规定及项目明示或暗示的所有风险、责任、义务等各项应有的费用。上述未列明，但供应商认为所需的其他费用也包含在内，不接受供应商任何因遗漏报价而发生的费用追加。供应商应考虑合同期内的物价、政策等所有风险因素，在投标时自行预测并纳入投标总价中。合同期内若涉及本地区最低工资、社保缴费基数等上调，涉及到工资差额、固定岗位工资差额、假日工资差额、社保差额部分等均由成交供应商承担。</w:t>
            </w:r>
            <w:r/>
          </w:p>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502"/>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891"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内勤</w:t>
            </w:r>
            <w:r/>
          </w:p>
        </w:tc>
        <w:tc>
          <w:tcPr>
            <w:tcW w:w="1176"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16"/>
        </w:trPr>
        <w:tc>
          <w:tcPr>
            <w:tcW w:w="480"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891"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管理员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教学楼</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实训楼</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3</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图文楼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文体楼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工业互联网产学研创中心</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行政楼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p>
        </w:tc>
        <w:tc>
          <w:tcPr>
            <w:tcW w:w="891"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会务服务员</w:t>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行政楼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4</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restart"/>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5</w:t>
            </w:r>
            <w:r/>
          </w:p>
        </w:tc>
        <w:tc>
          <w:tcPr>
            <w:tcW w:w="891" w:type="dxa"/>
            <w:vAlign w:val="center"/>
            <w:vMerge w:val="restart"/>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保洁员</w:t>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教学楼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rPr>
                <w:rFonts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实训楼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图文楼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6</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文体楼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1013"/>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行政楼</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5</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155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工业互联网产学研创中心</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r>
            <w:r/>
          </w:p>
        </w:tc>
        <w:tc>
          <w:tcPr>
            <w:tcW w:w="1176" w:type="dxa"/>
            <w:vAlign w:val="center"/>
            <w:textDirection w:val="lrTb"/>
            <w:noWrap w:val="false"/>
          </w:tcPr>
          <w:p>
            <w:pPr>
              <w:jc w:val="left"/>
              <w:rPr>
                <w:rFonts w:hint="eastAsia"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rPr>
              <w:t xml:space="preserve">继续教育学院</w:t>
            </w:r>
            <w:r/>
          </w:p>
        </w:tc>
        <w:tc>
          <w:tcPr>
            <w:tcW w:w="1276"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1</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445"/>
        </w:trPr>
        <w:tc>
          <w:tcPr>
            <w:tcW w:w="480"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891"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c>
          <w:tcPr>
            <w:tcW w:w="11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信息产业园</w:t>
            </w:r>
            <w:r/>
          </w:p>
        </w:tc>
        <w:tc>
          <w:tcPr>
            <w:tcW w:w="1276"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1009" w:type="dxa"/>
            <w:vAlign w:val="center"/>
            <w:textDirection w:val="lrTb"/>
            <w:noWrap w:val="false"/>
          </w:tcPr>
          <w:p>
            <w:pPr>
              <w:jc w:val="center"/>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36</w:t>
            </w:r>
            <w:r/>
          </w:p>
        </w:tc>
        <w:tc>
          <w:tcPr>
            <w:tcW w:w="1400" w:type="dxa"/>
            <w:vAlign w:val="center"/>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详见第四章采购需求包</w:t>
            </w:r>
            <w:r>
              <w:rPr>
                <w:rFonts w:ascii="宋体" w:hAnsi="宋体" w:cs="宋体"/>
                <w:color w:val="000000"/>
              </w:rPr>
              <w:t xml:space="preserve">2</w:t>
            </w:r>
            <w:r/>
          </w:p>
        </w:tc>
        <w:tc>
          <w:tcPr>
            <w:tcW w:w="851" w:type="dxa"/>
            <w:vAlign w:val="center"/>
            <w:textDirection w:val="lrTb"/>
            <w:noWrap w:val="false"/>
          </w:tcPr>
          <w:p>
            <w:pPr>
              <w:jc w:val="center"/>
              <w:rPr>
                <w:rFonts w:ascii="宋体" w:hAnsi="宋体" w:cs="宋体"/>
                <w:color w:val="000000"/>
                <w:highlight w:val="green"/>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w:t>
            </w:r>
            <w:r/>
          </w:p>
        </w:tc>
        <w:tc>
          <w:tcPr>
            <w:tcW w:w="2268" w:type="dxa"/>
            <w:vAlign w:val="center"/>
            <w:vMerge w:val="continue"/>
            <w:textDirection w:val="lrTb"/>
            <w:noWrap w:val="false"/>
          </w:tcPr>
          <w:p>
            <w:pPr>
              <w:jc w:val="left"/>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r>
            <w:r/>
          </w:p>
        </w:tc>
      </w:tr>
      <w:tr>
        <w:trPr>
          <w:trHeight w:val="516"/>
        </w:trPr>
        <w:tc>
          <w:tcPr>
            <w:gridSpan w:val="3"/>
            <w:tcW w:w="2547"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W w:w="6804"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r>
        <w:trPr>
          <w:trHeight w:val="516"/>
        </w:trPr>
        <w:tc>
          <w:tcPr>
            <w:gridSpan w:val="3"/>
            <w:tcW w:w="2547" w:type="dxa"/>
            <w:vAlign w:val="center"/>
            <w:textDirection w:val="lrTb"/>
            <w:noWrap w:val="false"/>
          </w:tcPr>
          <w:p>
            <w:pPr>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W w:w="6804"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bl>
    <w:p>
      <w:pPr>
        <w:jc w:val="left"/>
        <w:tabs>
          <w:tab w:val="left" w:pos="1800" w:leader="none"/>
          <w:tab w:val="left" w:pos="5580" w:leader="none"/>
        </w:tabs>
        <w:rPr>
          <w:color w:val="000000"/>
          <w:sz w:val="24"/>
        </w:rPr>
      </w:pPr>
      <w:r>
        <w:rPr>
          <w:color w:val="000000"/>
          <w:sz w:val="24"/>
        </w:rPr>
        <w:t xml:space="preserve">注：</w:t>
      </w:r>
      <w:r/>
    </w:p>
    <w:p>
      <w:pPr>
        <w:jc w:val="left"/>
        <w:tabs>
          <w:tab w:val="left" w:pos="1800" w:leader="none"/>
          <w:tab w:val="left" w:pos="5580" w:leader="none"/>
        </w:tabs>
        <w:rPr>
          <w:color w:val="000000"/>
          <w:sz w:val="24"/>
        </w:rPr>
      </w:pPr>
      <w:r>
        <w:rPr>
          <w:color w:val="000000"/>
          <w:sz w:val="24"/>
        </w:rPr>
        <w:t xml:space="preserve">1.本表应按包分别填写。</w:t>
      </w:r>
      <w:r/>
    </w:p>
    <w:p>
      <w:pPr>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p>
    <w:p>
      <w:pPr>
        <w:jc w:val="left"/>
        <w:tabs>
          <w:tab w:val="left" w:pos="1800" w:leader="none"/>
          <w:tab w:val="left" w:pos="5580" w:leader="none"/>
        </w:tabs>
        <w:rPr>
          <w:color w:val="000000"/>
          <w:sz w:val="24"/>
        </w:rPr>
      </w:pPr>
      <w:r>
        <w:rPr>
          <w:color w:val="000000"/>
          <w:sz w:val="24"/>
        </w:rPr>
      </w:r>
      <w:r/>
    </w:p>
    <w:p>
      <w:pPr>
        <w:spacing w:before="25" w:after="25" w:line="360" w:lineRule="auto"/>
        <w:rPr>
          <w:color w:val="000000"/>
          <w:sz w:val="24"/>
          <w:lang w:val="zh-CN"/>
        </w:rPr>
      </w:pPr>
      <w:r>
        <w:rPr>
          <w:color w:val="000000"/>
          <w:sz w:val="24"/>
          <w:lang w:val="zh-CN"/>
        </w:rPr>
        <w:t xml:space="preserve">                  </w:t>
      </w:r>
      <w:r/>
    </w:p>
    <w:p>
      <w:pPr>
        <w:jc w:val="right"/>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ind w:firstLine="4800"/>
        <w:rPr>
          <w:rFonts w:hint="eastAsia" w:ascii="黑体" w:hAnsi="黑体" w:eastAsia="黑体"/>
          <w:b/>
          <w:i/>
          <w:sz w:val="32"/>
          <w:szCs w:val="32"/>
          <w:u w:val="single"/>
        </w:rPr>
        <w:sectPr>
          <w:footnotePr/>
          <w:endnotePr/>
          <w:type w:val="nextPage"/>
          <w:pgSz w:w="11906" w:h="16838" w:orient="portrait"/>
          <w:pgMar w:top="1418" w:right="1588" w:bottom="1418" w:left="1365" w:header="851" w:footer="907" w:gutter="0"/>
          <w:cols w:num="1" w:sep="0" w:space="1701" w:equalWidth="1"/>
          <w:docGrid w:linePitch="360"/>
          <w:titlePg/>
        </w:sectPr>
      </w:pPr>
      <w:r>
        <w:rPr>
          <w:color w:val="000000"/>
          <w:sz w:val="24"/>
          <w:szCs w:val="20"/>
        </w:rPr>
        <w:t xml:space="preserve">日期：_____年______月______日 </w:t>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05"/>
      <w:r/>
    </w:p>
    <w:p>
      <w:pPr>
        <w:jc w:val="center"/>
        <w:rPr>
          <w:rFonts w:hint="eastAsia" w:ascii="黑体" w:hAnsi="黑体" w:eastAsia="黑体"/>
          <w:b/>
          <w:sz w:val="32"/>
          <w:szCs w:val="32"/>
        </w:rPr>
      </w:pPr>
      <w:r/>
      <w:bookmarkStart w:id="209" w:name="_Hlt26955054"/>
      <w:r/>
      <w:bookmarkEnd w:id="209"/>
      <w:r>
        <w:rPr>
          <w:rFonts w:hint="eastAsia" w:ascii="黑体" w:hAnsi="黑体" w:eastAsia="黑体"/>
          <w:b/>
          <w:sz w:val="32"/>
          <w:szCs w:val="32"/>
        </w:rPr>
        <w:t xml:space="preserve">十、商务要求响应及偏离表（分包号：**）</w:t>
      </w:r>
      <w:r/>
    </w:p>
    <w:tbl>
      <w:tblPr>
        <w:tblStyle w:val="71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10" w:name="_Hlt26609391"/>
            <w:r/>
            <w:bookmarkEnd w:id="210"/>
            <w:r/>
            <w:bookmarkStart w:id="211" w:name="_Hlt26580838"/>
            <w:r/>
            <w:bookmarkEnd w:id="211"/>
            <w:r/>
            <w:bookmarkStart w:id="212" w:name="_Hlt26955056"/>
            <w:r/>
            <w:bookmarkEnd w:id="212"/>
            <w:r/>
            <w:bookmarkStart w:id="213" w:name="_Hlt26671372"/>
            <w:r/>
            <w:bookmarkEnd w:id="213"/>
            <w:r/>
            <w:bookmarkStart w:id="214" w:name="_Hlt26671343"/>
            <w:r/>
            <w:bookmarkEnd w:id="214"/>
            <w:r/>
            <w:bookmarkStart w:id="215" w:name="_Hlt24879081"/>
            <w:r/>
            <w:bookmarkEnd w:id="215"/>
            <w:r/>
            <w:bookmarkStart w:id="216" w:name="_Hlt26782999"/>
            <w:r/>
            <w:bookmarkEnd w:id="216"/>
            <w:r/>
            <w:bookmarkStart w:id="217" w:name="_Hlt26955064"/>
            <w:r/>
            <w:bookmarkEnd w:id="217"/>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885"/>
        <w:ind w:firstLine="0"/>
        <w:rPr>
          <w:rFonts w:hint="eastAsia" w:ascii="宋体" w:hAnsi="宋体"/>
          <w:sz w:val="24"/>
        </w:rPr>
      </w:pPr>
      <w:r/>
      <w:bookmarkStart w:id="218" w:name="_Hlt26671374"/>
      <w:r/>
      <w:bookmarkEnd w:id="218"/>
      <w:r/>
      <w:bookmarkStart w:id="219" w:name="_Hlt26609389"/>
      <w:r/>
      <w:bookmarkEnd w:id="219"/>
      <w:r/>
      <w:bookmarkStart w:id="220" w:name="_Hlt26955066"/>
      <w:r/>
      <w:bookmarkEnd w:id="220"/>
      <w:r/>
      <w:bookmarkStart w:id="221" w:name="_Toc462564146"/>
      <w:r/>
      <w:bookmarkEnd w:id="192"/>
      <w:bookmarkEnd w:id="193"/>
      <w:bookmarkEnd w:id="221"/>
      <w:r/>
    </w:p>
    <w:p>
      <w:pPr>
        <w:jc w:val="center"/>
        <w:rPr>
          <w:rFonts w:hint="eastAsia" w:ascii="黑体" w:hAnsi="黑体" w:eastAsia="黑体"/>
          <w:b/>
          <w:sz w:val="32"/>
          <w:szCs w:val="32"/>
        </w:rPr>
      </w:pPr>
      <w:r/>
      <w:bookmarkStart w:id="222" w:name="_格式2__法定代表人授权书"/>
      <w:r/>
      <w:bookmarkEnd w:id="222"/>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1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70"/>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p>
        </w:tc>
        <w:tc>
          <w:tcPr>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885"/>
        <w:rPr>
          <w:rFonts w:hint="eastAsia"/>
          <w:sz w:val="24"/>
          <w:szCs w:val="24"/>
        </w:rPr>
      </w:pPr>
      <w:r>
        <w:rPr>
          <w:rFonts w:hint="eastAsia"/>
          <w:sz w:val="24"/>
          <w:szCs w:val="24"/>
        </w:rPr>
      </w:r>
      <w:r/>
    </w:p>
    <w:p>
      <w:pPr>
        <w:pStyle w:val="885"/>
        <w:rPr>
          <w:sz w:val="24"/>
          <w:szCs w:val="24"/>
        </w:rPr>
      </w:pPr>
      <w:r>
        <w:rPr>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等线">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103 -</w:t>
    </w:r>
    <w:r>
      <w:fldChar w:fldCharType="end"/>
    </w:r>
    <w:r/>
  </w:p>
  <w:p>
    <w:pPr>
      <w:pStyle w:val="932"/>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pPr>
    <w:r>
      <w:fldChar w:fldCharType="begin"/>
    </w:r>
    <w:r>
      <w:instrText xml:space="preserve">PAGE   \* MERGEFORMAT</w:instrText>
    </w:r>
    <w:r>
      <w:fldChar w:fldCharType="separate"/>
    </w:r>
    <w:r>
      <w:rPr>
        <w:lang w:val="zh-CN"/>
      </w:rPr>
      <w:t xml:space="preserve">-</w:t>
    </w:r>
    <w:r>
      <w:t xml:space="preserve"> 111 -</w:t>
    </w:r>
    <w:r>
      <w:fldChar w:fldCharType="end"/>
    </w:r>
    <w:r/>
  </w:p>
  <w:p>
    <w:pPr>
      <w:pStyle w:val="932"/>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right"/>
    </w:pPr>
    <w:r>
      <w:fldChar w:fldCharType="begin"/>
    </w:r>
    <w:r>
      <w:instrText xml:space="preserve">PAGE   \* MERGEFORMAT</w:instrText>
    </w:r>
    <w:r>
      <w:fldChar w:fldCharType="separate"/>
    </w:r>
    <w:r>
      <w:rPr>
        <w:lang w:val="zh-CN"/>
      </w:rPr>
      <w:t xml:space="preserve">-</w:t>
    </w:r>
    <w:r>
      <w:t xml:space="preserve"> 112 -</w:t>
    </w:r>
    <w:r>
      <w:fldChar w:fldCharType="end"/>
    </w:r>
    <w:r/>
  </w:p>
  <w:p>
    <w:pPr>
      <w:pStyle w:val="932"/>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p>
  <w:p>
    <w:pPr>
      <w:pStyle w:val="9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9"/>
      <w:isLgl w:val="false"/>
      <w:suff w:val="nothing"/>
      <w:lvlText w:val=""/>
      <w:lvlJc w:val="left"/>
      <w:pPr>
        <w:ind w:left="0" w:firstLine="0"/>
      </w:pPr>
      <w:rPr>
        <w:rFonts w:hint="eastAsia"/>
      </w:rPr>
    </w:lvl>
    <w:lvl w:ilvl="6">
      <w:start w:val="1"/>
      <w:numFmt w:val="decimal"/>
      <w:pStyle w:val="890"/>
      <w:isLgl w:val="false"/>
      <w:suff w:val="nothing"/>
      <w:lvlText w:val=""/>
      <w:lvlJc w:val="left"/>
      <w:pPr>
        <w:ind w:left="0" w:firstLine="0"/>
      </w:pPr>
      <w:rPr>
        <w:rFonts w:hint="eastAsia"/>
      </w:rPr>
    </w:lvl>
    <w:lvl w:ilvl="7">
      <w:start w:val="1"/>
      <w:numFmt w:val="decimal"/>
      <w:pStyle w:val="891"/>
      <w:isLgl w:val="false"/>
      <w:suff w:val="nothing"/>
      <w:lvlText w:val=""/>
      <w:lvlJc w:val="left"/>
      <w:pPr>
        <w:ind w:left="0" w:firstLine="0"/>
      </w:pPr>
      <w:rPr>
        <w:rFonts w:hint="eastAsia"/>
      </w:rPr>
    </w:lvl>
    <w:lvl w:ilvl="8">
      <w:start w:val="1"/>
      <w:numFmt w:val="decimal"/>
      <w:pStyle w:val="892"/>
      <w:isLgl w:val="false"/>
      <w:suff w:val="nothing"/>
      <w:lvlText w:val=""/>
      <w:lvlJc w:val="left"/>
      <w:pPr>
        <w:ind w:left="0" w:firstLine="0"/>
      </w:pPr>
      <w:rPr>
        <w:rFonts w:hint="eastAsia"/>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9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link w:val="93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3">
    <w:name w:val="Heading 1"/>
    <w:basedOn w:val="702"/>
    <w:next w:val="702"/>
    <w:link w:val="735"/>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36"/>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37"/>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3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39"/>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0"/>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3"/>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style>
  <w:style w:type="table" w:styleId="713" w:default="1">
    <w:name w:val="Normal Table"/>
    <w:uiPriority w:val="99"/>
    <w:semiHidden/>
    <w:unhideWhenUsed/>
    <w:tblPr>
      <w:tblCellMar>
        <w:left w:w="108" w:type="dxa"/>
        <w:top w:w="0" w:type="dxa"/>
        <w:right w:w="108" w:type="dxa"/>
        <w:bottom w:w="0" w:type="dxa"/>
      </w:tblCellMar>
    </w:tblPr>
  </w:style>
  <w:style w:type="paragraph" w:styleId="714">
    <w:name w:val="toc 7"/>
    <w:basedOn w:val="702"/>
    <w:next w:val="702"/>
    <w:uiPriority w:val="39"/>
    <w:unhideWhenUsed/>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toc 5"/>
    <w:basedOn w:val="702"/>
    <w:next w:val="702"/>
    <w:uiPriority w:val="39"/>
    <w:unhideWhenUsed/>
    <w:pPr>
      <w:ind w:left="1134" w:right="0" w:firstLine="0"/>
      <w:spacing w:after="57"/>
    </w:pPr>
  </w:style>
  <w:style w:type="paragraph" w:styleId="717">
    <w:name w:val="toc 3"/>
    <w:basedOn w:val="702"/>
    <w:next w:val="702"/>
    <w:uiPriority w:val="39"/>
    <w:unhideWhenUsed/>
    <w:pPr>
      <w:ind w:left="567" w:right="0" w:firstLine="0"/>
      <w:spacing w:after="57"/>
    </w:pPr>
  </w:style>
  <w:style w:type="paragraph" w:styleId="718">
    <w:name w:val="toc 8"/>
    <w:basedOn w:val="702"/>
    <w:next w:val="702"/>
    <w:uiPriority w:val="39"/>
    <w:unhideWhenUsed/>
    <w:pPr>
      <w:ind w:left="1984" w:right="0" w:firstLine="0"/>
      <w:spacing w:after="57"/>
    </w:pPr>
  </w:style>
  <w:style w:type="paragraph" w:styleId="719">
    <w:name w:val="endnote text"/>
    <w:basedOn w:val="702"/>
    <w:link w:val="881"/>
    <w:uiPriority w:val="99"/>
    <w:semiHidden/>
    <w:unhideWhenUsed/>
    <w:pPr>
      <w:spacing w:after="0" w:line="240" w:lineRule="auto"/>
    </w:pPr>
    <w:rPr>
      <w:sz w:val="20"/>
    </w:rPr>
  </w:style>
  <w:style w:type="paragraph" w:styleId="720">
    <w:name w:val="Footer"/>
    <w:basedOn w:val="702"/>
    <w:link w:val="754"/>
    <w:uiPriority w:val="99"/>
    <w:unhideWhenUsed/>
    <w:pPr>
      <w:spacing w:after="0" w:line="240" w:lineRule="auto"/>
      <w:tabs>
        <w:tab w:val="center" w:pos="7143" w:leader="none"/>
        <w:tab w:val="right" w:pos="14287" w:leader="none"/>
      </w:tabs>
    </w:pPr>
  </w:style>
  <w:style w:type="paragraph" w:styleId="721">
    <w:name w:val="Header"/>
    <w:basedOn w:val="702"/>
    <w:link w:val="752"/>
    <w:uiPriority w:val="99"/>
    <w:unhideWhenUsed/>
    <w:qFormat/>
    <w:pPr>
      <w:spacing w:after="0" w:line="240" w:lineRule="auto"/>
      <w:tabs>
        <w:tab w:val="center" w:pos="7143" w:leader="none"/>
        <w:tab w:val="right" w:pos="14287" w:leader="none"/>
      </w:tabs>
    </w:pPr>
  </w:style>
  <w:style w:type="paragraph" w:styleId="722">
    <w:name w:val="toc 1"/>
    <w:basedOn w:val="702"/>
    <w:next w:val="702"/>
    <w:uiPriority w:val="39"/>
    <w:unhideWhenUsed/>
    <w:pPr>
      <w:ind w:left="0" w:right="0" w:firstLine="0"/>
      <w:spacing w:after="57"/>
    </w:pPr>
  </w:style>
  <w:style w:type="paragraph" w:styleId="723">
    <w:name w:val="toc 4"/>
    <w:basedOn w:val="702"/>
    <w:next w:val="702"/>
    <w:uiPriority w:val="39"/>
    <w:unhideWhenUsed/>
    <w:pPr>
      <w:ind w:left="850" w:right="0" w:firstLine="0"/>
      <w:spacing w:after="57"/>
    </w:pPr>
  </w:style>
  <w:style w:type="paragraph" w:styleId="724">
    <w:name w:val="Subtitle"/>
    <w:basedOn w:val="702"/>
    <w:next w:val="702"/>
    <w:link w:val="747"/>
    <w:uiPriority w:val="11"/>
    <w:qFormat/>
    <w:pPr>
      <w:spacing w:before="200" w:after="200"/>
    </w:pPr>
    <w:rPr>
      <w:sz w:val="24"/>
      <w:szCs w:val="24"/>
    </w:rPr>
  </w:style>
  <w:style w:type="paragraph" w:styleId="725">
    <w:name w:val="footnote text"/>
    <w:basedOn w:val="702"/>
    <w:link w:val="880"/>
    <w:uiPriority w:val="99"/>
    <w:semiHidden/>
    <w:unhideWhenUsed/>
    <w:pPr>
      <w:spacing w:after="40" w:line="240" w:lineRule="auto"/>
    </w:pPr>
    <w:rPr>
      <w:sz w:val="18"/>
    </w:rPr>
  </w:style>
  <w:style w:type="paragraph" w:styleId="726">
    <w:name w:val="toc 6"/>
    <w:basedOn w:val="702"/>
    <w:next w:val="702"/>
    <w:uiPriority w:val="39"/>
    <w:unhideWhenUsed/>
    <w:pPr>
      <w:ind w:left="1417" w:right="0" w:firstLine="0"/>
      <w:spacing w:after="57"/>
    </w:pPr>
  </w:style>
  <w:style w:type="paragraph" w:styleId="727">
    <w:name w:val="table of figures"/>
    <w:basedOn w:val="702"/>
    <w:next w:val="702"/>
    <w:uiPriority w:val="99"/>
    <w:unhideWhenUsed/>
    <w:pPr>
      <w:spacing w:after="0" w:afterAutospacing="0"/>
    </w:pPr>
  </w:style>
  <w:style w:type="paragraph" w:styleId="728">
    <w:name w:val="toc 2"/>
    <w:basedOn w:val="702"/>
    <w:next w:val="702"/>
    <w:uiPriority w:val="39"/>
    <w:unhideWhenUsed/>
    <w:pPr>
      <w:ind w:left="283" w:right="0" w:firstLine="0"/>
      <w:spacing w:after="57"/>
    </w:pPr>
  </w:style>
  <w:style w:type="paragraph" w:styleId="729">
    <w:name w:val="toc 9"/>
    <w:basedOn w:val="702"/>
    <w:next w:val="702"/>
    <w:uiPriority w:val="39"/>
    <w:unhideWhenUsed/>
    <w:pPr>
      <w:ind w:left="2268" w:right="0" w:firstLine="0"/>
      <w:spacing w:after="57"/>
    </w:pPr>
  </w:style>
  <w:style w:type="paragraph" w:styleId="730">
    <w:name w:val="Title"/>
    <w:basedOn w:val="702"/>
    <w:next w:val="702"/>
    <w:link w:val="746"/>
    <w:uiPriority w:val="10"/>
    <w:qFormat/>
    <w:pPr>
      <w:contextualSpacing/>
      <w:spacing w:before="300" w:after="200"/>
    </w:pPr>
    <w:rPr>
      <w:sz w:val="48"/>
      <w:szCs w:val="48"/>
    </w:rPr>
  </w:style>
  <w:style w:type="table" w:styleId="731">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rPr>
      <w:vertAlign w:val="superscript"/>
    </w:rPr>
  </w:style>
  <w:style w:type="character" w:styleId="733">
    <w:name w:val="Hyperlink"/>
    <w:uiPriority w:val="99"/>
    <w:unhideWhenUsed/>
    <w:rPr>
      <w:color w:val="0000ff" w:themeColor="hyperlink"/>
      <w:u w:val="single"/>
      <w14:textFill>
        <w14:solidFill>
          <w14:schemeClr w14:val="hlink"/>
        </w14:solidFill>
      </w14:textFill>
    </w:rPr>
  </w:style>
  <w:style w:type="character" w:styleId="734">
    <w:name w:val="footnote reference"/>
    <w:uiPriority w:val="99"/>
    <w:unhideWhenUsed/>
    <w:rPr>
      <w:vertAlign w:val="superscript"/>
    </w:rPr>
  </w:style>
  <w:style w:type="character" w:styleId="735" w:customStyle="1">
    <w:name w:val="Heading 1 Char"/>
    <w:link w:val="703"/>
    <w:uiPriority w:val="9"/>
    <w:qFormat/>
    <w:rPr>
      <w:rFonts w:ascii="Arial" w:hAnsi="Arial" w:eastAsia="Arial" w:cs="Arial"/>
      <w:sz w:val="40"/>
      <w:szCs w:val="40"/>
    </w:rPr>
  </w:style>
  <w:style w:type="character" w:styleId="736" w:customStyle="1">
    <w:name w:val="Heading 2 Char"/>
    <w:link w:val="704"/>
    <w:uiPriority w:val="9"/>
    <w:qFormat/>
    <w:rPr>
      <w:rFonts w:ascii="Arial" w:hAnsi="Arial" w:eastAsia="Arial" w:cs="Arial"/>
      <w:sz w:val="34"/>
    </w:rPr>
  </w:style>
  <w:style w:type="character" w:styleId="737" w:customStyle="1">
    <w:name w:val="Heading 3 Char"/>
    <w:link w:val="705"/>
    <w:uiPriority w:val="9"/>
    <w:qFormat/>
    <w:rPr>
      <w:rFonts w:ascii="Arial" w:hAnsi="Arial" w:eastAsia="Arial" w:cs="Arial"/>
      <w:sz w:val="30"/>
      <w:szCs w:val="30"/>
    </w:rPr>
  </w:style>
  <w:style w:type="character" w:styleId="738" w:customStyle="1">
    <w:name w:val="Heading 4 Char"/>
    <w:link w:val="706"/>
    <w:uiPriority w:val="9"/>
    <w:qFormat/>
    <w:rPr>
      <w:rFonts w:ascii="Arial" w:hAnsi="Arial" w:eastAsia="Arial" w:cs="Arial"/>
      <w:b/>
      <w:bCs/>
      <w:sz w:val="26"/>
      <w:szCs w:val="26"/>
    </w:rPr>
  </w:style>
  <w:style w:type="character" w:styleId="739" w:customStyle="1">
    <w:name w:val="Heading 5 Char"/>
    <w:link w:val="707"/>
    <w:uiPriority w:val="9"/>
    <w:qFormat/>
    <w:rPr>
      <w:rFonts w:ascii="Arial" w:hAnsi="Arial" w:eastAsia="Arial" w:cs="Arial"/>
      <w:b/>
      <w:bCs/>
      <w:sz w:val="24"/>
      <w:szCs w:val="24"/>
    </w:rPr>
  </w:style>
  <w:style w:type="character" w:styleId="740" w:customStyle="1">
    <w:name w:val="Heading 6 Char"/>
    <w:link w:val="708"/>
    <w:uiPriority w:val="9"/>
    <w:qFormat/>
    <w:rPr>
      <w:rFonts w:ascii="Arial" w:hAnsi="Arial" w:eastAsia="Arial" w:cs="Arial"/>
      <w:b/>
      <w:bCs/>
      <w:sz w:val="22"/>
      <w:szCs w:val="22"/>
    </w:rPr>
  </w:style>
  <w:style w:type="character" w:styleId="741" w:customStyle="1">
    <w:name w:val="Heading 7 Char"/>
    <w:link w:val="709"/>
    <w:uiPriority w:val="9"/>
    <w:rPr>
      <w:rFonts w:ascii="Arial" w:hAnsi="Arial" w:eastAsia="Arial" w:cs="Arial"/>
      <w:b/>
      <w:bCs/>
      <w:i/>
      <w:iCs/>
      <w:sz w:val="22"/>
      <w:szCs w:val="22"/>
    </w:rPr>
  </w:style>
  <w:style w:type="character" w:styleId="742" w:customStyle="1">
    <w:name w:val="Heading 8 Char"/>
    <w:link w:val="710"/>
    <w:uiPriority w:val="9"/>
    <w:rPr>
      <w:rFonts w:ascii="Arial" w:hAnsi="Arial" w:eastAsia="Arial" w:cs="Arial"/>
      <w:i/>
      <w:iCs/>
      <w:sz w:val="22"/>
      <w:szCs w:val="22"/>
    </w:rPr>
  </w:style>
  <w:style w:type="character" w:styleId="743" w:customStyle="1">
    <w:name w:val="Heading 9 Char"/>
    <w:link w:val="711"/>
    <w:uiPriority w:val="9"/>
    <w:rPr>
      <w:rFonts w:ascii="Arial" w:hAnsi="Arial" w:eastAsia="Arial" w:cs="Arial"/>
      <w:i/>
      <w:iCs/>
      <w:sz w:val="21"/>
      <w:szCs w:val="21"/>
    </w:rPr>
  </w:style>
  <w:style w:type="paragraph" w:styleId="744">
    <w:name w:val="List Paragraph"/>
    <w:basedOn w:val="702"/>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30"/>
    <w:uiPriority w:val="10"/>
    <w:rPr>
      <w:sz w:val="48"/>
      <w:szCs w:val="48"/>
    </w:rPr>
  </w:style>
  <w:style w:type="character" w:styleId="747" w:customStyle="1">
    <w:name w:val="Subtitle Char"/>
    <w:link w:val="724"/>
    <w:uiPriority w:val="11"/>
    <w:qFormat/>
    <w:rPr>
      <w:sz w:val="24"/>
      <w:szCs w:val="24"/>
    </w:rPr>
  </w:style>
  <w:style w:type="paragraph" w:styleId="748">
    <w:name w:val="Quote"/>
    <w:basedOn w:val="702"/>
    <w:next w:val="702"/>
    <w:link w:val="749"/>
    <w:uiPriority w:val="29"/>
    <w:qFormat/>
    <w:pPr>
      <w:ind w:left="720" w:right="720"/>
    </w:pPr>
    <w:rPr>
      <w:i/>
    </w:rPr>
  </w:style>
  <w:style w:type="character" w:styleId="749" w:customStyle="1">
    <w:name w:val="Quote Char"/>
    <w:link w:val="748"/>
    <w:uiPriority w:val="29"/>
    <w:rPr>
      <w:i/>
    </w:rPr>
  </w:style>
  <w:style w:type="paragraph" w:styleId="750">
    <w:name w:val="Intense Quote"/>
    <w:basedOn w:val="702"/>
    <w:next w:val="702"/>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rPr>
      <w:i/>
    </w:rPr>
  </w:style>
  <w:style w:type="character" w:styleId="752" w:customStyle="1">
    <w:name w:val="Header Char"/>
    <w:link w:val="721"/>
    <w:uiPriority w:val="99"/>
    <w:qFormat/>
  </w:style>
  <w:style w:type="character" w:styleId="753" w:customStyle="1">
    <w:name w:val="Footer Char"/>
    <w:link w:val="720"/>
    <w:uiPriority w:val="99"/>
    <w:qFormat/>
  </w:style>
  <w:style w:type="character" w:styleId="754" w:customStyle="1">
    <w:name w:val="Caption Char"/>
    <w:link w:val="720"/>
    <w:uiPriority w:val="99"/>
  </w:style>
  <w:style w:type="table" w:styleId="755"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5"/>
    <w:uiPriority w:val="99"/>
    <w:rPr>
      <w:sz w:val="18"/>
    </w:rPr>
  </w:style>
  <w:style w:type="character" w:styleId="881" w:customStyle="1">
    <w:name w:val="Endnote Text Char"/>
    <w:link w:val="719"/>
    <w:uiPriority w:val="99"/>
    <w:rPr>
      <w:sz w:val="20"/>
    </w:rPr>
  </w:style>
  <w:style w:type="paragraph" w:styleId="882" w:customStyle="1">
    <w:name w:val="TOC Heading"/>
    <w:uiPriority w:val="39"/>
    <w:unhideWhenUsed/>
    <w:rPr>
      <w:rFonts w:hint="default" w:ascii="Times New Roman" w:hAnsi="Times New Roman" w:eastAsia="宋体" w:cs="Times New Roman"/>
    </w:rPr>
  </w:style>
  <w:style w:type="paragraph" w:styleId="883" w:customStyle="1">
    <w:name w:val="标题 11"/>
    <w:basedOn w:val="702"/>
    <w:next w:val="702"/>
    <w:link w:val="935"/>
    <w:uiPriority w:val="0"/>
    <w:qFormat/>
    <w:pPr>
      <w:jc w:val="center"/>
      <w:keepNext/>
      <w:outlineLvl w:val="0"/>
    </w:pPr>
    <w:rPr>
      <w:rFonts w:ascii="楷体_GB2312" w:eastAsia="楷体_GB2312"/>
      <w:sz w:val="28"/>
      <w:szCs w:val="28"/>
    </w:rPr>
  </w:style>
  <w:style w:type="paragraph" w:styleId="884" w:customStyle="1">
    <w:name w:val="标题 21"/>
    <w:basedOn w:val="702"/>
    <w:next w:val="885"/>
    <w:link w:val="94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5" w:customStyle="1">
    <w:name w:val="正文缩进1"/>
    <w:basedOn w:val="702"/>
    <w:link w:val="898"/>
    <w:uiPriority w:val="99"/>
    <w:pPr>
      <w:ind w:firstLine="420"/>
    </w:pPr>
  </w:style>
  <w:style w:type="paragraph" w:styleId="886" w:customStyle="1">
    <w:name w:val="标题 31"/>
    <w:basedOn w:val="702"/>
    <w:next w:val="885"/>
    <w:link w:val="923"/>
    <w:uiPriority w:val="0"/>
    <w:qFormat/>
    <w:pPr>
      <w:keepLines/>
      <w:keepNext/>
      <w:spacing w:before="260" w:after="260" w:line="416" w:lineRule="auto"/>
      <w:outlineLvl w:val="2"/>
    </w:pPr>
    <w:rPr>
      <w:b/>
      <w:bCs/>
      <w:sz w:val="32"/>
      <w:szCs w:val="32"/>
    </w:rPr>
  </w:style>
  <w:style w:type="paragraph" w:styleId="887" w:customStyle="1">
    <w:name w:val="标题 41"/>
    <w:basedOn w:val="702"/>
    <w:next w:val="885"/>
    <w:link w:val="941"/>
    <w:uiPriority w:val="0"/>
    <w:qFormat/>
    <w:pPr>
      <w:keepLines/>
      <w:keepNext/>
      <w:spacing w:before="280" w:after="290" w:line="376" w:lineRule="auto"/>
      <w:outlineLvl w:val="3"/>
    </w:pPr>
    <w:rPr>
      <w:rFonts w:ascii="Arial" w:hAnsi="Arial" w:eastAsia="黑体" w:cs="Arial"/>
      <w:b/>
      <w:bCs/>
      <w:sz w:val="28"/>
      <w:szCs w:val="28"/>
    </w:rPr>
  </w:style>
  <w:style w:type="paragraph" w:styleId="888" w:customStyle="1">
    <w:name w:val="标题 51"/>
    <w:basedOn w:val="702"/>
    <w:next w:val="885"/>
    <w:link w:val="929"/>
    <w:uiPriority w:val="0"/>
    <w:qFormat/>
    <w:pPr>
      <w:keepNext/>
      <w:outlineLvl w:val="4"/>
    </w:pPr>
    <w:rPr>
      <w:rFonts w:ascii="宋体"/>
      <w:color w:val="000000"/>
      <w:sz w:val="28"/>
      <w:szCs w:val="28"/>
    </w:rPr>
  </w:style>
  <w:style w:type="paragraph" w:styleId="889" w:customStyle="1">
    <w:name w:val="标题 61"/>
    <w:basedOn w:val="702"/>
    <w:next w:val="702"/>
    <w:link w:val="93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customStyle="1">
    <w:name w:val="标题 71"/>
    <w:basedOn w:val="702"/>
    <w:next w:val="702"/>
    <w:link w:val="942"/>
    <w:uiPriority w:val="0"/>
    <w:qFormat/>
    <w:pPr>
      <w:numPr>
        <w:ilvl w:val="6"/>
        <w:numId w:val="1"/>
      </w:numPr>
      <w:keepLines/>
      <w:keepNext/>
      <w:spacing w:before="240" w:after="64" w:line="320" w:lineRule="auto"/>
      <w:outlineLvl w:val="6"/>
    </w:pPr>
    <w:rPr>
      <w:b/>
      <w:bCs/>
      <w:sz w:val="24"/>
      <w:szCs w:val="24"/>
    </w:rPr>
  </w:style>
  <w:style w:type="paragraph" w:styleId="891" w:customStyle="1">
    <w:name w:val="标题 81"/>
    <w:basedOn w:val="702"/>
    <w:next w:val="702"/>
    <w:link w:val="93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2" w:customStyle="1">
    <w:name w:val="标题 91"/>
    <w:basedOn w:val="702"/>
    <w:next w:val="702"/>
    <w:link w:val="913"/>
    <w:uiPriority w:val="0"/>
    <w:qFormat/>
    <w:pPr>
      <w:numPr>
        <w:ilvl w:val="8"/>
        <w:numId w:val="1"/>
      </w:numPr>
      <w:keepLines/>
      <w:keepNext/>
      <w:spacing w:before="240" w:after="64" w:line="320" w:lineRule="auto"/>
      <w:outlineLvl w:val="8"/>
    </w:pPr>
    <w:rPr>
      <w:rFonts w:ascii="Arial" w:hAnsi="Arial" w:eastAsia="黑体"/>
    </w:rPr>
  </w:style>
  <w:style w:type="character" w:styleId="893" w:customStyle="1">
    <w:name w:val="默认段落字体1"/>
    <w:link w:val="702"/>
    <w:uiPriority w:val="1"/>
    <w:unhideWhenUsed/>
  </w:style>
  <w:style w:type="table" w:styleId="894" w:customStyle="1">
    <w:name w:val="普通表格1"/>
    <w:uiPriority w:val="99"/>
    <w:unhideWhenUsed/>
    <w:tblPr/>
  </w:style>
  <w:style w:type="character" w:styleId="895" w:customStyle="1">
    <w:name w:val="已访问的超链接1"/>
    <w:link w:val="702"/>
    <w:uiPriority w:val="0"/>
    <w:rPr>
      <w:color w:val="800080"/>
      <w:u w:val="single"/>
    </w:rPr>
  </w:style>
  <w:style w:type="character" w:styleId="896" w:customStyle="1">
    <w:name w:val="批注文字 字符"/>
    <w:link w:val="897"/>
    <w:uiPriority w:val="0"/>
    <w:rPr>
      <w:rFonts w:ascii="Times New Roman" w:hAnsi="Times New Roman" w:eastAsia="宋体" w:cs="Times New Roman"/>
      <w:szCs w:val="21"/>
    </w:rPr>
  </w:style>
  <w:style w:type="paragraph" w:styleId="897" w:customStyle="1">
    <w:name w:val="批注文字1"/>
    <w:basedOn w:val="702"/>
    <w:link w:val="896"/>
    <w:uiPriority w:val="0"/>
    <w:qFormat/>
    <w:pPr>
      <w:jc w:val="left"/>
    </w:pPr>
  </w:style>
  <w:style w:type="character" w:styleId="898" w:customStyle="1">
    <w:name w:val="正文缩进 字符"/>
    <w:link w:val="885"/>
    <w:uiPriority w:val="0"/>
    <w:qFormat/>
    <w:rPr>
      <w:rFonts w:ascii="Times New Roman" w:hAnsi="Times New Roman" w:eastAsia="宋体" w:cs="Times New Roman"/>
      <w:szCs w:val="21"/>
    </w:rPr>
  </w:style>
  <w:style w:type="character" w:styleId="899" w:customStyle="1">
    <w:name w:val="标题 字符"/>
    <w:link w:val="900"/>
    <w:uiPriority w:val="10"/>
    <w:rPr>
      <w:rFonts w:ascii="Cambria" w:hAnsi="Cambria" w:cs="Times New Roman"/>
      <w:b/>
      <w:bCs/>
      <w:sz w:val="32"/>
      <w:szCs w:val="32"/>
    </w:rPr>
  </w:style>
  <w:style w:type="paragraph" w:styleId="900" w:customStyle="1">
    <w:name w:val="标题11"/>
    <w:basedOn w:val="702"/>
    <w:next w:val="702"/>
    <w:link w:val="899"/>
    <w:uiPriority w:val="10"/>
    <w:qFormat/>
    <w:pPr>
      <w:jc w:val="center"/>
      <w:spacing w:before="240" w:after="60"/>
      <w:outlineLvl w:val="0"/>
    </w:pPr>
    <w:rPr>
      <w:rFonts w:ascii="Cambria" w:hAnsi="Cambria" w:cs="Times New Roman"/>
      <w:b/>
      <w:bCs/>
      <w:sz w:val="32"/>
      <w:szCs w:val="32"/>
    </w:rPr>
  </w:style>
  <w:style w:type="character" w:styleId="901" w:customStyle="1">
    <w:name w:val="批注主题 字符"/>
    <w:link w:val="902"/>
    <w:uiPriority w:val="0"/>
    <w:semiHidden/>
    <w:rPr>
      <w:rFonts w:ascii="Times New Roman" w:hAnsi="Times New Roman" w:eastAsia="宋体" w:cs="Times New Roman"/>
      <w:b/>
      <w:bCs/>
      <w:szCs w:val="21"/>
    </w:rPr>
  </w:style>
  <w:style w:type="paragraph" w:styleId="902" w:customStyle="1">
    <w:name w:val="批注主题1"/>
    <w:basedOn w:val="897"/>
    <w:next w:val="897"/>
    <w:link w:val="901"/>
    <w:uiPriority w:val="0"/>
    <w:semiHidden/>
    <w:rPr>
      <w:b/>
      <w:bCs/>
    </w:rPr>
  </w:style>
  <w:style w:type="character" w:styleId="903" w:customStyle="1">
    <w:name w:val="批注框文本 字符"/>
    <w:link w:val="904"/>
    <w:uiPriority w:val="0"/>
    <w:semiHidden/>
    <w:rPr>
      <w:rFonts w:ascii="Times New Roman" w:hAnsi="Times New Roman" w:eastAsia="宋体" w:cs="Times New Roman"/>
      <w:sz w:val="18"/>
      <w:szCs w:val="18"/>
    </w:rPr>
  </w:style>
  <w:style w:type="paragraph" w:styleId="904" w:customStyle="1">
    <w:name w:val="批注框文本1"/>
    <w:basedOn w:val="702"/>
    <w:link w:val="903"/>
    <w:uiPriority w:val="0"/>
    <w:semiHidden/>
    <w:rPr>
      <w:sz w:val="18"/>
      <w:szCs w:val="18"/>
    </w:rPr>
  </w:style>
  <w:style w:type="character" w:styleId="905" w:customStyle="1">
    <w:name w:val="二级目录 Char"/>
    <w:link w:val="906"/>
    <w:uiPriority w:val="0"/>
    <w:rPr>
      <w:b/>
      <w:sz w:val="30"/>
      <w:szCs w:val="28"/>
    </w:rPr>
  </w:style>
  <w:style w:type="paragraph" w:styleId="906" w:customStyle="1">
    <w:name w:val="二级目录"/>
    <w:next w:val="702"/>
    <w:link w:val="905"/>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07" w:customStyle="1">
    <w:name w:val="正文文本 2 字符"/>
    <w:link w:val="908"/>
    <w:uiPriority w:val="0"/>
    <w:rPr>
      <w:rFonts w:ascii="楷体_GB2312" w:hAnsi="Times New Roman" w:eastAsia="楷体_GB2312" w:cs="Times New Roman"/>
      <w:sz w:val="28"/>
      <w:szCs w:val="28"/>
    </w:rPr>
  </w:style>
  <w:style w:type="paragraph" w:styleId="908" w:customStyle="1">
    <w:name w:val="正文文本 21"/>
    <w:basedOn w:val="702"/>
    <w:link w:val="907"/>
    <w:uiPriority w:val="0"/>
    <w:pPr>
      <w:jc w:val="center"/>
      <w:widowControl/>
    </w:pPr>
    <w:rPr>
      <w:rFonts w:ascii="楷体_GB2312" w:eastAsia="楷体_GB2312"/>
      <w:sz w:val="28"/>
      <w:szCs w:val="28"/>
    </w:rPr>
  </w:style>
  <w:style w:type="character" w:styleId="909" w:customStyle="1">
    <w:name w:val="正文文本首行缩进 字符"/>
    <w:link w:val="910"/>
    <w:uiPriority w:val="0"/>
    <w:rPr>
      <w:rFonts w:ascii="仿宋_GB2312" w:hAnsi="Times New Roman" w:eastAsia="仿宋_GB2312" w:cs="Times New Roman"/>
      <w:sz w:val="30"/>
      <w:szCs w:val="30"/>
    </w:rPr>
  </w:style>
  <w:style w:type="paragraph" w:styleId="910" w:customStyle="1">
    <w:name w:val="正文首行缩进1"/>
    <w:basedOn w:val="702"/>
    <w:link w:val="909"/>
    <w:uiPriority w:val="0"/>
    <w:pPr>
      <w:ind w:firstLine="200"/>
      <w:spacing w:line="360" w:lineRule="auto"/>
    </w:pPr>
    <w:rPr>
      <w:rFonts w:ascii="仿宋_GB2312" w:eastAsia="仿宋_GB2312"/>
      <w:sz w:val="30"/>
      <w:szCs w:val="30"/>
    </w:rPr>
  </w:style>
  <w:style w:type="character" w:styleId="911" w:customStyle="1">
    <w:name w:val="正文文本缩进 2 字符"/>
    <w:link w:val="912"/>
    <w:uiPriority w:val="0"/>
    <w:rPr>
      <w:rFonts w:ascii="Arial" w:hAnsi="Arial" w:eastAsia="仿宋_GB2312" w:cs="Arial"/>
      <w:sz w:val="32"/>
      <w:szCs w:val="32"/>
    </w:rPr>
  </w:style>
  <w:style w:type="paragraph" w:styleId="912" w:customStyle="1">
    <w:name w:val="正文文本缩进 21"/>
    <w:basedOn w:val="702"/>
    <w:link w:val="911"/>
    <w:uiPriority w:val="0"/>
    <w:pPr>
      <w:ind w:left="630" w:firstLine="645"/>
    </w:pPr>
    <w:rPr>
      <w:rFonts w:ascii="Arial" w:hAnsi="Arial" w:eastAsia="仿宋_GB2312" w:cs="Arial"/>
      <w:sz w:val="32"/>
      <w:szCs w:val="32"/>
    </w:rPr>
  </w:style>
  <w:style w:type="character" w:styleId="913" w:customStyle="1">
    <w:name w:val="标题 9 字符"/>
    <w:link w:val="892"/>
    <w:uiPriority w:val="0"/>
    <w:rPr>
      <w:rFonts w:ascii="Arial" w:hAnsi="Arial" w:eastAsia="黑体" w:cs="Times New Roman"/>
      <w:szCs w:val="21"/>
    </w:rPr>
  </w:style>
  <w:style w:type="character" w:styleId="914" w:customStyle="1">
    <w:name w:val="正文文本缩进 字符"/>
    <w:link w:val="915"/>
    <w:uiPriority w:val="0"/>
    <w:rPr>
      <w:rFonts w:ascii="楷体_GB2312" w:hAnsi="Times New Roman" w:eastAsia="楷体_GB2312" w:cs="Times New Roman"/>
      <w:sz w:val="32"/>
      <w:szCs w:val="32"/>
    </w:rPr>
  </w:style>
  <w:style w:type="paragraph" w:styleId="915" w:customStyle="1">
    <w:name w:val="正文文本缩进1"/>
    <w:basedOn w:val="702"/>
    <w:link w:val="914"/>
    <w:uiPriority w:val="0"/>
    <w:pPr>
      <w:ind w:firstLine="645"/>
    </w:pPr>
    <w:rPr>
      <w:rFonts w:ascii="楷体_GB2312" w:eastAsia="楷体_GB2312"/>
      <w:sz w:val="32"/>
      <w:szCs w:val="32"/>
    </w:rPr>
  </w:style>
  <w:style w:type="character" w:styleId="916" w:customStyle="1">
    <w:name w:val="font5 Char"/>
    <w:link w:val="702"/>
    <w:uiPriority w:val="0"/>
    <w:rPr>
      <w:rFonts w:ascii="宋体" w:hAnsi="宋体" w:eastAsia="宋体"/>
      <w:sz w:val="28"/>
      <w:szCs w:val="28"/>
      <w:lang w:val="en-US" w:eastAsia="zh-CN" w:bidi="ar-SA"/>
    </w:rPr>
  </w:style>
  <w:style w:type="character" w:styleId="917" w:customStyle="1">
    <w:name w:val="文档结构图 字符"/>
    <w:link w:val="918"/>
    <w:uiPriority w:val="0"/>
    <w:semiHidden/>
    <w:rPr>
      <w:rFonts w:ascii="Times New Roman" w:hAnsi="Times New Roman" w:eastAsia="宋体" w:cs="Times New Roman"/>
      <w:szCs w:val="21"/>
      <w:shd w:val="clear" w:color="auto" w:fill="000080"/>
    </w:rPr>
  </w:style>
  <w:style w:type="paragraph" w:styleId="918" w:customStyle="1">
    <w:name w:val="文档结构图1"/>
    <w:basedOn w:val="702"/>
    <w:link w:val="917"/>
    <w:uiPriority w:val="0"/>
    <w:semiHidden/>
    <w:pPr>
      <w:shd w:val="clear" w:color="auto" w:fill="000080"/>
    </w:pPr>
  </w:style>
  <w:style w:type="character" w:styleId="919" w:customStyle="1">
    <w:name w:val="批注引用1"/>
    <w:link w:val="702"/>
    <w:uiPriority w:val="0"/>
    <w:qFormat/>
    <w:rPr>
      <w:sz w:val="21"/>
      <w:szCs w:val="21"/>
    </w:rPr>
  </w:style>
  <w:style w:type="character" w:styleId="920" w:customStyle="1">
    <w:name w:val="列出段落 Char"/>
    <w:link w:val="921"/>
    <w:uiPriority w:val="0"/>
    <w:rPr>
      <w:rFonts w:ascii="Calibri" w:hAnsi="Calibri"/>
      <w:sz w:val="24"/>
      <w:szCs w:val="24"/>
      <w:lang w:eastAsia="en-US" w:bidi="en-US"/>
    </w:rPr>
  </w:style>
  <w:style w:type="paragraph" w:styleId="921" w:customStyle="1">
    <w:name w:val="列出段落1"/>
    <w:basedOn w:val="702"/>
    <w:link w:val="920"/>
    <w:uiPriority w:val="0"/>
    <w:qFormat/>
    <w:pPr>
      <w:contextualSpacing/>
      <w:ind w:left="720"/>
      <w:jc w:val="left"/>
      <w:widowControl/>
    </w:pPr>
    <w:rPr>
      <w:rFonts w:ascii="Calibri" w:hAnsi="Calibri" w:eastAsia="宋体" w:cs="Times New Roman"/>
      <w:sz w:val="24"/>
      <w:szCs w:val="24"/>
      <w:lang w:eastAsia="en-US" w:bidi="en-US"/>
    </w:rPr>
  </w:style>
  <w:style w:type="character" w:styleId="922" w:customStyle="1">
    <w:name w:val="超链接1"/>
    <w:link w:val="702"/>
    <w:uiPriority w:val="0"/>
    <w:rPr>
      <w:color w:val="0000ff"/>
      <w:u w:val="single"/>
    </w:rPr>
  </w:style>
  <w:style w:type="character" w:styleId="923" w:customStyle="1">
    <w:name w:val="标题 3 字符"/>
    <w:link w:val="886"/>
    <w:uiPriority w:val="0"/>
    <w:rPr>
      <w:rFonts w:ascii="Times New Roman" w:hAnsi="Times New Roman" w:eastAsia="宋体" w:cs="Times New Roman"/>
      <w:b/>
      <w:bCs/>
      <w:sz w:val="32"/>
      <w:szCs w:val="32"/>
    </w:rPr>
  </w:style>
  <w:style w:type="character" w:styleId="924" w:customStyle="1">
    <w:name w:val="要点1"/>
    <w:link w:val="702"/>
    <w:uiPriority w:val="0"/>
    <w:qFormat/>
    <w:rPr>
      <w:b/>
      <w:bCs/>
    </w:rPr>
  </w:style>
  <w:style w:type="character" w:styleId="925" w:customStyle="1">
    <w:name w:val="页眉 字符"/>
    <w:link w:val="926"/>
    <w:uiPriority w:val="0"/>
    <w:rPr>
      <w:rFonts w:ascii="Times New Roman" w:hAnsi="Times New Roman" w:eastAsia="宋体" w:cs="Times New Roman"/>
      <w:sz w:val="18"/>
      <w:szCs w:val="18"/>
    </w:rPr>
  </w:style>
  <w:style w:type="paragraph" w:styleId="926" w:customStyle="1">
    <w:name w:val="页眉1"/>
    <w:basedOn w:val="702"/>
    <w:link w:val="925"/>
    <w:uiPriority w:val="0"/>
    <w:pPr>
      <w:jc w:val="center"/>
      <w:tabs>
        <w:tab w:val="center" w:pos="4153" w:leader="none"/>
        <w:tab w:val="right" w:pos="8306" w:leader="none"/>
      </w:tabs>
      <w:pBdr>
        <w:bottom w:val="single" w:color="000000" w:sz="6" w:space="1"/>
      </w:pBdr>
    </w:pPr>
    <w:rPr>
      <w:sz w:val="18"/>
      <w:szCs w:val="18"/>
    </w:rPr>
  </w:style>
  <w:style w:type="character" w:styleId="927" w:customStyle="1">
    <w:name w:val="正文文本缩进 3 字符"/>
    <w:link w:val="928"/>
    <w:uiPriority w:val="0"/>
    <w:rPr>
      <w:rFonts w:ascii="Arial" w:hAnsi="Arial" w:eastAsia="仿宋_GB2312" w:cs="Arial"/>
      <w:color w:val="ffff00"/>
      <w:sz w:val="32"/>
      <w:szCs w:val="32"/>
    </w:rPr>
  </w:style>
  <w:style w:type="paragraph" w:styleId="928" w:customStyle="1">
    <w:name w:val="正文文本缩进 31"/>
    <w:basedOn w:val="702"/>
    <w:link w:val="927"/>
    <w:uiPriority w:val="0"/>
    <w:pPr>
      <w:ind w:left="645" w:firstLine="645"/>
    </w:pPr>
    <w:rPr>
      <w:rFonts w:ascii="Arial" w:hAnsi="Arial" w:eastAsia="仿宋_GB2312" w:cs="Arial"/>
      <w:color w:val="ffff00"/>
      <w:sz w:val="32"/>
      <w:szCs w:val="32"/>
    </w:rPr>
  </w:style>
  <w:style w:type="character" w:styleId="929" w:customStyle="1">
    <w:name w:val="标题 5 字符"/>
    <w:link w:val="888"/>
    <w:uiPriority w:val="0"/>
    <w:rPr>
      <w:rFonts w:ascii="宋体" w:hAnsi="Times New Roman" w:eastAsia="宋体" w:cs="Times New Roman"/>
      <w:color w:val="000000"/>
      <w:sz w:val="28"/>
      <w:szCs w:val="28"/>
    </w:rPr>
  </w:style>
  <w:style w:type="character" w:styleId="930" w:customStyle="1">
    <w:name w:val="标题 6 字符"/>
    <w:link w:val="889"/>
    <w:uiPriority w:val="0"/>
    <w:rPr>
      <w:rFonts w:ascii="Arial" w:hAnsi="Arial" w:eastAsia="黑体" w:cs="Times New Roman"/>
      <w:b/>
      <w:bCs/>
      <w:sz w:val="24"/>
      <w:szCs w:val="24"/>
    </w:rPr>
  </w:style>
  <w:style w:type="character" w:styleId="931" w:customStyle="1">
    <w:name w:val="页脚 字符"/>
    <w:link w:val="932"/>
    <w:uiPriority w:val="99"/>
    <w:rPr>
      <w:rFonts w:ascii="Times New Roman" w:hAnsi="Times New Roman" w:eastAsia="宋体" w:cs="Times New Roman"/>
      <w:sz w:val="18"/>
      <w:szCs w:val="18"/>
    </w:rPr>
  </w:style>
  <w:style w:type="paragraph" w:styleId="932" w:customStyle="1">
    <w:name w:val="页脚1"/>
    <w:basedOn w:val="702"/>
    <w:link w:val="931"/>
    <w:uiPriority w:val="99"/>
    <w:pPr>
      <w:jc w:val="left"/>
      <w:tabs>
        <w:tab w:val="center" w:pos="4153" w:leader="none"/>
        <w:tab w:val="right" w:pos="8306" w:leader="none"/>
      </w:tabs>
    </w:pPr>
    <w:rPr>
      <w:sz w:val="18"/>
      <w:szCs w:val="18"/>
    </w:rPr>
  </w:style>
  <w:style w:type="character" w:styleId="933" w:customStyle="1">
    <w:name w:val="标题 8 字符"/>
    <w:link w:val="891"/>
    <w:uiPriority w:val="0"/>
    <w:rPr>
      <w:rFonts w:ascii="Arial" w:hAnsi="Arial" w:eastAsia="黑体" w:cs="Times New Roman"/>
      <w:sz w:val="24"/>
      <w:szCs w:val="24"/>
    </w:rPr>
  </w:style>
  <w:style w:type="character" w:styleId="934" w:customStyle="1">
    <w:name w:val="页码1"/>
    <w:link w:val="702"/>
    <w:uiPriority w:val="0"/>
  </w:style>
  <w:style w:type="character" w:styleId="935" w:customStyle="1">
    <w:name w:val="标题 1 字符"/>
    <w:link w:val="883"/>
    <w:uiPriority w:val="0"/>
    <w:rPr>
      <w:rFonts w:ascii="楷体_GB2312" w:hAnsi="Times New Roman" w:eastAsia="楷体_GB2312" w:cs="Times New Roman"/>
      <w:sz w:val="28"/>
      <w:szCs w:val="28"/>
    </w:rPr>
  </w:style>
  <w:style w:type="character" w:styleId="936" w:customStyle="1">
    <w:name w:val="正文文本首行缩进 2 字符"/>
    <w:link w:val="937"/>
    <w:uiPriority w:val="0"/>
    <w:rPr>
      <w:rFonts w:ascii="宋体" w:hAnsi="宋体" w:eastAsia="宋体" w:cs="Times New Roman"/>
      <w:sz w:val="32"/>
      <w:szCs w:val="20"/>
    </w:rPr>
  </w:style>
  <w:style w:type="paragraph" w:styleId="937" w:customStyle="1">
    <w:name w:val="正文首行缩进 21"/>
    <w:basedOn w:val="915"/>
    <w:link w:val="936"/>
    <w:uiPriority w:val="0"/>
    <w:pPr>
      <w:ind w:firstLine="420"/>
      <w:spacing w:line="360" w:lineRule="auto"/>
    </w:pPr>
    <w:rPr>
      <w:rFonts w:ascii="宋体" w:hAnsi="宋体" w:eastAsia="宋体"/>
      <w:sz w:val="21"/>
      <w:szCs w:val="20"/>
    </w:rPr>
  </w:style>
  <w:style w:type="character" w:styleId="938" w:customStyle="1">
    <w:name w:val="日期 字符"/>
    <w:link w:val="939"/>
    <w:uiPriority w:val="0"/>
    <w:rPr>
      <w:rFonts w:ascii="Times New Roman" w:hAnsi="Times New Roman" w:eastAsia="宋体" w:cs="Times New Roman"/>
      <w:sz w:val="24"/>
      <w:szCs w:val="24"/>
    </w:rPr>
  </w:style>
  <w:style w:type="paragraph" w:styleId="939" w:customStyle="1">
    <w:name w:val="日期1"/>
    <w:basedOn w:val="702"/>
    <w:next w:val="702"/>
    <w:link w:val="938"/>
    <w:uiPriority w:val="0"/>
    <w:rPr>
      <w:sz w:val="24"/>
      <w:szCs w:val="24"/>
    </w:rPr>
  </w:style>
  <w:style w:type="character" w:styleId="940" w:customStyle="1">
    <w:name w:val="标题 2 字符"/>
    <w:link w:val="884"/>
    <w:uiPriority w:val="0"/>
    <w:rPr>
      <w:rFonts w:ascii="Arial" w:hAnsi="Arial" w:eastAsia="幼圆" w:cs="Arial"/>
      <w:b/>
      <w:bCs/>
      <w:sz w:val="44"/>
      <w:szCs w:val="44"/>
    </w:rPr>
  </w:style>
  <w:style w:type="character" w:styleId="941" w:customStyle="1">
    <w:name w:val="标题 4 字符"/>
    <w:link w:val="887"/>
    <w:uiPriority w:val="0"/>
    <w:rPr>
      <w:rFonts w:ascii="Arial" w:hAnsi="Arial" w:eastAsia="黑体" w:cs="Arial"/>
      <w:b/>
      <w:bCs/>
      <w:sz w:val="28"/>
      <w:szCs w:val="28"/>
    </w:rPr>
  </w:style>
  <w:style w:type="character" w:styleId="942" w:customStyle="1">
    <w:name w:val="标题 7 字符"/>
    <w:link w:val="890"/>
    <w:uiPriority w:val="0"/>
    <w:rPr>
      <w:rFonts w:ascii="Times New Roman" w:hAnsi="Times New Roman" w:eastAsia="宋体" w:cs="Times New Roman"/>
      <w:b/>
      <w:bCs/>
      <w:sz w:val="24"/>
      <w:szCs w:val="24"/>
    </w:rPr>
  </w:style>
  <w:style w:type="character" w:styleId="943" w:customStyle="1">
    <w:name w:val="正文文本 字符"/>
    <w:link w:val="944"/>
    <w:uiPriority w:val="0"/>
    <w:rPr>
      <w:rFonts w:ascii="楷体_GB2312" w:hAnsi="Arial" w:eastAsia="楷体_GB2312" w:cs="Times New Roman"/>
      <w:sz w:val="28"/>
      <w:szCs w:val="28"/>
    </w:rPr>
  </w:style>
  <w:style w:type="paragraph" w:styleId="944" w:customStyle="1">
    <w:name w:val="正文文本1"/>
    <w:basedOn w:val="702"/>
    <w:link w:val="943"/>
    <w:uiPriority w:val="0"/>
    <w:rPr>
      <w:rFonts w:ascii="楷体_GB2312" w:hAnsi="Arial" w:eastAsia="楷体_GB2312"/>
      <w:sz w:val="28"/>
      <w:szCs w:val="28"/>
    </w:rPr>
  </w:style>
  <w:style w:type="character" w:styleId="945" w:customStyle="1">
    <w:name w:val="列表段落 字符"/>
    <w:link w:val="946"/>
    <w:uiPriority w:val="34"/>
    <w:qFormat/>
    <w:rPr>
      <w:sz w:val="24"/>
      <w:szCs w:val="24"/>
      <w:lang w:eastAsia="en-US" w:bidi="en-US"/>
    </w:rPr>
  </w:style>
  <w:style w:type="paragraph" w:styleId="946" w:customStyle="1">
    <w:name w:val="列表段落"/>
    <w:basedOn w:val="702"/>
    <w:link w:val="945"/>
    <w:uiPriority w:val="34"/>
    <w:qFormat/>
    <w:pPr>
      <w:contextualSpacing/>
      <w:ind w:left="720"/>
      <w:jc w:val="left"/>
      <w:widowControl/>
    </w:pPr>
    <w:rPr>
      <w:rFonts w:ascii="Calibri" w:hAnsi="Calibri"/>
      <w:sz w:val="24"/>
      <w:szCs w:val="24"/>
      <w:lang w:eastAsia="en-US" w:bidi="en-US"/>
    </w:rPr>
  </w:style>
  <w:style w:type="character" w:styleId="947" w:customStyle="1">
    <w:name w:val="正文文本 3 字符"/>
    <w:link w:val="948"/>
    <w:uiPriority w:val="0"/>
    <w:rPr>
      <w:rFonts w:ascii="仿宋_GB2312" w:hAnsi="Arial" w:eastAsia="仿宋_GB2312" w:cs="Times New Roman"/>
      <w:sz w:val="32"/>
      <w:szCs w:val="32"/>
    </w:rPr>
  </w:style>
  <w:style w:type="paragraph" w:styleId="948" w:customStyle="1">
    <w:name w:val="正文文本 31"/>
    <w:basedOn w:val="702"/>
    <w:link w:val="947"/>
    <w:uiPriority w:val="0"/>
    <w:rPr>
      <w:rFonts w:ascii="仿宋_GB2312" w:hAnsi="Arial" w:eastAsia="仿宋_GB2312"/>
      <w:sz w:val="32"/>
      <w:szCs w:val="32"/>
    </w:rPr>
  </w:style>
  <w:style w:type="character" w:styleId="949" w:customStyle="1">
    <w:name w:val="纯文本 字符"/>
    <w:link w:val="950"/>
    <w:uiPriority w:val="0"/>
    <w:rPr>
      <w:rFonts w:ascii="宋体" w:hAnsi="Courier New" w:eastAsia="宋体" w:cs="Courier New"/>
      <w:szCs w:val="21"/>
    </w:rPr>
  </w:style>
  <w:style w:type="paragraph" w:styleId="950" w:customStyle="1">
    <w:name w:val="纯文本1"/>
    <w:basedOn w:val="702"/>
    <w:link w:val="949"/>
    <w:uiPriority w:val="0"/>
    <w:qFormat/>
    <w:rPr>
      <w:rFonts w:ascii="宋体" w:hAnsi="Courier New" w:cs="Courier New"/>
    </w:rPr>
  </w:style>
  <w:style w:type="paragraph" w:styleId="951" w:customStyle="1">
    <w:name w:val="xl26"/>
    <w:basedOn w:val="702"/>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2" w:customStyle="1">
    <w:name w:val="xl29"/>
    <w:basedOn w:val="702"/>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3" w:customStyle="1">
    <w:name w:val="普通(网站)1"/>
    <w:basedOn w:val="702"/>
    <w:uiPriority w:val="99"/>
    <w:pPr>
      <w:jc w:val="left"/>
      <w:spacing w:before="100" w:beforeAutospacing="1" w:after="100" w:afterAutospacing="1"/>
      <w:widowControl/>
    </w:pPr>
    <w:rPr>
      <w:rFonts w:ascii="宋体" w:hAnsi="宋体" w:cs="宋体"/>
      <w:sz w:val="24"/>
      <w:szCs w:val="24"/>
    </w:rPr>
  </w:style>
  <w:style w:type="paragraph" w:styleId="954" w:customStyle="1">
    <w:name w:val="目录 61"/>
    <w:basedOn w:val="702"/>
    <w:next w:val="702"/>
    <w:uiPriority w:val="0"/>
    <w:semiHidden/>
    <w:pPr>
      <w:ind w:left="1050"/>
      <w:jc w:val="left"/>
    </w:pPr>
  </w:style>
  <w:style w:type="paragraph" w:styleId="955" w:customStyle="1">
    <w:name w:val="xl25"/>
    <w:basedOn w:val="702"/>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6" w:customStyle="1">
    <w:name w:val="目录 41"/>
    <w:basedOn w:val="702"/>
    <w:next w:val="702"/>
    <w:uiPriority w:val="0"/>
    <w:semiHidden/>
    <w:pPr>
      <w:ind w:left="630"/>
      <w:jc w:val="left"/>
    </w:pPr>
  </w:style>
  <w:style w:type="paragraph" w:styleId="957" w:customStyle="1">
    <w:name w:val="xl30"/>
    <w:basedOn w:val="702"/>
    <w:uiPriority w:val="0"/>
    <w:pPr>
      <w:jc w:val="center"/>
      <w:spacing w:before="100" w:beforeAutospacing="1" w:after="100" w:afterAutospacing="1"/>
      <w:widowControl/>
    </w:pPr>
    <w:rPr>
      <w:rFonts w:ascii="宋体" w:hAnsi="宋体"/>
      <w:b/>
      <w:bCs/>
      <w:sz w:val="36"/>
      <w:szCs w:val="36"/>
    </w:rPr>
  </w:style>
  <w:style w:type="paragraph" w:styleId="958" w:customStyle="1">
    <w:name w:val="列表1"/>
    <w:basedOn w:val="702"/>
    <w:uiPriority w:val="0"/>
    <w:pPr>
      <w:ind w:left="200" w:hanging="200"/>
    </w:pPr>
  </w:style>
  <w:style w:type="paragraph" w:styleId="959" w:customStyle="1">
    <w:name w:val="xl24"/>
    <w:basedOn w:val="70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Char Char Char"/>
    <w:basedOn w:val="918"/>
    <w:uiPriority w:val="0"/>
    <w:pPr>
      <w:spacing w:line="360" w:lineRule="auto"/>
    </w:pPr>
    <w:rPr>
      <w:rFonts w:ascii="Tahoma" w:hAnsi="Tahoma"/>
      <w:sz w:val="24"/>
      <w:szCs w:val="24"/>
    </w:rPr>
  </w:style>
  <w:style w:type="paragraph" w:styleId="961" w:customStyle="1">
    <w:name w:val=" Char Char Char Char Char Char Char Char Char Char"/>
    <w:basedOn w:val="702"/>
    <w:uiPriority w:val="0"/>
    <w:pPr>
      <w:spacing w:line="360" w:lineRule="auto"/>
    </w:pPr>
    <w:rPr>
      <w:sz w:val="24"/>
      <w:szCs w:val="20"/>
    </w:rPr>
  </w:style>
  <w:style w:type="paragraph" w:styleId="962" w:customStyle="1">
    <w:name w:val="图表目录1"/>
    <w:basedOn w:val="702"/>
    <w:next w:val="702"/>
    <w:uiPriority w:val="0"/>
    <w:semiHidden/>
    <w:pPr>
      <w:ind w:left="840" w:hanging="420"/>
    </w:pPr>
  </w:style>
  <w:style w:type="paragraph" w:styleId="963" w:customStyle="1">
    <w:name w:val="font7"/>
    <w:basedOn w:val="702"/>
    <w:uiPriority w:val="0"/>
    <w:pPr>
      <w:jc w:val="left"/>
      <w:spacing w:before="100" w:beforeAutospacing="1" w:after="100" w:afterAutospacing="1"/>
      <w:widowControl/>
    </w:pPr>
    <w:rPr>
      <w:rFonts w:hint="eastAsia" w:ascii="宋体" w:hAnsi="宋体"/>
      <w:sz w:val="18"/>
      <w:szCs w:val="18"/>
    </w:rPr>
  </w:style>
  <w:style w:type="paragraph" w:styleId="964" w:customStyle="1">
    <w:name w:val="列表 31"/>
    <w:basedOn w:val="702"/>
    <w:uiPriority w:val="0"/>
    <w:pPr>
      <w:ind w:left="100" w:hanging="200"/>
    </w:pPr>
  </w:style>
  <w:style w:type="paragraph" w:styleId="965" w:customStyle="1">
    <w:name w:val="table_1stline"/>
    <w:basedOn w:val="702"/>
    <w:uiPriority w:val="0"/>
    <w:pPr>
      <w:jc w:val="left"/>
      <w:spacing w:before="120"/>
      <w:widowControl/>
    </w:pPr>
    <w:rPr>
      <w:bCs/>
      <w:sz w:val="20"/>
      <w:szCs w:val="20"/>
      <w:lang w:val="de-DE" w:eastAsia="de-DE"/>
    </w:rPr>
  </w:style>
  <w:style w:type="paragraph" w:styleId="966" w:customStyle="1">
    <w:name w:val="xl28"/>
    <w:basedOn w:val="702"/>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7" w:customStyle="1">
    <w:name w:val="目录 11"/>
    <w:basedOn w:val="702"/>
    <w:next w:val="702"/>
    <w:uiPriority w:val="0"/>
    <w:semiHidden/>
    <w:pPr>
      <w:jc w:val="left"/>
      <w:spacing w:before="120" w:after="120" w:line="400" w:lineRule="exact"/>
      <w:tabs>
        <w:tab w:val="right" w:pos="8720" w:leader="dot"/>
      </w:tabs>
    </w:pPr>
    <w:rPr>
      <w:rFonts w:ascii="宋体" w:hAnsi="宋体"/>
      <w:caps/>
      <w:sz w:val="24"/>
      <w:szCs w:val="24"/>
    </w:rPr>
  </w:style>
  <w:style w:type="paragraph" w:styleId="968" w:customStyle="1">
    <w:name w:val=" Char"/>
    <w:basedOn w:val="918"/>
    <w:uiPriority w:val="0"/>
    <w:rPr>
      <w:rFonts w:ascii="Tahoma" w:hAnsi="Tahoma"/>
      <w:sz w:val="24"/>
      <w:szCs w:val="24"/>
    </w:rPr>
  </w:style>
  <w:style w:type="paragraph" w:styleId="969" w:customStyle="1">
    <w:name w:val="目录 71"/>
    <w:basedOn w:val="702"/>
    <w:next w:val="702"/>
    <w:uiPriority w:val="0"/>
    <w:semiHidden/>
    <w:pPr>
      <w:ind w:left="1260"/>
      <w:jc w:val="left"/>
    </w:pPr>
  </w:style>
  <w:style w:type="paragraph" w:styleId="970" w:customStyle="1">
    <w:name w:val="普通正文"/>
    <w:basedOn w:val="702"/>
    <w:uiPriority w:val="0"/>
    <w:pPr>
      <w:ind w:firstLine="480"/>
      <w:jc w:val="left"/>
      <w:spacing w:before="120" w:after="120" w:line="360" w:lineRule="auto"/>
    </w:pPr>
    <w:rPr>
      <w:rFonts w:ascii="Arial" w:hAnsi="Arial"/>
      <w:sz w:val="24"/>
      <w:szCs w:val="24"/>
    </w:rPr>
  </w:style>
  <w:style w:type="paragraph" w:styleId="971" w:customStyle="1">
    <w:name w:val="目录 81"/>
    <w:basedOn w:val="702"/>
    <w:next w:val="702"/>
    <w:uiPriority w:val="0"/>
    <w:semiHidden/>
    <w:pPr>
      <w:ind w:left="1470"/>
      <w:jc w:val="left"/>
    </w:pPr>
  </w:style>
  <w:style w:type="paragraph" w:styleId="972" w:customStyle="1">
    <w:name w:val="Char"/>
    <w:basedOn w:val="702"/>
    <w:uiPriority w:val="0"/>
    <w:pPr>
      <w:ind w:firstLine="200"/>
      <w:tabs>
        <w:tab w:val="left" w:pos="360" w:leader="none"/>
      </w:tabs>
    </w:pPr>
    <w:rPr>
      <w:sz w:val="28"/>
      <w:szCs w:val="30"/>
    </w:rPr>
  </w:style>
  <w:style w:type="paragraph" w:styleId="973" w:customStyle="1">
    <w:name w:val=" Char Char Char Char"/>
    <w:basedOn w:val="918"/>
    <w:uiPriority w:val="0"/>
    <w:pPr>
      <w:spacing w:line="360" w:lineRule="auto"/>
    </w:pPr>
    <w:rPr>
      <w:rFonts w:ascii="Tahoma" w:hAnsi="Tahoma"/>
      <w:sz w:val="24"/>
      <w:szCs w:val="24"/>
    </w:rPr>
  </w:style>
  <w:style w:type="paragraph" w:styleId="974" w:customStyle="1">
    <w:name w:val="图标"/>
    <w:basedOn w:val="702"/>
    <w:next w:val="702"/>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目录 21"/>
    <w:basedOn w:val="702"/>
    <w:next w:val="702"/>
    <w:uiPriority w:val="0"/>
    <w:semiHidden/>
    <w:pPr>
      <w:ind w:left="210"/>
      <w:jc w:val="left"/>
    </w:pPr>
    <w:rPr>
      <w:smallCaps/>
      <w:szCs w:val="24"/>
    </w:rPr>
  </w:style>
  <w:style w:type="paragraph" w:styleId="976" w:customStyle="1">
    <w:name w:val="列表 21"/>
    <w:basedOn w:val="702"/>
    <w:uiPriority w:val="0"/>
    <w:pPr>
      <w:ind w:left="100" w:hanging="200"/>
    </w:pPr>
  </w:style>
  <w:style w:type="paragraph" w:styleId="977" w:customStyle="1">
    <w:name w:val="font5"/>
    <w:basedOn w:val="702"/>
    <w:uiPriority w:val="0"/>
    <w:pPr>
      <w:jc w:val="left"/>
      <w:spacing w:before="100" w:beforeAutospacing="1" w:after="100" w:afterAutospacing="1"/>
      <w:widowControl/>
    </w:pPr>
    <w:rPr>
      <w:rFonts w:hint="eastAsia" w:ascii="宋体" w:hAnsi="宋体"/>
      <w:sz w:val="28"/>
      <w:szCs w:val="28"/>
    </w:rPr>
  </w:style>
  <w:style w:type="paragraph" w:styleId="978" w:customStyle="1">
    <w:name w:val="标题3"/>
    <w:basedOn w:val="702"/>
    <w:next w:val="702"/>
    <w:uiPriority w:val="0"/>
    <w:pPr>
      <w:ind w:firstLine="624"/>
      <w:spacing w:line="590" w:lineRule="atLeast"/>
    </w:pPr>
    <w:rPr>
      <w:rFonts w:ascii="方正黑体_GBK" w:eastAsia="方正黑体_GBK"/>
      <w:sz w:val="32"/>
      <w:szCs w:val="32"/>
    </w:rPr>
  </w:style>
  <w:style w:type="paragraph" w:styleId="979" w:customStyle="1">
    <w:name w:val="font6"/>
    <w:basedOn w:val="702"/>
    <w:uiPriority w:val="0"/>
    <w:pPr>
      <w:jc w:val="left"/>
      <w:spacing w:before="100" w:beforeAutospacing="1" w:after="100" w:afterAutospacing="1"/>
      <w:widowControl/>
    </w:pPr>
    <w:rPr>
      <w:rFonts w:hint="eastAsia" w:ascii="宋体" w:hAnsi="宋体"/>
      <w:sz w:val="28"/>
      <w:szCs w:val="28"/>
      <w:u w:val="single"/>
    </w:rPr>
  </w:style>
  <w:style w:type="paragraph" w:styleId="980" w:customStyle="1">
    <w:name w:val="普通 (Web)"/>
    <w:basedOn w:val="702"/>
    <w:uiPriority w:val="0"/>
    <w:pPr>
      <w:jc w:val="left"/>
      <w:spacing w:before="100" w:beforeAutospacing="1" w:after="100" w:afterAutospacing="1"/>
      <w:widowControl/>
    </w:pPr>
    <w:rPr>
      <w:rFonts w:ascii="宋体" w:hAnsi="宋体"/>
      <w:sz w:val="24"/>
      <w:szCs w:val="24"/>
    </w:rPr>
  </w:style>
  <w:style w:type="paragraph" w:styleId="981" w:customStyle="1">
    <w:name w:val="修订"/>
    <w:uiPriority w:val="99"/>
    <w:semiHidden/>
    <w:rPr>
      <w:rFonts w:hint="default" w:ascii="Times New Roman" w:hAnsi="Times New Roman" w:eastAsia="宋体" w:cs="Times New Roman"/>
      <w:sz w:val="21"/>
      <w:szCs w:val="21"/>
      <w:lang w:val="en-US" w:eastAsia="zh-CN" w:bidi="ar-SA"/>
    </w:rPr>
  </w:style>
  <w:style w:type="paragraph" w:styleId="982" w:customStyle="1">
    <w:name w:val="目录 51"/>
    <w:basedOn w:val="702"/>
    <w:next w:val="702"/>
    <w:uiPriority w:val="0"/>
    <w:semiHidden/>
    <w:pPr>
      <w:ind w:left="840"/>
      <w:jc w:val="left"/>
    </w:pPr>
  </w:style>
  <w:style w:type="paragraph" w:styleId="983" w:customStyle="1">
    <w:name w:val="Body Text(ch)"/>
    <w:basedOn w:val="702"/>
    <w:next w:val="944"/>
    <w:uiPriority w:val="0"/>
    <w:pPr>
      <w:spacing w:after="120"/>
    </w:pPr>
    <w:rPr>
      <w:rFonts w:ascii="宋体" w:hAnsi="Arial"/>
      <w:bCs/>
      <w:iCs/>
      <w:szCs w:val="24"/>
    </w:rPr>
  </w:style>
  <w:style w:type="paragraph" w:styleId="984" w:customStyle="1">
    <w:name w:val="样式1"/>
    <w:basedOn w:val="702"/>
    <w:uiPriority w:val="0"/>
    <w:pPr>
      <w:numPr>
        <w:ilvl w:val="0"/>
        <w:numId w:val="3"/>
      </w:numPr>
    </w:pPr>
    <w:rPr>
      <w:rFonts w:ascii="宋体" w:hAnsi="宋体"/>
    </w:rPr>
  </w:style>
  <w:style w:type="paragraph" w:styleId="985" w:customStyle="1">
    <w:name w:val="xl27"/>
    <w:basedOn w:val="70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4"/>
    <w:basedOn w:val="702"/>
    <w:next w:val="928"/>
    <w:uiPriority w:val="0"/>
    <w:pPr>
      <w:ind w:firstLine="420"/>
      <w:spacing w:line="360" w:lineRule="auto"/>
    </w:pPr>
    <w:rPr>
      <w:color w:val="ff0000"/>
      <w:sz w:val="24"/>
      <w:szCs w:val="24"/>
    </w:rPr>
  </w:style>
  <w:style w:type="paragraph" w:styleId="987" w:customStyle="1">
    <w:name w:val="索引 11"/>
    <w:basedOn w:val="702"/>
    <w:next w:val="702"/>
    <w:uiPriority w:val="0"/>
    <w:semiHidden/>
    <w:pPr>
      <w:spacing w:line="240" w:lineRule="atLeast"/>
    </w:pPr>
    <w:rPr>
      <w:b/>
      <w:bCs/>
    </w:rPr>
  </w:style>
  <w:style w:type="paragraph" w:styleId="988" w:customStyle="1">
    <w:name w:val="目录 31"/>
    <w:basedOn w:val="702"/>
    <w:next w:val="702"/>
    <w:uiPriority w:val="0"/>
    <w:semiHidden/>
    <w:pPr>
      <w:ind w:left="420"/>
      <w:jc w:val="left"/>
    </w:pPr>
    <w:rPr>
      <w:i/>
      <w:iCs/>
      <w:szCs w:val="24"/>
    </w:rPr>
  </w:style>
  <w:style w:type="paragraph" w:styleId="989" w:customStyle="1">
    <w:name w:val="Char Char Char Char Char Char Char Char"/>
    <w:basedOn w:val="702"/>
    <w:uiPriority w:val="0"/>
    <w:pPr>
      <w:jc w:val="left"/>
      <w:spacing w:after="160" w:line="240" w:lineRule="exact"/>
      <w:widowControl/>
    </w:pPr>
    <w:rPr>
      <w:rFonts w:ascii="Verdana" w:hAnsi="Verdana"/>
      <w:sz w:val="20"/>
      <w:szCs w:val="20"/>
      <w:lang w:eastAsia="en-US"/>
    </w:rPr>
  </w:style>
  <w:style w:type="paragraph" w:styleId="990" w:customStyle="1">
    <w:name w:val="目录 91"/>
    <w:basedOn w:val="702"/>
    <w:next w:val="702"/>
    <w:uiPriority w:val="0"/>
    <w:semiHidden/>
    <w:pPr>
      <w:ind w:left="1680"/>
      <w:jc w:val="left"/>
    </w:pPr>
  </w:style>
  <w:style w:type="paragraph" w:styleId="991" w:customStyle="1">
    <w:name w:val="标题1"/>
    <w:basedOn w:val="702"/>
    <w:next w:val="70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92"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4" w:customStyle="1">
    <w:name w:val=" Char Char Char Char Char Char Char Char"/>
    <w:basedOn w:val="702"/>
    <w:uiPriority w:val="0"/>
    <w:pPr>
      <w:jc w:val="left"/>
      <w:spacing w:after="160" w:line="240" w:lineRule="exact"/>
      <w:widowControl/>
    </w:pPr>
    <w:rPr>
      <w:rFonts w:ascii="Verdana" w:hAnsi="Verdana"/>
      <w:sz w:val="20"/>
      <w:szCs w:val="20"/>
      <w:lang w:eastAsia="en-US"/>
    </w:rPr>
  </w:style>
  <w:style w:type="paragraph" w:styleId="995" w:customStyle="1">
    <w:name w:val="table_lines"/>
    <w:basedOn w:val="702"/>
    <w:uiPriority w:val="0"/>
    <w:pPr>
      <w:jc w:val="left"/>
      <w:widowControl/>
    </w:pPr>
    <w:rPr>
      <w:sz w:val="20"/>
      <w:szCs w:val="20"/>
      <w:lang w:val="de-DE" w:eastAsia="de-DE"/>
    </w:rPr>
  </w:style>
  <w:style w:type="table" w:styleId="996" w:customStyle="1">
    <w:name w:val="网格型1"/>
    <w:basedOn w:val="894"/>
    <w:uiPriority w:val="0"/>
    <w:pPr>
      <w:jc w:val="both"/>
      <w:widowControl w:val="off"/>
    </w:pPr>
    <w:rPr>
      <w:rFonts w:ascii="Times New Roman" w:hAnsi="Times New Roman" w:eastAsia="宋体" w:cs="Times New Roman"/>
      <w:sz w:val="20"/>
      <w:szCs w:val="20"/>
    </w:rPr>
    <w:tblPr/>
  </w:style>
  <w:style w:type="numbering" w:styleId="247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6</cp:revision>
  <dcterms:created xsi:type="dcterms:W3CDTF">2026-07-24T01:14:00Z</dcterms:created>
  <dcterms:modified xsi:type="dcterms:W3CDTF">2026-08-05T08:40:30Z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eyJoZGlkIjoiMTYyM2Y2MWU0YWM3MzRiN2RjNzEyMGEyOWEzYjliOWIiLCJ1c2VySWQiOiIxODI0MTk4NjA4In0=</vt:lpwstr>
  </property>
  <property fmtid="{D5CDD505-2E9C-101B-9397-08002B2CF9AE}" pid="3" name="KSOProductBuildVer">
    <vt:lpwstr>2052-12.1.0.28022</vt:lpwstr>
  </property>
  <property fmtid="{D5CDD505-2E9C-101B-9397-08002B2CF9AE}" pid="4" name="ICV">
    <vt:lpwstr>B47F1B2744014BE78A8A8EE34A147B02_13</vt:lpwstr>
  </property>
</Properties>
</file>