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b/>
          <w:color w:val="auto"/>
          <w:sz w:val="84"/>
          <w:highlight w:val="none"/>
        </w:rPr>
      </w:pPr>
      <w:r>
        <w:rPr>
          <w:rFonts w:ascii="宋体" w:hAnsi="宋体"/>
          <w:b/>
          <w:color w:val="auto"/>
          <w:sz w:val="84"/>
          <w:highlight w:val="none"/>
        </w:rPr>
      </w:r>
      <w:r/>
    </w:p>
    <w:p>
      <w:pPr>
        <w:jc w:val="center"/>
        <w:rPr>
          <w:rFonts w:ascii="宋体" w:hAnsi="宋体"/>
          <w:b/>
          <w:color w:val="auto"/>
          <w:sz w:val="84"/>
          <w:highlight w:val="none"/>
        </w:rPr>
      </w:pPr>
      <w:r>
        <w:rPr>
          <w:rFonts w:hint="eastAsia" w:ascii="宋体" w:hAnsi="宋体"/>
          <w:b/>
          <w:color w:val="auto"/>
          <w:sz w:val="84"/>
          <w:highlight w:val="none"/>
        </w:rPr>
        <w:t xml:space="preserve">太仓市政府采购</w:t>
      </w:r>
      <w:r/>
    </w:p>
    <w:p>
      <w:pPr>
        <w:jc w:val="center"/>
        <w:rPr>
          <w:rFonts w:ascii="宋体" w:hAnsi="宋体"/>
          <w:b/>
          <w:color w:val="auto"/>
          <w:sz w:val="84"/>
          <w:highlight w:val="none"/>
        </w:rPr>
      </w:pPr>
      <w:r>
        <w:rPr>
          <w:rFonts w:hint="eastAsia" w:ascii="宋体" w:hAnsi="宋体"/>
          <w:b/>
          <w:color w:val="auto"/>
          <w:sz w:val="84"/>
          <w:highlight w:val="none"/>
        </w:rPr>
        <w:t xml:space="preserve">招标文件</w:t>
      </w:r>
      <w:r/>
    </w:p>
    <w:p>
      <w:pPr>
        <w:jc w:val="center"/>
        <w:rPr>
          <w:rFonts w:ascii="宋体" w:hAnsi="宋体"/>
          <w:color w:val="auto"/>
          <w:highlight w:val="none"/>
        </w:rPr>
      </w:pPr>
      <w:r>
        <w:rPr>
          <w:rFonts w:ascii="宋体" w:hAnsi="宋体"/>
          <w:color w:val="auto"/>
          <w:highlight w:val="none"/>
        </w:rPr>
      </w:r>
      <w:r/>
    </w:p>
    <w:p>
      <w:pPr>
        <w:pStyle w:val="744"/>
        <w:rPr>
          <w:rFonts w:ascii="宋体" w:hAnsi="宋体" w:eastAsia="宋体" w:cs="宋体"/>
          <w:color w:val="auto"/>
          <w:highlight w:val="none"/>
        </w:rPr>
      </w:pPr>
      <w:r>
        <w:rPr>
          <w:rFonts w:ascii="宋体" w:hAnsi="宋体" w:eastAsia="宋体" w:cs="宋体"/>
          <w:color w:val="auto"/>
          <w:highlight w:val="none"/>
        </w:rPr>
      </w:r>
      <w:r/>
    </w:p>
    <w:p>
      <w:pPr>
        <w:pStyle w:val="744"/>
        <w:rPr>
          <w:rFonts w:ascii="宋体" w:hAnsi="宋体" w:eastAsia="宋体" w:cs="宋体"/>
          <w:color w:val="auto"/>
          <w:highlight w:val="none"/>
        </w:rPr>
      </w:pPr>
      <w:r>
        <w:rPr>
          <w:rFonts w:ascii="宋体" w:hAnsi="宋体" w:eastAsia="宋体" w:cs="宋体"/>
          <w:color w:val="auto"/>
          <w:highlight w:val="none"/>
        </w:rPr>
      </w:r>
      <w:r/>
    </w:p>
    <w:p>
      <w:pPr>
        <w:pStyle w:val="744"/>
        <w:rPr>
          <w:rFonts w:ascii="宋体" w:hAnsi="宋体" w:eastAsia="宋体" w:cs="宋体"/>
          <w:color w:val="auto"/>
          <w:highlight w:val="none"/>
        </w:rPr>
      </w:pPr>
      <w:r>
        <w:rPr>
          <w:rFonts w:ascii="宋体" w:hAnsi="宋体" w:eastAsia="宋体" w:cs="宋体"/>
          <w:color w:val="auto"/>
          <w:highlight w:val="none"/>
        </w:rPr>
      </w:r>
      <w:r/>
    </w:p>
    <w:p>
      <w:pPr>
        <w:jc w:val="both"/>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960"/>
        <w:jc w:val="both"/>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采购编号：</w:t>
      </w:r>
      <w:r>
        <w:rPr>
          <w:rFonts w:hint="eastAsia" w:ascii="宋体" w:hAnsi="宋体"/>
          <w:color w:val="auto"/>
          <w:sz w:val="32"/>
          <w:szCs w:val="32"/>
          <w:highlight w:val="none"/>
          <w:lang w:eastAsia="zh-CN"/>
        </w:rPr>
        <w:t xml:space="preserve">JSZC-320585-DFHX-G2026-0014</w:t>
      </w:r>
      <w:r/>
    </w:p>
    <w:p>
      <w:pPr>
        <w:ind w:firstLine="960"/>
        <w:jc w:val="both"/>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采购单位：太仓市人民政府陆渡街道办事处</w:t>
      </w:r>
      <w:r/>
    </w:p>
    <w:p>
      <w:pPr>
        <w:ind w:firstLine="960"/>
        <w:jc w:val="both"/>
        <w:spacing w:line="360" w:lineRule="auto"/>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采购内容：</w:t>
      </w:r>
      <w:r>
        <w:rPr>
          <w:rFonts w:hint="eastAsia" w:ascii="宋体" w:hAnsi="宋体"/>
          <w:color w:val="auto"/>
          <w:sz w:val="32"/>
          <w:szCs w:val="32"/>
          <w:highlight w:val="none"/>
          <w:lang w:eastAsia="zh-CN"/>
        </w:rPr>
        <w:t xml:space="preserve">2027-2029年财务监管平台第三方代理服务采购</w:t>
      </w:r>
      <w:r/>
    </w:p>
    <w:p>
      <w:pPr>
        <w:ind w:firstLine="960"/>
        <w:jc w:val="left"/>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项目类别：服务类</w:t>
      </w:r>
      <w:r/>
    </w:p>
    <w:p>
      <w:pPr>
        <w:ind w:firstLine="960"/>
        <w:jc w:val="left"/>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所属行业：（十五）租赁和商务服务业</w:t>
      </w:r>
      <w:r/>
    </w:p>
    <w:p>
      <w:pPr>
        <w:jc w:val="center"/>
        <w:rPr>
          <w:rFonts w:ascii="宋体" w:hAnsi="宋体"/>
          <w:color w:val="auto"/>
          <w:sz w:val="32"/>
          <w:szCs w:val="32"/>
          <w:highlight w:val="none"/>
        </w:rPr>
      </w:pPr>
      <w:r>
        <w:rPr>
          <w:rFonts w:ascii="宋体" w:hAnsi="宋体"/>
          <w:color w:val="auto"/>
          <w:sz w:val="32"/>
          <w:szCs w:val="32"/>
          <w:highlight w:val="none"/>
        </w:rPr>
      </w:r>
      <w:r/>
    </w:p>
    <w:p>
      <w:pPr>
        <w:pStyle w:val="744"/>
        <w:rPr>
          <w:rFonts w:ascii="宋体" w:hAnsi="宋体" w:eastAsia="宋体" w:cs="宋体"/>
          <w:color w:val="auto"/>
          <w:highlight w:val="none"/>
        </w:rPr>
      </w:pPr>
      <w:r>
        <w:rPr>
          <w:rFonts w:ascii="宋体" w:hAnsi="宋体" w:eastAsia="宋体" w:cs="宋体"/>
          <w:color w:val="auto"/>
          <w:highlight w:val="none"/>
        </w:rPr>
      </w:r>
      <w:r/>
    </w:p>
    <w:p>
      <w:pPr>
        <w:pStyle w:val="770"/>
        <w:rPr>
          <w:rFonts w:ascii="宋体" w:hAnsi="宋体" w:eastAsia="宋体" w:cs="宋体"/>
          <w:color w:val="auto"/>
          <w:highlight w:val="none"/>
        </w:rPr>
      </w:pPr>
      <w:r>
        <w:rPr>
          <w:rFonts w:ascii="宋体" w:hAnsi="宋体" w:eastAsia="宋体" w:cs="宋体"/>
          <w:color w:val="auto"/>
          <w:highlight w:val="none"/>
        </w:rPr>
      </w:r>
      <w:r/>
    </w:p>
    <w:p>
      <w:pPr>
        <w:pStyle w:val="770"/>
        <w:rPr>
          <w:rFonts w:ascii="宋体" w:hAnsi="宋体" w:eastAsia="宋体" w:cs="宋体"/>
          <w:color w:val="auto"/>
          <w:highlight w:val="none"/>
        </w:rPr>
      </w:pPr>
      <w:r>
        <w:rPr>
          <w:rFonts w:ascii="宋体" w:hAnsi="宋体" w:eastAsia="宋体" w:cs="宋体"/>
          <w:color w:val="auto"/>
          <w:highlight w:val="none"/>
        </w:rPr>
      </w:r>
      <w:r/>
    </w:p>
    <w:p>
      <w:pPr>
        <w:pStyle w:val="744"/>
        <w:rPr>
          <w:rFonts w:ascii="宋体" w:hAnsi="宋体" w:eastAsia="宋体" w:cs="宋体"/>
          <w:color w:val="auto"/>
          <w:highlight w:val="none"/>
        </w:rPr>
      </w:pPr>
      <w:r>
        <w:rPr>
          <w:rFonts w:ascii="宋体" w:hAnsi="宋体" w:eastAsia="宋体" w:cs="宋体"/>
          <w:color w:val="auto"/>
          <w:highlight w:val="none"/>
        </w:rPr>
      </w:r>
      <w:r/>
    </w:p>
    <w:p>
      <w:pPr>
        <w:jc w:val="center"/>
        <w:rPr>
          <w:rFonts w:hint="eastAsia" w:ascii="宋体" w:hAnsi="宋体" w:eastAsia="宋体"/>
          <w:color w:val="auto"/>
          <w:sz w:val="32"/>
          <w:szCs w:val="32"/>
          <w:highlight w:val="none"/>
          <w:lang w:eastAsia="zh-CN"/>
        </w:rPr>
      </w:pPr>
      <w:r>
        <w:rPr>
          <w:rFonts w:hint="eastAsia" w:ascii="宋体" w:hAnsi="宋体"/>
          <w:color w:val="auto"/>
          <w:sz w:val="32"/>
          <w:szCs w:val="32"/>
          <w:highlight w:val="none"/>
          <w:lang w:eastAsia="zh-CN"/>
        </w:rPr>
        <w:t xml:space="preserve">东方华星建设管理（江苏）有限公司</w:t>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二〇二</w:t>
      </w:r>
      <w:r>
        <w:rPr>
          <w:rFonts w:hint="eastAsia" w:ascii="宋体" w:hAnsi="宋体"/>
          <w:color w:val="auto"/>
          <w:sz w:val="32"/>
          <w:szCs w:val="32"/>
          <w:highlight w:val="none"/>
          <w:lang w:val="en-US" w:eastAsia="zh-CN"/>
        </w:rPr>
        <w:t xml:space="preserve">六</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八</w:t>
      </w:r>
      <w:r>
        <w:rPr>
          <w:rFonts w:hint="eastAsia" w:ascii="宋体" w:hAnsi="宋体"/>
          <w:color w:val="auto"/>
          <w:sz w:val="32"/>
          <w:szCs w:val="32"/>
          <w:highlight w:val="none"/>
        </w:rPr>
        <w:t xml:space="preserve">月</w:t>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rPr>
          <w:rFonts w:ascii="宋体" w:hAnsi="宋体"/>
          <w:color w:val="auto"/>
          <w:sz w:val="44"/>
          <w:szCs w:val="44"/>
          <w:highlight w:val="none"/>
        </w:rPr>
      </w:pPr>
      <w:r>
        <w:rPr>
          <w:rFonts w:ascii="宋体" w:hAnsi="宋体"/>
          <w:color w:val="auto"/>
          <w:sz w:val="44"/>
          <w:szCs w:val="44"/>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t xml:space="preserve">目录</w:t>
      </w:r>
      <w:r/>
    </w:p>
    <w:p>
      <w:pPr>
        <w:pStyle w:val="756"/>
        <w:tabs>
          <w:tab w:val="right" w:pos="9240" w:leader="dot"/>
        </w:tabs>
        <w:rPr>
          <w:rFonts w:ascii="宋体" w:hAnsi="宋体"/>
          <w:color w:val="auto"/>
          <w:szCs w:val="28"/>
          <w:highlight w:val="none"/>
        </w:rPr>
      </w:pP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TOC \o "1-1" \h \z \u </w:instrText>
      </w:r>
      <w:r>
        <w:rPr>
          <w:rFonts w:hint="eastAsia" w:ascii="宋体" w:hAnsi="宋体"/>
          <w:color w:val="auto"/>
          <w:szCs w:val="28"/>
          <w:highlight w:val="none"/>
        </w:rPr>
        <w:fldChar w:fldCharType="separate"/>
      </w:r>
      <w:r>
        <w:rPr>
          <w:color w:val="auto"/>
          <w:highlight w:val="none"/>
        </w:rPr>
        <w:fldChar w:fldCharType="begin"/>
      </w:r>
      <w:r>
        <w:rPr>
          <w:color w:val="auto"/>
          <w:highlight w:val="none"/>
        </w:rPr>
        <w:instrText xml:space="preserve"> HYPERLINK \l "_Toc8834" </w:instrText>
      </w:r>
      <w:r>
        <w:rPr>
          <w:color w:val="auto"/>
          <w:highlight w:val="none"/>
        </w:rPr>
        <w:fldChar w:fldCharType="separate"/>
      </w:r>
      <w:r>
        <w:rPr>
          <w:rFonts w:hint="eastAsia" w:ascii="宋体" w:hAnsi="宋体"/>
          <w:color w:val="auto"/>
          <w:szCs w:val="28"/>
          <w:highlight w:val="none"/>
        </w:rPr>
        <w:t xml:space="preserve">第一章 招标公告</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_Toc8834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1</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56"/>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"_Toc30653" </w:instrText>
      </w:r>
      <w:r>
        <w:rPr>
          <w:color w:val="auto"/>
          <w:highlight w:val="none"/>
        </w:rPr>
        <w:fldChar w:fldCharType="separate"/>
      </w:r>
      <w:r>
        <w:rPr>
          <w:rFonts w:hint="eastAsia" w:ascii="宋体" w:hAnsi="宋体"/>
          <w:color w:val="auto"/>
          <w:szCs w:val="28"/>
          <w:highlight w:val="none"/>
        </w:rPr>
        <w:t xml:space="preserve">第二章 投标人须知</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_Toc30653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5</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56"/>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"_Toc16018" </w:instrText>
      </w:r>
      <w:r>
        <w:rPr>
          <w:color w:val="auto"/>
          <w:highlight w:val="none"/>
        </w:rPr>
        <w:fldChar w:fldCharType="separate"/>
      </w:r>
      <w:r>
        <w:rPr>
          <w:rFonts w:hint="eastAsia" w:ascii="宋体" w:hAnsi="宋体"/>
          <w:color w:val="auto"/>
          <w:szCs w:val="28"/>
          <w:highlight w:val="none"/>
        </w:rPr>
        <w:t xml:space="preserve">第三章 投标文件格式</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_Toc16018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18</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56"/>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"_Toc11893" </w:instrText>
      </w:r>
      <w:r>
        <w:rPr>
          <w:color w:val="auto"/>
          <w:highlight w:val="none"/>
        </w:rPr>
        <w:fldChar w:fldCharType="separate"/>
      </w:r>
      <w:r>
        <w:rPr>
          <w:rFonts w:hint="eastAsia" w:ascii="宋体" w:hAnsi="宋体"/>
          <w:color w:val="auto"/>
          <w:szCs w:val="28"/>
          <w:highlight w:val="none"/>
        </w:rPr>
        <w:t xml:space="preserve">第四章 项目需求</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_Toc11893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35</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56"/>
        <w:ind w:right="218"/>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"_Toc2521" </w:instrText>
      </w:r>
      <w:r>
        <w:rPr>
          <w:color w:val="auto"/>
          <w:highlight w:val="none"/>
        </w:rPr>
        <w:fldChar w:fldCharType="separate"/>
      </w:r>
      <w:r>
        <w:rPr>
          <w:rFonts w:hint="eastAsia" w:ascii="宋体" w:hAnsi="宋体"/>
          <w:color w:val="auto"/>
          <w:szCs w:val="28"/>
          <w:highlight w:val="none"/>
        </w:rPr>
        <w:t xml:space="preserve">第五章 合同主要条款</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_Toc2521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41</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pStyle w:val="756"/>
        <w:tabs>
          <w:tab w:val="right" w:pos="9240" w:leader="dot"/>
        </w:tabs>
        <w:rPr>
          <w:rFonts w:ascii="宋体" w:hAnsi="宋体"/>
          <w:color w:val="auto"/>
          <w:szCs w:val="28"/>
          <w:highlight w:val="none"/>
        </w:rPr>
      </w:pPr>
      <w:r>
        <w:rPr>
          <w:color w:val="auto"/>
          <w:highlight w:val="none"/>
        </w:rPr>
        <w:fldChar w:fldCharType="begin"/>
      </w:r>
      <w:r>
        <w:rPr>
          <w:color w:val="auto"/>
          <w:highlight w:val="none"/>
        </w:rPr>
        <w:instrText xml:space="preserve"> HYPERLINK \l "_Toc19953" </w:instrText>
      </w:r>
      <w:r>
        <w:rPr>
          <w:color w:val="auto"/>
          <w:highlight w:val="none"/>
        </w:rPr>
        <w:fldChar w:fldCharType="separate"/>
      </w:r>
      <w:r>
        <w:rPr>
          <w:rFonts w:hint="eastAsia" w:ascii="宋体" w:hAnsi="宋体"/>
          <w:color w:val="auto"/>
          <w:szCs w:val="28"/>
          <w:highlight w:val="none"/>
        </w:rPr>
        <w:t xml:space="preserve">第六章 评标标准</w:t>
      </w:r>
      <w:r>
        <w:rPr>
          <w:rFonts w:hint="eastAsia" w:ascii="宋体" w:hAnsi="宋体"/>
          <w:color w:val="auto"/>
          <w:szCs w:val="28"/>
          <w:highlight w:val="none"/>
        </w:rPr>
        <w:tab/>
      </w:r>
      <w:r>
        <w:rPr>
          <w:rFonts w:hint="eastAsia" w:ascii="宋体" w:hAnsi="宋体"/>
          <w:color w:val="auto"/>
          <w:szCs w:val="28"/>
          <w:highlight w:val="none"/>
        </w:rPr>
        <w:fldChar w:fldCharType="begin"/>
      </w:r>
      <w:r>
        <w:rPr>
          <w:rFonts w:hint="eastAsia" w:ascii="宋体" w:hAnsi="宋体"/>
          <w:color w:val="auto"/>
          <w:szCs w:val="28"/>
          <w:highlight w:val="none"/>
        </w:rPr>
        <w:instrText xml:space="preserve"> PAGEREF _Toc19953 \h </w:instrText>
      </w:r>
      <w:r>
        <w:rPr>
          <w:rFonts w:hint="eastAsia" w:ascii="宋体" w:hAnsi="宋体"/>
          <w:color w:val="auto"/>
          <w:szCs w:val="28"/>
          <w:highlight w:val="none"/>
        </w:rPr>
        <w:fldChar w:fldCharType="separate"/>
      </w:r>
      <w:r>
        <w:rPr>
          <w:rFonts w:hint="eastAsia" w:ascii="宋体" w:hAnsi="宋体"/>
          <w:color w:val="auto"/>
          <w:szCs w:val="28"/>
          <w:highlight w:val="none"/>
        </w:rPr>
        <w:t xml:space="preserve">47</w:t>
      </w:r>
      <w:r>
        <w:rPr>
          <w:rFonts w:hint="eastAsia" w:ascii="宋体" w:hAnsi="宋体"/>
          <w:color w:val="auto"/>
          <w:szCs w:val="28"/>
          <w:highlight w:val="none"/>
        </w:rPr>
        <w:fldChar w:fldCharType="end"/>
      </w:r>
      <w:r>
        <w:rPr>
          <w:rFonts w:hint="eastAsia" w:ascii="宋体" w:hAnsi="宋体"/>
          <w:color w:val="auto"/>
          <w:szCs w:val="28"/>
          <w:highlight w:val="none"/>
        </w:rPr>
        <w:fldChar w:fldCharType="end"/>
      </w:r>
      <w:r/>
    </w:p>
    <w:p>
      <w:pPr>
        <w:jc w:val="center"/>
        <w:rPr>
          <w:rFonts w:ascii="宋体" w:hAnsi="宋体"/>
          <w:color w:val="auto"/>
          <w:sz w:val="28"/>
          <w:szCs w:val="28"/>
          <w:highlight w:val="none"/>
        </w:rPr>
      </w:pPr>
      <w:r>
        <w:rPr>
          <w:rFonts w:hint="eastAsia" w:ascii="宋体" w:hAnsi="宋体"/>
          <w:color w:val="auto"/>
          <w:sz w:val="28"/>
          <w:szCs w:val="28"/>
          <w:highlight w:val="none"/>
        </w:rPr>
        <w:fldChar w:fldCharType="end"/>
      </w:r>
      <w:r/>
    </w:p>
    <w:p>
      <w:pPr>
        <w:pStyle w:val="725"/>
        <w:rPr>
          <w:rFonts w:ascii="宋体" w:hAnsi="宋体" w:cs="宋体"/>
          <w:color w:val="auto"/>
          <w:highlight w:val="none"/>
        </w:rPr>
        <w:sectPr>
          <w:headerReference w:type="default" r:id="rId9"/>
          <w:footerReference w:type="default" r:id="rId10"/>
          <w:footerReference w:type="even" r:id="rId11"/>
          <w:footerReference w:type="first" r:id="rId12"/>
          <w:footnotePr/>
          <w:endnotePr/>
          <w:type w:val="nextPage"/>
          <w:pgSz w:w="11907" w:h="16840" w:orient="portrait"/>
          <w:pgMar w:top="1297" w:right="1093" w:bottom="1077" w:left="1354" w:header="567" w:footer="567" w:gutter="0"/>
          <w:cols w:num="1" w:sep="0" w:space="720" w:equalWidth="1"/>
          <w:docGrid w:linePitch="360"/>
          <w:titlePg/>
        </w:sectPr>
      </w:pPr>
      <w:r/>
      <w:bookmarkStart w:id="0" w:name="_Toc37331739"/>
      <w:r/>
      <w:r/>
    </w:p>
    <w:p>
      <w:pPr>
        <w:pStyle w:val="725"/>
        <w:rPr>
          <w:rFonts w:ascii="宋体" w:hAnsi="宋体" w:cs="宋体"/>
          <w:color w:val="auto"/>
          <w:highlight w:val="none"/>
        </w:rPr>
      </w:pPr>
      <w:r/>
      <w:bookmarkStart w:id="1" w:name="_Toc8834"/>
      <w:r>
        <w:rPr>
          <w:rFonts w:hint="eastAsia" w:ascii="宋体" w:hAnsi="宋体" w:cs="宋体"/>
          <w:color w:val="auto"/>
          <w:highlight w:val="none"/>
        </w:rPr>
        <w:t xml:space="preserve">第一章</w:t>
      </w:r>
      <w:bookmarkEnd w:id="0"/>
      <w:r>
        <w:rPr>
          <w:rFonts w:hint="eastAsia" w:ascii="宋体" w:hAnsi="宋体" w:cs="宋体"/>
          <w:color w:val="auto"/>
          <w:highlight w:val="none"/>
        </w:rPr>
        <w:t xml:space="preserve"> 招标公告</w:t>
      </w:r>
      <w:bookmarkEnd w:id="1"/>
      <w:r/>
      <w:r/>
    </w:p>
    <w:p>
      <w:pPr>
        <w:ind w:firstLine="482"/>
        <w:spacing w:line="360" w:lineRule="auto"/>
        <w:rPr>
          <w:rFonts w:ascii="宋体" w:hAnsi="宋体"/>
          <w:b/>
          <w:color w:val="auto"/>
          <w:sz w:val="24"/>
          <w:szCs w:val="24"/>
          <w:highlight w:val="none"/>
        </w:rPr>
      </w:pPr>
      <w:r/>
      <w:bookmarkStart w:id="2" w:name="OLE_LINK1"/>
      <w:r>
        <w:rPr>
          <w:rFonts w:hint="eastAsia" w:ascii="宋体" w:hAnsi="宋体"/>
          <w:b/>
          <w:color w:val="auto"/>
          <w:sz w:val="24"/>
          <w:szCs w:val="24"/>
          <w:highlight w:val="none"/>
        </w:rPr>
        <w:t xml:space="preserve">项目概况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2027-2029年财务监管平台第三方代理服务采购</w:t>
      </w:r>
      <w:r>
        <w:rPr>
          <w:rFonts w:hint="eastAsia" w:ascii="宋体" w:hAnsi="宋体"/>
          <w:color w:val="auto"/>
          <w:sz w:val="24"/>
          <w:szCs w:val="24"/>
          <w:highlight w:val="none"/>
        </w:rPr>
        <w:t xml:space="preserve">招标项目的潜在投标人应在</w:t>
      </w:r>
      <w:r>
        <w:rPr>
          <w:rFonts w:hint="eastAsia" w:ascii="宋体" w:hAnsi="宋体"/>
          <w:color w:val="auto"/>
          <w:sz w:val="24"/>
          <w:szCs w:val="24"/>
          <w:highlight w:val="none"/>
          <w:lang w:val="en-US" w:eastAsia="zh-CN"/>
        </w:rPr>
        <w:t xml:space="preserve">苏采云</w:t>
      </w:r>
      <w:r>
        <w:rPr>
          <w:rFonts w:hint="eastAsia" w:ascii="宋体" w:hAnsi="宋体"/>
          <w:color w:val="auto"/>
          <w:sz w:val="24"/>
          <w:szCs w:val="24"/>
          <w:highlight w:val="none"/>
        </w:rPr>
        <w:t xml:space="preserve">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年09月0</w:t>
      </w:r>
      <w:r>
        <w:rPr>
          <w:rFonts w:hint="eastAsia" w:ascii="宋体" w:hAnsi="宋体"/>
          <w:color w:val="auto"/>
          <w:sz w:val="24"/>
          <w:szCs w:val="24"/>
          <w:highlight w:val="none"/>
          <w:lang w:val="en-US" w:eastAsia="zh-CN"/>
        </w:rPr>
        <w:t xml:space="preserve">9</w:t>
      </w:r>
      <w:bookmarkStart w:id="15" w:name="_GoBack"/>
      <w:r/>
      <w:bookmarkEnd w:id="15"/>
      <w:r>
        <w:rPr>
          <w:rFonts w:hint="eastAsia" w:ascii="宋体" w:hAnsi="宋体"/>
          <w:color w:val="auto"/>
          <w:sz w:val="24"/>
          <w:szCs w:val="24"/>
          <w:highlight w:val="none"/>
        </w:rPr>
        <w:t xml:space="preserve">日09点30分（北京时间）前</w:t>
      </w:r>
      <w:r>
        <w:rPr>
          <w:rFonts w:hint="eastAsia" w:ascii="宋体" w:hAnsi="宋体"/>
          <w:color w:val="auto"/>
          <w:sz w:val="24"/>
          <w:szCs w:val="24"/>
          <w:highlight w:val="none"/>
          <w:lang w:val="en-US" w:eastAsia="zh-CN"/>
        </w:rPr>
        <w:t xml:space="preserve">递交</w:t>
      </w:r>
      <w:r>
        <w:rPr>
          <w:rFonts w:hint="eastAsia" w:ascii="宋体" w:hAnsi="宋体"/>
          <w:color w:val="auto"/>
          <w:sz w:val="24"/>
          <w:szCs w:val="24"/>
          <w:highlight w:val="none"/>
        </w:rPr>
        <w:t xml:space="preserve">投标文件。</w:t>
      </w:r>
      <w:r/>
    </w:p>
    <w:p>
      <w:pPr>
        <w:ind w:right="105"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一、项目基本情况</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lang w:val="en-US" w:eastAsia="zh-CN"/>
        </w:rPr>
        <w:t xml:space="preserve">JSZC-320585-DFHX-G2026-0014</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2027-2029年财务监管平台第三方代理服务采购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3、预算金额：人民币伍佰壹拾万圆整（￥5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4、最高限价：人民币伍佰壹拾万圆整（￥5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eastAsia="zh-CN"/>
        </w:rPr>
        <w:t xml:space="preserve">2027-2029年财务监管平台第三方代理服务采购</w:t>
      </w:r>
      <w:r>
        <w:rPr>
          <w:rFonts w:hint="eastAsia" w:ascii="宋体" w:hAnsi="宋体"/>
          <w:color w:val="auto"/>
          <w:sz w:val="24"/>
          <w:szCs w:val="24"/>
          <w:highlight w:val="none"/>
        </w:rPr>
        <w:t xml:space="preserve">，</w:t>
      </w:r>
      <w:r>
        <w:rPr>
          <w:rFonts w:hint="eastAsia" w:ascii="宋体" w:hAnsi="宋体"/>
          <w:color w:val="auto"/>
          <w:sz w:val="24"/>
          <w:szCs w:val="24"/>
          <w:highlight w:val="none"/>
          <w:shd w:val="clear" w:color="auto" w:fill="ffffff"/>
        </w:rPr>
        <w:t xml:space="preserve">提供财务代理、管理与咨询服务。具体包括：①农村财务管理核算业务（代理会计核算、代理财务收支、代理资金管理、代理票据管理、代理财政专项资金管理、协助资产管理、协助合同管理、提供会计信息、代理会计日常资料并建档移交、代理税务申报及纳税规划等服务项目），凡甲方发生的各项经济业务的会计核算均由中标单位统一代理。②农村财务监管中心财务人员的管理和培训业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6、服务期限：自合同签订之日起三年。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7、本项目不接受联合体投标。</w:t>
      </w:r>
      <w:r/>
    </w:p>
    <w:p>
      <w:pPr>
        <w:ind w:right="105"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二、申请人的资格要求：</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（一）满足《中华人民共和国政府采购法》第二十二条规定：</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1、具有独立承担民事责任的能力（提供法人或者其他组织的营业执照等证明文件，自然人的身份证明）。</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2、具有良好的商业信誉和健全的财务会计制度（提供最近一期的财务状况报告，其他组织、自然人提供银行出具的资信证明）</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3、具有履行合同所必需的设备和专业技术能力（提供履行合同所必需的设备和专业技术能力的证明材料）；</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（二）落实政府采购政策需满足的资格要求：</w:t>
      </w:r>
      <w:r/>
    </w:p>
    <w:p>
      <w:pPr>
        <w:ind w:right="105" w:firstLine="482"/>
        <w:spacing w:line="360" w:lineRule="auto"/>
        <w:rPr>
          <w:rFonts w:hint="eastAsia" w:ascii="宋体" w:hAnsi="宋体"/>
          <w:color w:val="auto"/>
          <w:sz w:val="24"/>
          <w:szCs w:val="24"/>
          <w:highlight w:val="none"/>
        </w:rPr>
      </w:pPr>
      <w:r>
        <w:rPr>
          <w:rFonts w:hint="eastAsia" w:ascii="宋体" w:hAnsi="宋体" w:eastAsia="宋体" w:cs="宋体"/>
          <w:b/>
          <w:bCs/>
          <w:color w:val="auto"/>
          <w:sz w:val="24"/>
          <w:szCs w:val="24"/>
          <w:highlight w:val="none"/>
          <w:shd w:val="clear" w:color="auto" w:fill="ffffff"/>
          <w:lang w:eastAsia="zh-CN"/>
        </w:rPr>
        <w:t xml:space="preserve">本项目专门面向中小企业采购</w:t>
      </w:r>
      <w:r>
        <w:rPr>
          <w:rFonts w:hint="eastAsia" w:ascii="宋体" w:hAnsi="宋体" w:eastAsia="宋体" w:cs="宋体"/>
          <w:color w:val="auto"/>
          <w:sz w:val="24"/>
          <w:szCs w:val="24"/>
          <w:highlight w:val="none"/>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numPr>
          <w:ilvl w:val="0"/>
          <w:numId w:val="2"/>
        </w:num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本项目的特定资格条件：</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具有财政局核发的代理记账资格证书。</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eastAsia="宋体" w:cs="宋体"/>
          <w:color w:val="auto"/>
          <w:sz w:val="24"/>
          <w:szCs w:val="24"/>
          <w:highlight w:val="none"/>
          <w:shd w:val="clear" w:color="auto" w:fill="ffffff"/>
          <w:lang w:eastAsia="zh-CN"/>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ind w:right="105"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（四）拒绝下述供应商参加本次采购活动：</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lang w:eastAsia="zh-CN"/>
        </w:rPr>
        <w:t xml:space="preserve">供应商单位负责人为同一人或者存在直接控股、管理关系的不同供应商，不得参加同一合同项下的政府采购活动。</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lang w:eastAsia="zh-CN"/>
        </w:rPr>
        <w:t xml:space="preserve">法人的分支机构不得参加投标（银行、保险、石油石化、电力、电信等有行业特殊情况的除外）。</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eastAsia="zh-CN"/>
        </w:rPr>
        <w:t xml:space="preserve">凡为采购项目提供整体设计、规范编制或者项目管理、监理、检测等服务的供应商，不得再参加本项目的其他政府采购活动。</w:t>
      </w:r>
      <w:r/>
    </w:p>
    <w:p>
      <w:pPr>
        <w:ind w:right="105"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lang w:eastAsia="zh-CN"/>
        </w:rPr>
        <w:t xml:space="preserve">根据《中华人民共和国政府采购法》及《国务院关于建立完善守信联合激励和失信联合惩戒制度加快推进社会诚信体系建设的指导意见》（国发〔</w:t>
      </w:r>
      <w:r>
        <w:rPr>
          <w:rFonts w:hint="eastAsia" w:ascii="宋体" w:hAnsi="宋体" w:eastAsia="宋体" w:cs="宋体"/>
          <w:color w:val="auto"/>
          <w:sz w:val="24"/>
          <w:szCs w:val="24"/>
          <w:highlight w:val="none"/>
          <w:shd w:val="clear" w:color="auto" w:fill="ffffff"/>
          <w:lang w:val="en-US" w:eastAsia="zh-CN"/>
        </w:rPr>
        <w:t xml:space="preserve">2016</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33</w:t>
      </w:r>
      <w:r>
        <w:rPr>
          <w:rFonts w:hint="eastAsia" w:ascii="宋体" w:hAnsi="宋体" w:eastAsia="宋体" w:cs="宋体"/>
          <w:color w:val="auto"/>
          <w:sz w:val="24"/>
          <w:szCs w:val="24"/>
          <w:highlight w:val="none"/>
          <w:shd w:val="clear" w:color="auto" w:fill="ffffff"/>
          <w:lang w:eastAsia="zh-CN"/>
        </w:rPr>
        <w:t xml:space="preserve">号）、财政部《关于在政府采购活动中查询及使用信用记录有关问题的通知》（财库〔</w:t>
      </w:r>
      <w:r>
        <w:rPr>
          <w:rFonts w:hint="eastAsia" w:ascii="宋体" w:hAnsi="宋体" w:eastAsia="宋体" w:cs="宋体"/>
          <w:color w:val="auto"/>
          <w:sz w:val="24"/>
          <w:szCs w:val="24"/>
          <w:highlight w:val="none"/>
          <w:shd w:val="clear" w:color="auto" w:fill="ffffff"/>
          <w:lang w:val="en-US" w:eastAsia="zh-CN"/>
        </w:rPr>
        <w:t xml:space="preserve">2016</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125</w:t>
      </w:r>
      <w:r>
        <w:rPr>
          <w:rFonts w:hint="eastAsia" w:ascii="宋体" w:hAnsi="宋体" w:eastAsia="宋体" w:cs="宋体"/>
          <w:color w:val="auto"/>
          <w:sz w:val="24"/>
          <w:szCs w:val="24"/>
          <w:highlight w:val="none"/>
          <w:shd w:val="clear" w:color="auto" w:fill="ffffff"/>
          <w:lang w:eastAsia="zh-CN"/>
        </w:rPr>
        <w:t xml:space="preserve">号）的规定，采购代理人将对供应商进行信用查询。对列入失信被执行人、重大税收违法案件当事人名单、政府采购严重违法失信行为记录名单的供应商，拒绝其参与本次政府采购活动。</w:t>
      </w:r>
      <w:r/>
    </w:p>
    <w:p>
      <w:pPr>
        <w:ind w:right="105"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三、获取招标文件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获取方式：</w:t>
      </w:r>
      <w:r>
        <w:rPr>
          <w:rFonts w:hint="eastAsia" w:ascii="宋体" w:hAnsi="宋体" w:eastAsia="宋体" w:cs="宋体"/>
          <w:color w:val="auto"/>
          <w:spacing w:val="8"/>
          <w:sz w:val="24"/>
          <w:szCs w:val="24"/>
          <w:highlight w:val="none"/>
          <w:lang w:val="en-US" w:eastAsia="zh-CN"/>
        </w:rPr>
        <w:t xml:space="preserve">苏采云政府采购一体化平台（网址：http://jszfcg.jsczt.cn/）</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、本项目免费下载电子招标文件。</w:t>
      </w:r>
      <w:r/>
    </w:p>
    <w:p>
      <w:pPr>
        <w:ind w:right="105"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四、提交投标文件截止时间、开标时间和地点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、开标时间：202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年09月0</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日09点30分（北京时间）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、开标地点：</w:t>
      </w:r>
      <w:r>
        <w:rPr>
          <w:rFonts w:hint="eastAsia" w:ascii="宋体" w:hAnsi="宋体" w:eastAsia="宋体" w:cs="宋体"/>
          <w:color w:val="auto"/>
          <w:sz w:val="24"/>
          <w:szCs w:val="24"/>
          <w:highlight w:val="none"/>
          <w:lang w:val="en-US" w:eastAsia="zh-CN"/>
        </w:rPr>
        <w:t xml:space="preserve">苏采云系统</w:t>
      </w:r>
      <w:r/>
    </w:p>
    <w:p>
      <w:pPr>
        <w:ind w:right="105"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五、公告</w:t>
      </w:r>
      <w:r>
        <w:rPr>
          <w:rFonts w:hint="eastAsia" w:ascii="宋体" w:hAnsi="宋体"/>
          <w:b/>
          <w:color w:val="auto"/>
          <w:sz w:val="24"/>
          <w:szCs w:val="24"/>
          <w:highlight w:val="none"/>
        </w:rPr>
        <w:t xml:space="preserve">期限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自公告发布之日起5个工作日。</w:t>
      </w:r>
      <w:r/>
    </w:p>
    <w:p>
      <w:pPr>
        <w:ind w:right="105"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六、其他补充事宜</w:t>
      </w:r>
      <w:bookmarkEnd w:id="2"/>
      <w:r/>
      <w:r/>
    </w:p>
    <w:p>
      <w:pPr>
        <w:ind w:right="105" w:firstLine="480"/>
        <w:spacing w:line="360" w:lineRule="auto"/>
        <w:rPr>
          <w:rFonts w:hint="eastAsia" w:ascii="宋体" w:hAnsi="宋体"/>
          <w:color w:val="auto"/>
          <w:sz w:val="24"/>
          <w:szCs w:val="24"/>
          <w:highlight w:val="none"/>
        </w:rPr>
      </w:pPr>
      <w:r/>
      <w:bookmarkStart w:id="3" w:name="_Toc37331740"/>
      <w:r>
        <w:rPr>
          <w:rFonts w:hint="eastAsia" w:ascii="仿宋" w:hAnsi="仿宋" w:eastAsia="仿宋" w:cs="仿宋"/>
          <w:i w:val="0"/>
          <w:iCs w:val="0"/>
          <w:caps w:val="0"/>
          <w:color w:val="auto"/>
          <w:spacing w:val="0"/>
          <w:sz w:val="24"/>
          <w:szCs w:val="24"/>
          <w:shd w:val="clear" w:color="auto" w:fill="ffffff"/>
          <w:lang w:val="en-US" w:eastAsia="zh-CN" w:bidi="ar"/>
        </w:rPr>
        <w:t xml:space="preserve">（</w:t>
      </w:r>
      <w:r>
        <w:rPr>
          <w:rFonts w:hint="eastAsia" w:ascii="宋体" w:hAnsi="宋体"/>
          <w:color w:val="auto"/>
          <w:sz w:val="24"/>
          <w:szCs w:val="24"/>
          <w:highlight w:val="none"/>
          <w:lang w:val="en-US" w:eastAsia="zh-CN"/>
        </w:rPr>
        <w:t xml:space="preserve">一）获取招标文件、电子投标文件制作及上传、不见面开标流程</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本项目使用CA数字证书进行电子投标，请供应商在参加投标活动前办理好CA数字证书申领及电子签章等操作。CA证书办理详见“江苏省政府采购”官网首页―“苏采云”―进入“苏采云政府采购一体化平台”―点击“新CA办理指南”。</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2.获取招标文件</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（1）确认参与：供应商插入CA证书登陆“苏采云”系统后选择具体项目，点击“我要参与”并签章提交《投标供应商确认函》，提交《投标供应商确认函》日期视同为依法获取招标文件日期。</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（3）获取招标文件：苏采云系统自行下载电子招标文件。</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（4）供应商应随时登录交易网站自行查看本项目的补充通知和网上答疑，以便获悉最新信息。因供应商未及时查看相关信息导致的投标失误，由供应商自行承担。</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3.电子投标文件制作、上传</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4.开标</w:t>
      </w:r>
      <w:r/>
    </w:p>
    <w:p>
      <w:pPr>
        <w:ind w:right="105"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（1）供应商登录“苏采云”系统在平台首页点击“开标大厅”，进入江苏省政府采购一体化不见面开标（采购）大厅，在今日项目列表，点击项目，进入不见面开标系统。</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（2）本项目为不见面开标项目，开标阶段供应商在【供应商解密】环节必须使用 CA证书解密电子投标文件，如在系统规定的解密时间（投标文件提交截止时间后15分钟）内未能完成解密的视为放弃投标。</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（3）在开标、评标过程中供应商代表须在网上不见面开标系统中保持在线状态，以应对可能发生的澄清、说明等回复，由于供应商代表不在线所造成的一切后果由供应商自行承担。</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5.有关电子投标的技术疑问：</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CA技术咨询服务电话：400-608-6099</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电子签章技术咨询服务电话：025-83633811、15380932027</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系统使用指导与咨询：联系电话：18261002950 QQ：3048755361。</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（二）投标保证金</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本项目不需要缴纳投标保证金。</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（三）政府采购履约资金扶持政策</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中标供应商可凭政府采购合同办理融资贷款，详情请见江苏政府采购网“政采贷”专栏。</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（四）代理服务费：</w:t>
      </w:r>
      <w:r/>
    </w:p>
    <w:p>
      <w:pPr>
        <w:ind w:right="105"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代理服务费:由招标单位支付。按预算金额100万元以内1.5%、100万元(含)-500万元以内1.1%、500万元(含)-1000万元以内0.8%。差额定率累进法计算并支付代理服务费。本项目据实结算，代理服务费为40000元。</w:t>
      </w:r>
      <w:r/>
    </w:p>
    <w:p>
      <w:pPr>
        <w:ind w:right="105" w:firstLine="48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lang w:val="en-US" w:eastAsia="zh-CN"/>
        </w:rPr>
        <w:t xml:space="preserve">（五）政府采购监督电话：0512-53512539。</w:t>
      </w:r>
      <w:r/>
    </w:p>
    <w:p>
      <w:pPr>
        <w:ind w:firstLine="482"/>
        <w:spacing w:line="48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七、对本次招标提出询问，请按以下方式联系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名称：太仓市人民政府陆渡街道办事处</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太仓市民安路1号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成晓倩</w:t>
      </w:r>
      <w:r>
        <w:rPr>
          <w:rFonts w:hint="eastAsia" w:ascii="宋体" w:hAnsi="宋体"/>
          <w:color w:val="auto"/>
          <w:sz w:val="24"/>
          <w:szCs w:val="24"/>
          <w:highlight w:val="none"/>
        </w:rPr>
        <w:t xml:space="preserve"> 13915790890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东方华星建设管理（江苏）有限公司</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地址：太仓市</w:t>
      </w:r>
      <w:r>
        <w:rPr>
          <w:rFonts w:hint="eastAsia" w:ascii="宋体" w:hAnsi="宋体"/>
          <w:color w:val="auto"/>
          <w:sz w:val="24"/>
          <w:szCs w:val="24"/>
          <w:highlight w:val="none"/>
          <w:lang w:val="en-US" w:eastAsia="zh-CN"/>
        </w:rPr>
        <w:t xml:space="preserve">人民</w:t>
      </w:r>
      <w:r>
        <w:rPr>
          <w:rFonts w:hint="eastAsia" w:ascii="宋体" w:hAnsi="宋体"/>
          <w:color w:val="auto"/>
          <w:sz w:val="24"/>
          <w:szCs w:val="24"/>
          <w:highlight w:val="none"/>
        </w:rPr>
        <w:t xml:space="preserve">北路</w:t>
      </w:r>
      <w:r>
        <w:rPr>
          <w:rFonts w:hint="eastAsia" w:ascii="宋体" w:hAnsi="宋体"/>
          <w:color w:val="auto"/>
          <w:sz w:val="24"/>
          <w:szCs w:val="24"/>
          <w:highlight w:val="none"/>
          <w:lang w:val="en-US" w:eastAsia="zh-CN"/>
        </w:rPr>
        <w:t xml:space="preserve">33-3</w:t>
      </w:r>
      <w:r>
        <w:rPr>
          <w:rFonts w:hint="eastAsia" w:ascii="宋体" w:hAnsi="宋体"/>
          <w:color w:val="auto"/>
          <w:sz w:val="24"/>
          <w:szCs w:val="24"/>
          <w:highlight w:val="none"/>
        </w:rPr>
        <w:t xml:space="preserve">号二楼</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汪长春</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15906222121</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val="en-US" w:eastAsia="zh-CN"/>
        </w:rPr>
        <w:t xml:space="preserve">汪长春</w:t>
      </w:r>
      <w:r>
        <w:rPr>
          <w:rFonts w:hint="eastAsia" w:ascii="宋体" w:hAnsi="宋体"/>
          <w:color w:val="auto"/>
          <w:sz w:val="24"/>
          <w:szCs w:val="24"/>
          <w:highlight w:val="none"/>
        </w:rPr>
        <w:t xml:space="preserve"> </w:t>
      </w:r>
      <w:r/>
    </w:p>
    <w:p>
      <w:pPr>
        <w:ind w:firstLine="480"/>
        <w:spacing w:line="360" w:lineRule="auto"/>
        <w:rPr>
          <w:rFonts w:ascii="宋体" w:hAnsi="宋体"/>
          <w:color w:val="auto"/>
          <w:sz w:val="32"/>
          <w:highlight w:val="none"/>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lang w:val="en-US" w:eastAsia="zh-CN"/>
        </w:rPr>
        <w:t xml:space="preserve">15906222121</w:t>
      </w:r>
      <w:r>
        <w:rPr>
          <w:rFonts w:hint="eastAsia" w:ascii="宋体" w:hAnsi="宋体"/>
          <w:color w:val="auto"/>
          <w:sz w:val="32"/>
          <w:highlight w:val="none"/>
        </w:rPr>
        <w:br w:type="page" w:clear="all"/>
      </w:r>
      <w:bookmarkEnd w:id="3"/>
      <w:r/>
      <w:r/>
    </w:p>
    <w:p>
      <w:pPr>
        <w:jc w:val="center"/>
        <w:widowControl w:val="off"/>
        <w:rPr>
          <w:rStyle w:val="1083"/>
          <w:rFonts w:hint="eastAsia" w:ascii="宋体" w:hAnsi="宋体" w:eastAsia="宋体" w:cs="宋体"/>
          <w:color w:val="auto"/>
          <w:sz w:val="32"/>
          <w:szCs w:val="32"/>
          <w:highlight w:val="none"/>
        </w:rPr>
      </w:pPr>
      <w:r>
        <w:rPr>
          <w:rStyle w:val="1083"/>
          <w:rFonts w:hint="eastAsia" w:ascii="宋体" w:hAnsi="宋体" w:eastAsia="宋体" w:cs="宋体"/>
          <w:color w:val="auto"/>
          <w:sz w:val="32"/>
          <w:szCs w:val="32"/>
          <w:highlight w:val="none"/>
        </w:rPr>
        <w:t xml:space="preserve">第二章 投标人须知</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1.1本招标文件仅适用于东方华星建设管理（江苏）有限公司组织的招标活动。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1.3本招标文件的解释权属于东方华星建设管理（江苏）有限公司。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4" w:name="_Toc142194258"/>
      <w:r>
        <w:rPr>
          <w:rFonts w:hint="eastAsia" w:ascii="宋体" w:hAnsi="宋体" w:cs="宋体"/>
          <w:b/>
          <w:bCs/>
          <w:color w:val="auto"/>
          <w:sz w:val="21"/>
          <w:szCs w:val="21"/>
          <w:highlight w:val="none"/>
          <w:lang w:val="zh-CN"/>
        </w:rPr>
        <w:t xml:space="preserve">二、投标人</w:t>
      </w:r>
      <w:bookmarkEnd w:id="4"/>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 投标报价明细表</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w:t>
      </w:r>
      <w:r>
        <w:rPr>
          <w:rFonts w:hint="eastAsia" w:ascii="宋体" w:hAnsi="宋体" w:cs="宋体"/>
          <w:color w:val="auto"/>
          <w:sz w:val="21"/>
          <w:szCs w:val="21"/>
          <w:highlight w:val="none"/>
          <w:lang w:eastAsia="zh-CN"/>
        </w:rPr>
        <w:t xml:space="preserve">技术要求偏离表</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keepLines w:val="0"/>
        <w:keepNext w:val="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15.1除非合同中另有规定，投标总报价应包括完成本项工作所需的一切费用，</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但不限于完</w:t>
      </w:r>
      <w:r>
        <w:rPr>
          <w:rFonts w:hint="eastAsia" w:ascii="宋体" w:hAnsi="宋体" w:eastAsia="宋体" w:cs="宋体"/>
          <w:color w:val="auto"/>
          <w:sz w:val="21"/>
          <w:szCs w:val="21"/>
          <w:highlight w:val="none"/>
        </w:rPr>
        <w:t xml:space="preserve">成本项目所需的全部软硬件设备、辅材、线材、附配件、系统、损耗、安装、调试、验收、培训、人工、机械、运输、仓储、保险、运费、各种税费、劳保、专利技术、第三方检测费等到项目正式交付及</w:t>
      </w:r>
      <w:r>
        <w:rPr>
          <w:rFonts w:hint="eastAsia" w:ascii="宋体" w:hAnsi="宋体" w:eastAsia="宋体" w:cs="宋体"/>
          <w:color w:val="auto"/>
          <w:sz w:val="21"/>
          <w:szCs w:val="21"/>
          <w:highlight w:val="none"/>
          <w:lang w:eastAsia="zh-CN"/>
        </w:rPr>
        <w:t xml:space="preserve">租赁服务期间内一切费用</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政策性文件规定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lang w:val="en-US" w:eastAsia="zh-CN"/>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24.6.2大写金额和小写金额不一致的，以大写金额为准；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24.6.3单价金额小数点或者百分比有明显错位的，以开标一览表的总价为准，并修改单价；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24.7.1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w:t>
      </w:r>
      <w:r>
        <w:rPr>
          <w:rFonts w:hint="eastAsia" w:ascii="宋体" w:hAnsi="宋体" w:cs="宋体"/>
          <w:b/>
          <w:bCs/>
          <w:color w:val="auto"/>
          <w:sz w:val="21"/>
          <w:szCs w:val="21"/>
          <w:highlight w:val="none"/>
          <w:lang w:val="en-US" w:eastAsia="zh-CN"/>
        </w:rPr>
        <w:t xml:space="preserve">代理</w:t>
      </w:r>
      <w:r>
        <w:rPr>
          <w:rFonts w:hint="eastAsia" w:ascii="宋体" w:hAnsi="宋体" w:cs="宋体"/>
          <w:b/>
          <w:bCs/>
          <w:color w:val="auto"/>
          <w:sz w:val="21"/>
          <w:szCs w:val="21"/>
          <w:highlight w:val="none"/>
          <w:lang w:val="zh-CN"/>
        </w:rPr>
        <w:t xml:space="preserve">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lang w:val="en-US" w:eastAsia="zh-CN"/>
        </w:rPr>
        <w:t xml:space="preserve">由采购人支付代理</w:t>
      </w:r>
      <w:r>
        <w:rPr>
          <w:rFonts w:hint="eastAsia" w:ascii="宋体" w:hAnsi="宋体" w:cs="宋体"/>
          <w:color w:val="auto"/>
          <w:sz w:val="21"/>
          <w:szCs w:val="21"/>
          <w:highlight w:val="none"/>
          <w:lang w:val="zh-CN"/>
        </w:rPr>
        <w:t xml:space="preserve">服务费。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ind w:firstLine="420"/>
        <w:jc w:val="left"/>
        <w:spacing w:line="360" w:lineRule="auto"/>
        <w:rPr>
          <w:rFonts w:ascii="宋体" w:hAnsi="宋体"/>
          <w:color w:val="auto"/>
          <w:highlight w:val="none"/>
        </w:rPr>
      </w:pPr>
      <w:r>
        <w:rPr>
          <w:rFonts w:hint="eastAsia" w:ascii="宋体" w:hAnsi="宋体"/>
          <w:color w:val="auto"/>
          <w:highlight w:val="none"/>
        </w:rPr>
        <w:br w:type="page" w:clear="all"/>
      </w:r>
      <w:r/>
    </w:p>
    <w:p>
      <w:pPr>
        <w:pStyle w:val="725"/>
        <w:rPr>
          <w:rFonts w:ascii="宋体" w:hAnsi="宋体" w:cs="宋体"/>
          <w:color w:val="auto"/>
          <w:highlight w:val="none"/>
        </w:rPr>
      </w:pPr>
      <w:r/>
      <w:bookmarkStart w:id="5" w:name="_Toc16018"/>
      <w:r/>
      <w:bookmarkStart w:id="6" w:name="_Toc37331741"/>
      <w:r>
        <w:rPr>
          <w:rFonts w:hint="eastAsia" w:ascii="宋体" w:hAnsi="宋体" w:cs="宋体"/>
          <w:color w:val="auto"/>
          <w:highlight w:val="none"/>
        </w:rPr>
        <w:t xml:space="preserve">第三章 投标文件格式</w:t>
      </w:r>
      <w:bookmarkEnd w:id="5"/>
      <w:r/>
      <w:bookmarkEnd w:id="6"/>
      <w:r/>
      <w:r/>
    </w:p>
    <w:p>
      <w:pPr>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说明：</w:t>
      </w:r>
      <w:r/>
    </w:p>
    <w:p>
      <w:pPr>
        <w:ind w:firstLine="482"/>
        <w:spacing w:line="400" w:lineRule="exact"/>
        <w:rPr>
          <w:rFonts w:ascii="宋体" w:hAnsi="宋体"/>
          <w:color w:val="auto"/>
          <w:szCs w:val="21"/>
          <w:highlight w:val="none"/>
        </w:rPr>
      </w:pPr>
      <w:r>
        <w:rPr>
          <w:rFonts w:hint="eastAsia" w:ascii="宋体" w:hAnsi="宋体"/>
          <w:b/>
          <w:color w:val="auto"/>
          <w:sz w:val="24"/>
          <w:szCs w:val="24"/>
          <w:highlight w:val="none"/>
        </w:rPr>
        <w:t xml:space="preserve">对本章所有的投标书格式，投标方可根据自身情况进行补充和修改，但补充和修改不得造成与本格式内容有实质性的违背。</w:t>
      </w:r>
      <w:r/>
    </w:p>
    <w:p>
      <w:pPr>
        <w:ind w:firstLine="435"/>
        <w:spacing w:line="440" w:lineRule="exact"/>
        <w:rPr>
          <w:rFonts w:ascii="宋体" w:hAnsi="宋体"/>
          <w:b/>
          <w:color w:val="auto"/>
          <w:sz w:val="24"/>
          <w:szCs w:val="24"/>
          <w:highlight w:val="none"/>
        </w:rPr>
      </w:pPr>
      <w:r>
        <w:rPr>
          <w:rFonts w:ascii="宋体" w:hAnsi="宋体"/>
          <w:b/>
          <w:color w:val="auto"/>
          <w:sz w:val="24"/>
          <w:szCs w:val="24"/>
          <w:highlight w:val="none"/>
        </w:rPr>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color w:val="auto"/>
          <w:highlight w:val="none"/>
        </w:rPr>
      </w:pPr>
      <w:r>
        <w:rPr>
          <w:rFonts w:hint="eastAsia" w:ascii="宋体" w:hAnsi="宋体"/>
          <w:color w:val="auto"/>
          <w:highlight w:val="none"/>
        </w:rPr>
        <w:br w:type="page" w:clear="all"/>
      </w:r>
      <w:r/>
    </w:p>
    <w:p>
      <w:pPr>
        <w:rPr>
          <w:rFonts w:ascii="宋体" w:hAnsi="宋体"/>
          <w:b/>
          <w:color w:val="auto"/>
          <w:sz w:val="44"/>
          <w:szCs w:val="44"/>
          <w:highlight w:val="none"/>
        </w:rPr>
      </w:pPr>
      <w:r>
        <w:rPr>
          <w:rFonts w:hint="eastAsia" w:ascii="宋体" w:hAnsi="宋体"/>
          <w:b/>
          <w:color w:val="auto"/>
          <w:sz w:val="44"/>
          <w:szCs w:val="44"/>
          <w:highlight w:val="none"/>
        </w:rPr>
        <w:t xml:space="preserve">封面：</w:t>
      </w:r>
      <w:r/>
    </w:p>
    <w:p>
      <w:pPr>
        <w:jc w:val="cente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72"/>
          <w:szCs w:val="72"/>
          <w:highlight w:val="none"/>
        </w:rPr>
      </w:pPr>
      <w:r>
        <w:rPr>
          <w:rFonts w:ascii="宋体" w:hAnsi="宋体"/>
          <w:b/>
          <w:color w:val="auto"/>
          <w:sz w:val="72"/>
          <w:szCs w:val="72"/>
          <w:highlight w:val="none"/>
        </w:rPr>
      </w:r>
      <w:r/>
    </w:p>
    <w:p>
      <w:pPr>
        <w:jc w:val="center"/>
        <w:rPr>
          <w:rFonts w:ascii="宋体" w:hAnsi="宋体"/>
          <w:b/>
          <w:color w:val="auto"/>
          <w:sz w:val="72"/>
          <w:szCs w:val="72"/>
          <w:highlight w:val="none"/>
        </w:rPr>
      </w:pPr>
      <w:r>
        <w:rPr>
          <w:rFonts w:hint="eastAsia" w:ascii="宋体" w:hAnsi="宋体"/>
          <w:b/>
          <w:color w:val="auto"/>
          <w:sz w:val="72"/>
          <w:szCs w:val="72"/>
          <w:highlight w:val="none"/>
        </w:rPr>
        <w:t xml:space="preserve">投 标 文 件</w:t>
      </w:r>
      <w:r/>
    </w:p>
    <w:p>
      <w:pPr>
        <w:rPr>
          <w:rFonts w:ascii="宋体" w:hAnsi="宋体"/>
          <w:b/>
          <w:color w:val="auto"/>
          <w:sz w:val="36"/>
          <w:szCs w:val="36"/>
          <w:highlight w:val="none"/>
        </w:rPr>
      </w:pPr>
      <w:r>
        <w:rPr>
          <w:rFonts w:ascii="宋体" w:hAnsi="宋体"/>
          <w:b/>
          <w:color w:val="auto"/>
          <w:sz w:val="36"/>
          <w:szCs w:val="36"/>
          <w:highlight w:val="none"/>
        </w:rPr>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1063"/>
        <w:rPr>
          <w:rFonts w:ascii="宋体" w:hAnsi="宋体"/>
          <w:b/>
          <w:color w:val="auto"/>
          <w:sz w:val="32"/>
          <w:szCs w:val="32"/>
          <w:highlight w:val="none"/>
        </w:rPr>
      </w:pPr>
      <w:r>
        <w:rPr>
          <w:rFonts w:hint="eastAsia" w:ascii="宋体" w:hAnsi="宋体"/>
          <w:b/>
          <w:color w:val="auto"/>
          <w:sz w:val="32"/>
          <w:szCs w:val="32"/>
          <w:highlight w:val="none"/>
        </w:rPr>
        <w:t xml:space="preserve">采购单位：太仓市人民政府陆渡街道办事处</w:t>
      </w:r>
      <w:r/>
    </w:p>
    <w:p>
      <w:pPr>
        <w:ind w:firstLine="1063"/>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2027-2029年财务监管平台第三方代理服务采购</w:t>
      </w:r>
      <w:r/>
    </w:p>
    <w:p>
      <w:pPr>
        <w:ind w:firstLine="1063"/>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JSZC-320585-DFHX-G2026-0014</w:t>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542"/>
        <w:rPr>
          <w:rFonts w:ascii="宋体" w:hAnsi="宋体"/>
          <w:b/>
          <w:color w:val="auto"/>
          <w:sz w:val="36"/>
          <w:szCs w:val="36"/>
          <w:highlight w:val="none"/>
        </w:rPr>
      </w:pPr>
      <w:r>
        <w:rPr>
          <w:rFonts w:ascii="宋体" w:hAnsi="宋体"/>
          <w:b/>
          <w:color w:val="auto"/>
          <w:sz w:val="36"/>
          <w:szCs w:val="36"/>
          <w:highlight w:val="none"/>
        </w:rPr>
      </w:r>
      <w:r/>
    </w:p>
    <w:p>
      <w:pPr>
        <w:ind w:firstLine="1063"/>
        <w:rPr>
          <w:rFonts w:ascii="宋体" w:hAnsi="宋体"/>
          <w:color w:val="auto"/>
          <w:sz w:val="28"/>
          <w:szCs w:val="18"/>
          <w:highlight w:val="none"/>
          <w:u w:val="single"/>
        </w:rPr>
      </w:pPr>
      <w:r>
        <w:rPr>
          <w:rFonts w:hint="eastAsia" w:ascii="宋体" w:hAnsi="宋体"/>
          <w:b/>
          <w:color w:val="auto"/>
          <w:sz w:val="32"/>
          <w:szCs w:val="32"/>
          <w:highlight w:val="none"/>
        </w:rPr>
        <w:t xml:space="preserve">投 标 人(盖章)：</w:t>
      </w:r>
      <w:r/>
    </w:p>
    <w:p>
      <w:pPr>
        <w:ind w:firstLine="1063"/>
        <w:spacing w:line="720" w:lineRule="auto"/>
        <w:rPr>
          <w:rFonts w:ascii="宋体" w:hAnsi="宋体"/>
          <w:color w:val="auto"/>
          <w:sz w:val="28"/>
          <w:szCs w:val="18"/>
          <w:highlight w:val="none"/>
          <w:u w:val="single"/>
        </w:rPr>
      </w:pPr>
      <w:r>
        <w:rPr>
          <w:rFonts w:hint="eastAsia" w:ascii="宋体" w:hAnsi="宋体"/>
          <w:b/>
          <w:color w:val="auto"/>
          <w:sz w:val="32"/>
          <w:szCs w:val="32"/>
          <w:highlight w:val="none"/>
        </w:rPr>
        <w:t xml:space="preserve">法定代表人或其委托代理人：</w:t>
      </w:r>
      <w:r>
        <w:rPr>
          <w:rFonts w:hint="eastAsia" w:ascii="宋体" w:hAnsi="宋体"/>
          <w:color w:val="auto"/>
          <w:sz w:val="28"/>
          <w:szCs w:val="18"/>
          <w:highlight w:val="none"/>
          <w:u w:val="single"/>
        </w:rPr>
        <w:t xml:space="preserve">            （签字或盖章）</w:t>
      </w:r>
      <w:r/>
    </w:p>
    <w:p>
      <w:pPr>
        <w:ind w:firstLine="2530"/>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44"/>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  月</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1、关于资格文件的声明函</w:t>
      </w:r>
      <w:r/>
    </w:p>
    <w:p>
      <w:pPr>
        <w:pStyle w:val="739"/>
        <w:ind w:firstLine="0"/>
        <w:jc w:val="both"/>
        <w:rPr>
          <w:rFonts w:ascii="宋体" w:hAnsi="宋体" w:eastAsia="宋体" w:cs="宋体"/>
          <w:color w:val="auto"/>
          <w:szCs w:val="24"/>
          <w:highlight w:val="none"/>
        </w:rPr>
      </w:pPr>
      <w:r>
        <w:rPr>
          <w:rFonts w:ascii="宋体" w:hAnsi="宋体" w:eastAsia="宋体" w:cs="宋体"/>
          <w:color w:val="auto"/>
          <w:szCs w:val="24"/>
          <w:highlight w:val="none"/>
        </w:rPr>
      </w:r>
      <w:r/>
    </w:p>
    <w:p>
      <w:pPr>
        <w:pStyle w:val="951"/>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关于资格文件的声明函</w:t>
      </w:r>
      <w:r/>
    </w:p>
    <w:p>
      <w:pPr>
        <w:pStyle w:val="739"/>
        <w:ind w:firstLine="0"/>
        <w:spacing w:line="480" w:lineRule="auto"/>
        <w:rPr>
          <w:rFonts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 xml:space="preserve">东方华星建设管理（江苏）有限公司</w:t>
      </w:r>
      <w:r>
        <w:rPr>
          <w:rFonts w:hint="eastAsia" w:ascii="宋体" w:hAnsi="宋体" w:eastAsia="宋体" w:cs="宋体"/>
          <w:color w:val="auto"/>
          <w:szCs w:val="24"/>
          <w:highlight w:val="none"/>
        </w:rPr>
        <w:t xml:space="preserve">：</w:t>
      </w:r>
      <w:r/>
    </w:p>
    <w:p>
      <w:pPr>
        <w:pStyle w:val="739"/>
        <w:spacing w:line="48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lang w:eastAsia="zh-CN"/>
        </w:rPr>
        <w:t xml:space="preserve">JSZC-320585-DFHX-G2026-0014</w:t>
      </w:r>
      <w:r>
        <w:rPr>
          <w:rFonts w:hint="eastAsia" w:ascii="宋体" w:hAnsi="宋体" w:eastAsia="宋体" w:cs="宋体"/>
          <w:color w:val="auto"/>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39"/>
        <w:spacing w:line="480" w:lineRule="auto"/>
        <w:tabs>
          <w:tab w:val="left" w:pos="294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ab/>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44"/>
        <w:rPr>
          <w:rFonts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2、投标承诺函</w:t>
      </w:r>
      <w:r/>
    </w:p>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p>
      <w:pPr>
        <w:pStyle w:val="951"/>
        <w:jc w:val="center"/>
        <w:spacing w:after="156" w:line="360" w:lineRule="auto"/>
        <w:rPr>
          <w:rFonts w:hAnsi="宋体" w:eastAsia="宋体" w:cs="宋体"/>
          <w:bCs/>
          <w:color w:val="auto"/>
          <w:szCs w:val="28"/>
          <w:highlight w:val="none"/>
        </w:rPr>
      </w:pPr>
      <w:r>
        <w:rPr>
          <w:rFonts w:hint="eastAsia" w:hAnsi="宋体" w:eastAsia="宋体" w:cs="宋体"/>
          <w:bCs/>
          <w:color w:val="auto"/>
          <w:szCs w:val="28"/>
          <w:highlight w:val="none"/>
        </w:rPr>
        <w:t xml:space="preserve">投标承诺函</w:t>
      </w:r>
      <w:r/>
    </w:p>
    <w:p>
      <w:pPr>
        <w:pStyle w:val="951"/>
        <w:spacing w:line="288" w:lineRule="auto"/>
        <w:rPr>
          <w:rFonts w:hAnsi="宋体" w:eastAsia="宋体" w:cs="宋体"/>
          <w:color w:val="auto"/>
          <w:sz w:val="24"/>
          <w:szCs w:val="24"/>
          <w:highlight w:val="none"/>
        </w:rPr>
      </w:pPr>
      <w:r>
        <w:rPr>
          <w:rFonts w:hint="eastAsia" w:hAnsi="宋体" w:eastAsia="宋体" w:cs="宋体"/>
          <w:color w:val="auto"/>
          <w:sz w:val="24"/>
          <w:szCs w:val="24"/>
          <w:highlight w:val="none"/>
          <w:u w:val="single"/>
          <w:lang w:eastAsia="zh-CN"/>
        </w:rPr>
        <w:t xml:space="preserve">东方华星建设管理（江苏）有限公司</w:t>
      </w:r>
      <w:r>
        <w:rPr>
          <w:rFonts w:hint="eastAsia" w:hAnsi="宋体" w:eastAsia="宋体" w:cs="宋体"/>
          <w:color w:val="auto"/>
          <w:sz w:val="24"/>
          <w:szCs w:val="24"/>
          <w:highlight w:val="none"/>
        </w:rPr>
        <w:t xml:space="preserve">：</w:t>
      </w:r>
      <w:r/>
    </w:p>
    <w:p>
      <w:pPr>
        <w:pStyle w:val="951"/>
        <w:ind w:firstLine="480"/>
        <w:spacing w:line="288"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我们收到贵单位</w:t>
      </w:r>
      <w:r>
        <w:rPr>
          <w:rFonts w:hint="eastAsia" w:hAnsi="宋体" w:eastAsia="宋体" w:cs="宋体"/>
          <w:color w:val="auto"/>
          <w:sz w:val="24"/>
          <w:szCs w:val="24"/>
          <w:highlight w:val="none"/>
          <w:u w:val="single"/>
          <w:lang w:eastAsia="zh-CN"/>
        </w:rPr>
        <w:t xml:space="preserve">2027-2029年财务监管平台第三方代理服务采购</w:t>
      </w:r>
      <w:r>
        <w:rPr>
          <w:rFonts w:hint="eastAsia" w:hAnsi="宋体" w:eastAsia="宋体" w:cs="宋体"/>
          <w:color w:val="auto"/>
          <w:sz w:val="24"/>
          <w:szCs w:val="21"/>
          <w:highlight w:val="none"/>
        </w:rPr>
        <w:t xml:space="preserve">项目招标文件（项目编号：</w:t>
      </w:r>
      <w:r>
        <w:rPr>
          <w:rFonts w:hint="eastAsia" w:hAnsi="宋体" w:eastAsia="宋体" w:cs="宋体"/>
          <w:color w:val="auto"/>
          <w:sz w:val="24"/>
          <w:szCs w:val="24"/>
          <w:highlight w:val="none"/>
          <w:u w:val="single"/>
          <w:lang w:eastAsia="zh-CN"/>
        </w:rPr>
        <w:t xml:space="preserve">JSZC-320585-DFHX-G2026-0014</w:t>
      </w:r>
      <w:r>
        <w:rPr>
          <w:rFonts w:hint="eastAsia" w:hAnsi="宋体" w:eastAsia="宋体" w:cs="宋体"/>
          <w:color w:val="auto"/>
          <w:sz w:val="24"/>
          <w:highlight w:val="none"/>
        </w:rPr>
        <w:t xml:space="preserve">），</w:t>
      </w:r>
      <w:r>
        <w:rPr>
          <w:rFonts w:hint="eastAsia" w:hAnsi="宋体" w:eastAsia="宋体" w:cs="宋体"/>
          <w:color w:val="auto"/>
          <w:sz w:val="24"/>
          <w:szCs w:val="24"/>
          <w:highlight w:val="none"/>
        </w:rPr>
        <w:t xml:space="preserve">经仔细阅读和研究，我们决定参加投标。</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1、我们愿意按照招标文件的一切要求，提供包括完成该项目全部内容的设备、材料及人工、机械、保险、劳保、各种税费以及质保期间的一切费用。</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2、如果我们的投标书被接受，我们将严格履行招标文件中规定的每一项要求，按期、按质、按量履行合同的义务。</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3、我们同意按招标文件中的规定，本投标书的有效期限为开标后</w:t>
      </w:r>
      <w:r>
        <w:rPr>
          <w:rFonts w:hint="eastAsia" w:ascii="宋体" w:hAnsi="宋体"/>
          <w:b/>
          <w:color w:val="auto"/>
          <w:sz w:val="24"/>
          <w:highlight w:val="none"/>
          <w:u w:val="single"/>
        </w:rPr>
        <w:t xml:space="preserve">90</w:t>
      </w:r>
      <w:r>
        <w:rPr>
          <w:rFonts w:hint="eastAsia" w:ascii="宋体" w:hAnsi="宋体"/>
          <w:color w:val="auto"/>
          <w:sz w:val="24"/>
          <w:highlight w:val="none"/>
        </w:rPr>
        <w:t xml:space="preserve">天。</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4、我们愿意提供招标方在招标文件中要求的所有资料。</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5、我们认为你们有权决定中标者，还认为你们有权接受或拒绝所有的投标者。</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szCs w:val="24"/>
          <w:highlight w:val="none"/>
        </w:rPr>
        <w:t xml:space="preserve">我们完全理解贵方不一定要接受最低报价的投标或收到的任何投标。</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7、我们承诺该项投标在开标后的全过程中保持有效，不作任何更改和变动。</w:t>
      </w:r>
      <w:r/>
    </w:p>
    <w:p>
      <w:pPr>
        <w:ind w:firstLine="420"/>
        <w:spacing w:line="440" w:lineRule="exact"/>
        <w:rPr>
          <w:rFonts w:ascii="宋体" w:hAnsi="宋体"/>
          <w:b/>
          <w:bCs/>
          <w:color w:val="auto"/>
          <w:sz w:val="24"/>
          <w:highlight w:val="none"/>
        </w:rPr>
      </w:pPr>
      <w:r>
        <w:rPr>
          <w:rFonts w:hint="eastAsia" w:ascii="宋体" w:hAnsi="宋体"/>
          <w:color w:val="auto"/>
          <w:sz w:val="24"/>
          <w:highlight w:val="none"/>
        </w:rPr>
        <w:t xml:space="preserve">8、</w:t>
      </w:r>
      <w:r>
        <w:rPr>
          <w:rFonts w:hint="eastAsia" w:ascii="宋体" w:hAnsi="宋体"/>
          <w:b/>
          <w:bCs/>
          <w:color w:val="auto"/>
          <w:sz w:val="24"/>
          <w:highlight w:val="none"/>
        </w:rPr>
        <w:t xml:space="preserve">如果中标，我们同意并知晓中标通知书发出方式及发出时间，遵守招标文件和中标通知书规定，在指定时间和地点和采购人签订合同。</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9、综合说明：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（1）伴随服务及配合措施；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（2）要求甲方提供的配合；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（3）对招标文件有不同意见的偏离说明；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（4）其它说明。</w:t>
      </w:r>
      <w:r/>
    </w:p>
    <w:p>
      <w:pPr>
        <w:spacing w:line="440" w:lineRule="exact"/>
        <w:rPr>
          <w:rFonts w:ascii="宋体" w:hAnsi="宋体"/>
          <w:color w:val="auto"/>
          <w:sz w:val="24"/>
          <w:highlight w:val="none"/>
        </w:rPr>
      </w:pPr>
      <w:r>
        <w:rPr>
          <w:rFonts w:hint="eastAsia" w:ascii="宋体" w:hAnsi="宋体"/>
          <w:color w:val="auto"/>
          <w:sz w:val="24"/>
          <w:highlight w:val="none"/>
        </w:rPr>
        <w:t xml:space="preserve">    所有有关标书的函电，请按下列地址联系：</w:t>
      </w:r>
      <w:r/>
    </w:p>
    <w:p>
      <w:pPr>
        <w:ind w:left="420"/>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ind w:left="420"/>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ind w:left="420"/>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ind w:left="420"/>
        <w:spacing w:line="460" w:lineRule="exact"/>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3、参加政府采购活动前三年内，在经营活动中没有重大违法记录声明</w:t>
      </w:r>
      <w:r/>
    </w:p>
    <w:p>
      <w:pPr>
        <w:ind w:left="-210" w:right="-210"/>
        <w:spacing w:line="360" w:lineRule="auto"/>
        <w:rPr>
          <w:rFonts w:ascii="宋体" w:hAnsi="宋体"/>
          <w:b/>
          <w:color w:val="auto"/>
          <w:sz w:val="24"/>
          <w:highlight w:val="none"/>
        </w:rPr>
      </w:pPr>
      <w:r>
        <w:rPr>
          <w:rFonts w:ascii="宋体" w:hAnsi="宋体"/>
          <w:b/>
          <w:color w:val="auto"/>
          <w:sz w:val="24"/>
          <w:highlight w:val="none"/>
        </w:rPr>
      </w:r>
      <w:r/>
    </w:p>
    <w:p>
      <w:pPr>
        <w:pStyle w:val="951"/>
        <w:jc w:val="center"/>
        <w:spacing w:after="156" w:line="360" w:lineRule="auto"/>
        <w:rPr>
          <w:rFonts w:hAnsi="宋体" w:eastAsia="宋体" w:cs="宋体"/>
          <w:bCs/>
          <w:color w:val="auto"/>
          <w:szCs w:val="28"/>
          <w:highlight w:val="none"/>
        </w:rPr>
      </w:pPr>
      <w:r>
        <w:rPr>
          <w:rFonts w:hint="eastAsia" w:hAnsi="宋体" w:eastAsia="宋体" w:cs="宋体"/>
          <w:bCs/>
          <w:color w:val="auto"/>
          <w:szCs w:val="28"/>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东方华星建设管理（江苏）有限公司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在本项目采购过程中发现我单位近三年内在经营活动中有重大违法记录，我单位将无条件退出本项目的招标，并承担因此引起的一起后果。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供应商名称（单位公章）：</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法定代表人（负责人）或代理人（签字或盖章）：</w:t>
      </w:r>
      <w:r/>
    </w:p>
    <w:p>
      <w:pPr>
        <w:ind w:firstLine="420"/>
        <w:spacing w:line="360" w:lineRule="auto"/>
        <w:rPr>
          <w:rFonts w:ascii="宋体" w:hAnsi="宋体"/>
          <w:color w:val="auto"/>
          <w:sz w:val="24"/>
          <w:szCs w:val="24"/>
          <w:highlight w:val="none"/>
        </w:rPr>
      </w:pPr>
      <w:r>
        <w:rPr>
          <w:rFonts w:hint="eastAsia" w:ascii="宋体" w:hAnsi="宋体"/>
          <w:color w:val="auto"/>
          <w:sz w:val="24"/>
          <w:highlight w:val="none"/>
        </w:rPr>
        <w:t xml:space="preserve">投标日期：   年  月  日</w:t>
      </w:r>
      <w:r/>
    </w:p>
    <w:p>
      <w:pPr>
        <w:ind w:firstLine="420"/>
        <w:spacing w:line="360" w:lineRule="auto"/>
        <w:rPr>
          <w:rFonts w:ascii="宋体" w:hAnsi="宋体"/>
          <w:color w:val="auto"/>
          <w:highlight w:val="none"/>
        </w:rPr>
        <w:sectPr>
          <w:footerReference w:type="default" r:id="rId13"/>
          <w:footerReference w:type="first" r:id="rId14"/>
          <w:footnotePr/>
          <w:endnotePr/>
          <w:type w:val="nextPage"/>
          <w:pgSz w:w="11907" w:h="16840" w:orient="portrait"/>
          <w:pgMar w:top="1297" w:right="1134" w:bottom="1077" w:left="1354" w:header="567" w:footer="567" w:gutter="0"/>
          <w:pgNumType w:start="1"/>
          <w:cols w:num="1" w:sep="0" w:space="720" w:equalWidth="1"/>
          <w:docGrid w:linePitch="360"/>
          <w:titlePg/>
        </w:sectPr>
        <w:outlineLvl w:val="1"/>
      </w:pPr>
      <w:r>
        <w:rPr>
          <w:rFonts w:hint="eastAsia" w:ascii="宋体" w:hAnsi="宋体"/>
          <w:color w:val="auto"/>
          <w:highlight w:val="none"/>
        </w:rPr>
        <w:br w:type="page" w:clear="all"/>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4、投标单位情况表</w:t>
      </w:r>
      <w:r/>
    </w:p>
    <w:p>
      <w:pPr>
        <w:pStyle w:val="951"/>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投标人情况表</w:t>
      </w:r>
      <w:r/>
    </w:p>
    <w:p>
      <w:pPr>
        <w:pStyle w:val="739"/>
        <w:ind w:firstLine="48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7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44"/>
        <w:gridCol w:w="1873"/>
        <w:gridCol w:w="1364"/>
        <w:gridCol w:w="1922"/>
        <w:gridCol w:w="1154"/>
      </w:tblGrid>
      <w:tr>
        <w:trPr>
          <w:cantSplit/>
          <w:jc w:val="center"/>
          <w:trHeight w:val="396"/>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87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tcW w:w="136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076"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340"/>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87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tcW w:w="136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076"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cantSplit/>
          <w:jc w:val="center"/>
          <w:trHeight w:val="340"/>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64"/>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873" w:type="dxa"/>
            <w:textDirection w:val="lrTb"/>
            <w:noWrap w:val="false"/>
          </w:tcPr>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3286"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154"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340"/>
        </w:trPr>
        <w:tc>
          <w:tcPr>
            <w:tcW w:w="2344"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873" w:type="dxa"/>
            <w:vAlign w:val="center"/>
            <w:textDirection w:val="lrTb"/>
            <w:noWrap w:val="false"/>
          </w:tcPr>
          <w:p>
            <w:pPr>
              <w:pStyle w:val="739"/>
              <w:ind w:firstLine="12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364"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076" w:type="dxa"/>
            <w:vAlign w:val="center"/>
            <w:textDirection w:val="lrTb"/>
            <w:noWrap w:val="false"/>
          </w:tcPr>
          <w:p>
            <w:pPr>
              <w:pStyle w:val="739"/>
              <w:ind w:left="1260" w:firstLine="0"/>
              <w:jc w:val="center"/>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cantSplit/>
          <w:jc w:val="center"/>
          <w:trHeight w:val="340"/>
        </w:trPr>
        <w:tc>
          <w:tcPr>
            <w:tcW w:w="2344"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873" w:type="dxa"/>
            <w:vAlign w:val="center"/>
            <w:textDirection w:val="lrTb"/>
            <w:noWrap w:val="false"/>
          </w:tcPr>
          <w:p>
            <w:pPr>
              <w:pStyle w:val="739"/>
              <w:ind w:firstLine="96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364"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076" w:type="dxa"/>
            <w:vAlign w:val="center"/>
            <w:textDirection w:val="lrTb"/>
            <w:noWrap w:val="false"/>
          </w:tcPr>
          <w:p>
            <w:pPr>
              <w:pStyle w:val="739"/>
              <w:ind w:firstLine="0"/>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202</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年           万元</w:t>
            </w:r>
            <w:r/>
          </w:p>
        </w:tc>
      </w:tr>
      <w:tr>
        <w:trPr>
          <w:cantSplit/>
          <w:jc w:val="center"/>
          <w:trHeight w:val="340"/>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873" w:type="dxa"/>
            <w:textDirection w:val="lrTb"/>
            <w:noWrap w:val="false"/>
          </w:tcPr>
          <w:p>
            <w:pPr>
              <w:pStyle w:val="739"/>
              <w:ind w:firstLine="0"/>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202</w:t>
            </w:r>
            <w:r>
              <w:rPr>
                <w:rFonts w:hint="eastAsia" w:ascii="宋体" w:hAnsi="宋体" w:eastAsia="宋体" w:cs="宋体"/>
                <w:b/>
                <w:color w:val="auto"/>
                <w:szCs w:val="24"/>
                <w:highlight w:val="none"/>
                <w:lang w:val="en-US" w:eastAsia="zh-CN"/>
              </w:rPr>
              <w:t xml:space="preserve">5</w:t>
            </w:r>
            <w:r>
              <w:rPr>
                <w:rFonts w:hint="eastAsia" w:ascii="宋体" w:hAnsi="宋体" w:eastAsia="宋体" w:cs="宋体"/>
                <w:b/>
                <w:color w:val="auto"/>
                <w:szCs w:val="24"/>
                <w:highlight w:val="none"/>
              </w:rPr>
              <w:t xml:space="preserve">年   万元</w:t>
            </w:r>
            <w:r/>
          </w:p>
        </w:tc>
        <w:tc>
          <w:tcPr>
            <w:tcW w:w="1364"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3076"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64"/>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873"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364" w:type="dxa"/>
            <w:vAlign w:val="center"/>
            <w:textDirection w:val="lrTb"/>
            <w:noWrap w:val="false"/>
          </w:tcPr>
          <w:p>
            <w:pPr>
              <w:pStyle w:val="739"/>
              <w:ind w:firstLine="0"/>
              <w:jc w:val="center"/>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076"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cantSplit/>
          <w:jc w:val="center"/>
          <w:trHeight w:val="978"/>
        </w:trPr>
        <w:tc>
          <w:tcPr>
            <w:tcW w:w="2344"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313" w:type="dxa"/>
            <w:textDirection w:val="lrTb"/>
            <w:noWrap w:val="false"/>
          </w:tcPr>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710"/>
        </w:trPr>
        <w:tc>
          <w:tcPr>
            <w:tcW w:w="2344" w:type="dxa"/>
            <w:vAlign w:val="center"/>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989"/>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近两年来完成或正在履行的重大合同情况</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1313"/>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最近2年内在经营过程中受到何种奖励或处分（包括情况和结果）</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1962"/>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1313"/>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64"/>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r>
        <w:trPr>
          <w:cantSplit/>
          <w:jc w:val="center"/>
          <w:trHeight w:val="680"/>
        </w:trPr>
        <w:tc>
          <w:tcPr>
            <w:tcW w:w="2344" w:type="dxa"/>
            <w:textDirection w:val="lrTb"/>
            <w:noWrap w:val="false"/>
          </w:tcPr>
          <w:p>
            <w:pPr>
              <w:pStyle w:val="739"/>
              <w:ind w:firstLine="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313" w:type="dxa"/>
            <w:textDirection w:val="lrTb"/>
            <w:noWrap w:val="false"/>
          </w:tcPr>
          <w:p>
            <w:pPr>
              <w:pStyle w:val="739"/>
              <w:ind w:left="1260" w:firstLine="0"/>
              <w:rPr>
                <w:rFonts w:ascii="宋体" w:hAnsi="宋体" w:eastAsia="宋体" w:cs="宋体"/>
                <w:color w:val="auto"/>
                <w:szCs w:val="24"/>
                <w:highlight w:val="none"/>
              </w:rPr>
            </w:pPr>
            <w:r>
              <w:rPr>
                <w:rFonts w:ascii="宋体" w:hAnsi="宋体" w:eastAsia="宋体" w:cs="宋体"/>
                <w:color w:val="auto"/>
                <w:szCs w:val="24"/>
                <w:highlight w:val="none"/>
              </w:rPr>
            </w:r>
            <w:r/>
          </w:p>
        </w:tc>
      </w:tr>
    </w:tbl>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5、法定代表人授权委托书</w:t>
      </w:r>
      <w:r/>
    </w:p>
    <w:p>
      <w:pPr>
        <w:pStyle w:val="739"/>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pStyle w:val="951"/>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授权委托书</w:t>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系</w:t>
      </w:r>
      <w:r>
        <w:rPr>
          <w:rFonts w:hint="eastAsia" w:ascii="宋体" w:hAnsi="宋体" w:eastAsia="宋体" w:cs="宋体"/>
          <w:color w:val="auto"/>
          <w:szCs w:val="24"/>
          <w:highlight w:val="none"/>
          <w:u w:val="single"/>
        </w:rPr>
        <w:t xml:space="preserve">（投标人名称）</w:t>
      </w:r>
      <w:r>
        <w:rPr>
          <w:rFonts w:hint="eastAsia" w:ascii="宋体" w:hAnsi="宋体" w:eastAsia="宋体" w:cs="宋体"/>
          <w:color w:val="auto"/>
          <w:szCs w:val="24"/>
          <w:highlight w:val="none"/>
        </w:rPr>
        <w:t xml:space="preserve">的法定代表人，现授权委托</w:t>
      </w:r>
      <w:r>
        <w:rPr>
          <w:rFonts w:hint="eastAsia" w:ascii="宋体" w:hAnsi="宋体" w:eastAsia="宋体" w:cs="宋体"/>
          <w:color w:val="auto"/>
          <w:szCs w:val="24"/>
          <w:highlight w:val="none"/>
          <w:u w:val="single"/>
        </w:rPr>
        <w:t xml:space="preserve">（投标人名称）</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为我公司代理人，以本公司的名义参加</w:t>
      </w:r>
      <w:r>
        <w:rPr>
          <w:rFonts w:hint="eastAsia" w:ascii="宋体" w:hAnsi="宋体" w:eastAsia="宋体" w:cs="宋体"/>
          <w:color w:val="auto"/>
          <w:szCs w:val="24"/>
          <w:highlight w:val="none"/>
          <w:u w:val="single"/>
          <w:lang w:eastAsia="zh-CN"/>
        </w:rPr>
        <w:t xml:space="preserve">东方华星建设管理（江苏）有限公司</w:t>
      </w:r>
      <w:r>
        <w:rPr>
          <w:rFonts w:hint="eastAsia" w:ascii="宋体" w:hAnsi="宋体" w:eastAsia="宋体" w:cs="宋体"/>
          <w:color w:val="auto"/>
          <w:szCs w:val="24"/>
          <w:highlight w:val="none"/>
        </w:rPr>
        <w:t xml:space="preserve">组织实施的编号为</w:t>
      </w:r>
      <w:r>
        <w:rPr>
          <w:rFonts w:hint="eastAsia" w:ascii="宋体" w:hAnsi="宋体" w:eastAsia="宋体" w:cs="宋体"/>
          <w:color w:val="auto"/>
          <w:szCs w:val="24"/>
          <w:highlight w:val="none"/>
          <w:u w:val="single"/>
          <w:lang w:eastAsia="zh-CN"/>
        </w:rPr>
        <w:t xml:space="preserve">JSZC-320585-DFHX-G2026-0014</w:t>
      </w:r>
      <w:r>
        <w:rPr>
          <w:rFonts w:hint="eastAsia" w:ascii="宋体" w:hAnsi="宋体" w:eastAsia="宋体" w:cs="宋体"/>
          <w:color w:val="auto"/>
          <w:szCs w:val="24"/>
          <w:highlight w:val="none"/>
        </w:rPr>
        <w:t xml:space="preserve">号的招标活动。代理人在开标、评标、合同招标过程中所签署的一切文件和处理与这有关的一切事务，我均予以承认。</w:t>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739"/>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投标单位：（盖章）</w:t>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w:t>
      </w:r>
      <w:r/>
    </w:p>
    <w:p>
      <w:pPr>
        <w:pStyle w:val="739"/>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w:t>
      </w:r>
      <w:r>
        <w:rPr>
          <w:rFonts w:hint="eastAsia" w:ascii="宋体" w:hAnsi="宋体" w:eastAsia="宋体" w:cs="宋体"/>
          <w:color w:val="auto"/>
          <w:highlight w:val="none"/>
        </w:rPr>
        <w:t xml:space="preserve">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spacing w:line="360" w:lineRule="auto"/>
        <w:rPr>
          <w:rFonts w:ascii="宋体" w:hAnsi="宋体"/>
          <w:color w:val="auto"/>
          <w:sz w:val="24"/>
          <w:szCs w:val="24"/>
          <w:highlight w:val="none"/>
        </w:rPr>
        <w:outlineLvl w:val="1"/>
      </w:pPr>
      <w:r>
        <w:rPr>
          <w:rFonts w:hint="eastAsia" w:ascii="宋体" w:hAnsi="宋体"/>
          <w:b/>
          <w:color w:val="auto"/>
          <w:sz w:val="24"/>
          <w:szCs w:val="24"/>
          <w:highlight w:val="none"/>
        </w:rPr>
        <w:t xml:space="preserve">6、开标一览表</w:t>
      </w:r>
      <w:r/>
    </w:p>
    <w:p>
      <w:pPr>
        <w:pStyle w:val="951"/>
        <w:jc w:val="center"/>
        <w:spacing w:after="156" w:line="360" w:lineRule="auto"/>
        <w:rPr>
          <w:rFonts w:hAnsi="宋体" w:eastAsia="宋体" w:cs="宋体"/>
          <w:color w:val="auto"/>
          <w:szCs w:val="28"/>
          <w:highlight w:val="none"/>
        </w:rPr>
      </w:pPr>
      <w:r>
        <w:rPr>
          <w:rFonts w:hint="eastAsia" w:hAnsi="宋体" w:eastAsia="宋体" w:cs="宋体"/>
          <w:color w:val="auto"/>
          <w:szCs w:val="28"/>
          <w:highlight w:val="none"/>
        </w:rPr>
        <w:t xml:space="preserve">开标一览表</w:t>
      </w:r>
      <w:r/>
    </w:p>
    <w:tbl>
      <w:tblPr>
        <w:tblStyle w:val="735"/>
        <w:tblW w:w="0" w:type="auto"/>
        <w:tblInd w:w="119" w:type="dxa"/>
        <w:tblLayout w:type="fixed"/>
        <w:tblCellMar>
          <w:left w:w="108" w:type="dxa"/>
          <w:top w:w="0" w:type="dxa"/>
          <w:right w:w="108" w:type="dxa"/>
          <w:bottom w:w="0" w:type="dxa"/>
        </w:tblCellMar>
        <w:tblLook w:val="04A0" w:firstRow="1" w:lastRow="0" w:firstColumn="1" w:lastColumn="0" w:noHBand="0" w:noVBand="1"/>
      </w:tblPr>
      <w:tblGrid>
        <w:gridCol w:w="1847"/>
        <w:gridCol w:w="7652"/>
      </w:tblGrid>
      <w:tr>
        <w:trPr>
          <w:trHeight w:val="663"/>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color w:val="auto"/>
                <w:sz w:val="24"/>
                <w:szCs w:val="24"/>
                <w:highlight w:val="none"/>
              </w:rPr>
            </w:r>
            <w:r/>
          </w:p>
        </w:tc>
      </w:tr>
      <w:tr>
        <w:trPr>
          <w:trHeight w:val="663"/>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招标编号</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color w:val="auto"/>
                <w:sz w:val="24"/>
                <w:szCs w:val="24"/>
                <w:highlight w:val="none"/>
              </w:rPr>
            </w:r>
            <w:r/>
          </w:p>
        </w:tc>
      </w:tr>
      <w:tr>
        <w:trPr>
          <w:trHeight w:val="663"/>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投标总价</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rFonts w:hint="eastAsia"/>
                <w:color w:val="auto"/>
                <w:sz w:val="24"/>
                <w:szCs w:val="24"/>
                <w:highlight w:val="none"/>
              </w:rPr>
              <w:t xml:space="preserve">人民币大写：</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元整（小写：￥</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w:t>
            </w:r>
            <w:r/>
          </w:p>
        </w:tc>
      </w:tr>
      <w:tr>
        <w:trPr>
          <w:trHeight w:val="694"/>
        </w:trPr>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服务期限</w:t>
            </w:r>
            <w:r/>
          </w:p>
        </w:tc>
        <w:tc>
          <w:tcPr>
            <w:tcBorders>
              <w:top w:val="single" w:color="auto" w:sz="4" w:space="0"/>
              <w:left w:val="none" w:color="000000" w:sz="4" w:space="0"/>
              <w:bottom w:val="single" w:color="auto" w:sz="4" w:space="0"/>
              <w:right w:val="single" w:color="auto" w:sz="4" w:space="0"/>
            </w:tcBorders>
            <w:tcW w:w="7652" w:type="dxa"/>
            <w:vAlign w:val="center"/>
            <w:textDirection w:val="lrTb"/>
            <w:noWrap w:val="false"/>
          </w:tcPr>
          <w:p>
            <w:pPr>
              <w:widowControl/>
              <w:rPr>
                <w:color w:val="auto"/>
                <w:sz w:val="24"/>
                <w:szCs w:val="24"/>
                <w:highlight w:val="none"/>
              </w:rPr>
            </w:pPr>
            <w:r>
              <w:rPr>
                <w:color w:val="auto"/>
                <w:sz w:val="24"/>
                <w:szCs w:val="24"/>
                <w:highlight w:val="none"/>
              </w:rPr>
            </w:r>
            <w:r/>
          </w:p>
        </w:tc>
      </w:tr>
    </w:tbl>
    <w:p>
      <w:pPr>
        <w:ind w:firstLine="720"/>
        <w:jc w:val="left"/>
        <w:rPr>
          <w:rFonts w:ascii="宋体" w:hAnsi="宋体"/>
          <w:color w:val="auto"/>
          <w:sz w:val="24"/>
          <w:szCs w:val="24"/>
          <w:highlight w:val="none"/>
        </w:rPr>
      </w:pPr>
      <w:r>
        <w:rPr>
          <w:rFonts w:ascii="宋体" w:hAnsi="宋体"/>
          <w:color w:val="auto"/>
          <w:sz w:val="24"/>
          <w:szCs w:val="24"/>
          <w:highlight w:val="none"/>
        </w:rPr>
      </w:r>
      <w:r/>
    </w:p>
    <w:p>
      <w:pPr>
        <w:ind w:firstLine="723"/>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ind w:firstLine="4320"/>
        <w:spacing w:line="460" w:lineRule="exact"/>
        <w:rPr>
          <w:rFonts w:ascii="宋体" w:hAnsi="宋体"/>
          <w:color w:val="auto"/>
          <w:sz w:val="24"/>
          <w:szCs w:val="24"/>
          <w:highlight w:val="none"/>
        </w:rPr>
      </w:pPr>
      <w:r>
        <w:rPr>
          <w:rFonts w:ascii="宋体" w:hAnsi="宋体"/>
          <w:color w:val="auto"/>
          <w:sz w:val="24"/>
          <w:szCs w:val="24"/>
          <w:highlight w:val="none"/>
        </w:rPr>
      </w:r>
      <w:r/>
    </w:p>
    <w:p>
      <w:pPr>
        <w:pStyle w:val="951"/>
        <w:spacing w:line="48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注：电子投标文件中《开标一览表》按系统内格式填写。</w:t>
      </w:r>
      <w:r/>
    </w:p>
    <w:p>
      <w:pPr>
        <w:ind w:firstLine="4320"/>
        <w:spacing w:line="460" w:lineRule="exact"/>
        <w:rPr>
          <w:rFonts w:ascii="宋体" w:hAnsi="宋体"/>
          <w:color w:val="auto"/>
          <w:sz w:val="24"/>
          <w:szCs w:val="24"/>
          <w:highlight w:val="none"/>
        </w:rPr>
      </w:pPr>
      <w:r>
        <w:rPr>
          <w:rFonts w:ascii="宋体" w:hAnsi="宋体"/>
          <w:color w:val="auto"/>
          <w:sz w:val="24"/>
          <w:szCs w:val="24"/>
          <w:highlight w:val="none"/>
        </w:rPr>
      </w:r>
      <w:r/>
    </w:p>
    <w:p>
      <w:pPr>
        <w:pStyle w:val="951"/>
        <w:spacing w:line="48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highlight w:val="none"/>
        </w:rPr>
        <w:outlineLvl w:val="1"/>
      </w:pPr>
      <w:r>
        <w:rPr>
          <w:rFonts w:hint="eastAsia" w:ascii="宋体" w:hAnsi="宋体"/>
          <w:color w:val="auto"/>
          <w:highlight w:val="none"/>
        </w:rPr>
        <w:br w:type="page" w:clear="all"/>
      </w:r>
      <w:r>
        <w:rPr>
          <w:rFonts w:hint="eastAsia" w:ascii="宋体" w:hAnsi="宋体"/>
          <w:b/>
          <w:color w:val="auto"/>
          <w:sz w:val="24"/>
          <w:szCs w:val="24"/>
          <w:highlight w:val="none"/>
        </w:rPr>
        <w:t xml:space="preserve">7、投标报价明细表</w:t>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（一）投标报价明细表</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采购编号:                                                       价格单位：元</w:t>
      </w:r>
      <w:r/>
    </w:p>
    <w:tbl>
      <w:tblPr>
        <w:tblStyle w:val="735"/>
        <w:tblW w:w="0" w:type="auto"/>
        <w:jc w:val="center"/>
        <w:tblLayout w:type="fixed"/>
        <w:tblCellMar>
          <w:left w:w="108" w:type="dxa"/>
          <w:top w:w="15" w:type="dxa"/>
          <w:right w:w="108" w:type="dxa"/>
          <w:bottom w:w="15" w:type="dxa"/>
        </w:tblCellMar>
        <w:tblLook w:val="04A0" w:firstRow="1" w:lastRow="0" w:firstColumn="1" w:lastColumn="0" w:noHBand="0" w:noVBand="1"/>
      </w:tblPr>
      <w:tblGrid>
        <w:gridCol w:w="766"/>
        <w:gridCol w:w="2242"/>
        <w:gridCol w:w="1661"/>
        <w:gridCol w:w="1502"/>
        <w:gridCol w:w="1502"/>
        <w:gridCol w:w="1665"/>
      </w:tblGrid>
      <w:tr>
        <w:trPr>
          <w:jc w:val="center"/>
          <w:trHeight w:val="6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数量/费率</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备注</w:t>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财务总监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82"/>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lang w:val="zh-CN"/>
              </w:rPr>
              <w:t xml:space="preserve">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82"/>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驻村社区出纳员</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82"/>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管理费用</w:t>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50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4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4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合计（大写）</w:t>
            </w:r>
            <w:r/>
          </w:p>
        </w:tc>
        <w:tc>
          <w:tcPr>
            <w:gridSpan w:val="4"/>
            <w:tcBorders>
              <w:top w:val="single" w:color="auto" w:sz="4" w:space="0"/>
              <w:left w:val="single" w:color="auto" w:sz="4" w:space="0"/>
              <w:bottom w:val="single" w:color="auto" w:sz="4" w:space="0"/>
              <w:right w:val="single" w:color="000000" w:sz="4" w:space="0"/>
            </w:tcBorders>
            <w:tcW w:w="633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注：投标报价分析表合计价格须与开标一览表一致，否则以报价一览表金额为准。</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（二）投标报价合理性说明（如有）</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770"/>
        <w:rPr>
          <w:rFonts w:ascii="宋体" w:hAnsi="宋体" w:eastAsia="宋体" w:cs="宋体"/>
          <w:color w:val="auto"/>
          <w:highlight w:val="none"/>
        </w:rPr>
      </w:pPr>
      <w:r>
        <w:rPr>
          <w:rFonts w:ascii="宋体" w:hAnsi="宋体" w:eastAsia="宋体" w:cs="宋体"/>
          <w:color w:val="auto"/>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rPr>
          <w:rFonts w:ascii="宋体" w:hAnsi="宋体"/>
          <w:b/>
          <w:bCs/>
          <w:color w:val="auto"/>
          <w:sz w:val="32"/>
          <w:szCs w:val="32"/>
          <w:highlight w:val="none"/>
        </w:rPr>
      </w:pPr>
      <w:r>
        <w:rPr>
          <w:rFonts w:hint="eastAsia" w:ascii="宋体" w:hAnsi="宋体"/>
          <w:color w:val="auto"/>
          <w:highlight w:val="none"/>
        </w:rPr>
        <w:br w:type="page" w:clear="all"/>
      </w:r>
      <w:r/>
    </w:p>
    <w:p>
      <w:pPr>
        <w:spacing w:line="360" w:lineRule="auto"/>
        <w:rPr>
          <w:rFonts w:ascii="宋体" w:hAnsi="宋体"/>
          <w:color w:val="auto"/>
          <w:sz w:val="24"/>
          <w:szCs w:val="24"/>
          <w:highlight w:val="none"/>
        </w:rPr>
        <w:sectPr>
          <w:footnotePr/>
          <w:endnotePr/>
          <w:type w:val="nextPage"/>
          <w:pgSz w:w="11907" w:h="16840" w:orient="portrait"/>
          <w:pgMar w:top="1077" w:right="1134" w:bottom="1077" w:left="1354" w:header="567" w:footer="567" w:gutter="0"/>
          <w:cols w:num="1" w:sep="0" w:space="720" w:equalWidth="1"/>
          <w:docGrid w:linePitch="360"/>
          <w:titlePg/>
        </w:sectPr>
      </w:pPr>
      <w:r>
        <w:rPr>
          <w:rFonts w:ascii="宋体" w:hAnsi="宋体"/>
          <w:color w:val="auto"/>
          <w:sz w:val="24"/>
          <w:szCs w:val="24"/>
          <w:highlight w:val="none"/>
        </w:rPr>
      </w:r>
      <w:r/>
    </w:p>
    <w:p>
      <w:pPr>
        <w:spacing w:line="360" w:lineRule="auto"/>
        <w:rPr>
          <w:rFonts w:ascii="宋体" w:hAnsi="宋体"/>
          <w:color w:val="auto"/>
          <w:highlight w:val="none"/>
        </w:rPr>
        <w:outlineLvl w:val="1"/>
      </w:pPr>
      <w:r>
        <w:rPr>
          <w:rFonts w:hint="eastAsia" w:ascii="宋体" w:hAnsi="宋体"/>
          <w:b/>
          <w:color w:val="auto"/>
          <w:sz w:val="24"/>
          <w:szCs w:val="24"/>
          <w:highlight w:val="none"/>
        </w:rPr>
        <w:t xml:space="preserve">8、服务要求偏离表</w:t>
      </w:r>
      <w:r/>
    </w:p>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服务要求偏离表</w:t>
      </w:r>
      <w:r/>
    </w:p>
    <w:tbl>
      <w:tblPr>
        <w:tblStyle w:val="735"/>
        <w:tblW w:w="92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3"/>
        <w:gridCol w:w="2295"/>
        <w:gridCol w:w="2306"/>
        <w:gridCol w:w="2033"/>
        <w:gridCol w:w="1770"/>
      </w:tblGrid>
      <w:tr>
        <w:trPr>
          <w:jc w:val="center"/>
          <w:trHeight w:val="1135"/>
        </w:trPr>
        <w:tc>
          <w:tcPr>
            <w:tcBorders>
              <w:top w:val="single" w:color="000000" w:sz="12" w:space="0"/>
              <w:left w:val="single" w:color="000000" w:sz="12" w:space="0"/>
              <w:bottom w:val="single" w:color="000000" w:sz="4" w:space="0"/>
              <w:right w:val="single" w:color="000000" w:sz="4" w:space="0"/>
            </w:tcBorders>
            <w:tcW w:w="833" w:type="dxa"/>
            <w:vAlign w:val="center"/>
            <w:textDirection w:val="lrTb"/>
            <w:noWrap w:val="false"/>
          </w:tcPr>
          <w:p>
            <w:pPr>
              <w:jc w:val="center"/>
              <w:spacing w:before="240" w:after="240"/>
              <w:rPr>
                <w:rStyle w:val="1052"/>
                <w:rFonts w:asciiTheme="minorEastAsia" w:hAnsiTheme="minorEastAsia" w:eastAsiaTheme="minorEastAsia"/>
                <w:color w:val="auto"/>
                <w:sz w:val="24"/>
                <w:szCs w:val="24"/>
                <w:highlight w:val="none"/>
              </w:rPr>
            </w:pPr>
            <w:r>
              <w:rPr>
                <w:rStyle w:val="1052"/>
                <w:rFonts w:asciiTheme="minorEastAsia" w:hAnsiTheme="minorEastAsia" w:eastAsiaTheme="minorEastAsia"/>
                <w:color w:val="auto"/>
                <w:sz w:val="24"/>
                <w:szCs w:val="24"/>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sz w:val="24"/>
                <w:szCs w:val="24"/>
                <w:highlight w:val="none"/>
              </w:rPr>
            </w:pPr>
            <w:r>
              <w:rPr>
                <w:rStyle w:val="1052"/>
                <w:rFonts w:hint="eastAsia" w:asciiTheme="minorEastAsia" w:hAnsiTheme="minorEastAsia" w:eastAsiaTheme="minorEastAsia"/>
                <w:color w:val="auto"/>
                <w:sz w:val="24"/>
                <w:szCs w:val="24"/>
                <w:highlight w:val="none"/>
              </w:rPr>
              <w:t xml:space="preserve">项目</w:t>
            </w:r>
            <w:r/>
          </w:p>
        </w:tc>
        <w:tc>
          <w:tcPr>
            <w:tcBorders>
              <w:top w:val="single" w:color="000000" w:sz="12"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cs="Times New Roman" w:asciiTheme="minorEastAsia" w:hAnsiTheme="minorEastAsia" w:eastAsiaTheme="minorEastAsia"/>
                <w:color w:val="auto"/>
                <w:sz w:val="24"/>
                <w:szCs w:val="24"/>
                <w:highlight w:val="none"/>
              </w:rPr>
            </w:pPr>
            <w:r>
              <w:rPr>
                <w:rStyle w:val="1052"/>
                <w:rFonts w:hint="eastAsia" w:cs="Times New Roman" w:asciiTheme="minorEastAsia" w:hAnsiTheme="minorEastAsia" w:eastAsiaTheme="minorEastAsia"/>
                <w:color w:val="auto"/>
                <w:sz w:val="24"/>
                <w:szCs w:val="24"/>
                <w:highlight w:val="none"/>
              </w:rPr>
              <w:t xml:space="preserve">招标文件</w:t>
            </w:r>
            <w:r/>
          </w:p>
          <w:p>
            <w:pPr>
              <w:jc w:val="center"/>
              <w:rPr>
                <w:rStyle w:val="1052"/>
                <w:rFonts w:cs="Times New Roman" w:asciiTheme="minorEastAsia" w:hAnsiTheme="minorEastAsia" w:eastAsiaTheme="minorEastAsia"/>
                <w:color w:val="auto"/>
                <w:sz w:val="24"/>
                <w:szCs w:val="24"/>
                <w:highlight w:val="none"/>
              </w:rPr>
            </w:pPr>
            <w:r>
              <w:rPr>
                <w:rStyle w:val="1052"/>
                <w:rFonts w:hint="eastAsia" w:cs="Times New Roman" w:asciiTheme="minorEastAsia" w:hAnsiTheme="minorEastAsia" w:eastAsiaTheme="minorEastAsia"/>
                <w:color w:val="auto"/>
                <w:sz w:val="24"/>
                <w:szCs w:val="24"/>
                <w:highlight w:val="none"/>
              </w:rPr>
              <w:t xml:space="preserve">服务要求</w:t>
            </w:r>
            <w:r/>
          </w:p>
        </w:tc>
        <w:tc>
          <w:tcPr>
            <w:tcBorders>
              <w:top w:val="single" w:color="000000" w:sz="12"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cs="Times New Roman" w:asciiTheme="minorEastAsia" w:hAnsiTheme="minorEastAsia" w:eastAsiaTheme="minorEastAsia"/>
                <w:color w:val="auto"/>
                <w:sz w:val="24"/>
                <w:szCs w:val="24"/>
                <w:highlight w:val="none"/>
              </w:rPr>
            </w:pPr>
            <w:r>
              <w:rPr>
                <w:rStyle w:val="1052"/>
                <w:rFonts w:hint="eastAsia" w:cs="Times New Roman" w:asciiTheme="minorEastAsia" w:hAnsiTheme="minorEastAsia" w:eastAsiaTheme="minorEastAsia"/>
                <w:color w:val="auto"/>
                <w:sz w:val="24"/>
                <w:szCs w:val="24"/>
                <w:highlight w:val="none"/>
              </w:rPr>
              <w:t xml:space="preserve">投标文件</w:t>
            </w:r>
            <w:r/>
          </w:p>
          <w:p>
            <w:pPr>
              <w:jc w:val="center"/>
              <w:rPr>
                <w:rStyle w:val="1052"/>
                <w:rFonts w:cs="Times New Roman" w:asciiTheme="minorEastAsia" w:hAnsiTheme="minorEastAsia" w:eastAsiaTheme="minorEastAsia"/>
                <w:color w:val="auto"/>
                <w:sz w:val="24"/>
                <w:szCs w:val="24"/>
                <w:highlight w:val="none"/>
              </w:rPr>
            </w:pPr>
            <w:r>
              <w:rPr>
                <w:rStyle w:val="1052"/>
                <w:rFonts w:hint="eastAsia" w:cs="Times New Roman" w:asciiTheme="minorEastAsia" w:hAnsiTheme="minorEastAsia" w:eastAsiaTheme="minorEastAsia"/>
                <w:color w:val="auto"/>
                <w:sz w:val="24"/>
                <w:szCs w:val="24"/>
                <w:highlight w:val="none"/>
              </w:rPr>
              <w:t xml:space="preserve">响应要求</w:t>
            </w:r>
            <w:r/>
          </w:p>
        </w:tc>
        <w:tc>
          <w:tcPr>
            <w:tcBorders>
              <w:top w:val="single" w:color="000000" w:sz="12"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sz w:val="24"/>
                <w:szCs w:val="24"/>
                <w:highlight w:val="none"/>
              </w:rPr>
            </w:pPr>
            <w:r>
              <w:rPr>
                <w:rStyle w:val="1052"/>
                <w:rFonts w:hint="eastAsia" w:asciiTheme="minorEastAsia" w:hAnsiTheme="minorEastAsia" w:eastAsiaTheme="minorEastAsia"/>
                <w:color w:val="auto"/>
                <w:sz w:val="24"/>
                <w:szCs w:val="24"/>
                <w:highlight w:val="none"/>
              </w:rPr>
              <w:t xml:space="preserve">偏离</w:t>
            </w:r>
            <w:r>
              <w:rPr>
                <w:rStyle w:val="1052"/>
                <w:rFonts w:asciiTheme="minorEastAsia" w:hAnsiTheme="minorEastAsia" w:eastAsiaTheme="minorEastAsia"/>
                <w:color w:val="auto"/>
                <w:sz w:val="24"/>
                <w:szCs w:val="24"/>
                <w:highlight w:val="none"/>
              </w:rPr>
              <w:t xml:space="preserve">说明</w:t>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560"/>
        </w:trPr>
        <w:tc>
          <w:tcPr>
            <w:tcBorders>
              <w:top w:val="single" w:color="000000" w:sz="4" w:space="0"/>
              <w:left w:val="single" w:color="000000" w:sz="12" w:space="0"/>
              <w:bottom w:val="single" w:color="000000" w:sz="4" w:space="0"/>
              <w:right w:val="single" w:color="000000" w:sz="4" w:space="0"/>
            </w:tcBorders>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000000" w:sz="4" w:space="0"/>
              <w:left w:val="single" w:color="000000" w:sz="4" w:space="0"/>
              <w:bottom w:val="single" w:color="000000" w:sz="4" w:space="0"/>
              <w:right w:val="single" w:color="000000" w:sz="12" w:space="0"/>
            </w:tcBorders>
            <w:tcW w:w="1770" w:type="dxa"/>
            <w:vAlign w:val="center"/>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jc w:val="center"/>
          <w:trHeight w:val="634"/>
        </w:trPr>
        <w:tc>
          <w:tcPr>
            <w:tcW w:w="833" w:type="dxa"/>
            <w:textDirection w:val="lrTb"/>
            <w:noWrap w:val="false"/>
          </w:tcPr>
          <w:p>
            <w:pPr>
              <w:jc w:val="center"/>
              <w:spacing w:line="400" w:lineRule="atLeast"/>
              <w:rPr>
                <w:rFonts w:ascii="宋体" w:hAnsi="宋体"/>
                <w:color w:val="auto"/>
                <w:szCs w:val="21"/>
                <w:highlight w:val="none"/>
              </w:rPr>
            </w:pPr>
            <w:r>
              <w:rPr>
                <w:rFonts w:hint="eastAsia" w:ascii="宋体" w:hAnsi="宋体"/>
                <w:color w:val="auto"/>
                <w:szCs w:val="21"/>
                <w:highlight w:val="none"/>
              </w:rPr>
              <w:t xml:space="preserve">...</w:t>
            </w:r>
            <w:r/>
          </w:p>
        </w:tc>
        <w:tc>
          <w:tcPr>
            <w:tcW w:w="2295" w:type="dxa"/>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306" w:type="dxa"/>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2033" w:type="dxa"/>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1770" w:type="dxa"/>
            <w:textDirection w:val="lrTb"/>
            <w:noWrap w:val="false"/>
          </w:tcPr>
          <w:p>
            <w:pPr>
              <w:jc w:val="center"/>
              <w:rPr>
                <w:rStyle w:val="1052"/>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注：1、投标人应对照招标文件服务要求等要求，所投标的物与招标文件的规定有偏离的（无论正偏离或负偏离），均应在此表中申明与服务要求条文的偏差和例外。</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spacing w:line="360" w:lineRule="auto"/>
        <w:rPr>
          <w:rFonts w:ascii="宋体" w:hAnsi="宋体"/>
          <w:color w:val="auto"/>
          <w:highlight w:val="none"/>
        </w:rPr>
        <w:outlineLvl w:val="1"/>
      </w:pPr>
      <w:r>
        <w:rPr>
          <w:rFonts w:hint="eastAsia" w:ascii="宋体" w:hAnsi="宋体"/>
          <w:color w:val="auto"/>
          <w:szCs w:val="24"/>
          <w:highlight w:val="none"/>
        </w:rPr>
        <w:br w:type="page" w:clear="all"/>
      </w:r>
      <w:r>
        <w:rPr>
          <w:rFonts w:hint="eastAsia" w:ascii="宋体" w:hAnsi="宋体"/>
          <w:b/>
          <w:color w:val="auto"/>
          <w:sz w:val="24"/>
          <w:szCs w:val="24"/>
          <w:highlight w:val="none"/>
        </w:rPr>
        <w:t xml:space="preserve">9、商务条款偏离表</w:t>
      </w:r>
      <w:r/>
    </w:p>
    <w:p>
      <w:pPr>
        <w:pStyle w:val="739"/>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商务条款偏离表</w:t>
      </w:r>
      <w:r/>
    </w:p>
    <w:tbl>
      <w:tblPr>
        <w:tblStyle w:val="735"/>
        <w:tblW w:w="96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583"/>
        <w:gridCol w:w="2333"/>
        <w:gridCol w:w="1900"/>
        <w:gridCol w:w="1284"/>
        <w:gridCol w:w="1666"/>
      </w:tblGrid>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w:t>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招标文件</w:t>
            </w:r>
            <w:r/>
          </w:p>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商务条款</w:t>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投标文件</w:t>
            </w:r>
            <w:r/>
          </w:p>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商务条款</w:t>
            </w:r>
            <w:r/>
          </w:p>
        </w:tc>
        <w:tc>
          <w:tcPr>
            <w:tcW w:w="1284"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是否偏离</w:t>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w:t>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W w:w="1583"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服务</w:t>
            </w:r>
            <w:r>
              <w:rPr>
                <w:rFonts w:hint="eastAsia" w:ascii="宋体" w:hAnsi="宋体"/>
                <w:color w:val="auto"/>
                <w:szCs w:val="21"/>
                <w:highlight w:val="none"/>
                <w:lang w:val="zh-CN"/>
              </w:rPr>
              <w:t xml:space="preserve">期限</w:t>
            </w:r>
            <w:r/>
          </w:p>
        </w:tc>
        <w:tc>
          <w:tcPr>
            <w:tcW w:w="2333"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1583"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服务</w:t>
            </w:r>
            <w:r>
              <w:rPr>
                <w:rFonts w:hint="eastAsia" w:ascii="宋体" w:hAnsi="宋体"/>
                <w:color w:val="auto"/>
                <w:szCs w:val="21"/>
                <w:highlight w:val="none"/>
                <w:lang w:val="zh-CN"/>
              </w:rPr>
              <w:t xml:space="preserve">地点</w:t>
            </w:r>
            <w:r/>
          </w:p>
        </w:tc>
        <w:tc>
          <w:tcPr>
            <w:tcW w:w="2333"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W w:w="1583"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付款方式</w:t>
            </w:r>
            <w:r/>
          </w:p>
        </w:tc>
        <w:tc>
          <w:tcPr>
            <w:tcW w:w="2333"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p>
        </w:tc>
        <w:tc>
          <w:tcPr>
            <w:tcW w:w="1583" w:type="dxa"/>
            <w:vAlign w:val="center"/>
            <w:textDirection w:val="lrTb"/>
            <w:noWrap w:val="false"/>
          </w:tcPr>
          <w:p>
            <w:pPr>
              <w:jc w:val="center"/>
              <w:rPr>
                <w:rFonts w:ascii="宋体" w:hAnsi="宋体"/>
                <w:bCs/>
                <w:color w:val="auto"/>
                <w:szCs w:val="21"/>
                <w:highlight w:val="none"/>
                <w:lang w:val="zh-CN"/>
              </w:rPr>
            </w:pPr>
            <w:r>
              <w:rPr>
                <w:rFonts w:hint="eastAsia" w:ascii="宋体" w:hAnsi="宋体"/>
                <w:color w:val="auto"/>
                <w:szCs w:val="21"/>
                <w:highlight w:val="none"/>
                <w:lang w:val="zh-CN"/>
              </w:rPr>
              <w:t xml:space="preserve">其他商务要求</w:t>
            </w:r>
            <w:r/>
          </w:p>
        </w:tc>
        <w:tc>
          <w:tcPr>
            <w:tcW w:w="233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Pr>
        <w:tc>
          <w:tcPr>
            <w:tcW w:w="922"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8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333"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900"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284" w:type="dxa"/>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666" w:type="dxa"/>
            <w:vAlign w:val="center"/>
            <w:textDirection w:val="lrTb"/>
            <w:noWrap w:val="false"/>
          </w:tcPr>
          <w:p>
            <w:pPr>
              <w:jc w:val="center"/>
              <w:spacing w:before="156" w:after="156"/>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pStyle w:val="744"/>
        <w:rPr>
          <w:rFonts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10、类似项目业绩一览表</w:t>
      </w:r>
      <w:r/>
    </w:p>
    <w:p>
      <w:pPr>
        <w:pStyle w:val="743"/>
        <w:rPr>
          <w:color w:val="auto"/>
          <w:highlight w:val="none"/>
        </w:rPr>
      </w:pPr>
      <w:r>
        <w:rPr>
          <w:color w:val="auto"/>
          <w:highlight w:val="none"/>
        </w:rPr>
      </w:r>
      <w:r/>
    </w:p>
    <w:p>
      <w:pPr>
        <w:jc w:val="center"/>
        <w:spacing w:after="156" w:line="360" w:lineRule="auto"/>
        <w:rPr>
          <w:rFonts w:ascii="宋体" w:hAnsi="宋体"/>
          <w:color w:val="auto"/>
          <w:sz w:val="28"/>
          <w:szCs w:val="28"/>
          <w:highlight w:val="none"/>
        </w:rPr>
      </w:pPr>
      <w:r>
        <w:rPr>
          <w:rFonts w:hint="eastAsia" w:ascii="宋体" w:hAnsi="宋体"/>
          <w:color w:val="auto"/>
          <w:sz w:val="28"/>
          <w:szCs w:val="28"/>
          <w:highlight w:val="none"/>
        </w:rPr>
        <w:t xml:space="preserve">类似项目业绩一览表</w:t>
      </w:r>
      <w:r/>
    </w:p>
    <w:tbl>
      <w:tblPr>
        <w:tblStyle w:val="735"/>
        <w:tblW w:w="9338" w:type="dxa"/>
        <w:tblInd w:w="0" w:type="dxa"/>
        <w:tblLayout w:type="fixed"/>
        <w:tblCellMar>
          <w:left w:w="0" w:type="dxa"/>
          <w:top w:w="0" w:type="dxa"/>
          <w:right w:w="0" w:type="dxa"/>
          <w:bottom w:w="0" w:type="dxa"/>
        </w:tblCellMar>
        <w:tblLook w:val="04A0" w:firstRow="1" w:lastRow="0" w:firstColumn="1" w:lastColumn="0" w:noHBand="0" w:noVBand="1"/>
      </w:tblPr>
      <w:tblGrid>
        <w:gridCol w:w="764"/>
        <w:gridCol w:w="2156"/>
        <w:gridCol w:w="1622"/>
        <w:gridCol w:w="1649"/>
        <w:gridCol w:w="1779"/>
        <w:gridCol w:w="1368"/>
      </w:tblGrid>
      <w:tr>
        <w:trPr>
          <w:trHeight w:val="760"/>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合同签订时间</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合同金额</w:t>
            </w:r>
            <w:r/>
          </w:p>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0" w:type="dxa"/>
              <w:right w:w="0" w:type="dxa"/>
            </w:tcMar>
            <w:tcW w:w="764"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2156"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22"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64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779"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1368" w:type="dxa"/>
            <w:vAlign w:val="center"/>
            <w:textDirection w:val="lrTb"/>
            <w:noWrap w:val="false"/>
          </w:tcPr>
          <w:p>
            <w:pPr>
              <w:jc w:val="center"/>
              <w:spacing w:line="380" w:lineRule="exact"/>
              <w:rPr>
                <w:rFonts w:ascii="宋体" w:hAnsi="宋体"/>
                <w:color w:val="auto"/>
                <w:sz w:val="24"/>
                <w:szCs w:val="24"/>
                <w:highlight w:val="none"/>
              </w:rPr>
            </w:pPr>
            <w:r>
              <w:rPr>
                <w:rFonts w:ascii="宋体" w:hAnsi="宋体"/>
                <w:color w:val="auto"/>
                <w:sz w:val="24"/>
                <w:szCs w:val="24"/>
                <w:highlight w:val="none"/>
              </w:rPr>
            </w:r>
            <w:r/>
          </w:p>
        </w:tc>
      </w:tr>
    </w:tbl>
    <w:p>
      <w:pPr>
        <w:pStyle w:val="960"/>
        <w:ind w:firstLine="480"/>
        <w:rPr>
          <w:rFonts w:cs="宋体"/>
          <w:bCs/>
          <w:color w:val="auto"/>
          <w:highlight w:val="none"/>
        </w:rPr>
      </w:pPr>
      <w:r>
        <w:rPr>
          <w:rFonts w:hint="eastAsia" w:cs="宋体"/>
          <w:bCs/>
          <w:color w:val="auto"/>
          <w:highlight w:val="none"/>
        </w:rPr>
        <w:t xml:space="preserve">注：</w:t>
      </w:r>
      <w:r>
        <w:rPr>
          <w:rFonts w:hint="eastAsia" w:cs="宋体"/>
          <w:color w:val="auto"/>
          <w:highlight w:val="none"/>
        </w:rPr>
        <w:t xml:space="preserve">按照招标文件要求及评分标准提供相应证明材料。</w:t>
      </w:r>
      <w:r/>
    </w:p>
    <w:p>
      <w:pPr>
        <w:ind w:firstLine="420"/>
        <w:spacing w:line="360" w:lineRule="auto"/>
        <w:rPr>
          <w:rFonts w:ascii="宋体" w:hAnsi="宋体"/>
          <w:color w:val="auto"/>
          <w:highlight w:val="none"/>
        </w:rPr>
      </w:pPr>
      <w:r>
        <w:rPr>
          <w:rFonts w:ascii="宋体" w:hAnsi="宋体"/>
          <w:color w:val="auto"/>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b/>
          <w:color w:val="auto"/>
          <w:sz w:val="24"/>
          <w:szCs w:val="24"/>
          <w:highlight w:val="none"/>
        </w:rPr>
        <w:t xml:space="preserve">11、拟投入本项目的财务总监简历表</w:t>
      </w:r>
      <w:r/>
    </w:p>
    <w:p>
      <w:pPr>
        <w:pStyle w:val="743"/>
        <w:rPr>
          <w:color w:val="auto"/>
          <w:highlight w:val="none"/>
        </w:rPr>
      </w:pPr>
      <w:r>
        <w:rPr>
          <w:color w:val="auto"/>
          <w:highlight w:val="none"/>
        </w:rPr>
      </w:r>
      <w:r/>
    </w:p>
    <w:p>
      <w:pPr>
        <w:pStyle w:val="739"/>
        <w:ind w:firstLine="0"/>
        <w:jc w:val="center"/>
        <w:spacing w:after="156"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拟投入本项目的财务总监简历表</w:t>
      </w:r>
      <w:r/>
    </w:p>
    <w:tbl>
      <w:tblPr>
        <w:tblStyle w:val="735"/>
        <w:tblW w:w="9637" w:type="dxa"/>
        <w:tblInd w:w="113" w:type="dxa"/>
        <w:tblLayout w:type="fixed"/>
        <w:tblCellMar>
          <w:left w:w="108" w:type="dxa"/>
          <w:top w:w="0" w:type="dxa"/>
          <w:right w:w="108" w:type="dxa"/>
          <w:bottom w:w="0" w:type="dxa"/>
        </w:tblCellMar>
        <w:tblLook w:val="04A0" w:firstRow="1" w:lastRow="0" w:firstColumn="1" w:lastColumn="0" w:noHBand="0" w:noVBand="1"/>
      </w:tblPr>
      <w:tblGrid>
        <w:gridCol w:w="1637"/>
        <w:gridCol w:w="1766"/>
        <w:gridCol w:w="882"/>
        <w:gridCol w:w="1343"/>
        <w:gridCol w:w="2043"/>
        <w:gridCol w:w="1966"/>
      </w:tblGrid>
      <w:tr>
        <w:trPr>
          <w:trHeight w:val="580"/>
        </w:trPr>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Borders>
              <w:top w:val="single" w:color="auto" w:sz="4" w:space="0"/>
              <w:left w:val="none" w:color="000000" w:sz="4" w:space="0"/>
              <w:bottom w:val="single" w:color="auto" w:sz="4" w:space="0"/>
              <w:right w:val="single" w:color="auto" w:sz="4" w:space="0"/>
            </w:tcBorders>
            <w:tcW w:w="17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性别</w:t>
            </w:r>
            <w:r/>
          </w:p>
        </w:tc>
        <w:tc>
          <w:tcPr>
            <w:tcBorders>
              <w:top w:val="single" w:color="auto" w:sz="4" w:space="0"/>
              <w:left w:val="none" w:color="000000"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580"/>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Borders>
              <w:top w:val="none" w:color="000000" w:sz="4" w:space="0"/>
              <w:left w:val="none" w:color="000000" w:sz="4" w:space="0"/>
              <w:bottom w:val="single" w:color="auto" w:sz="4" w:space="0"/>
              <w:right w:val="single" w:color="auto" w:sz="4" w:space="0"/>
            </w:tcBorders>
            <w:tcW w:w="17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职务</w:t>
            </w:r>
            <w:r/>
          </w:p>
        </w:tc>
        <w:tc>
          <w:tcPr>
            <w:tcBorders>
              <w:top w:val="none" w:color="000000" w:sz="4" w:space="0"/>
              <w:left w:val="none" w:color="000000" w:sz="4" w:space="0"/>
              <w:bottom w:val="single" w:color="auto" w:sz="4" w:space="0"/>
              <w:right w:val="single" w:color="auto" w:sz="4" w:space="0"/>
            </w:tcBorders>
            <w:tcW w:w="13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本项目中担任职务</w:t>
            </w:r>
            <w:r/>
          </w:p>
        </w:tc>
        <w:tc>
          <w:tcPr>
            <w:tcBorders>
              <w:top w:val="none" w:color="000000" w:sz="4" w:space="0"/>
              <w:left w:val="none" w:color="000000"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1070"/>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证书情况</w:t>
            </w:r>
            <w:r/>
          </w:p>
        </w:tc>
        <w:tc>
          <w:tcPr>
            <w:gridSpan w:val="5"/>
            <w:tcBorders>
              <w:top w:val="single" w:color="auto" w:sz="4" w:space="0"/>
              <w:left w:val="none" w:color="000000" w:sz="4" w:space="0"/>
              <w:bottom w:val="single" w:color="auto" w:sz="4" w:space="0"/>
              <w:right w:val="single" w:color="auto" w:sz="4" w:space="0"/>
            </w:tcBorders>
            <w:tcW w:w="8000"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1.</w:t>
            </w:r>
            <w:r/>
          </w:p>
          <w:p>
            <w:pPr>
              <w:rPr>
                <w:rFonts w:ascii="宋体" w:hAnsi="宋体"/>
                <w:color w:val="auto"/>
                <w:sz w:val="24"/>
                <w:szCs w:val="24"/>
                <w:highlight w:val="none"/>
              </w:rPr>
            </w:pPr>
            <w:r>
              <w:rPr>
                <w:rFonts w:hint="eastAsia" w:ascii="宋体" w:hAnsi="宋体"/>
                <w:color w:val="auto"/>
                <w:sz w:val="24"/>
                <w:szCs w:val="24"/>
                <w:highlight w:val="none"/>
              </w:rPr>
              <w:t xml:space="preserve">2.</w:t>
            </w:r>
            <w:r/>
          </w:p>
          <w:p>
            <w:pPr>
              <w:rPr>
                <w:rFonts w:ascii="宋体" w:hAnsi="宋体"/>
                <w:color w:val="auto"/>
                <w:sz w:val="24"/>
                <w:szCs w:val="24"/>
                <w:highlight w:val="none"/>
              </w:rPr>
            </w:pPr>
            <w:r>
              <w:rPr>
                <w:rFonts w:hint="eastAsia" w:ascii="宋体" w:hAnsi="宋体"/>
                <w:color w:val="auto"/>
                <w:sz w:val="24"/>
                <w:szCs w:val="24"/>
                <w:highlight w:val="none"/>
              </w:rPr>
              <w:t xml:space="preserve">…</w:t>
            </w:r>
            <w:r/>
          </w:p>
        </w:tc>
      </w:tr>
      <w:tr>
        <w:trPr>
          <w:trHeight w:val="694"/>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毕业学校</w:t>
            </w:r>
            <w:r/>
          </w:p>
        </w:tc>
        <w:tc>
          <w:tcPr>
            <w:gridSpan w:val="3"/>
            <w:tcBorders>
              <w:top w:val="single" w:color="auto" w:sz="4" w:space="0"/>
              <w:left w:val="none" w:color="000000" w:sz="4" w:space="0"/>
              <w:bottom w:val="single" w:color="auto" w:sz="4" w:space="0"/>
              <w:right w:val="single" w:color="auto" w:sz="4" w:space="0"/>
            </w:tcBorders>
            <w:tcW w:w="39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毕业时间</w:t>
            </w:r>
            <w:r/>
          </w:p>
        </w:tc>
        <w:tc>
          <w:tcPr>
            <w:tcBorders>
              <w:top w:val="none" w:color="000000" w:sz="4" w:space="0"/>
              <w:left w:val="none" w:color="000000"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580"/>
        </w:trPr>
        <w:tc>
          <w:tcPr>
            <w:gridSpan w:val="6"/>
            <w:tcBorders>
              <w:top w:val="single" w:color="auto" w:sz="4" w:space="0"/>
              <w:left w:val="single" w:color="auto" w:sz="4" w:space="0"/>
              <w:bottom w:val="single" w:color="auto" w:sz="4" w:space="0"/>
              <w:right w:val="single" w:color="000000" w:sz="4" w:space="0"/>
            </w:tcBorders>
            <w:tcW w:w="9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 要 工 作 业 绩</w:t>
            </w:r>
            <w:r/>
          </w:p>
        </w:tc>
      </w:tr>
      <w:tr>
        <w:trPr>
          <w:trHeight w:val="580"/>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时间</w:t>
            </w:r>
            <w:r/>
          </w:p>
        </w:tc>
        <w:tc>
          <w:tcPr>
            <w:gridSpan w:val="3"/>
            <w:tcBorders>
              <w:top w:val="single" w:color="auto" w:sz="4" w:space="0"/>
              <w:left w:val="none" w:color="000000" w:sz="4" w:space="0"/>
              <w:bottom w:val="single" w:color="auto" w:sz="4" w:space="0"/>
              <w:right w:val="single" w:color="000000" w:sz="4" w:space="0"/>
            </w:tcBorders>
            <w:tcW w:w="39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参加过项目的名称</w:t>
            </w:r>
            <w:r/>
          </w:p>
        </w:tc>
        <w:tc>
          <w:tcPr>
            <w:tcBorders>
              <w:top w:val="none" w:color="000000" w:sz="4" w:space="0"/>
              <w:left w:val="none" w:color="000000" w:sz="4" w:space="0"/>
              <w:bottom w:val="single" w:color="auto" w:sz="4" w:space="0"/>
              <w:right w:val="none" w:color="000000" w:sz="4" w:space="0"/>
            </w:tcBorders>
            <w:tcW w:w="204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担任职务</w:t>
            </w:r>
            <w:r/>
          </w:p>
        </w:tc>
        <w:tc>
          <w:tcPr>
            <w:tcBorders>
              <w:top w:val="none" w:color="000000" w:sz="4" w:space="0"/>
              <w:left w:val="single" w:color="auto" w:sz="4" w:space="0"/>
              <w:bottom w:val="single" w:color="auto" w:sz="4" w:space="0"/>
              <w:right w:val="single" w:color="auto" w:sz="4" w:space="0"/>
            </w:tcBorders>
            <w:tcW w:w="196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3991"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rHeight w:val="393"/>
        </w:trPr>
        <w:tc>
          <w:tcPr>
            <w:tcBorders>
              <w:top w:val="none" w:color="000000"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w:t>
            </w:r>
            <w:r/>
          </w:p>
        </w:tc>
        <w:tc>
          <w:tcPr>
            <w:gridSpan w:val="3"/>
            <w:tcBorders>
              <w:top w:val="single" w:color="auto" w:sz="4" w:space="0"/>
              <w:left w:val="single" w:color="auto" w:sz="4" w:space="0"/>
              <w:bottom w:val="single" w:color="auto" w:sz="4" w:space="0"/>
              <w:right w:val="single" w:color="auto" w:sz="4" w:space="0"/>
            </w:tcBorders>
            <w:tcW w:w="39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204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966"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left="239"/>
        <w:spacing w:line="340" w:lineRule="exact"/>
        <w:rPr>
          <w:color w:val="auto"/>
          <w:szCs w:val="21"/>
          <w:highlight w:val="none"/>
        </w:rPr>
      </w:pPr>
      <w:r>
        <w:rPr>
          <w:color w:val="auto"/>
          <w:szCs w:val="21"/>
          <w:highlight w:val="none"/>
        </w:rPr>
      </w:r>
      <w:r/>
    </w:p>
    <w:p>
      <w:pPr>
        <w:pStyle w:val="739"/>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ind w:firstLine="420"/>
        <w:spacing w:line="400" w:lineRule="exact"/>
        <w:rPr>
          <w:color w:val="auto"/>
          <w:szCs w:val="21"/>
          <w:highlight w:val="none"/>
        </w:rPr>
      </w:pPr>
      <w:r>
        <w:rPr>
          <w:color w:val="auto"/>
          <w:szCs w:val="21"/>
          <w:highlight w:val="none"/>
        </w:rPr>
      </w:r>
      <w:r/>
    </w:p>
    <w:p>
      <w:pPr>
        <w:rPr>
          <w:rFonts w:ascii="宋体" w:hAnsi="宋体"/>
          <w:b/>
          <w:color w:val="auto"/>
          <w:sz w:val="24"/>
          <w:szCs w:val="24"/>
          <w:highlight w:val="none"/>
        </w:rPr>
      </w:pPr>
      <w:r>
        <w:rPr>
          <w:color w:val="auto"/>
          <w:szCs w:val="21"/>
          <w:highlight w:val="none"/>
        </w:rPr>
        <w:br w:type="page" w:clear="all"/>
      </w:r>
      <w:r>
        <w:rPr>
          <w:rFonts w:hint="eastAsia" w:ascii="宋体" w:hAnsi="宋体"/>
          <w:b/>
          <w:color w:val="auto"/>
          <w:sz w:val="24"/>
          <w:szCs w:val="24"/>
          <w:highlight w:val="none"/>
        </w:rPr>
        <w:t xml:space="preserve">12、拟投入本项目人员汇总表</w:t>
      </w:r>
      <w:r/>
    </w:p>
    <w:p>
      <w:pPr>
        <w:pStyle w:val="743"/>
        <w:rPr>
          <w:color w:val="auto"/>
          <w:highlight w:val="none"/>
        </w:rPr>
      </w:pPr>
      <w:r>
        <w:rPr>
          <w:color w:val="auto"/>
          <w:highlight w:val="none"/>
        </w:rPr>
      </w:r>
      <w:r/>
    </w:p>
    <w:p>
      <w:pPr>
        <w:pStyle w:val="739"/>
        <w:ind w:firstLine="0"/>
        <w:jc w:val="center"/>
        <w:spacing w:after="156"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拟投入本项目人员汇总表</w:t>
      </w:r>
      <w:r/>
    </w:p>
    <w:tbl>
      <w:tblPr>
        <w:tblStyle w:val="73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825"/>
        <w:gridCol w:w="963"/>
        <w:gridCol w:w="702"/>
        <w:gridCol w:w="742"/>
        <w:gridCol w:w="704"/>
        <w:gridCol w:w="1245"/>
        <w:gridCol w:w="1126"/>
        <w:gridCol w:w="1339"/>
      </w:tblGrid>
      <w:tr>
        <w:trPr>
          <w:trHeight w:val="1067"/>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姓名</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性别</w:t>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年龄</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职称</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专业/资格</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典型业务</w:t>
            </w:r>
            <w:r/>
          </w:p>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与技术专长</w:t>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pStyle w:val="752"/>
              <w:jc w:val="center"/>
              <w:spacing w:line="400" w:lineRule="exact"/>
              <w:rPr>
                <w:rFonts w:ascii="宋体" w:hAnsi="宋体" w:cs="宋体"/>
                <w:color w:val="auto"/>
                <w:sz w:val="22"/>
                <w:szCs w:val="22"/>
                <w:highlight w:val="none"/>
              </w:rPr>
            </w:pPr>
            <w:r>
              <w:rPr>
                <w:rFonts w:ascii="宋体" w:hAnsi="宋体" w:cs="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r>
        <w:trPr>
          <w:trHeight w:val="50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r>
        <w:trPr>
          <w:trHeight w:val="52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400" w:lineRule="exact"/>
              <w:rPr>
                <w:rFonts w:ascii="宋体" w:hAnsi="宋体"/>
                <w:color w:val="auto"/>
                <w:sz w:val="22"/>
                <w:szCs w:val="22"/>
                <w:highlight w:val="none"/>
              </w:rPr>
            </w:pPr>
            <w:r>
              <w:rPr>
                <w:rFonts w:hint="eastAsia" w:ascii="宋体" w:hAnsi="宋体"/>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spacing w:line="400" w:lineRule="exact"/>
              <w:rPr>
                <w:rFonts w:ascii="宋体" w:hAnsi="宋体"/>
                <w:color w:val="auto"/>
                <w:sz w:val="22"/>
                <w:szCs w:val="22"/>
                <w:highlight w:val="none"/>
              </w:rPr>
            </w:pPr>
            <w:r>
              <w:rPr>
                <w:rFonts w:ascii="宋体" w:hAnsi="宋体"/>
                <w:color w:val="auto"/>
                <w:sz w:val="22"/>
                <w:szCs w:val="22"/>
                <w:highlight w:val="none"/>
              </w:rPr>
            </w:r>
            <w:r/>
          </w:p>
        </w:tc>
      </w:tr>
    </w:tbl>
    <w:p>
      <w:pPr>
        <w:pStyle w:val="739"/>
        <w:ind w:firstLine="371"/>
        <w:spacing w:line="360" w:lineRule="auto"/>
        <w:tabs>
          <w:tab w:val="left" w:pos="294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420" w:lineRule="exact"/>
        <w:rPr>
          <w:rFonts w:ascii="宋体" w:hAnsi="宋体"/>
          <w:color w:val="auto"/>
          <w:sz w:val="24"/>
          <w:highlight w:val="none"/>
        </w:rPr>
      </w:pPr>
      <w:r>
        <w:rPr>
          <w:rFonts w:hint="eastAsia" w:ascii="宋体" w:hAnsi="宋体"/>
          <w:color w:val="auto"/>
          <w:sz w:val="24"/>
          <w:highlight w:val="none"/>
        </w:rPr>
        <w:t xml:space="preserve">注：按照招标文件要求提供相应资格证明材料。</w:t>
      </w:r>
      <w:r/>
    </w:p>
    <w:p>
      <w:pPr>
        <w:spacing w:line="420" w:lineRule="exact"/>
        <w:rPr>
          <w:rFonts w:ascii="宋体" w:hAnsi="宋体"/>
          <w:color w:val="auto"/>
          <w:sz w:val="24"/>
          <w:highlight w:val="none"/>
        </w:rPr>
      </w:pPr>
      <w:r>
        <w:rPr>
          <w:rFonts w:ascii="宋体" w:hAnsi="宋体"/>
          <w:color w:val="auto"/>
          <w:sz w:val="24"/>
          <w:highlight w:val="none"/>
        </w:rPr>
      </w:r>
      <w:r/>
    </w:p>
    <w:p>
      <w:pPr>
        <w:pStyle w:val="744"/>
        <w:rPr>
          <w:rFonts w:ascii="宋体" w:hAnsi="宋体" w:eastAsia="宋体" w:cs="宋体"/>
          <w:color w:val="auto"/>
          <w:highlight w:val="none"/>
        </w:rPr>
      </w:pPr>
      <w:r>
        <w:rPr>
          <w:rFonts w:ascii="宋体" w:hAnsi="宋体" w:eastAsia="宋体" w:cs="宋体"/>
          <w:color w:val="auto"/>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日期：   年   月   日</w:t>
      </w:r>
      <w:r/>
    </w:p>
    <w:p>
      <w:pPr>
        <w:ind w:firstLine="21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highlight w:val="none"/>
        </w:rPr>
      </w:pPr>
      <w:r>
        <w:rPr>
          <w:rFonts w:hint="eastAsia" w:ascii="宋体" w:hAnsi="宋体"/>
          <w:color w:val="auto"/>
          <w:highlight w:val="none"/>
        </w:rPr>
        <w:br w:type="page" w:clear="all"/>
      </w:r>
      <w:r/>
    </w:p>
    <w:p>
      <w:pPr>
        <w:ind w:firstLine="420"/>
        <w:spacing w:line="360" w:lineRule="auto"/>
        <w:rPr>
          <w:rFonts w:ascii="宋体" w:hAnsi="宋体"/>
          <w:color w:val="auto"/>
          <w:highlight w:val="none"/>
        </w:rPr>
        <w:sectPr>
          <w:footnotePr/>
          <w:endnotePr/>
          <w:type w:val="nextPage"/>
          <w:pgSz w:w="11907" w:h="16840" w:orient="portrait"/>
          <w:pgMar w:top="1077" w:right="1134" w:bottom="1077" w:left="1354" w:header="567" w:footer="567" w:gutter="0"/>
          <w:cols w:num="1" w:sep="0" w:space="720" w:equalWidth="1"/>
          <w:docGrid w:linePitch="360"/>
          <w:titlePg/>
        </w:sectPr>
        <w:outlineLvl w:val="2"/>
      </w:pPr>
      <w:r>
        <w:rPr>
          <w:rFonts w:ascii="宋体" w:hAnsi="宋体"/>
          <w:color w:val="auto"/>
          <w:highlight w:val="none"/>
        </w:rPr>
      </w:r>
      <w:r/>
    </w:p>
    <w:p>
      <w:pPr>
        <w:rPr>
          <w:color w:val="auto"/>
          <w:highlight w:val="none"/>
        </w:rPr>
      </w:pPr>
      <w:r>
        <w:rPr>
          <w:rFonts w:hint="eastAsia" w:ascii="宋体" w:hAnsi="宋体"/>
          <w:b/>
          <w:color w:val="auto"/>
          <w:sz w:val="24"/>
          <w:szCs w:val="24"/>
          <w:highlight w:val="none"/>
        </w:rPr>
        <w:t xml:space="preserve">13、中小企业声明函</w:t>
      </w:r>
      <w:r/>
    </w:p>
    <w:p>
      <w:pPr>
        <w:pStyle w:val="739"/>
        <w:ind w:firstLine="0"/>
        <w:jc w:val="center"/>
        <w:spacing w:after="152"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中小企业声明函</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本公司郑重声明，根据《政府采购促进中小企业发展管理办法》（财库﹝2020﹞46号）的规定，本公司参加</w:t>
      </w:r>
      <w:r>
        <w:rPr>
          <w:rFonts w:hint="eastAsia" w:ascii="宋体" w:hAnsi="宋体"/>
          <w:color w:val="auto"/>
          <w:sz w:val="24"/>
          <w:highlight w:val="none"/>
          <w:u w:val="single"/>
        </w:rPr>
        <w:t xml:space="preserve">（</w:t>
      </w:r>
      <w:r>
        <w:rPr>
          <w:rFonts w:hint="eastAsia" w:ascii="宋体" w:hAnsi="宋体"/>
          <w:i/>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i/>
          <w:color w:val="auto"/>
          <w:sz w:val="24"/>
          <w:highlight w:val="none"/>
          <w:u w:val="single"/>
        </w:rPr>
        <w:t xml:space="preserve">（项目名称）</w:t>
      </w:r>
      <w:r>
        <w:rPr>
          <w:rFonts w:hint="eastAsia" w:ascii="宋体" w:hAnsi="宋体"/>
          <w:color w:val="auto"/>
          <w:sz w:val="24"/>
          <w:highlight w:val="none"/>
        </w:rPr>
        <w:t xml:space="preserve">采购活动，服务全部由符合政策要求的中小企业承接。相关企业的具体情况如下：</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i/>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szCs w:val="24"/>
          <w:highlight w:val="none"/>
          <w:u w:val="single"/>
        </w:rPr>
        <w:t xml:space="preserve">（十五）租赁和商务服务业</w:t>
      </w:r>
      <w:r>
        <w:rPr>
          <w:rFonts w:hint="eastAsia" w:ascii="宋体" w:hAnsi="宋体"/>
          <w:i/>
          <w:color w:val="auto"/>
          <w:sz w:val="24"/>
          <w:highlight w:val="none"/>
        </w:rPr>
        <w:t xml:space="preserve">行业</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ab/>
      </w:r>
      <w:r>
        <w:rPr>
          <w:rFonts w:hint="eastAsia" w:ascii="宋体" w:hAnsi="宋体"/>
          <w:color w:val="auto"/>
          <w:sz w:val="24"/>
          <w:highlight w:val="none"/>
        </w:rPr>
        <w:t xml:space="preserve">人，营业收入为</w:t>
      </w:r>
      <w:r>
        <w:rPr>
          <w:rFonts w:hint="eastAsia" w:ascii="宋体" w:hAnsi="宋体"/>
          <w:color w:val="auto"/>
          <w:sz w:val="24"/>
          <w:highlight w:val="none"/>
          <w:u w:val="single"/>
        </w:rPr>
        <w:tab/>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ab/>
      </w:r>
      <w:r>
        <w:rPr>
          <w:rFonts w:hint="eastAsia" w:ascii="宋体" w:hAnsi="宋体"/>
          <w:color w:val="auto"/>
          <w:sz w:val="24"/>
          <w:highlight w:val="none"/>
        </w:rPr>
        <w:t xml:space="preserve">万元，属于</w:t>
      </w:r>
      <w:r>
        <w:rPr>
          <w:rFonts w:hint="eastAsia" w:ascii="宋体" w:hAnsi="宋体"/>
          <w:i/>
          <w:color w:val="auto"/>
          <w:sz w:val="24"/>
          <w:highlight w:val="none"/>
        </w:rPr>
        <w:t xml:space="preserve">（中型企业、小型企业、微型企业，三者选一填写）</w:t>
      </w:r>
      <w:r>
        <w:rPr>
          <w:rFonts w:hint="eastAsia" w:ascii="宋体" w:hAnsi="宋体"/>
          <w:color w:val="auto"/>
          <w:sz w:val="24"/>
          <w:highlight w:val="none"/>
        </w:rPr>
        <w:t xml:space="preserve">；</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96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2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440" w:lineRule="exact"/>
        <w:rPr>
          <w:rFonts w:ascii="宋体" w:hAnsi="宋体"/>
          <w:color w:val="auto"/>
          <w:sz w:val="24"/>
          <w:highlight w:val="none"/>
        </w:rPr>
      </w:pPr>
      <w:r>
        <w:rPr>
          <w:rFonts w:hint="eastAsia" w:ascii="宋体" w:hAnsi="宋体"/>
          <w:color w:val="auto"/>
          <w:sz w:val="24"/>
          <w:highlight w:val="none"/>
        </w:rPr>
        <w:t xml:space="preserve">从业人员、营业收入、资产总额填报上一年度数据，无上一年度数据的新成立企业可不填报。</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备注：</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2、投标人提供的中小企业声明函必须包含本项目所有服务及其服务承接企业，并按照声明函格式填写完整、明确，否则视为未按规定提供声明函，投标无效。</w:t>
      </w:r>
      <w:r/>
    </w:p>
    <w:p>
      <w:pPr>
        <w:ind w:right="357" w:firstLine="42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3、中标、成交供应商享受规定的中小企业扶持政策的，《中小企业声明函》应当随中标、成交结果同时公告，接受社会监督。</w:t>
      </w:r>
      <w:r/>
    </w:p>
    <w:p>
      <w:pPr>
        <w:ind w:left="-42" w:right="357"/>
        <w:spacing w:line="400" w:lineRule="exact"/>
        <w:rPr>
          <w:rFonts w:ascii="宋体" w:hAnsi="宋体"/>
          <w:b/>
          <w:color w:val="auto"/>
          <w:szCs w:val="21"/>
          <w:highlight w:val="none"/>
        </w:rPr>
      </w:pPr>
      <w:r>
        <w:rPr>
          <w:rFonts w:ascii="宋体" w:hAnsi="宋体"/>
          <w:b/>
          <w:color w:val="auto"/>
          <w:szCs w:val="21"/>
          <w:highlight w:val="none"/>
        </w:rPr>
      </w:r>
      <w:r/>
    </w:p>
    <w:p>
      <w:pPr>
        <w:pStyle w:val="770"/>
        <w:ind w:left="0" w:firstLine="0"/>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ascii="宋体" w:hAnsi="宋体"/>
          <w:color w:val="auto"/>
          <w:highlight w:val="none"/>
        </w:rPr>
        <w:outlineLvl w:val="1"/>
      </w:pPr>
      <w:r>
        <w:rPr>
          <w:rFonts w:hint="eastAsia" w:ascii="宋体" w:hAnsi="宋体"/>
          <w:color w:val="auto"/>
          <w:highlight w:val="none"/>
        </w:rPr>
        <w:br w:type="page" w:clear="all"/>
      </w:r>
      <w:r>
        <w:rPr>
          <w:rFonts w:hint="eastAsia" w:ascii="宋体" w:hAnsi="宋体"/>
          <w:b/>
          <w:color w:val="auto"/>
          <w:sz w:val="24"/>
          <w:szCs w:val="24"/>
          <w:highlight w:val="none"/>
        </w:rPr>
        <w:t xml:space="preserve">14、残疾人福利性单位声明函</w:t>
      </w:r>
      <w:r/>
    </w:p>
    <w:p>
      <w:pPr>
        <w:pStyle w:val="739"/>
        <w:ind w:firstLine="0"/>
        <w:jc w:val="center"/>
        <w:spacing w:after="152"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残疾人福利性单位声明函</w:t>
      </w:r>
      <w:r/>
    </w:p>
    <w:p>
      <w:pPr>
        <w:pStyle w:val="770"/>
        <w:ind w:left="0" w:firstLine="48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______</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______</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70"/>
        <w:ind w:left="0" w:firstLine="48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pStyle w:val="770"/>
        <w:ind w:left="0"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770"/>
        <w:ind w:left="0" w:firstLine="0"/>
        <w:rPr>
          <w:rFonts w:ascii="宋体" w:hAnsi="宋体" w:eastAsia="宋体" w:cs="宋体"/>
          <w:color w:val="auto"/>
          <w:szCs w:val="24"/>
          <w:highlight w:val="none"/>
        </w:rPr>
      </w:pPr>
      <w:r>
        <w:rPr>
          <w:rFonts w:ascii="宋体" w:hAnsi="宋体" w:eastAsia="宋体" w:cs="宋体"/>
          <w:color w:val="auto"/>
          <w:szCs w:val="24"/>
          <w:highlight w:val="none"/>
        </w:rPr>
      </w:r>
      <w:r/>
    </w:p>
    <w:p>
      <w:pPr>
        <w:ind w:firstLine="5460"/>
        <w:jc w:val="left"/>
        <w:spacing w:line="540" w:lineRule="atLeast"/>
        <w:widowControl/>
        <w:rPr>
          <w:rFonts w:ascii="宋体" w:hAnsi="宋体"/>
          <w:color w:val="auto"/>
          <w:sz w:val="24"/>
          <w:highlight w:val="none"/>
        </w:rPr>
      </w:pPr>
      <w:r>
        <w:rPr>
          <w:rFonts w:hint="eastAsia" w:ascii="宋体" w:hAnsi="宋体"/>
          <w:color w:val="auto"/>
          <w:sz w:val="24"/>
          <w:highlight w:val="none"/>
        </w:rPr>
        <w:t xml:space="preserve">单位名称（盖章）：</w:t>
      </w:r>
      <w:r/>
    </w:p>
    <w:p>
      <w:pPr>
        <w:jc w:val="left"/>
        <w:spacing w:line="540" w:lineRule="atLeast"/>
        <w:widowControl/>
        <w:rPr>
          <w:rFonts w:ascii="宋体" w:hAnsi="宋体"/>
          <w:b/>
          <w:color w:val="auto"/>
          <w:sz w:val="32"/>
          <w:szCs w:val="32"/>
          <w:highlight w:val="none"/>
        </w:rPr>
      </w:pPr>
      <w:r>
        <w:rPr>
          <w:rFonts w:hint="eastAsia" w:ascii="宋体" w:hAnsi="宋体"/>
          <w:color w:val="auto"/>
          <w:sz w:val="24"/>
          <w:highlight w:val="none"/>
        </w:rPr>
        <w:t xml:space="preserve">                                    日 期：</w:t>
      </w:r>
      <w:r/>
    </w:p>
    <w:p>
      <w:pPr>
        <w:rPr>
          <w:color w:val="auto"/>
          <w:highlight w:val="none"/>
          <w:lang w:val="zh-CN"/>
        </w:rPr>
      </w:pPr>
      <w:r>
        <w:rPr>
          <w:rFonts w:hint="eastAsia" w:ascii="宋体" w:hAnsi="宋体"/>
          <w:b/>
          <w:color w:val="auto"/>
          <w:szCs w:val="24"/>
          <w:highlight w:val="none"/>
        </w:rPr>
        <w:br w:type="page" w:clear="all"/>
      </w:r>
      <w:r>
        <w:rPr>
          <w:rFonts w:hint="eastAsia" w:ascii="宋体" w:hAnsi="宋体"/>
          <w:b/>
          <w:color w:val="auto"/>
          <w:sz w:val="24"/>
          <w:szCs w:val="24"/>
          <w:highlight w:val="none"/>
        </w:rPr>
        <w:t xml:space="preserve">15</w:t>
      </w:r>
      <w:r>
        <w:rPr>
          <w:rFonts w:hint="eastAsia" w:ascii="宋体" w:hAnsi="宋体"/>
          <w:b/>
          <w:color w:val="auto"/>
          <w:sz w:val="24"/>
          <w:szCs w:val="24"/>
          <w:highlight w:val="none"/>
          <w:lang w:val="zh-CN"/>
        </w:rPr>
        <w:t xml:space="preserve">、技术、商务评分标准对应情况表</w:t>
      </w:r>
      <w:r/>
    </w:p>
    <w:p>
      <w:pPr>
        <w:rPr>
          <w:color w:val="auto"/>
          <w:highlight w:val="none"/>
        </w:rPr>
      </w:pPr>
      <w:r>
        <w:rPr>
          <w:color w:val="auto"/>
          <w:highlight w:val="none"/>
        </w:rPr>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3233"/>
        <w:gridCol w:w="2576"/>
        <w:gridCol w:w="1868"/>
      </w:tblGrid>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3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技术、商务评分内容</w:t>
            </w:r>
            <w:r/>
          </w:p>
        </w:tc>
        <w:tc>
          <w:tcPr>
            <w:tcW w:w="257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86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详见页码</w:t>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412"/>
        </w:trPr>
        <w:tc>
          <w:tcPr>
            <w:tcW w:w="11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323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7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6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25"/>
        </w:trPr>
        <w:tc>
          <w:tcPr>
            <w:tcW w:w="1141" w:type="dxa"/>
            <w:vAlign w:val="center"/>
            <w:textDirection w:val="lrTb"/>
            <w:noWrap w:val="false"/>
          </w:tcPr>
          <w:p>
            <w:pPr>
              <w:rPr>
                <w:color w:val="auto"/>
                <w:highlight w:val="none"/>
              </w:rPr>
            </w:pPr>
            <w:r>
              <w:rPr>
                <w:rFonts w:hint="eastAsia"/>
                <w:color w:val="auto"/>
                <w:highlight w:val="none"/>
              </w:rPr>
              <w:t xml:space="preserve">…</w:t>
            </w:r>
            <w:r/>
          </w:p>
        </w:tc>
        <w:tc>
          <w:tcPr>
            <w:tcW w:w="3233" w:type="dxa"/>
            <w:vAlign w:val="center"/>
            <w:textDirection w:val="lrTb"/>
            <w:noWrap w:val="false"/>
          </w:tcPr>
          <w:p>
            <w:pPr>
              <w:rPr>
                <w:color w:val="auto"/>
                <w:highlight w:val="none"/>
              </w:rPr>
            </w:pPr>
            <w:r>
              <w:rPr>
                <w:color w:val="auto"/>
                <w:highlight w:val="none"/>
              </w:rPr>
            </w:r>
            <w:r/>
          </w:p>
        </w:tc>
        <w:tc>
          <w:tcPr>
            <w:tcW w:w="2576" w:type="dxa"/>
            <w:vAlign w:val="center"/>
            <w:textDirection w:val="lrTb"/>
            <w:noWrap w:val="false"/>
          </w:tcPr>
          <w:p>
            <w:pPr>
              <w:rPr>
                <w:color w:val="auto"/>
                <w:highlight w:val="none"/>
              </w:rPr>
            </w:pPr>
            <w:r>
              <w:rPr>
                <w:color w:val="auto"/>
                <w:highlight w:val="none"/>
              </w:rPr>
            </w:r>
            <w:r/>
          </w:p>
        </w:tc>
        <w:tc>
          <w:tcPr>
            <w:tcW w:w="1868" w:type="dxa"/>
            <w:vAlign w:val="center"/>
            <w:textDirection w:val="lrTb"/>
            <w:noWrap w:val="false"/>
          </w:tcPr>
          <w:p>
            <w:pPr>
              <w:rPr>
                <w:color w:val="auto"/>
                <w:highlight w:val="none"/>
              </w:rPr>
            </w:pPr>
            <w:r>
              <w:rPr>
                <w:color w:val="auto"/>
                <w:highlight w:val="none"/>
              </w:rPr>
            </w:r>
            <w:r/>
          </w:p>
        </w:tc>
      </w:tr>
    </w:tbl>
    <w:p>
      <w:pPr>
        <w:rPr>
          <w:color w:val="auto"/>
          <w:sz w:val="24"/>
          <w:szCs w:val="24"/>
          <w:highlight w:val="none"/>
        </w:rPr>
      </w:pPr>
      <w:r>
        <w:rPr>
          <w:rFonts w:hint="eastAsia"/>
          <w:color w:val="auto"/>
          <w:sz w:val="24"/>
          <w:szCs w:val="24"/>
          <w:highlight w:val="none"/>
        </w:rPr>
        <w:t xml:space="preserve">为方便评审，请投标人按照评分标准内容，按序填写此表。</w:t>
      </w:r>
      <w:bookmarkStart w:id="7" w:name="_Toc37331742"/>
      <w:r/>
      <w:bookmarkStart w:id="8" w:name="_Toc11893"/>
      <w:r/>
      <w:r/>
    </w:p>
    <w:p>
      <w:pPr>
        <w:rPr>
          <w:color w:val="auto"/>
          <w:highlight w:val="none"/>
        </w:rPr>
      </w:pPr>
      <w:r>
        <w:rPr>
          <w:rFonts w:hint="eastAsia"/>
          <w:color w:val="auto"/>
          <w:highlight w:val="none"/>
        </w:rPr>
        <w:br w:type="page" w:clear="all"/>
      </w:r>
      <w:r/>
    </w:p>
    <w:p>
      <w:pPr>
        <w:pStyle w:val="725"/>
        <w:rPr>
          <w:color w:val="auto"/>
          <w:highlight w:val="none"/>
        </w:rPr>
      </w:pPr>
      <w:r>
        <w:rPr>
          <w:rFonts w:hint="eastAsia"/>
          <w:color w:val="auto"/>
          <w:highlight w:val="none"/>
        </w:rPr>
        <w:t xml:space="preserve">第四章 项目需求</w:t>
      </w:r>
      <w:bookmarkEnd w:id="7"/>
      <w:r/>
      <w:bookmarkEnd w:id="8"/>
      <w:r/>
      <w:r/>
    </w:p>
    <w:p>
      <w:pPr>
        <w:spacing w:line="360" w:lineRule="auto"/>
        <w:rPr>
          <w:rFonts w:ascii="宋体" w:hAnsi="宋体"/>
          <w:b/>
          <w:bCs/>
          <w:color w:val="auto"/>
          <w:sz w:val="24"/>
          <w:szCs w:val="24"/>
          <w:highlight w:val="none"/>
        </w:rPr>
      </w:pPr>
      <w:r/>
      <w:bookmarkStart w:id="9" w:name="_Toc37331743"/>
      <w:r>
        <w:rPr>
          <w:rFonts w:hint="eastAsia" w:ascii="宋体" w:hAnsi="宋体"/>
          <w:b/>
          <w:bCs/>
          <w:color w:val="auto"/>
          <w:sz w:val="24"/>
          <w:szCs w:val="24"/>
          <w:highlight w:val="none"/>
        </w:rPr>
        <w:t xml:space="preserve">一、项目概况</w:t>
      </w:r>
      <w:r/>
    </w:p>
    <w:p>
      <w:pPr>
        <w:ind w:left="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1、采购编号：</w:t>
      </w:r>
      <w:r>
        <w:rPr>
          <w:rFonts w:hint="eastAsia" w:ascii="宋体" w:hAnsi="宋体"/>
          <w:color w:val="auto"/>
          <w:sz w:val="24"/>
          <w:szCs w:val="24"/>
          <w:highlight w:val="none"/>
          <w:lang w:eastAsia="zh-CN"/>
        </w:rPr>
        <w:t xml:space="preserve">JSZC-320585-DFHX-G2026-0014</w:t>
      </w:r>
      <w:r/>
    </w:p>
    <w:p>
      <w:pPr>
        <w:ind w:left="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2027-2029年财务监管平台第三方代理服务采购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3、预算金额：人民币伍佰壹拾万圆整（￥5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4、最高限价：人民币伍佰壹拾万圆整（￥5</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00000.00元），</w:t>
      </w:r>
      <w:r>
        <w:rPr>
          <w:rFonts w:hint="eastAsia" w:ascii="宋体" w:hAnsi="宋体"/>
          <w:color w:val="auto"/>
          <w:sz w:val="24"/>
          <w:szCs w:val="24"/>
          <w:highlight w:val="none"/>
          <w:lang w:val="zh-CN"/>
        </w:rPr>
        <w:t xml:space="preserve">投标报价超过最高限价的为无效标。</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5、服务期限：自合同签订之日起三年。</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服务范围：陆渡街道全区域。</w:t>
      </w:r>
      <w:r/>
    </w:p>
    <w:p>
      <w:pP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二、采购需求</w:t>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lang w:val="zh-CN"/>
        </w:rPr>
        <w:t xml:space="preserve">（一）</w:t>
      </w:r>
      <w:r>
        <w:rPr>
          <w:rFonts w:hint="eastAsia" w:ascii="宋体" w:hAnsi="宋体"/>
          <w:b/>
          <w:color w:val="auto"/>
          <w:sz w:val="24"/>
          <w:szCs w:val="24"/>
          <w:highlight w:val="none"/>
        </w:rPr>
        <w:t xml:space="preserve">对象和范围：</w:t>
      </w:r>
      <w:r>
        <w:rPr>
          <w:rFonts w:hint="eastAsia" w:ascii="宋体" w:hAnsi="宋体"/>
          <w:bCs/>
          <w:color w:val="auto"/>
          <w:sz w:val="24"/>
          <w:szCs w:val="24"/>
          <w:highlight w:val="none"/>
        </w:rPr>
        <w:t xml:space="preserve">陆渡街道下辖村、村改社区、各农村集体合作经济组织等。</w:t>
      </w:r>
      <w:r/>
    </w:p>
    <w:p>
      <w:pPr>
        <w:spacing w:line="360" w:lineRule="auto"/>
        <w:tabs>
          <w:tab w:val="left" w:pos="2520" w:leader="none"/>
        </w:tabs>
        <w:rPr>
          <w:rFonts w:ascii="宋体" w:hAnsi="宋体"/>
          <w:b/>
          <w:color w:val="auto"/>
          <w:sz w:val="24"/>
          <w:szCs w:val="24"/>
          <w:highlight w:val="none"/>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二</w:t>
      </w:r>
      <w:r>
        <w:rPr>
          <w:rFonts w:hint="eastAsia" w:ascii="宋体" w:hAnsi="宋体"/>
          <w:b/>
          <w:bCs/>
          <w:color w:val="auto"/>
          <w:sz w:val="24"/>
          <w:szCs w:val="24"/>
          <w:highlight w:val="none"/>
          <w:lang w:val="zh-CN"/>
        </w:rPr>
        <w:t xml:space="preserve">）</w:t>
      </w:r>
      <w:r>
        <w:rPr>
          <w:rFonts w:hint="eastAsia" w:ascii="宋体" w:hAnsi="宋体"/>
          <w:b/>
          <w:color w:val="auto"/>
          <w:sz w:val="24"/>
          <w:szCs w:val="24"/>
          <w:highlight w:val="none"/>
        </w:rPr>
        <w:t xml:space="preserve">服务依据：</w:t>
      </w:r>
      <w:r>
        <w:rPr>
          <w:rFonts w:hint="eastAsia" w:ascii="宋体" w:hAnsi="宋体"/>
          <w:b/>
          <w:color w:val="auto"/>
          <w:sz w:val="24"/>
          <w:szCs w:val="24"/>
          <w:highlight w:val="none"/>
        </w:rPr>
        <w:tab/>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1、严格执行</w:t>
      </w:r>
      <w:r>
        <w:rPr>
          <w:rFonts w:ascii="宋体" w:hAnsi="宋体" w:eastAsia="宋体" w:cs="宋体"/>
          <w:sz w:val="24"/>
          <w:szCs w:val="24"/>
        </w:rPr>
        <w:t xml:space="preserve">全国人民代表大会常务委员会</w:t>
      </w:r>
      <w:r>
        <w:rPr>
          <w:rFonts w:hint="eastAsia" w:ascii="宋体" w:hAnsi="宋体"/>
          <w:color w:val="auto"/>
          <w:sz w:val="24"/>
          <w:szCs w:val="24"/>
          <w:highlight w:val="none"/>
        </w:rPr>
        <w:t xml:space="preserve">制定的《中华人民共和国会计法》、</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《会计基础工作规范》、</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《村集体经济组织会计制度》、</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《农民合作社财务会计制度》和国家有关法律法规。</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2、太仓市农业农村局等上级部门和陆渡街道制定的相关制度文件(如相关制度修改按照新修订的制度执行)。</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3、太仓市人民政府陆渡街道办事处下辖各村（社区）依法订立的有关乡规民约，以及集体合作经济组织的章程。</w:t>
      </w:r>
      <w:r/>
    </w:p>
    <w:p>
      <w:pPr>
        <w:spacing w:line="360" w:lineRule="auto"/>
        <w:rPr>
          <w:rFonts w:ascii="宋体" w:hAnsi="宋体"/>
          <w:b/>
          <w:color w:val="auto"/>
          <w:sz w:val="24"/>
          <w:szCs w:val="24"/>
          <w:highlight w:val="none"/>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三</w:t>
      </w:r>
      <w:r>
        <w:rPr>
          <w:rFonts w:hint="eastAsia" w:ascii="宋体" w:hAnsi="宋体"/>
          <w:b/>
          <w:bCs/>
          <w:color w:val="auto"/>
          <w:sz w:val="24"/>
          <w:szCs w:val="24"/>
          <w:highlight w:val="none"/>
          <w:lang w:val="zh-CN"/>
        </w:rPr>
        <w:t xml:space="preserve">）</w:t>
      </w:r>
      <w:r>
        <w:rPr>
          <w:rFonts w:hint="eastAsia" w:ascii="宋体" w:hAnsi="宋体"/>
          <w:b/>
          <w:color w:val="auto"/>
          <w:sz w:val="24"/>
          <w:szCs w:val="24"/>
          <w:highlight w:val="none"/>
        </w:rPr>
        <w:t xml:space="preserve">服务内容：</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1、农村财务管理核算业务（代理会计核算、代理财务收支、代理资金管理、代理票据管理、代理财政专项资金管理、协助资产管理、协助合同管理、提供会计信息、代理会计日常资料并建档移交、代理税务申报及纳税规划等服务项目），凡甲方发生的各项经济业务的会计核算均由中标单位统一代理。</w:t>
      </w:r>
      <w:r/>
    </w:p>
    <w:p>
      <w:pPr>
        <w:ind w:left="42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2、农村财务监管中心财务人员的管理和培训业务。</w:t>
      </w:r>
      <w:r/>
    </w:p>
    <w:p>
      <w:pPr>
        <w:spacing w:line="360" w:lineRule="auto"/>
        <w:tabs>
          <w:tab w:val="left" w:pos="2520" w:leader="none"/>
        </w:tabs>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w:t>
      </w:r>
      <w:r>
        <w:rPr>
          <w:rFonts w:hint="eastAsia" w:ascii="宋体" w:hAnsi="宋体"/>
          <w:b/>
          <w:bCs/>
          <w:color w:val="auto"/>
          <w:sz w:val="24"/>
          <w:szCs w:val="24"/>
          <w:highlight w:val="none"/>
        </w:rPr>
        <w:t xml:space="preserve">四</w:t>
      </w:r>
      <w:r>
        <w:rPr>
          <w:rFonts w:hint="eastAsia" w:ascii="宋体" w:hAnsi="宋体"/>
          <w:b/>
          <w:bCs/>
          <w:color w:val="auto"/>
          <w:sz w:val="24"/>
          <w:szCs w:val="24"/>
          <w:highlight w:val="none"/>
          <w:lang w:val="zh-CN"/>
        </w:rPr>
        <w:t xml:space="preserve">）</w:t>
      </w:r>
      <w:bookmarkStart w:id="10" w:name="_Toc15560"/>
      <w:r/>
      <w:bookmarkStart w:id="11" w:name="_Toc19820"/>
      <w:r>
        <w:rPr>
          <w:rFonts w:hint="eastAsia" w:ascii="宋体" w:hAnsi="宋体"/>
          <w:b/>
          <w:bCs/>
          <w:color w:val="auto"/>
          <w:sz w:val="24"/>
          <w:szCs w:val="24"/>
          <w:highlight w:val="none"/>
          <w:lang w:val="zh-CN"/>
        </w:rPr>
        <w:t xml:space="preserve">项目服务标准：</w:t>
      </w:r>
      <w:bookmarkEnd w:id="10"/>
      <w:r/>
      <w:bookmarkEnd w:id="11"/>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1、建立和健全农村财务监管中心的相关管理制度。包括人员的管理制度、考核制度、工作制度。</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2、按照合同规定的服务范围完成好各项财务代理工作，严格按规范的会计制度统一进行记账核算。</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3、至少配备1名具有中级会计师以上专业技术职务资格或注册会计师的财务总监全日制驻财务监管中心办公，并不得为兼职人员，而且要保持稳定，不得随意更换。</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4、建立定期培训制度，每年至少举办两次财务人员的培训班，在履约期间负责对财务管理代理业务、相关政策制度的培训指导。</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5、配合甲方开展日常财务监督管理工作，配合甲方的工作需要提供各种财务数据、财务报表、会计信息、统计资料。</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6、配合甲方做好财务、资产管理的监督工作，做好财务监管平台和集体资产管理交易平台的相关工作。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7、乙方财务总监必须在季末、年末以书面形式向甲方汇报工作情况，以便及时发现问题，解决问题。</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8、自觉接受甲方内部审计小组或委托专业审计公司进行审计。</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9、乙方自觉接受甲方的定期考核工作。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10、乙方不得以任何理由将本合同约定义务委托转让给第三方。</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11、乙方对其知悉的秘密和甲方提供的资料有保密义务，除另有约定或经甲方同意外，不得对外泄露。</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乙方在履约期间视情况每月到各村社区巡回一次做指导监督工作，对农管系统警示的账务处理问题做情况了解并提出建议，并对上个月提出处理意见的问题进行实时跟进，协助村社区做好资产管理、合同管理、资金管理、票据管理等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14、乙方在履约期间对所托管的员工可能提请的诉讼有义务做应诉、出庭、举证甚至咨询聘请律师等工作。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15、及时完成会计核算工作，并按照约定时间出具财务报表，协助做好每季财务公开工作，负责会计资料的整理、归档、移交工作。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与甲方协商安排财务人员在监管中心的具体工作岗位及工作内容，监督、检查、考核员工完成工作的情况。对监管中心财务人员的管理做好绩效考核及人事管理工作，对办公耗材使用等进行日常管理控制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17、对财务人员的职业道德规范、工作任务、技能培训、应达到的工作要求、应注意的安全事项、应遵守的各项纪律等履行告知、教育、管理培训的义务。</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18、为财务人员依法建立劳动关系，签订劳动合同，并负责劳动合同的管理工作。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19、为财务人员办理社会保险手续，缴交社会保险费；为终止、解除劳动合同的员工办理社会保险金转移、结算等相关手续。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20、做好劳动合同的动态管理工作，并在员工达到法定退休年龄时，为其办理退保及享受相应待遇有关手续。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21、员工发生工伤事故的，按《工伤保险条例》妥善处理，并负责办理工伤申请认定和费用报销事宜。</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22、员工在工作期间，违章作业或损坏、遗失工作物品等，或给甲方造成其它经济损失的，由甲方按国家法律、法规和单位的规章制度进行处理，乙方协助甲方追究当事人责任及索赔。</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23、做好员工的考勤表，依照甲乙双方共同制定的支付工资标准按时足额的发放员工工资。</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（五）财务资料的交接</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标单位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r/>
    </w:p>
    <w:p>
      <w:pPr>
        <w:ind w:left="420"/>
        <w:spacing w:line="360" w:lineRule="auto"/>
        <w:rPr>
          <w:rFonts w:ascii="宋体" w:hAnsi="宋体"/>
          <w:b/>
          <w:bCs/>
          <w:color w:val="auto"/>
          <w:sz w:val="24"/>
          <w:szCs w:val="24"/>
          <w:highlight w:val="none"/>
          <w:lang w:val="zh-CN"/>
        </w:rPr>
      </w:pPr>
      <w:r>
        <w:rPr>
          <w:rFonts w:hint="eastAsia" w:ascii="宋体" w:hAnsi="宋体"/>
          <w:color w:val="auto"/>
          <w:sz w:val="24"/>
          <w:szCs w:val="24"/>
          <w:highlight w:val="none"/>
        </w:rPr>
        <w:t xml:space="preserve">2、中标单位应在本合同期限届满前一个月准备好财务资料的移交手续。合同期限届满时，中标单位应与接任的中介服务机构办理移交手续，将所保管的全部财务资料及有关印章进行移交，采购人负责监督移交。移交期限为合同届满之日起二十天内，如中标单位在移交期限内未能移交资料，每逾一天中标单位向采购人支付违约金人民币伍佰元（￥500.00）。</w:t>
      </w:r>
      <w:r/>
    </w:p>
    <w:p>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（六）人员分配情况：</w:t>
      </w:r>
      <w:r/>
    </w:p>
    <w:p>
      <w:pPr>
        <w:ind w:left="420" w:firstLine="42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必须委派至少</w:t>
      </w:r>
      <w:r>
        <w:rPr>
          <w:rFonts w:hint="eastAsia" w:ascii="宋体" w:hAnsi="宋体"/>
          <w:color w:val="auto"/>
          <w:sz w:val="24"/>
          <w:szCs w:val="24"/>
          <w:highlight w:val="none"/>
        </w:rPr>
        <w:t xml:space="preserve">12</w:t>
      </w:r>
      <w:r>
        <w:rPr>
          <w:rFonts w:hint="eastAsia" w:ascii="宋体" w:hAnsi="宋体"/>
          <w:color w:val="auto"/>
          <w:sz w:val="24"/>
          <w:szCs w:val="24"/>
          <w:highlight w:val="none"/>
          <w:lang w:val="zh-CN"/>
        </w:rPr>
        <w:t xml:space="preserve">名驻街道、村社区财务人员，</w:t>
      </w:r>
      <w:r>
        <w:rPr>
          <w:rFonts w:hint="eastAsia" w:ascii="宋体" w:hAnsi="宋体"/>
          <w:color w:val="auto"/>
          <w:sz w:val="24"/>
          <w:szCs w:val="24"/>
          <w:highlight w:val="none"/>
        </w:rPr>
        <w:t xml:space="preserve">至</w:t>
      </w:r>
      <w:r>
        <w:rPr>
          <w:rFonts w:hint="eastAsia" w:ascii="宋体" w:hAnsi="宋体"/>
          <w:color w:val="auto"/>
          <w:sz w:val="24"/>
          <w:szCs w:val="24"/>
          <w:highlight w:val="none"/>
          <w:lang w:val="zh-CN"/>
        </w:rPr>
        <w:t xml:space="preserve">202</w:t>
      </w:r>
      <w:r>
        <w:rPr>
          <w:rFonts w:ascii="宋体" w:hAnsi="宋体"/>
          <w:color w:val="auto"/>
          <w:sz w:val="24"/>
          <w:szCs w:val="24"/>
          <w:highlight w:val="none"/>
          <w:lang w:val="zh-CN"/>
        </w:rPr>
        <w:t xml:space="preserve">6</w:t>
      </w:r>
      <w:r>
        <w:rPr>
          <w:rFonts w:hint="eastAsia" w:ascii="宋体" w:hAnsi="宋体"/>
          <w:color w:val="auto"/>
          <w:sz w:val="24"/>
          <w:szCs w:val="24"/>
          <w:highlight w:val="none"/>
          <w:lang w:val="zh-CN"/>
        </w:rPr>
        <w:t xml:space="preserve">年</w:t>
      </w:r>
      <w:r>
        <w:rPr>
          <w:rFonts w:hint="eastAsia" w:ascii="宋体" w:hAnsi="宋体"/>
          <w:color w:val="auto"/>
          <w:sz w:val="24"/>
          <w:szCs w:val="24"/>
          <w:highlight w:val="none"/>
        </w:rPr>
        <w:t xml:space="preserve">09</w:t>
      </w:r>
      <w:r>
        <w:rPr>
          <w:rFonts w:hint="eastAsia" w:ascii="宋体" w:hAnsi="宋体"/>
          <w:color w:val="auto"/>
          <w:sz w:val="24"/>
          <w:szCs w:val="24"/>
          <w:highlight w:val="none"/>
          <w:lang w:val="zh-CN"/>
        </w:rPr>
        <w:t xml:space="preserve">月</w:t>
      </w:r>
      <w:r>
        <w:rPr>
          <w:rFonts w:hint="eastAsia" w:ascii="宋体" w:hAnsi="宋体"/>
          <w:color w:val="auto"/>
          <w:sz w:val="24"/>
          <w:szCs w:val="24"/>
          <w:highlight w:val="none"/>
        </w:rPr>
        <w:t xml:space="preserve">0</w:t>
      </w:r>
      <w:r>
        <w:rPr>
          <w:rFonts w:hint="eastAsia" w:ascii="宋体" w:hAnsi="宋体"/>
          <w:color w:val="auto"/>
          <w:sz w:val="24"/>
          <w:szCs w:val="24"/>
          <w:highlight w:val="none"/>
          <w:lang w:val="zh-CN"/>
        </w:rPr>
        <w:t xml:space="preserve">1日</w:t>
      </w:r>
      <w:r>
        <w:rPr>
          <w:rFonts w:hint="eastAsia" w:ascii="宋体" w:hAnsi="宋体"/>
          <w:color w:val="auto"/>
          <w:sz w:val="24"/>
          <w:szCs w:val="24"/>
          <w:highlight w:val="none"/>
        </w:rPr>
        <w:t xml:space="preserve">止</w:t>
      </w:r>
      <w:r>
        <w:rPr>
          <w:rFonts w:hint="eastAsia" w:ascii="宋体" w:hAnsi="宋体"/>
          <w:color w:val="auto"/>
          <w:sz w:val="24"/>
          <w:szCs w:val="24"/>
          <w:highlight w:val="none"/>
          <w:lang w:val="zh-CN"/>
        </w:rPr>
        <w:t xml:space="preserve">年龄</w:t>
      </w:r>
      <w:r>
        <w:rPr>
          <w:rFonts w:ascii="宋体" w:hAnsi="宋体"/>
          <w:color w:val="auto"/>
          <w:sz w:val="24"/>
          <w:szCs w:val="24"/>
          <w:highlight w:val="none"/>
        </w:rPr>
        <w:t xml:space="preserve">50</w:t>
      </w:r>
      <w:r>
        <w:rPr>
          <w:rFonts w:hint="eastAsia" w:ascii="宋体" w:hAnsi="宋体"/>
          <w:color w:val="auto"/>
          <w:sz w:val="24"/>
          <w:szCs w:val="24"/>
          <w:highlight w:val="none"/>
          <w:lang w:val="zh-CN"/>
        </w:rPr>
        <w:t xml:space="preserve">周岁以下（含5</w:t>
      </w:r>
      <w:r>
        <w:rPr>
          <w:rFonts w:ascii="宋体" w:hAnsi="宋体"/>
          <w:color w:val="auto"/>
          <w:sz w:val="24"/>
          <w:szCs w:val="24"/>
          <w:highlight w:val="none"/>
          <w:lang w:val="zh-CN"/>
        </w:rPr>
        <w:t xml:space="preserve">0</w:t>
      </w:r>
      <w:r>
        <w:rPr>
          <w:rFonts w:hint="eastAsia" w:ascii="宋体" w:hAnsi="宋体"/>
          <w:color w:val="auto"/>
          <w:sz w:val="24"/>
          <w:szCs w:val="24"/>
          <w:highlight w:val="none"/>
          <w:lang w:val="zh-CN"/>
        </w:rPr>
        <w:t xml:space="preserve">周岁）。派驻和更换驻街道财务人员应事先征得采购单位同意。</w:t>
      </w:r>
      <w:r/>
    </w:p>
    <w:p>
      <w:pPr>
        <w:ind w:left="42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1、驻街道、村社区财务人员包括财务总监、驻街道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w:t>
      </w:r>
      <w:r>
        <w:rPr>
          <w:rFonts w:hint="eastAsia" w:ascii="宋体" w:hAnsi="宋体"/>
          <w:color w:val="auto"/>
          <w:sz w:val="24"/>
          <w:szCs w:val="24"/>
          <w:highlight w:val="none"/>
        </w:rPr>
        <w:t xml:space="preserve">及驻村社区出纳员</w:t>
      </w:r>
      <w:r>
        <w:rPr>
          <w:rFonts w:hint="eastAsia" w:ascii="宋体" w:hAnsi="宋体"/>
          <w:color w:val="auto"/>
          <w:sz w:val="24"/>
          <w:szCs w:val="24"/>
          <w:highlight w:val="none"/>
          <w:lang w:val="zh-CN"/>
        </w:rPr>
        <w:t xml:space="preserve">，驻街道、村社区财务人员由中标单位聘用。财务总监</w:t>
      </w:r>
      <w:r>
        <w:rPr>
          <w:rFonts w:hint="eastAsia" w:ascii="宋体" w:hAnsi="宋体"/>
          <w:color w:val="auto"/>
          <w:sz w:val="24"/>
          <w:szCs w:val="24"/>
          <w:highlight w:val="none"/>
        </w:rPr>
        <w:t xml:space="preserve">及</w:t>
      </w:r>
      <w:r>
        <w:rPr>
          <w:rFonts w:hint="eastAsia" w:ascii="宋体" w:hAnsi="宋体"/>
          <w:color w:val="auto"/>
          <w:sz w:val="24"/>
          <w:szCs w:val="24"/>
          <w:highlight w:val="none"/>
          <w:lang w:val="zh-CN"/>
        </w:rPr>
        <w:t xml:space="preserve">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会计须全日制入驻财务监管中心办公，</w:t>
      </w:r>
      <w:r>
        <w:rPr>
          <w:rFonts w:hint="eastAsia" w:ascii="宋体" w:hAnsi="宋体"/>
          <w:color w:val="auto"/>
          <w:sz w:val="24"/>
          <w:szCs w:val="24"/>
          <w:highlight w:val="none"/>
        </w:rPr>
        <w:t xml:space="preserve">驻村社区出纳员</w:t>
      </w:r>
      <w:r>
        <w:rPr>
          <w:rFonts w:hint="eastAsia" w:ascii="宋体" w:hAnsi="宋体"/>
          <w:color w:val="auto"/>
          <w:sz w:val="24"/>
          <w:szCs w:val="24"/>
          <w:highlight w:val="none"/>
          <w:lang w:val="zh-CN"/>
        </w:rPr>
        <w:t xml:space="preserve">须全日制入驻</w:t>
      </w:r>
      <w:r>
        <w:rPr>
          <w:rFonts w:hint="eastAsia" w:ascii="宋体" w:hAnsi="宋体"/>
          <w:color w:val="auto"/>
          <w:sz w:val="24"/>
          <w:szCs w:val="24"/>
          <w:highlight w:val="none"/>
        </w:rPr>
        <w:t xml:space="preserve">村社区</w:t>
      </w:r>
      <w:r>
        <w:rPr>
          <w:rFonts w:hint="eastAsia" w:ascii="宋体" w:hAnsi="宋体"/>
          <w:color w:val="auto"/>
          <w:sz w:val="24"/>
          <w:szCs w:val="24"/>
          <w:highlight w:val="none"/>
          <w:lang w:val="zh-CN"/>
        </w:rPr>
        <w:t xml:space="preserve">办公，不得兼职；必须遵守机关工作制度，接受村级集体经济组织、街道业务主管部门、上级主管部门等相关部门的指导和监督。</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财务总监1名，要具有会计</w:t>
      </w:r>
      <w:r>
        <w:rPr>
          <w:rFonts w:hint="eastAsia" w:ascii="宋体" w:hAnsi="宋体"/>
          <w:b/>
          <w:bCs/>
          <w:color w:val="auto"/>
          <w:sz w:val="24"/>
          <w:szCs w:val="24"/>
          <w:highlight w:val="none"/>
        </w:rPr>
        <w:t xml:space="preserve">中级及以上职称或注册会计师</w:t>
      </w:r>
      <w:r>
        <w:rPr>
          <w:rFonts w:hint="eastAsia" w:ascii="宋体" w:hAnsi="宋体"/>
          <w:color w:val="auto"/>
          <w:sz w:val="24"/>
          <w:szCs w:val="24"/>
          <w:highlight w:val="none"/>
        </w:rPr>
        <w:t xml:space="preserve">，具有相关工作的经验；财务总监全面负责村级财务代理的日常管理和业务运作，负责与各级业务主管部门、村集体组织的沟通与协调；财务总监对驻街道会计进行监督管理，负责对驻街道会计、驻村社区出纳员的业务沟通、指导和培训。</w:t>
      </w:r>
      <w:r/>
    </w:p>
    <w:p>
      <w:pPr>
        <w:ind w:left="42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会计不少于</w:t>
      </w: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人，要具有</w:t>
      </w:r>
      <w:r>
        <w:rPr>
          <w:rFonts w:hint="eastAsia" w:ascii="宋体" w:hAnsi="宋体"/>
          <w:b/>
          <w:bCs/>
          <w:color w:val="auto"/>
          <w:sz w:val="24"/>
          <w:szCs w:val="24"/>
          <w:highlight w:val="none"/>
        </w:rPr>
        <w:t xml:space="preserve">会计从业资格证或会计初级及以上职称</w:t>
      </w:r>
      <w:r>
        <w:rPr>
          <w:rFonts w:hint="eastAsia" w:ascii="宋体" w:hAnsi="宋体"/>
          <w:color w:val="auto"/>
          <w:sz w:val="24"/>
          <w:szCs w:val="24"/>
          <w:highlight w:val="none"/>
          <w:lang w:val="zh-CN"/>
        </w:rPr>
        <w:t xml:space="preserve">；具有</w:t>
      </w:r>
      <w:r>
        <w:rPr>
          <w:rFonts w:hint="eastAsia" w:ascii="宋体" w:hAnsi="宋体"/>
          <w:color w:val="auto"/>
          <w:sz w:val="24"/>
          <w:szCs w:val="24"/>
          <w:highlight w:val="none"/>
        </w:rPr>
        <w:t xml:space="preserve">相关工作的</w:t>
      </w:r>
      <w:r>
        <w:rPr>
          <w:rFonts w:hint="eastAsia" w:ascii="宋体" w:hAnsi="宋体"/>
          <w:color w:val="auto"/>
          <w:sz w:val="24"/>
          <w:szCs w:val="24"/>
          <w:highlight w:val="none"/>
          <w:lang w:val="zh-CN"/>
        </w:rPr>
        <w:t xml:space="preserve">经验；负责全街道农村财务核算和财务管理工作。</w:t>
      </w:r>
      <w:r/>
    </w:p>
    <w:p>
      <w:pPr>
        <w:ind w:left="42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4、驻村社区出纳员不少于7人</w:t>
      </w:r>
      <w:r>
        <w:rPr>
          <w:rFonts w:hint="eastAsia" w:ascii="宋体" w:hAnsi="宋体"/>
          <w:color w:val="auto"/>
          <w:sz w:val="24"/>
          <w:szCs w:val="24"/>
          <w:highlight w:val="none"/>
          <w:lang w:val="zh-CN"/>
        </w:rPr>
        <w:t xml:space="preserve">，要具有</w:t>
      </w:r>
      <w:r>
        <w:rPr>
          <w:rFonts w:hint="eastAsia" w:ascii="宋体" w:hAnsi="宋体"/>
          <w:color w:val="auto"/>
          <w:sz w:val="24"/>
          <w:szCs w:val="24"/>
          <w:highlight w:val="none"/>
        </w:rPr>
        <w:t xml:space="preserve">一定财务知识</w:t>
      </w:r>
      <w:r>
        <w:rPr>
          <w:rFonts w:hint="eastAsia" w:ascii="宋体" w:hAnsi="宋体"/>
          <w:color w:val="auto"/>
          <w:sz w:val="24"/>
          <w:szCs w:val="24"/>
          <w:highlight w:val="none"/>
          <w:lang w:val="zh-CN"/>
        </w:rPr>
        <w:t xml:space="preserve">。</w:t>
      </w:r>
      <w:r/>
    </w:p>
    <w:p>
      <w:pPr>
        <w:pStyle w:val="1081"/>
        <w:ind w:left="420"/>
        <w:spacing w:line="360" w:lineRule="auto"/>
        <w:rPr>
          <w:rFonts w:hint="default" w:hAnsi="宋体" w:eastAsia="宋体"/>
          <w:color w:val="auto"/>
          <w:sz w:val="24"/>
          <w:szCs w:val="24"/>
          <w:highlight w:val="none"/>
        </w:rPr>
      </w:pPr>
      <w:r>
        <w:rPr>
          <w:rFonts w:hAnsi="宋体" w:eastAsia="宋体"/>
          <w:color w:val="auto"/>
          <w:sz w:val="24"/>
          <w:szCs w:val="24"/>
          <w:highlight w:val="none"/>
        </w:rPr>
        <w:t xml:space="preserve">6、对在执行业务过程中知悉的业务秘密负有保密责任。除法律另有规定外，未经委托单位同意不得将委托单位提供的资料外泄。</w:t>
      </w:r>
      <w:r/>
    </w:p>
    <w:p>
      <w:pPr>
        <w:pStyle w:val="1081"/>
        <w:ind w:left="420"/>
        <w:spacing w:line="360" w:lineRule="auto"/>
        <w:tabs>
          <w:tab w:val="left" w:pos="709" w:leader="none"/>
        </w:tabs>
        <w:rPr>
          <w:rFonts w:hint="default" w:hAnsi="宋体" w:eastAsia="宋体"/>
          <w:color w:val="auto"/>
          <w:sz w:val="24"/>
          <w:szCs w:val="24"/>
          <w:highlight w:val="none"/>
        </w:rPr>
      </w:pPr>
      <w:r>
        <w:rPr>
          <w:rFonts w:hAnsi="宋体" w:eastAsia="宋体"/>
          <w:color w:val="auto"/>
          <w:sz w:val="24"/>
          <w:szCs w:val="24"/>
          <w:highlight w:val="none"/>
        </w:rPr>
        <w:t xml:space="preserve">7、在代理过程中，中标单位如有违反有关规定或违约行为的，根据委托协议约定的条款进行处罚，违反法律法规的移交司法部门处理。</w:t>
      </w:r>
      <w:r/>
    </w:p>
    <w:p>
      <w:pPr>
        <w:pStyle w:val="1081"/>
        <w:ind w:left="420"/>
        <w:spacing w:line="360" w:lineRule="auto"/>
        <w:tabs>
          <w:tab w:val="left" w:pos="709" w:leader="none"/>
        </w:tabs>
        <w:rPr>
          <w:rFonts w:hint="default" w:hAnsi="宋体" w:eastAsia="宋体"/>
          <w:color w:val="auto"/>
          <w:sz w:val="24"/>
          <w:szCs w:val="24"/>
          <w:highlight w:val="none"/>
        </w:rPr>
      </w:pPr>
      <w:r>
        <w:rPr>
          <w:rFonts w:hAnsi="宋体" w:eastAsia="宋体"/>
          <w:color w:val="auto"/>
          <w:sz w:val="24"/>
          <w:szCs w:val="24"/>
          <w:highlight w:val="none"/>
        </w:rPr>
        <w:t xml:space="preserve">8、统一使用财务软件进行会计核算、资金管理、固定资产管理和合同管理等。</w:t>
      </w:r>
      <w:r/>
    </w:p>
    <w:p>
      <w:pPr>
        <w:ind w:left="420"/>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注：1、上述人员配置为</w:t>
      </w:r>
      <w:r>
        <w:rPr>
          <w:rFonts w:hint="eastAsia" w:ascii="宋体" w:hAnsi="宋体"/>
          <w:b/>
          <w:bCs/>
          <w:color w:val="auto"/>
          <w:sz w:val="24"/>
          <w:szCs w:val="24"/>
          <w:highlight w:val="none"/>
        </w:rPr>
        <w:t xml:space="preserve">最低配置</w:t>
      </w:r>
      <w:r>
        <w:rPr>
          <w:rFonts w:hint="eastAsia" w:ascii="宋体" w:hAnsi="宋体"/>
          <w:color w:val="auto"/>
          <w:sz w:val="24"/>
          <w:szCs w:val="24"/>
          <w:highlight w:val="none"/>
        </w:rPr>
        <w:t xml:space="preserve">。2、</w:t>
      </w:r>
      <w:r>
        <w:rPr>
          <w:rFonts w:hint="eastAsia" w:ascii="宋体" w:hAnsi="宋体"/>
          <w:color w:val="auto"/>
          <w:sz w:val="24"/>
          <w:szCs w:val="24"/>
          <w:highlight w:val="none"/>
          <w:lang w:val="zh-CN"/>
        </w:rPr>
        <w:t xml:space="preserve">财务总监要具有</w:t>
      </w:r>
      <w:r>
        <w:rPr>
          <w:rFonts w:hint="eastAsia" w:ascii="宋体" w:hAnsi="宋体"/>
          <w:color w:val="auto"/>
          <w:sz w:val="24"/>
          <w:szCs w:val="24"/>
          <w:highlight w:val="none"/>
        </w:rPr>
        <w:t xml:space="preserve">会计中级及以上职称或注册会计师</w:t>
      </w:r>
      <w:r>
        <w:rPr>
          <w:rFonts w:hint="eastAsia" w:ascii="宋体" w:hAnsi="宋体"/>
          <w:color w:val="auto"/>
          <w:sz w:val="24"/>
          <w:szCs w:val="24"/>
          <w:highlight w:val="none"/>
          <w:lang w:val="zh-CN"/>
        </w:rPr>
        <w:t xml:space="preserve">；具有</w:t>
      </w:r>
      <w:r>
        <w:rPr>
          <w:rFonts w:hint="eastAsia" w:ascii="宋体" w:hAnsi="宋体"/>
          <w:color w:val="auto"/>
          <w:sz w:val="24"/>
          <w:szCs w:val="24"/>
          <w:highlight w:val="none"/>
        </w:rPr>
        <w:t xml:space="preserve">相关财务工作</w:t>
      </w:r>
      <w:r>
        <w:rPr>
          <w:rFonts w:hint="eastAsia" w:ascii="宋体" w:hAnsi="宋体"/>
          <w:color w:val="auto"/>
          <w:sz w:val="24"/>
          <w:szCs w:val="24"/>
          <w:highlight w:val="none"/>
          <w:lang w:val="zh-CN"/>
        </w:rPr>
        <w:t xml:space="preserve">的经验，具有综合协调管理能力；必须是投标单位在职在岗人员，以提供劳动合同及开标前</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个月的社保缴纳证明为准；须全日制入驻中心办公；</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上述人员（</w:t>
      </w:r>
      <w:r>
        <w:rPr>
          <w:rFonts w:hint="eastAsia" w:ascii="宋体" w:hAnsi="宋体"/>
          <w:color w:val="auto"/>
          <w:sz w:val="24"/>
          <w:szCs w:val="24"/>
          <w:highlight w:val="none"/>
        </w:rPr>
        <w:t xml:space="preserve">除财务总监</w:t>
      </w:r>
      <w:r>
        <w:rPr>
          <w:rFonts w:hint="eastAsia" w:ascii="宋体" w:hAnsi="宋体"/>
          <w:color w:val="auto"/>
          <w:sz w:val="24"/>
          <w:szCs w:val="24"/>
          <w:highlight w:val="none"/>
          <w:lang w:val="zh-CN"/>
        </w:rPr>
        <w:t xml:space="preserve">），需对外招聘的，应由中标</w:t>
      </w:r>
      <w:r>
        <w:rPr>
          <w:rFonts w:hint="eastAsia" w:ascii="宋体" w:hAnsi="宋体"/>
          <w:color w:val="auto"/>
          <w:sz w:val="24"/>
          <w:szCs w:val="24"/>
          <w:highlight w:val="none"/>
        </w:rPr>
        <w:t xml:space="preserve">单位</w:t>
      </w:r>
      <w:r>
        <w:rPr>
          <w:rFonts w:hint="eastAsia" w:ascii="宋体" w:hAnsi="宋体"/>
          <w:color w:val="auto"/>
          <w:sz w:val="24"/>
          <w:szCs w:val="24"/>
          <w:highlight w:val="none"/>
          <w:lang w:val="zh-CN"/>
        </w:rPr>
        <w:t xml:space="preserve">具体设置人员招聘条件，驻街道</w:t>
      </w:r>
      <w:r>
        <w:rPr>
          <w:rFonts w:hint="eastAsia" w:ascii="宋体" w:hAnsi="宋体"/>
          <w:color w:val="auto"/>
          <w:sz w:val="24"/>
          <w:szCs w:val="24"/>
          <w:highlight w:val="none"/>
        </w:rPr>
        <w:t xml:space="preserve">记账</w:t>
      </w:r>
      <w:r>
        <w:rPr>
          <w:rFonts w:hint="eastAsia" w:ascii="宋体" w:hAnsi="宋体"/>
          <w:color w:val="auto"/>
          <w:sz w:val="24"/>
          <w:szCs w:val="24"/>
          <w:highlight w:val="none"/>
          <w:lang w:val="zh-CN"/>
        </w:rPr>
        <w:t xml:space="preserve">会计</w:t>
      </w:r>
      <w:r>
        <w:rPr>
          <w:rFonts w:hint="eastAsia" w:ascii="宋体" w:hAnsi="宋体"/>
          <w:color w:val="auto"/>
          <w:sz w:val="24"/>
          <w:szCs w:val="24"/>
          <w:highlight w:val="none"/>
        </w:rPr>
        <w:t xml:space="preserve">以及驻村社区出纳员</w:t>
      </w:r>
      <w:r>
        <w:rPr>
          <w:rFonts w:hint="eastAsia" w:ascii="宋体" w:hAnsi="宋体"/>
          <w:color w:val="auto"/>
          <w:sz w:val="24"/>
          <w:szCs w:val="24"/>
          <w:highlight w:val="none"/>
          <w:lang w:val="zh-CN"/>
        </w:rPr>
        <w:t xml:space="preserve">向社会招聘，驻村社区出纳会计原则上在本村（就近村社区）内招聘，录用人员与中标事务所签订劳动合同，实行双重管理制度，遵守工作制度，并由中标事务所缴纳社医保、公积金、发放各项福利等。</w:t>
      </w:r>
      <w:r/>
    </w:p>
    <w:p>
      <w:pPr>
        <w:numPr>
          <w:ilvl w:val="0"/>
          <w:numId w:val="3"/>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投标单位应根据本项目的服务特点制定各项服务方案，方案要求如下：</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1、管理方案及规范</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方案内容包括：投标单位内部管理制度，内部控制制度，档案管理制度，协助合同管理制度等。投标单位应清晰了解各项服务范围及工作职责，严格遵循国家标准和行业服务规范，了解服务需求及环境条件后，分析工作的重点难点，保障项目顺利实施。</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2、实施方案</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方案内容包括：服务目标，总体工作计划，阶段性工作计划，实施办法，执行措施等。实现农村集体经济组织财务管理的规范化、透明化、信息化，保障集体资产安全。通过专业代理服务，提升财务核算效率，降低村级财务风险。助力乡村振兴战略，推动集体经济可持续发展。</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3、服务质量控制方案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方案内容包括：质量控制制度，质量控制措施，</w:t>
      </w:r>
      <w:r>
        <w:rPr>
          <w:rFonts w:hint="eastAsia" w:ascii="宋体" w:hAnsi="宋体" w:eastAsia="宋体" w:cs="宋体"/>
          <w:color w:val="auto"/>
          <w:sz w:val="24"/>
          <w:szCs w:val="24"/>
          <w:highlight w:val="none"/>
          <w:lang w:val="en-US" w:eastAsia="zh-CN"/>
        </w:rPr>
        <w:t xml:space="preserve">绩效考核、奖惩制度等</w:t>
      </w:r>
      <w:r>
        <w:rPr>
          <w:rFonts w:hint="eastAsia" w:ascii="宋体" w:hAnsi="宋体" w:eastAsia="宋体" w:cs="宋体"/>
          <w:bCs/>
          <w:color w:val="auto"/>
          <w:sz w:val="24"/>
          <w:szCs w:val="24"/>
          <w:highlight w:val="none"/>
          <w:lang w:val="en-US" w:eastAsia="zh-CN"/>
        </w:rPr>
        <w:t xml:space="preserve">。成立农村财务管理人员培训工作领导小组，负责培训工作的统筹规划、组织协调和监督管理，合理安排培训经费，确保培训场地、教材、师资等方面的开支。建立健全培训管理制度，加强对员工的培训，制定详细的培训计划，明确培训的相关内容及计划实施。明确档案移交周期，移交流程及步骤，制定档案移交管理制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4、安全及保密方案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方案内容包括：安全保密制度，保障数据安全性及完整性的措施方案。构建一个防泄漏、防篡改、防丢失的财务数据管理体系，确保农村集体资产信息的安全可控，同时满足法律法规和村民监督的双重要求。</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5、人员培训方案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项目人员配备方案，岗位职责划分，内部考核制度。需体现对服务方案的有效保障，各岗位职责要明确，责任义务清晰，工作范围具体详细。要体现优胜劣汰，体现效率优先，有明确的考核细则和奖励明细，给予优秀员工较为合理的奖励，达到调动员工积极性的目标。</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6、针对村财项目合理化建议和意见</w:t>
      </w:r>
      <w:r/>
    </w:p>
    <w:p>
      <w:pPr>
        <w:numPr>
          <w:ilvl w:val="0"/>
          <w:numId w:val="0"/>
        </w:num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方案内容包括：三资管理方面，财务收支管理，税收合理安排等。</w:t>
      </w:r>
      <w:r>
        <w:rPr>
          <w:rFonts w:hint="default" w:ascii="宋体" w:hAnsi="宋体" w:eastAsia="宋体" w:cs="宋体"/>
          <w:bCs/>
          <w:color w:val="auto"/>
          <w:sz w:val="24"/>
          <w:szCs w:val="24"/>
          <w:highlight w:val="none"/>
          <w:lang w:val="en-US" w:eastAsia="zh-CN"/>
        </w:rPr>
        <w:t xml:space="preserve">确保村集体资金使用合法合规，杜绝贪污挪用</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优化收支结构，降低财务成本。落实财务公开制度落实财务公开制度，完善内控机制，防范债务、税务和审计风险。</w:t>
      </w:r>
      <w:r/>
    </w:p>
    <w:p>
      <w:pPr>
        <w:contextualSpacing/>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三、综合说明及其它要求：</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1、中标人对服务缺陷不予更正，招标人有权另请其他单位更正。</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2、如遇招标人有重大基建等特殊情况（工作量减少或增加幅度较大时），招标人将提前三个月告知中标单位，合同内容经双方协商调整。</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3、中标人有责任配合招标人接受上级领导部门的监督、检查，提供必须的资料。</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中标人须严格按照国家和政府规定给所有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5、投入本项目所有人员的餐饮费都包含在此次报价中。</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6、招标人不接受投标人任何因遗漏报价而发生的费用追加，因投标人违反《劳动法》等法律法规而造成招标人的连带责任和损失全部由中标方承担。</w:t>
      </w:r>
      <w:r/>
    </w:p>
    <w:p>
      <w:pPr>
        <w:ind w:left="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7、投标人应在投标文件中说明，如能中标，在服务过程中需要招标人配合的工作和需要提供的条件。</w:t>
      </w:r>
      <w:r/>
    </w:p>
    <w:p>
      <w:pPr>
        <w:ind w:left="4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8、中标单位必须保证全部投标资料的真实性（中标单位在中标后三个工作日内必须将评分标准中所要求的得分证明材料原件送至招标代理机构复审），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p>
    <w:p>
      <w:pPr>
        <w:ind w:left="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9、投标单位对所投项目的全部内容进行报价，报价应包括</w:t>
      </w:r>
      <w:r>
        <w:rPr>
          <w:rFonts w:hint="eastAsia" w:ascii="宋体" w:hAnsi="宋体"/>
          <w:color w:val="auto"/>
          <w:sz w:val="24"/>
          <w:szCs w:val="24"/>
          <w:highlight w:val="none"/>
        </w:rPr>
        <w:t xml:space="preserve">完成该项工作所需的人工费（包括人员工资、五金、劳保福利等),从事服务等相关工具、设备使用费以及在从事该劳动过程中发生的餐费、加班费等一切费用，项目完成期内的合同价格不作调整。</w:t>
      </w:r>
      <w:r/>
    </w:p>
    <w:p>
      <w:pPr>
        <w:contextualSpacing/>
        <w:ind w:left="4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10、服务期限：自合同签订之日起三年</w:t>
      </w:r>
      <w:r>
        <w:rPr>
          <w:rFonts w:hint="eastAsia" w:ascii="宋体" w:hAnsi="宋体"/>
          <w:color w:val="auto"/>
          <w:sz w:val="24"/>
          <w:szCs w:val="24"/>
          <w:highlight w:val="none"/>
        </w:rPr>
        <w:t xml:space="preserve">。</w:t>
      </w:r>
      <w:r/>
    </w:p>
    <w:p>
      <w:pPr>
        <w:ind w:left="4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11、付款方式：</w:t>
      </w:r>
      <w:r>
        <w:rPr>
          <w:rFonts w:hint="eastAsia" w:ascii="宋体" w:hAnsi="宋体"/>
          <w:color w:val="auto"/>
          <w:sz w:val="24"/>
          <w:szCs w:val="24"/>
          <w:highlight w:val="none"/>
        </w:rPr>
        <w:t xml:space="preserve">根据合同约定付款。</w:t>
      </w:r>
      <w:r/>
    </w:p>
    <w:p>
      <w:pPr>
        <w:contextualSpacing/>
        <w:ind w:left="4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12、本项目采购人将对中标单位的服务进行考评，考评内容详见附件。</w:t>
      </w:r>
      <w:r/>
    </w:p>
    <w:p>
      <w:pPr>
        <w:ind w:firstLine="4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13、凡涉及本项目招标文件的补充、修改，均以苏州市政府采购网、苏州市公共资源交易平台发布的信息为准。同一条款有不同表达的，以最后时间发布的为准。请各投标人随时查看。</w:t>
      </w:r>
      <w:r/>
    </w:p>
    <w:p>
      <w:pPr>
        <w:pStyle w:val="726"/>
        <w:ind w:firstLine="0"/>
        <w:rPr>
          <w:rFonts w:ascii="宋体" w:hAnsi="宋体" w:cs="宋体"/>
          <w:color w:val="auto"/>
          <w:szCs w:val="24"/>
          <w:highlight w:val="none"/>
        </w:rPr>
      </w:pPr>
      <w:r>
        <w:rPr>
          <w:rFonts w:hint="eastAsia" w:ascii="宋体" w:hAnsi="宋体" w:cs="宋体"/>
          <w:color w:val="auto"/>
          <w:szCs w:val="24"/>
          <w:highlight w:val="none"/>
        </w:rPr>
        <w:t xml:space="preserve">五、政府采购政策：</w:t>
      </w:r>
      <w:r/>
    </w:p>
    <w:p>
      <w:pPr>
        <w:pStyle w:val="770"/>
        <w:ind w:left="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项目专门面向中小企业采购，本采购项目对应的所属行业为：（十五）租赁和商务服务业。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1、中小企业划分：</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（1）符合中小企业划分标准的个体工商户，在政府采购活动中视同中小企业。</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（2）中小企业划分标准详见“工信部联企业〔2011〕300号通知”。</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2、残疾人福利性单位：</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根据《关于促进残疾人就业政府采购政策的通知》（财库〔2017〕141号）规定，投标人若为残疾人福利性单位的，视同小型、微型企业。残疾人福利性单位属于小型、微型企业的，不重复认定。</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3、监狱企业发展：</w:t>
      </w:r>
      <w:r/>
    </w:p>
    <w:p>
      <w:pPr>
        <w:pStyle w:val="744"/>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根据《关于政府采购支持监狱企业发展有关问题的通知》（财库〔2014〕68号）规定，投标人若为监狱企业的，视同小型、微型企业。</w:t>
      </w:r>
      <w:r/>
    </w:p>
    <w:p>
      <w:pPr>
        <w:pStyle w:val="744"/>
        <w:ind w:left="0" w:firstLine="480"/>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val="zh-CN"/>
        </w:rPr>
        <w:t xml:space="preserve">专门面向中小企业采购的项目，不再执行价格评审优惠的扶持政策。</w:t>
      </w:r>
      <w:r/>
    </w:p>
    <w:p>
      <w:pPr>
        <w:pStyle w:val="1077"/>
        <w:ind w:firstLine="420"/>
        <w:rPr>
          <w:rFonts w:hint="eastAsia" w:ascii="宋体" w:hAnsi="宋体"/>
          <w:color w:val="auto"/>
          <w:highlight w:val="none"/>
        </w:rPr>
      </w:pPr>
      <w:r>
        <w:rPr>
          <w:rFonts w:hint="eastAsia" w:ascii="宋体" w:hAnsi="宋体"/>
          <w:color w:val="auto"/>
          <w:highlight w:val="none"/>
        </w:rPr>
        <w:t xml:space="preserve">注：若投标供应商提供的声明函或认定证明为虚假声明则视同提供虚假材料，按“政府采购法”相关规定处理并报请政府监管部门给予行政处罚。</w:t>
      </w:r>
      <w:r/>
    </w:p>
    <w:p>
      <w:pPr>
        <w:pStyle w:val="726"/>
        <w:ind w:firstLine="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六、</w:t>
      </w:r>
      <w:r>
        <w:rPr>
          <w:rFonts w:hint="default" w:ascii="宋体" w:hAnsi="宋体" w:cs="宋体"/>
          <w:color w:val="auto"/>
          <w:szCs w:val="24"/>
          <w:highlight w:val="none"/>
        </w:rPr>
        <w:t xml:space="preserve">政府采购异常低价审查</w:t>
      </w:r>
      <w:r>
        <w:rPr>
          <w:rFonts w:hint="eastAsia" w:ascii="宋体" w:hAnsi="宋体" w:cs="宋体"/>
          <w:color w:val="auto"/>
          <w:szCs w:val="24"/>
          <w:highlight w:val="none"/>
          <w:lang w:val="en-US" w:eastAsia="zh-CN"/>
        </w:rPr>
        <w:t xml:space="preserve">要求：</w:t>
      </w:r>
      <w:r/>
    </w:p>
    <w:p>
      <w:pPr>
        <w:pStyle w:val="770"/>
        <w:ind w:left="0"/>
        <w:spacing w:line="360" w:lineRule="auto"/>
        <w:rPr>
          <w:rFonts w:hint="default" w:ascii="宋体" w:hAnsi="宋体" w:eastAsia="宋体" w:cs="宋体"/>
          <w:color w:val="auto"/>
          <w:szCs w:val="24"/>
          <w:highlight w:val="none"/>
        </w:rPr>
      </w:pPr>
      <w:r>
        <w:rPr>
          <w:rFonts w:hint="default" w:ascii="宋体" w:hAnsi="宋体" w:eastAsia="宋体" w:cs="宋体"/>
          <w:color w:val="auto"/>
          <w:szCs w:val="24"/>
          <w:highlight w:val="none"/>
        </w:rPr>
        <w:t xml:space="preserve">本项目按政府采购异常低价审查的有关要求执行，执行依据为</w:t>
      </w:r>
      <w:r>
        <w:rPr>
          <w:rFonts w:hint="eastAsia" w:ascii="宋体" w:hAnsi="宋体" w:eastAsia="宋体" w:cs="宋体"/>
          <w:color w:val="auto"/>
          <w:szCs w:val="24"/>
          <w:highlight w:val="none"/>
        </w:rPr>
        <w:t xml:space="preserve">《关于推动解决政府采购异常低价问题的通知》（财库〔2026〕2号）</w:t>
      </w:r>
      <w:r>
        <w:rPr>
          <w:rFonts w:hint="default" w:ascii="宋体" w:hAnsi="宋体" w:eastAsia="宋体" w:cs="宋体"/>
          <w:color w:val="auto"/>
          <w:szCs w:val="24"/>
          <w:highlight w:val="none"/>
        </w:rPr>
        <w:t xml:space="preserve">。如有异常低价评委会启动异常低价投标（响应）审查的各类情形和工作要求。</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采购人应当在采购文件中明确，政府采购评审中出现下列情形之一的，评审委员会应当启动异常低价投标（响应）审查程序：</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投标（响应）报价低于全部通过符合性审查供应商投标（响应）报价平均值50%的，即投标（响应）报价〈全部通过符合性审查供应商投标（响应）报价平均值×50%；</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投标（响应）报价低于通过符合性审查的次低报价供应商投标（响应）报价50%的，即投标（响应）报价〈通过符合性审查的次低报价供应商投标（响应）报价×50%；</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投标（响应）报价低于采购项目最高限价45%的，即投标（响应）报价〈采购项目最高限价×45%；</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评审委员会基于专业判断，认为供应商报价过低，有可能影响产品质量或者不能诚信履约的其他情形。</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采购人可以结合具体项目实际情况，提高上述第1项至第3项中启动异常低价投标（响应）审查的数值标准，但是最高不得超过65%。</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相关法律法规对供应商报价有规定的，从其规定。</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5.1.2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0"/>
        <w:ind w:left="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0"/>
        <w:ind w:left="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7"/>
        <w:ind w:firstLine="420"/>
        <w:rPr>
          <w:rFonts w:hint="eastAsia" w:ascii="宋体" w:hAnsi="宋体"/>
          <w:color w:val="auto"/>
          <w:highlight w:val="none"/>
        </w:rPr>
      </w:pPr>
      <w:r>
        <w:rPr>
          <w:rFonts w:hint="eastAsia" w:ascii="宋体" w:hAnsi="宋体"/>
          <w:color w:val="auto"/>
          <w:highlight w:val="none"/>
        </w:rPr>
      </w:r>
      <w:r/>
    </w:p>
    <w:p>
      <w:pPr>
        <w:pStyle w:val="1077"/>
        <w:ind w:firstLine="480"/>
        <w:rPr>
          <w:rFonts w:ascii="宋体" w:hAnsi="宋体"/>
          <w:color w:val="auto"/>
          <w:highlight w:val="none"/>
        </w:rPr>
        <w:sectPr>
          <w:footnotePr/>
          <w:endnotePr/>
          <w:type w:val="nextPage"/>
          <w:pgSz w:w="11907" w:h="16840" w:orient="portrait"/>
          <w:pgMar w:top="1134" w:right="1091" w:bottom="1134" w:left="1576" w:header="567" w:footer="794" w:gutter="0"/>
          <w:cols w:num="1" w:sep="0" w:space="720" w:equalWidth="1"/>
          <w:docGrid w:linePitch="360"/>
          <w:titlePg/>
        </w:sectPr>
      </w:pPr>
      <w:r>
        <w:rPr>
          <w:rFonts w:ascii="宋体" w:hAnsi="宋体"/>
          <w:color w:val="auto"/>
          <w:highlight w:val="none"/>
        </w:rPr>
      </w:r>
      <w:r/>
    </w:p>
    <w:p>
      <w:pPr>
        <w:pStyle w:val="725"/>
        <w:rPr>
          <w:rFonts w:ascii="宋体" w:hAnsi="宋体" w:cs="宋体"/>
          <w:color w:val="auto"/>
          <w:highlight w:val="none"/>
        </w:rPr>
      </w:pPr>
      <w:r/>
      <w:bookmarkStart w:id="12" w:name="_Toc2521"/>
      <w:r>
        <w:rPr>
          <w:rFonts w:hint="eastAsia" w:ascii="宋体" w:hAnsi="宋体" w:cs="宋体"/>
          <w:color w:val="auto"/>
          <w:highlight w:val="none"/>
        </w:rPr>
        <w:t xml:space="preserve">第五章 合同主要条款</w:t>
      </w:r>
      <w:bookmarkEnd w:id="9"/>
      <w:r/>
      <w:bookmarkEnd w:id="12"/>
      <w:r/>
      <w:r/>
    </w:p>
    <w:p>
      <w:pPr>
        <w:spacing w:line="360" w:lineRule="auto"/>
        <w:rPr>
          <w:rFonts w:hint="eastAsia" w:ascii="宋体" w:hAnsi="宋体" w:eastAsia="宋体"/>
          <w:bCs/>
          <w:color w:val="auto"/>
          <w:sz w:val="24"/>
          <w:szCs w:val="24"/>
          <w:highlight w:val="none"/>
          <w:lang w:eastAsia="zh-CN"/>
        </w:rPr>
      </w:pPr>
      <w:r/>
      <w:bookmarkStart w:id="13" w:name="_Toc37331744"/>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lang w:eastAsia="zh-CN"/>
        </w:rPr>
        <w:t xml:space="preserve">2027-2029年财务监管平台第三方代理服务采购</w:t>
      </w:r>
      <w:r/>
    </w:p>
    <w:tbl>
      <w:tblPr>
        <w:tblStyle w:val="73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36"/>
        <w:gridCol w:w="4826"/>
      </w:tblGrid>
      <w:tr>
        <w:trPr/>
        <w:tc>
          <w:tcPr>
            <w:tcW w:w="483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甲方（买方）：</w:t>
            </w:r>
            <w:r>
              <w:rPr>
                <w:rFonts w:hint="eastAsia" w:ascii="宋体" w:hAnsi="宋体"/>
                <w:bCs/>
                <w:color w:val="auto"/>
                <w:sz w:val="24"/>
                <w:szCs w:val="24"/>
                <w:highlight w:val="none"/>
              </w:rPr>
              <w:t xml:space="preserve">太仓市人民政府陆渡街道办事处</w:t>
            </w:r>
            <w:r/>
          </w:p>
        </w:tc>
        <w:tc>
          <w:tcPr>
            <w:tcW w:w="482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地址：</w:t>
            </w:r>
            <w:r/>
          </w:p>
        </w:tc>
      </w:tr>
      <w:tr>
        <w:trPr/>
        <w:tc>
          <w:tcPr>
            <w:tcW w:w="483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乙方（卖方）：</w:t>
            </w:r>
            <w:r/>
          </w:p>
        </w:tc>
        <w:tc>
          <w:tcPr>
            <w:tcW w:w="482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地址：</w:t>
            </w:r>
            <w:r/>
          </w:p>
        </w:tc>
      </w:tr>
      <w:tr>
        <w:trPr/>
        <w:tc>
          <w:tcPr>
            <w:tcW w:w="483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签订时间：</w:t>
            </w:r>
            <w:r/>
          </w:p>
        </w:tc>
        <w:tc>
          <w:tcPr>
            <w:tcW w:w="4826" w:type="dxa"/>
            <w:textDirection w:val="lrTb"/>
            <w:noWrap w:val="false"/>
          </w:tcPr>
          <w:p>
            <w:pPr>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签订地点：太仓市</w:t>
            </w:r>
            <w:r/>
          </w:p>
        </w:tc>
      </w:tr>
    </w:tbl>
    <w:p>
      <w:pPr>
        <w:ind w:firstLine="480"/>
        <w:spacing w:line="360" w:lineRule="auto"/>
        <w:tabs>
          <w:tab w:val="left" w:pos="6237"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根据《中华人民共和国民法典》及有关法律法规、《太仓市关于推进农村财务监管平台建设的实施方案》文件，以及</w:t>
      </w:r>
      <w:r>
        <w:rPr>
          <w:rFonts w:hint="eastAsia" w:ascii="宋体" w:hAnsi="宋体"/>
          <w:color w:val="auto"/>
          <w:sz w:val="24"/>
          <w:szCs w:val="24"/>
          <w:highlight w:val="none"/>
          <w:lang w:eastAsia="zh-CN"/>
        </w:rPr>
        <w:t xml:space="preserve">东方华星建设管理（江苏）有限公司</w:t>
      </w:r>
      <w:r>
        <w:rPr>
          <w:rFonts w:hint="eastAsia" w:ascii="宋体" w:hAnsi="宋体"/>
          <w:color w:val="auto"/>
          <w:sz w:val="24"/>
          <w:szCs w:val="24"/>
          <w:highlight w:val="none"/>
        </w:rPr>
        <w:t xml:space="preserve">采购编号</w:t>
      </w:r>
      <w:r>
        <w:rPr>
          <w:rFonts w:hint="eastAsia" w:ascii="宋体" w:hAnsi="宋体"/>
          <w:color w:val="auto"/>
          <w:sz w:val="24"/>
          <w:szCs w:val="24"/>
          <w:highlight w:val="none"/>
          <w:u w:val="single"/>
          <w:lang w:eastAsia="zh-CN"/>
        </w:rPr>
        <w:t xml:space="preserve">JSZC-320585-DFHX-G2026-0014</w:t>
      </w:r>
      <w:r>
        <w:rPr>
          <w:rFonts w:hint="eastAsia" w:ascii="宋体" w:hAnsi="宋体"/>
          <w:color w:val="auto"/>
          <w:sz w:val="24"/>
          <w:szCs w:val="24"/>
          <w:highlight w:val="none"/>
        </w:rPr>
        <w:t xml:space="preserve">号政府采购文件及中标单位的投标文件和中标通知书，甲方聘请乙方为</w:t>
      </w:r>
      <w:r>
        <w:rPr>
          <w:rFonts w:hint="eastAsia" w:ascii="宋体" w:hAnsi="宋体"/>
          <w:color w:val="auto"/>
          <w:sz w:val="24"/>
          <w:szCs w:val="24"/>
          <w:highlight w:val="none"/>
          <w:u w:val="single"/>
        </w:rPr>
        <w:t xml:space="preserve">陆渡街道村（社区）财务管理委托代理服务</w:t>
      </w:r>
      <w:r>
        <w:rPr>
          <w:rFonts w:hint="eastAsia" w:ascii="宋体" w:hAnsi="宋体"/>
          <w:color w:val="auto"/>
          <w:sz w:val="24"/>
          <w:szCs w:val="24"/>
          <w:highlight w:val="none"/>
        </w:rPr>
        <w:t xml:space="preserve">单位，双方本着平等、自愿、公平和诚实信用的原则，经友好协商，特订立如下协议：</w:t>
      </w:r>
      <w:r/>
    </w:p>
    <w:p>
      <w:pPr>
        <w:numPr>
          <w:ilvl w:val="0"/>
          <w:numId w:val="4"/>
        </w:num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项目概述</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2027-2029年财务监管平台第三方代理服务采购</w:t>
      </w:r>
      <w:r>
        <w:rPr>
          <w:rFonts w:hint="eastAsia" w:ascii="宋体" w:hAnsi="宋体"/>
          <w:bCs/>
          <w:color w:val="auto"/>
          <w:sz w:val="24"/>
          <w:szCs w:val="24"/>
          <w:highlight w:val="none"/>
        </w:rPr>
        <w:t xml:space="preserve">项目</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对象和范围：</w:t>
      </w:r>
      <w:r>
        <w:rPr>
          <w:rFonts w:hint="eastAsia" w:ascii="宋体" w:hAnsi="宋体"/>
          <w:bCs/>
          <w:color w:val="auto"/>
          <w:sz w:val="24"/>
          <w:szCs w:val="24"/>
          <w:highlight w:val="none"/>
        </w:rPr>
        <w:t xml:space="preserve">陆渡街道下辖村、村改社区、各农村集体合作经济组织等。</w:t>
      </w:r>
      <w:r/>
    </w:p>
    <w:p>
      <w:pPr>
        <w:ind w:firstLine="482"/>
        <w:spacing w:line="360" w:lineRule="auto"/>
        <w:tabs>
          <w:tab w:val="left" w:pos="2520" w:leader="none"/>
        </w:tabs>
        <w:rPr>
          <w:rFonts w:ascii="宋体" w:hAnsi="宋体"/>
          <w:b/>
          <w:color w:val="auto"/>
          <w:sz w:val="24"/>
          <w:szCs w:val="24"/>
          <w:highlight w:val="none"/>
        </w:rPr>
      </w:pPr>
      <w:r>
        <w:rPr>
          <w:rFonts w:hint="eastAsia" w:ascii="宋体" w:hAnsi="宋体"/>
          <w:b/>
          <w:color w:val="auto"/>
          <w:sz w:val="24"/>
          <w:szCs w:val="24"/>
          <w:highlight w:val="none"/>
        </w:rPr>
        <w:t xml:space="preserve">服务依据：</w:t>
      </w:r>
      <w:r>
        <w:rPr>
          <w:rFonts w:hint="eastAsia" w:ascii="宋体" w:hAnsi="宋体"/>
          <w:b/>
          <w:color w:val="auto"/>
          <w:sz w:val="24"/>
          <w:szCs w:val="24"/>
          <w:highlight w:val="none"/>
        </w:rPr>
        <w:tab/>
      </w:r>
      <w:r/>
    </w:p>
    <w:p>
      <w:pPr>
        <w:ind w:firstLine="48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1、严格执行</w:t>
      </w:r>
      <w:r>
        <w:rPr>
          <w:rFonts w:ascii="宋体" w:hAnsi="宋体" w:eastAsia="宋体" w:cs="宋体"/>
          <w:sz w:val="24"/>
          <w:szCs w:val="24"/>
        </w:rPr>
        <w:t xml:space="preserve">全国人民代表大会常务委员会</w:t>
      </w:r>
      <w:r>
        <w:rPr>
          <w:rFonts w:hint="eastAsia" w:ascii="宋体" w:hAnsi="宋体"/>
          <w:color w:val="auto"/>
          <w:sz w:val="24"/>
          <w:szCs w:val="24"/>
          <w:highlight w:val="none"/>
        </w:rPr>
        <w:t xml:space="preserve">制定的《中华人民共和国会计法》、</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《会计基础工作规范》、</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《村集体经济组织会计制度》、</w:t>
      </w:r>
      <w:r>
        <w:rPr>
          <w:rFonts w:ascii="宋体" w:hAnsi="宋体" w:eastAsia="宋体" w:cs="宋体"/>
          <w:sz w:val="24"/>
          <w:szCs w:val="24"/>
        </w:rPr>
        <w:t xml:space="preserve">中华人民共和国财政部</w:t>
      </w:r>
      <w:r>
        <w:rPr>
          <w:rFonts w:hint="eastAsia" w:ascii="宋体" w:hAnsi="宋体" w:cs="宋体"/>
          <w:sz w:val="24"/>
          <w:szCs w:val="24"/>
          <w:lang w:val="en-US" w:eastAsia="zh-CN"/>
        </w:rPr>
        <w:t xml:space="preserve">制定的</w:t>
      </w:r>
      <w:r>
        <w:rPr>
          <w:rFonts w:hint="eastAsia" w:ascii="宋体" w:hAnsi="宋体"/>
          <w:color w:val="auto"/>
          <w:sz w:val="24"/>
          <w:szCs w:val="24"/>
          <w:highlight w:val="none"/>
        </w:rPr>
        <w:t xml:space="preserve">《农民合作社财务会计制度》和国家有关法律法规。</w:t>
      </w:r>
      <w:r/>
    </w:p>
    <w:p>
      <w:pPr>
        <w:ind w:firstLine="48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2、太仓市农业农村局等上级部门和陆渡街道制定的相关制度文件(如相关制度修改按照新修订的制度执行)。</w:t>
      </w:r>
      <w:r/>
    </w:p>
    <w:p>
      <w:pPr>
        <w:ind w:firstLine="480"/>
        <w:spacing w:line="360" w:lineRule="auto"/>
        <w:tabs>
          <w:tab w:val="left" w:pos="2520" w:leader="none"/>
        </w:tabs>
        <w:rPr>
          <w:rFonts w:ascii="宋体" w:hAnsi="宋体"/>
          <w:color w:val="auto"/>
          <w:sz w:val="24"/>
          <w:szCs w:val="24"/>
          <w:highlight w:val="none"/>
        </w:rPr>
      </w:pPr>
      <w:r>
        <w:rPr>
          <w:rFonts w:hint="eastAsia" w:ascii="宋体" w:hAnsi="宋体"/>
          <w:color w:val="auto"/>
          <w:sz w:val="24"/>
          <w:szCs w:val="24"/>
          <w:highlight w:val="none"/>
        </w:rPr>
        <w:t xml:space="preserve">3、太仓市人民政府陆渡街道办事处下辖各村（社区）依法订立的有关乡规民约，以及集体合作经济组织的章程。</w:t>
      </w:r>
      <w:r/>
    </w:p>
    <w:p>
      <w:pPr>
        <w:ind w:firstLine="482"/>
        <w:spacing w:line="360" w:lineRule="auto"/>
        <w:tabs>
          <w:tab w:val="left" w:pos="2520" w:leader="none"/>
        </w:tabs>
        <w:rPr>
          <w:rFonts w:ascii="宋体" w:hAnsi="宋体"/>
          <w:b/>
          <w:color w:val="auto"/>
          <w:sz w:val="24"/>
          <w:szCs w:val="24"/>
          <w:highlight w:val="none"/>
        </w:rPr>
      </w:pPr>
      <w:r>
        <w:rPr>
          <w:rFonts w:hint="eastAsia" w:ascii="宋体" w:hAnsi="宋体"/>
          <w:b/>
          <w:color w:val="auto"/>
          <w:sz w:val="24"/>
          <w:szCs w:val="24"/>
          <w:highlight w:val="none"/>
        </w:rPr>
        <w:t xml:space="preserve">服务内容：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农村财务管理核算业务（代理会计核算、代理财务收支、代理资金管理、代理票据管理、代理财政专项资金管理、协助资产管理、协助合同管理、提供会计信息、代理会计日常资料并建档移交、代理税务申报及纳税规划等服务项目），凡甲方发生的各项经济业务的会计核算均由中标单位统一代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2、农村财务监管中心财务人员的管理和培训业务。</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二、服务期限</w:t>
      </w:r>
      <w:r/>
    </w:p>
    <w:p>
      <w:pPr>
        <w:ind w:left="540" w:hanging="1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乙方进行财务管理委托管理服务期限始于   年   月   日，于    年  月  日止。</w:t>
      </w:r>
      <w:r/>
    </w:p>
    <w:p>
      <w:pPr>
        <w:ind w:firstLine="482"/>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三、代理服务费</w:t>
      </w:r>
      <w:r/>
    </w:p>
    <w:p>
      <w:pPr>
        <w:numPr>
          <w:ilvl w:val="0"/>
          <w:numId w:val="5"/>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三年代理服务费：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万元，（每年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2、代理服务单位：全区</w:t>
      </w:r>
      <w:r>
        <w:rPr>
          <w:rFonts w:hint="eastAsia" w:ascii="宋体" w:hAnsi="宋体"/>
          <w:color w:val="auto"/>
          <w:sz w:val="24"/>
          <w:szCs w:val="24"/>
          <w:highlight w:val="none"/>
          <w:u w:val="single"/>
        </w:rPr>
        <w:t xml:space="preserve">  7  </w:t>
      </w:r>
      <w:r>
        <w:rPr>
          <w:rFonts w:hint="eastAsia" w:ascii="宋体" w:hAnsi="宋体"/>
          <w:color w:val="auto"/>
          <w:sz w:val="24"/>
          <w:szCs w:val="24"/>
          <w:highlight w:val="none"/>
        </w:rPr>
        <w:t xml:space="preserve">个村（社区）及下辖的所有集体经济组织。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代理服务费包含1名财务总监、4名驻街道会计、7名驻村社区出纳的工资、补贴、奖金、“五险一金”（集体与个人部分）、团体人身意外保险等人员费用（工资发放与社会保险费用缴费标准，由乙方依据相关规定核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4、代理服务费包含税金、管理、培训员工费用、人员餐费及村级经济运行中提供建议、意见咨询以及乙方按规定应该支付的派驻人员补贴、津贴、经济补偿金、赔偿金等一切费用。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5、代理服务管理费不包含“农管”软件维护费。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6、代理服务费不包含农村财务监管中心日常办公费用。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7、支付方式和支付时间：</w:t>
      </w:r>
      <w:r/>
    </w:p>
    <w:p>
      <w:pPr>
        <w:ind w:firstLine="480"/>
        <w:spacing w:line="360" w:lineRule="auto"/>
        <w:rPr>
          <w:rFonts w:hint="default" w:ascii="宋体" w:hAnsi="宋体"/>
          <w:color w:val="auto"/>
          <w:sz w:val="24"/>
          <w:szCs w:val="24"/>
          <w:highlight w:val="none"/>
          <w:lang w:val="en-US"/>
        </w:rPr>
      </w:pPr>
      <w:r>
        <w:rPr>
          <w:rFonts w:hint="eastAsia" w:ascii="宋体" w:hAnsi="宋体"/>
          <w:color w:val="auto"/>
          <w:sz w:val="24"/>
          <w:szCs w:val="24"/>
          <w:highlight w:val="none"/>
        </w:rPr>
        <w:t xml:space="preserve">A、合同签订后，甲方向乙方支付合同金额10%的预付款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在第一次付款时直接扣回。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B、</w:t>
      </w:r>
      <w:r>
        <w:rPr>
          <w:rFonts w:hint="eastAsia" w:ascii="宋体" w:hAnsi="宋体"/>
          <w:color w:val="auto"/>
          <w:sz w:val="24"/>
          <w:szCs w:val="24"/>
          <w:highlight w:val="none"/>
        </w:rPr>
        <w:t xml:space="preserve">按季度付款，每季度结束支付每年合同金额的25%。</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C</w:t>
      </w:r>
      <w:r>
        <w:rPr>
          <w:rFonts w:hint="eastAsia" w:ascii="宋体" w:hAnsi="宋体"/>
          <w:color w:val="auto"/>
          <w:sz w:val="24"/>
          <w:szCs w:val="24"/>
          <w:highlight w:val="none"/>
        </w:rPr>
        <w:t xml:space="preserve">、甲方向乙方支付的所有款项汇入乙方指定的开户行中，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乙方指定开户行如下：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收款单位：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收款账号：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开户行： </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四、甲方的权利和义务</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（一）甲方的权利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1、对乙方农村财务管理委托代理工作进行监督管理。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2、有权要求乙方配合甲方进行数据统计、上报有关报表、提供各类会计信息等。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3、有权要求乙方协助做好集体资产管理的监督工作，做好财务监管平台和集体资产管理交易平台的相关工作。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4、每年度对乙方进行一次工作考核，发现乙方在农村财务管理委托过程中有任何违法违规行为的，解除合同并追究乙方的违约责任。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5、乙方驻村社区人员应服从所在村社区会计业务关联工作的安排，对考核定为不称职的，村社区有权直接建议乙方更换。</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（二）甲方的义务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1、配合乙方确保辖下各村、涉农社区、各农村集体合作经济组织在相关经济活动中严格执行市农业农村局等上级部门和陆渡街道制定的相关制度文件（如相关制度修改按照新修订的制度执行）。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2、监督辖下各村（社区）、各农村集体合作经济组织建立健全内部管理制度，要求各村（社区）、各农村集体合作经济组织提供的会计资料真实、合法、完整。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3、提供办公场所（含水电及空调）、办公设备包括电脑、打印机、电话、复印机、传真机、文件柜、办公桌椅等。并协调各村（社区）解决驻村社区出纳的日常办公费用。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4、监督辖下各村（社区）、各农村集体合作经济组织协调配合财务工作，保证准时向乙方提供原始凭证，必须协调乙方与各村组之间的工作关系。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5、乙方在实际开展工作过程中，如遇到无法协调各村（社区）开展正常工作或出现难以解决的实际问题的，甲方要及时为乙方协调解决相关工作。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6、甲方负责指导和协调乙方驻街道财务总监的各项工作，及负责办公设备维护和办公耗材采购等管理工作。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7、与乙方共同制定财务人员的岗位职责和考核办法。</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五、乙方的权利和义务</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（一）乙方的权利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1、乙方有权按约定时间向甲方收取服务费和财务人员经费。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2、有权要求甲方为农村财务管理委托代理工作的顺利开展提供必要的资料和工作配合。</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（二）乙方的义务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1、建立和健全农村财务监管中心的相关管理制度。包括人员的管理制度、考核制度、工作制度。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2、按照合同规定的服务范围完成好各项财务代理工作，严格按规范的会计制度统一进行记账核算。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3、至少配备1名具有中级会计师以上专业技术职务资格或注册会计师的财务总监全日制驻财务监管中心办公，并不得为兼职人员，而且要保持稳定，不得随意更换。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4、建立定期培训制度，每年至少举办两次财务人员的培训班，在履约期间负责对财务管理代理业务、相关政策制度的培训指导。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5、配合甲方开展日常财务监督管理工作，配合甲方的工作需要提供各种财务数据、财务报表、会计信息、统计资料。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6、配合甲方做好财务、资产管理的监督工作，做好财务监管平台和集体资产管理交易平台的相关工作。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7、乙方财务总监必须在季末、年末以书面形式向甲方汇报工作情况，以便及时发现问题，解决问题。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8、自觉接受甲方内部审计小组或委托专业审计公司进行审计。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9、乙方自觉接受甲方的年度考核工作。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10、乙方不得以任何理由将本合同约定义务委托转让给第三方。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11、乙方对其知悉的秘密和甲方提供的资料有保密义务，除另有约定或经甲方同意外，不得对外泄露。</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乙方在履约期间视情况每月到各村（社区）巡回一次做指导监督工作，对农管系统警示的账务处理问题做情况了解并提出建议，并对上个月提出处理意见的问题进行实时跟进，协助村社区做好资产管理、合同管理、资金管理、票据管理等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14、乙方在履约期间对所托管的员工可能提请的诉讼有义务做应诉、出庭、举证甚至咨询聘请律师等工作。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15、及时完成会计核算工作，并按照约定时间出具财务报表，协助做好每季财务公开工作，负责会计资料的整理、归档、移交工作。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与甲方协商安排财务人员在监管中心的具体工作岗位及工作内容，监督、检查、考核员工完成工作的情况。对监管中心财务人员的管理做好绩效考核及人事管理工作，对办公耗材使用等进行日常管理控制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17、对财务人员的职业道德规范、工作任务、技能培训、应达到的工作要求、应注意的安全事项、应遵守的各项纪律等履行告知、教育、管理培训的义务。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18、乙方为财务人员依法建立劳动关系，签订劳动合同，并负责劳动合同的管理工作。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19、乙方为财务人员办理社会保险手续，缴交社会保险费；为终止、解除劳动合同的员工办理社会保险金转移、结算等相关手续。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20、做好劳动合同的动态管理工作，并在员工达到法定退休年龄时，为其办理退保及享受相应待遇有关手续。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21、员工发生工伤事故的，按《工伤保险条例》妥善处理，并负责办理工伤申请认定和费用报销事宜。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22、员工在工作期间，违章作业或损坏、遗失工作物品等，或给甲方造成其它经济损失的，由甲方按国家法律、法规和单位的规章制度进行处理，乙方协助甲方追究当事人责任及索赔。</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23、做好员工的考勤表，依照甲乙双方共同制定的支付工资标准按时足额的发放员工工资。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六、财务资料的交接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应在本合同期限届满前一个月准备好财务资料的移交手续，合同期限届满时，乙方应与接任的中介服务机构办理移交手续，将所保管的全部财务资料及有关印章进行移交，甲方负责监督移交。移交期限为合同届满之日起二十天内，如乙方在移交期限内未能移交资料，每逾一天乙方向甲方支付违约金人民币伍佰元（￥500.00）。</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七、违约责任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1、本合同双方自愿签订。合同期间，如任何一方没有按照上述义务执行或擅自解除本合同，属于违约，违约方须向履约方支付违约金叁万元整（￥30000.00）。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八、合同争议的解决：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当甲乙双方发生争议时，根据本合同相关规定解决，如果仍然不能解决，双方可以协商变更合同,协商不成可以向人民法院提出诉讼。</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九、合同效力：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1、本合同因不可抗力，致使双方或一方无法继续履行的，本合同自动终止。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2、因乙方违法违规被撤销或者歇业，视乙方违约。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3、因上级行政部门的原因，致使本合同不能继续履行，本合同自动终止。</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1、本合同书一式伍份，甲、乙双方及代理机构各一份，农村社区财务监管中心两份。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2、本合同书经双方签署，单位盖章后生效。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3、本协议未尽事宜及执行过程中出现不可预见的事项，由甲乙双方共同协商解决。</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pStyle w:val="770"/>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甲方签章：                                           乙方签章：              </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代理人：                                             代理人：               </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年   月   日                                         年   月   日          </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pStyle w:val="754"/>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备案方：</w:t>
      </w:r>
      <w:r/>
    </w:p>
    <w:p>
      <w:pPr>
        <w:rPr>
          <w:rFonts w:ascii="宋体" w:hAnsi="宋体"/>
          <w:color w:val="auto"/>
          <w:highlight w:val="none"/>
        </w:rPr>
      </w:pPr>
      <w:r/>
      <w:bookmarkStart w:id="14" w:name="_Toc19953"/>
      <w:r>
        <w:rPr>
          <w:rFonts w:hint="eastAsia" w:ascii="宋体" w:hAnsi="宋体"/>
          <w:color w:val="auto"/>
          <w:highlight w:val="none"/>
        </w:rPr>
        <w:br w:type="page" w:clear="all"/>
      </w:r>
      <w:r/>
    </w:p>
    <w:p>
      <w:pPr>
        <w:pStyle w:val="725"/>
        <w:rPr>
          <w:rFonts w:ascii="宋体" w:hAnsi="宋体" w:cs="宋体"/>
          <w:color w:val="auto"/>
          <w:highlight w:val="none"/>
        </w:rPr>
      </w:pPr>
      <w:r>
        <w:rPr>
          <w:rFonts w:hint="eastAsia" w:ascii="宋体" w:hAnsi="宋体" w:cs="宋体"/>
          <w:color w:val="auto"/>
          <w:highlight w:val="none"/>
        </w:rPr>
        <w:t xml:space="preserve">第六章 评标标准</w:t>
      </w:r>
      <w:bookmarkEnd w:id="13"/>
      <w:r/>
      <w:bookmarkEnd w:id="14"/>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一、评标方法：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招标评标采用为综合评分法，即在满足招标文件实质性要求前提下，按照招标文件中规定的评分标准和各项因素进行综合评审后，以评标总得分最高的投标人作为中标候选人。综合评分的主要因素为：价格、方案及措施、履约能力、对招标文件的响应程度，以及相应的商务标和技术标比重或者分值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评委评审得分和投标报价得分相加为投标人的总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3、如出现评标总得分最高的投标人有两个或两个以上的，以投标报价较低者优先作为中标候选人，如果投标报价也相同的，则以抽签方式确定中标候选人。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二、评分标准：</w:t>
      </w:r>
      <w:r/>
    </w:p>
    <w:tbl>
      <w:tblPr>
        <w:tblStyle w:val="735"/>
        <w:tblW w:w="9418"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286"/>
        <w:gridCol w:w="650"/>
        <w:gridCol w:w="6765"/>
      </w:tblGrid>
      <w:tr>
        <w:trPr>
          <w:trHeight w:val="493"/>
          <w:tblHeader/>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w:t>
            </w:r>
            <w:r/>
          </w:p>
        </w:tc>
        <w:tc>
          <w:tcPr>
            <w:tcW w:w="650"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W w:w="6765"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trHeight w:val="493"/>
        </w:trPr>
        <w:tc>
          <w:tcPr>
            <w:gridSpan w:val="4"/>
            <w:tcW w:w="9418"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一、报价部分（10分）</w:t>
            </w:r>
            <w:r/>
          </w:p>
        </w:tc>
      </w:tr>
      <w:tr>
        <w:trPr>
          <w:trHeight w:val="339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投标报价</w:t>
            </w:r>
            <w:r/>
          </w:p>
        </w:tc>
        <w:tc>
          <w:tcPr>
            <w:tcW w:w="650"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1、投标报价不超过采购预算价格的为有效投标报价。超出此范围的投标报价为无效投标报价。无效投标报价的投标文件不进行评审，也不得标；</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2、在所有有效投标报价中选择报价最低的确定为基准报价；</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价格权值*100（本次招标价格权值为10%）。</w:t>
            </w:r>
            <w:r/>
          </w:p>
        </w:tc>
      </w:tr>
      <w:tr>
        <w:trPr>
          <w:trHeight w:val="493"/>
        </w:trPr>
        <w:tc>
          <w:tcPr>
            <w:gridSpan w:val="4"/>
            <w:tcW w:w="9418"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二、履约能力（27分）</w:t>
            </w:r>
            <w:r/>
          </w:p>
        </w:tc>
      </w:tr>
      <w:tr>
        <w:trPr>
          <w:trHeight w:val="1460"/>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w:t>
            </w:r>
            <w:r/>
          </w:p>
        </w:tc>
        <w:tc>
          <w:tcPr>
            <w:tcW w:w="650"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20</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投标人202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年1月1日以来（以合同签订日期为准）承接过含政府相关单位、镇村级集体经济相关的财务代理服务项目的，有一项得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分，最多得</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分。（同一业主单位只计一个项目，响应文件中提供合同扫描件，否则不得分）</w:t>
            </w:r>
            <w:r/>
          </w:p>
        </w:tc>
      </w:tr>
      <w:tr>
        <w:trPr>
          <w:trHeight w:val="2426"/>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财务人员</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8</w:t>
            </w:r>
            <w:r/>
          </w:p>
        </w:tc>
        <w:tc>
          <w:tcPr>
            <w:tcW w:w="6765" w:type="dxa"/>
            <w:vAlign w:val="center"/>
            <w:textDirection w:val="lrTb"/>
            <w:noWrap w:val="false"/>
          </w:tcPr>
          <w:p>
            <w:pPr>
              <w:pStyle w:val="1082"/>
              <w:ind w:firstLine="0"/>
              <w:spacing w:line="360" w:lineRule="auto"/>
              <w:rPr>
                <w:color w:val="auto"/>
                <w:sz w:val="24"/>
                <w:szCs w:val="24"/>
                <w:highlight w:val="none"/>
              </w:rPr>
            </w:pPr>
            <w:r>
              <w:rPr>
                <w:rFonts w:hint="eastAsia"/>
                <w:color w:val="auto"/>
                <w:sz w:val="24"/>
                <w:szCs w:val="24"/>
                <w:highlight w:val="none"/>
                <w:lang w:eastAsia="zh-CN"/>
              </w:rPr>
              <w:t xml:space="preserve">拟派本项目的服务人员具有政府相关部门、镇村级或城市社区经济财务代理记账相关工作经验的，有一人得</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分，最多</w:t>
            </w:r>
            <w:r>
              <w:rPr>
                <w:rFonts w:hint="eastAsia"/>
                <w:color w:val="auto"/>
                <w:sz w:val="24"/>
                <w:szCs w:val="24"/>
                <w:highlight w:val="none"/>
                <w:lang w:val="en-US" w:eastAsia="zh-CN"/>
              </w:rPr>
              <w:t xml:space="preserve">得18</w:t>
            </w:r>
            <w:r>
              <w:rPr>
                <w:rFonts w:hint="eastAsia"/>
                <w:color w:val="auto"/>
                <w:sz w:val="24"/>
                <w:szCs w:val="24"/>
                <w:highlight w:val="none"/>
                <w:lang w:eastAsia="zh-CN"/>
              </w:rPr>
              <w:t xml:space="preserve">分。（投标文件中提供</w:t>
            </w:r>
            <w:r>
              <w:rPr>
                <w:rFonts w:hint="eastAsia"/>
                <w:color w:val="auto"/>
                <w:sz w:val="24"/>
                <w:szCs w:val="24"/>
                <w:highlight w:val="none"/>
                <w:lang w:val="en-US" w:eastAsia="zh-CN"/>
              </w:rPr>
              <w:t xml:space="preserve">加盖公章的</w:t>
            </w:r>
            <w:r>
              <w:rPr>
                <w:rFonts w:hint="eastAsia"/>
                <w:color w:val="auto"/>
                <w:sz w:val="24"/>
                <w:szCs w:val="24"/>
                <w:highlight w:val="none"/>
                <w:lang w:eastAsia="zh-CN"/>
              </w:rPr>
              <w:t xml:space="preserve">证明材料</w:t>
            </w:r>
            <w:r>
              <w:rPr>
                <w:rFonts w:hint="eastAsia"/>
                <w:color w:val="auto"/>
                <w:sz w:val="24"/>
                <w:szCs w:val="24"/>
                <w:highlight w:val="none"/>
                <w:lang w:val="en-US" w:eastAsia="zh-CN"/>
              </w:rPr>
              <w:t xml:space="preserve">扫描件</w:t>
            </w:r>
            <w:r>
              <w:rPr>
                <w:rFonts w:hint="eastAsia"/>
                <w:color w:val="auto"/>
                <w:sz w:val="24"/>
                <w:szCs w:val="24"/>
                <w:highlight w:val="none"/>
                <w:lang w:eastAsia="zh-CN"/>
              </w:rPr>
              <w:t xml:space="preserve">，不提供不得分）</w:t>
            </w:r>
            <w:r/>
          </w:p>
        </w:tc>
      </w:tr>
      <w:tr>
        <w:trPr>
          <w:trHeight w:val="493"/>
        </w:trPr>
        <w:tc>
          <w:tcPr>
            <w:gridSpan w:val="4"/>
            <w:tcW w:w="9418"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三、服务方案（</w:t>
            </w:r>
            <w:r>
              <w:rPr>
                <w:rFonts w:hint="eastAsia" w:ascii="宋体" w:hAnsi="宋体"/>
                <w:color w:val="auto"/>
                <w:sz w:val="24"/>
                <w:szCs w:val="24"/>
                <w:highlight w:val="none"/>
                <w:lang w:val="en-US" w:eastAsia="zh-CN"/>
              </w:rPr>
              <w:t xml:space="preserve">52</w:t>
            </w:r>
            <w:r>
              <w:rPr>
                <w:rFonts w:hint="eastAsia" w:ascii="宋体" w:hAnsi="宋体"/>
                <w:color w:val="auto"/>
                <w:sz w:val="24"/>
                <w:szCs w:val="24"/>
                <w:highlight w:val="none"/>
              </w:rPr>
              <w:t xml:space="preserve">分）</w:t>
            </w:r>
            <w:r/>
          </w:p>
        </w:tc>
      </w:tr>
      <w:tr>
        <w:trPr>
          <w:trHeight w:val="2426"/>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针对本项目的管理方案及规范</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p>
        </w:tc>
        <w:tc>
          <w:tcPr>
            <w:tcW w:w="6765" w:type="dxa"/>
            <w:vAlign w:val="center"/>
            <w:textDirection w:val="lrTb"/>
            <w:noWrap w:val="false"/>
          </w:tcPr>
          <w:p>
            <w:pPr>
              <w:jc w:val="left"/>
              <w:keepLines w:val="0"/>
              <w:keepNext w:val="0"/>
              <w:pageBreakBefore w:val="0"/>
              <w:spacing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根据投标人针对本项目的管理方案及规范进行评分，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①投标单位财务代理操作流程管理制度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②内部</w:t>
            </w:r>
            <w:r>
              <w:rPr>
                <w:rFonts w:hint="eastAsia" w:ascii="宋体" w:hAnsi="宋体" w:eastAsia="宋体" w:cs="宋体"/>
                <w:color w:val="auto"/>
                <w:sz w:val="24"/>
                <w:szCs w:val="24"/>
                <w:highlight w:val="none"/>
              </w:rPr>
              <w:t xml:space="preserve">控制制度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档案管理制度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④协助合同管理制度等。</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本项总分12分</w:t>
            </w:r>
            <w:r>
              <w:rPr>
                <w:rFonts w:hint="eastAsia" w:ascii="宋体" w:hAnsi="宋体" w:eastAsia="宋体" w:cs="宋体"/>
                <w:color w:val="auto"/>
                <w:sz w:val="24"/>
                <w:szCs w:val="24"/>
                <w:highlight w:val="none"/>
              </w:rPr>
              <w:t xml:space="preserve">。 </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w:t>
            </w:r>
            <w:r>
              <w:rPr>
                <w:rFonts w:hint="eastAsia" w:ascii="宋体" w:hAnsi="宋体" w:eastAsia="宋体" w:cs="宋体"/>
                <w:color w:val="auto"/>
                <w:sz w:val="24"/>
                <w:szCs w:val="24"/>
                <w:highlight w:val="none"/>
                <w:lang w:val="en-US" w:eastAsia="zh-CN"/>
              </w:rPr>
              <w:t xml:space="preserve">实施方案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8</w:t>
            </w:r>
            <w:r/>
          </w:p>
        </w:tc>
        <w:tc>
          <w:tcPr>
            <w:tcW w:w="6765" w:type="dxa"/>
            <w:vAlign w:val="center"/>
            <w:textDirection w:val="lrTb"/>
            <w:noWrap w:val="false"/>
          </w:tcPr>
          <w:p>
            <w:pPr>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4"/>
                <w:szCs w:val="24"/>
                <w:highlight w:val="none"/>
              </w:rPr>
              <w:t xml:space="preserve">根据投标人针对本项目的</w:t>
            </w:r>
            <w:r>
              <w:rPr>
                <w:rFonts w:hint="eastAsia" w:ascii="宋体" w:hAnsi="宋体" w:eastAsia="宋体" w:cs="宋体"/>
                <w:color w:val="auto"/>
                <w:sz w:val="24"/>
                <w:szCs w:val="24"/>
                <w:highlight w:val="none"/>
                <w:lang w:val="en-US" w:eastAsia="zh-CN"/>
              </w:rPr>
              <w:t xml:space="preserve">实施方案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服务目标，</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总体工作计划，</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阶段性工作计划，</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实施办法</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执行措施等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 </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针对本项目的服务质量控制方案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9</w:t>
            </w:r>
            <w:r/>
          </w:p>
        </w:tc>
        <w:tc>
          <w:tcPr>
            <w:tcW w:w="6765" w:type="dxa"/>
            <w:vAlign w:val="center"/>
            <w:textDirection w:val="lrTb"/>
            <w:noWrap w:val="false"/>
          </w:tcPr>
          <w:p>
            <w:pPr>
              <w:pStyle w:val="1082"/>
              <w:ind w:firstLine="0"/>
              <w:spacing w:line="360" w:lineRule="auto"/>
              <w:rPr>
                <w:color w:val="auto"/>
                <w:sz w:val="24"/>
                <w:szCs w:val="24"/>
                <w:highlight w:val="none"/>
              </w:rPr>
            </w:pPr>
            <w:r>
              <w:rPr>
                <w:rFonts w:hint="eastAsia" w:ascii="宋体" w:hAnsi="宋体" w:eastAsia="宋体" w:cs="宋体"/>
                <w:color w:val="auto"/>
                <w:sz w:val="24"/>
                <w:szCs w:val="24"/>
                <w:highlight w:val="none"/>
              </w:rPr>
              <w:t xml:space="preserve">根据投标人针对本项目的服务质量控制方案进行评分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①质量控制制度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②质量控制措施，③绩效考核、奖惩制度等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本项总分9分</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针对本项目的安全及保密方案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W w:w="6765" w:type="dxa"/>
            <w:vAlign w:val="center"/>
            <w:textDirection w:val="lrTb"/>
            <w:noWrap w:val="false"/>
          </w:tcPr>
          <w:p>
            <w:pPr>
              <w:jc w:val="left"/>
              <w:keepLines w:val="0"/>
              <w:keepNext w:val="0"/>
              <w:pageBreakBefore w:val="0"/>
              <w:spacing w:line="360" w:lineRule="auto"/>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根据投标人针对本项目的人员培训方案进行评分，</w:t>
            </w:r>
            <w:r>
              <w:rPr>
                <w:rFonts w:hint="eastAsia" w:ascii="宋体" w:hAnsi="宋体" w:eastAsia="宋体" w:cs="宋体"/>
                <w:color w:val="auto"/>
                <w:sz w:val="24"/>
                <w:szCs w:val="24"/>
                <w:highlight w:val="none"/>
              </w:rPr>
              <w:t xml:space="preserve">方案内容至少包括：①培训方案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②组织与经费保障。方案内容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w:t>
            </w:r>
            <w:r/>
          </w:p>
        </w:tc>
      </w:tr>
      <w:tr>
        <w:trPr>
          <w:trHeight w:val="1460"/>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人员培训方案</w:t>
            </w:r>
            <w:r/>
          </w:p>
        </w:tc>
        <w:tc>
          <w:tcPr>
            <w:tcW w:w="650"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根据投标人针对本项目的人员培训方案进行评分，</w:t>
            </w:r>
            <w:r>
              <w:rPr>
                <w:rFonts w:hint="eastAsia" w:ascii="宋体" w:hAnsi="宋体" w:eastAsia="宋体" w:cs="宋体"/>
                <w:color w:val="auto"/>
                <w:sz w:val="24"/>
                <w:szCs w:val="24"/>
                <w:highlight w:val="none"/>
              </w:rPr>
              <w:t xml:space="preserve">方案内容至少包括：①培训方案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②组织与经费保障。方案内容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tc>
      </w:tr>
      <w:tr>
        <w:trPr>
          <w:trHeight w:val="1943"/>
        </w:trPr>
        <w:tc>
          <w:tcPr>
            <w:tcW w:w="71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28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针对村财项目合理化建议和意见</w:t>
            </w:r>
            <w:r/>
          </w:p>
        </w:tc>
        <w:tc>
          <w:tcPr>
            <w:tcW w:w="650"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676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根据投标人针对本项目的合理化建议和意见进行评分，</w:t>
            </w:r>
            <w:r>
              <w:rPr>
                <w:rFonts w:hint="eastAsia" w:ascii="宋体" w:hAnsi="宋体" w:eastAsia="宋体" w:cs="宋体"/>
                <w:color w:val="auto"/>
                <w:sz w:val="24"/>
                <w:szCs w:val="24"/>
                <w:highlight w:val="none"/>
              </w:rPr>
              <w:t xml:space="preserve">方案内容至少包括：①</w:t>
            </w:r>
            <w:r>
              <w:rPr>
                <w:rFonts w:hint="eastAsia" w:ascii="宋体" w:hAnsi="宋体" w:eastAsia="宋体" w:cs="宋体"/>
                <w:color w:val="auto"/>
                <w:sz w:val="24"/>
                <w:szCs w:val="24"/>
                <w:highlight w:val="none"/>
                <w:lang w:val="en-US" w:eastAsia="zh-CN"/>
              </w:rPr>
              <w:t xml:space="preserve">三资管理方面，</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财务收支管理，③税收合理安排等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完全针对本项目且符合本项目实际需求的，每</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eastAsia="宋体" w:cs="宋体"/>
                <w:color w:val="auto"/>
                <w:sz w:val="24"/>
                <w:szCs w:val="24"/>
                <w:highlight w:val="none"/>
                <w:lang w:val="en-US" w:eastAsia="zh-CN"/>
              </w:rPr>
              <w:t xml:space="preserve">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本项总分9分</w:t>
            </w:r>
            <w:r>
              <w:rPr>
                <w:rFonts w:hint="eastAsia" w:ascii="宋体" w:hAnsi="宋体" w:eastAsia="宋体" w:cs="宋体"/>
                <w:color w:val="auto"/>
                <w:sz w:val="24"/>
                <w:szCs w:val="24"/>
                <w:highlight w:val="none"/>
              </w:rPr>
              <w:t xml:space="preserve">。</w:t>
            </w:r>
            <w:r/>
          </w:p>
        </w:tc>
      </w:tr>
    </w:tbl>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注：</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报价超过采购预算的为无效投标。</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针对评分标准中评分的每一条，投标人均应提供相关电子资料并作出相应说明供评委评判，不提供相关资料的视为不具备该项得分的条件。</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所有扫描件字迹须清晰可见,扫描不全或字迹不清晰的，视为未提供。</w:t>
      </w:r>
      <w:r/>
    </w:p>
    <w:p>
      <w:pPr>
        <w:numPr>
          <w:ilvl w:val="0"/>
          <w:numId w:val="6"/>
        </w:numPr>
        <w:ind w:left="0" w:hanging="5"/>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防止虚假应标，采购方保留调查的权利，并由此引发的一切调查与诉讼费用由投标方承担。</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（全文完）</w:t>
      </w:r>
      <w:r/>
    </w:p>
    <w:sectPr>
      <w:footnotePr/>
      <w:endnotePr/>
      <w:type w:val="nextPage"/>
      <w:pgSz w:w="11907" w:h="16840" w:orient="portrait"/>
      <w:pgMar w:top="1077" w:right="1313" w:bottom="1077" w:left="1354"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仿宋">
    <w:panose1 w:val="02010609060101010101"/>
  </w:font>
  <w:font w:name="等线">
    <w:panose1 w:val="02010600030101010101"/>
  </w:font>
  <w:font w:name="font-weight : 400">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方正大黑简体">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ascii="黑体" w:hAnsi="黑体" w:eastAsia="黑体"/>
      </w:rPr>
    </w:pPr>
    <w:r>
      <w:rPr>
        <w:rFonts w:ascii="黑体" w:hAnsi="黑体" w:eastAsia="黑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4"/>
      </w:rPr>
      <w:framePr w:wrap="around" w:vAnchor="text" w:hAnchor="margin" w:xAlign="center" w:y="1"/>
    </w:pPr>
    <w:r>
      <w:fldChar w:fldCharType="begin"/>
    </w:r>
    <w:r>
      <w:rPr>
        <w:rStyle w:val="774"/>
      </w:rPr>
      <w:instrText xml:space="preserve">PAGE  </w:instrText>
    </w:r>
    <w:r>
      <w:fldChar w:fldCharType="end"/>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ascii="黑体" w:hAnsi="黑体" w:eastAsia="黑体"/>
      </w:rPr>
    </w:pPr>
    <w:r>
      <w:rPr>
        <w:rFonts w:ascii="黑体" w:hAnsi="黑体" w:eastAsia="黑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ascii="黑体" w:hAnsi="黑体" w:eastAsia="黑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3"/>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ascii="黑体" w:hAnsi="黑体" w:eastAsia="黑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3"/>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rPr>
        <w:rFonts w:ascii="黑体" w:hAnsi="黑体" w:eastAsia="黑体"/>
        <w:sz w:val="21"/>
        <w:szCs w:val="21"/>
      </w:rPr>
      <w:pBdr>
        <w:bottom w:val="none" w:color="auto" w:sz="0" w:space="1"/>
      </w:pBdr>
    </w:pPr>
    <w:r>
      <w:rPr>
        <w:rFonts w:ascii="黑体" w:hAnsi="黑体" w:eastAsia="黑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28"/>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Calibri" w:hAnsi="Calibri" w:eastAsia="宋体" w:cs="宋体"/>
      <w:sz w:val="21"/>
      <w:lang w:val="en-US" w:eastAsia="zh-CN" w:bidi="ar-SA"/>
    </w:rPr>
  </w:style>
  <w:style w:type="paragraph" w:styleId="725">
    <w:name w:val="Heading 1"/>
    <w:basedOn w:val="724"/>
    <w:next w:val="724"/>
    <w:link w:val="1083"/>
    <w:uiPriority w:val="9"/>
    <w:qFormat/>
    <w:pPr>
      <w:jc w:val="center"/>
      <w:keepLines/>
      <w:keepNext/>
      <w:spacing w:line="480" w:lineRule="auto"/>
      <w:outlineLvl w:val="0"/>
    </w:pPr>
    <w:rPr>
      <w:rFonts w:ascii="Times New Roman" w:hAnsi="Times New Roman" w:cs="Times New Roman"/>
      <w:b/>
      <w:bCs/>
      <w:sz w:val="32"/>
      <w:szCs w:val="44"/>
    </w:rPr>
  </w:style>
  <w:style w:type="paragraph" w:styleId="726">
    <w:name w:val="Heading 2"/>
    <w:basedOn w:val="724"/>
    <w:next w:val="724"/>
    <w:link w:val="931"/>
    <w:uiPriority w:val="0"/>
    <w:qFormat/>
    <w:pPr>
      <w:ind w:firstLine="200"/>
      <w:keepLines/>
      <w:keepNext/>
      <w:spacing w:line="360" w:lineRule="auto"/>
      <w:outlineLvl w:val="1"/>
    </w:pPr>
    <w:rPr>
      <w:rFonts w:ascii="Arial" w:hAnsi="Arial" w:cs="Times New Roman"/>
      <w:b/>
      <w:bCs/>
      <w:sz w:val="24"/>
      <w:szCs w:val="32"/>
    </w:rPr>
  </w:style>
  <w:style w:type="paragraph" w:styleId="727">
    <w:name w:val="Heading 3"/>
    <w:basedOn w:val="724"/>
    <w:next w:val="724"/>
    <w:link w:val="932"/>
    <w:uiPriority w:val="0"/>
    <w:qFormat/>
    <w:pPr>
      <w:ind w:firstLine="200"/>
      <w:keepLines/>
      <w:keepNext/>
      <w:spacing w:line="360" w:lineRule="auto"/>
      <w:outlineLvl w:val="2"/>
    </w:pPr>
    <w:rPr>
      <w:rFonts w:ascii="Times New Roman" w:hAnsi="Times New Roman" w:cs="Times New Roman"/>
      <w:b/>
      <w:bCs/>
      <w:sz w:val="24"/>
      <w:szCs w:val="32"/>
    </w:rPr>
  </w:style>
  <w:style w:type="paragraph" w:styleId="728">
    <w:name w:val="Heading 4"/>
    <w:basedOn w:val="724"/>
    <w:next w:val="724"/>
    <w:link w:val="933"/>
    <w:uiPriority w:val="0"/>
    <w:qFormat/>
    <w:pPr>
      <w:numPr>
        <w:ilvl w:val="0"/>
        <w:numId w:val="1"/>
      </w:numPr>
      <w:jc w:val="left"/>
      <w:keepNext/>
      <w:spacing w:line="360" w:lineRule="auto"/>
      <w:tabs>
        <w:tab w:val="left" w:pos="180" w:leader="none"/>
        <w:tab w:val="left" w:pos="3085" w:leader="none"/>
      </w:tabs>
      <w:outlineLvl w:val="3"/>
    </w:pPr>
    <w:rPr>
      <w:rFonts w:ascii="宋体" w:hAnsi="宋体" w:cs="Times New Roman"/>
      <w:b/>
      <w:sz w:val="24"/>
      <w:u w:val="single"/>
    </w:rPr>
  </w:style>
  <w:style w:type="paragraph" w:styleId="729">
    <w:name w:val="Heading 5"/>
    <w:basedOn w:val="724"/>
    <w:next w:val="724"/>
    <w:uiPriority w:val="9"/>
    <w:unhideWhenUsed/>
    <w:qFormat/>
    <w:pPr>
      <w:keepLines/>
      <w:keepNext/>
      <w:spacing w:before="280" w:after="290" w:line="376" w:lineRule="auto"/>
      <w:outlineLvl w:val="4"/>
    </w:pPr>
    <w:rPr>
      <w:b/>
      <w:bCs/>
      <w:sz w:val="28"/>
      <w:szCs w:val="28"/>
    </w:rPr>
  </w:style>
  <w:style w:type="paragraph" w:styleId="730">
    <w:name w:val="Heading 6"/>
    <w:basedOn w:val="724"/>
    <w:next w:val="724"/>
    <w:uiPriority w:val="9"/>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31">
    <w:name w:val="Heading 7"/>
    <w:basedOn w:val="724"/>
    <w:next w:val="724"/>
    <w:uiPriority w:val="9"/>
    <w:unhideWhenUsed/>
    <w:qFormat/>
    <w:pPr>
      <w:keepLines/>
      <w:keepNext/>
      <w:spacing w:before="240" w:after="64" w:line="320" w:lineRule="auto"/>
      <w:outlineLvl w:val="6"/>
    </w:pPr>
    <w:rPr>
      <w:b/>
      <w:bCs/>
      <w:sz w:val="24"/>
      <w:szCs w:val="24"/>
    </w:rPr>
  </w:style>
  <w:style w:type="paragraph" w:styleId="732">
    <w:name w:val="Heading 8"/>
    <w:basedOn w:val="724"/>
    <w:next w:val="724"/>
    <w:link w:val="787"/>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88"/>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List 3"/>
    <w:basedOn w:val="724"/>
    <w:uiPriority w:val="0"/>
    <w:qFormat/>
    <w:pPr>
      <w:ind w:left="100" w:hanging="200"/>
    </w:pPr>
    <w:rPr>
      <w:rFonts w:ascii="Times New Roman" w:hAnsi="Times New Roman" w:eastAsia="楷体_GB2312" w:cs="Times New Roman"/>
      <w:sz w:val="26"/>
    </w:rPr>
  </w:style>
  <w:style w:type="paragraph" w:styleId="737">
    <w:name w:val="toc 7"/>
    <w:basedOn w:val="724"/>
    <w:next w:val="724"/>
    <w:uiPriority w:val="39"/>
    <w:unhideWhenUsed/>
    <w:qFormat/>
    <w:pPr>
      <w:ind w:left="2520"/>
    </w:pPr>
    <w:rPr>
      <w:rFonts w:cs="Times New Roman"/>
      <w:szCs w:val="22"/>
    </w:rPr>
  </w:style>
  <w:style w:type="paragraph" w:styleId="738">
    <w:name w:val="Note Heading"/>
    <w:basedOn w:val="724"/>
    <w:next w:val="724"/>
    <w:uiPriority w:val="0"/>
    <w:qFormat/>
    <w:pPr>
      <w:jc w:val="center"/>
    </w:pPr>
  </w:style>
  <w:style w:type="paragraph" w:styleId="739">
    <w:name w:val="Normal Indent"/>
    <w:basedOn w:val="724"/>
    <w:link w:val="934"/>
    <w:uiPriority w:val="0"/>
    <w:qFormat/>
    <w:pPr>
      <w:ind w:firstLine="420"/>
      <w:jc w:val="left"/>
    </w:pPr>
    <w:rPr>
      <w:rFonts w:ascii="Times New Roman" w:hAnsi="Times New Roman" w:eastAsia="楷体_GB2312" w:cs="Times New Roman"/>
      <w:sz w:val="24"/>
    </w:rPr>
  </w:style>
  <w:style w:type="paragraph" w:styleId="740">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Document Map"/>
    <w:basedOn w:val="724"/>
    <w:link w:val="935"/>
    <w:uiPriority w:val="0"/>
    <w:qFormat/>
    <w:pPr>
      <w:shd w:val="clear" w:color="auto" w:fill="000080"/>
    </w:pPr>
    <w:rPr>
      <w:rFonts w:cs="Times New Roman"/>
    </w:rPr>
  </w:style>
  <w:style w:type="paragraph" w:styleId="742">
    <w:name w:val="annotation text"/>
    <w:basedOn w:val="724"/>
    <w:link w:val="936"/>
    <w:uiPriority w:val="0"/>
    <w:qFormat/>
    <w:pPr>
      <w:jc w:val="left"/>
    </w:pPr>
    <w:rPr>
      <w:rFonts w:ascii="Times New Roman" w:hAnsi="Times New Roman" w:cs="Times New Roman"/>
    </w:rPr>
  </w:style>
  <w:style w:type="paragraph" w:styleId="743">
    <w:name w:val="Body Text"/>
    <w:basedOn w:val="724"/>
    <w:link w:val="937"/>
    <w:uiPriority w:val="0"/>
    <w:qFormat/>
    <w:pPr>
      <w:jc w:val="center"/>
    </w:pPr>
    <w:rPr>
      <w:rFonts w:ascii="方正大黑简体" w:eastAsia="方正大黑简体" w:cs="Times New Roman"/>
      <w:position w:val="6"/>
      <w:sz w:val="30"/>
    </w:rPr>
  </w:style>
  <w:style w:type="paragraph" w:styleId="744">
    <w:name w:val="Body Text Indent"/>
    <w:basedOn w:val="724"/>
    <w:next w:val="743"/>
    <w:link w:val="929"/>
    <w:uiPriority w:val="99"/>
    <w:qFormat/>
    <w:pPr>
      <w:ind w:left="570"/>
      <w:spacing w:line="520" w:lineRule="exact"/>
    </w:pPr>
    <w:rPr>
      <w:rFonts w:ascii="方正仿宋简体" w:hAnsi="创艺简仿宋" w:eastAsia="方正仿宋简体" w:cs="Times New Roman"/>
      <w:sz w:val="24"/>
    </w:rPr>
  </w:style>
  <w:style w:type="paragraph" w:styleId="745">
    <w:name w:val="toc 5"/>
    <w:basedOn w:val="724"/>
    <w:next w:val="724"/>
    <w:uiPriority w:val="39"/>
    <w:unhideWhenUsed/>
    <w:qFormat/>
    <w:pPr>
      <w:ind w:left="1680"/>
    </w:pPr>
    <w:rPr>
      <w:rFonts w:cs="Times New Roman"/>
      <w:szCs w:val="22"/>
    </w:rPr>
  </w:style>
  <w:style w:type="paragraph" w:styleId="746">
    <w:name w:val="toc 3"/>
    <w:basedOn w:val="724"/>
    <w:next w:val="724"/>
    <w:uiPriority w:val="39"/>
    <w:unhideWhenUsed/>
    <w:qFormat/>
    <w:pPr>
      <w:ind w:left="440"/>
      <w:jc w:val="left"/>
      <w:spacing w:after="100" w:line="276" w:lineRule="auto"/>
      <w:widowControl/>
    </w:pPr>
    <w:rPr>
      <w:rFonts w:cs="Times New Roman"/>
      <w:sz w:val="22"/>
      <w:szCs w:val="22"/>
    </w:rPr>
  </w:style>
  <w:style w:type="paragraph" w:styleId="747">
    <w:name w:val="Plain Text"/>
    <w:basedOn w:val="724"/>
    <w:link w:val="938"/>
    <w:uiPriority w:val="0"/>
    <w:qFormat/>
    <w:rPr>
      <w:rFonts w:ascii="宋体" w:hAnsi="Courier New" w:eastAsia="楷体_GB2312" w:cs="Times New Roman"/>
      <w:sz w:val="26"/>
    </w:rPr>
  </w:style>
  <w:style w:type="paragraph" w:styleId="748">
    <w:name w:val="toc 8"/>
    <w:basedOn w:val="724"/>
    <w:next w:val="724"/>
    <w:uiPriority w:val="39"/>
    <w:unhideWhenUsed/>
    <w:qFormat/>
    <w:pPr>
      <w:ind w:left="2940"/>
    </w:pPr>
    <w:rPr>
      <w:rFonts w:cs="Times New Roman"/>
      <w:szCs w:val="22"/>
    </w:rPr>
  </w:style>
  <w:style w:type="paragraph" w:styleId="749">
    <w:name w:val="Date"/>
    <w:basedOn w:val="724"/>
    <w:next w:val="724"/>
    <w:link w:val="939"/>
    <w:uiPriority w:val="0"/>
    <w:qFormat/>
    <w:rPr>
      <w:rFonts w:ascii="宋体" w:hAnsi="宋体" w:eastAsia="楷体_GB2312" w:cs="Times New Roman"/>
      <w:sz w:val="24"/>
    </w:rPr>
  </w:style>
  <w:style w:type="paragraph" w:styleId="750">
    <w:name w:val="Body Text Indent 2"/>
    <w:basedOn w:val="724"/>
    <w:link w:val="940"/>
    <w:uiPriority w:val="0"/>
    <w:qFormat/>
    <w:pPr>
      <w:ind w:firstLine="540"/>
      <w:spacing w:line="360" w:lineRule="auto"/>
    </w:pPr>
    <w:rPr>
      <w:rFonts w:ascii="宋体" w:hAnsi="宋体" w:cs="Times New Roman"/>
      <w:sz w:val="24"/>
    </w:rPr>
  </w:style>
  <w:style w:type="paragraph" w:styleId="751">
    <w:name w:val="endnote text"/>
    <w:basedOn w:val="724"/>
    <w:link w:val="925"/>
    <w:uiPriority w:val="99"/>
    <w:semiHidden/>
    <w:unhideWhenUsed/>
    <w:qFormat/>
    <w:pPr>
      <w:spacing w:after="0" w:line="240" w:lineRule="auto"/>
    </w:pPr>
    <w:rPr>
      <w:sz w:val="20"/>
    </w:rPr>
  </w:style>
  <w:style w:type="paragraph" w:styleId="752">
    <w:name w:val="Balloon Text"/>
    <w:basedOn w:val="724"/>
    <w:link w:val="941"/>
    <w:uiPriority w:val="0"/>
    <w:qFormat/>
    <w:rPr>
      <w:rFonts w:ascii="Times New Roman" w:hAnsi="Times New Roman" w:cs="Times New Roman"/>
      <w:sz w:val="18"/>
    </w:rPr>
  </w:style>
  <w:style w:type="paragraph" w:styleId="753">
    <w:name w:val="Footer"/>
    <w:basedOn w:val="724"/>
    <w:link w:val="942"/>
    <w:uiPriority w:val="99"/>
    <w:qFormat/>
    <w:pPr>
      <w:jc w:val="left"/>
      <w:tabs>
        <w:tab w:val="center" w:pos="4153" w:leader="none"/>
        <w:tab w:val="right" w:pos="8306" w:leader="none"/>
      </w:tabs>
    </w:pPr>
    <w:rPr>
      <w:rFonts w:ascii="Times New Roman" w:hAnsi="Times New Roman" w:cs="Times New Roman"/>
      <w:sz w:val="18"/>
    </w:rPr>
  </w:style>
  <w:style w:type="paragraph" w:styleId="754">
    <w:name w:val="envelope return"/>
    <w:basedOn w:val="724"/>
    <w:uiPriority w:val="99"/>
    <w:unhideWhenUsed/>
    <w:qFormat/>
    <w:rPr>
      <w:rFonts w:asciiTheme="majorHAnsi" w:hAnsiTheme="majorHAnsi" w:eastAsiaTheme="majorEastAsia" w:cstheme="majorBidi"/>
    </w:rPr>
  </w:style>
  <w:style w:type="paragraph" w:styleId="755">
    <w:name w:val="Header"/>
    <w:basedOn w:val="724"/>
    <w:link w:val="943"/>
    <w:uiPriority w:val="0"/>
    <w:qFormat/>
    <w:pPr>
      <w:jc w:val="center"/>
      <w:tabs>
        <w:tab w:val="center" w:pos="4153" w:leader="none"/>
        <w:tab w:val="right" w:pos="8306" w:leader="none"/>
      </w:tabs>
      <w:pBdr>
        <w:bottom w:val="single" w:color="auto" w:sz="6" w:space="1"/>
      </w:pBdr>
    </w:pPr>
    <w:rPr>
      <w:rFonts w:ascii="Times New Roman" w:hAnsi="Times New Roman" w:eastAsia="楷体_GB2312" w:cs="Times New Roman"/>
      <w:sz w:val="18"/>
    </w:rPr>
  </w:style>
  <w:style w:type="paragraph" w:styleId="756">
    <w:name w:val="toc 1"/>
    <w:basedOn w:val="724"/>
    <w:next w:val="724"/>
    <w:uiPriority w:val="39"/>
    <w:unhideWhenUsed/>
    <w:qFormat/>
    <w:rPr>
      <w:sz w:val="28"/>
    </w:rPr>
  </w:style>
  <w:style w:type="paragraph" w:styleId="757">
    <w:name w:val="toc 4"/>
    <w:basedOn w:val="724"/>
    <w:next w:val="724"/>
    <w:uiPriority w:val="39"/>
    <w:unhideWhenUsed/>
    <w:qFormat/>
    <w:pPr>
      <w:ind w:left="1260"/>
    </w:pPr>
    <w:rPr>
      <w:rFonts w:cs="Times New Roman"/>
      <w:szCs w:val="22"/>
    </w:rPr>
  </w:style>
  <w:style w:type="paragraph" w:styleId="758">
    <w:name w:val="Subtitle"/>
    <w:basedOn w:val="724"/>
    <w:next w:val="724"/>
    <w:link w:val="791"/>
    <w:uiPriority w:val="11"/>
    <w:qFormat/>
    <w:pPr>
      <w:spacing w:before="200" w:after="200"/>
    </w:pPr>
    <w:rPr>
      <w:sz w:val="24"/>
      <w:szCs w:val="24"/>
    </w:rPr>
  </w:style>
  <w:style w:type="paragraph" w:styleId="759">
    <w:name w:val="footnote text"/>
    <w:basedOn w:val="724"/>
    <w:link w:val="924"/>
    <w:uiPriority w:val="99"/>
    <w:semiHidden/>
    <w:unhideWhenUsed/>
    <w:qFormat/>
    <w:pPr>
      <w:spacing w:after="40" w:line="240" w:lineRule="auto"/>
    </w:pPr>
    <w:rPr>
      <w:sz w:val="18"/>
    </w:rPr>
  </w:style>
  <w:style w:type="paragraph" w:styleId="760">
    <w:name w:val="toc 6"/>
    <w:basedOn w:val="724"/>
    <w:next w:val="724"/>
    <w:uiPriority w:val="39"/>
    <w:unhideWhenUsed/>
    <w:qFormat/>
    <w:pPr>
      <w:ind w:left="2100"/>
    </w:pPr>
    <w:rPr>
      <w:rFonts w:cs="Times New Roman"/>
      <w:szCs w:val="22"/>
    </w:rPr>
  </w:style>
  <w:style w:type="paragraph" w:styleId="761">
    <w:name w:val="Body Text Indent 3"/>
    <w:basedOn w:val="724"/>
    <w:link w:val="944"/>
    <w:uiPriority w:val="0"/>
    <w:qFormat/>
    <w:pPr>
      <w:ind w:left="420"/>
      <w:spacing w:after="120"/>
    </w:pPr>
    <w:rPr>
      <w:rFonts w:cs="Times New Roman"/>
      <w:sz w:val="16"/>
    </w:rPr>
  </w:style>
  <w:style w:type="paragraph" w:styleId="762">
    <w:name w:val="table of figures"/>
    <w:basedOn w:val="724"/>
    <w:next w:val="724"/>
    <w:uiPriority w:val="99"/>
    <w:unhideWhenUsed/>
    <w:qFormat/>
    <w:pPr>
      <w:spacing w:after="0" w:afterAutospacing="0"/>
    </w:pPr>
  </w:style>
  <w:style w:type="paragraph" w:styleId="763">
    <w:name w:val="toc 2"/>
    <w:basedOn w:val="724"/>
    <w:next w:val="724"/>
    <w:uiPriority w:val="39"/>
    <w:unhideWhenUsed/>
    <w:qFormat/>
    <w:pPr>
      <w:ind w:left="220"/>
      <w:jc w:val="left"/>
      <w:spacing w:after="100" w:line="276" w:lineRule="auto"/>
      <w:widowControl/>
    </w:pPr>
    <w:rPr>
      <w:rFonts w:cs="Times New Roman"/>
      <w:sz w:val="22"/>
      <w:szCs w:val="22"/>
    </w:rPr>
  </w:style>
  <w:style w:type="paragraph" w:styleId="764">
    <w:name w:val="toc 9"/>
    <w:basedOn w:val="724"/>
    <w:next w:val="724"/>
    <w:uiPriority w:val="39"/>
    <w:unhideWhenUsed/>
    <w:qFormat/>
    <w:pPr>
      <w:ind w:left="3360"/>
    </w:pPr>
    <w:rPr>
      <w:rFonts w:cs="Times New Roman"/>
      <w:szCs w:val="22"/>
    </w:rPr>
  </w:style>
  <w:style w:type="paragraph" w:styleId="765">
    <w:name w:val="Body Text 2"/>
    <w:basedOn w:val="724"/>
    <w:link w:val="945"/>
    <w:uiPriority w:val="0"/>
    <w:qFormat/>
    <w:rPr>
      <w:rFonts w:ascii="仿宋_GB2312" w:hAnsi="宋体" w:eastAsia="仿宋_GB2312" w:cs="Times New Roman"/>
      <w:spacing w:val="20"/>
      <w:sz w:val="24"/>
    </w:rPr>
  </w:style>
  <w:style w:type="paragraph" w:styleId="766">
    <w:name w:val="HTML Preformatted"/>
    <w:basedOn w:val="724"/>
    <w:link w:val="9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paragraph" w:styleId="767">
    <w:name w:val="Normal (Web)"/>
    <w:basedOn w:val="724"/>
    <w:uiPriority w:val="0"/>
    <w:qFormat/>
    <w:pPr>
      <w:jc w:val="left"/>
      <w:spacing w:before="100" w:beforeAutospacing="1" w:after="100" w:afterAutospacing="1"/>
      <w:widowControl/>
    </w:pPr>
    <w:rPr>
      <w:rFonts w:ascii="宋体" w:hAnsi="宋体"/>
      <w:sz w:val="24"/>
      <w:szCs w:val="24"/>
    </w:rPr>
  </w:style>
  <w:style w:type="paragraph" w:styleId="768">
    <w:name w:val="Title"/>
    <w:next w:val="726"/>
    <w:link w:val="1048"/>
    <w:uiPriority w:val="0"/>
    <w:qFormat/>
    <w:pPr>
      <w:jc w:val="center"/>
      <w:spacing w:before="120" w:after="120" w:line="360" w:lineRule="auto"/>
      <w:outlineLvl w:val="0"/>
    </w:pPr>
    <w:rPr>
      <w:rFonts w:hint="default" w:ascii="Cambria" w:hAnsi="Cambria" w:eastAsia="宋体" w:cs="Times New Roman"/>
      <w:b/>
      <w:bCs/>
      <w:sz w:val="52"/>
      <w:szCs w:val="32"/>
      <w:lang w:val="en-US" w:eastAsia="zh-CN" w:bidi="ar-SA"/>
    </w:rPr>
  </w:style>
  <w:style w:type="paragraph" w:styleId="769">
    <w:name w:val="annotation subject"/>
    <w:basedOn w:val="742"/>
    <w:next w:val="742"/>
    <w:link w:val="947"/>
    <w:uiPriority w:val="0"/>
    <w:qFormat/>
    <w:rPr>
      <w:b/>
      <w:bCs/>
    </w:rPr>
  </w:style>
  <w:style w:type="paragraph" w:styleId="770">
    <w:name w:val="Body Text First Indent 2"/>
    <w:basedOn w:val="744"/>
    <w:link w:val="948"/>
    <w:uiPriority w:val="99"/>
    <w:unhideWhenUsed/>
    <w:qFormat/>
    <w:pPr>
      <w:ind w:firstLine="420"/>
    </w:pPr>
  </w:style>
  <w:style w:type="table" w:styleId="771">
    <w:name w:val="Table Grid"/>
    <w:basedOn w:val="73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basedOn w:val="734"/>
    <w:uiPriority w:val="0"/>
    <w:qFormat/>
    <w:rPr>
      <w:b/>
    </w:rPr>
  </w:style>
  <w:style w:type="character" w:styleId="773">
    <w:name w:val="endnote reference"/>
    <w:uiPriority w:val="0"/>
    <w:qFormat/>
    <w:rPr>
      <w:rFonts w:ascii="Times New Roman" w:hAnsi="Times New Roman" w:eastAsia="宋体" w:cs="Times New Roman"/>
      <w:vertAlign w:val="superscript"/>
    </w:rPr>
  </w:style>
  <w:style w:type="character" w:styleId="774">
    <w:name w:val="page number"/>
    <w:basedOn w:val="734"/>
    <w:uiPriority w:val="99"/>
    <w:qFormat/>
  </w:style>
  <w:style w:type="character" w:styleId="775">
    <w:name w:val="FollowedHyperlink"/>
    <w:basedOn w:val="734"/>
    <w:uiPriority w:val="99"/>
    <w:semiHidden/>
    <w:unhideWhenUsed/>
    <w:qFormat/>
    <w:rPr>
      <w:color w:val="333333"/>
      <w:u w:val="none"/>
    </w:rPr>
  </w:style>
  <w:style w:type="character" w:styleId="776">
    <w:name w:val="Emphasis"/>
    <w:basedOn w:val="734"/>
    <w:uiPriority w:val="0"/>
    <w:qFormat/>
  </w:style>
  <w:style w:type="character" w:styleId="777">
    <w:name w:val="Hyperlink"/>
    <w:basedOn w:val="734"/>
    <w:uiPriority w:val="99"/>
    <w:qFormat/>
    <w:rPr>
      <w:color w:val="333333"/>
      <w:u w:val="none"/>
    </w:rPr>
  </w:style>
  <w:style w:type="character" w:styleId="778">
    <w:name w:val="annotation reference"/>
    <w:uiPriority w:val="0"/>
    <w:qFormat/>
    <w:rPr>
      <w:sz w:val="21"/>
      <w:szCs w:val="21"/>
    </w:rPr>
  </w:style>
  <w:style w:type="character" w:styleId="779">
    <w:name w:val="footnote reference"/>
    <w:basedOn w:val="734"/>
    <w:uiPriority w:val="99"/>
    <w:unhideWhenUsed/>
    <w:qFormat/>
    <w:rPr>
      <w:vertAlign w:val="superscript"/>
    </w:rPr>
  </w:style>
  <w:style w:type="character" w:styleId="780" w:customStyle="1">
    <w:name w:val="Heading 1 Char"/>
    <w:basedOn w:val="734"/>
    <w:uiPriority w:val="9"/>
    <w:qFormat/>
    <w:rPr>
      <w:rFonts w:ascii="Arial" w:hAnsi="Arial" w:eastAsia="Arial" w:cs="Arial"/>
      <w:sz w:val="40"/>
      <w:szCs w:val="40"/>
    </w:rPr>
  </w:style>
  <w:style w:type="character" w:styleId="781" w:customStyle="1">
    <w:name w:val="Heading 2 Char"/>
    <w:basedOn w:val="734"/>
    <w:uiPriority w:val="9"/>
    <w:rPr>
      <w:rFonts w:ascii="Arial" w:hAnsi="Arial" w:eastAsia="Arial" w:cs="Arial"/>
      <w:sz w:val="34"/>
    </w:rPr>
  </w:style>
  <w:style w:type="character" w:styleId="782" w:customStyle="1">
    <w:name w:val="Heading 3 Char"/>
    <w:basedOn w:val="734"/>
    <w:uiPriority w:val="9"/>
    <w:rPr>
      <w:rFonts w:ascii="Arial" w:hAnsi="Arial" w:eastAsia="Arial" w:cs="Arial"/>
      <w:sz w:val="30"/>
      <w:szCs w:val="30"/>
    </w:rPr>
  </w:style>
  <w:style w:type="character" w:styleId="783" w:customStyle="1">
    <w:name w:val="Heading 4 Char"/>
    <w:basedOn w:val="734"/>
    <w:uiPriority w:val="9"/>
    <w:qFormat/>
    <w:rPr>
      <w:rFonts w:ascii="Arial" w:hAnsi="Arial" w:eastAsia="Arial" w:cs="Arial"/>
      <w:b/>
      <w:bCs/>
      <w:sz w:val="26"/>
      <w:szCs w:val="26"/>
    </w:rPr>
  </w:style>
  <w:style w:type="character" w:styleId="784" w:customStyle="1">
    <w:name w:val="Heading 5 Char"/>
    <w:basedOn w:val="734"/>
    <w:uiPriority w:val="9"/>
    <w:qFormat/>
    <w:rPr>
      <w:rFonts w:ascii="Arial" w:hAnsi="Arial" w:eastAsia="Arial" w:cs="Arial"/>
      <w:b/>
      <w:bCs/>
      <w:sz w:val="24"/>
      <w:szCs w:val="24"/>
    </w:rPr>
  </w:style>
  <w:style w:type="character" w:styleId="785" w:customStyle="1">
    <w:name w:val="Heading 6 Char"/>
    <w:basedOn w:val="734"/>
    <w:uiPriority w:val="9"/>
    <w:qFormat/>
    <w:rPr>
      <w:rFonts w:ascii="Arial" w:hAnsi="Arial" w:eastAsia="Arial" w:cs="Arial"/>
      <w:b/>
      <w:bCs/>
      <w:sz w:val="22"/>
      <w:szCs w:val="22"/>
    </w:rPr>
  </w:style>
  <w:style w:type="character" w:styleId="786" w:customStyle="1">
    <w:name w:val="Heading 7 Char"/>
    <w:basedOn w:val="734"/>
    <w:uiPriority w:val="9"/>
    <w:qFormat/>
    <w:rPr>
      <w:rFonts w:ascii="Arial" w:hAnsi="Arial" w:eastAsia="Arial" w:cs="Arial"/>
      <w:b/>
      <w:bCs/>
      <w:i/>
      <w:iCs/>
      <w:sz w:val="22"/>
      <w:szCs w:val="22"/>
    </w:rPr>
  </w:style>
  <w:style w:type="character" w:styleId="787" w:customStyle="1">
    <w:name w:val="Heading 8 Char"/>
    <w:basedOn w:val="734"/>
    <w:link w:val="732"/>
    <w:uiPriority w:val="9"/>
    <w:qFormat/>
    <w:rPr>
      <w:rFonts w:ascii="Arial" w:hAnsi="Arial" w:eastAsia="Arial" w:cs="Arial"/>
      <w:i/>
      <w:iCs/>
      <w:sz w:val="22"/>
      <w:szCs w:val="22"/>
    </w:rPr>
  </w:style>
  <w:style w:type="character" w:styleId="788" w:customStyle="1">
    <w:name w:val="Heading 9 Char"/>
    <w:basedOn w:val="734"/>
    <w:link w:val="733"/>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34"/>
    <w:uiPriority w:val="10"/>
    <w:qFormat/>
    <w:rPr>
      <w:sz w:val="48"/>
      <w:szCs w:val="48"/>
    </w:rPr>
  </w:style>
  <w:style w:type="character" w:styleId="791" w:customStyle="1">
    <w:name w:val="Subtitle Char"/>
    <w:basedOn w:val="734"/>
    <w:link w:val="758"/>
    <w:uiPriority w:val="11"/>
    <w:qFormat/>
    <w:rPr>
      <w:sz w:val="24"/>
      <w:szCs w:val="24"/>
    </w:rPr>
  </w:style>
  <w:style w:type="paragraph" w:styleId="792">
    <w:name w:val="Quote"/>
    <w:basedOn w:val="724"/>
    <w:next w:val="724"/>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4"/>
    <w:next w:val="724"/>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4"/>
    <w:uiPriority w:val="99"/>
    <w:qFormat/>
  </w:style>
  <w:style w:type="character" w:styleId="797" w:customStyle="1">
    <w:name w:val="Footer Char"/>
    <w:basedOn w:val="734"/>
    <w:uiPriority w:val="99"/>
    <w:qFormat/>
  </w:style>
  <w:style w:type="character" w:styleId="798" w:customStyle="1">
    <w:name w:val="Caption Char"/>
    <w:uiPriority w:val="99"/>
    <w:qFormat/>
  </w:style>
  <w:style w:type="table" w:styleId="799" w:customStyle="1">
    <w:name w:val="Table Grid Light"/>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3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3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3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3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3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3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3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3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3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3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59"/>
    <w:uiPriority w:val="99"/>
    <w:qFormat/>
    <w:rPr>
      <w:sz w:val="18"/>
    </w:rPr>
  </w:style>
  <w:style w:type="character" w:styleId="925" w:customStyle="1">
    <w:name w:val="Endnote Text Char"/>
    <w:link w:val="751"/>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段"/>
    <w:next w:val="72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28" w:customStyle="1">
    <w:name w:val="正文2"/>
    <w:basedOn w:val="724"/>
    <w:uiPriority w:val="0"/>
    <w:qFormat/>
    <w:pPr>
      <w:ind w:firstLine="200"/>
      <w:spacing w:line="360" w:lineRule="auto"/>
    </w:pPr>
  </w:style>
  <w:style w:type="character" w:styleId="929" w:customStyle="1">
    <w:name w:val="正文文本缩进 Char"/>
    <w:link w:val="744"/>
    <w:uiPriority w:val="99"/>
    <w:qFormat/>
    <w:rPr>
      <w:rFonts w:ascii="方正仿宋简体" w:hAnsi="创艺简仿宋" w:eastAsia="方正仿宋简体" w:cs="宋体"/>
      <w:sz w:val="24"/>
    </w:rPr>
  </w:style>
  <w:style w:type="character" w:styleId="930" w:customStyle="1">
    <w:name w:val="标题 1 Char1"/>
    <w:link w:val="725"/>
    <w:uiPriority w:val="9"/>
    <w:qFormat/>
    <w:rPr>
      <w:rFonts w:ascii="Times New Roman" w:hAnsi="Times New Roman" w:eastAsia="宋体"/>
      <w:b/>
      <w:bCs/>
      <w:sz w:val="32"/>
      <w:szCs w:val="44"/>
    </w:rPr>
  </w:style>
  <w:style w:type="character" w:styleId="931" w:customStyle="1">
    <w:name w:val="标题 2 Char"/>
    <w:link w:val="726"/>
    <w:uiPriority w:val="0"/>
    <w:qFormat/>
    <w:rPr>
      <w:rFonts w:ascii="Arial" w:hAnsi="Arial"/>
      <w:b/>
      <w:bCs/>
      <w:sz w:val="24"/>
      <w:szCs w:val="32"/>
    </w:rPr>
  </w:style>
  <w:style w:type="character" w:styleId="932" w:customStyle="1">
    <w:name w:val="标题 3 Char"/>
    <w:link w:val="727"/>
    <w:uiPriority w:val="0"/>
    <w:qFormat/>
    <w:rPr>
      <w:b/>
      <w:bCs/>
      <w:sz w:val="24"/>
      <w:szCs w:val="32"/>
    </w:rPr>
  </w:style>
  <w:style w:type="character" w:styleId="933" w:customStyle="1">
    <w:name w:val="标题 4 Char"/>
    <w:link w:val="728"/>
    <w:uiPriority w:val="0"/>
    <w:qFormat/>
    <w:rPr>
      <w:rFonts w:ascii="宋体" w:hAnsi="宋体" w:cs="宋体"/>
      <w:b/>
      <w:sz w:val="24"/>
      <w:u w:val="single"/>
    </w:rPr>
  </w:style>
  <w:style w:type="character" w:styleId="934" w:customStyle="1">
    <w:name w:val="正文缩进 Char"/>
    <w:link w:val="739"/>
    <w:uiPriority w:val="0"/>
    <w:qFormat/>
    <w:rPr>
      <w:rFonts w:eastAsia="楷体_GB2312"/>
      <w:sz w:val="24"/>
      <w:lang w:val="en-US" w:eastAsia="zh-CN" w:bidi="ar-SA"/>
    </w:rPr>
  </w:style>
  <w:style w:type="character" w:styleId="935" w:customStyle="1">
    <w:name w:val="文档结构图 Char"/>
    <w:link w:val="741"/>
    <w:uiPriority w:val="0"/>
    <w:semiHidden/>
    <w:qFormat/>
    <w:rPr>
      <w:rFonts w:ascii="Calibri" w:hAnsi="Calibri" w:cs="宋体"/>
      <w:sz w:val="21"/>
      <w:shd w:val="clear" w:color="auto" w:fill="000080"/>
    </w:rPr>
  </w:style>
  <w:style w:type="character" w:styleId="936" w:customStyle="1">
    <w:name w:val="批注文字 Char"/>
    <w:link w:val="742"/>
    <w:uiPriority w:val="0"/>
    <w:qFormat/>
    <w:rPr>
      <w:sz w:val="21"/>
    </w:rPr>
  </w:style>
  <w:style w:type="character" w:styleId="937" w:customStyle="1">
    <w:name w:val="正文文本 Char"/>
    <w:link w:val="743"/>
    <w:uiPriority w:val="0"/>
    <w:qFormat/>
    <w:rPr>
      <w:rFonts w:ascii="方正大黑简体" w:hAnsi="Calibri" w:eastAsia="方正大黑简体" w:cs="宋体"/>
      <w:position w:val="6"/>
      <w:sz w:val="30"/>
    </w:rPr>
  </w:style>
  <w:style w:type="character" w:styleId="938" w:customStyle="1">
    <w:name w:val="纯文本 Char"/>
    <w:link w:val="747"/>
    <w:uiPriority w:val="0"/>
    <w:qFormat/>
    <w:rPr>
      <w:rFonts w:ascii="宋体" w:hAnsi="Courier New" w:eastAsia="楷体_GB2312"/>
      <w:sz w:val="26"/>
      <w:lang w:val="en-US" w:eastAsia="zh-CN" w:bidi="ar-SA"/>
    </w:rPr>
  </w:style>
  <w:style w:type="character" w:styleId="939" w:customStyle="1">
    <w:name w:val="日期 Char"/>
    <w:link w:val="749"/>
    <w:uiPriority w:val="0"/>
    <w:qFormat/>
    <w:rPr>
      <w:rFonts w:ascii="宋体" w:hAnsi="宋体" w:eastAsia="楷体_GB2312" w:cs="宋体"/>
      <w:sz w:val="24"/>
    </w:rPr>
  </w:style>
  <w:style w:type="character" w:styleId="940" w:customStyle="1">
    <w:name w:val="正文文本缩进 2 Char"/>
    <w:link w:val="750"/>
    <w:uiPriority w:val="0"/>
    <w:qFormat/>
    <w:rPr>
      <w:rFonts w:ascii="宋体" w:hAnsi="宋体" w:cs="宋体"/>
      <w:sz w:val="24"/>
    </w:rPr>
  </w:style>
  <w:style w:type="character" w:styleId="941" w:customStyle="1">
    <w:name w:val="批注框文本 Char1"/>
    <w:link w:val="752"/>
    <w:uiPriority w:val="0"/>
    <w:qFormat/>
    <w:rPr>
      <w:rFonts w:eastAsia="宋体"/>
      <w:sz w:val="18"/>
      <w:lang w:val="en-US" w:eastAsia="zh-CN" w:bidi="ar-SA"/>
    </w:rPr>
  </w:style>
  <w:style w:type="character" w:styleId="942" w:customStyle="1">
    <w:name w:val="页脚 Char"/>
    <w:link w:val="753"/>
    <w:uiPriority w:val="99"/>
    <w:qFormat/>
    <w:rPr>
      <w:sz w:val="18"/>
    </w:rPr>
  </w:style>
  <w:style w:type="character" w:styleId="943" w:customStyle="1">
    <w:name w:val="页眉 Char"/>
    <w:link w:val="755"/>
    <w:uiPriority w:val="0"/>
    <w:qFormat/>
    <w:rPr>
      <w:rFonts w:eastAsia="楷体_GB2312"/>
      <w:sz w:val="18"/>
    </w:rPr>
  </w:style>
  <w:style w:type="character" w:styleId="944" w:customStyle="1">
    <w:name w:val="正文文本缩进 3 Char"/>
    <w:link w:val="761"/>
    <w:uiPriority w:val="0"/>
    <w:qFormat/>
    <w:rPr>
      <w:rFonts w:ascii="Calibri" w:hAnsi="Calibri" w:cs="宋体"/>
      <w:sz w:val="16"/>
    </w:rPr>
  </w:style>
  <w:style w:type="character" w:styleId="945" w:customStyle="1">
    <w:name w:val="正文文本 2 Char"/>
    <w:link w:val="765"/>
    <w:uiPriority w:val="0"/>
    <w:qFormat/>
    <w:rPr>
      <w:rFonts w:ascii="仿宋_GB2312" w:hAnsi="宋体" w:eastAsia="仿宋_GB2312" w:cs="宋体"/>
      <w:spacing w:val="20"/>
      <w:sz w:val="24"/>
    </w:rPr>
  </w:style>
  <w:style w:type="character" w:styleId="946" w:customStyle="1">
    <w:name w:val="HTML 预设格式 Char"/>
    <w:link w:val="766"/>
    <w:uiPriority w:val="99"/>
    <w:qFormat/>
    <w:rPr>
      <w:rFonts w:ascii="黑体" w:hAnsi="Courier New" w:eastAsia="黑体" w:cs="楷体_GB2312"/>
    </w:rPr>
  </w:style>
  <w:style w:type="character" w:styleId="947" w:customStyle="1">
    <w:name w:val="批注主题 Char"/>
    <w:link w:val="769"/>
    <w:uiPriority w:val="0"/>
    <w:qFormat/>
    <w:rPr>
      <w:b/>
      <w:bCs/>
      <w:sz w:val="21"/>
    </w:rPr>
  </w:style>
  <w:style w:type="character" w:styleId="948" w:customStyle="1">
    <w:name w:val="正文首行缩进 2 Char"/>
    <w:link w:val="770"/>
    <w:uiPriority w:val="99"/>
    <w:qFormat/>
    <w:rPr>
      <w:rFonts w:ascii="方正仿宋简体" w:hAnsi="创艺简仿宋" w:eastAsia="方正仿宋简体" w:cs="宋体"/>
      <w:sz w:val="24"/>
    </w:rPr>
  </w:style>
  <w:style w:type="character" w:styleId="949" w:customStyle="1">
    <w:name w:val="font11"/>
    <w:uiPriority w:val="0"/>
    <w:qFormat/>
    <w:rPr>
      <w:rFonts w:hint="eastAsia" w:ascii="宋体" w:hAnsi="宋体" w:eastAsia="宋体" w:cs="宋体"/>
      <w:color w:val="000000"/>
      <w:sz w:val="22"/>
      <w:szCs w:val="22"/>
      <w:u w:val="none"/>
    </w:rPr>
  </w:style>
  <w:style w:type="character" w:styleId="950" w:customStyle="1">
    <w:name w:val="Plain Text Char"/>
    <w:link w:val="951"/>
    <w:uiPriority w:val="0"/>
    <w:qFormat/>
    <w:rPr>
      <w:rFonts w:ascii="宋体" w:hAnsi="Courier New" w:eastAsia="楷体_GB2312"/>
      <w:sz w:val="28"/>
    </w:rPr>
  </w:style>
  <w:style w:type="paragraph" w:styleId="951" w:customStyle="1">
    <w:name w:val="纯文本1"/>
    <w:basedOn w:val="724"/>
    <w:link w:val="950"/>
    <w:uiPriority w:val="99"/>
    <w:qFormat/>
    <w:rPr>
      <w:rFonts w:ascii="宋体" w:hAnsi="Courier New" w:eastAsia="楷体_GB2312" w:cs="Times New Roman"/>
      <w:sz w:val="28"/>
    </w:rPr>
  </w:style>
  <w:style w:type="character" w:styleId="952" w:customStyle="1">
    <w:name w:val="标题 1 Char"/>
    <w:uiPriority w:val="0"/>
    <w:qFormat/>
    <w:rPr>
      <w:rFonts w:eastAsia="楷体_GB2312"/>
      <w:b/>
      <w:sz w:val="44"/>
      <w:lang w:val="en-US" w:eastAsia="zh-CN" w:bidi="ar-SA"/>
    </w:rPr>
  </w:style>
  <w:style w:type="character" w:styleId="953" w:customStyle="1">
    <w:name w:val="font61"/>
    <w:uiPriority w:val="0"/>
    <w:qFormat/>
    <w:rPr>
      <w:rFonts w:hint="default" w:ascii="font-weight : 400" w:hAnsi="font-weight : 400" w:eastAsia="font-weight : 400" w:cs="font-weight : 400"/>
      <w:color w:val="000000"/>
      <w:sz w:val="22"/>
      <w:szCs w:val="22"/>
      <w:u w:val="none"/>
    </w:rPr>
  </w:style>
  <w:style w:type="character" w:styleId="954" w:customStyle="1">
    <w:name w:val="font131"/>
    <w:uiPriority w:val="0"/>
    <w:qFormat/>
    <w:rPr>
      <w:rFonts w:hint="eastAsia" w:ascii="宋体" w:hAnsi="宋体" w:eastAsia="宋体" w:cs="宋体"/>
      <w:color w:val="ff0000"/>
      <w:sz w:val="18"/>
      <w:szCs w:val="18"/>
      <w:u w:val="none"/>
    </w:rPr>
  </w:style>
  <w:style w:type="character" w:styleId="955" w:customStyle="1">
    <w:name w:val="font101"/>
    <w:uiPriority w:val="0"/>
    <w:qFormat/>
    <w:rPr>
      <w:rFonts w:ascii="font-weight : 400" w:hAnsi="font-weight : 400" w:eastAsia="font-weight : 400" w:cs="font-weight : 400"/>
      <w:color w:val="000000"/>
      <w:sz w:val="20"/>
      <w:szCs w:val="20"/>
      <w:u w:val="none"/>
    </w:rPr>
  </w:style>
  <w:style w:type="character" w:styleId="956" w:customStyle="1">
    <w:name w:val="font41"/>
    <w:uiPriority w:val="0"/>
    <w:qFormat/>
    <w:rPr>
      <w:rFonts w:hint="eastAsia" w:ascii="宋体" w:hAnsi="宋体" w:eastAsia="宋体" w:cs="宋体"/>
      <w:color w:val="000000"/>
      <w:sz w:val="22"/>
      <w:szCs w:val="22"/>
      <w:u w:val="none"/>
    </w:rPr>
  </w:style>
  <w:style w:type="character" w:styleId="957" w:customStyle="1">
    <w:name w:val="font71"/>
    <w:uiPriority w:val="0"/>
    <w:qFormat/>
    <w:rPr>
      <w:rFonts w:hint="default" w:ascii="font-weight : 400" w:hAnsi="font-weight : 400" w:eastAsia="font-weight : 400" w:cs="font-weight : 400"/>
      <w:color w:val="000000"/>
      <w:sz w:val="22"/>
      <w:szCs w:val="22"/>
      <w:u w:val="none"/>
      <w:vertAlign w:val="superscript"/>
    </w:rPr>
  </w:style>
  <w:style w:type="character" w:styleId="958" w:customStyle="1">
    <w:name w:val="font161"/>
    <w:uiPriority w:val="0"/>
    <w:qFormat/>
    <w:rPr>
      <w:rFonts w:hint="eastAsia" w:ascii="宋体" w:hAnsi="宋体" w:eastAsia="宋体" w:cs="宋体"/>
      <w:color w:val="000000"/>
      <w:sz w:val="22"/>
      <w:szCs w:val="22"/>
      <w:u w:val="none"/>
    </w:rPr>
  </w:style>
  <w:style w:type="character" w:styleId="959" w:customStyle="1">
    <w:name w:val="_正文段落 Char"/>
    <w:link w:val="960"/>
    <w:uiPriority w:val="0"/>
    <w:qFormat/>
    <w:rPr>
      <w:rFonts w:ascii="宋体" w:hAnsi="宋体"/>
      <w:sz w:val="24"/>
      <w:szCs w:val="24"/>
    </w:rPr>
  </w:style>
  <w:style w:type="paragraph" w:styleId="960" w:customStyle="1">
    <w:name w:val="_正文段落"/>
    <w:basedOn w:val="724"/>
    <w:next w:val="724"/>
    <w:link w:val="959"/>
    <w:uiPriority w:val="0"/>
    <w:qFormat/>
    <w:pPr>
      <w:ind w:firstLine="200"/>
      <w:spacing w:line="360" w:lineRule="auto"/>
    </w:pPr>
    <w:rPr>
      <w:rFonts w:ascii="宋体" w:hAnsi="宋体" w:cs="Times New Roman"/>
      <w:sz w:val="24"/>
      <w:szCs w:val="24"/>
    </w:rPr>
  </w:style>
  <w:style w:type="character" w:styleId="961" w:customStyle="1">
    <w:name w:val="访问过的超链接1"/>
    <w:uiPriority w:val="99"/>
    <w:qFormat/>
    <w:rPr>
      <w:color w:val="800080"/>
      <w:u w:val="single"/>
    </w:rPr>
  </w:style>
  <w:style w:type="character" w:styleId="962" w:customStyle="1">
    <w:name w:val="font81"/>
    <w:uiPriority w:val="0"/>
    <w:qFormat/>
    <w:rPr>
      <w:rFonts w:ascii="font-weight : 400" w:hAnsi="font-weight : 400" w:eastAsia="font-weight : 400" w:cs="font-weight : 400"/>
      <w:color w:val="000000"/>
      <w:sz w:val="22"/>
      <w:szCs w:val="22"/>
      <w:u w:val="none"/>
      <w:vertAlign w:val="superscript"/>
    </w:rPr>
  </w:style>
  <w:style w:type="character" w:styleId="963" w:customStyle="1">
    <w:name w:val="s1"/>
    <w:basedOn w:val="734"/>
    <w:uiPriority w:val="0"/>
    <w:qFormat/>
  </w:style>
  <w:style w:type="character" w:styleId="964" w:customStyle="1">
    <w:name w:val="font01"/>
    <w:uiPriority w:val="0"/>
    <w:qFormat/>
    <w:rPr>
      <w:rFonts w:hint="eastAsia" w:ascii="宋体" w:hAnsi="宋体" w:eastAsia="宋体" w:cs="宋体"/>
      <w:color w:val="000000"/>
      <w:sz w:val="22"/>
      <w:szCs w:val="22"/>
      <w:u w:val="none"/>
    </w:rPr>
  </w:style>
  <w:style w:type="character" w:styleId="965" w:customStyle="1">
    <w:name w:val="font121"/>
    <w:uiPriority w:val="0"/>
    <w:qFormat/>
    <w:rPr>
      <w:rFonts w:hint="eastAsia" w:ascii="宋体" w:hAnsi="宋体" w:eastAsia="宋体" w:cs="宋体"/>
      <w:color w:val="000000"/>
      <w:sz w:val="18"/>
      <w:szCs w:val="18"/>
      <w:u w:val="none"/>
    </w:rPr>
  </w:style>
  <w:style w:type="character" w:styleId="966" w:customStyle="1">
    <w:name w:val="Plain Text Char Char"/>
    <w:link w:val="967"/>
    <w:uiPriority w:val="0"/>
    <w:qFormat/>
    <w:rPr>
      <w:rFonts w:ascii="宋体" w:hAnsi="Courier New" w:eastAsia="楷体_GB2312"/>
      <w:sz w:val="28"/>
    </w:rPr>
  </w:style>
  <w:style w:type="paragraph" w:styleId="967" w:customStyle="1">
    <w:name w:val="Plain Text1"/>
    <w:basedOn w:val="724"/>
    <w:link w:val="966"/>
    <w:uiPriority w:val="0"/>
    <w:qFormat/>
    <w:rPr>
      <w:rFonts w:ascii="宋体" w:hAnsi="Courier New" w:eastAsia="楷体_GB2312" w:cs="Times New Roman"/>
      <w:sz w:val="28"/>
    </w:rPr>
  </w:style>
  <w:style w:type="character" w:styleId="968" w:customStyle="1">
    <w:name w:val="font141"/>
    <w:uiPriority w:val="0"/>
    <w:qFormat/>
    <w:rPr>
      <w:rFonts w:hint="eastAsia" w:ascii="宋体" w:hAnsi="宋体" w:eastAsia="宋体" w:cs="宋体"/>
      <w:color w:val="ff0000"/>
      <w:sz w:val="18"/>
      <w:szCs w:val="18"/>
      <w:u w:val="none"/>
    </w:rPr>
  </w:style>
  <w:style w:type="character" w:styleId="969" w:customStyle="1">
    <w:name w:val="font51"/>
    <w:uiPriority w:val="0"/>
    <w:qFormat/>
    <w:rPr>
      <w:rFonts w:hint="eastAsia" w:ascii="宋体" w:hAnsi="宋体" w:eastAsia="宋体" w:cs="宋体"/>
      <w:color w:val="000000"/>
      <w:sz w:val="22"/>
      <w:szCs w:val="22"/>
      <w:u w:val="none"/>
    </w:rPr>
  </w:style>
  <w:style w:type="character" w:styleId="970" w:customStyle="1">
    <w:name w:val="font31"/>
    <w:uiPriority w:val="0"/>
    <w:qFormat/>
    <w:rPr>
      <w:rFonts w:hint="eastAsia" w:ascii="宋体" w:hAnsi="宋体" w:eastAsia="宋体" w:cs="宋体"/>
      <w:color w:val="000000"/>
      <w:sz w:val="22"/>
      <w:szCs w:val="22"/>
      <w:u w:val="none"/>
    </w:rPr>
  </w:style>
  <w:style w:type="character" w:styleId="971" w:customStyle="1">
    <w:name w:val="font21"/>
    <w:uiPriority w:val="0"/>
    <w:qFormat/>
    <w:rPr>
      <w:rFonts w:hint="eastAsia" w:ascii="宋体" w:hAnsi="宋体" w:eastAsia="宋体" w:cs="宋体"/>
      <w:color w:val="000000"/>
      <w:sz w:val="22"/>
      <w:szCs w:val="22"/>
      <w:u w:val="none"/>
    </w:rPr>
  </w:style>
  <w:style w:type="character" w:styleId="972" w:customStyle="1">
    <w:name w:val="font151"/>
    <w:uiPriority w:val="0"/>
    <w:qFormat/>
    <w:rPr>
      <w:rFonts w:hint="eastAsia" w:ascii="宋体" w:hAnsi="宋体" w:eastAsia="宋体" w:cs="宋体"/>
      <w:color w:val="000000"/>
      <w:sz w:val="20"/>
      <w:szCs w:val="20"/>
      <w:u w:val="none"/>
    </w:rPr>
  </w:style>
  <w:style w:type="paragraph" w:styleId="973" w:customStyle="1">
    <w:name w:val="p1"/>
    <w:basedOn w:val="724"/>
    <w:uiPriority w:val="0"/>
    <w:qFormat/>
    <w:pPr>
      <w:jc w:val="left"/>
      <w:spacing w:before="100" w:beforeAutospacing="1" w:after="100" w:afterAutospacing="1"/>
      <w:widowControl/>
    </w:pPr>
    <w:rPr>
      <w:rFonts w:ascii="宋体" w:hAnsi="宋体"/>
      <w:sz w:val="24"/>
      <w:szCs w:val="24"/>
    </w:rPr>
  </w:style>
  <w:style w:type="paragraph" w:styleId="974" w:customStyle="1">
    <w:name w:val="Char1"/>
    <w:basedOn w:val="724"/>
    <w:uiPriority w:val="0"/>
    <w:qFormat/>
    <w:rPr>
      <w:sz w:val="24"/>
      <w:szCs w:val="24"/>
    </w:rPr>
  </w:style>
  <w:style w:type="paragraph" w:styleId="975">
    <w:name w:val="List Paragraph"/>
    <w:basedOn w:val="724"/>
    <w:link w:val="1059"/>
    <w:uiPriority w:val="34"/>
    <w:qFormat/>
    <w:pPr>
      <w:ind w:firstLine="420"/>
    </w:pPr>
    <w:rPr>
      <w:szCs w:val="22"/>
    </w:rPr>
  </w:style>
  <w:style w:type="paragraph" w:styleId="976" w:customStyle="1">
    <w:name w:val="纯文本3"/>
    <w:basedOn w:val="724"/>
    <w:uiPriority w:val="0"/>
    <w:qFormat/>
    <w:rPr>
      <w:rFonts w:hint="eastAsia" w:ascii="宋体" w:hAnsi="Courier New" w:eastAsia="楷体_GB2312"/>
      <w:sz w:val="28"/>
    </w:rPr>
  </w:style>
  <w:style w:type="paragraph" w:styleId="977" w:customStyle="1">
    <w:name w:val="正文 A"/>
    <w:uiPriority w:val="0"/>
    <w:qFormat/>
    <w:pPr>
      <w:jc w:val="both"/>
      <w:widowControl w:val="off"/>
    </w:pPr>
    <w:rPr>
      <w:rFonts w:hint="default" w:ascii="Arial Unicode MS" w:hAnsi="Calibri" w:eastAsia="Times New Roman" w:cs="Arial Unicode MS"/>
      <w:color w:val="000000"/>
      <w:sz w:val="21"/>
      <w:szCs w:val="21"/>
      <w:lang w:val="en-US" w:eastAsia="zh-CN" w:bidi="ar-SA"/>
    </w:rPr>
  </w:style>
  <w:style w:type="paragraph" w:styleId="978" w:customStyle="1">
    <w:name w:val="列出段落1"/>
    <w:basedOn w:val="724"/>
    <w:uiPriority w:val="0"/>
    <w:qFormat/>
    <w:pPr>
      <w:ind w:firstLine="420"/>
      <w:jc w:val="left"/>
      <w:widowControl/>
    </w:pPr>
    <w:rPr>
      <w:sz w:val="24"/>
    </w:rPr>
  </w:style>
  <w:style w:type="paragraph" w:styleId="979" w:customStyle="1">
    <w:name w:val="dt4"/>
    <w:basedOn w:val="724"/>
    <w:uiPriority w:val="0"/>
    <w:qFormat/>
    <w:pPr>
      <w:jc w:val="left"/>
    </w:pPr>
    <w:rPr>
      <w:rFonts w:cs="Times New Roman"/>
    </w:rPr>
  </w:style>
  <w:style w:type="paragraph" w:styleId="980" w:customStyle="1">
    <w:name w:val="Char Char Char Char Char Char Char Char Char1 Char"/>
    <w:basedOn w:val="741"/>
    <w:uiPriority w:val="0"/>
    <w:qFormat/>
    <w:pPr>
      <w:spacing w:line="360" w:lineRule="auto"/>
    </w:pPr>
    <w:rPr>
      <w:szCs w:val="24"/>
    </w:rPr>
  </w:style>
  <w:style w:type="paragraph" w:styleId="981" w:customStyle="1">
    <w:name w:val="Char"/>
    <w:basedOn w:val="724"/>
    <w:uiPriority w:val="0"/>
    <w:qFormat/>
    <w:pPr>
      <w:jc w:val="left"/>
      <w:spacing w:after="160" w:line="240" w:lineRule="exact"/>
      <w:widowControl/>
    </w:pPr>
    <w:rPr>
      <w:rFonts w:ascii="Verdana" w:hAnsi="Verdana"/>
      <w:lang w:eastAsia="en-US"/>
    </w:rPr>
  </w:style>
  <w:style w:type="paragraph" w:styleId="982" w:customStyle="1">
    <w:name w:val="List Paragraph1"/>
    <w:basedOn w:val="724"/>
    <w:link w:val="1076"/>
    <w:uiPriority w:val="34"/>
    <w:qFormat/>
    <w:pPr>
      <w:ind w:firstLine="420"/>
    </w:pPr>
  </w:style>
  <w:style w:type="paragraph" w:styleId="983" w:customStyle="1">
    <w:name w:val="p0"/>
    <w:basedOn w:val="724"/>
    <w:uiPriority w:val="0"/>
    <w:qFormat/>
    <w:pPr>
      <w:widowControl/>
    </w:pPr>
  </w:style>
  <w:style w:type="paragraph" w:styleId="984" w:customStyle="1">
    <w:name w:val="纯文本11"/>
    <w:basedOn w:val="724"/>
    <w:uiPriority w:val="0"/>
    <w:qFormat/>
    <w:rPr>
      <w:rFonts w:hint="eastAsia" w:ascii="宋体" w:hAnsi="Courier New" w:eastAsia="楷体_GB2312"/>
      <w:sz w:val="28"/>
    </w:rPr>
  </w:style>
  <w:style w:type="paragraph" w:styleId="985" w:customStyle="1">
    <w:name w:val="Char Char Char Char"/>
    <w:basedOn w:val="741"/>
    <w:uiPriority w:val="0"/>
    <w:qFormat/>
    <w:pPr>
      <w:spacing w:line="360" w:lineRule="auto"/>
    </w:pPr>
  </w:style>
  <w:style w:type="paragraph" w:styleId="986" w:customStyle="1">
    <w:name w:val="dt2"/>
    <w:basedOn w:val="724"/>
    <w:uiPriority w:val="0"/>
    <w:qFormat/>
    <w:pPr>
      <w:jc w:val="left"/>
    </w:pPr>
    <w:rPr>
      <w:rFonts w:cs="Times New Roman"/>
    </w:rPr>
  </w:style>
  <w:style w:type="paragraph" w:styleId="987" w:customStyle="1">
    <w:name w:val="dt"/>
    <w:basedOn w:val="724"/>
    <w:uiPriority w:val="0"/>
    <w:qFormat/>
    <w:pPr>
      <w:ind w:right="75"/>
      <w:jc w:val="center"/>
      <w:spacing w:line="720" w:lineRule="atLeast"/>
      <w:pBdr>
        <w:top w:val="single" w:color="FFFFFF" w:sz="6" w:space="0"/>
        <w:left w:val="single" w:color="FFFFFF" w:sz="6" w:space="0"/>
        <w:bottom w:val="single" w:color="FFFFFF" w:sz="6" w:space="0"/>
        <w:right w:val="single" w:color="FFFFFF" w:sz="6" w:space="0"/>
      </w:pBdr>
    </w:pPr>
    <w:rPr>
      <w:rFonts w:ascii="Arial" w:hAnsi="Arial" w:cs="Times New Roman"/>
      <w:color w:val="cccccc"/>
      <w:sz w:val="54"/>
      <w:szCs w:val="54"/>
    </w:rPr>
  </w:style>
  <w:style w:type="paragraph" w:styleId="988" w:customStyle="1">
    <w:name w:val="dd"/>
    <w:basedOn w:val="724"/>
    <w:uiPriority w:val="0"/>
    <w:qFormat/>
    <w:pPr>
      <w:jc w:val="left"/>
    </w:pPr>
    <w:rPr>
      <w:rFonts w:cs="Times New Roman"/>
    </w:rPr>
  </w:style>
  <w:style w:type="paragraph" w:styleId="989" w:customStyle="1">
    <w:name w:val="Char2"/>
    <w:basedOn w:val="724"/>
    <w:uiPriority w:val="0"/>
    <w:qFormat/>
    <w:rPr>
      <w:rFonts w:ascii="Tahoma" w:hAnsi="Tahoma"/>
      <w:sz w:val="24"/>
    </w:rPr>
  </w:style>
  <w:style w:type="paragraph" w:styleId="990" w:customStyle="1">
    <w:name w:val="p25"/>
    <w:basedOn w:val="724"/>
    <w:uiPriority w:val="0"/>
    <w:qFormat/>
    <w:pPr>
      <w:jc w:val="left"/>
      <w:widowControl/>
    </w:pPr>
    <w:rPr>
      <w:rFonts w:ascii="黑体" w:hAnsi="黑体" w:eastAsia="黑体" w:cs="黑体"/>
      <w:sz w:val="26"/>
      <w:szCs w:val="26"/>
    </w:rPr>
  </w:style>
  <w:style w:type="character" w:styleId="991" w:customStyle="1">
    <w:name w:val="页眉 字符"/>
    <w:uiPriority w:val="99"/>
    <w:qFormat/>
    <w:rPr>
      <w:rFonts w:cs="Times New Roman"/>
      <w:sz w:val="18"/>
      <w:szCs w:val="18"/>
    </w:rPr>
  </w:style>
  <w:style w:type="character" w:styleId="992" w:customStyle="1">
    <w:name w:val="页脚 字符"/>
    <w:uiPriority w:val="99"/>
    <w:qFormat/>
    <w:rPr>
      <w:rFonts w:cs="Times New Roman"/>
      <w:sz w:val="18"/>
      <w:szCs w:val="18"/>
    </w:rPr>
  </w:style>
  <w:style w:type="paragraph" w:styleId="993" w:customStyle="1">
    <w:name w:val="纯文本2"/>
    <w:basedOn w:val="724"/>
    <w:uiPriority w:val="0"/>
    <w:qFormat/>
    <w:pPr>
      <w:jc w:val="left"/>
      <w:widowControl/>
    </w:pPr>
    <w:rPr>
      <w:rFonts w:ascii="宋体" w:hAnsi="Courier New" w:eastAsia="楷体_GB2312" w:cs="Times New Roman"/>
      <w:sz w:val="26"/>
    </w:rPr>
  </w:style>
  <w:style w:type="paragraph" w:styleId="994" w:customStyle="1">
    <w:name w:val="_Style 85"/>
    <w:basedOn w:val="724"/>
    <w:next w:val="975"/>
    <w:uiPriority w:val="34"/>
    <w:qFormat/>
    <w:pPr>
      <w:ind w:firstLine="420"/>
    </w:pPr>
    <w:rPr>
      <w:rFonts w:ascii="等线" w:hAnsi="等线" w:eastAsia="等线" w:cs="Times New Roman"/>
      <w:szCs w:val="22"/>
    </w:rPr>
  </w:style>
  <w:style w:type="paragraph" w:styleId="995" w:customStyle="1">
    <w:name w:val="msonormal"/>
    <w:basedOn w:val="724"/>
    <w:uiPriority w:val="0"/>
    <w:qFormat/>
    <w:pPr>
      <w:jc w:val="left"/>
      <w:spacing w:before="100" w:beforeAutospacing="1" w:after="100" w:afterAutospacing="1"/>
      <w:widowControl/>
    </w:pPr>
    <w:rPr>
      <w:rFonts w:ascii="宋体" w:hAnsi="宋体"/>
      <w:sz w:val="24"/>
      <w:szCs w:val="24"/>
    </w:rPr>
  </w:style>
  <w:style w:type="paragraph" w:styleId="996" w:customStyle="1">
    <w:name w:val="font5"/>
    <w:basedOn w:val="724"/>
    <w:uiPriority w:val="0"/>
    <w:qFormat/>
    <w:pPr>
      <w:jc w:val="left"/>
      <w:spacing w:before="100" w:beforeAutospacing="1" w:after="100" w:afterAutospacing="1"/>
      <w:widowControl/>
    </w:pPr>
    <w:rPr>
      <w:rFonts w:ascii="宋体" w:hAnsi="宋体"/>
      <w:sz w:val="20"/>
    </w:rPr>
  </w:style>
  <w:style w:type="paragraph" w:styleId="997" w:customStyle="1">
    <w:name w:val="font6"/>
    <w:basedOn w:val="724"/>
    <w:uiPriority w:val="0"/>
    <w:qFormat/>
    <w:pPr>
      <w:jc w:val="left"/>
      <w:spacing w:before="100" w:beforeAutospacing="1" w:after="100" w:afterAutospacing="1"/>
      <w:widowControl/>
    </w:pPr>
    <w:rPr>
      <w:rFonts w:ascii="宋体" w:hAnsi="宋体"/>
      <w:color w:val="000000"/>
      <w:sz w:val="20"/>
    </w:rPr>
  </w:style>
  <w:style w:type="paragraph" w:styleId="998" w:customStyle="1">
    <w:name w:val="font7"/>
    <w:basedOn w:val="724"/>
    <w:uiPriority w:val="0"/>
    <w:qFormat/>
    <w:pPr>
      <w:jc w:val="left"/>
      <w:spacing w:before="100" w:beforeAutospacing="1" w:after="100" w:afterAutospacing="1"/>
      <w:widowControl/>
    </w:pPr>
    <w:rPr>
      <w:rFonts w:ascii="宋体" w:hAnsi="宋体"/>
      <w:color w:val="000000"/>
      <w:sz w:val="18"/>
      <w:szCs w:val="18"/>
    </w:rPr>
  </w:style>
  <w:style w:type="paragraph" w:styleId="999" w:customStyle="1">
    <w:name w:val="font8"/>
    <w:basedOn w:val="724"/>
    <w:uiPriority w:val="0"/>
    <w:qFormat/>
    <w:pPr>
      <w:jc w:val="left"/>
      <w:spacing w:before="100" w:beforeAutospacing="1" w:after="100" w:afterAutospacing="1"/>
      <w:widowControl/>
    </w:pPr>
    <w:rPr>
      <w:rFonts w:ascii="宋体" w:hAnsi="宋体"/>
      <w:sz w:val="18"/>
      <w:szCs w:val="18"/>
    </w:rPr>
  </w:style>
  <w:style w:type="paragraph" w:styleId="1000" w:customStyle="1">
    <w:name w:val="font9"/>
    <w:basedOn w:val="724"/>
    <w:uiPriority w:val="0"/>
    <w:qFormat/>
    <w:pPr>
      <w:jc w:val="left"/>
      <w:spacing w:before="100" w:beforeAutospacing="1" w:after="100" w:afterAutospacing="1"/>
      <w:widowControl/>
    </w:pPr>
    <w:rPr>
      <w:rFonts w:ascii="宋体" w:hAnsi="宋体"/>
      <w:sz w:val="20"/>
    </w:rPr>
  </w:style>
  <w:style w:type="paragraph" w:styleId="1001" w:customStyle="1">
    <w:name w:val="font10"/>
    <w:basedOn w:val="724"/>
    <w:uiPriority w:val="0"/>
    <w:qFormat/>
    <w:pPr>
      <w:jc w:val="left"/>
      <w:spacing w:before="100" w:beforeAutospacing="1" w:after="100" w:afterAutospacing="1"/>
      <w:widowControl/>
    </w:pPr>
    <w:rPr>
      <w:rFonts w:cs="Calibri"/>
      <w:sz w:val="20"/>
    </w:rPr>
  </w:style>
  <w:style w:type="paragraph" w:styleId="1002" w:customStyle="1">
    <w:name w:val="font12"/>
    <w:basedOn w:val="724"/>
    <w:uiPriority w:val="0"/>
    <w:qFormat/>
    <w:pPr>
      <w:jc w:val="left"/>
      <w:spacing w:before="100" w:beforeAutospacing="1" w:after="100" w:afterAutospacing="1"/>
      <w:widowControl/>
    </w:pPr>
    <w:rPr>
      <w:rFonts w:cs="Calibri"/>
      <w:color w:val="000000"/>
      <w:sz w:val="20"/>
    </w:rPr>
  </w:style>
  <w:style w:type="paragraph" w:styleId="1003" w:customStyle="1">
    <w:name w:val="font13"/>
    <w:basedOn w:val="724"/>
    <w:uiPriority w:val="0"/>
    <w:qFormat/>
    <w:pPr>
      <w:jc w:val="left"/>
      <w:spacing w:before="100" w:beforeAutospacing="1" w:after="100" w:afterAutospacing="1"/>
      <w:widowControl/>
    </w:pPr>
    <w:rPr>
      <w:rFonts w:ascii="Segoe UI Symbol" w:hAnsi="Segoe UI Symbol"/>
      <w:sz w:val="20"/>
    </w:rPr>
  </w:style>
  <w:style w:type="paragraph" w:styleId="1004" w:customStyle="1">
    <w:name w:val="font14"/>
    <w:basedOn w:val="724"/>
    <w:uiPriority w:val="0"/>
    <w:qFormat/>
    <w:pPr>
      <w:jc w:val="left"/>
      <w:spacing w:before="100" w:beforeAutospacing="1" w:after="100" w:afterAutospacing="1"/>
      <w:widowControl/>
    </w:pPr>
    <w:rPr>
      <w:rFonts w:ascii="Segoe UI Symbol" w:hAnsi="Segoe UI Symbol"/>
      <w:sz w:val="20"/>
    </w:rPr>
  </w:style>
  <w:style w:type="paragraph" w:styleId="1005" w:customStyle="1">
    <w:name w:val="xl90"/>
    <w:basedOn w:val="724"/>
    <w:uiPriority w:val="0"/>
    <w:qFormat/>
    <w:pPr>
      <w:jc w:val="left"/>
      <w:spacing w:before="100" w:beforeAutospacing="1" w:after="100" w:afterAutospacing="1"/>
      <w:widowControl/>
    </w:pPr>
    <w:rPr>
      <w:rFonts w:ascii="宋体" w:hAnsi="宋体"/>
      <w:color w:val="000000"/>
      <w:sz w:val="22"/>
      <w:szCs w:val="22"/>
    </w:rPr>
  </w:style>
  <w:style w:type="paragraph" w:styleId="1006" w:customStyle="1">
    <w:name w:val="xl91"/>
    <w:basedOn w:val="72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07" w:customStyle="1">
    <w:name w:val="xl9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08" w:customStyle="1">
    <w:name w:val="xl93"/>
    <w:basedOn w:val="72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09" w:customStyle="1">
    <w:name w:val="xl94"/>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0" w:customStyle="1">
    <w:name w:val="xl95"/>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1" w:customStyle="1">
    <w:name w:val="xl96"/>
    <w:basedOn w:val="72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olor w:val="000000"/>
      <w:sz w:val="20"/>
    </w:rPr>
  </w:style>
  <w:style w:type="paragraph" w:styleId="1012" w:customStyle="1">
    <w:name w:val="xl9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3" w:customStyle="1">
    <w:name w:val="xl9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4" w:customStyle="1">
    <w:name w:val="xl9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5" w:customStyle="1">
    <w:name w:val="xl10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6" w:customStyle="1">
    <w:name w:val="xl10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7" w:customStyle="1">
    <w:name w:val="xl102"/>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8" w:customStyle="1">
    <w:name w:val="xl10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9" w:customStyle="1">
    <w:name w:val="xl104"/>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0" w:customStyle="1">
    <w:name w:val="xl105"/>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1" w:customStyle="1">
    <w:name w:val="xl10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2" w:customStyle="1">
    <w:name w:val="xl10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3" w:customStyle="1">
    <w:name w:val="xl10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4" w:customStyle="1">
    <w:name w:val="xl10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25" w:customStyle="1">
    <w:name w:val="xl11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6" w:customStyle="1">
    <w:name w:val="xl111"/>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7" w:customStyle="1">
    <w:name w:val="xl112"/>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28" w:customStyle="1">
    <w:name w:val="xl11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29" w:customStyle="1">
    <w:name w:val="xl11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30" w:customStyle="1">
    <w:name w:val="xl11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31" w:customStyle="1">
    <w:name w:val="xl11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32" w:customStyle="1">
    <w:name w:val="xl11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33" w:customStyle="1">
    <w:name w:val="xl11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34" w:customStyle="1">
    <w:name w:val="xl119"/>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35" w:customStyle="1">
    <w:name w:val="xl12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36" w:customStyle="1">
    <w:name w:val="xl12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37" w:customStyle="1">
    <w:name w:val="xl122"/>
    <w:basedOn w:val="72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b/>
      <w:bCs/>
      <w:sz w:val="20"/>
    </w:rPr>
  </w:style>
  <w:style w:type="paragraph" w:styleId="1038" w:customStyle="1">
    <w:name w:val="xl12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9" w:customStyle="1">
    <w:name w:val="xl124"/>
    <w:basedOn w:val="72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40" w:customStyle="1">
    <w:name w:val="xl12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41" w:customStyle="1">
    <w:name w:val="xl126"/>
    <w:basedOn w:val="724"/>
    <w:uiPriority w:val="0"/>
    <w:qFormat/>
    <w:pPr>
      <w:jc w:val="center"/>
      <w:spacing w:before="100" w:beforeAutospacing="1" w:after="100" w:afterAutospacing="1"/>
      <w:widowControl/>
      <w:pBdr>
        <w:top w:val="single" w:color="auto" w:sz="4" w:space="0"/>
        <w:left w:val="single" w:color="auto" w:sz="8" w:space="0"/>
        <w:bottom w:val="single" w:color="auto" w:sz="4" w:space="0"/>
      </w:pBdr>
    </w:pPr>
    <w:rPr>
      <w:rFonts w:ascii="宋体" w:hAnsi="宋体"/>
      <w:b/>
      <w:bCs/>
      <w:sz w:val="20"/>
    </w:rPr>
  </w:style>
  <w:style w:type="paragraph" w:styleId="1042" w:customStyle="1">
    <w:name w:val="xl127"/>
    <w:basedOn w:val="724"/>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rPr>
  </w:style>
  <w:style w:type="paragraph" w:styleId="1043" w:customStyle="1">
    <w:name w:val="xl128"/>
    <w:basedOn w:val="724"/>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宋体" w:hAnsi="宋体"/>
      <w:sz w:val="20"/>
    </w:rPr>
  </w:style>
  <w:style w:type="paragraph" w:styleId="1044" w:customStyle="1">
    <w:name w:val="xl129"/>
    <w:basedOn w:val="724"/>
    <w:uiPriority w:val="0"/>
    <w:qFormat/>
    <w:pPr>
      <w:jc w:val="left"/>
      <w:spacing w:before="100" w:beforeAutospacing="1" w:after="100" w:afterAutospacing="1"/>
      <w:widowControl/>
      <w:pBdr>
        <w:top w:val="single" w:color="auto" w:sz="4" w:space="0"/>
        <w:bottom w:val="single" w:color="auto" w:sz="4" w:space="0"/>
      </w:pBdr>
    </w:pPr>
    <w:rPr>
      <w:rFonts w:ascii="宋体" w:hAnsi="宋体"/>
      <w:sz w:val="20"/>
    </w:rPr>
  </w:style>
  <w:style w:type="paragraph" w:styleId="1045" w:customStyle="1">
    <w:name w:val="xl130"/>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18"/>
      <w:szCs w:val="18"/>
    </w:rPr>
  </w:style>
  <w:style w:type="paragraph" w:styleId="1046" w:customStyle="1">
    <w:name w:val="xl131"/>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0"/>
    </w:rPr>
  </w:style>
  <w:style w:type="paragraph" w:styleId="1047" w:customStyle="1">
    <w:name w:val="TOC 标题1"/>
    <w:basedOn w:val="725"/>
    <w:next w:val="724"/>
    <w:uiPriority w:val="39"/>
    <w:qFormat/>
    <w:pPr>
      <w:jc w:val="left"/>
      <w:spacing w:before="480" w:line="276" w:lineRule="auto"/>
      <w:widowControl/>
      <w:outlineLvl w:val="9"/>
    </w:pPr>
    <w:rPr>
      <w:rFonts w:ascii="Cambria" w:hAnsi="Cambria"/>
      <w:color w:val="365f91"/>
      <w:sz w:val="28"/>
      <w:szCs w:val="28"/>
    </w:rPr>
  </w:style>
  <w:style w:type="character" w:styleId="1048" w:customStyle="1">
    <w:name w:val="标题 Char"/>
    <w:link w:val="768"/>
    <w:uiPriority w:val="0"/>
    <w:qFormat/>
    <w:rPr>
      <w:rFonts w:ascii="Cambria" w:hAnsi="Cambria"/>
      <w:b/>
      <w:bCs/>
      <w:sz w:val="52"/>
      <w:szCs w:val="32"/>
      <w:lang w:bidi="ar-SA"/>
    </w:rPr>
  </w:style>
  <w:style w:type="paragraph" w:styleId="1049" w:customStyle="1">
    <w:name w:val="纯文本4"/>
    <w:basedOn w:val="724"/>
    <w:uiPriority w:val="0"/>
    <w:qFormat/>
    <w:rPr>
      <w:rFonts w:ascii="宋体" w:hAnsi="Courier New" w:cs="Times New Roman"/>
      <w:sz w:val="26"/>
    </w:rPr>
  </w:style>
  <w:style w:type="character" w:styleId="1050" w:customStyle="1">
    <w:name w:val="正文缩进 Char1"/>
    <w:uiPriority w:val="0"/>
    <w:qFormat/>
    <w:rPr>
      <w:rFonts w:eastAsia="楷体_GB2312"/>
      <w:sz w:val="24"/>
      <w:lang w:val="en-US" w:eastAsia="zh-CN" w:bidi="ar-SA"/>
    </w:rPr>
  </w:style>
  <w:style w:type="character" w:styleId="1051" w:customStyle="1">
    <w:name w:val="grame"/>
    <w:basedOn w:val="734"/>
    <w:uiPriority w:val="0"/>
    <w:qFormat/>
  </w:style>
  <w:style w:type="character" w:styleId="1052" w:customStyle="1">
    <w:name w:val="NormalCharacter"/>
    <w:uiPriority w:val="0"/>
    <w:semiHidden/>
    <w:qFormat/>
  </w:style>
  <w:style w:type="character" w:styleId="1053" w:customStyle="1">
    <w:name w:val="UserStyle_12"/>
    <w:link w:val="1054"/>
    <w:uiPriority w:val="0"/>
    <w:qFormat/>
    <w:rPr>
      <w:rFonts w:eastAsia="楷体_GB2312"/>
      <w:sz w:val="24"/>
    </w:rPr>
  </w:style>
  <w:style w:type="paragraph" w:styleId="1054" w:customStyle="1">
    <w:name w:val="NormalIndent"/>
    <w:basedOn w:val="724"/>
    <w:link w:val="1053"/>
    <w:uiPriority w:val="0"/>
    <w:qFormat/>
    <w:pPr>
      <w:ind w:firstLine="420"/>
      <w:jc w:val="left"/>
      <w:widowControl/>
    </w:pPr>
    <w:rPr>
      <w:rFonts w:ascii="Times New Roman" w:hAnsi="Times New Roman" w:eastAsia="楷体_GB2312" w:cs="Times New Roman"/>
      <w:sz w:val="24"/>
    </w:rPr>
  </w:style>
  <w:style w:type="character" w:styleId="1055" w:customStyle="1">
    <w:name w:val="Andy_正文 Char"/>
    <w:link w:val="1056"/>
    <w:uiPriority w:val="0"/>
    <w:qFormat/>
    <w:rPr>
      <w:rFonts w:ascii="Calibri" w:hAnsi="Calibri" w:cs="Calibri"/>
      <w:sz w:val="24"/>
      <w:szCs w:val="24"/>
    </w:rPr>
  </w:style>
  <w:style w:type="paragraph" w:styleId="1056" w:customStyle="1">
    <w:name w:val="Andy_正文"/>
    <w:basedOn w:val="724"/>
    <w:link w:val="1055"/>
    <w:uiPriority w:val="0"/>
    <w:qFormat/>
    <w:pPr>
      <w:ind w:firstLine="480"/>
      <w:spacing w:line="360" w:lineRule="auto"/>
    </w:pPr>
    <w:rPr>
      <w:rFonts w:cs="Calibri"/>
      <w:sz w:val="24"/>
      <w:szCs w:val="24"/>
    </w:rPr>
  </w:style>
  <w:style w:type="paragraph" w:styleId="1057" w:customStyle="1">
    <w:name w:val="UserStyle_62"/>
    <w:basedOn w:val="724"/>
    <w:uiPriority w:val="0"/>
    <w:qFormat/>
    <w:pPr>
      <w:widowControl/>
    </w:pPr>
    <w:rPr>
      <w:rFonts w:ascii="宋体" w:hAnsi="Courier New" w:eastAsia="楷体_GB2312" w:cs="Times New Roman"/>
      <w:sz w:val="26"/>
      <w:szCs w:val="24"/>
    </w:rPr>
  </w:style>
  <w:style w:type="character" w:styleId="1058" w:customStyle="1">
    <w:name w:val="批注框文本 Char"/>
    <w:uiPriority w:val="0"/>
    <w:qFormat/>
    <w:rPr>
      <w:rFonts w:eastAsia="楷体_GB2312"/>
      <w:sz w:val="18"/>
      <w:szCs w:val="18"/>
    </w:rPr>
  </w:style>
  <w:style w:type="character" w:styleId="1059" w:customStyle="1">
    <w:name w:val="列出段落 Char"/>
    <w:link w:val="975"/>
    <w:uiPriority w:val="34"/>
    <w:qFormat/>
    <w:rPr>
      <w:rFonts w:ascii="Calibri" w:hAnsi="Calibri" w:cs="宋体"/>
      <w:sz w:val="21"/>
      <w:szCs w:val="22"/>
    </w:rPr>
  </w:style>
  <w:style w:type="paragraph" w:styleId="1060" w:customStyle="1">
    <w:name w:val="_Style 172"/>
    <w:basedOn w:val="724"/>
    <w:next w:val="975"/>
    <w:uiPriority w:val="0"/>
    <w:qFormat/>
    <w:pPr>
      <w:ind w:firstLine="420"/>
      <w:spacing w:line="360" w:lineRule="auto"/>
    </w:pPr>
    <w:rPr>
      <w:rFonts w:cs="Times New Roman"/>
      <w:sz w:val="24"/>
    </w:rPr>
  </w:style>
  <w:style w:type="character" w:styleId="1061" w:customStyle="1">
    <w:name w:val="列表段落 字符"/>
    <w:uiPriority w:val="0"/>
    <w:qFormat/>
    <w:rPr>
      <w:rFonts w:ascii="Calibri" w:hAnsi="Calibri"/>
      <w:sz w:val="24"/>
    </w:rPr>
  </w:style>
  <w:style w:type="paragraph" w:styleId="1062" w:customStyle="1">
    <w:name w:val="Proposals body"/>
    <w:basedOn w:val="724"/>
    <w:next w:val="724"/>
    <w:uiPriority w:val="0"/>
    <w:qFormat/>
    <w:pPr>
      <w:jc w:val="left"/>
      <w:spacing w:line="360" w:lineRule="auto"/>
      <w:widowControl/>
    </w:pPr>
    <w:rPr>
      <w:rFonts w:ascii="宋体" w:hAnsi="Times New Roman" w:cs="Times New Roman"/>
      <w:color w:val="000000"/>
      <w:sz w:val="24"/>
    </w:rPr>
  </w:style>
  <w:style w:type="character" w:styleId="1063" w:customStyle="1">
    <w:name w:val="普通正文 Char"/>
    <w:link w:val="1064"/>
    <w:uiPriority w:val="0"/>
    <w:qFormat/>
    <w:rPr>
      <w:rFonts w:ascii="Arial" w:hAnsi="Arial" w:cs="Arial"/>
      <w:sz w:val="24"/>
      <w:szCs w:val="24"/>
    </w:rPr>
  </w:style>
  <w:style w:type="paragraph" w:styleId="1064" w:customStyle="1">
    <w:name w:val="普通正文"/>
    <w:basedOn w:val="724"/>
    <w:link w:val="1063"/>
    <w:uiPriority w:val="0"/>
    <w:qFormat/>
    <w:pPr>
      <w:ind w:firstLine="480"/>
      <w:jc w:val="left"/>
      <w:spacing w:before="120" w:after="120" w:line="360" w:lineRule="auto"/>
    </w:pPr>
    <w:rPr>
      <w:rFonts w:ascii="Arial" w:hAnsi="Arial" w:cs="Arial"/>
      <w:sz w:val="24"/>
      <w:szCs w:val="24"/>
    </w:rPr>
  </w:style>
  <w:style w:type="paragraph" w:styleId="1065" w:customStyle="1">
    <w:name w:val="*正文"/>
    <w:basedOn w:val="724"/>
    <w:link w:val="1066"/>
    <w:uiPriority w:val="0"/>
    <w:qFormat/>
    <w:rPr>
      <w:rFonts w:ascii="宋体" w:hAnsi="宋体" w:cs="Times New Roman" w:eastAsiaTheme="minorEastAsia"/>
      <w:sz w:val="24"/>
      <w:szCs w:val="24"/>
      <w:lang w:val="zh-CN"/>
    </w:rPr>
  </w:style>
  <w:style w:type="character" w:styleId="1066" w:customStyle="1">
    <w:name w:val="*正文 Char"/>
    <w:link w:val="1065"/>
    <w:uiPriority w:val="0"/>
    <w:qFormat/>
    <w:rPr>
      <w:rFonts w:cs="Times New Roman" w:eastAsiaTheme="minorEastAsia"/>
      <w:sz w:val="24"/>
      <w:szCs w:val="24"/>
      <w:lang w:val="zh-CN"/>
    </w:rPr>
  </w:style>
  <w:style w:type="paragraph" w:styleId="1067" w:customStyle="1">
    <w:name w:val="123标题下的小点"/>
    <w:next w:val="763"/>
    <w:uiPriority w:val="0"/>
    <w:qFormat/>
    <w:pPr>
      <w:ind w:left="840" w:hanging="420"/>
      <w:jc w:val="both"/>
      <w:spacing w:line="360" w:lineRule="auto"/>
      <w:widowControl w:val="off"/>
      <w:tabs>
        <w:tab w:val="left" w:pos="840" w:leader="none"/>
      </w:tabs>
    </w:pPr>
    <w:rPr>
      <w:rFonts w:hint="default" w:ascii="宋体" w:hAnsi="Times New Roman" w:eastAsia="宋体" w:cs="Times New Roman"/>
      <w:sz w:val="21"/>
      <w:lang w:val="en-US" w:eastAsia="zh-CN" w:bidi="ar-SA"/>
    </w:rPr>
  </w:style>
  <w:style w:type="character" w:styleId="1068" w:customStyle="1">
    <w:name w:val="文档结构图 字符1"/>
    <w:uiPriority w:val="0"/>
    <w:qFormat/>
    <w:rPr>
      <w:sz w:val="21"/>
      <w:shd w:val="clear" w:color="auto" w:fill="000080"/>
    </w:rPr>
  </w:style>
  <w:style w:type="paragraph" w:styleId="1069" w:customStyle="1">
    <w:name w:val="首行缩进"/>
    <w:basedOn w:val="724"/>
    <w:uiPriority w:val="0"/>
    <w:qFormat/>
    <w:pPr>
      <w:ind w:firstLine="480"/>
    </w:pPr>
    <w:rPr>
      <w:rFonts w:ascii="Times New Roman" w:hAnsi="Times New Roman" w:cs="Times New Roman"/>
      <w:lang w:val="zh-CN"/>
    </w:rPr>
  </w:style>
  <w:style w:type="paragraph" w:styleId="1070" w:customStyle="1">
    <w:name w:val="Plain Text2"/>
    <w:basedOn w:val="724"/>
    <w:uiPriority w:val="99"/>
    <w:qFormat/>
    <w:rPr>
      <w:rFonts w:hAnsi="Verdana" w:eastAsia="2OcuAe" w:cs="Times New Roman"/>
      <w:sz w:val="28"/>
    </w:rPr>
  </w:style>
  <w:style w:type="paragraph" w:styleId="1071" w:customStyle="1">
    <w:name w:val="my正文"/>
    <w:basedOn w:val="724"/>
    <w:uiPriority w:val="0"/>
    <w:qFormat/>
    <w:pPr>
      <w:ind w:firstLine="480"/>
      <w:spacing w:line="360" w:lineRule="auto"/>
    </w:pPr>
    <w:rPr>
      <w:rFonts w:ascii="Times New Roman" w:hAnsi="Times New Roman" w:cs="Times New Roman"/>
      <w:sz w:val="24"/>
    </w:rPr>
  </w:style>
  <w:style w:type="paragraph" w:styleId="1072" w:customStyle="1">
    <w:name w:val="招标书正文"/>
    <w:basedOn w:val="724"/>
    <w:uiPriority w:val="0"/>
    <w:qFormat/>
    <w:pPr>
      <w:jc w:val="left"/>
      <w:spacing w:line="300" w:lineRule="auto"/>
      <w:widowControl/>
    </w:pPr>
    <w:rPr>
      <w:sz w:val="24"/>
      <w:szCs w:val="24"/>
    </w:rPr>
  </w:style>
  <w:style w:type="paragraph" w:styleId="1073" w:customStyle="1">
    <w:name w:val="_Style 622"/>
    <w:basedOn w:val="724"/>
    <w:next w:val="975"/>
    <w:uiPriority w:val="99"/>
    <w:qFormat/>
    <w:pPr>
      <w:ind w:firstLine="420"/>
    </w:pPr>
    <w:rPr>
      <w:rFonts w:ascii="Times New Roman" w:hAnsi="Times New Roman" w:cs="Times New Roman"/>
    </w:rPr>
  </w:style>
  <w:style w:type="character" w:styleId="1074" w:customStyle="1">
    <w:name w:val="方案正文 Char"/>
    <w:link w:val="1075"/>
    <w:uiPriority w:val="0"/>
    <w:qFormat/>
    <w:rPr>
      <w:sz w:val="24"/>
    </w:rPr>
  </w:style>
  <w:style w:type="paragraph" w:styleId="1075" w:customStyle="1">
    <w:name w:val="方案正文"/>
    <w:basedOn w:val="724"/>
    <w:link w:val="1074"/>
    <w:uiPriority w:val="0"/>
    <w:qFormat/>
    <w:pPr>
      <w:spacing w:line="440" w:lineRule="atLeast"/>
    </w:pPr>
    <w:rPr>
      <w:rFonts w:ascii="宋体" w:hAnsi="宋体"/>
      <w:sz w:val="24"/>
    </w:rPr>
  </w:style>
  <w:style w:type="character" w:styleId="1076" w:customStyle="1">
    <w:name w:val="列出段落 字符"/>
    <w:link w:val="982"/>
    <w:uiPriority w:val="34"/>
    <w:qFormat/>
    <w:rPr>
      <w:rFonts w:ascii="Calibri" w:hAnsi="Calibri"/>
      <w:sz w:val="21"/>
    </w:rPr>
  </w:style>
  <w:style w:type="paragraph" w:styleId="1077" w:customStyle="1">
    <w:name w:val="_正文"/>
    <w:basedOn w:val="724"/>
    <w:uiPriority w:val="0"/>
    <w:qFormat/>
    <w:pPr>
      <w:ind w:firstLine="200"/>
      <w:spacing w:line="360" w:lineRule="auto"/>
    </w:pPr>
    <w:rPr>
      <w:sz w:val="24"/>
      <w:szCs w:val="24"/>
    </w:rPr>
  </w:style>
  <w:style w:type="paragraph" w:styleId="1078" w:customStyle="1">
    <w:name w:val="可研正文"/>
    <w:basedOn w:val="724"/>
    <w:uiPriority w:val="0"/>
    <w:qFormat/>
    <w:pPr>
      <w:ind w:firstLine="200"/>
      <w:spacing w:line="360" w:lineRule="auto"/>
    </w:pPr>
    <w:rPr>
      <w:rFonts w:ascii="仿宋" w:hAnsi="仿宋" w:eastAsia="仿宋"/>
      <w:sz w:val="28"/>
      <w:szCs w:val="28"/>
    </w:rPr>
  </w:style>
  <w:style w:type="paragraph" w:styleId="1079" w:customStyle="1">
    <w:name w:val="标准正文"/>
    <w:basedOn w:val="724"/>
    <w:uiPriority w:val="0"/>
    <w:qFormat/>
    <w:pPr>
      <w:ind w:firstLine="480"/>
      <w:spacing w:before="156" w:after="156" w:line="360" w:lineRule="auto"/>
    </w:pPr>
    <w:rPr>
      <w:rFonts w:ascii="Times New Roman" w:hAnsi="Times New Roman"/>
      <w:sz w:val="24"/>
    </w:rPr>
  </w:style>
  <w:style w:type="paragraph" w:styleId="1080" w:customStyle="1">
    <w:name w:val="正文_0_0_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1" w:customStyle="1">
    <w:name w:val="纯文本10"/>
    <w:basedOn w:val="724"/>
    <w:uiPriority w:val="0"/>
    <w:qFormat/>
    <w:pPr>
      <w:spacing w:line="400" w:lineRule="exact"/>
    </w:pPr>
    <w:rPr>
      <w:rFonts w:hint="eastAsia" w:ascii="宋体" w:hAnsi="Courier New" w:eastAsia="楷体_GB2312"/>
      <w:sz w:val="28"/>
    </w:rPr>
  </w:style>
  <w:style w:type="paragraph" w:styleId="1082" w:customStyle="1">
    <w:name w:val="Body text|2"/>
    <w:basedOn w:val="724"/>
    <w:uiPriority w:val="0"/>
    <w:qFormat/>
    <w:pPr>
      <w:ind w:firstLine="400"/>
      <w:spacing w:line="480" w:lineRule="auto"/>
    </w:pPr>
    <w:rPr>
      <w:rFonts w:ascii="宋体" w:hAnsi="宋体"/>
      <w:sz w:val="22"/>
      <w:szCs w:val="22"/>
      <w:lang w:val="zh-TW" w:eastAsia="zh-TW" w:bidi="zh-TW"/>
    </w:rPr>
  </w:style>
  <w:style w:type="character" w:styleId="1083" w:customStyle="1">
    <w:name w:val="标题 1 字符"/>
    <w:link w:val="725"/>
    <w:uiPriority w:val="0"/>
    <w:qFormat/>
    <w:rPr>
      <w:rFonts w:eastAsia="楷体_GB2312"/>
      <w:b/>
      <w:sz w:val="44"/>
      <w:szCs w:val="20"/>
    </w:rPr>
  </w:style>
  <w:style w:type="numbering" w:styleId="10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FFC5634-3AFF-4CE0-B395-C942724DED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zckz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86188</dc:creator>
  <cp:lastModifiedBy>汪长春</cp:lastModifiedBy>
  <cp:revision>10</cp:revision>
  <dcterms:created xsi:type="dcterms:W3CDTF">2023-09-18T05:16:00Z</dcterms:created>
  <dcterms:modified xsi:type="dcterms:W3CDTF">2026-08-17T06:18:57Z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57FB89BF23EE413BB06B555E04CB26FB_13</vt:lpwstr>
  </property>
  <property fmtid="{D5CDD505-2E9C-101B-9397-08002B2CF9AE}" pid="4" name="KSOTemplateDocerSaveRecord">
    <vt:lpwstr>eyJoZGlkIjoiMDRjNmQxM2EwZWQ5NWY2MWY3N2UxMGRlYmM5MmY4ODEiLCJ1c2VySWQiOiIxMDU0NTE5ODYzIn0=</vt:lpwstr>
  </property>
</Properties>
</file>