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hint="eastAsia" w:ascii="宋体" w:hAnsi="宋体" w:eastAsia="宋体" w:cs="宋体"/>
          <w:b/>
          <w:spacing w:val="76"/>
          <w:sz w:val="15"/>
          <w:szCs w:val="15"/>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76"/>
          <w:sz w:val="15"/>
          <w:szCs w:val="15"/>
          <w:lang w:eastAsia="zh-CN"/>
        </w:rPr>
      </w:r>
      <w:r/>
    </w:p>
    <w:p>
      <w:pPr>
        <w:jc w:val="center"/>
        <w:spacing w:after="0" w:line="360" w:lineRule="auto"/>
        <w:rPr>
          <w:rFonts w:hint="eastAsia" w:ascii="宋体" w:hAnsi="宋体" w:eastAsia="宋体" w:cs="宋体"/>
          <w:b w:val="0"/>
          <w:bCs/>
          <w:spacing w:val="76"/>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pacing w:val="76"/>
          <w:sz w:val="36"/>
          <w:szCs w:val="36"/>
          <w:lang w:eastAsia="zh-CN"/>
        </w:rPr>
      </w:r>
      <w:r/>
    </w:p>
    <w:p>
      <w:pPr>
        <w:jc w:val="center"/>
        <w:spacing w:after="0" w:line="360" w:lineRule="auto"/>
        <w:rPr>
          <w:rFonts w:hint="eastAsia" w:ascii="宋体" w:hAnsi="宋体" w:eastAsia="宋体" w:cs="宋体"/>
          <w:b w:val="0"/>
          <w:bCs/>
          <w:spacing w:val="76"/>
          <w:sz w:val="18"/>
          <w:szCs w:val="1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pacing w:val="76"/>
          <w:sz w:val="18"/>
          <w:szCs w:val="18"/>
          <w:lang w:eastAsia="zh-CN"/>
        </w:rPr>
      </w:r>
      <w:r/>
    </w:p>
    <w:p>
      <w:pPr>
        <w:jc w:val="center"/>
        <w:spacing w:after="0" w:line="360" w:lineRule="auto"/>
        <w:rPr>
          <w:rFonts w:hint="eastAsia" w:ascii="黑体" w:hAnsi="黑体" w:eastAsia="黑体" w:cs="黑体"/>
          <w:b/>
          <w:sz w:val="144"/>
          <w:szCs w:val="1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pacing w:val="76"/>
          <w:sz w:val="112"/>
          <w:szCs w:val="112"/>
          <w:lang w:eastAsia="zh-CN"/>
        </w:rPr>
        <w:t xml:space="preserve">招</w:t>
      </w:r>
      <w:r>
        <w:rPr>
          <w:rFonts w:hint="eastAsia" w:ascii="宋体" w:hAnsi="宋体" w:eastAsia="宋体" w:cs="宋体"/>
          <w:b w:val="0"/>
          <w:bCs/>
          <w:spacing w:val="76"/>
          <w:sz w:val="112"/>
          <w:szCs w:val="112"/>
          <w:lang w:val="en-US" w:eastAsia="zh-CN"/>
        </w:rPr>
        <w:t xml:space="preserve"> </w:t>
      </w:r>
      <w:r>
        <w:rPr>
          <w:rFonts w:hint="eastAsia" w:ascii="宋体" w:hAnsi="宋体" w:eastAsia="宋体" w:cs="宋体"/>
          <w:b w:val="0"/>
          <w:bCs/>
          <w:spacing w:val="76"/>
          <w:sz w:val="112"/>
          <w:szCs w:val="112"/>
          <w:lang w:eastAsia="zh-CN"/>
        </w:rPr>
        <w:t xml:space="preserve">标</w:t>
      </w:r>
      <w:r>
        <w:rPr>
          <w:rFonts w:hint="eastAsia" w:ascii="宋体" w:hAnsi="宋体" w:eastAsia="宋体" w:cs="宋体"/>
          <w:b w:val="0"/>
          <w:bCs/>
          <w:spacing w:val="76"/>
          <w:sz w:val="112"/>
          <w:szCs w:val="112"/>
          <w:lang w:val="en-US" w:eastAsia="zh-CN"/>
        </w:rPr>
        <w:t xml:space="preserve"> </w:t>
      </w:r>
      <w:r>
        <w:rPr>
          <w:rFonts w:hint="eastAsia" w:ascii="宋体" w:hAnsi="宋体" w:eastAsia="宋体" w:cs="宋体"/>
          <w:b w:val="0"/>
          <w:bCs/>
          <w:spacing w:val="76"/>
          <w:sz w:val="112"/>
          <w:szCs w:val="112"/>
          <w:lang w:eastAsia="zh-CN"/>
        </w:rPr>
        <w:t xml:space="preserve">文</w:t>
      </w:r>
      <w:r>
        <w:rPr>
          <w:rFonts w:hint="eastAsia" w:ascii="宋体" w:hAnsi="宋体" w:eastAsia="宋体" w:cs="宋体"/>
          <w:b w:val="0"/>
          <w:bCs/>
          <w:spacing w:val="76"/>
          <w:sz w:val="112"/>
          <w:szCs w:val="112"/>
          <w:lang w:val="en-US" w:eastAsia="zh-CN"/>
        </w:rPr>
        <w:t xml:space="preserve"> </w:t>
      </w:r>
      <w:r>
        <w:rPr>
          <w:rFonts w:hint="eastAsia" w:ascii="宋体" w:hAnsi="宋体" w:eastAsia="宋体" w:cs="宋体"/>
          <w:b w:val="0"/>
          <w:bCs/>
          <w:spacing w:val="76"/>
          <w:sz w:val="112"/>
          <w:szCs w:val="112"/>
          <w:lang w:eastAsia="zh-CN"/>
        </w:rPr>
        <w:t xml:space="preserve">件</w:t>
      </w:r>
      <w:r/>
    </w:p>
    <w:p>
      <w:pPr>
        <w:jc w:val="both"/>
        <w:spacing w:after="0" w:line="500" w:lineRule="exac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r>
      <w:r/>
    </w:p>
    <w:p>
      <w:pPr>
        <w:ind w:left="0" w:firstLine="1323"/>
        <w:rPr>
          <w:rFonts w:hint="eastAsia" w:ascii="宋体" w:hAnsi="宋体" w:eastAsia="宋体" w:cs="宋体"/>
          <w:b/>
          <w:bCs/>
          <w:sz w:val="36"/>
          <w:szCs w:val="36"/>
          <w:lang w:val="en-US" w:eastAsia="zh-CN"/>
        </w:rPr>
        <w:outlineLvl w:val="0"/>
      </w:pPr>
      <w:r/>
      <w:bookmarkStart w:id="0" w:name="_Toc7378"/>
      <w:r/>
      <w:bookmarkStart w:id="1" w:name="_Toc29507"/>
      <w:r/>
      <w:r/>
    </w:p>
    <w:p>
      <w:pPr>
        <w:ind w:left="0" w:firstLine="1323"/>
        <w:rPr>
          <w:rFonts w:hint="eastAsia" w:ascii="宋体" w:hAnsi="宋体" w:eastAsia="宋体" w:cs="宋体"/>
          <w:b/>
          <w:bCs/>
          <w:sz w:val="36"/>
          <w:szCs w:val="36"/>
          <w:lang w:val="en-US" w:eastAsia="zh-CN"/>
        </w:rPr>
        <w:outlineLvl w:val="0"/>
      </w:pPr>
      <w:r>
        <w:rPr>
          <w:rFonts w:hint="eastAsia" w:ascii="宋体" w:hAnsi="宋体" w:eastAsia="宋体" w:cs="宋体"/>
          <w:b/>
          <w:bCs/>
          <w:sz w:val="36"/>
          <w:szCs w:val="36"/>
          <w:lang w:val="en-US" w:eastAsia="zh-CN"/>
        </w:rPr>
      </w:r>
      <w:r/>
    </w:p>
    <w:p>
      <w:pPr>
        <w:ind w:left="0" w:firstLine="1323"/>
        <w:keepLines w:val="0"/>
        <w:keepNext w:val="0"/>
        <w:pageBreakBefore w:val="0"/>
        <w:spacing w:line="560" w:lineRule="exact"/>
        <w:widowControl/>
        <w:rPr>
          <w:rFonts w:hint="eastAsia" w:ascii="宋体" w:hAnsi="宋体" w:eastAsia="宋体" w:cs="宋体"/>
          <w:b/>
          <w:bCs/>
          <w:sz w:val="36"/>
          <w:szCs w:val="36"/>
          <w:lang w:val="en-US" w:eastAsia="zh-CN"/>
        </w:rPr>
        <w:outlineLvl w:val="0"/>
      </w:pPr>
      <w:r>
        <w:rPr>
          <w:rFonts w:hint="eastAsia" w:ascii="宋体" w:hAnsi="宋体" w:eastAsia="宋体" w:cs="宋体"/>
          <w:b/>
          <w:bCs/>
          <w:sz w:val="36"/>
          <w:szCs w:val="36"/>
          <w:lang w:val="en-US" w:eastAsia="zh-CN"/>
        </w:rPr>
      </w:r>
      <w:r/>
    </w:p>
    <w:p>
      <w:pPr>
        <w:ind w:left="0" w:firstLine="1176"/>
        <w:keepLines w:val="0"/>
        <w:keepNext w:val="0"/>
        <w:pageBreakBefore w:val="0"/>
        <w:spacing w:line="560" w:lineRule="exact"/>
        <w:widowControl/>
        <w:rPr>
          <w:rFonts w:hint="eastAsia" w:ascii="楷体" w:hAnsi="楷体" w:eastAsia="楷体" w:cs="楷体"/>
          <w:b/>
          <w:bCs/>
          <w:sz w:val="40"/>
          <w:szCs w:val="40"/>
          <w:lang w:val="en-US" w:eastAsia="zh-CN"/>
        </w:rPr>
        <w:outlineLvl w:val="0"/>
      </w:pPr>
      <w:r/>
      <w:bookmarkStart w:id="2" w:name="_Toc11046"/>
      <w:r/>
      <w:bookmarkStart w:id="3" w:name="_Toc30403"/>
      <w:r>
        <w:rPr>
          <w:rFonts w:hint="eastAsia" w:ascii="楷体" w:hAnsi="楷体" w:eastAsia="楷体" w:cs="楷体"/>
          <w:b/>
          <w:bCs/>
          <w:sz w:val="40"/>
          <w:szCs w:val="40"/>
          <w:lang w:val="en-US" w:eastAsia="zh-CN"/>
        </w:rPr>
        <w:t xml:space="preserve">项目名称：</w:t>
      </w:r>
      <w:bookmarkEnd w:id="0"/>
      <w:r/>
      <w:bookmarkEnd w:id="1"/>
      <w:r/>
      <w:bookmarkEnd w:id="2"/>
      <w:r/>
      <w:bookmarkEnd w:id="3"/>
      <w:r>
        <w:rPr>
          <w:rFonts w:hint="eastAsia" w:ascii="楷体" w:hAnsi="楷体" w:eastAsia="楷体" w:cs="楷体"/>
          <w:b/>
          <w:bCs/>
          <w:sz w:val="40"/>
          <w:szCs w:val="40"/>
          <w:lang w:val="en-US" w:eastAsia="zh-CN"/>
        </w:rPr>
        <w:t xml:space="preserve">司法辅助事务服务项目</w:t>
      </w:r>
      <w:r/>
    </w:p>
    <w:p>
      <w:pPr>
        <w:ind w:left="0" w:firstLine="1176"/>
        <w:keepLines w:val="0"/>
        <w:keepNext w:val="0"/>
        <w:pageBreakBefore w:val="0"/>
        <w:spacing w:line="560" w:lineRule="exact"/>
        <w:widowControl/>
        <w:rPr>
          <w:rFonts w:hint="eastAsia" w:ascii="楷体" w:hAnsi="楷体" w:eastAsia="楷体" w:cs="楷体"/>
          <w:b/>
          <w:bCs/>
          <w:sz w:val="40"/>
          <w:szCs w:val="40"/>
          <w:lang w:val="en-US" w:eastAsia="zh-CN"/>
        </w:rPr>
        <w:outlineLvl w:val="0"/>
      </w:pPr>
      <w:r/>
      <w:bookmarkStart w:id="4" w:name="_Toc31244"/>
      <w:r/>
      <w:bookmarkStart w:id="5" w:name="_Toc27556"/>
      <w:r/>
      <w:bookmarkStart w:id="6" w:name="_Toc26997"/>
      <w:r/>
      <w:bookmarkStart w:id="7" w:name="_Toc9793"/>
      <w:r>
        <w:rPr>
          <w:rFonts w:hint="eastAsia" w:ascii="楷体" w:hAnsi="楷体" w:eastAsia="楷体" w:cs="楷体"/>
          <w:b/>
          <w:bCs/>
          <w:sz w:val="40"/>
          <w:szCs w:val="40"/>
          <w:lang w:val="en-US" w:eastAsia="zh-CN"/>
        </w:rPr>
        <w:t xml:space="preserve">项目编号：</w:t>
      </w:r>
      <w:bookmarkEnd w:id="4"/>
      <w:r/>
      <w:bookmarkEnd w:id="5"/>
      <w:r/>
      <w:bookmarkEnd w:id="6"/>
      <w:r/>
      <w:bookmarkEnd w:id="7"/>
      <w:r>
        <w:rPr>
          <w:rFonts w:hint="eastAsia" w:ascii="楷体" w:hAnsi="楷体" w:eastAsia="楷体" w:cs="楷体"/>
          <w:b/>
          <w:bCs/>
          <w:sz w:val="40"/>
          <w:szCs w:val="40"/>
          <w:lang w:val="en-US" w:eastAsia="zh-CN"/>
        </w:rPr>
        <w:t xml:space="preserve">JSZC-321281-TZTC-G2026-0007  </w:t>
      </w:r>
      <w:r/>
    </w:p>
    <w:p>
      <w:pPr>
        <w:ind w:left="0" w:firstLine="1176"/>
        <w:keepLines w:val="0"/>
        <w:keepNext w:val="0"/>
        <w:pageBreakBefore w:val="0"/>
        <w:spacing w:line="560" w:lineRule="exact"/>
        <w:widowControl/>
        <w:rPr>
          <w:rFonts w:hint="eastAsia" w:ascii="楷体" w:hAnsi="楷体" w:eastAsia="楷体" w:cs="楷体"/>
          <w:b/>
          <w:bCs/>
          <w:sz w:val="40"/>
          <w:szCs w:val="40"/>
          <w:lang w:val="en-US" w:eastAsia="zh-CN"/>
        </w:rPr>
      </w:pPr>
      <w:r>
        <w:rPr>
          <w:rFonts w:hint="eastAsia" w:ascii="楷体" w:hAnsi="楷体" w:eastAsia="楷体" w:cs="楷体"/>
          <w:b/>
          <w:bCs/>
          <w:sz w:val="40"/>
          <w:szCs w:val="40"/>
          <w:lang w:val="en-US" w:eastAsia="zh-CN"/>
        </w:rPr>
        <w:t xml:space="preserve">招 标 人：兴化市人民法院</w:t>
      </w:r>
      <w:r/>
    </w:p>
    <w:p>
      <w:pPr>
        <w:jc w:val="center"/>
        <w:keepLines w:val="0"/>
        <w:keepNext w:val="0"/>
        <w:pageBreakBefore w:val="0"/>
        <w:spacing w:line="560" w:lineRule="exact"/>
        <w:widowControl/>
        <w:rPr>
          <w:rFonts w:hint="eastAsia" w:ascii="宋体" w:hAnsi="宋体" w:eastAsia="宋体" w:cs="宋体"/>
          <w:b/>
          <w:bCs/>
          <w:sz w:val="32"/>
          <w:szCs w:val="32"/>
          <w:lang w:val="en-US" w:eastAsia="zh-CN"/>
        </w:rPr>
        <w:outlineLvl w:val="0"/>
      </w:pPr>
      <w:r>
        <w:rPr>
          <w:rFonts w:hint="eastAsia" w:ascii="宋体" w:hAnsi="宋体" w:eastAsia="宋体" w:cs="宋体"/>
          <w:b/>
          <w:bCs/>
          <w:sz w:val="32"/>
          <w:szCs w:val="32"/>
          <w:lang w:val="en-US" w:eastAsia="zh-CN"/>
        </w:rPr>
      </w:r>
      <w:r/>
    </w:p>
    <w:p>
      <w:pPr>
        <w:jc w:val="center"/>
        <w:keepLines w:val="0"/>
        <w:keepNext w:val="0"/>
        <w:pageBreakBefore w:val="0"/>
        <w:spacing w:line="560" w:lineRule="exact"/>
        <w:widowControl/>
        <w:rPr>
          <w:rFonts w:hint="eastAsia" w:ascii="宋体" w:hAnsi="宋体" w:eastAsia="宋体" w:cs="宋体"/>
          <w:b/>
          <w:bCs/>
          <w:sz w:val="32"/>
          <w:szCs w:val="32"/>
          <w:lang w:val="en-US" w:eastAsia="zh-CN"/>
        </w:rPr>
        <w:outlineLvl w:val="0"/>
      </w:pPr>
      <w:r>
        <w:rPr>
          <w:rFonts w:hint="eastAsia" w:ascii="宋体" w:hAnsi="宋体" w:eastAsia="宋体" w:cs="宋体"/>
          <w:b/>
          <w:bCs/>
          <w:sz w:val="32"/>
          <w:szCs w:val="32"/>
          <w:lang w:val="en-US" w:eastAsia="zh-CN"/>
        </w:rPr>
      </w:r>
      <w:r/>
    </w:p>
    <w:p>
      <w:pPr>
        <w:jc w:val="center"/>
        <w:keepLines w:val="0"/>
        <w:keepNext w:val="0"/>
        <w:pageBreakBefore w:val="0"/>
        <w:spacing w:line="560" w:lineRule="exact"/>
        <w:widowControl/>
        <w:rPr>
          <w:rFonts w:hint="eastAsia" w:ascii="宋体" w:hAnsi="宋体" w:eastAsia="宋体" w:cs="宋体"/>
          <w:b/>
          <w:bCs/>
          <w:sz w:val="32"/>
          <w:szCs w:val="32"/>
          <w:lang w:val="en-US" w:eastAsia="zh-CN"/>
        </w:rPr>
        <w:outlineLvl w:val="0"/>
      </w:pPr>
      <w:r>
        <w:rPr>
          <w:rFonts w:hint="eastAsia" w:ascii="宋体" w:hAnsi="宋体" w:eastAsia="宋体" w:cs="宋体"/>
          <w:b/>
          <w:bCs/>
          <w:sz w:val="32"/>
          <w:szCs w:val="32"/>
          <w:lang w:val="en-US" w:eastAsia="zh-CN"/>
        </w:rPr>
      </w:r>
      <w:r/>
    </w:p>
    <w:p>
      <w:pPr>
        <w:jc w:val="center"/>
        <w:keepLines w:val="0"/>
        <w:keepNext w:val="0"/>
        <w:pageBreakBefore w:val="0"/>
        <w:spacing w:line="560" w:lineRule="exact"/>
        <w:widowControl/>
        <w:rPr>
          <w:rFonts w:hint="eastAsia" w:ascii="宋体" w:hAnsi="宋体" w:eastAsia="宋体" w:cs="宋体"/>
          <w:b/>
          <w:bCs/>
          <w:sz w:val="32"/>
          <w:szCs w:val="32"/>
          <w:lang w:val="en-US" w:eastAsia="zh-CN"/>
        </w:rPr>
        <w:outlineLvl w:val="0"/>
      </w:pPr>
      <w:r>
        <w:rPr>
          <w:rFonts w:hint="eastAsia" w:ascii="宋体" w:hAnsi="宋体" w:eastAsia="宋体" w:cs="宋体"/>
          <w:b/>
          <w:bCs/>
          <w:sz w:val="32"/>
          <w:szCs w:val="32"/>
          <w:lang w:val="en-US" w:eastAsia="zh-CN"/>
        </w:rPr>
      </w:r>
      <w:r/>
    </w:p>
    <w:p>
      <w:pPr>
        <w:jc w:val="center"/>
        <w:keepLines w:val="0"/>
        <w:keepNext w:val="0"/>
        <w:pageBreakBefore w:val="0"/>
        <w:spacing w:line="560" w:lineRule="exact"/>
        <w:widowControl/>
        <w:rPr>
          <w:rFonts w:hint="eastAsia" w:ascii="宋体" w:hAnsi="宋体" w:eastAsia="宋体" w:cs="宋体"/>
          <w:b/>
          <w:bCs/>
          <w:sz w:val="32"/>
          <w:szCs w:val="32"/>
          <w:lang w:val="en-US" w:eastAsia="zh-CN"/>
        </w:rPr>
        <w:outlineLvl w:val="0"/>
      </w:pPr>
      <w:r>
        <w:rPr>
          <w:rFonts w:hint="eastAsia" w:ascii="宋体" w:hAnsi="宋体" w:eastAsia="宋体" w:cs="宋体"/>
          <w:b/>
          <w:bCs/>
          <w:sz w:val="32"/>
          <w:szCs w:val="32"/>
          <w:lang w:val="en-US" w:eastAsia="zh-CN"/>
        </w:rPr>
        <w:t xml:space="preserve">泰州天诚工程项目管理有限公司</w:t>
      </w:r>
      <w:r/>
    </w:p>
    <w:p>
      <w:pPr>
        <w:jc w:val="center"/>
        <w:rPr>
          <w:rFonts w:hint="eastAsia" w:ascii="黑体" w:eastAsia="黑体"/>
          <w:color w:val="auto"/>
          <w:sz w:val="36"/>
          <w:lang w:val="en-US" w:eastAsia="zh-CN"/>
        </w:rPr>
      </w:pPr>
      <w:r>
        <w:rPr>
          <w:rFonts w:hint="eastAsia" w:ascii="黑体" w:eastAsia="黑体"/>
          <w:color w:val="auto"/>
          <w:sz w:val="36"/>
        </w:rPr>
        <w:t xml:space="preserve">二○二</w:t>
      </w:r>
      <w:r>
        <w:rPr>
          <w:rFonts w:hint="eastAsia" w:ascii="黑体" w:eastAsia="黑体"/>
          <w:color w:val="auto"/>
          <w:sz w:val="36"/>
          <w:lang w:val="en-US" w:eastAsia="zh-CN"/>
        </w:rPr>
        <w:t xml:space="preserve">六</w:t>
      </w:r>
      <w:r>
        <w:rPr>
          <w:rFonts w:hint="eastAsia" w:ascii="黑体" w:eastAsia="黑体"/>
          <w:color w:val="auto"/>
          <w:sz w:val="36"/>
        </w:rPr>
        <w:t xml:space="preserve">年</w:t>
      </w:r>
      <w:r>
        <w:rPr>
          <w:rFonts w:hint="eastAsia" w:ascii="黑体" w:eastAsia="黑体"/>
          <w:color w:val="auto"/>
          <w:sz w:val="36"/>
          <w:lang w:val="en-US" w:eastAsia="zh-CN"/>
        </w:rPr>
        <w:t xml:space="preserve">八月</w:t>
      </w:r>
      <w:r/>
    </w:p>
    <w:p>
      <w:pPr>
        <w:jc w:val="center"/>
        <w:rPr>
          <w:rFonts w:hint="eastAsia" w:ascii="黑体" w:eastAsia="黑体"/>
          <w:color w:val="auto"/>
          <w:sz w:val="36"/>
          <w:lang w:val="en-US" w:eastAsia="zh-CN"/>
        </w:rPr>
        <w:sectPr>
          <w:headerReference w:type="default" r:id="rId9"/>
          <w:footerReference w:type="default" r:id="rId12"/>
          <w:footnotePr/>
          <w:endnotePr/>
          <w:type w:val="nextPage"/>
          <w:pgSz w:w="11906" w:h="16838" w:orient="portrait"/>
          <w:pgMar w:top="1221" w:right="1332" w:bottom="1440" w:left="1552" w:header="851" w:footer="772" w:gutter="0"/>
          <w:cols w:num="1" w:sep="0" w:space="425" w:equalWidth="1"/>
          <w:docGrid w:linePitch="360"/>
          <w:titlePg/>
        </w:sectPr>
      </w:pPr>
      <w:r>
        <w:rPr>
          <w:rFonts w:hint="eastAsia" w:ascii="黑体" w:eastAsia="黑体"/>
          <w:color w:val="auto"/>
          <w:sz w:val="36"/>
          <w:lang w:val="en-US" w:eastAsia="zh-CN"/>
        </w:rPr>
      </w:r>
      <w:r/>
    </w:p>
    <w:p>
      <w:pPr>
        <w:jc w:val="center"/>
        <w:keepLines w:val="0"/>
        <w:keepNext w:val="0"/>
        <w:pageBreakBefore w:val="0"/>
        <w:spacing w:before="400"/>
        <w:widowControl/>
        <w:rPr>
          <w:rFonts w:hint="eastAsia" w:ascii="仿宋" w:hAnsi="仿宋" w:eastAsia="仿宋" w:cs="仿宋"/>
          <w:sz w:val="36"/>
          <w:szCs w:val="36"/>
          <w:lang w:eastAsia="zh-CN"/>
        </w:rPr>
      </w:pPr>
      <w:r>
        <w:rPr>
          <w:rFonts w:hint="eastAsia" w:ascii="仿宋" w:hAnsi="仿宋" w:eastAsia="仿宋" w:cs="仿宋"/>
          <w:b/>
          <w:sz w:val="44"/>
          <w:szCs w:val="44"/>
          <w:lang w:eastAsia="zh-CN"/>
        </w:rPr>
        <w:t xml:space="preserve">目 录</w:t>
      </w:r>
      <w:r/>
    </w:p>
    <w:sdt>
      <w:sdtPr>
        <w15:appearance w15:val="boundingBox"/>
        <w15:color w:val="dbdbdb"/>
        <w:id w:val="147451494"/>
        <w:docPartObj>
          <w:docPartGallery w:val="Table of Contents"/>
          <w:docPartUnique w:val="true"/>
        </w:docPartObj>
        <w:rPr>
          <w:rFonts w:hint="eastAsia" w:ascii="仿宋" w:hAnsi="仿宋" w:eastAsia="仿宋" w:cs="仿宋"/>
          <w:sz w:val="30"/>
          <w:szCs w:val="30"/>
          <w:lang w:eastAsia="en-US"/>
        </w:rPr>
      </w:sdtPr>
      <w:sdtContent>
        <w:p>
          <w:pPr>
            <w:ind w:left="0" w:right="0" w:firstLine="0"/>
            <w:jc w:val="both"/>
            <w:spacing w:before="0" w:after="0" w:line="240" w:lineRule="auto"/>
            <w:rPr>
              <w:rFonts w:hint="eastAsia" w:ascii="仿宋" w:hAnsi="仿宋" w:eastAsia="仿宋" w:cs="仿宋"/>
              <w:b/>
              <w:bCs/>
              <w:sz w:val="30"/>
              <w:szCs w:val="30"/>
              <w:lang w:eastAsia="en-US"/>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TOC \o "1-1" \h \u </w:instrText>
          </w:r>
          <w:r>
            <w:rPr>
              <w:rFonts w:hint="eastAsia" w:ascii="仿宋" w:hAnsi="仿宋" w:eastAsia="仿宋" w:cs="仿宋"/>
              <w:b/>
              <w:bCs/>
              <w:sz w:val="30"/>
              <w:szCs w:val="30"/>
            </w:rPr>
            <w:fldChar w:fldCharType="separate"/>
          </w:r>
          <w:r/>
        </w:p>
        <w:p>
          <w:pPr>
            <w:pStyle w:val="885"/>
            <w:keepLines w:val="0"/>
            <w:keepNext w:val="0"/>
            <w:pageBreakBefore w:val="0"/>
            <w:spacing w:line="600" w:lineRule="exact"/>
            <w:widowControl/>
            <w:tabs>
              <w:tab w:val="right" w:pos="8580"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_Toc5002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eastAsia="zh-CN"/>
            </w:rPr>
            <w:t xml:space="preserve">第一章 </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lang w:eastAsia="zh-CN"/>
            </w:rPr>
            <w:t xml:space="preserve">投标邀请</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_Toc5002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1</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885"/>
            <w:keepLines w:val="0"/>
            <w:keepNext w:val="0"/>
            <w:pageBreakBefore w:val="0"/>
            <w:spacing w:line="600" w:lineRule="exact"/>
            <w:widowControl/>
            <w:tabs>
              <w:tab w:val="right" w:pos="8580"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_Toc22987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eastAsia="zh-CN"/>
            </w:rPr>
            <w:t xml:space="preserve">第二章  投标人须知</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_Toc22987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4</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885"/>
            <w:keepLines w:val="0"/>
            <w:keepNext w:val="0"/>
            <w:pageBreakBefore w:val="0"/>
            <w:spacing w:line="600" w:lineRule="exact"/>
            <w:widowControl/>
            <w:tabs>
              <w:tab w:val="right" w:pos="8580"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_Toc27724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val="en-US" w:eastAsia="zh-CN"/>
            </w:rPr>
            <w:t xml:space="preserve">第三章  </w:t>
          </w:r>
          <w:r>
            <w:rPr>
              <w:rFonts w:hint="eastAsia" w:ascii="仿宋" w:hAnsi="仿宋" w:eastAsia="仿宋" w:cs="仿宋"/>
              <w:b/>
              <w:bCs/>
              <w:sz w:val="36"/>
              <w:szCs w:val="36"/>
              <w:lang w:eastAsia="zh-CN"/>
            </w:rPr>
            <w:t xml:space="preserve">合同文本</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_Toc27724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15</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885"/>
            <w:keepLines w:val="0"/>
            <w:keepNext w:val="0"/>
            <w:pageBreakBefore w:val="0"/>
            <w:spacing w:line="600" w:lineRule="exact"/>
            <w:widowControl/>
            <w:tabs>
              <w:tab w:val="right" w:pos="8580"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_Toc4017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val="en-US" w:eastAsia="zh-CN"/>
            </w:rPr>
            <w:t xml:space="preserve">第四章  采购需求</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_Toc4017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19</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885"/>
            <w:keepLines w:val="0"/>
            <w:keepNext w:val="0"/>
            <w:pageBreakBefore w:val="0"/>
            <w:spacing w:line="600" w:lineRule="exact"/>
            <w:widowControl/>
            <w:tabs>
              <w:tab w:val="right" w:pos="8580" w:leader="dot"/>
            </w:tabs>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_Toc13801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val="en-US" w:eastAsia="zh-CN"/>
            </w:rPr>
            <w:t xml:space="preserve">第五章  评标方法与评标标准</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_Toc13801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29</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pStyle w:val="885"/>
            <w:keepLines w:val="0"/>
            <w:keepNext w:val="0"/>
            <w:pageBreakBefore w:val="0"/>
            <w:spacing w:line="600" w:lineRule="exact"/>
            <w:widowControl/>
            <w:tabs>
              <w:tab w:val="right" w:pos="8580" w:leader="dot"/>
            </w:tabs>
            <w:rPr>
              <w:rFonts w:hint="eastAsia" w:ascii="仿宋" w:hAnsi="仿宋" w:eastAsia="仿宋" w:cs="仿宋"/>
              <w:b/>
              <w:bCs/>
              <w:sz w:val="36"/>
              <w:szCs w:val="36"/>
              <w:lang w:val="en-US" w:eastAsia="zh-CN"/>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HYPERLINK \l _Toc18027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lang w:val="en-US" w:eastAsia="zh-CN"/>
            </w:rPr>
            <w:t xml:space="preserve">第六章  </w:t>
          </w:r>
          <w:r>
            <w:rPr>
              <w:rFonts w:hint="eastAsia" w:ascii="仿宋" w:hAnsi="仿宋" w:eastAsia="仿宋" w:cs="仿宋"/>
              <w:b/>
              <w:bCs/>
              <w:sz w:val="36"/>
              <w:szCs w:val="36"/>
            </w:rPr>
            <w:t xml:space="preserve">投标文件相关格式</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_Toc18027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 xml:space="preserve">32</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r/>
        </w:p>
        <w:p>
          <w:pPr>
            <w:ind w:left="0" w:right="0" w:firstLine="0"/>
            <w:jc w:val="both"/>
            <w:spacing w:before="0" w:after="0" w:line="240" w:lineRule="auto"/>
          </w:pPr>
          <w:r>
            <w:rPr>
              <w:rFonts w:hint="eastAsia" w:ascii="仿宋" w:hAnsi="仿宋" w:eastAsia="仿宋" w:cs="仿宋"/>
              <w:b/>
              <w:bCs/>
              <w:sz w:val="30"/>
              <w:szCs w:val="30"/>
            </w:rPr>
            <w:fldChar w:fldCharType="end"/>
          </w:r>
          <w:r/>
        </w:p>
      </w:sdtContent>
    </w:sdt>
    <w:p>
      <w:r/>
      <w:r/>
    </w:p>
    <w:p>
      <w:r/>
      <w:r/>
    </w:p>
    <w:p>
      <w:pPr>
        <w:jc w:val="center"/>
        <w:spacing w:after="0" w:line="500" w:lineRule="exac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lang w:eastAsia="zh-CN"/>
        </w:rPr>
        <w:t xml:space="preserve"> </w:t>
      </w:r>
      <w:r/>
    </w:p>
    <w:p>
      <w:pPr>
        <w:jc w:val="right"/>
        <w:rPr>
          <w:rFonts w:hint="eastAsia" w:ascii="黑体" w:eastAsia="黑体"/>
          <w:color w:val="auto"/>
          <w:sz w:val="36"/>
          <w:lang w:eastAsia="zh-CN"/>
        </w:rPr>
      </w:pPr>
      <w:r>
        <w:rPr>
          <w:rFonts w:hint="eastAsia" w:ascii="黑体" w:eastAsia="黑体"/>
          <w:color w:val="auto"/>
          <w:sz w:val="36"/>
          <w:lang w:eastAsia="zh-CN"/>
        </w:rPr>
      </w:r>
      <w:r/>
    </w:p>
    <w:p>
      <w:pPr>
        <w:jc w:val="center"/>
        <w:rPr>
          <w:rFonts w:hint="eastAsia" w:ascii="黑体" w:eastAsia="黑体"/>
          <w:color w:val="auto"/>
          <w:sz w:val="36"/>
          <w:lang w:eastAsia="zh-CN"/>
        </w:rPr>
      </w:pPr>
      <w:r>
        <w:rPr>
          <w:rFonts w:hint="eastAsia" w:ascii="黑体" w:eastAsia="黑体"/>
          <w:color w:val="auto"/>
          <w:sz w:val="36"/>
          <w:lang w:eastAsia="zh-CN"/>
        </w:rPr>
      </w:r>
      <w:r/>
    </w:p>
    <w:p>
      <w:pPr>
        <w:jc w:val="center"/>
        <w:rPr>
          <w:rFonts w:hint="eastAsia" w:ascii="黑体" w:eastAsia="黑体"/>
          <w:color w:val="auto"/>
          <w:sz w:val="36"/>
          <w:lang w:eastAsia="zh-CN"/>
        </w:rPr>
      </w:pPr>
      <w:r>
        <w:rPr>
          <w:rFonts w:hint="eastAsia" w:ascii="黑体" w:eastAsia="黑体"/>
          <w:color w:val="auto"/>
          <w:sz w:val="36"/>
          <w:lang w:eastAsia="zh-CN"/>
        </w:rPr>
      </w:r>
      <w:r/>
    </w:p>
    <w:p>
      <w:pPr>
        <w:pStyle w:val="856"/>
        <w:keepLines/>
        <w:keepNext/>
        <w:pageBreakBefore/>
        <w:spacing w:before="400" w:after="160" w:line="400" w:lineRule="exact"/>
        <w:widowControl/>
        <w:rPr>
          <w:rFonts w:hint="eastAsia" w:ascii="宋体" w:hAnsi="宋体" w:eastAsia="宋体" w:cs="宋体"/>
          <w:lang w:eastAsia="zh-CN"/>
        </w:rPr>
        <w:sectPr>
          <w:headerReference w:type="default" r:id="rId10"/>
          <w:headerReference w:type="first" r:id="rId11"/>
          <w:footerReference w:type="default" r:id="rId13"/>
          <w:footerReference w:type="first" r:id="rId14"/>
          <w:footnotePr/>
          <w:endnotePr/>
          <w:type w:val="nextPage"/>
          <w:pgSz w:w="11906" w:h="16838" w:orient="portrait"/>
          <w:pgMar w:top="1440" w:right="1526" w:bottom="1440" w:left="1800" w:header="851" w:footer="992" w:gutter="0"/>
          <w:pgNumType w:start="1"/>
          <w:cols w:num="1" w:sep="0" w:space="425" w:equalWidth="1"/>
          <w:docGrid w:linePitch="360"/>
        </w:sectPr>
      </w:pPr>
      <w:r/>
      <w:bookmarkStart w:id="8" w:name="_Toc5002"/>
      <w:r/>
      <w:bookmarkStart w:id="9" w:name="_Toc32155"/>
      <w:r/>
      <w:r/>
    </w:p>
    <w:p>
      <w:pPr>
        <w:pStyle w:val="856"/>
        <w:keepLines/>
        <w:keepNext/>
        <w:pageBreakBefore/>
        <w:spacing w:before="400" w:after="160" w:line="400" w:lineRule="exact"/>
        <w:widowControl/>
        <w:rPr>
          <w:rFonts w:hint="eastAsia" w:ascii="宋体" w:hAnsi="宋体" w:eastAsia="宋体" w:cs="宋体"/>
          <w:lang w:eastAsia="zh-CN"/>
        </w:rPr>
      </w:pPr>
      <w:r>
        <w:rPr>
          <w:rFonts w:hint="eastAsia" w:ascii="宋体" w:hAnsi="宋体" w:eastAsia="宋体" w:cs="宋体"/>
          <w:lang w:eastAsia="zh-CN"/>
        </w:rPr>
        <w:t xml:space="preserve">第一章 投标邀请</w:t>
      </w:r>
      <w:bookmarkEnd w:id="8"/>
      <w:r/>
      <w:bookmarkEnd w:id="9"/>
      <w:r/>
      <w:r/>
    </w:p>
    <w:p>
      <w:pPr>
        <w:ind w:firstLine="480"/>
        <w:jc w:val="left"/>
        <w:keepLines w:val="0"/>
        <w:keepNext w:val="0"/>
        <w:pageBreakBefore w:val="0"/>
        <w:spacing w:after="0" w:line="360" w:lineRule="auto"/>
        <w:widowControl/>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受兴化市人民法院的委托，泰州天诚工程项目管理有限公司</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以下简称：泰州天诚</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就</w:t>
      </w:r>
      <w:r>
        <w:rPr>
          <w:rFonts w:hint="eastAsia" w:ascii="宋体" w:hAnsi="宋体" w:eastAsia="宋体" w:cs="宋体"/>
          <w:sz w:val="24"/>
          <w:szCs w:val="24"/>
          <w:lang w:eastAsia="zh-CN"/>
        </w:rPr>
        <w:t xml:space="preserve">兴化市人民法院司法辅助事务服务项目</w:t>
      </w:r>
      <w:r>
        <w:rPr>
          <w:rFonts w:hint="eastAsia" w:ascii="宋体" w:hAnsi="宋体" w:eastAsia="宋体" w:cs="宋体"/>
          <w:sz w:val="24"/>
          <w:szCs w:val="24"/>
          <w:lang w:val="en-US" w:eastAsia="zh-CN"/>
        </w:rPr>
        <w:t xml:space="preserve">（JSZC-321281-TZTC-G2026-0007)进行公开招标采购，欢迎符合条件的供应商投标。</w:t>
      </w:r>
      <w:r/>
    </w:p>
    <w:p>
      <w:pPr>
        <w:ind w:firstLine="480"/>
        <w:jc w:val="both"/>
        <w:spacing w:after="0" w:line="360" w:lineRule="auto"/>
        <w:rPr>
          <w:rFonts w:hint="eastAsia" w:ascii="宋体" w:hAnsi="宋体" w:eastAsia="宋体" w:cs="宋体"/>
          <w:sz w:val="24"/>
          <w:szCs w:val="24"/>
          <w:lang w:val="en-US" w:eastAsia="zh-CN"/>
        </w:rPr>
        <w:pBdr>
          <w:top w:val="single" w:color="auto" w:sz="6" w:space="1"/>
          <w:left w:val="single" w:color="auto" w:sz="6" w:space="4"/>
          <w:bottom w:val="single" w:color="auto" w:sz="6" w:space="1"/>
          <w:right w:val="single" w:color="auto" w:sz="6" w:space="4"/>
          <w:between w:val="none" w:color="auto" w:sz="0" w:space="0"/>
        </w:pBdr>
      </w:pPr>
      <w:r>
        <w:rPr>
          <w:rFonts w:hint="eastAsia" w:ascii="宋体" w:hAnsi="宋体" w:eastAsia="宋体" w:cs="宋体"/>
          <w:sz w:val="24"/>
          <w:szCs w:val="24"/>
          <w:lang w:val="en-US" w:eastAsia="zh-CN"/>
        </w:rPr>
        <w:t xml:space="preserve">项目概况</w:t>
      </w:r>
      <w:r/>
    </w:p>
    <w:p>
      <w:pPr>
        <w:ind w:firstLine="480"/>
        <w:jc w:val="both"/>
        <w:spacing w:after="0" w:line="360" w:lineRule="auto"/>
        <w:rPr>
          <w:rFonts w:hint="eastAsia" w:ascii="宋体" w:hAnsi="宋体" w:eastAsia="宋体" w:cs="宋体"/>
          <w:sz w:val="24"/>
          <w:szCs w:val="24"/>
          <w:u w:val="none"/>
          <w:lang w:val="en-US" w:eastAsia="zh-CN"/>
        </w:rPr>
        <w:pBdr>
          <w:top w:val="single" w:color="auto" w:sz="6" w:space="1"/>
          <w:left w:val="single" w:color="auto" w:sz="6" w:space="4"/>
          <w:bottom w:val="single" w:color="auto" w:sz="6" w:space="1"/>
          <w:right w:val="single" w:color="auto" w:sz="6" w:space="4"/>
          <w:between w:val="none" w:color="auto" w:sz="0" w:space="0"/>
        </w:pBdr>
      </w:pPr>
      <w:r>
        <w:rPr>
          <w:rFonts w:hint="eastAsia" w:ascii="宋体" w:hAnsi="宋体" w:eastAsia="宋体" w:cs="宋体"/>
          <w:sz w:val="24"/>
          <w:szCs w:val="24"/>
          <w:u w:val="none"/>
          <w:lang w:val="en-US" w:eastAsia="zh-CN"/>
        </w:rPr>
        <w:t xml:space="preserve">兴化市人民法院司法辅助事务服务招标项目的潜在投标人可在“江苏政府采购网”自行免费下载招标文件，并于2026年08月26日9点30分（北京时间）前递交投标文件。</w:t>
      </w:r>
      <w:r/>
    </w:p>
    <w:p>
      <w:pPr>
        <w:ind w:left="0" w:firstLine="514"/>
        <w:jc w:val="both"/>
        <w:keepLines w:val="0"/>
        <w:keepNext w:val="0"/>
        <w:pageBreakBefore w:val="0"/>
        <w:spacing w:before="100" w:after="10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一、</w:t>
      </w:r>
      <w:r>
        <w:rPr>
          <w:rFonts w:hint="eastAsia" w:ascii="宋体" w:hAnsi="宋体" w:eastAsia="宋体" w:cs="宋体"/>
          <w:b/>
          <w:bCs/>
          <w:sz w:val="28"/>
          <w:szCs w:val="28"/>
          <w:lang w:val="zh-CN" w:eastAsia="zh-CN"/>
        </w:rPr>
        <w:t xml:space="preserve">项目基本情况</w:t>
      </w:r>
      <w:r/>
    </w:p>
    <w:p>
      <w:pPr>
        <w:ind w:left="0" w:firstLine="439"/>
        <w:jc w:val="both"/>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项目编号：</w:t>
      </w:r>
      <w:r>
        <w:rPr>
          <w:rFonts w:hint="eastAsia" w:ascii="宋体" w:hAnsi="宋体" w:eastAsia="宋体" w:cs="宋体"/>
          <w:sz w:val="24"/>
          <w:szCs w:val="24"/>
          <w:lang w:val="en-US" w:eastAsia="zh-CN"/>
        </w:rPr>
        <w:t xml:space="preserve">JSZC-321281-TZTC-G2026-0007</w:t>
      </w:r>
      <w:r/>
    </w:p>
    <w:p>
      <w:pPr>
        <w:ind w:left="0" w:firstLine="439"/>
        <w:jc w:val="both"/>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项目名称：司法辅助事务服务项目</w:t>
      </w:r>
      <w:r/>
    </w:p>
    <w:p>
      <w:pPr>
        <w:ind w:left="0" w:firstLine="439"/>
        <w:jc w:val="both"/>
        <w:spacing w:after="0" w:line="360" w:lineRule="auto"/>
        <w:rPr>
          <w:rFonts w:hint="eastAsia" w:ascii="宋体" w:hAnsi="宋体" w:eastAsia="宋体" w:cs="宋体"/>
          <w:sz w:val="24"/>
          <w:szCs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预算金额：</w:t>
      </w:r>
      <w:r/>
    </w:p>
    <w:tbl>
      <w:tblPr>
        <w:tblStyle w:val="866"/>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3"/>
        <w:gridCol w:w="6053"/>
      </w:tblGrid>
      <w:tr>
        <w:trPr>
          <w:jc w:val="center"/>
          <w:trHeight w:val="369"/>
          <w:tblHeader/>
        </w:trPr>
        <w:tc>
          <w:tcPr>
            <w:tcW w:w="2593" w:type="dxa"/>
            <w:vAlign w:val="center"/>
            <w:textDirection w:val="lrTb"/>
            <w:noWrap w:val="false"/>
          </w:tcPr>
          <w:p>
            <w:pPr>
              <w:ind w:left="0" w:right="0" w:firstLine="0"/>
              <w:jc w:val="center"/>
              <w:spacing w:after="0" w:line="240" w:lineRule="auto"/>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采购包号</w:t>
            </w:r>
            <w:r/>
          </w:p>
        </w:tc>
        <w:tc>
          <w:tcPr>
            <w:tcW w:w="6053" w:type="dxa"/>
            <w:vAlign w:val="center"/>
            <w:textDirection w:val="lrTb"/>
            <w:noWrap w:val="false"/>
          </w:tcPr>
          <w:p>
            <w:pPr>
              <w:ind w:left="0" w:right="0" w:firstLine="0"/>
              <w:jc w:val="center"/>
              <w:spacing w:after="0" w:line="240" w:lineRule="auto"/>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预算金额（人民币）</w:t>
            </w:r>
            <w:r/>
          </w:p>
        </w:tc>
      </w:tr>
      <w:tr>
        <w:trPr>
          <w:jc w:val="center"/>
          <w:trHeight w:val="434"/>
        </w:trPr>
        <w:tc>
          <w:tcPr>
            <w:tcW w:w="2593"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p>
        </w:tc>
        <w:tc>
          <w:tcPr>
            <w:tcW w:w="6053" w:type="dxa"/>
            <w:vAlign w:val="center"/>
            <w:textDirection w:val="lrTb"/>
            <w:noWrap w:val="false"/>
          </w:tcPr>
          <w:p>
            <w:pPr>
              <w:ind w:left="0" w:right="0" w:firstLine="0"/>
              <w:jc w:val="center"/>
              <w:spacing w:after="0" w:line="240" w:lineRule="auto"/>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￥：760万元/2年</w:t>
            </w:r>
            <w:r/>
          </w:p>
        </w:tc>
      </w:tr>
    </w:tbl>
    <w:p>
      <w:pPr>
        <w:numPr>
          <w:ilvl w:val="0"/>
          <w:numId w:val="0"/>
        </w:numPr>
        <w:ind w:left="0" w:firstLine="439"/>
        <w:jc w:val="both"/>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4、最高限价：</w:t>
      </w:r>
      <w:r/>
    </w:p>
    <w:tbl>
      <w:tblPr>
        <w:tblStyle w:val="866"/>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5"/>
        <w:gridCol w:w="3783"/>
        <w:gridCol w:w="3334"/>
      </w:tblGrid>
      <w:tr>
        <w:trPr>
          <w:jc w:val="center"/>
          <w:trHeight w:val="482"/>
          <w:tblHeader/>
        </w:trPr>
        <w:tc>
          <w:tcPr>
            <w:tcW w:w="0" w:type="auto"/>
            <w:vAlign w:val="center"/>
            <w:textDirection w:val="lrTb"/>
            <w:noWrap w:val="false"/>
          </w:tcPr>
          <w:p>
            <w:pPr>
              <w:ind w:left="0" w:right="0" w:firstLine="0"/>
              <w:jc w:val="center"/>
              <w:spacing w:after="0" w:line="240" w:lineRule="auto"/>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采购包号</w:t>
            </w:r>
            <w:r/>
          </w:p>
        </w:tc>
        <w:tc>
          <w:tcPr>
            <w:tcW w:w="3783" w:type="dxa"/>
            <w:vAlign w:val="center"/>
            <w:textDirection w:val="lrTb"/>
            <w:noWrap w:val="false"/>
          </w:tcPr>
          <w:p>
            <w:pPr>
              <w:ind w:left="0" w:right="0" w:firstLine="0"/>
              <w:jc w:val="center"/>
              <w:spacing w:after="0" w:line="240" w:lineRule="auto"/>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是否设定最高限价（是/否）</w:t>
            </w:r>
            <w:r/>
          </w:p>
        </w:tc>
        <w:tc>
          <w:tcPr>
            <w:tcW w:w="3334" w:type="dxa"/>
            <w:vAlign w:val="center"/>
            <w:textDirection w:val="lrTb"/>
            <w:noWrap w:val="false"/>
          </w:tcPr>
          <w:p>
            <w:pPr>
              <w:ind w:left="0" w:right="0" w:firstLine="0"/>
              <w:jc w:val="center"/>
              <w:spacing w:after="0" w:line="240" w:lineRule="auto"/>
              <w:rPr>
                <w:rFonts w:hint="eastAsia" w:ascii="宋体" w:hAnsi="宋体" w:eastAsia="宋体" w:cs="宋体"/>
                <w:b/>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val="en-US" w:eastAsia="zh-CN"/>
              </w:rPr>
              <w:t xml:space="preserve">最高限价（人民币）</w:t>
            </w:r>
            <w:r/>
          </w:p>
        </w:tc>
      </w:tr>
      <w:tr>
        <w:trPr>
          <w:jc w:val="center"/>
          <w:trHeight w:val="529"/>
        </w:trPr>
        <w:tc>
          <w:tcPr>
            <w:tcW w:w="1525"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p>
        </w:tc>
        <w:tc>
          <w:tcPr>
            <w:tcW w:w="3783"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是</w:t>
            </w:r>
            <w:r/>
          </w:p>
        </w:tc>
        <w:tc>
          <w:tcPr>
            <w:tcW w:w="3334"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￥：375万元/1年</w:t>
            </w:r>
            <w:r/>
          </w:p>
        </w:tc>
      </w:tr>
    </w:tbl>
    <w:p>
      <w:pPr>
        <w:ind w:left="0" w:firstLine="439"/>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5.采购需求（简介）：</w:t>
      </w:r>
      <w:r>
        <w:rPr>
          <w:rFonts w:hint="eastAsia" w:ascii="宋体" w:hAnsi="宋体" w:eastAsia="宋体" w:cs="宋体"/>
          <w:sz w:val="24"/>
          <w:szCs w:val="24"/>
          <w:lang w:val="en-US" w:eastAsia="zh-CN"/>
        </w:rPr>
        <w:t xml:space="preserve">兴化市人民法院司法辅助事务服务项目采购</w:t>
      </w:r>
      <w:r>
        <w:rPr>
          <w:rFonts w:hint="eastAsia" w:ascii="宋体" w:hAnsi="宋体" w:eastAsia="宋体" w:cs="宋体"/>
          <w:sz w:val="24"/>
          <w:szCs w:val="24"/>
          <w:lang w:eastAsia="zh-CN"/>
        </w:rPr>
        <w:t xml:space="preserve">，具体内容详见第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eastAsia="zh-CN"/>
        </w:rPr>
        <w:t xml:space="preserve">章项目</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lang w:eastAsia="zh-CN"/>
        </w:rPr>
        <w:t xml:space="preserve">需求。</w:t>
      </w:r>
      <w:r/>
    </w:p>
    <w:p>
      <w:pPr>
        <w:ind w:left="0" w:firstLine="439"/>
        <w:jc w:val="both"/>
        <w:spacing w:after="0" w:line="360" w:lineRule="auto"/>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6.合同履行期限：</w:t>
      </w:r>
      <w:r>
        <w:rPr>
          <w:rFonts w:hint="eastAsia" w:ascii="宋体" w:hAnsi="宋体" w:eastAsia="宋体" w:cs="宋体"/>
          <w:sz w:val="24"/>
          <w:szCs w:val="24"/>
          <w:lang w:val="en-US" w:eastAsia="zh-CN"/>
        </w:rPr>
        <w:t xml:space="preserve">服务期二年。合同一年一签，考核合格续签第二年合同。</w:t>
      </w:r>
      <w:r/>
    </w:p>
    <w:p>
      <w:pPr>
        <w:ind w:left="0" w:firstLine="514"/>
        <w:jc w:val="both"/>
        <w:keepLines w:val="0"/>
        <w:keepNext w:val="0"/>
        <w:pageBreakBefore w:val="0"/>
        <w:spacing w:before="100" w:after="6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二、申请人的资格要求</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（一）通用资格要求</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1.满足《中华人民共和国政府采购法》第二十二条规定，并提供下列材料：</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1.1</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法人或者其他组织的营业执照等证明文件，自然人的身份证明；</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1.2</w:t>
      </w:r>
      <w:r>
        <w:rPr>
          <w:rFonts w:hint="eastAsia" w:ascii="宋体" w:hAnsi="宋体" w:eastAsia="宋体" w:cs="宋体"/>
          <w:bCs/>
          <w:color w:val="auto"/>
          <w:sz w:val="24"/>
          <w:szCs w:val="24"/>
          <w:lang w:val="en-US" w:eastAsia="zh-CN"/>
        </w:rPr>
        <w:t xml:space="preserve">.具有良好的商业信誉和健全的财务会计制度</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提供投标人提供2024或2025年度财务报告，至少包含资产负债表、利润表；或投标截止时间前六个月内银行出具的资信证明；成立不满一年无须提供</w:t>
      </w:r>
      <w:r>
        <w:rPr>
          <w:rFonts w:hint="eastAsia" w:ascii="宋体" w:hAnsi="宋体" w:eastAsia="宋体" w:cs="宋体"/>
          <w:bCs/>
          <w:color w:val="auto"/>
          <w:sz w:val="24"/>
          <w:szCs w:val="24"/>
          <w:lang w:eastAsia="zh-CN"/>
        </w:rPr>
        <w:t xml:space="preserve">；</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1.3</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依法缴纳税收和社会保障资金的相关材料：提供提交投标文件截止时间前</w:t>
      </w:r>
      <w:r>
        <w:rPr>
          <w:rFonts w:hint="eastAsia" w:ascii="宋体" w:hAnsi="宋体" w:eastAsia="宋体" w:cs="宋体"/>
          <w:bCs/>
          <w:color w:val="auto"/>
          <w:sz w:val="24"/>
          <w:szCs w:val="24"/>
          <w:lang w:val="en-US" w:eastAsia="zh-CN"/>
        </w:rPr>
        <w:t xml:space="preserve">一年</w:t>
      </w:r>
      <w:r>
        <w:rPr>
          <w:rFonts w:hint="eastAsia" w:ascii="宋体" w:hAnsi="宋体" w:eastAsia="宋体" w:cs="宋体"/>
          <w:bCs/>
          <w:color w:val="auto"/>
          <w:sz w:val="24"/>
          <w:szCs w:val="24"/>
          <w:lang w:eastAsia="zh-CN"/>
        </w:rPr>
        <w:t xml:space="preserve">内</w:t>
      </w:r>
      <w:r>
        <w:rPr>
          <w:rFonts w:hint="eastAsia" w:ascii="宋体" w:hAnsi="宋体" w:eastAsia="宋体" w:cs="宋体"/>
          <w:bCs/>
          <w:color w:val="auto"/>
          <w:sz w:val="24"/>
          <w:szCs w:val="24"/>
          <w:lang w:val="en-US" w:eastAsia="zh-CN"/>
        </w:rPr>
        <w:t xml:space="preserve">至少</w:t>
      </w:r>
      <w:r>
        <w:rPr>
          <w:rFonts w:hint="eastAsia" w:ascii="宋体" w:hAnsi="宋体" w:eastAsia="宋体" w:cs="宋体"/>
          <w:bCs/>
          <w:color w:val="auto"/>
          <w:sz w:val="24"/>
          <w:szCs w:val="24"/>
          <w:lang w:eastAsia="zh-CN"/>
        </w:rPr>
        <w:t xml:space="preserve">一个月依法缴纳税收及缴纳社会保障资金的证明材料。投标人依法享受缓缴、免缴税收、社会保障资金的提供证明材料；</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1.4</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具备履行合同所必需的设备和专业技术能力的书面声明；</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1.5</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参加政府采购活动前3年内在经营活动中没有重大违法记录的书面声明。</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39"/>
        <w:jc w:val="both"/>
        <w:spacing w:after="0" w:line="360" w:lineRule="auto"/>
        <w:rPr>
          <w:rFonts w:hint="default" w:ascii="宋体" w:hAnsi="宋体" w:eastAsia="宋体" w:cs="宋体"/>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3.落实政府采购政策需满足的资格要求：</w:t>
      </w:r>
      <w:r>
        <w:rPr>
          <w:rFonts w:hint="eastAsia" w:ascii="宋体" w:hAnsi="宋体" w:eastAsia="宋体" w:cs="宋体"/>
          <w:bCs/>
          <w:color w:val="auto"/>
          <w:sz w:val="24"/>
          <w:szCs w:val="24"/>
          <w:lang w:val="en-US" w:eastAsia="zh-CN"/>
        </w:rPr>
        <w:t xml:space="preserve">无</w:t>
      </w:r>
      <w:r/>
    </w:p>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4.本项目不接受联合体投标。</w:t>
      </w:r>
      <w:r/>
    </w:p>
    <w:tbl>
      <w:tblPr>
        <w:tblStyle w:val="8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0"/>
        <w:gridCol w:w="3524"/>
        <w:gridCol w:w="3610"/>
      </w:tblGrid>
      <w:tr>
        <w:trPr>
          <w:jc w:val="center"/>
          <w:trHeight w:val="395"/>
        </w:trPr>
        <w:tc>
          <w:tcPr>
            <w:tcW w:w="13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3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是否接受联合体投标（是/否）</w:t>
            </w:r>
            <w:r/>
          </w:p>
        </w:tc>
        <w:tc>
          <w:tcPr>
            <w:tcW w:w="36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该采购包中联合体成员数量上限</w:t>
            </w:r>
            <w:r/>
          </w:p>
        </w:tc>
      </w:tr>
      <w:tr>
        <w:trPr>
          <w:jc w:val="center"/>
          <w:trHeight w:val="364"/>
        </w:trPr>
        <w:tc>
          <w:tcPr>
            <w:tcW w:w="13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3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否</w:t>
            </w:r>
            <w:r/>
          </w:p>
        </w:tc>
        <w:tc>
          <w:tcPr>
            <w:tcW w:w="36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tc>
      </w:tr>
    </w:tbl>
    <w:p>
      <w:pPr>
        <w:ind w:left="0" w:firstLine="439"/>
        <w:jc w:val="both"/>
        <w:spacing w:after="0" w:line="360" w:lineRule="auto"/>
        <w:rPr>
          <w:rFonts w:hint="eastAsia" w:ascii="宋体" w:hAnsi="宋体" w:eastAsia="宋体" w:cs="宋体"/>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eastAsia="zh-CN"/>
        </w:rPr>
        <w:t xml:space="preserve">（二）本项目的特定资格要求</w:t>
      </w:r>
      <w:r/>
    </w:p>
    <w:tbl>
      <w:tblPr>
        <w:tblStyle w:val="8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109"/>
      </w:tblGrid>
      <w:tr>
        <w:trPr>
          <w:jc w:val="center"/>
        </w:trPr>
        <w:tc>
          <w:tcPr>
            <w:tcW w:w="126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7109"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特定资格要求</w:t>
            </w:r>
            <w:r/>
          </w:p>
        </w:tc>
      </w:tr>
      <w:tr>
        <w:trPr>
          <w:jc w:val="center"/>
        </w:trPr>
        <w:tc>
          <w:tcPr>
            <w:tcW w:w="126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7109"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无</w:t>
            </w:r>
            <w:r/>
          </w:p>
        </w:tc>
      </w:tr>
    </w:tbl>
    <w:p>
      <w:pPr>
        <w:ind w:left="0" w:firstLine="441"/>
        <w:jc w:val="both"/>
        <w:keepLines w:val="0"/>
        <w:keepNext w:val="0"/>
        <w:pageBreakBefore w:val="0"/>
        <w:spacing w:before="100" w:after="10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三、获取招标文件</w:t>
      </w:r>
      <w:r/>
    </w:p>
    <w:p>
      <w:pPr>
        <w:ind w:left="0" w:firstLine="439"/>
        <w:jc w:val="both"/>
        <w:spacing w:after="0" w:line="360" w:lineRule="auto"/>
        <w:rPr>
          <w:rFonts w:hint="eastAsia" w:ascii="宋体" w:hAnsi="宋体" w:eastAsia="宋体" w:cs="宋体"/>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rPr>
        <w:t xml:space="preserve">1.时间：自招标文件公告发布之日起5个工作日。</w:t>
      </w:r>
      <w:r/>
    </w:p>
    <w:p>
      <w:pPr>
        <w:ind w:left="0" w:firstLine="439"/>
        <w:jc w:val="both"/>
        <w:spacing w:after="0" w:line="360" w:lineRule="auto"/>
        <w:rPr>
          <w:rFonts w:hint="eastAsia" w:ascii="宋体" w:hAnsi="宋体" w:eastAsia="宋体" w:cs="宋体"/>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rPr>
        <w:t xml:space="preserve">2.地点：“江苏政府采购网”</w:t>
      </w:r>
      <w:r/>
    </w:p>
    <w:p>
      <w:pPr>
        <w:ind w:left="0" w:firstLine="439"/>
        <w:jc w:val="both"/>
        <w:spacing w:after="0" w:line="360" w:lineRule="auto"/>
        <w:rPr>
          <w:rFonts w:hint="eastAsia" w:ascii="宋体" w:hAnsi="宋体" w:eastAsia="宋体" w:cs="宋体"/>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rPr>
        <w:t xml:space="preserve">3.方式：在“江苏政府采购网”自行免费下载招标文件(投标人必须在苏采云系统中获取采购文件，方能参与政府采购项目)</w:t>
      </w:r>
      <w:r/>
    </w:p>
    <w:p>
      <w:pPr>
        <w:ind w:left="0" w:firstLine="439"/>
        <w:jc w:val="both"/>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rPr>
        <w:t xml:space="preserve">4.招标文件售价：免费</w:t>
      </w:r>
      <w:r/>
    </w:p>
    <w:p>
      <w:pPr>
        <w:ind w:left="0" w:firstLine="441"/>
        <w:jc w:val="both"/>
        <w:keepLines w:val="0"/>
        <w:keepNext w:val="0"/>
        <w:pageBreakBefore w:val="0"/>
        <w:spacing w:before="100" w:after="10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四、提交投标文件截止时间、开标时间和地点</w:t>
      </w:r>
      <w:r/>
    </w:p>
    <w:p>
      <w:pPr>
        <w:ind w:left="0" w:firstLine="439"/>
        <w:jc w:val="both"/>
        <w:spacing w:after="0"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w:t>
      </w:r>
      <w:r>
        <w:rPr>
          <w:rFonts w:hint="eastAsia" w:ascii="宋体" w:hAnsi="宋体" w:eastAsia="宋体" w:cs="宋体"/>
          <w:sz w:val="24"/>
          <w:szCs w:val="24"/>
          <w:u w:val="none"/>
          <w:lang w:val="en-US" w:eastAsia="zh-CN"/>
        </w:rPr>
        <w:t xml:space="preserve">2026年08月26日9点30分（北京时间）</w:t>
      </w:r>
      <w:r>
        <w:rPr>
          <w:rFonts w:hint="eastAsia" w:ascii="宋体" w:hAnsi="宋体" w:eastAsia="宋体" w:cs="宋体"/>
          <w:color w:val="auto"/>
          <w:sz w:val="24"/>
          <w:szCs w:val="24"/>
          <w:lang w:eastAsia="zh-CN"/>
        </w:rPr>
        <w:t xml:space="preserve">。</w:t>
      </w:r>
      <w:r/>
    </w:p>
    <w:p>
      <w:pPr>
        <w:ind w:left="0" w:firstLine="439"/>
        <w:jc w:val="both"/>
        <w:spacing w:after="0" w:line="360" w:lineRule="auto"/>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.开标地点：“苏采云”政府采购交易系统</w:t>
      </w:r>
      <w:r>
        <w:rPr>
          <w:rFonts w:hint="eastAsia" w:ascii="宋体" w:hAnsi="宋体" w:eastAsia="宋体" w:cs="宋体"/>
          <w:sz w:val="24"/>
          <w:szCs w:val="24"/>
          <w:lang w:val="en-US" w:eastAsia="zh-CN"/>
        </w:rPr>
        <w:t xml:space="preserve">。</w:t>
      </w:r>
      <w:r/>
    </w:p>
    <w:p>
      <w:pPr>
        <w:ind w:left="0" w:firstLine="441"/>
        <w:jc w:val="both"/>
        <w:keepLines w:val="0"/>
        <w:keepNext w:val="0"/>
        <w:pageBreakBefore w:val="0"/>
        <w:spacing w:before="40" w:after="4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五、公告期限</w:t>
      </w:r>
      <w:r/>
    </w:p>
    <w:p>
      <w:pPr>
        <w:ind w:left="0" w:firstLine="439"/>
        <w:jc w:val="both"/>
        <w:spacing w:after="0" w:line="360" w:lineRule="auto"/>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lang w:val="en-US" w:eastAsia="zh-CN"/>
        </w:rPr>
        <w:t xml:space="preserve">招标公告及招标文件公告期限为自本公告发布之日起5个工作日。</w:t>
      </w:r>
      <w:r/>
    </w:p>
    <w:p>
      <w:pPr>
        <w:ind w:left="0" w:firstLine="441"/>
        <w:jc w:val="both"/>
        <w:keepLines w:val="0"/>
        <w:keepNext w:val="0"/>
        <w:pageBreakBefore w:val="0"/>
        <w:spacing w:before="100" w:after="10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bookmarkStart w:id="10" w:name="_Toc38985268"/>
      <w:r/>
      <w:bookmarkStart w:id="11" w:name="_Toc35393795"/>
      <w:r/>
      <w:bookmarkStart w:id="12" w:name="_Toc35393626"/>
      <w:r>
        <w:rPr>
          <w:rFonts w:hint="eastAsia" w:ascii="宋体" w:hAnsi="宋体" w:eastAsia="宋体" w:cs="宋体"/>
          <w:b/>
          <w:bCs/>
          <w:sz w:val="28"/>
          <w:szCs w:val="28"/>
          <w:lang w:val="en-US" w:eastAsia="zh-CN"/>
        </w:rPr>
        <w:t xml:space="preserve">六、其他补充事宜</w:t>
      </w:r>
      <w:bookmarkEnd w:id="10"/>
      <w:r/>
      <w:bookmarkEnd w:id="11"/>
      <w:r/>
      <w:bookmarkEnd w:id="12"/>
      <w:r/>
      <w:r/>
    </w:p>
    <w:p>
      <w:pPr>
        <w:ind w:firstLine="560"/>
        <w:jc w:val="both"/>
        <w:spacing w:after="0" w:line="360" w:lineRule="auto"/>
        <w:rPr>
          <w:rFonts w:hint="eastAsia" w:ascii="宋体" w:hAnsi="宋体" w:eastAsia="宋体" w:cs="宋体"/>
          <w:bCs/>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lang w:val="en-US" w:eastAsia="zh-CN"/>
        </w:rPr>
        <w:t xml:space="preserve">无</w:t>
      </w:r>
      <w:r/>
    </w:p>
    <w:p>
      <w:pPr>
        <w:ind w:left="0" w:firstLine="441"/>
        <w:jc w:val="both"/>
        <w:keepLines w:val="0"/>
        <w:keepNext w:val="0"/>
        <w:pageBreakBefore w:val="0"/>
        <w:spacing w:before="40" w:after="40" w:line="360" w:lineRule="auto"/>
        <w:widowControl/>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七、本次招标联系方式</w:t>
      </w:r>
      <w:r/>
    </w:p>
    <w:p>
      <w:pPr>
        <w:ind w:left="0" w:firstLine="440"/>
        <w:jc w:val="both"/>
        <w:spacing w:after="0" w:line="360" w:lineRule="auto"/>
        <w:rPr>
          <w:rFonts w:hint="eastAsia" w:ascii="宋体" w:hAnsi="宋体" w:eastAsia="宋体" w:cs="宋体"/>
          <w:color w:val="000000" w:themeColor="text1"/>
          <w:sz w:val="24"/>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14:textFill>
            <w14:solidFill>
              <w14:schemeClr w14:val="tx1"/>
            </w14:solidFill>
          </w14:textFill>
        </w:rPr>
        <w:t xml:space="preserve">1.采购人信息</w:t>
      </w:r>
      <w:r/>
    </w:p>
    <w:p>
      <w:pPr>
        <w:ind w:left="0" w:firstLine="440"/>
        <w:jc w:val="both"/>
        <w:spacing w:after="0" w:line="360" w:lineRule="auto"/>
        <w:rPr>
          <w:rFonts w:hint="eastAsia" w:ascii="宋体" w:hAnsi="宋体" w:eastAsia="宋体" w:cs="宋体"/>
          <w:color w:val="000000" w:themeColor="text1"/>
          <w:sz w:val="24"/>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名称：</w:t>
      </w:r>
      <w:r>
        <w:rPr>
          <w:rFonts w:hint="eastAsia" w:ascii="宋体" w:hAnsi="宋体" w:eastAsia="宋体" w:cs="宋体"/>
          <w:color w:val="000000" w:themeColor="text1"/>
          <w:sz w:val="24"/>
          <w:u w:val="none"/>
          <w:lang w:val="en-US" w:eastAsia="zh-CN"/>
          <w14:textFill>
            <w14:solidFill>
              <w14:schemeClr w14:val="tx1"/>
            </w14:solidFill>
          </w14:textFill>
        </w:rPr>
        <w:t xml:space="preserve">兴化市人民法院</w:t>
      </w:r>
      <w:r/>
    </w:p>
    <w:p>
      <w:pPr>
        <w:ind w:left="0" w:firstLine="440"/>
        <w:jc w:val="both"/>
        <w:spacing w:after="0" w:line="360" w:lineRule="auto"/>
        <w:rPr>
          <w:rFonts w:hint="eastAsia" w:ascii="宋体" w:hAnsi="宋体" w:eastAsia="宋体" w:cs="宋体"/>
          <w:color w:val="000000" w:themeColor="text1"/>
          <w:sz w:val="24"/>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地址：兴化市南亭路1号</w:t>
      </w:r>
      <w:r/>
    </w:p>
    <w:p>
      <w:pPr>
        <w:ind w:left="0" w:firstLine="440"/>
        <w:jc w:val="both"/>
        <w:spacing w:after="0" w:line="360" w:lineRule="auto"/>
        <w:rPr>
          <w:rFonts w:hint="default" w:ascii="宋体" w:hAnsi="宋体" w:eastAsia="宋体" w:cs="宋体"/>
          <w:color w:val="000000" w:themeColor="text1"/>
          <w:sz w:val="24"/>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联系</w:t>
      </w:r>
      <w:r>
        <w:rPr>
          <w:rFonts w:hint="eastAsia" w:ascii="宋体" w:hAnsi="宋体" w:eastAsia="宋体" w:cs="宋体"/>
          <w:color w:val="000000" w:themeColor="text1"/>
          <w:sz w:val="24"/>
          <w:u w:val="none"/>
          <w:lang w:val="en-US" w:eastAsia="zh-CN"/>
          <w14:textFill>
            <w14:solidFill>
              <w14:schemeClr w14:val="tx1"/>
            </w14:solidFill>
          </w14:textFill>
        </w:rPr>
        <w:t xml:space="preserve">人</w:t>
      </w:r>
      <w:r>
        <w:rPr>
          <w:rFonts w:hint="eastAsia" w:ascii="宋体" w:hAnsi="宋体" w:eastAsia="宋体" w:cs="宋体"/>
          <w:color w:val="000000" w:themeColor="text1"/>
          <w:sz w:val="24"/>
          <w:u w:val="none"/>
          <w:lang w:eastAsia="zh-CN"/>
          <w14:textFill>
            <w14:solidFill>
              <w14:schemeClr w14:val="tx1"/>
            </w14:solidFill>
          </w14:textFill>
        </w:rPr>
        <w:t xml:space="preserve">：</w:t>
      </w:r>
      <w:r>
        <w:rPr>
          <w:rFonts w:hint="eastAsia" w:ascii="宋体" w:hAnsi="宋体" w:eastAsia="宋体" w:cs="宋体"/>
          <w:color w:val="000000" w:themeColor="text1"/>
          <w:sz w:val="24"/>
          <w:u w:val="none"/>
          <w:lang w:val="en-US" w:eastAsia="zh-CN"/>
          <w14:textFill>
            <w14:solidFill>
              <w14:schemeClr w14:val="tx1"/>
            </w14:solidFill>
          </w14:textFill>
        </w:rPr>
        <w:t xml:space="preserve">陈先生</w:t>
      </w:r>
      <w:r/>
    </w:p>
    <w:p>
      <w:pPr>
        <w:ind w:left="0" w:firstLine="440"/>
        <w:jc w:val="both"/>
        <w:spacing w:after="0" w:line="360" w:lineRule="auto"/>
        <w:rPr>
          <w:rFonts w:hint="default" w:ascii="宋体" w:hAnsi="宋体" w:eastAsia="宋体" w:cs="宋体"/>
          <w:color w:val="000000" w:themeColor="text1"/>
          <w:sz w:val="24"/>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联系</w:t>
      </w:r>
      <w:r>
        <w:rPr>
          <w:rFonts w:hint="eastAsia" w:ascii="宋体" w:hAnsi="宋体" w:eastAsia="宋体" w:cs="宋体"/>
          <w:color w:val="000000" w:themeColor="text1"/>
          <w:sz w:val="24"/>
          <w:u w:val="none"/>
          <w:lang w:val="en-US" w:eastAsia="zh-CN"/>
          <w14:textFill>
            <w14:solidFill>
              <w14:schemeClr w14:val="tx1"/>
            </w14:solidFill>
          </w14:textFill>
        </w:rPr>
        <w:t xml:space="preserve">方式</w:t>
      </w:r>
      <w:r>
        <w:rPr>
          <w:rFonts w:hint="eastAsia" w:ascii="宋体" w:hAnsi="宋体" w:eastAsia="宋体" w:cs="宋体"/>
          <w:color w:val="000000" w:themeColor="text1"/>
          <w:sz w:val="24"/>
          <w:u w:val="none"/>
          <w:lang w:eastAsia="zh-CN"/>
          <w14:textFill>
            <w14:solidFill>
              <w14:schemeClr w14:val="tx1"/>
            </w14:solidFill>
          </w14:textFill>
        </w:rPr>
        <w:t xml:space="preserve">：</w:t>
      </w:r>
      <w:r>
        <w:rPr>
          <w:rFonts w:hint="eastAsia" w:ascii="宋体" w:hAnsi="宋体" w:eastAsia="宋体" w:cs="宋体"/>
          <w:color w:val="000000" w:themeColor="text1"/>
          <w:sz w:val="24"/>
          <w:u w:val="none"/>
          <w:lang w:val="en-US" w:eastAsia="zh-CN"/>
          <w14:textFill>
            <w14:solidFill>
              <w14:schemeClr w14:val="tx1"/>
            </w14:solidFill>
          </w14:textFill>
        </w:rPr>
        <w:t xml:space="preserve">15952677968</w:t>
      </w:r>
      <w:r/>
    </w:p>
    <w:p>
      <w:pPr>
        <w:ind w:left="0" w:firstLine="440"/>
        <w:jc w:val="both"/>
        <w:spacing w:after="0" w:line="360" w:lineRule="auto"/>
        <w:rPr>
          <w:rFonts w:hint="eastAsia" w:ascii="宋体" w:hAnsi="宋体" w:eastAsia="宋体" w:cs="宋体"/>
          <w:color w:val="000000" w:themeColor="text1"/>
          <w:sz w:val="24"/>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val="en-US" w:eastAsia="zh-CN"/>
          <w14:textFill>
            <w14:solidFill>
              <w14:schemeClr w14:val="tx1"/>
            </w14:solidFill>
          </w14:textFill>
        </w:rPr>
        <w:t xml:space="preserve">2.</w:t>
      </w:r>
      <w:r>
        <w:rPr>
          <w:rFonts w:hint="eastAsia" w:ascii="宋体" w:hAnsi="宋体" w:eastAsia="宋体" w:cs="宋体"/>
          <w:color w:val="000000" w:themeColor="text1"/>
          <w:sz w:val="24"/>
          <w:u w:val="none"/>
          <w:lang w:eastAsia="zh-CN"/>
          <w14:textFill>
            <w14:solidFill>
              <w14:schemeClr w14:val="tx1"/>
            </w14:solidFill>
          </w14:textFill>
        </w:rPr>
        <w:t xml:space="preserve">采购代理机构信息</w:t>
      </w:r>
      <w:r/>
    </w:p>
    <w:p>
      <w:pPr>
        <w:ind w:left="0" w:firstLine="440"/>
        <w:jc w:val="both"/>
        <w:spacing w:after="0" w:line="360" w:lineRule="auto"/>
        <w:rPr>
          <w:rFonts w:hint="eastAsia" w:ascii="宋体" w:hAnsi="宋体" w:eastAsia="宋体" w:cs="宋体"/>
          <w:color w:val="000000" w:themeColor="text1"/>
          <w:sz w:val="24"/>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名称：泰州天诚工程项目管理有限公司</w:t>
      </w:r>
      <w:r/>
    </w:p>
    <w:p>
      <w:pPr>
        <w:ind w:left="0" w:firstLine="440"/>
        <w:jc w:val="both"/>
        <w:spacing w:after="0" w:line="360" w:lineRule="auto"/>
        <w:rPr>
          <w:rFonts w:hint="eastAsia" w:ascii="宋体" w:hAnsi="宋体" w:eastAsia="宋体" w:cs="宋体"/>
          <w:color w:val="000000" w:themeColor="text1"/>
          <w:sz w:val="24"/>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地址：兴化天宝领秀城三区1#附属南楼3楼</w:t>
      </w:r>
      <w:r/>
    </w:p>
    <w:p>
      <w:pPr>
        <w:ind w:left="0" w:firstLine="440"/>
        <w:jc w:val="both"/>
        <w:spacing w:after="0" w:line="360" w:lineRule="auto"/>
        <w:rPr>
          <w:rFonts w:hint="eastAsia" w:ascii="宋体" w:hAnsi="宋体" w:eastAsia="宋体" w:cs="宋体"/>
          <w:color w:val="000000" w:themeColor="text1"/>
          <w:sz w:val="24"/>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联系</w:t>
      </w:r>
      <w:r>
        <w:rPr>
          <w:rFonts w:hint="eastAsia" w:ascii="宋体" w:hAnsi="宋体" w:eastAsia="宋体" w:cs="宋体"/>
          <w:color w:val="000000" w:themeColor="text1"/>
          <w:sz w:val="24"/>
          <w:u w:val="none"/>
          <w:lang w:val="en-US" w:eastAsia="zh-CN"/>
          <w14:textFill>
            <w14:solidFill>
              <w14:schemeClr w14:val="tx1"/>
            </w14:solidFill>
          </w14:textFill>
        </w:rPr>
        <w:t xml:space="preserve">人</w:t>
      </w:r>
      <w:r>
        <w:rPr>
          <w:rFonts w:hint="eastAsia" w:ascii="宋体" w:hAnsi="宋体" w:eastAsia="宋体" w:cs="宋体"/>
          <w:color w:val="000000" w:themeColor="text1"/>
          <w:sz w:val="24"/>
          <w:u w:val="none"/>
          <w:lang w:eastAsia="zh-CN"/>
          <w14:textFill>
            <w14:solidFill>
              <w14:schemeClr w14:val="tx1"/>
            </w14:solidFill>
          </w14:textFill>
        </w:rPr>
        <w:t xml:space="preserve">：</w:t>
      </w:r>
      <w:r>
        <w:rPr>
          <w:rFonts w:hint="eastAsia" w:ascii="宋体" w:hAnsi="宋体" w:eastAsia="宋体" w:cs="宋体"/>
          <w:color w:val="000000" w:themeColor="text1"/>
          <w:sz w:val="24"/>
          <w:u w:val="none"/>
          <w:lang w:val="en-US" w:eastAsia="zh-CN"/>
          <w14:textFill>
            <w14:solidFill>
              <w14:schemeClr w14:val="tx1"/>
            </w14:solidFill>
          </w14:textFill>
        </w:rPr>
        <w:t xml:space="preserve">程先生</w:t>
      </w:r>
      <w:r>
        <w:rPr>
          <w:rFonts w:hint="eastAsia" w:ascii="宋体" w:hAnsi="宋体" w:eastAsia="宋体" w:cs="宋体"/>
          <w:color w:val="000000" w:themeColor="text1"/>
          <w:sz w:val="24"/>
          <w:u w:val="none"/>
          <w:lang w:eastAsia="zh-CN"/>
          <w14:textFill>
            <w14:solidFill>
              <w14:schemeClr w14:val="tx1"/>
            </w14:solidFill>
          </w14:textFill>
        </w:rPr>
        <w:t xml:space="preserve">   </w:t>
      </w:r>
      <w:r/>
    </w:p>
    <w:p>
      <w:pPr>
        <w:ind w:left="0" w:firstLine="440"/>
        <w:jc w:val="both"/>
        <w:spacing w:after="0" w:line="360" w:lineRule="auto"/>
        <w:rPr>
          <w:rFonts w:hint="eastAsia" w:ascii="宋体" w:hAnsi="宋体" w:eastAsia="宋体" w:cs="宋体"/>
          <w:color w:val="000000" w:themeColor="text1"/>
          <w:sz w:val="24"/>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u w:val="none"/>
          <w:lang w:eastAsia="zh-CN"/>
          <w14:textFill>
            <w14:solidFill>
              <w14:schemeClr w14:val="tx1"/>
            </w14:solidFill>
          </w14:textFill>
        </w:rPr>
        <w:t xml:space="preserve">联系</w:t>
      </w:r>
      <w:r>
        <w:rPr>
          <w:rFonts w:hint="eastAsia" w:ascii="宋体" w:hAnsi="宋体" w:eastAsia="宋体" w:cs="宋体"/>
          <w:color w:val="000000" w:themeColor="text1"/>
          <w:sz w:val="24"/>
          <w:u w:val="none"/>
          <w:lang w:val="en-US" w:eastAsia="zh-CN"/>
          <w14:textFill>
            <w14:solidFill>
              <w14:schemeClr w14:val="tx1"/>
            </w14:solidFill>
          </w14:textFill>
        </w:rPr>
        <w:t xml:space="preserve">方式</w:t>
      </w:r>
      <w:r>
        <w:rPr>
          <w:rFonts w:hint="eastAsia" w:ascii="宋体" w:hAnsi="宋体" w:eastAsia="宋体" w:cs="宋体"/>
          <w:color w:val="000000" w:themeColor="text1"/>
          <w:sz w:val="24"/>
          <w:u w:val="none"/>
          <w:lang w:eastAsia="zh-CN"/>
          <w14:textFill>
            <w14:solidFill>
              <w14:schemeClr w14:val="tx1"/>
            </w14:solidFill>
          </w14:textFill>
        </w:rPr>
        <w:t xml:space="preserve">：15189991868</w:t>
      </w:r>
      <w:r/>
    </w:p>
    <w:p>
      <w:pPr>
        <w:numPr>
          <w:ilvl w:val="0"/>
          <w:numId w:val="2"/>
        </w:numPr>
        <w:ind w:left="0" w:firstLine="441"/>
        <w:jc w:val="both"/>
        <w:keepLines w:val="0"/>
        <w:keepNext w:val="0"/>
        <w:pageBreakBefore w:val="0"/>
        <w:spacing w:before="100" w:after="100" w:line="360" w:lineRule="auto"/>
        <w:widowControl/>
        <w:rPr>
          <w:rFonts w:hint="eastAsia" w:ascii="宋体" w:hAnsi="宋体" w:eastAsia="宋体" w:cs="宋体"/>
          <w:b/>
          <w:bCs/>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val="en-US" w:eastAsia="zh-CN"/>
        </w:rPr>
        <w:t xml:space="preserve">其他</w:t>
      </w:r>
      <w:r/>
    </w:p>
    <w:p>
      <w:pPr>
        <w:pStyle w:val="897"/>
        <w:numPr>
          <w:ilvl w:val="0"/>
          <w:numId w:val="0"/>
        </w:numPr>
        <w:ind w:firstLine="482"/>
        <w:keepLines w:val="0"/>
        <w:keepNext w:val="0"/>
        <w:pageBreakBefore w:val="0"/>
        <w:spacing w:line="380" w:lineRule="exact"/>
        <w:widowControl w:val="off"/>
        <w:rPr>
          <w:rFonts w:hint="default" w:ascii="宋体" w:hAnsi="宋体" w:eastAsia="宋体" w:cs="宋体"/>
          <w:color w:val="000000" w:themeColor="text1"/>
          <w:sz w:val="24"/>
          <w:szCs w:val="22"/>
          <w:u w:val="none"/>
          <w:lang w:val="en-US" w:eastAsia="zh-CN"/>
          <w14:textFill>
            <w14:solidFill>
              <w14:schemeClr w14:val="tx1"/>
            </w14:solidFill>
          </w14:textFill>
        </w:rPr>
      </w:pPr>
      <w:r>
        <w:rPr>
          <w:rFonts w:hint="default" w:ascii="宋体" w:hAnsi="宋体" w:eastAsia="宋体" w:cs="宋体"/>
          <w:color w:val="000000" w:themeColor="text1"/>
          <w:sz w:val="24"/>
          <w:szCs w:val="22"/>
          <w:u w:val="none"/>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w:t>
      </w:r>
      <w:r>
        <w:rPr>
          <w:rFonts w:hint="eastAsia" w:ascii="宋体" w:hAnsi="宋体" w:eastAsia="宋体" w:cs="宋体"/>
          <w:color w:val="000000" w:themeColor="text1"/>
          <w:sz w:val="24"/>
          <w:szCs w:val="22"/>
          <w:u w:val="none"/>
          <w:lang w:val="en-US" w:eastAsia="zh-CN"/>
          <w14:textFill>
            <w14:solidFill>
              <w14:schemeClr w14:val="tx1"/>
            </w14:solidFill>
          </w14:textFill>
        </w:rPr>
        <w:t xml:space="preserve">办理符合以上要求的</w:t>
      </w:r>
      <w:r>
        <w:rPr>
          <w:rFonts w:hint="default" w:ascii="宋体" w:hAnsi="宋体" w:eastAsia="宋体" w:cs="宋体"/>
          <w:color w:val="000000" w:themeColor="text1"/>
          <w:sz w:val="24"/>
          <w:szCs w:val="22"/>
          <w:u w:val="none"/>
          <w:lang w:val="en-US" w:eastAsia="zh-CN"/>
          <w14:textFill>
            <w14:solidFill>
              <w14:schemeClr w14:val="tx1"/>
            </w14:solidFill>
          </w14:textFill>
        </w:rPr>
        <w:t xml:space="preserve">CA数字证书和电子签章。具体办理指南和操作手册</w:t>
      </w:r>
      <w:r>
        <w:rPr>
          <w:rFonts w:hint="eastAsia" w:ascii="宋体" w:hAnsi="宋体" w:eastAsia="宋体" w:cs="宋体"/>
          <w:color w:val="000000" w:themeColor="text1"/>
          <w:sz w:val="24"/>
          <w:szCs w:val="22"/>
          <w:u w:val="none"/>
          <w:lang w:val="en-US" w:eastAsia="zh-CN"/>
          <w14:textFill>
            <w14:solidFill>
              <w14:schemeClr w14:val="tx1"/>
            </w14:solidFill>
          </w14:textFill>
        </w:rPr>
        <w:t xml:space="preserve">详见链接：http://www.ccgp-jiangsu.gov.cn/jiangsu/zlxz/ee/ee3a4bc5a3454aa2b0d9312230633ce9.html。</w:t>
      </w:r>
      <w:r/>
    </w:p>
    <w:p>
      <w:pPr>
        <w:pStyle w:val="897"/>
        <w:numPr>
          <w:ilvl w:val="0"/>
          <w:numId w:val="0"/>
        </w:numPr>
        <w:ind w:firstLine="480"/>
        <w:keepLines w:val="0"/>
        <w:keepNext w:val="0"/>
        <w:pageBreakBefore w:val="0"/>
        <w:spacing w:line="380" w:lineRule="exact"/>
        <w:widowControl/>
        <w:rPr>
          <w:rFonts w:hint="default" w:ascii="宋体" w:hAnsi="宋体" w:eastAsia="宋体" w:cs="宋体"/>
          <w:color w:val="000000" w:themeColor="text1"/>
          <w:sz w:val="24"/>
          <w:szCs w:val="22"/>
          <w:u w:val="none"/>
          <w:lang w:val="en-US" w:eastAsia="zh-CN"/>
          <w14:textFill>
            <w14:solidFill>
              <w14:schemeClr w14:val="tx1"/>
            </w14:solidFill>
          </w14:textFill>
        </w:rPr>
      </w:pPr>
      <w:r>
        <w:rPr>
          <w:rFonts w:hint="default" w:ascii="宋体" w:hAnsi="宋体" w:eastAsia="宋体" w:cs="宋体"/>
          <w:color w:val="000000" w:themeColor="text1"/>
          <w:sz w:val="24"/>
          <w:szCs w:val="22"/>
          <w:u w:val="none"/>
          <w:lang w:val="en-US" w:eastAsia="zh-CN"/>
          <w14:textFill>
            <w14:solidFill>
              <w14:schemeClr w14:val="tx1"/>
            </w14:solidFill>
          </w14:textFill>
        </w:rPr>
        <w:t xml:space="preserve">2.有关本次招标的事项若存在变动或修改，敬请及时关注江苏省政府采购中心在“江苏政府采购网”发布的更正公告。</w:t>
      </w:r>
      <w:r/>
    </w:p>
    <w:p>
      <w:pPr>
        <w:pStyle w:val="897"/>
        <w:numPr>
          <w:ilvl w:val="0"/>
          <w:numId w:val="0"/>
        </w:numPr>
        <w:ind w:firstLine="480"/>
        <w:keepLines w:val="0"/>
        <w:keepNext w:val="0"/>
        <w:pageBreakBefore w:val="0"/>
        <w:spacing w:line="380" w:lineRule="exact"/>
        <w:widowControl/>
        <w:rPr>
          <w:rFonts w:hint="default" w:ascii="宋体" w:hAnsi="宋体" w:eastAsia="宋体" w:cs="宋体"/>
          <w:color w:val="000000" w:themeColor="text1"/>
          <w:sz w:val="24"/>
          <w:szCs w:val="22"/>
          <w:u w:val="none"/>
          <w:lang w:val="en-US" w:eastAsia="zh-CN"/>
          <w14:textFill>
            <w14:solidFill>
              <w14:schemeClr w14:val="tx1"/>
            </w14:solidFill>
          </w14:textFill>
        </w:rPr>
      </w:pPr>
      <w:r>
        <w:rPr>
          <w:rFonts w:hint="eastAsia" w:ascii="宋体" w:hAnsi="宋体" w:eastAsia="宋体" w:cs="宋体"/>
          <w:color w:val="000000" w:themeColor="text1"/>
          <w:sz w:val="24"/>
          <w:szCs w:val="22"/>
          <w:u w:val="none"/>
          <w:lang w:val="en-US" w:eastAsia="zh-CN"/>
          <w14:textFill>
            <w14:solidFill>
              <w14:schemeClr w14:val="tx1"/>
            </w14:solidFill>
          </w14:textFill>
        </w:rPr>
        <w:t xml:space="preserve">3.如潜在供应商未按上述要求操作，将自行承担所产生的风险。</w:t>
      </w:r>
      <w:r/>
    </w:p>
    <w:p>
      <w:pPr>
        <w:numPr>
          <w:ilvl w:val="0"/>
          <w:numId w:val="0"/>
        </w:numPr>
        <w:ind w:left="0" w:firstLine="480"/>
        <w:keepLines w:val="0"/>
        <w:keepNext w:val="0"/>
        <w:pageBreakBefore w:val="0"/>
        <w:spacing w:after="120" w:line="380" w:lineRule="exact"/>
        <w:widowControl/>
        <w:rPr>
          <w:rFonts w:hint="default" w:ascii="宋体" w:hAnsi="宋体" w:eastAsia="宋体" w:cs="宋体"/>
          <w:color w:val="000000" w:themeColor="text1"/>
          <w:sz w:val="24"/>
          <w:szCs w:val="22"/>
          <w:u w:val="none"/>
          <w:lang w:val="en-US" w:eastAsia="zh-CN"/>
          <w14:textFill>
            <w14:solidFill>
              <w14:schemeClr w14:val="tx1"/>
            </w14:solidFill>
          </w14:textFill>
        </w:rPr>
      </w:pPr>
      <w:r>
        <w:rPr>
          <w:rFonts w:hint="eastAsia" w:ascii="宋体" w:hAnsi="宋体" w:eastAsia="宋体" w:cs="宋体"/>
          <w:color w:val="000000" w:themeColor="text1"/>
          <w:sz w:val="24"/>
          <w:szCs w:val="22"/>
          <w:u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2"/>
          <w:u w:val="none"/>
          <w:lang w:val="en-US" w:eastAsia="zh-CN"/>
          <w14:textFill>
            <w14:solidFill>
              <w14:schemeClr w14:val="tx1"/>
            </w14:solidFill>
          </w14:textFill>
        </w:rPr>
        <w:t xml:space="preserve">.本次招标不收取投标保证金。</w:t>
      </w:r>
      <w:r/>
    </w:p>
    <w:p>
      <w:pPr>
        <w:pStyle w:val="856"/>
        <w:jc w:val="center"/>
        <w:keepLines/>
        <w:keepNext/>
        <w:pageBreakBefore/>
        <w:spacing w:before="400" w:after="160" w:line="400" w:lineRule="exact"/>
        <w:widowControl/>
        <w:rPr>
          <w:rFonts w:hint="eastAsia" w:ascii="宋体" w:hAnsi="宋体" w:eastAsia="宋体" w:cs="宋体"/>
          <w:lang w:eastAsia="zh-CN"/>
        </w:rPr>
      </w:pPr>
      <w:r/>
      <w:bookmarkStart w:id="13" w:name="_Toc22987"/>
      <w:r/>
      <w:bookmarkStart w:id="14" w:name="_Toc11463"/>
      <w:r>
        <w:rPr>
          <w:rFonts w:hint="eastAsia" w:ascii="宋体" w:hAnsi="宋体" w:eastAsia="宋体" w:cs="宋体"/>
          <w:lang w:eastAsia="zh-CN"/>
        </w:rPr>
        <w:t xml:space="preserve">第二章  投标人须知</w:t>
      </w:r>
      <w:bookmarkEnd w:id="13"/>
      <w:r/>
      <w:bookmarkEnd w:id="14"/>
      <w:r/>
      <w:r/>
    </w:p>
    <w:p>
      <w:pPr>
        <w:ind w:right="0"/>
        <w:jc w:val="both"/>
        <w:keepLines w:val="0"/>
        <w:keepNext w:val="0"/>
        <w:pageBreakBefore w:val="0"/>
        <w:spacing w:before="100" w:after="100" w:line="240" w:lineRule="auto"/>
        <w:widowControl w:val="off"/>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一、总则</w:t>
      </w:r>
      <w:r/>
    </w:p>
    <w:p>
      <w:pPr>
        <w:ind w:left="0" w:right="0" w:firstLine="441"/>
        <w:jc w:val="left"/>
        <w:keepLines w:val="0"/>
        <w:keepNext w:val="0"/>
        <w:pageBreakBefore w:val="0"/>
        <w:spacing w:before="40" w:after="40" w:line="400" w:lineRule="exact"/>
        <w:widowControl w:val="off"/>
        <w:rPr>
          <w:rFonts w:hint="eastAsia" w:ascii="宋体" w:hAnsi="宋体" w:eastAsia="宋体" w:cs="宋体"/>
          <w:b/>
          <w:bCs/>
          <w:color w:val="000000"/>
          <w:sz w:val="24"/>
          <w:szCs w:val="24"/>
          <w:lang w:eastAsia="zh-CN"/>
        </w:rPr>
      </w:pPr>
      <w:r/>
      <w:bookmarkStart w:id="15" w:name="_Toc458694821"/>
      <w:r/>
      <w:bookmarkStart w:id="16" w:name="_Toc513029204"/>
      <w:r/>
      <w:bookmarkStart w:id="17" w:name="_Toc16938520"/>
      <w:r/>
      <w:bookmarkStart w:id="18" w:name="_Toc20823276"/>
      <w:r>
        <w:rPr>
          <w:rFonts w:hint="eastAsia" w:ascii="宋体" w:hAnsi="宋体" w:eastAsia="宋体" w:cs="宋体"/>
          <w:b/>
          <w:bCs/>
          <w:color w:val="000000"/>
          <w:sz w:val="24"/>
          <w:szCs w:val="24"/>
        </w:rPr>
        <w:t xml:space="preserve">1</w:t>
      </w:r>
      <w:bookmarkEnd w:id="15"/>
      <w:r>
        <w:rPr>
          <w:rFonts w:hint="eastAsia" w:ascii="宋体" w:hAnsi="宋体" w:eastAsia="宋体" w:cs="宋体"/>
          <w:b/>
          <w:bCs/>
          <w:color w:val="000000"/>
          <w:sz w:val="24"/>
          <w:szCs w:val="24"/>
        </w:rPr>
        <w:t xml:space="preserve">、招标方式</w:t>
      </w:r>
      <w:bookmarkEnd w:id="16"/>
      <w:r/>
      <w:bookmarkEnd w:id="17"/>
      <w:r/>
      <w:bookmarkEnd w:id="18"/>
      <w:r/>
      <w:r/>
    </w:p>
    <w:p>
      <w:pPr>
        <w:ind w:left="0" w:right="0" w:firstLine="439"/>
        <w:jc w:val="left"/>
        <w:keepLines w:val="0"/>
        <w:keepNext w:val="0"/>
        <w:pageBreakBefore w:val="0"/>
        <w:spacing w:before="40" w:after="40" w:line="400" w:lineRule="exact"/>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1.1</w:t>
      </w:r>
      <w:r>
        <w:rPr>
          <w:rFonts w:hint="eastAsia" w:ascii="宋体" w:hAnsi="宋体" w:eastAsia="宋体" w:cs="宋体"/>
          <w:b w:val="0"/>
          <w:bCs w:val="0"/>
          <w:color w:val="000000"/>
          <w:sz w:val="24"/>
          <w:szCs w:val="24"/>
        </w:rPr>
        <w:t xml:space="preserve">本次招</w:t>
      </w:r>
      <w:r>
        <w:rPr>
          <w:rFonts w:hint="eastAsia" w:ascii="宋体" w:hAnsi="宋体" w:eastAsia="宋体" w:cs="宋体"/>
          <w:color w:val="000000"/>
          <w:sz w:val="24"/>
          <w:szCs w:val="24"/>
        </w:rPr>
        <w:t xml:space="preserve">标采取公开招标方式，本招标文件仅适用于招标公告中所述项目。</w:t>
      </w:r>
      <w:r/>
    </w:p>
    <w:p>
      <w:pPr>
        <w:ind w:left="0" w:right="0" w:firstLine="441"/>
        <w:jc w:val="left"/>
        <w:keepLines w:val="0"/>
        <w:keepNext w:val="0"/>
        <w:pageBreakBefore w:val="0"/>
        <w:spacing w:before="40" w:after="40" w:line="400" w:lineRule="exact"/>
        <w:widowControl w:val="off"/>
        <w:rPr>
          <w:rFonts w:hint="eastAsia" w:ascii="宋体" w:hAnsi="宋体" w:eastAsia="宋体" w:cs="宋体"/>
          <w:b/>
          <w:bCs/>
          <w:color w:val="000000"/>
          <w:sz w:val="24"/>
          <w:szCs w:val="24"/>
          <w:lang w:eastAsia="zh-CN"/>
        </w:rPr>
      </w:pPr>
      <w:r/>
      <w:bookmarkStart w:id="19" w:name="_Toc20823277"/>
      <w:r/>
      <w:bookmarkStart w:id="20" w:name="_Toc16938521"/>
      <w:r/>
      <w:bookmarkStart w:id="21" w:name="_Toc513029205"/>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合格的投标人</w:t>
      </w:r>
      <w:bookmarkEnd w:id="19"/>
      <w:r/>
      <w:bookmarkEnd w:id="20"/>
      <w:r/>
      <w:bookmarkEnd w:id="21"/>
      <w:r/>
      <w:r/>
    </w:p>
    <w:p>
      <w:pPr>
        <w:numPr>
          <w:ilvl w:val="0"/>
          <w:numId w:val="0"/>
        </w:numPr>
        <w:ind w:left="0" w:right="0" w:firstLine="439"/>
        <w:jc w:val="left"/>
        <w:keepLines w:val="0"/>
        <w:keepNext w:val="0"/>
        <w:pageBreakBefore w:val="0"/>
        <w:spacing w:before="40" w:after="40"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2.1满足招标公告中供应商的资格要求的规定。</w:t>
      </w:r>
      <w:r/>
    </w:p>
    <w:p>
      <w:pPr>
        <w:ind w:left="0" w:right="0" w:firstLine="439"/>
        <w:jc w:val="left"/>
        <w:keepLines w:val="0"/>
        <w:keepNext w:val="0"/>
        <w:pageBreakBefore w:val="0"/>
        <w:spacing w:before="40" w:after="4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2.2 满足本文件实质性要求的规定。</w:t>
      </w:r>
      <w:r/>
    </w:p>
    <w:p>
      <w:pPr>
        <w:ind w:left="0" w:right="0" w:firstLine="441"/>
        <w:jc w:val="left"/>
        <w:keepLines w:val="0"/>
        <w:keepNext w:val="0"/>
        <w:pageBreakBefore w:val="0"/>
        <w:spacing w:before="100" w:after="100" w:line="400" w:lineRule="exact"/>
        <w:widowControl w:val="off"/>
        <w:rPr>
          <w:rFonts w:hint="eastAsia" w:ascii="宋体" w:hAnsi="宋体" w:eastAsia="宋体" w:cs="宋体"/>
          <w:b/>
          <w:bCs/>
          <w:color w:val="000000"/>
          <w:sz w:val="24"/>
          <w:szCs w:val="24"/>
          <w:lang w:val="en-US" w:eastAsia="zh-CN"/>
        </w:rPr>
      </w:pPr>
      <w:r/>
      <w:bookmarkStart w:id="22" w:name="_Toc16938522"/>
      <w:r/>
      <w:bookmarkStart w:id="23" w:name="_Toc20823278"/>
      <w:r/>
      <w:bookmarkStart w:id="24" w:name="_Toc513029206"/>
      <w:r>
        <w:rPr>
          <w:rFonts w:hint="eastAsia" w:ascii="宋体" w:hAnsi="宋体" w:eastAsia="宋体" w:cs="宋体"/>
          <w:b/>
          <w:bCs/>
          <w:color w:val="000000"/>
          <w:sz w:val="24"/>
          <w:szCs w:val="24"/>
          <w:lang w:val="en-US" w:eastAsia="zh-CN"/>
        </w:rPr>
        <w:t xml:space="preserve">3、适用法律</w:t>
      </w:r>
      <w:bookmarkEnd w:id="22"/>
      <w:r/>
      <w:bookmarkEnd w:id="23"/>
      <w:r/>
      <w:bookmarkEnd w:id="24"/>
      <w:r>
        <w:rPr>
          <w:rFonts w:hint="eastAsia" w:ascii="宋体" w:hAnsi="宋体" w:eastAsia="宋体" w:cs="宋体"/>
          <w:b/>
          <w:bCs/>
          <w:color w:val="000000"/>
          <w:sz w:val="24"/>
          <w:szCs w:val="24"/>
          <w:lang w:val="en-US" w:eastAsia="zh-CN"/>
        </w:rPr>
        <w:t xml:space="preserve">和标准</w:t>
      </w:r>
      <w:r/>
    </w:p>
    <w:p>
      <w:pPr>
        <w:numPr>
          <w:ilvl w:val="0"/>
          <w:numId w:val="0"/>
        </w:numPr>
        <w:ind w:left="0" w:right="0" w:firstLine="439"/>
        <w:jc w:val="left"/>
        <w:keepLines w:val="0"/>
        <w:keepNext w:val="0"/>
        <w:pageBreakBefore w:val="0"/>
        <w:spacing w:before="40" w:after="40"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lang w:eastAsia="zh-CN"/>
        </w:rPr>
        <w:t xml:space="preserve">本次招标及由此产生的合同受中华人民共和国有关的法律法规制约和保护。</w:t>
      </w:r>
      <w:r/>
    </w:p>
    <w:p>
      <w:pPr>
        <w:numPr>
          <w:ilvl w:val="0"/>
          <w:numId w:val="0"/>
        </w:numPr>
        <w:ind w:left="0" w:right="0" w:firstLine="439"/>
        <w:jc w:val="left"/>
        <w:keepLines w:val="0"/>
        <w:keepNext w:val="0"/>
        <w:pageBreakBefore w:val="0"/>
        <w:spacing w:before="40" w:after="40" w:line="4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3.2 在本项目政府采购活动过程中，如果所执行的标准有更新的，按照最新标准执行。</w:t>
      </w:r>
      <w:r/>
    </w:p>
    <w:p>
      <w:pPr>
        <w:numPr>
          <w:ilvl w:val="0"/>
          <w:numId w:val="3"/>
        </w:numPr>
        <w:ind w:left="0" w:right="0" w:firstLine="441"/>
        <w:jc w:val="left"/>
        <w:keepLines w:val="0"/>
        <w:keepNext w:val="0"/>
        <w:pageBreakBefore w:val="0"/>
        <w:spacing w:before="100" w:after="100" w:line="400" w:lineRule="exact"/>
        <w:widowControl w:val="off"/>
        <w:rPr>
          <w:rFonts w:hint="eastAsia" w:ascii="宋体" w:hAnsi="宋体" w:eastAsia="宋体" w:cs="宋体"/>
          <w:b/>
          <w:bCs/>
          <w:color w:val="000000"/>
          <w:sz w:val="24"/>
          <w:szCs w:val="24"/>
          <w:lang w:val="en-US" w:eastAsia="zh-CN"/>
        </w:rPr>
      </w:pPr>
      <w:r/>
      <w:bookmarkStart w:id="25" w:name="_Toc513029207"/>
      <w:r/>
      <w:bookmarkStart w:id="26" w:name="_Toc20823279"/>
      <w:r/>
      <w:bookmarkStart w:id="27" w:name="_Toc16938523"/>
      <w:r/>
      <w:bookmarkStart w:id="28" w:name="_Toc462564067"/>
      <w:r>
        <w:rPr>
          <w:rFonts w:hint="eastAsia" w:ascii="宋体" w:hAnsi="宋体" w:eastAsia="宋体" w:cs="宋体"/>
          <w:b/>
          <w:bCs/>
          <w:color w:val="000000"/>
          <w:sz w:val="24"/>
          <w:szCs w:val="24"/>
          <w:lang w:val="en-US" w:eastAsia="zh-CN"/>
        </w:rPr>
        <w:t xml:space="preserve">投标费用</w:t>
      </w:r>
      <w:bookmarkEnd w:id="25"/>
      <w:r/>
      <w:bookmarkEnd w:id="26"/>
      <w:r/>
      <w:bookmarkEnd w:id="27"/>
      <w:r/>
      <w:bookmarkEnd w:id="28"/>
      <w:r/>
      <w:r/>
    </w:p>
    <w:p>
      <w:pPr>
        <w:numPr>
          <w:ilvl w:val="0"/>
          <w:numId w:val="0"/>
        </w:numPr>
        <w:ind w:left="5" w:right="0" w:firstLine="434"/>
        <w:jc w:val="left"/>
        <w:keepLines w:val="0"/>
        <w:keepNext w:val="0"/>
        <w:pageBreakBefore w:val="0"/>
        <w:spacing w:before="100" w:after="10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4.1</w:t>
      </w:r>
      <w:r>
        <w:rPr>
          <w:rFonts w:hint="eastAsia" w:ascii="宋体" w:hAnsi="宋体" w:eastAsia="宋体" w:cs="宋体"/>
          <w:color w:val="000000"/>
          <w:sz w:val="24"/>
          <w:szCs w:val="24"/>
        </w:rPr>
        <w:t xml:space="preserve">投标人应自行承担所有与参加投标有关的费用，无论投标过程中的做法和结果如何，采购人和采购代理机构对上述费用不承担任何责任和义务。</w:t>
      </w:r>
      <w:r/>
    </w:p>
    <w:p>
      <w:pPr>
        <w:numPr>
          <w:ilvl w:val="0"/>
          <w:numId w:val="0"/>
        </w:numPr>
        <w:ind w:left="5" w:right="0" w:firstLine="434"/>
        <w:jc w:val="left"/>
        <w:keepLines w:val="0"/>
        <w:keepNext w:val="0"/>
        <w:pageBreakBefore w:val="0"/>
        <w:spacing w:before="100" w:after="100" w:line="400" w:lineRule="exact"/>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4.2采购代理机构代理费用的收取标准和方式：（1）</w:t>
      </w:r>
      <w:r>
        <w:rPr>
          <w:rFonts w:hint="eastAsia" w:ascii="宋体" w:hAnsi="宋体" w:eastAsia="宋体" w:cs="宋体"/>
          <w:b/>
          <w:bCs/>
          <w:color w:val="000000"/>
          <w:sz w:val="24"/>
          <w:szCs w:val="24"/>
          <w:lang w:val="en-US" w:eastAsia="zh-CN"/>
        </w:rPr>
        <w:t xml:space="preserve">本项目为重新上网项目，招标代理费按原招标文件要求</w:t>
      </w:r>
      <w:r>
        <w:rPr>
          <w:rFonts w:hint="eastAsia" w:ascii="宋体" w:hAnsi="宋体" w:eastAsia="宋体" w:cs="宋体"/>
          <w:color w:val="000000"/>
          <w:sz w:val="24"/>
          <w:szCs w:val="24"/>
          <w:lang w:val="en-US" w:eastAsia="zh-CN"/>
        </w:rPr>
        <w:t xml:space="preserve">；（2）代理服务费由中标人（成交供应商）支付，费用包含在报价中，收费依据为《江苏省政府采购代理服务收费指导意见》的通知”（苏政采协〔2024〕20号）收费标准</w:t>
      </w:r>
      <w:r>
        <w:rPr>
          <w:rFonts w:hint="eastAsia" w:ascii="宋体" w:hAnsi="宋体" w:eastAsia="宋体" w:cs="宋体"/>
          <w:color w:val="000000"/>
          <w:sz w:val="24"/>
          <w:szCs w:val="24"/>
        </w:rPr>
        <w:t xml:space="preserve">。</w:t>
      </w:r>
      <w:r/>
    </w:p>
    <w:p>
      <w:pPr>
        <w:numPr>
          <w:ilvl w:val="0"/>
          <w:numId w:val="0"/>
        </w:numPr>
        <w:ind w:left="5" w:right="0" w:firstLine="434"/>
        <w:jc w:val="left"/>
        <w:keepLines w:val="0"/>
        <w:keepNext w:val="0"/>
        <w:pageBreakBefore w:val="0"/>
        <w:spacing w:before="100" w:after="10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本项目招标代理服务费参照“《江苏省政府采购代理服务收费指导意见》的通知（苏政采【2024】20号）”文件收费标准收取（差额累进），由中标供应商在领取中标（成交）通知书时向本公司缴纳。</w:t>
      </w:r>
      <w:r/>
    </w:p>
    <w:tbl>
      <w:tblPr>
        <w:tblStyle w:val="866"/>
        <w:tblW w:w="47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69"/>
        <w:gridCol w:w="2933"/>
      </w:tblGrid>
      <w:tr>
        <w:trPr>
          <w:jc w:val="center"/>
          <w:trHeight w:val="301"/>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中标或者成交金额</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费率</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最低收费金额(每个委托项目)</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5000</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 万元以下(含 50 万元)</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50-400万元(含400万元)</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400-1000万元(含1000万元)</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1000-5000万元(含5000万元)</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0.8%</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5000-1亿元(含1亿元)</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0.25%</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1-10 亿元(含 10 亿元)</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0.05%</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10-50 亿元(含 50 亿元)</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0.01%</w:t>
            </w:r>
            <w:r/>
          </w:p>
        </w:tc>
      </w:tr>
      <w:tr>
        <w:trPr>
          <w:jc w:val="center"/>
        </w:trPr>
        <w:tc>
          <w:tcPr>
            <w:tcW w:w="3233"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 亿元以上</w:t>
            </w:r>
            <w:r/>
          </w:p>
        </w:tc>
        <w:tc>
          <w:tcPr>
            <w:tcW w:w="1766" w:type="pct"/>
            <w:textDirection w:val="lrTb"/>
            <w:noWrap w:val="false"/>
          </w:tcPr>
          <w:p>
            <w:pPr>
              <w:ind w:left="0" w:firstLine="0"/>
              <w:jc w:val="center"/>
              <w:keepLines w:val="0"/>
              <w:keepNext w:val="0"/>
              <w:pageBreakBefore w:val="0"/>
              <w:spacing w:after="0" w:line="3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0.005%</w:t>
            </w:r>
            <w:r/>
          </w:p>
        </w:tc>
      </w:tr>
    </w:tbl>
    <w:p>
      <w:pPr>
        <w:pStyle w:val="918"/>
        <w:ind w:left="0" w:firstLine="480"/>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说明：</w:t>
      </w:r>
      <w:r/>
    </w:p>
    <w:p>
      <w:pPr>
        <w:pStyle w:val="918"/>
        <w:numPr>
          <w:ilvl w:val="0"/>
          <w:numId w:val="4"/>
        </w:numPr>
        <w:ind w:left="5" w:firstLine="435"/>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.按上表计算的收费为代理服务全过程的收费金额。</w:t>
      </w:r>
      <w:r/>
    </w:p>
    <w:p>
      <w:pPr>
        <w:pStyle w:val="918"/>
        <w:numPr>
          <w:ilvl w:val="0"/>
          <w:numId w:val="4"/>
        </w:numPr>
        <w:ind w:left="5" w:firstLine="435"/>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.代理服务费按差额定率累进法计算。</w:t>
      </w:r>
      <w:r/>
    </w:p>
    <w:p>
      <w:pPr>
        <w:pStyle w:val="918"/>
        <w:numPr>
          <w:ilvl w:val="0"/>
          <w:numId w:val="4"/>
        </w:numPr>
        <w:ind w:left="5" w:firstLine="435"/>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.代理服务费基准金额（按差额定率累进法计算的）=中标总金额（按差额定率累进法计算的）*费率（%）。</w:t>
      </w:r>
      <w:r/>
    </w:p>
    <w:p>
      <w:pPr>
        <w:pStyle w:val="918"/>
        <w:numPr>
          <w:ilvl w:val="0"/>
          <w:numId w:val="4"/>
        </w:numPr>
        <w:ind w:left="5" w:firstLine="435"/>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.代理服务费应收取金额=代理服务费基准金额（按差额定率累进法计算的）的合计数。</w:t>
      </w:r>
      <w:r/>
    </w:p>
    <w:p>
      <w:pPr>
        <w:pStyle w:val="918"/>
        <w:numPr>
          <w:ilvl w:val="0"/>
          <w:numId w:val="4"/>
        </w:numPr>
        <w:ind w:left="5" w:firstLine="435"/>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.计算出的代理服务费应收取金额如低于5千元，按5千元收取。 </w:t>
      </w:r>
      <w:r/>
    </w:p>
    <w:p>
      <w:pPr>
        <w:numPr>
          <w:ilvl w:val="0"/>
          <w:numId w:val="3"/>
        </w:numPr>
        <w:ind w:left="0" w:right="0" w:firstLine="441"/>
        <w:jc w:val="left"/>
        <w:keepLines w:val="0"/>
        <w:keepNext w:val="0"/>
        <w:pageBreakBefore w:val="0"/>
        <w:spacing w:before="100" w:after="100" w:line="4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招标文件的约束力</w:t>
      </w:r>
      <w:r/>
    </w:p>
    <w:p>
      <w:pPr>
        <w:numPr>
          <w:ilvl w:val="0"/>
          <w:numId w:val="0"/>
        </w:numPr>
        <w:ind w:left="5" w:right="0" w:firstLine="434"/>
        <w:jc w:val="left"/>
        <w:keepLines w:val="0"/>
        <w:keepNext w:val="0"/>
        <w:pageBreakBefore w:val="0"/>
        <w:spacing w:before="100" w:after="10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5.1</w:t>
      </w:r>
      <w:r>
        <w:rPr>
          <w:rFonts w:hint="eastAsia" w:ascii="宋体" w:hAnsi="宋体" w:eastAsia="宋体" w:cs="宋体"/>
          <w:color w:val="000000"/>
          <w:sz w:val="24"/>
          <w:szCs w:val="24"/>
        </w:rPr>
        <w:t xml:space="preserve">投标人一旦参加本项目采购活动，即被认为接受了本招标文件的规定和约束。</w:t>
      </w:r>
      <w:r/>
    </w:p>
    <w:p>
      <w:pPr>
        <w:numPr>
          <w:ilvl w:val="0"/>
          <w:numId w:val="5"/>
        </w:numPr>
        <w:ind w:right="0"/>
        <w:jc w:val="both"/>
        <w:keepLines w:val="0"/>
        <w:keepNext w:val="0"/>
        <w:pageBreakBefore w:val="0"/>
        <w:spacing w:before="100" w:after="100" w:line="240" w:lineRule="auto"/>
        <w:widowControl w:val="off"/>
        <w:rPr>
          <w:rFonts w:hint="eastAsia" w:ascii="宋体" w:hAnsi="宋体" w:eastAsia="宋体" w:cs="宋体"/>
          <w:b/>
          <w:bCs/>
          <w:color w:val="000000"/>
          <w:sz w:val="30"/>
          <w:szCs w:val="30"/>
          <w:lang w:val="en-US" w:eastAsia="zh-CN"/>
        </w:rPr>
      </w:pPr>
      <w:r>
        <w:rPr>
          <w:rFonts w:hint="eastAsia" w:ascii="宋体" w:hAnsi="宋体" w:eastAsia="宋体" w:cs="宋体"/>
          <w:b/>
          <w:bCs/>
          <w:color w:val="000000"/>
          <w:sz w:val="30"/>
          <w:szCs w:val="30"/>
        </w:rPr>
        <w:t xml:space="preserve">招标</w:t>
      </w:r>
      <w:r>
        <w:rPr>
          <w:rFonts w:hint="eastAsia" w:ascii="宋体" w:hAnsi="宋体" w:eastAsia="宋体" w:cs="宋体"/>
          <w:b/>
          <w:bCs/>
          <w:color w:val="000000"/>
          <w:sz w:val="30"/>
          <w:szCs w:val="30"/>
          <w:lang w:val="en-US" w:eastAsia="zh-CN"/>
        </w:rPr>
        <w:t xml:space="preserve">文件</w:t>
      </w:r>
      <w:r/>
    </w:p>
    <w:p>
      <w:pPr>
        <w:ind w:right="0" w:firstLine="482"/>
        <w:keepLines w:val="0"/>
        <w:keepNext w:val="0"/>
        <w:pageBreakBefore w:val="0"/>
        <w:spacing w:after="0"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招标文件构成</w:t>
      </w:r>
      <w:r/>
    </w:p>
    <w:p>
      <w:pPr>
        <w:ind w:right="0" w:firstLine="48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.1招标文件包括以下内容：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（1）投标邀请</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（2）投标人须知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（3）合同文本</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（4）采购需求</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（5）评标方法与评标标准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（6）投标文件格式</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请仔细检查招标文件是否齐全，如有缺漏请立即与泰州天诚联系解决。</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6.2 </w:t>
      </w:r>
      <w:r>
        <w:rPr>
          <w:rFonts w:hint="eastAsia" w:ascii="宋体" w:hAnsi="宋体" w:eastAsia="宋体" w:cs="宋体"/>
          <w:color w:val="000000"/>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bookmarkStart w:id="29" w:name="_Toc16938528"/>
      <w:r/>
      <w:bookmarkStart w:id="30" w:name="_Toc462564071"/>
      <w:r/>
      <w:bookmarkStart w:id="31" w:name="_Toc20823284"/>
      <w:r/>
      <w:bookmarkStart w:id="32" w:name="_Toc513029212"/>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、招标文件的修改</w:t>
      </w:r>
      <w:bookmarkEnd w:id="29"/>
      <w:r/>
      <w:bookmarkEnd w:id="30"/>
      <w:r/>
      <w:bookmarkEnd w:id="31"/>
      <w:r/>
      <w:bookmarkEnd w:id="32"/>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在投标截止时间前，</w:t>
      </w:r>
      <w:r>
        <w:rPr>
          <w:rFonts w:hint="eastAsia" w:ascii="宋体" w:hAnsi="宋体" w:eastAsia="宋体" w:cs="宋体"/>
          <w:color w:val="000000"/>
          <w:sz w:val="24"/>
          <w:szCs w:val="24"/>
          <w:lang w:eastAsia="zh-CN"/>
        </w:rPr>
        <w:t xml:space="preserve">泰州天诚</w:t>
      </w:r>
      <w:r>
        <w:rPr>
          <w:rFonts w:hint="eastAsia" w:ascii="宋体" w:hAnsi="宋体" w:eastAsia="宋体" w:cs="宋体"/>
          <w:color w:val="000000"/>
          <w:sz w:val="24"/>
          <w:szCs w:val="24"/>
        </w:rPr>
        <w:t xml:space="preserve">可以对招标文件进行修改。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w:t>
      </w:r>
      <w:r>
        <w:rPr>
          <w:rFonts w:hint="eastAsia" w:ascii="宋体" w:hAnsi="宋体" w:eastAsia="宋体" w:cs="宋体"/>
          <w:color w:val="000000"/>
          <w:sz w:val="24"/>
          <w:szCs w:val="24"/>
          <w:lang w:eastAsia="zh-CN"/>
        </w:rPr>
        <w:t xml:space="preserve">泰州天诚</w:t>
      </w:r>
      <w:r>
        <w:rPr>
          <w:rFonts w:hint="eastAsia" w:ascii="宋体" w:hAnsi="宋体" w:eastAsia="宋体" w:cs="宋体"/>
          <w:color w:val="000000"/>
          <w:sz w:val="24"/>
          <w:szCs w:val="24"/>
        </w:rPr>
        <w:t xml:space="preserve">有权按照法定的要求推迟投标截止日期和开标日期。</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招标文件的修改将在江苏政府采购网公布，补充文件将作为招标文件的组成部分，并对投标人具有约束力。</w:t>
      </w:r>
      <w:r/>
    </w:p>
    <w:p>
      <w:pPr>
        <w:ind w:right="0"/>
        <w:jc w:val="both"/>
        <w:keepLines w:val="0"/>
        <w:keepNext w:val="0"/>
        <w:pageBreakBefore w:val="0"/>
        <w:spacing w:before="100" w:after="100" w:line="400" w:lineRule="exact"/>
        <w:widowControl w:val="off"/>
        <w:rPr>
          <w:rFonts w:hint="eastAsia" w:ascii="宋体" w:hAnsi="宋体" w:eastAsia="宋体" w:cs="宋体"/>
          <w:b/>
          <w:bCs/>
          <w:color w:val="000000"/>
          <w:sz w:val="28"/>
          <w:szCs w:val="28"/>
        </w:rPr>
      </w:pPr>
      <w:r/>
      <w:bookmarkStart w:id="33" w:name="_Toc462564072"/>
      <w:r/>
      <w:bookmarkStart w:id="34" w:name="_Toc120614216"/>
      <w:r/>
      <w:bookmarkStart w:id="35" w:name="_Toc513029213"/>
      <w:r/>
      <w:bookmarkStart w:id="36" w:name="_Toc16938529"/>
      <w:r/>
      <w:bookmarkStart w:id="37" w:name="_Toc20823285"/>
      <w:r>
        <w:rPr>
          <w:rFonts w:hint="eastAsia" w:ascii="宋体" w:hAnsi="宋体" w:eastAsia="宋体" w:cs="宋体"/>
          <w:b/>
          <w:bCs/>
          <w:color w:val="000000"/>
          <w:sz w:val="28"/>
          <w:szCs w:val="28"/>
        </w:rPr>
        <w:t xml:space="preserve">三、投标文件的编制</w:t>
      </w:r>
      <w:bookmarkEnd w:id="33"/>
      <w:r/>
      <w:bookmarkEnd w:id="34"/>
      <w:r/>
      <w:bookmarkEnd w:id="35"/>
      <w:r/>
      <w:bookmarkEnd w:id="36"/>
      <w:r/>
      <w:bookmarkEnd w:id="37"/>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bookmarkStart w:id="38" w:name="_Toc16938530"/>
      <w:r/>
      <w:bookmarkStart w:id="39" w:name="_Toc513029214"/>
      <w:r/>
      <w:bookmarkStart w:id="40" w:name="_Toc20823286"/>
      <w:r/>
      <w:bookmarkStart w:id="41" w:name="_Toc462564073"/>
      <w:r>
        <w:rPr>
          <w:rFonts w:hint="eastAsia" w:ascii="宋体" w:hAnsi="宋体" w:eastAsia="宋体" w:cs="宋体"/>
          <w:b/>
          <w:bCs/>
          <w:color w:val="000000"/>
          <w:sz w:val="24"/>
          <w:szCs w:val="24"/>
        </w:rPr>
        <w:t xml:space="preserve">8、投标文件的语言及度量衡单位</w:t>
      </w:r>
      <w:bookmarkEnd w:id="38"/>
      <w:r/>
      <w:bookmarkEnd w:id="39"/>
      <w:r/>
      <w:bookmarkEnd w:id="40"/>
      <w:r/>
      <w:bookmarkEnd w:id="41"/>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 投标人提交的投标文件以及投标人与</w:t>
      </w:r>
      <w:r>
        <w:rPr>
          <w:rFonts w:hint="eastAsia" w:ascii="宋体" w:hAnsi="宋体" w:eastAsia="宋体" w:cs="宋体"/>
          <w:color w:val="000000"/>
          <w:sz w:val="24"/>
          <w:szCs w:val="24"/>
          <w:lang w:eastAsia="zh-CN"/>
        </w:rPr>
        <w:t xml:space="preserve">泰州天诚</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 除技术性能另有规定外，投标文件所使用的度量衡单位，均须采用国家法定计量单位。</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bookmarkStart w:id="42" w:name="_Toc16938531"/>
      <w:r/>
      <w:bookmarkStart w:id="43" w:name="_Toc462564074"/>
      <w:r/>
      <w:bookmarkStart w:id="44" w:name="_Toc513029215"/>
      <w:r/>
      <w:bookmarkStart w:id="45" w:name="_Toc20823287"/>
      <w:r>
        <w:rPr>
          <w:rFonts w:hint="eastAsia" w:ascii="宋体" w:hAnsi="宋体" w:eastAsia="宋体" w:cs="宋体"/>
          <w:b/>
          <w:bCs/>
          <w:color w:val="000000"/>
          <w:sz w:val="24"/>
          <w:szCs w:val="24"/>
        </w:rPr>
        <w:t xml:space="preserve">9、投标文件构成</w:t>
      </w:r>
      <w:bookmarkEnd w:id="42"/>
      <w:r/>
      <w:bookmarkEnd w:id="43"/>
      <w:r/>
      <w:bookmarkEnd w:id="44"/>
      <w:r/>
      <w:bookmarkEnd w:id="45"/>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投标人编写的投标文件应包括资格证明文件、实质性要求响应及偏离表、投标分项报价表、技术要求响应及偏离表、商务要求响应及偏离表、其他证明文件、投标函、开标一览表等部分。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bookmarkStart w:id="46" w:name="_Hlt26668975"/>
      <w:r/>
      <w:bookmarkEnd w:id="46"/>
      <w:r/>
      <w:bookmarkStart w:id="47" w:name="_Hlt26670360"/>
      <w:r/>
      <w:bookmarkEnd w:id="47"/>
      <w:r/>
      <w:bookmarkStart w:id="48" w:name="_Hlt26954838"/>
      <w:r/>
      <w:bookmarkEnd w:id="48"/>
      <w:r/>
      <w:bookmarkStart w:id="49" w:name="_Toc513029219"/>
      <w:r/>
      <w:bookmarkStart w:id="50" w:name="_Toc14577357"/>
      <w:r/>
      <w:bookmarkStart w:id="51" w:name="_Toc49090507"/>
      <w:r/>
      <w:bookmarkStart w:id="52" w:name="_Toc14577354"/>
      <w:r/>
      <w:bookmarkStart w:id="53" w:name="_Toc513029216"/>
      <w:r/>
      <w:bookmarkStart w:id="54" w:name="_Toc49090509"/>
      <w:r>
        <w:rPr>
          <w:rFonts w:hint="eastAsia" w:ascii="宋体" w:hAnsi="宋体" w:eastAsia="宋体" w:cs="宋体"/>
          <w:b/>
          <w:bCs/>
          <w:color w:val="000000"/>
          <w:sz w:val="24"/>
          <w:szCs w:val="24"/>
        </w:rPr>
        <w:t xml:space="preserve">10、证明投标人及投标标的符合招标文件规定的文件</w:t>
      </w:r>
      <w:bookmarkEnd w:id="49"/>
      <w:r/>
      <w:bookmarkEnd w:id="50"/>
      <w:r/>
      <w:bookmarkEnd w:id="51"/>
      <w:r/>
      <w:bookmarkEnd w:id="52"/>
      <w:r/>
      <w:bookmarkEnd w:id="53"/>
      <w:r/>
      <w:bookmarkEnd w:id="54"/>
      <w:r/>
      <w:bookmarkStart w:id="55" w:name="_Toc14577355"/>
      <w:r/>
      <w:bookmarkStart w:id="56" w:name="_Toc49090508"/>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投标人应按照法律、法规、规章和规范性文件以及招标文件要求提交证明文件，证明其及投标标的符合招标文件规定。</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招标文件对证明文件无明确形式要求的，证明文件可以以文字资料、图纸和数据等形式提交。</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11、投标分项报价</w:t>
      </w:r>
      <w:bookmarkEnd w:id="55"/>
      <w:r/>
      <w:bookmarkStart w:id="57" w:name="_Hlt26670373"/>
      <w:r/>
      <w:bookmarkEnd w:id="57"/>
      <w:r>
        <w:rPr>
          <w:rFonts w:hint="eastAsia" w:ascii="宋体" w:hAnsi="宋体" w:eastAsia="宋体" w:cs="宋体"/>
          <w:b/>
          <w:bCs/>
          <w:color w:val="000000"/>
          <w:sz w:val="24"/>
          <w:szCs w:val="24"/>
        </w:rPr>
        <w:t xml:space="preserve">表</w:t>
      </w:r>
      <w:bookmarkEnd w:id="56"/>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投</w:t>
      </w:r>
      <w:bookmarkStart w:id="58" w:name="_Hlt26954840"/>
      <w:r/>
      <w:bookmarkEnd w:id="58"/>
      <w:r>
        <w:rPr>
          <w:rFonts w:hint="eastAsia" w:ascii="宋体" w:hAnsi="宋体" w:eastAsia="宋体" w:cs="宋体"/>
          <w:color w:val="000000"/>
          <w:sz w:val="24"/>
          <w:szCs w:val="24"/>
        </w:rPr>
        <w:t xml:space="preserve">标人按照招标文件规定格式填报投标分项报价表</w:t>
      </w:r>
      <w:bookmarkStart w:id="59" w:name="_Hlt26670399"/>
      <w:r/>
      <w:bookmarkEnd w:id="59"/>
      <w:r>
        <w:rPr>
          <w:rFonts w:hint="eastAsia" w:ascii="宋体" w:hAnsi="宋体" w:eastAsia="宋体" w:cs="宋体"/>
          <w:color w:val="000000"/>
          <w:sz w:val="24"/>
          <w:szCs w:val="24"/>
        </w:rPr>
        <w:t xml:space="preserve">。</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投标货币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投标文件中的单价和总价无特殊规定的采用人民币报价，以元为单位标注。招标文件中另有规定的按规定执行。</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rPr>
      </w:pPr>
      <w:r/>
      <w:bookmarkStart w:id="60" w:name="_Hlt26954848"/>
      <w:r/>
      <w:bookmarkEnd w:id="60"/>
      <w:r/>
      <w:bookmarkStart w:id="61" w:name="_Hlt26954731"/>
      <w:r/>
      <w:bookmarkEnd w:id="61"/>
      <w:r/>
      <w:bookmarkStart w:id="62" w:name="_Hlt26954846"/>
      <w:r/>
      <w:bookmarkEnd w:id="62"/>
      <w:r/>
      <w:bookmarkStart w:id="63" w:name="_Hlt26954842"/>
      <w:r/>
      <w:bookmarkEnd w:id="63"/>
      <w:r/>
      <w:bookmarkStart w:id="64" w:name="_Hlt26954844"/>
      <w:r/>
      <w:bookmarkEnd w:id="64"/>
      <w:r/>
      <w:bookmarkStart w:id="65" w:name="_Hlt26670482"/>
      <w:r/>
      <w:bookmarkEnd w:id="65"/>
      <w:r/>
      <w:bookmarkStart w:id="66" w:name="_Hlt26670403"/>
      <w:r/>
      <w:bookmarkEnd w:id="66"/>
      <w:r/>
      <w:bookmarkStart w:id="67" w:name="_Hlt26668983"/>
      <w:r/>
      <w:bookmarkEnd w:id="67"/>
      <w:r/>
      <w:bookmarkStart w:id="68" w:name="_Hlt26670425"/>
      <w:r/>
      <w:bookmarkEnd w:id="68"/>
      <w:r/>
      <w:bookmarkStart w:id="69" w:name="_Hlt26670486"/>
      <w:r/>
      <w:bookmarkEnd w:id="69"/>
      <w:r>
        <w:rPr>
          <w:rFonts w:hint="eastAsia" w:ascii="宋体" w:hAnsi="宋体" w:eastAsia="宋体" w:cs="宋体"/>
          <w:b/>
          <w:bCs/>
          <w:color w:val="000000"/>
          <w:sz w:val="24"/>
          <w:szCs w:val="24"/>
        </w:rPr>
        <w:t xml:space="preserve">12、技术要求响应及偏离表、商务要求响应及偏离表</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12.1 投标人需对招标文件中的技术要求与商务要求逐项作出响应或偏离，并说明原因。</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bookmarkStart w:id="70" w:name="_Toc49090510"/>
      <w:r/>
      <w:bookmarkStart w:id="71" w:name="_Toc14577359"/>
      <w:r>
        <w:rPr>
          <w:rFonts w:hint="eastAsia" w:ascii="宋体" w:hAnsi="宋体" w:eastAsia="宋体" w:cs="宋体"/>
          <w:color w:val="000000"/>
          <w:sz w:val="24"/>
          <w:szCs w:val="24"/>
          <w:lang w:val="zh-CN"/>
        </w:rPr>
        <w:t xml:space="preserve">12.2 投标人需按照招标文件要求，在投标文件中提供与技术要求和商务要求相关的证明材料。</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12.3 投标人对存在超出或负偏离的的技术要求，应真实填写（对属于超出的技术参数，供应商须在投标文件中提供有效证明材料，如未提供，评标委员会在评审时将不予认可；对属于负偏离的技术参数，未真实填写的视为虚假响应）</w:t>
      </w:r>
      <w:r/>
    </w:p>
    <w:p>
      <w:pPr>
        <w:numPr>
          <w:ilvl w:val="0"/>
          <w:numId w:val="0"/>
        </w:numPr>
        <w:ind w:right="0" w:firstLine="480"/>
        <w:jc w:val="left"/>
        <w:keepLines w:val="0"/>
        <w:keepNext w:val="0"/>
        <w:pageBreakBefore w:val="0"/>
        <w:spacing w:after="0" w:line="400" w:lineRule="exact"/>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12.4 如技术、商务要求响应及偏离表未填写并做响应的按无效投标处理。</w:t>
      </w:r>
      <w:bookmarkEnd w:id="70"/>
      <w:r/>
      <w:bookmarkEnd w:id="71"/>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13、服务承诺、培训计划、人员安排及其他</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13.1 投标人需根据招标文件要求提供有关售后服务的管理制度，售后服务机构的分布情况，售后服务人员的数量、素质、技术水平及售后服务的反应能力等。</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rPr>
        <w:t xml:space="preserve">13.2 投标人需根据招标文件要求提供培训计划。</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13.3 投标人需根据招标文件要求提供所投标的的主要组成部分、功能设计、实现思路及关键技术等。</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14、投标函和开标一览表</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14.1 投标人应按照招标文件中提供的格式完整、正确填写投标函、开标一览表。</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14.2 对于采用货币报价的项目，开标一览表中的投标总报价应与投标分项报价表中的投标总报价一致，如不一致，不作为无效投标处理，但评标时按开标一览表中价格为准。</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15、投标有效期</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15.1投标有效期为泰州天诚规定的开标之日后</w:t>
      </w:r>
      <w:r>
        <w:rPr>
          <w:rFonts w:hint="eastAsia" w:ascii="宋体" w:hAnsi="宋体" w:eastAsia="宋体" w:cs="宋体"/>
          <w:b/>
          <w:bCs/>
          <w:color w:val="000000"/>
          <w:sz w:val="24"/>
          <w:szCs w:val="24"/>
          <w:u w:val="single"/>
          <w:lang w:val="zh-CN"/>
        </w:rPr>
        <w:t xml:space="preserve">六十（60）天</w:t>
      </w:r>
      <w:r>
        <w:rPr>
          <w:rFonts w:hint="eastAsia" w:ascii="宋体" w:hAnsi="宋体" w:eastAsia="宋体" w:cs="宋体"/>
          <w:color w:val="000000"/>
          <w:sz w:val="24"/>
          <w:szCs w:val="24"/>
          <w:lang w:val="zh-CN"/>
        </w:rPr>
        <w:t xml:space="preserve">。投标有效期比规定短的将被视为未实质性响应招标文件而予以拒绝。</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16、投标有效期的延长</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16.1在特殊情况下，泰州天诚于原投标有效期满之前，可向投标人提出延长投标有效期的要求。这种要求与答复均应采用书面形式。投标人可以拒绝泰州天诚的这一要求而放弃投标，同意延长投标有效期的投标人既不能要求也不允许修改其投标文件。受投标有效期约束的所有权利与义务均延长至新的有效期。</w:t>
      </w:r>
      <w:r/>
    </w:p>
    <w:p>
      <w:pPr>
        <w:ind w:right="0"/>
        <w:jc w:val="both"/>
        <w:keepLines w:val="0"/>
        <w:keepNext w:val="0"/>
        <w:pageBreakBefore w:val="0"/>
        <w:spacing w:before="100" w:after="100" w:line="40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zh-CN"/>
        </w:rPr>
        <w:t xml:space="preserve">四、投标文件的递交</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eastAsia="zh-CN"/>
        </w:rPr>
        <w:t xml:space="preserve">17</w:t>
      </w:r>
      <w:r>
        <w:rPr>
          <w:rFonts w:hint="eastAsia" w:ascii="宋体" w:hAnsi="宋体" w:eastAsia="宋体" w:cs="宋体"/>
          <w:b/>
          <w:bCs/>
          <w:color w:val="000000"/>
          <w:sz w:val="24"/>
          <w:szCs w:val="24"/>
          <w:lang w:val="zh-CN" w:eastAsia="zh-CN"/>
        </w:rPr>
        <w:t xml:space="preserve">、电子投标文件的递交</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17.1投标人应当按照《操作手册》规定，在投标截止时间前制作并上传电子投标文件。</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eastAsia="zh-CN"/>
        </w:rPr>
        <w:t xml:space="preserve">18</w:t>
      </w:r>
      <w:r>
        <w:rPr>
          <w:rFonts w:hint="eastAsia" w:ascii="宋体" w:hAnsi="宋体" w:eastAsia="宋体" w:cs="宋体"/>
          <w:b/>
          <w:bCs/>
          <w:color w:val="000000"/>
          <w:sz w:val="24"/>
          <w:szCs w:val="24"/>
          <w:lang w:val="zh-CN" w:eastAsia="zh-CN"/>
        </w:rPr>
        <w:t xml:space="preserve">、投标截止日期</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18.1 投标人上传电子投标文件的时间不得迟于招标公告中规定的投标截止时间。</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投标人应充分考虑到网络环境、网络带宽等风险因素，如因投标人自身原因造成的电子投标文件上传不成功的按照本招标文件第二章第26.1.2条规定做无效投标处理。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18.2 泰州天诚可以按照规定，通过修改招标文件酌情延长投标截止日期，在此情况下，投标人的所有权利和义务以及投标人受制的截止日期均应以延长后新的截止日期为准。</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19</w:t>
      </w:r>
      <w:r>
        <w:rPr>
          <w:rFonts w:hint="eastAsia" w:ascii="宋体" w:hAnsi="宋体" w:eastAsia="宋体" w:cs="宋体"/>
          <w:b/>
          <w:bCs/>
          <w:color w:val="000000"/>
          <w:sz w:val="24"/>
          <w:szCs w:val="24"/>
          <w:lang w:val="zh-CN" w:eastAsia="zh-CN"/>
        </w:rPr>
        <w:t xml:space="preserve">、投标文件的拒收</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19.1 泰州天诚拒绝接收在其规定的投标截止时间后上传的任何投标文件。</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20</w:t>
      </w:r>
      <w:r>
        <w:rPr>
          <w:rFonts w:hint="eastAsia" w:ascii="宋体" w:hAnsi="宋体" w:eastAsia="宋体" w:cs="宋体"/>
          <w:b/>
          <w:bCs/>
          <w:color w:val="000000"/>
          <w:sz w:val="24"/>
          <w:szCs w:val="24"/>
          <w:lang w:val="zh-CN" w:eastAsia="zh-CN"/>
        </w:rPr>
        <w:t xml:space="preserve">、投标文件的撤回和修改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20.1 投标文件的撤回</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20.1.1 电子投标文件的撤回</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投标人可在投标截止时间前，撤回其电子投标文件，具体操作方法见《操作手册》。</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20.1.2 投标人撤回电子投标文件，则认为其不再参与本项目投标活动。</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20.2 投标文件的修改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20.2.1投标人可在投标截止时间前，对其电子投标文件进行修改，具体操作方法见《操作手册》。</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20.2.2 在投标截止时间之后，投标人不得对其电子投标文件作任何修改。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20.3 在投标截止时间至招标文件中规定的投标有效期满之间的这段时间内，投标人不得撤回其投标。</w:t>
      </w:r>
      <w:r/>
    </w:p>
    <w:p>
      <w:pPr>
        <w:ind w:right="0"/>
        <w:jc w:val="both"/>
        <w:keepLines w:val="0"/>
        <w:keepNext w:val="0"/>
        <w:pageBreakBefore w:val="0"/>
        <w:spacing w:before="100" w:after="100" w:line="400" w:lineRule="exact"/>
        <w:widowControl w:val="off"/>
        <w:rPr>
          <w:rFonts w:hint="eastAsia" w:ascii="宋体" w:hAnsi="宋体" w:eastAsia="宋体" w:cs="宋体"/>
          <w:b/>
          <w:bCs/>
          <w:color w:val="000000"/>
          <w:sz w:val="28"/>
          <w:szCs w:val="28"/>
          <w:lang w:val="zh-CN"/>
        </w:rPr>
      </w:pPr>
      <w:r>
        <w:rPr>
          <w:rFonts w:hint="eastAsia" w:ascii="宋体" w:hAnsi="宋体" w:eastAsia="宋体" w:cs="宋体"/>
          <w:b/>
          <w:bCs/>
          <w:color w:val="000000"/>
          <w:sz w:val="28"/>
          <w:szCs w:val="28"/>
          <w:lang w:val="zh-CN"/>
        </w:rPr>
        <w:t xml:space="preserve">五、开标与评标</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21</w:t>
      </w:r>
      <w:r>
        <w:rPr>
          <w:rFonts w:hint="eastAsia" w:ascii="宋体" w:hAnsi="宋体" w:eastAsia="宋体" w:cs="宋体"/>
          <w:b/>
          <w:bCs/>
          <w:color w:val="000000"/>
          <w:sz w:val="24"/>
          <w:szCs w:val="24"/>
          <w:lang w:val="zh-CN" w:eastAsia="zh-CN"/>
        </w:rPr>
        <w:t xml:space="preserve">、开标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21.1 泰州天诚将在招标公告中规定的时间和地点组织公开开标。投标人应当按照《操作手册》规定，参加开标活动和在苏采云系统规定的时间内对投标文件进行解密。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21.2开标仪式由泰州天诚组织。苏采云系统将自动对项目进行开标，并宣布各投标人名称和投标价格。</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21.3投标人在开标过程中涉及到的投标文件解密、开标结果确认等工作，应按照《操作手册》规定执行。</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21.4投标人如果对开标过程和开标记录有疑义，应当根据《操作手册》规定提出，如苏采云系统中《开标记录表》宣布后未提出的，视同认可开标结果。</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22、评标委员会</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22.1 开标后，泰州天诚将立即组织评标委员会（以下简称评委会）进行评标。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22.2 评委会由采购人代表和有关技术、经济等方面的专家组成，且人员构成符合政府采购有关规定。</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22.3评委会独立工作，负责评审所有投标文件并确定中标侯选人。</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23、评标过程的保密与公正</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23.1凡是与审查、澄清、评价和比较投标的有关资料以及授标建议等，采购人、评委、泰州天诚均不得向投标人或与评标无关的其他人员透露。</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23.2在评标过程中，投标人不得以任何行为影响评标过程，否则其投标文件将被作为无效投标文件。</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23.3 泰州天诚和评标委员会不向未中标的投标人解释未中标原因，也不公布评标过程中的相关细节。</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23.4 采用综合评分法的项目，未中标的投标人可于中标结果公告期限届满之日起通过苏采云系统查看自己的评审得分及排序情况。</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24、投标文件的澄清</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24.1评标期间，评委会对投标文件中含义不明确、同类问题表述不一致或者有明显文字和计算错误的内容 ，有权要求投标人作出必要的澄清、说明或者补正。</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投标人的澄清、说明或者补正不得超出投标文件的范围或者改变投标文件的实质性内容。</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评标委员会并非对每个投标人都做澄清要求。</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24.3 接到评委会澄清、说明和补正要求的投标人如未按规定做出澄清、说明和补正，其风险由投标人自行承担。</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25、对投标文件的初审</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25.1投标文件初审分为资格审查和符合性审查。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25.1.1 资格审查：依据法律法规和招标文件的规定，由采购人对投标文件中的资格证明文件进行审查。资格审查的结论，采购人以书面形式向评委会进行反馈。</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采购人在进行资格性审查的同时，将在“信用中国”网站（</w:t>
      </w:r>
      <w:r>
        <w:rPr>
          <w:rFonts w:hint="eastAsia" w:ascii="宋体" w:hAnsi="宋体" w:eastAsia="宋体" w:cs="宋体"/>
          <w:color w:val="000000"/>
          <w:sz w:val="24"/>
          <w:szCs w:val="24"/>
          <w:lang w:val="zh-CN" w:eastAsia="zh-CN"/>
        </w:rPr>
        <w:fldChar w:fldCharType="begin"/>
      </w:r>
      <w:r>
        <w:rPr>
          <w:rFonts w:hint="eastAsia" w:ascii="宋体" w:hAnsi="宋体" w:eastAsia="宋体" w:cs="宋体"/>
          <w:color w:val="000000"/>
          <w:sz w:val="24"/>
          <w:szCs w:val="24"/>
          <w:lang w:val="zh-CN" w:eastAsia="zh-CN"/>
        </w:rPr>
        <w:instrText xml:space="preserve">HYPERLINK "../../../微信下载的文件/WeChat Files/wxid_f41n0vp20vpw22/FileStorage/File/2025-01/www.creditchina.gov.cn"</w:instrText>
      </w:r>
      <w:r>
        <w:rPr>
          <w:rFonts w:hint="eastAsia" w:ascii="宋体" w:hAnsi="宋体" w:eastAsia="宋体" w:cs="宋体"/>
          <w:color w:val="000000"/>
          <w:sz w:val="24"/>
          <w:szCs w:val="24"/>
          <w:lang w:val="zh-CN" w:eastAsia="zh-CN"/>
        </w:rPr>
        <w:fldChar w:fldCharType="separate"/>
      </w:r>
      <w:r>
        <w:rPr>
          <w:rFonts w:hint="eastAsia" w:ascii="宋体" w:hAnsi="宋体" w:eastAsia="宋体" w:cs="宋体"/>
          <w:color w:val="000000"/>
          <w:sz w:val="24"/>
          <w:szCs w:val="24"/>
          <w:lang w:val="zh-CN" w:eastAsia="zh-CN"/>
        </w:rPr>
        <w:t xml:space="preserve">www.creditchina.gov.cn</w:t>
      </w:r>
      <w:r>
        <w:rPr>
          <w:rFonts w:hint="eastAsia" w:ascii="宋体" w:hAnsi="宋体" w:eastAsia="宋体" w:cs="宋体"/>
          <w:color w:val="000000"/>
          <w:sz w:val="24"/>
          <w:szCs w:val="24"/>
          <w:lang w:val="zh-CN" w:eastAsia="zh-CN"/>
        </w:rPr>
        <w:fldChar w:fldCharType="end"/>
      </w:r>
      <w:r>
        <w:rPr>
          <w:rFonts w:hint="eastAsia" w:ascii="宋体" w:hAnsi="宋体" w:eastAsia="宋体" w:cs="宋体"/>
          <w:color w:val="000000"/>
          <w:sz w:val="24"/>
          <w:szCs w:val="24"/>
          <w:lang w:val="zh-CN" w:eastAsia="zh-CN"/>
        </w:rPr>
        <w:t xml:space="preserve">）查询投标人的信用记录，以确定投标人是否具备投标资格,查询结果留存并归档。</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25.1.2 符合性审查：依据招标文件的规定，由评委会从投标文件的有效性、完整性和对招标文件的响应程度进行审查，以确定是否对招标文件的实质性要求作出响应。</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25.1.3 未通过资格审查或符合性审查的投标人，泰州天诚将在苏采云系统中告知未通过资格审查或符合性审查的原因，评审结束后，泰州天诚将不再告知未通过资格审查或符合性审查的原因。</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所谓重大偏离或保留是指与招标文件规定的实质性要求存在负偏离，或者在实质上与招标文件不一致，而且限制了合同中买方和泰州天诚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25.3如果投标文件实质上没有响应招标文件的要求，评委会将予以拒绝，投标人不得通过修改或撤销不合要求的偏离或保留而使其投标成为实质性响应的投标。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25.4评委会将对确定为实质性响应的投标进行进一步审核，看其是否有计算上或累加上的算术错误，修正错误的原则如下：</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（1）投标文件中开标一览表内容与投标文件中相应内容不一致的，以开标一览表为准。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（2）大写金额和小写金额不一致的，以大写金额为准。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（3）单价金额小数点或者百分比有明显错位的，以开标一览表的总价为准，并修改单价。</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（4）总价金额与按单价汇总金额不一致的，以单价金额计算结果为准。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sz w:val="22"/>
          <w:szCs w:val="22"/>
          <w:lang w:val="zh-CN" w:eastAsia="zh-CN"/>
        </w:rPr>
      </w:pPr>
      <w:r>
        <w:rPr>
          <w:rFonts w:hint="eastAsia" w:ascii="宋体" w:hAnsi="宋体" w:eastAsia="宋体" w:cs="宋体"/>
          <w:color w:val="000000"/>
          <w:sz w:val="24"/>
          <w:szCs w:val="24"/>
          <w:lang w:val="zh-CN" w:eastAsia="zh-CN"/>
        </w:rPr>
        <w:t xml:space="preserve">同时出现两种以上错误的，按照前款规定的顺序修正。</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非单一产品采购项目，招标文件中将载明其中的核心产品。多家投标人提供的核心产品品牌相同的，按前两款规定处理。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25.7投标人在开、评标全过程中应保持通讯畅通，及时登录苏采云系统查阅、答复相关信息，并安排专人与泰州天诚及评标委员会联系。</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25.8 异常低价投标审查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 xml:space="preserve">25.8.1 评标过程中出现下列情形之一的，评标委员会应当启动异常低价投标审查程序：</w:t>
      </w:r>
      <w:r/>
    </w:p>
    <w:p>
      <w:pPr>
        <w:numPr>
          <w:ilvl w:val="0"/>
          <w:numId w:val="0"/>
        </w:numPr>
        <w:ind w:left="0" w:right="0" w:firstLine="439"/>
        <w:jc w:val="left"/>
        <w:keepLines w:val="0"/>
        <w:keepNext w:val="0"/>
        <w:pageBreakBefore w:val="0"/>
        <w:spacing w:after="0" w:line="400" w:lineRule="exact"/>
        <w:widowControl w:val="off"/>
        <w:rPr>
          <w:rFonts w:hint="default"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zh-CN" w:eastAsia="zh-CN"/>
        </w:rPr>
        <w:t xml:space="preserve">（1）投标报价低于全部通过符合性审查供应商投标报价平均值50%的，即投标报价&lt;全部通过符合性审查供应商投标报价平均值×50%；</w:t>
      </w:r>
      <w:r/>
    </w:p>
    <w:p>
      <w:pPr>
        <w:numPr>
          <w:ilvl w:val="0"/>
          <w:numId w:val="0"/>
        </w:numPr>
        <w:ind w:left="0" w:right="0" w:firstLine="439"/>
        <w:jc w:val="left"/>
        <w:keepLines w:val="0"/>
        <w:keepNext w:val="0"/>
        <w:pageBreakBefore w:val="0"/>
        <w:spacing w:after="0" w:line="400" w:lineRule="exact"/>
        <w:widowControl w:val="off"/>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 xml:space="preserve">（2）投标报价低于通过符合性审查的次低报价供应商投标报价50%的，即投标报价&lt;通过符合性审查的次低报价供应商投标报价×50%；</w:t>
      </w:r>
      <w:r/>
    </w:p>
    <w:p>
      <w:pPr>
        <w:numPr>
          <w:ilvl w:val="0"/>
          <w:numId w:val="0"/>
        </w:numPr>
        <w:ind w:left="0" w:right="0" w:firstLine="439"/>
        <w:jc w:val="left"/>
        <w:keepLines w:val="0"/>
        <w:keepNext w:val="0"/>
        <w:pageBreakBefore w:val="0"/>
        <w:spacing w:after="0" w:line="400" w:lineRule="exact"/>
        <w:widowControl w:val="off"/>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 xml:space="preserve">（3）投标报价低于采购项目最高限价45%的，即投标报价&lt;采购项目最高限价×45%；</w:t>
      </w:r>
      <w:r/>
    </w:p>
    <w:p>
      <w:pPr>
        <w:numPr>
          <w:ilvl w:val="0"/>
          <w:numId w:val="0"/>
        </w:numPr>
        <w:ind w:left="0" w:right="0" w:firstLine="439"/>
        <w:jc w:val="left"/>
        <w:keepLines w:val="0"/>
        <w:keepNext w:val="0"/>
        <w:pageBreakBefore w:val="0"/>
        <w:spacing w:after="0" w:line="400" w:lineRule="exact"/>
        <w:widowControl w:val="off"/>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 xml:space="preserve">（4）评标委员会基于专业判断，认为供应商报价过低，有可能影响产品质量或者不能诚信履约的其他情形。</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26、无效投标条款和废标条款</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26.1无效投标条款</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26.1.1 投标人在苏采云系统规定的时间内未成功解密电子投标文件的。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26.1.2 投标人未按照招标文件要求上传电子投标文件的。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26.1.3 投标人同一采购包提交两个（含两个）以上不同的投标报价的。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26.1.4投标人不具备招标文件中规定资格要求的。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26.1.5投标人的报价超过了采购预算或最高限价的。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26.1.6未通过符合性审查的。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26.1.7不符合招标文件中规定的实质性要求的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26.1.9 投标文件含有采购人不能接受的附加条件的。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26.1.10评标委员会按照本招标文件规定对投标人进行异常低价投标审查后，认为投标人不能证明其报价合理性的。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26.1.12 投标文件未按照招标文件要求加盖CA电子公章的。</w:t>
      </w:r>
      <w:r/>
    </w:p>
    <w:p>
      <w:pPr>
        <w:numPr>
          <w:ilvl w:val="0"/>
          <w:numId w:val="0"/>
        </w:numPr>
        <w:ind w:right="0" w:firstLine="480"/>
        <w:jc w:val="left"/>
        <w:keepLines w:val="0"/>
        <w:keepNext w:val="0"/>
        <w:pageBreakBefore w:val="0"/>
        <w:spacing w:after="0" w:line="400" w:lineRule="exact"/>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26.1.1</w:t>
      </w:r>
      <w:r>
        <w:rPr>
          <w:rFonts w:hint="eastAsia" w:ascii="宋体" w:hAnsi="宋体" w:eastAsia="宋体" w:cs="宋体"/>
          <w:color w:val="000000"/>
          <w:sz w:val="24"/>
          <w:szCs w:val="24"/>
          <w:lang w:val="en-US" w:eastAsia="zh-CN"/>
        </w:rPr>
        <w:t xml:space="preserve">3 投标人所投标产品不符合招标文件中所列国家强制性标准的。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26.1.1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eastAsia="zh-CN"/>
        </w:rPr>
        <w:t xml:space="preserve">其他法律、法规及本招标文件规定的属无效投标的情形。</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26.2废标条款</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26.2.1符合专业条件的供应商或者对招标文件作实质响应的供应商不足三家的。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26.2.2出现影响采购公正的违法、违规行为的。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26.2.3因重大变故，采购任务取消的。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26.2.4评标委员会认定招标文件存在歧义、重大缺陷导致评审工作无法进行。</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26.2.5 因苏采云系统系统故障原因造成开标不成功的。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26.3 投标截止时间结束后参加投标的供应商不足三家的处理：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26.3.1如出现投标截止时间结束后参加投标的供应商或者在评标期间对招标文件做出实质响应的供应商不足三家情况，按政府采购相关规定执行。</w:t>
      </w:r>
      <w:r/>
    </w:p>
    <w:p>
      <w:pPr>
        <w:ind w:right="0"/>
        <w:jc w:val="both"/>
        <w:keepLines w:val="0"/>
        <w:keepNext w:val="0"/>
        <w:pageBreakBefore w:val="0"/>
        <w:spacing w:before="100" w:after="100" w:line="400" w:lineRule="exact"/>
        <w:widowControl w:val="off"/>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六、定标</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27、确定中标单位</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27.1中标候选人的选取原则和</w:t>
      </w:r>
      <w:r>
        <w:rPr>
          <w:rFonts w:hint="eastAsia" w:ascii="宋体" w:hAnsi="宋体" w:eastAsia="宋体" w:cs="宋体"/>
          <w:color w:val="auto"/>
          <w:sz w:val="24"/>
          <w:szCs w:val="24"/>
          <w:lang w:val="zh-CN" w:eastAsia="zh-CN"/>
        </w:rPr>
        <w:t xml:space="preserve">数量见招标文件第</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val="zh-CN" w:eastAsia="zh-CN"/>
        </w:rPr>
        <w:t xml:space="preserve">章规定。</w:t>
      </w:r>
      <w:r>
        <w:rPr>
          <w:rFonts w:hint="eastAsia" w:ascii="宋体" w:hAnsi="宋体" w:eastAsia="宋体" w:cs="宋体"/>
          <w:color w:val="000000"/>
          <w:sz w:val="24"/>
          <w:szCs w:val="24"/>
          <w:lang w:val="zh-CN" w:eastAsia="zh-CN"/>
        </w:rPr>
        <w:t xml:space="preserve"> </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27.2 采购人应根据评委会推荐的中标候选人确定中标供应商。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27.3 泰州天诚将在“江苏政府采购网”发布中标公告，公告期限为1个工作日。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 若有充分证据证明，中标供应商出现下列情况之一的，一经查实，将被取消中标资格：</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27.4.1提供虚假材料谋取中标的。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27.4.2向采购人、泰州天诚行贿或者提供其他不正当利益的。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27.4.3属于本文件规定的无效条件，但在评标过程中又未被评委会发现的。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27.4.4与采购人或者其他供应商恶意串通的。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27.4.5采取不正当手段诋毁、排挤其他供应商的。</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27.5 有下列情形之一的，视为投标人串通投标，投标无效：</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27.5.1不同投标人的投标文件由同一单位或者个人编制。</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27.5.2不同投标人委托同一单位或者个人办理投标事宜。</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27.5.3 不同投标人的投标文件载明的项目管理成员或者联系人员为同一人。</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27.5.4不同投标人的投标文件异常一致或者投标报价呈规律性差异。</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28、质疑处理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28.1 提出质疑的供应商应当是参与所质疑项目采购活动的供应商。潜在供应商依法获取其可质疑的采购文件的，可以对采购文件提出质疑。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28.2供应商认为采购文件、采购过程和采购结果使自己的权益受到损害的，可以在知道或应知其权益受到损害之日起七个工作日内，以书面形式根据下述28.4条款的规定向泰州天诚或采购人提出质疑。上述应知其权益受到损害之日，是指：</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28.2.1对可以质疑的采购文件提出质疑的，为收到采购文件之日或者采购文件公告期限届满之日；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28.2.2对采购过程提出质疑的，为各采购程序环节结束之日；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28.2.3对中标或者成交结果提出质疑的，为中标或者成交结果公告期限届满之日。</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供应商应当在法定质疑期内一次性提出针对同一采购程序环节的质疑。供应商如在法定期限内对同一采购程序环节提出多次质疑的，泰州天诚、采购人将只对供应商第一次质疑作出答复。</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28.4 供应商（含潜在供应商）对采购方式、招标文件中采购需求、供应商资格条件、评标方法与评标标准、合同文本及资格审查结果的询问、质疑请向采购人提出，由采购人负责答复（</w:t>
      </w:r>
      <w:r>
        <w:rPr>
          <w:rFonts w:hint="eastAsia" w:ascii="宋体" w:hAnsi="宋体" w:eastAsia="宋体" w:cs="宋体"/>
          <w:color w:val="000000"/>
          <w:sz w:val="24"/>
          <w:szCs w:val="24"/>
          <w:lang w:val="en-US" w:eastAsia="zh-CN"/>
        </w:rPr>
        <w:t xml:space="preserve">代理机构有授权也可答复</w:t>
      </w:r>
      <w:r>
        <w:rPr>
          <w:rFonts w:hint="eastAsia" w:ascii="宋体" w:hAnsi="宋体" w:eastAsia="宋体" w:cs="宋体"/>
          <w:color w:val="000000"/>
          <w:sz w:val="24"/>
          <w:szCs w:val="24"/>
          <w:lang w:val="zh-CN" w:eastAsia="zh-CN"/>
        </w:rPr>
        <w:t xml:space="preserve">）。供应商对其他事项的询问、质疑请向泰州天诚提出，由泰州天诚负责答复。</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采购人及泰州天诚只接收以纸质原件形式送达的质疑,建议供应商尽量通过邮寄方式提交质疑（采购人和泰州天诚不接受无快递运单号的快递）。</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采购人质疑接收人及联系方式见招标文件第一章。</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 以下情形的质疑不予受理</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28.5.1 内容不符合《政府采购质疑和投诉办法》第十二条规定的质疑。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28.5.2 超出政府采购法定期限的质疑。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28.5.3 以传真、电子邮件等方式递交的非原件形式的质疑。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28.5.4 未参加投标活动的供应商或在投标活动中自身权益未受到损害的供应商所提出的质疑。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28.5.5供应商组成联合体参加投标，联合体中任何一方或多方未按要求签字、盖章、加盖公章的质疑。</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28.6 供应商提出书面质疑必须有理、有据，不得捏造事实、提供虚假材料进行恶意质疑。否则，一经查实，泰州天诚有权依据政府采购的有关规定，报请政府采购监管部门对该供应商进行相应的行政处罚和记录该供应商的失信信息。</w:t>
      </w:r>
      <w:r/>
    </w:p>
    <w:p>
      <w:pPr>
        <w:numPr>
          <w:ilvl w:val="0"/>
          <w:numId w:val="0"/>
        </w:numPr>
        <w:ind w:right="0" w:firstLine="482"/>
        <w:jc w:val="left"/>
        <w:keepLines w:val="0"/>
        <w:keepNext w:val="0"/>
        <w:pageBreakBefore w:val="0"/>
        <w:spacing w:after="0" w:line="40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29、中标通知书</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中标结果确定后，泰州天诚将向中标供应商发出中标通知书。请中标供应商在中标结果公告届满之日起</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eastAsia="zh-CN"/>
        </w:rPr>
        <w:t xml:space="preserve">日内,</w:t>
      </w:r>
      <w:r>
        <w:rPr>
          <w:rFonts w:hint="eastAsia" w:ascii="宋体" w:hAnsi="宋体" w:eastAsia="宋体" w:cs="宋体"/>
          <w:color w:val="000000"/>
          <w:sz w:val="24"/>
          <w:szCs w:val="24"/>
          <w:lang w:val="en-US" w:eastAsia="zh-CN"/>
        </w:rPr>
        <w:t xml:space="preserve">至泰州天诚领取并缴纳中标服务费</w:t>
      </w:r>
      <w:r>
        <w:rPr>
          <w:rFonts w:hint="eastAsia" w:ascii="宋体" w:hAnsi="宋体" w:eastAsia="宋体" w:cs="宋体"/>
          <w:color w:val="000000"/>
          <w:sz w:val="24"/>
          <w:szCs w:val="24"/>
          <w:lang w:val="zh-CN" w:eastAsia="zh-CN"/>
        </w:rPr>
        <w:t xml:space="preserve">。</w:t>
      </w:r>
      <w:r/>
    </w:p>
    <w:p>
      <w:pPr>
        <w:numPr>
          <w:ilvl w:val="0"/>
          <w:numId w:val="0"/>
        </w:numPr>
        <w:ind w:right="0" w:firstLine="480"/>
        <w:jc w:val="left"/>
        <w:keepLines w:val="0"/>
        <w:keepNext w:val="0"/>
        <w:pageBreakBefore w:val="0"/>
        <w:spacing w:after="0" w:line="4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29.2中标通知书将是合同的一个组成部分。对采购人和中标供应商均具有法律效力。中标通知书发出后，采购人改变中标结果的，或者中标供应商放弃中标项目的，应当依法承担法律责任。</w:t>
      </w:r>
      <w:r/>
    </w:p>
    <w:p>
      <w:pPr>
        <w:ind w:right="0"/>
        <w:jc w:val="both"/>
        <w:keepLines w:val="0"/>
        <w:keepNext w:val="0"/>
        <w:pageBreakBefore w:val="0"/>
        <w:spacing w:before="100" w:after="100" w:line="400" w:lineRule="exact"/>
        <w:widowControl w:val="off"/>
        <w:rPr>
          <w:rFonts w:hint="eastAsia" w:ascii="宋体" w:hAnsi="宋体" w:eastAsia="宋体" w:cs="宋体"/>
          <w:b/>
          <w:bCs/>
          <w:color w:val="000000"/>
          <w:sz w:val="28"/>
          <w:szCs w:val="28"/>
          <w:lang w:val="zh-CN" w:eastAsia="zh-CN"/>
        </w:rPr>
      </w:pPr>
      <w:r>
        <w:rPr>
          <w:rFonts w:hint="eastAsia" w:ascii="宋体" w:hAnsi="宋体" w:eastAsia="宋体" w:cs="宋体"/>
          <w:b/>
          <w:bCs/>
          <w:color w:val="000000"/>
          <w:sz w:val="28"/>
          <w:szCs w:val="28"/>
          <w:lang w:val="zh-CN" w:eastAsia="zh-CN"/>
        </w:rPr>
        <w:t xml:space="preserve">七、授予合同</w:t>
      </w:r>
      <w:r/>
    </w:p>
    <w:p>
      <w:pPr>
        <w:numPr>
          <w:ilvl w:val="0"/>
          <w:numId w:val="0"/>
        </w:numPr>
        <w:ind w:right="0" w:firstLine="482"/>
        <w:jc w:val="left"/>
        <w:keepLines w:val="0"/>
        <w:keepNext w:val="0"/>
        <w:pageBreakBefore w:val="0"/>
        <w:spacing w:after="0" w:line="360" w:lineRule="auto"/>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30、签订合同</w:t>
      </w:r>
      <w:r/>
    </w:p>
    <w:p>
      <w:pPr>
        <w:numPr>
          <w:ilvl w:val="0"/>
          <w:numId w:val="0"/>
        </w:numPr>
        <w:ind w:right="0" w:firstLine="480"/>
        <w:jc w:val="left"/>
        <w:keepLines w:val="0"/>
        <w:keepNext w:val="0"/>
        <w:pageBreakBefore w:val="0"/>
        <w:spacing w:after="0"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30.l中标供应商应当在中标通知书发出之日起三十日内，按照招标文件确定的事项与采购人签订政府采购合同。</w:t>
      </w:r>
      <w:r/>
    </w:p>
    <w:p>
      <w:pPr>
        <w:numPr>
          <w:ilvl w:val="0"/>
          <w:numId w:val="0"/>
        </w:numPr>
        <w:ind w:right="0" w:firstLine="480"/>
        <w:jc w:val="left"/>
        <w:keepLines w:val="0"/>
        <w:keepNext w:val="0"/>
        <w:pageBreakBefore w:val="0"/>
        <w:spacing w:after="0"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30.2 招标文件、中标供应商的投标文件及招标过程中有关澄清、承诺文件均应作为合同附件。</w:t>
      </w:r>
      <w:r/>
    </w:p>
    <w:p>
      <w:pPr>
        <w:numPr>
          <w:ilvl w:val="0"/>
          <w:numId w:val="0"/>
        </w:numPr>
        <w:ind w:right="0" w:firstLine="480"/>
        <w:jc w:val="left"/>
        <w:keepLines w:val="0"/>
        <w:keepNext w:val="0"/>
        <w:pageBreakBefore w:val="0"/>
        <w:spacing w:after="0"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numPr>
          <w:ilvl w:val="0"/>
          <w:numId w:val="0"/>
        </w:numPr>
        <w:ind w:right="0" w:firstLine="482"/>
        <w:jc w:val="left"/>
        <w:keepLines w:val="0"/>
        <w:keepNext w:val="0"/>
        <w:pageBreakBefore w:val="0"/>
        <w:spacing w:after="0" w:line="360" w:lineRule="auto"/>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31、货物（包含与货物相关的服务）的追加</w:t>
      </w:r>
      <w:r/>
    </w:p>
    <w:p>
      <w:pPr>
        <w:numPr>
          <w:ilvl w:val="0"/>
          <w:numId w:val="0"/>
        </w:numPr>
        <w:ind w:right="0" w:firstLine="480"/>
        <w:jc w:val="left"/>
        <w:keepLines w:val="0"/>
        <w:keepNext w:val="0"/>
        <w:pageBreakBefore w:val="0"/>
        <w:spacing w:after="0"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numPr>
          <w:ilvl w:val="0"/>
          <w:numId w:val="0"/>
        </w:numPr>
        <w:ind w:right="0" w:firstLine="482"/>
        <w:jc w:val="left"/>
        <w:keepLines w:val="0"/>
        <w:keepNext w:val="0"/>
        <w:pageBreakBefore w:val="0"/>
        <w:spacing w:after="0" w:line="360" w:lineRule="auto"/>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32、政府采购履约资金扶持政策</w:t>
      </w:r>
      <w:r/>
    </w:p>
    <w:p>
      <w:pPr>
        <w:numPr>
          <w:ilvl w:val="0"/>
          <w:numId w:val="0"/>
        </w:numPr>
        <w:ind w:right="0" w:firstLine="480"/>
        <w:jc w:val="left"/>
        <w:keepLines w:val="0"/>
        <w:keepNext w:val="0"/>
        <w:pageBreakBefore w:val="0"/>
        <w:spacing w:after="0"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中标供应商可凭政府采购合同办理融资贷款，详情请见江苏政府采购网“政采贷”专栏。</w:t>
      </w:r>
      <w:r/>
    </w:p>
    <w:p>
      <w:pPr>
        <w:jc w:val="both"/>
        <w:rPr>
          <w:rFonts w:hint="eastAsia" w:ascii="黑体" w:eastAsia="黑体"/>
          <w:color w:val="auto"/>
          <w:sz w:val="36"/>
          <w:lang w:eastAsia="zh-CN"/>
        </w:rPr>
      </w:pPr>
      <w:r>
        <w:rPr>
          <w:rFonts w:hint="eastAsia" w:ascii="黑体" w:eastAsia="黑体"/>
          <w:color w:val="auto"/>
          <w:sz w:val="36"/>
          <w:lang w:eastAsia="zh-CN"/>
        </w:rPr>
      </w:r>
      <w:r/>
    </w:p>
    <w:p>
      <w:pPr>
        <w:pStyle w:val="856"/>
        <w:jc w:val="center"/>
        <w:keepLines/>
        <w:keepNext/>
        <w:pageBreakBefore/>
        <w:spacing w:before="400" w:after="160" w:line="400" w:lineRule="exact"/>
        <w:widowControl/>
        <w:rPr>
          <w:rFonts w:hint="eastAsia" w:ascii="宋体" w:hAnsi="宋体" w:eastAsia="宋体" w:cs="宋体"/>
          <w:lang w:eastAsia="zh-CN"/>
        </w:rPr>
      </w:pPr>
      <w:r/>
      <w:bookmarkStart w:id="72" w:name="_Toc27724"/>
      <w:r/>
      <w:bookmarkStart w:id="73" w:name="_Toc18211"/>
      <w:r/>
      <w:bookmarkStart w:id="74" w:name="_Toc19334"/>
      <w:r/>
      <w:bookmarkStart w:id="75" w:name="_Toc24966"/>
      <w:r>
        <w:rPr>
          <w:rFonts w:hint="eastAsia" w:ascii="宋体" w:hAnsi="宋体" w:eastAsia="宋体" w:cs="宋体"/>
          <w:lang w:val="en-US" w:eastAsia="zh-CN"/>
        </w:rPr>
        <w:t xml:space="preserve">第三章  </w:t>
      </w:r>
      <w:r>
        <w:rPr>
          <w:rFonts w:hint="eastAsia" w:ascii="宋体" w:hAnsi="宋体" w:eastAsia="宋体" w:cs="宋体"/>
          <w:lang w:eastAsia="zh-CN"/>
        </w:rPr>
        <w:t xml:space="preserve">合同文本</w:t>
      </w:r>
      <w:bookmarkEnd w:id="72"/>
      <w:r/>
      <w:r/>
    </w:p>
    <w:p>
      <w:pPr>
        <w:ind w:left="0" w:firstLine="560"/>
        <w:jc w:val="center"/>
        <w:spacing w:before="156" w:after="156"/>
        <w:rPr>
          <w:rFonts w:hint="eastAsia" w:ascii="宋体" w:hAnsi="宋体" w:eastAsia="宋体" w:cs="宋体"/>
          <w:b/>
          <w:sz w:val="30"/>
          <w:szCs w:val="21"/>
        </w:rPr>
        <w:outlineLvl w:val="0"/>
      </w:pPr>
      <w:r/>
      <w:bookmarkStart w:id="76" w:name="_Toc84"/>
      <w:r/>
      <w:bookmarkStart w:id="77" w:name="_Toc11693"/>
      <w:r/>
      <w:bookmarkStart w:id="78" w:name="_Toc32603"/>
      <w:r/>
      <w:bookmarkStart w:id="79" w:name="_Toc20313"/>
      <w:r>
        <w:rPr>
          <w:rFonts w:hint="eastAsia" w:ascii="宋体" w:hAnsi="宋体" w:eastAsia="宋体" w:cs="宋体"/>
          <w:b/>
          <w:sz w:val="30"/>
          <w:szCs w:val="21"/>
        </w:rPr>
        <w:t xml:space="preserve">江苏省政府采购合同（合同编号）</w:t>
      </w:r>
      <w:bookmarkEnd w:id="76"/>
      <w:r/>
      <w:bookmarkEnd w:id="77"/>
      <w:r/>
      <w:bookmarkEnd w:id="78"/>
      <w:r/>
      <w:r/>
    </w:p>
    <w:p>
      <w:pPr>
        <w:ind w:left="0" w:firstLine="560"/>
        <w:jc w:val="center"/>
        <w:spacing w:before="156" w:after="156"/>
        <w:rPr>
          <w:rFonts w:hint="eastAsia" w:ascii="宋体" w:hAnsi="宋体" w:eastAsia="宋体" w:cs="宋体"/>
          <w:b/>
          <w:bCs/>
          <w:sz w:val="30"/>
          <w:szCs w:val="20"/>
        </w:rPr>
        <w:outlineLvl w:val="9"/>
      </w:pPr>
      <w:r/>
      <w:bookmarkStart w:id="80" w:name="_Toc9959"/>
      <w:r>
        <w:rPr>
          <w:rFonts w:hint="eastAsia" w:ascii="宋体" w:hAnsi="宋体" w:eastAsia="宋体" w:cs="宋体"/>
          <w:b/>
          <w:sz w:val="30"/>
          <w:szCs w:val="21"/>
        </w:rPr>
        <w:t xml:space="preserve">（适用于服务类项目）</w:t>
      </w:r>
      <w:bookmarkEnd w:id="80"/>
      <w:r/>
      <w:r/>
    </w:p>
    <w:p>
      <w:pPr>
        <w:ind w:left="0" w:firstLine="446"/>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val="en-US" w:eastAsia="zh-CN"/>
        </w:rPr>
        <w:t xml:space="preserve">兴化市人民法院</w:t>
      </w:r>
      <w:r>
        <w:rPr>
          <w:rFonts w:hint="eastAsia" w:ascii="宋体" w:hAnsi="宋体" w:eastAsia="宋体" w:cs="宋体"/>
          <w:sz w:val="24"/>
          <w:szCs w:val="24"/>
          <w:lang w:eastAsia="zh-CN"/>
        </w:rPr>
        <w:t xml:space="preserve">司法辅助事务服务项目</w:t>
      </w:r>
      <w:r>
        <w:rPr>
          <w:rFonts w:hint="eastAsia" w:ascii="宋体" w:hAnsi="宋体" w:eastAsia="宋体" w:cs="宋体"/>
          <w:sz w:val="24"/>
          <w:szCs w:val="24"/>
        </w:rPr>
        <w:t xml:space="preserve"> </w:t>
      </w:r>
      <w:r/>
    </w:p>
    <w:p>
      <w:pPr>
        <w:ind w:left="0" w:firstLine="446"/>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lang w:val="en-US" w:eastAsia="zh-CN"/>
        </w:rPr>
        <w:t xml:space="preserve">JSZC-321281-TZTC-G2026-0007</w:t>
      </w:r>
      <w:r/>
    </w:p>
    <w:p>
      <w:pPr>
        <w:ind w:left="0" w:firstLine="446"/>
        <w:keepLines w:val="0"/>
        <w:keepNext w:val="0"/>
        <w:pageBreakBefore w:val="0"/>
        <w:spacing w:after="100"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采购包号：</w:t>
      </w:r>
      <w:r>
        <w:rPr>
          <w:rFonts w:hint="eastAsia" w:ascii="宋体" w:hAnsi="宋体" w:eastAsia="宋体" w:cs="宋体"/>
          <w:sz w:val="24"/>
          <w:szCs w:val="24"/>
          <w:lang w:val="en-US" w:eastAsia="zh-CN"/>
        </w:rPr>
        <w:t xml:space="preserve">001</w:t>
      </w:r>
      <w:r/>
    </w:p>
    <w:p>
      <w:pPr>
        <w:ind w:left="0" w:firstLine="446"/>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甲方：（买方/采购人）_________</w:t>
      </w:r>
      <w:r/>
    </w:p>
    <w:p>
      <w:pPr>
        <w:ind w:left="0" w:firstLine="446"/>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乙方：（卖方/成交供应商）_________</w:t>
      </w:r>
      <w:r/>
    </w:p>
    <w:p>
      <w:pPr>
        <w:ind w:left="0" w:firstLine="446"/>
        <w:keepLines w:val="0"/>
        <w:keepNext w:val="0"/>
        <w:pageBreakBefore w:val="0"/>
        <w:spacing w:after="100" w:line="46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项目竞争性磋商的结果，签署本合同。</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81" w:name="_Toc17044"/>
      <w:r/>
      <w:bookmarkStart w:id="82" w:name="_Toc3080"/>
      <w:r>
        <w:rPr>
          <w:rFonts w:hint="eastAsia" w:ascii="宋体" w:hAnsi="宋体" w:eastAsia="宋体" w:cs="宋体"/>
          <w:b/>
          <w:sz w:val="24"/>
          <w:szCs w:val="24"/>
        </w:rPr>
        <w:t xml:space="preserve">一、合同内容</w:t>
      </w:r>
      <w:bookmarkEnd w:id="81"/>
      <w:r/>
      <w:bookmarkEnd w:id="82"/>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标的质量：</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标的数量（规模）：</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 履行时间（期限）：</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 履行地点：</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 履行方式：</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83" w:name="_Toc24230"/>
      <w:r/>
      <w:bookmarkStart w:id="84" w:name="_Toc25567"/>
      <w:r>
        <w:rPr>
          <w:rFonts w:hint="eastAsia" w:ascii="宋体" w:hAnsi="宋体" w:eastAsia="宋体" w:cs="宋体"/>
          <w:b/>
          <w:sz w:val="24"/>
          <w:szCs w:val="24"/>
        </w:rPr>
        <w:t xml:space="preserve">二、合同金额</w:t>
      </w:r>
      <w:bookmarkEnd w:id="83"/>
      <w:r/>
      <w:bookmarkEnd w:id="84"/>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本合同金额为（大写）：________圆（______元）人民币或其他币种。</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85" w:name="_Toc24107"/>
      <w:r/>
      <w:bookmarkStart w:id="86" w:name="_Toc19796"/>
      <w:r>
        <w:rPr>
          <w:rFonts w:hint="eastAsia" w:ascii="宋体" w:hAnsi="宋体" w:eastAsia="宋体" w:cs="宋体"/>
          <w:b/>
          <w:sz w:val="24"/>
          <w:szCs w:val="24"/>
        </w:rPr>
        <w:t xml:space="preserve">三、技术资料</w:t>
      </w:r>
      <w:bookmarkEnd w:id="85"/>
      <w:r/>
      <w:bookmarkEnd w:id="86"/>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3.1乙方应按磋商文件规定的时间向甲方提供与合同标的有关的技术资料。</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87" w:name="_Toc8434"/>
      <w:r/>
      <w:bookmarkStart w:id="88" w:name="_Toc5532"/>
      <w:r>
        <w:rPr>
          <w:rFonts w:hint="eastAsia" w:ascii="宋体" w:hAnsi="宋体" w:eastAsia="宋体" w:cs="宋体"/>
          <w:b/>
          <w:sz w:val="24"/>
          <w:szCs w:val="24"/>
        </w:rPr>
        <w:t xml:space="preserve">四、知识产权</w:t>
      </w:r>
      <w:bookmarkEnd w:id="87"/>
      <w:r/>
      <w:bookmarkEnd w:id="88"/>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482"/>
        <w:keepLines w:val="0"/>
        <w:keepNext w:val="0"/>
        <w:pageBreakBefore w:val="0"/>
        <w:spacing w:after="100" w:line="460" w:lineRule="exact"/>
        <w:widowControl w:val="off"/>
        <w:rPr>
          <w:rFonts w:hint="eastAsia" w:ascii="宋体" w:hAnsi="宋体" w:eastAsia="宋体" w:cs="宋体"/>
          <w:sz w:val="24"/>
          <w:szCs w:val="24"/>
          <w:u w:val="single"/>
        </w:rPr>
        <w:outlineLvl w:val="0"/>
      </w:pPr>
      <w:r/>
      <w:bookmarkStart w:id="89" w:name="_Toc31162"/>
      <w:r/>
      <w:bookmarkStart w:id="90" w:name="_Toc3413"/>
      <w:r>
        <w:rPr>
          <w:rFonts w:hint="eastAsia" w:ascii="宋体" w:hAnsi="宋体" w:eastAsia="宋体" w:cs="宋体"/>
          <w:b/>
          <w:sz w:val="24"/>
          <w:szCs w:val="24"/>
        </w:rPr>
        <w:t xml:space="preserve">五、产权担保</w:t>
      </w:r>
      <w:bookmarkEnd w:id="89"/>
      <w:r/>
      <w:bookmarkEnd w:id="90"/>
      <w:r/>
      <w:r/>
    </w:p>
    <w:p>
      <w:pPr>
        <w:ind w:left="0" w:firstLine="480"/>
        <w:keepLines w:val="0"/>
        <w:keepNext w:val="0"/>
        <w:pageBreakBefore w:val="0"/>
        <w:spacing w:after="100"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5.1 乙方保证所交付的合同标的的所有权完全属于乙方且无任何抵押、查封等产权瑕疵。</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91" w:name="_Toc26818"/>
      <w:r/>
      <w:bookmarkStart w:id="92" w:name="_Toc3304"/>
      <w:r>
        <w:rPr>
          <w:rFonts w:hint="eastAsia" w:ascii="宋体" w:hAnsi="宋体" w:eastAsia="宋体" w:cs="宋体"/>
          <w:b/>
          <w:sz w:val="24"/>
          <w:szCs w:val="24"/>
        </w:rPr>
        <w:t xml:space="preserve">六、履约保证金</w:t>
      </w:r>
      <w:bookmarkEnd w:id="91"/>
      <w:r/>
      <w:bookmarkEnd w:id="92"/>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 乙方交纳人民币_________元作为本合同的履约保证金。（不得超过合同金额的10%</w:t>
      </w:r>
      <w:r>
        <w:rPr>
          <w:rFonts w:hint="eastAsia" w:ascii="宋体" w:hAnsi="宋体" w:eastAsia="宋体" w:cs="宋体"/>
          <w:sz w:val="24"/>
          <w:szCs w:val="24"/>
          <w:lang w:eastAsia="zh-CN"/>
        </w:rPr>
        <w:t xml:space="preserve">，金额：履约保证金=</w:t>
      </w:r>
      <w:r>
        <w:rPr>
          <w:rFonts w:hint="eastAsia" w:ascii="宋体" w:hAnsi="宋体" w:eastAsia="宋体" w:cs="宋体"/>
          <w:sz w:val="24"/>
          <w:szCs w:val="24"/>
          <w:lang w:val="en-US" w:eastAsia="zh-CN"/>
        </w:rPr>
        <w:t xml:space="preserve">合同金额</w:t>
      </w:r>
      <w:r>
        <w:rPr>
          <w:rFonts w:hint="eastAsia" w:ascii="宋体" w:hAnsi="宋体" w:eastAsia="宋体" w:cs="宋体"/>
          <w:sz w:val="24"/>
          <w:szCs w:val="24"/>
          <w:lang w:eastAsia="zh-CN"/>
        </w:rPr>
        <w:t xml:space="preserve">×10%</w:t>
      </w:r>
      <w:r>
        <w:rPr>
          <w:rFonts w:hint="eastAsia" w:ascii="宋体" w:hAnsi="宋体" w:eastAsia="宋体" w:cs="宋体"/>
          <w:sz w:val="24"/>
          <w:szCs w:val="24"/>
        </w:rPr>
        <w:t xml:space="preserve">）</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6.2合同履行结束后，甲方应及时退还交纳的履约保证金。</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6.2.1履约保证金退还方式：***</w:t>
      </w:r>
      <w:r/>
    </w:p>
    <w:p>
      <w:pPr>
        <w:ind w:left="0" w:firstLine="480"/>
        <w:keepLines w:val="0"/>
        <w:keepNext w:val="0"/>
        <w:pageBreakBefore w:val="0"/>
        <w:spacing w:after="100"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6.2.2履约保证金退还时间：***</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6.2.3履约保证金退还条件：***</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6.2.4履约保证金不予退还的情形：***</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93" w:name="_Toc22898"/>
      <w:r/>
      <w:bookmarkStart w:id="94" w:name="_Toc4267"/>
      <w:r>
        <w:rPr>
          <w:rFonts w:hint="eastAsia" w:ascii="宋体" w:hAnsi="宋体" w:eastAsia="宋体" w:cs="宋体"/>
          <w:b/>
          <w:sz w:val="24"/>
          <w:szCs w:val="24"/>
        </w:rPr>
        <w:t xml:space="preserve">七、合同转包或分包</w:t>
      </w:r>
      <w:bookmarkEnd w:id="93"/>
      <w:r/>
      <w:bookmarkEnd w:id="94"/>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95" w:name="_Toc24126"/>
      <w:r/>
      <w:bookmarkStart w:id="96" w:name="_Toc19425"/>
      <w:r>
        <w:rPr>
          <w:rFonts w:hint="eastAsia" w:ascii="宋体" w:hAnsi="宋体" w:eastAsia="宋体" w:cs="宋体"/>
          <w:b/>
          <w:sz w:val="24"/>
          <w:szCs w:val="24"/>
        </w:rPr>
        <w:t xml:space="preserve">八、合同款项支付</w:t>
      </w:r>
      <w:bookmarkEnd w:id="95"/>
      <w:r/>
      <w:bookmarkEnd w:id="96"/>
      <w:r/>
      <w:r/>
    </w:p>
    <w:p>
      <w:pPr>
        <w:ind w:left="0" w:firstLine="480"/>
        <w:keepLines w:val="0"/>
        <w:keepNext w:val="0"/>
        <w:pageBreakBefore w:val="0"/>
        <w:spacing w:after="100"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8.1合同款项的支付方式及进度安排</w:t>
      </w:r>
      <w:r>
        <w:rPr>
          <w:rFonts w:hint="eastAsia" w:ascii="宋体" w:hAnsi="宋体" w:eastAsia="宋体" w:cs="宋体"/>
          <w:sz w:val="24"/>
          <w:szCs w:val="24"/>
          <w:lang w:eastAsia="zh-CN"/>
        </w:rPr>
        <w:t xml:space="preserve">：</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97" w:name="_Toc23219"/>
      <w:r/>
      <w:bookmarkStart w:id="98" w:name="_Toc7407"/>
      <w:r>
        <w:rPr>
          <w:rFonts w:hint="eastAsia" w:ascii="宋体" w:hAnsi="宋体" w:eastAsia="宋体" w:cs="宋体"/>
          <w:b/>
          <w:sz w:val="24"/>
          <w:szCs w:val="24"/>
        </w:rPr>
        <w:t xml:space="preserve">九、税费</w:t>
      </w:r>
      <w:bookmarkEnd w:id="97"/>
      <w:r/>
      <w:bookmarkEnd w:id="98"/>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99" w:name="_Toc24356"/>
      <w:r/>
      <w:bookmarkStart w:id="100" w:name="_Toc22136"/>
      <w:r>
        <w:rPr>
          <w:rFonts w:hint="eastAsia" w:ascii="宋体" w:hAnsi="宋体" w:eastAsia="宋体" w:cs="宋体"/>
          <w:b/>
          <w:sz w:val="24"/>
          <w:szCs w:val="24"/>
        </w:rPr>
        <w:t xml:space="preserve">十、项目验收</w:t>
      </w:r>
      <w:bookmarkEnd w:id="99"/>
      <w:r/>
      <w:bookmarkEnd w:id="100"/>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甲方依法组织履约验收工作。</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10.3 对于实际使用人和甲方分离的项目，甲方邀请实际使用人参与验收。</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10.4 如有必要，甲方邀请参加本项目的其他供应商或第三方专业机构及专家参与验收，相关意见将作为验收书的参考资料。</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101" w:name="_Toc6824"/>
      <w:r/>
      <w:bookmarkStart w:id="102" w:name="_Toc25"/>
      <w:r>
        <w:rPr>
          <w:rFonts w:hint="eastAsia" w:ascii="宋体" w:hAnsi="宋体" w:eastAsia="宋体" w:cs="宋体"/>
          <w:b/>
          <w:sz w:val="24"/>
          <w:szCs w:val="24"/>
        </w:rPr>
        <w:t xml:space="preserve">十一、违约责任</w:t>
      </w:r>
      <w:bookmarkEnd w:id="101"/>
      <w:r/>
      <w:bookmarkEnd w:id="102"/>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11.1甲方无正当理由拒绝接受乙方提供的合同标的的，甲方向乙方偿付拒绝接受合同价款总值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甲方无故逾期验收和办理合同款项支付手续的,甲方应按逾期付款总额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每日向乙方支付违约金。</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11.4 乙方交付合同标的的标准不符合合同规定及磋商文件规定标准的，甲方有权拒绝接受合同标的，并可单方面解除合同。</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103" w:name="_Toc3946"/>
      <w:r/>
      <w:bookmarkStart w:id="104" w:name="_Toc18127"/>
      <w:r>
        <w:rPr>
          <w:rFonts w:hint="eastAsia" w:ascii="宋体" w:hAnsi="宋体" w:eastAsia="宋体" w:cs="宋体"/>
          <w:b/>
          <w:sz w:val="24"/>
          <w:szCs w:val="24"/>
        </w:rPr>
        <w:t xml:space="preserve">十二、不可抗力事件处理</w:t>
      </w:r>
      <w:bookmarkEnd w:id="103"/>
      <w:r/>
      <w:bookmarkEnd w:id="104"/>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在合同有效期内，任何一方因不可抗力事件导致不能履行合同，则合同履行期可延长，其延长期与不可抗力影响 期相同。</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不可抗力事件发生后，应立即通知对方，并寄送有关权威机构出具的证明。</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不可抗力事件延续120天以上，双方应通过友好协商，确定是否继续履行合同。</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105" w:name="_Toc20504"/>
      <w:r/>
      <w:bookmarkStart w:id="106" w:name="_Toc15016"/>
      <w:r>
        <w:rPr>
          <w:rFonts w:hint="eastAsia" w:ascii="宋体" w:hAnsi="宋体" w:eastAsia="宋体" w:cs="宋体"/>
          <w:b/>
          <w:sz w:val="24"/>
          <w:szCs w:val="24"/>
        </w:rPr>
        <w:t xml:space="preserve">十三、解决争议的方法</w:t>
      </w:r>
      <w:bookmarkEnd w:id="105"/>
      <w:r/>
      <w:bookmarkEnd w:id="106"/>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13.1双方在签订、履行合同中所发生的一切争议，应通过友好协商解决。如协商不成，由甲方住所地人民法院管辖。</w:t>
      </w:r>
      <w:r/>
    </w:p>
    <w:p>
      <w:pPr>
        <w:ind w:left="0" w:firstLine="482"/>
        <w:keepLines w:val="0"/>
        <w:keepNext w:val="0"/>
        <w:pageBreakBefore w:val="0"/>
        <w:spacing w:after="100" w:line="460" w:lineRule="exact"/>
        <w:widowControl w:val="off"/>
        <w:rPr>
          <w:rFonts w:hint="eastAsia" w:ascii="宋体" w:hAnsi="宋体" w:eastAsia="宋体" w:cs="宋体"/>
          <w:b/>
          <w:sz w:val="24"/>
          <w:szCs w:val="24"/>
        </w:rPr>
        <w:outlineLvl w:val="0"/>
      </w:pPr>
      <w:r/>
      <w:bookmarkStart w:id="107" w:name="_Toc3809"/>
      <w:r/>
      <w:bookmarkStart w:id="108" w:name="_Toc12954"/>
      <w:r>
        <w:rPr>
          <w:rFonts w:hint="eastAsia" w:ascii="宋体" w:hAnsi="宋体" w:eastAsia="宋体" w:cs="宋体"/>
          <w:b/>
          <w:sz w:val="24"/>
          <w:szCs w:val="24"/>
        </w:rPr>
        <w:t xml:space="preserve">十四、合同生效及其它</w:t>
      </w:r>
      <w:bookmarkEnd w:id="107"/>
      <w:r/>
      <w:bookmarkEnd w:id="108"/>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 合同经双方法定代表人或授权委托代表人签字并加盖单位公章后生效。</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13.2本合同未尽事宜，遵照中华人民共和国现行法律法规有关条文执行。</w:t>
      </w:r>
      <w:r/>
    </w:p>
    <w:p>
      <w:pPr>
        <w:ind w:left="0" w:firstLine="480"/>
        <w:keepLines w:val="0"/>
        <w:keepNext w:val="0"/>
        <w:pageBreakBefore w:val="0"/>
        <w:spacing w:after="100"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 本合同正本一式三份，具有同等法律效力，甲方、乙方及财政监管部门各执一份。</w:t>
      </w:r>
      <w:r/>
    </w:p>
    <w:p>
      <w:pPr>
        <w:ind w:left="480" w:hanging="480"/>
        <w:keepLines w:val="0"/>
        <w:keepNext w:val="0"/>
        <w:pageBreakBefore w:val="0"/>
        <w:spacing w:before="120" w:after="120"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甲方：                        乙方： </w:t>
      </w:r>
      <w:r/>
    </w:p>
    <w:p>
      <w:pPr>
        <w:ind w:left="0" w:firstLine="240"/>
        <w:keepLines w:val="0"/>
        <w:keepNext w:val="0"/>
        <w:pageBreakBefore w:val="0"/>
        <w:spacing w:before="120" w:after="120"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left="0" w:firstLine="0"/>
        <w:keepLines w:val="0"/>
        <w:keepNext w:val="0"/>
        <w:pageBreakBefore w:val="0"/>
        <w:spacing w:before="120" w:after="120"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法定代表人或授权代表：        法定代表人或授权代表：</w:t>
      </w:r>
      <w:r/>
    </w:p>
    <w:p>
      <w:pPr>
        <w:ind w:firstLine="240"/>
        <w:keepLines w:val="0"/>
        <w:keepNext w:val="0"/>
        <w:pageBreakBefore w:val="0"/>
        <w:spacing w:before="120" w:after="120" w:line="420" w:lineRule="exact"/>
        <w:widowControl w:val="off"/>
        <w:rPr>
          <w:rFonts w:hint="eastAsia" w:ascii="宋体" w:hAnsi="宋体" w:eastAsia="宋体" w:cs="宋体"/>
          <w:szCs w:val="21"/>
        </w:rPr>
      </w:pPr>
      <w:r>
        <w:rPr>
          <w:rFonts w:hint="eastAsia" w:ascii="宋体" w:hAnsi="宋体" w:eastAsia="宋体" w:cs="宋体"/>
          <w:sz w:val="24"/>
          <w:szCs w:val="24"/>
        </w:rPr>
        <w:t xml:space="preserve">联系电话：                    联系电话：          </w:t>
      </w:r>
      <w:r/>
    </w:p>
    <w:p>
      <w:pPr>
        <w:ind w:firstLine="420"/>
        <w:keepLines w:val="0"/>
        <w:keepNext w:val="0"/>
        <w:pageBreakBefore w:val="0"/>
        <w:spacing w:line="420" w:lineRule="exact"/>
        <w:widowControl w:val="off"/>
        <w:rPr>
          <w:rFonts w:hint="eastAsia" w:ascii="宋体" w:hAnsi="宋体" w:eastAsia="宋体" w:cs="宋体"/>
          <w:szCs w:val="21"/>
        </w:rPr>
      </w:pPr>
      <w:r>
        <w:rPr>
          <w:rFonts w:hint="eastAsia" w:ascii="宋体" w:hAnsi="宋体" w:eastAsia="宋体" w:cs="宋体"/>
          <w:szCs w:val="21"/>
        </w:rPr>
        <w:t xml:space="preserve">                                          </w:t>
      </w:r>
      <w:r/>
    </w:p>
    <w:p>
      <w:pPr>
        <w:ind w:firstLine="480"/>
        <w:jc w:val="righ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签订日期：      年    月   日</w:t>
      </w:r>
      <w:bookmarkEnd w:id="73"/>
      <w:r/>
      <w:bookmarkEnd w:id="74"/>
      <w:r/>
      <w:bookmarkEnd w:id="75"/>
      <w:r/>
      <w:bookmarkEnd w:id="79"/>
      <w:r/>
      <w:r/>
    </w:p>
    <w:p>
      <w:pPr>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numPr>
          <w:ilvl w:val="0"/>
          <w:numId w:val="0"/>
        </w:numPr>
        <w:rPr>
          <w:rFonts w:hint="eastAsia"/>
          <w:lang w:eastAsia="zh-CN"/>
        </w:rPr>
      </w:pPr>
      <w:r>
        <w:rPr>
          <w:rFonts w:hint="eastAsia"/>
          <w:lang w:eastAsia="zh-CN"/>
        </w:rPr>
      </w:r>
      <w:r/>
    </w:p>
    <w:p>
      <w:pPr>
        <w:jc w:val="center"/>
        <w:rPr>
          <w:rFonts w:hint="eastAsia" w:ascii="黑体" w:eastAsia="黑体"/>
          <w:color w:val="auto"/>
          <w:sz w:val="36"/>
          <w:lang w:eastAsia="zh-CN"/>
        </w:rPr>
      </w:pPr>
      <w:r>
        <w:rPr>
          <w:rFonts w:hint="eastAsia" w:ascii="黑体" w:eastAsia="黑体"/>
          <w:color w:val="auto"/>
          <w:sz w:val="36"/>
          <w:lang w:eastAsia="zh-CN"/>
        </w:rPr>
      </w:r>
      <w:r/>
    </w:p>
    <w:p>
      <w:pPr>
        <w:pStyle w:val="856"/>
        <w:jc w:val="center"/>
        <w:keepLines/>
        <w:keepNext/>
        <w:pageBreakBefore/>
        <w:spacing w:before="300" w:after="160" w:line="400" w:lineRule="exact"/>
        <w:widowControl/>
        <w:rPr>
          <w:rFonts w:hint="eastAsia" w:ascii="宋体" w:hAnsi="宋体" w:eastAsia="宋体" w:cs="宋体"/>
          <w:lang w:val="en-US" w:eastAsia="zh-CN"/>
        </w:rPr>
      </w:pPr>
      <w:r/>
      <w:bookmarkStart w:id="109" w:name="_Toc4017"/>
      <w:r>
        <w:rPr>
          <w:rFonts w:hint="eastAsia" w:ascii="宋体" w:hAnsi="宋体" w:eastAsia="宋体" w:cs="宋体"/>
          <w:lang w:val="en-US" w:eastAsia="zh-CN"/>
        </w:rPr>
        <w:t xml:space="preserve">第四章  采购需求</w:t>
      </w:r>
      <w:bookmarkEnd w:id="109"/>
      <w:r/>
      <w:r/>
    </w:p>
    <w:p>
      <w:pPr>
        <w:pStyle w:val="1072"/>
        <w:ind w:left="0" w:firstLine="562"/>
        <w:jc w:val="left"/>
        <w:keepLines w:val="0"/>
        <w:keepNext w:val="0"/>
        <w:pageBreakBefore w:val="0"/>
        <w:spacing w:before="0" w:beforeAutospacing="0" w:after="0" w:afterAutospacing="0" w:line="520" w:lineRule="exact"/>
        <w:widowControl/>
        <w:rPr>
          <w:rFonts w:hint="eastAsia" w:ascii="宋体" w:hAnsi="宋体" w:eastAsia="宋体" w:cs="宋体"/>
          <w:b/>
          <w:sz w:val="28"/>
          <w:szCs w:val="28"/>
        </w:rPr>
      </w:pPr>
      <w:r>
        <w:rPr>
          <w:rFonts w:hint="eastAsia" w:ascii="宋体" w:hAnsi="宋体" w:eastAsia="宋体" w:cs="宋体"/>
          <w:b/>
          <w:sz w:val="28"/>
          <w:szCs w:val="28"/>
        </w:rPr>
        <w:t xml:space="preserve">1、</w:t>
      </w:r>
      <w:r>
        <w:rPr>
          <w:rFonts w:hint="eastAsia" w:ascii="宋体" w:hAnsi="宋体" w:eastAsia="宋体" w:cs="宋体"/>
          <w:b/>
          <w:sz w:val="28"/>
          <w:szCs w:val="28"/>
          <w:lang w:val="en-US" w:eastAsia="zh-CN"/>
        </w:rPr>
        <w:t xml:space="preserve">项目名称：</w:t>
      </w:r>
      <w:r>
        <w:rPr>
          <w:rFonts w:hint="eastAsia" w:ascii="宋体" w:hAnsi="宋体" w:eastAsia="宋体" w:cs="宋体"/>
          <w:b w:val="0"/>
          <w:bCs/>
          <w:sz w:val="28"/>
          <w:szCs w:val="28"/>
          <w:u w:val="single"/>
          <w:lang w:val="en-US" w:eastAsia="zh-CN"/>
        </w:rPr>
        <w:t xml:space="preserve">兴化市人民法院</w:t>
      </w:r>
      <w:r>
        <w:rPr>
          <w:rFonts w:hint="eastAsia" w:ascii="宋体" w:hAnsi="宋体" w:eastAsia="宋体" w:cs="宋体"/>
          <w:b w:val="0"/>
          <w:bCs/>
          <w:color w:val="000000" w:themeColor="text1"/>
          <w:sz w:val="28"/>
          <w:szCs w:val="28"/>
          <w:u w:val="single"/>
          <w:lang w:eastAsia="zh-CN"/>
          <w14:textFill>
            <w14:solidFill>
              <w14:schemeClr w14:val="tx1"/>
            </w14:solidFill>
          </w14:textFill>
        </w:rPr>
        <w:t xml:space="preserve">司法辅助事务服务项目</w:t>
      </w:r>
      <w:r/>
    </w:p>
    <w:p>
      <w:pPr>
        <w:pStyle w:val="1072"/>
        <w:ind w:left="0" w:firstLine="560"/>
        <w:jc w:val="left"/>
        <w:keepLines w:val="0"/>
        <w:keepNext w:val="0"/>
        <w:pageBreakBefore w:val="0"/>
        <w:spacing w:before="0" w:beforeAutospacing="0" w:after="0" w:afterAutospacing="0" w:line="520" w:lineRule="exact"/>
        <w:widowControl/>
        <w:rPr>
          <w:rFonts w:hint="eastAsia" w:ascii="宋体" w:hAnsi="宋体" w:eastAsia="宋体" w:cs="宋体"/>
          <w:b/>
          <w:sz w:val="28"/>
          <w:szCs w:val="28"/>
        </w:rPr>
      </w:pPr>
      <w:r>
        <w:rPr>
          <w:rFonts w:hint="eastAsia" w:ascii="宋体" w:hAnsi="宋体" w:eastAsia="宋体" w:cs="宋体"/>
          <w:sz w:val="28"/>
          <w:szCs w:val="28"/>
        </w:rPr>
        <w:t xml:space="preserve">2、本次采购范围包括</w:t>
      </w:r>
      <w:r>
        <w:rPr>
          <w:rFonts w:hint="eastAsia" w:ascii="宋体" w:hAnsi="宋体" w:eastAsia="宋体" w:cs="宋体"/>
          <w:b/>
          <w:sz w:val="28"/>
          <w:szCs w:val="28"/>
          <w:u w:val="single"/>
        </w:rPr>
        <w:t xml:space="preserve">全年案件事务性工作处理、管理费用、材料费、设备、一切税费、保险费、培训费、资料等的全部费用</w:t>
      </w:r>
      <w:r>
        <w:rPr>
          <w:rFonts w:hint="eastAsia" w:ascii="宋体" w:hAnsi="宋体" w:eastAsia="宋体" w:cs="宋体"/>
          <w:b/>
          <w:sz w:val="28"/>
          <w:szCs w:val="28"/>
        </w:rPr>
        <w:t xml:space="preserve">。</w:t>
      </w:r>
      <w:r/>
    </w:p>
    <w:p>
      <w:pPr>
        <w:pStyle w:val="918"/>
        <w:ind w:left="0" w:firstLine="560"/>
        <w:jc w:val="left"/>
        <w:keepLines w:val="0"/>
        <w:keepNext w:val="0"/>
        <w:pageBreakBefore w:val="0"/>
        <w:spacing w:line="52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本项目</w:t>
      </w:r>
      <w:r>
        <w:rPr>
          <w:rFonts w:hint="eastAsia" w:ascii="宋体" w:hAnsi="宋体" w:eastAsia="宋体" w:cs="宋体"/>
          <w:color w:val="000000" w:themeColor="text1"/>
          <w:sz w:val="28"/>
          <w:szCs w:val="28"/>
          <w14:textFill>
            <w14:solidFill>
              <w14:schemeClr w14:val="tx1"/>
            </w14:solidFill>
          </w14:textFill>
        </w:rPr>
        <w:t xml:space="preserve">预算金额：</w:t>
      </w:r>
      <w:r>
        <w:rPr>
          <w:rFonts w:hint="eastAsia" w:ascii="宋体" w:hAnsi="宋体" w:cs="宋体"/>
          <w:color w:val="000000" w:themeColor="text1"/>
          <w:sz w:val="28"/>
          <w:szCs w:val="28"/>
          <w:lang w:val="en-US" w:eastAsia="zh-CN"/>
          <w14:textFill>
            <w14:solidFill>
              <w14:schemeClr w14:val="tx1"/>
            </w14:solidFill>
          </w14:textFill>
        </w:rPr>
        <w:t xml:space="preserve">760</w:t>
      </w:r>
      <w:r>
        <w:rPr>
          <w:rFonts w:hint="eastAsia" w:ascii="宋体" w:hAnsi="宋体" w:eastAsia="宋体" w:cs="宋体"/>
          <w:color w:val="000000" w:themeColor="text1"/>
          <w:sz w:val="28"/>
          <w:szCs w:val="28"/>
          <w:lang w:val="en-US" w:eastAsia="zh-CN"/>
          <w14:textFill>
            <w14:solidFill>
              <w14:schemeClr w14:val="tx1"/>
            </w14:solidFill>
          </w14:textFill>
        </w:rPr>
        <w:t xml:space="preserve">.00万</w:t>
      </w:r>
      <w:r>
        <w:rPr>
          <w:rFonts w:hint="eastAsia" w:ascii="宋体" w:hAnsi="宋体" w:eastAsia="宋体" w:cs="宋体"/>
          <w:color w:val="000000" w:themeColor="text1"/>
          <w:sz w:val="28"/>
          <w:szCs w:val="28"/>
          <w14:textFill>
            <w14:solidFill>
              <w14:schemeClr w14:val="tx1"/>
            </w14:solidFill>
          </w14:textFill>
        </w:rPr>
        <w:t xml:space="preserve">元</w:t>
      </w:r>
      <w:r>
        <w:rPr>
          <w:rFonts w:hint="eastAsia" w:ascii="宋体" w:hAnsi="宋体" w:eastAsia="宋体" w:cs="宋体"/>
          <w:color w:val="000000" w:themeColor="text1"/>
          <w:sz w:val="28"/>
          <w:szCs w:val="28"/>
          <w:lang w:val="en-US" w:eastAsia="zh-CN"/>
          <w14:textFill>
            <w14:solidFill>
              <w14:schemeClr w14:val="tx1"/>
            </w14:solidFill>
          </w14:textFill>
        </w:rPr>
        <w:t xml:space="preserve">/2年</w:t>
      </w:r>
      <w:r/>
    </w:p>
    <w:p>
      <w:pPr>
        <w:pStyle w:val="1072"/>
        <w:ind w:left="0" w:firstLine="560"/>
        <w:jc w:val="left"/>
        <w:keepLines w:val="0"/>
        <w:keepNext w:val="0"/>
        <w:pageBreakBefore w:val="0"/>
        <w:spacing w:before="0" w:beforeAutospacing="0" w:after="0" w:afterAutospacing="0" w:line="520" w:lineRule="exact"/>
        <w:widowControl/>
        <w:rPr>
          <w:rFonts w:hint="eastAsia" w:ascii="宋体" w:hAnsi="宋体" w:eastAsia="宋体" w:cs="宋体"/>
          <w:color w:val="ff0000"/>
          <w:sz w:val="28"/>
          <w:szCs w:val="28"/>
        </w:rPr>
      </w:pPr>
      <w:r>
        <w:rPr>
          <w:rFonts w:hint="eastAsia" w:ascii="宋体" w:hAnsi="宋体" w:eastAsia="宋体" w:cs="宋体"/>
          <w:color w:val="000000" w:themeColor="text1"/>
          <w:sz w:val="28"/>
          <w:szCs w:val="28"/>
          <w:lang w:val="en-US" w:eastAsia="zh-CN"/>
          <w14:textFill>
            <w14:solidFill>
              <w14:schemeClr w14:val="tx1"/>
            </w14:solidFill>
          </w14:textFill>
        </w:rPr>
        <w:t xml:space="preserve">4、本项目最高限价：</w:t>
      </w:r>
      <w:r>
        <w:rPr>
          <w:rFonts w:hint="eastAsia" w:eastAsia="宋体" w:cs="宋体"/>
          <w:color w:val="000000" w:themeColor="text1"/>
          <w:sz w:val="28"/>
          <w:szCs w:val="28"/>
          <w:lang w:val="en-US" w:eastAsia="zh-CN"/>
          <w14:textFill>
            <w14:solidFill>
              <w14:schemeClr w14:val="tx1"/>
            </w14:solidFill>
          </w14:textFill>
        </w:rPr>
        <w:t xml:space="preserve">375</w:t>
      </w:r>
      <w:r>
        <w:rPr>
          <w:rFonts w:hint="eastAsia" w:ascii="宋体" w:hAnsi="宋体" w:eastAsia="宋体" w:cs="宋体"/>
          <w:color w:val="000000" w:themeColor="text1"/>
          <w:sz w:val="28"/>
          <w:szCs w:val="28"/>
          <w14:textFill>
            <w14:solidFill>
              <w14:schemeClr w14:val="tx1"/>
            </w14:solidFill>
          </w14:textFill>
        </w:rPr>
        <w:t xml:space="preserve">.00</w:t>
      </w:r>
      <w:r>
        <w:rPr>
          <w:rFonts w:hint="eastAsia" w:ascii="宋体" w:hAnsi="宋体" w:eastAsia="宋体" w:cs="宋体"/>
          <w:color w:val="000000" w:themeColor="text1"/>
          <w:sz w:val="28"/>
          <w:szCs w:val="28"/>
          <w:lang w:val="en-US" w:eastAsia="zh-CN"/>
          <w14:textFill>
            <w14:solidFill>
              <w14:schemeClr w14:val="tx1"/>
            </w14:solidFill>
          </w14:textFill>
        </w:rPr>
        <w:t xml:space="preserve">万</w:t>
      </w:r>
      <w:r>
        <w:rPr>
          <w:rFonts w:hint="eastAsia" w:ascii="宋体" w:hAnsi="宋体" w:eastAsia="宋体" w:cs="宋体"/>
          <w:color w:val="000000" w:themeColor="text1"/>
          <w:sz w:val="28"/>
          <w:szCs w:val="28"/>
          <w14:textFill>
            <w14:solidFill>
              <w14:schemeClr w14:val="tx1"/>
            </w14:solidFill>
          </w14:textFill>
        </w:rPr>
        <w:t xml:space="preserve">元</w:t>
      </w:r>
      <w:r>
        <w:rPr>
          <w:rFonts w:hint="eastAsia" w:ascii="宋体" w:hAnsi="宋体" w:eastAsia="宋体" w:cs="宋体"/>
          <w:color w:val="000000" w:themeColor="text1"/>
          <w:sz w:val="28"/>
          <w:szCs w:val="28"/>
          <w:lang w:val="en-US" w:eastAsia="zh-CN"/>
          <w14:textFill>
            <w14:solidFill>
              <w14:schemeClr w14:val="tx1"/>
            </w14:solidFill>
          </w14:textFill>
        </w:rPr>
        <w:t xml:space="preserve">/1年</w:t>
      </w:r>
      <w:r/>
    </w:p>
    <w:p>
      <w:pPr>
        <w:pStyle w:val="1072"/>
        <w:ind w:left="0" w:firstLine="560"/>
        <w:jc w:val="left"/>
        <w:keepLines w:val="0"/>
        <w:keepNext w:val="0"/>
        <w:pageBreakBefore w:val="0"/>
        <w:spacing w:before="0" w:beforeAutospacing="0" w:after="0" w:afterAutospacing="0"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服务期</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2年。</w:t>
      </w:r>
      <w:r/>
    </w:p>
    <w:p>
      <w:pPr>
        <w:pStyle w:val="1072"/>
        <w:ind w:left="0" w:firstLine="560"/>
        <w:jc w:val="left"/>
        <w:keepLines w:val="0"/>
        <w:keepNext w:val="0"/>
        <w:pageBreakBefore w:val="0"/>
        <w:spacing w:before="0" w:beforeAutospacing="0" w:after="0" w:afterAutospacing="0"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w:t>
      </w:r>
      <w:r>
        <w:rPr>
          <w:rFonts w:hint="eastAsia" w:ascii="宋体" w:hAnsi="宋体" w:eastAsia="宋体" w:cs="宋体"/>
          <w:color w:val="auto"/>
          <w:sz w:val="28"/>
          <w:szCs w:val="28"/>
        </w:rPr>
        <w:t xml:space="preserve">报价</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《开标一览表》</w:t>
      </w:r>
      <w:r>
        <w:rPr>
          <w:rFonts w:hint="eastAsia" w:ascii="宋体" w:hAnsi="宋体" w:eastAsia="宋体" w:cs="宋体"/>
          <w:color w:val="auto"/>
          <w:sz w:val="28"/>
          <w:szCs w:val="28"/>
          <w:lang w:val="en-US" w:eastAsia="zh-CN"/>
        </w:rPr>
        <w:t xml:space="preserve">中的报价</w:t>
      </w:r>
      <w:r>
        <w:rPr>
          <w:rFonts w:hint="eastAsia" w:ascii="宋体" w:hAnsi="宋体" w:eastAsia="宋体" w:cs="宋体"/>
          <w:color w:val="auto"/>
          <w:sz w:val="28"/>
          <w:szCs w:val="28"/>
        </w:rPr>
        <w:t xml:space="preserve">高于采购最高限价的，将被判定为无效投标文件。</w:t>
      </w:r>
      <w:r/>
    </w:p>
    <w:p>
      <w:pPr>
        <w:ind w:left="0" w:firstLine="560"/>
        <w:jc w:val="left"/>
        <w:keepLines w:val="0"/>
        <w:keepNext w:val="0"/>
        <w:pageBreakBefore w:val="0"/>
        <w:spacing w:after="0" w:line="520" w:lineRule="exact"/>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特别提醒：</w:t>
      </w:r>
      <w:r>
        <w:rPr>
          <w:rFonts w:hint="eastAsia" w:ascii="宋体" w:hAnsi="宋体" w:eastAsia="宋体" w:cs="宋体"/>
          <w:color w:val="auto"/>
          <w:sz w:val="28"/>
          <w:szCs w:val="28"/>
        </w:rPr>
        <w:t xml:space="preserve">《开标一览表》</w:t>
      </w:r>
      <w:r>
        <w:rPr>
          <w:rFonts w:hint="eastAsia" w:ascii="宋体" w:hAnsi="宋体" w:eastAsia="宋体" w:cs="宋体"/>
          <w:color w:val="auto"/>
          <w:sz w:val="28"/>
          <w:szCs w:val="28"/>
          <w:lang w:val="en-US" w:eastAsia="zh-CN"/>
        </w:rPr>
        <w:t xml:space="preserve">所填报价为一年服务单价。合同一年一签。</w:t>
      </w:r>
      <w:r/>
    </w:p>
    <w:p>
      <w:pPr>
        <w:ind w:left="0" w:firstLine="560"/>
        <w:jc w:val="left"/>
        <w:keepLines w:val="0"/>
        <w:keepNext w:val="0"/>
        <w:pageBreakBefore w:val="0"/>
        <w:spacing w:after="0" w:line="520" w:lineRule="exact"/>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7、采购标的的所属行业：参照《关于印发中小企业划型标准规定的通知》（工信部联企业[2011]300号）文件，本项目采购标的所属行业为</w:t>
      </w:r>
      <w:r>
        <w:rPr>
          <w:rFonts w:hint="eastAsia" w:ascii="宋体" w:hAnsi="宋体" w:eastAsia="宋体" w:cs="宋体"/>
          <w:b/>
          <w:bCs/>
          <w:color w:val="auto"/>
          <w:sz w:val="28"/>
          <w:szCs w:val="28"/>
          <w:u w:val="single"/>
          <w:lang w:val="en-US" w:eastAsia="zh-CN"/>
        </w:rPr>
        <w:t xml:space="preserve">租赁和商务服务业</w:t>
      </w:r>
      <w:r>
        <w:rPr>
          <w:rFonts w:hint="eastAsia" w:ascii="宋体" w:hAnsi="宋体" w:eastAsia="宋体" w:cs="宋体"/>
          <w:color w:val="auto"/>
          <w:sz w:val="28"/>
          <w:szCs w:val="28"/>
          <w:lang w:val="en-US" w:eastAsia="zh-CN"/>
        </w:rPr>
        <w:t xml:space="preserve">。</w:t>
      </w:r>
      <w:r/>
    </w:p>
    <w:p>
      <w:pPr>
        <w:pStyle w:val="1072"/>
        <w:numPr>
          <w:ilvl w:val="0"/>
          <w:numId w:val="0"/>
        </w:numPr>
        <w:ind w:left="0" w:firstLine="562"/>
        <w:jc w:val="left"/>
        <w:keepLines w:val="0"/>
        <w:keepNext w:val="0"/>
        <w:pageBreakBefore w:val="0"/>
        <w:spacing w:before="0" w:beforeAutospacing="0" w:after="0" w:afterAutospacing="0" w:line="520" w:lineRule="exact"/>
        <w:widowControl/>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eastAsia="宋体" w:cs="宋体"/>
          <w:b/>
          <w:bCs/>
          <w:color w:val="000000" w:themeColor="text1"/>
          <w:sz w:val="28"/>
          <w:szCs w:val="28"/>
          <w:lang w:val="en-US" w:eastAsia="zh-CN"/>
          <w14:textFill>
            <w14:solidFill>
              <w14:schemeClr w14:val="tx1"/>
            </w14:solidFill>
          </w14:textFill>
        </w:rPr>
        <w:t xml:space="preserve">6、</w:t>
      </w:r>
      <w:r>
        <w:rPr>
          <w:rFonts w:hint="eastAsia" w:ascii="宋体" w:hAnsi="宋体" w:eastAsia="宋体" w:cs="宋体"/>
          <w:b/>
          <w:bCs/>
          <w:color w:val="000000" w:themeColor="text1"/>
          <w:sz w:val="28"/>
          <w:szCs w:val="28"/>
          <w:lang w:val="en-US" w:eastAsia="zh-CN"/>
          <w14:textFill>
            <w14:solidFill>
              <w14:schemeClr w14:val="tx1"/>
            </w14:solidFill>
          </w14:textFill>
        </w:rPr>
        <w:t xml:space="preserve">采购需求</w:t>
      </w:r>
      <w:r/>
    </w:p>
    <w:p>
      <w:pPr>
        <w:numPr>
          <w:ilvl w:val="0"/>
          <w:numId w:val="6"/>
        </w:numPr>
        <w:ind w:left="0" w:firstLine="0"/>
        <w:jc w:val="center"/>
        <w:keepLines w:val="0"/>
        <w:keepNext w:val="0"/>
        <w:pageBreakBefore w:val="0"/>
        <w:spacing w:after="100" w:line="520" w:lineRule="exact"/>
        <w:widowControl/>
        <w:tabs>
          <w:tab w:val="left" w:pos="709" w:leader="none"/>
          <w:tab w:val="left" w:pos="992"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总  则</w:t>
      </w:r>
      <w:r/>
    </w:p>
    <w:p>
      <w:pPr>
        <w:numPr>
          <w:ilvl w:val="0"/>
          <w:numId w:val="7"/>
        </w:numPr>
        <w:ind w:left="0" w:firstLine="480"/>
        <w:jc w:val="left"/>
        <w:keepLines w:val="0"/>
        <w:keepNext w:val="0"/>
        <w:pageBreakBefore w:val="0"/>
        <w:spacing w:after="0" w:line="40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本次招标的范围为：兴化市人民法院司法辅助事务性工作服务采购项目。</w:t>
      </w:r>
      <w:r/>
    </w:p>
    <w:p>
      <w:pPr>
        <w:numPr>
          <w:ilvl w:val="0"/>
          <w:numId w:val="7"/>
        </w:numPr>
        <w:ind w:left="0" w:firstLine="480"/>
        <w:jc w:val="left"/>
        <w:keepLines w:val="0"/>
        <w:keepNext w:val="0"/>
        <w:pageBreakBefore w:val="0"/>
        <w:spacing w:after="0" w:line="40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除经兴化市人民法院同意外，</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不得再以任何方式转包或分包。</w:t>
      </w:r>
      <w:r/>
    </w:p>
    <w:p>
      <w:pPr>
        <w:numPr>
          <w:ilvl w:val="0"/>
          <w:numId w:val="7"/>
        </w:numPr>
        <w:ind w:left="0" w:firstLine="480"/>
        <w:jc w:val="left"/>
        <w:keepLines w:val="0"/>
        <w:keepNext w:val="0"/>
        <w:pageBreakBefore w:val="0"/>
        <w:spacing w:after="0" w:line="40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本项目由中标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承包及负责招标文件对</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要求的一切事宜及责任。</w:t>
      </w:r>
      <w:r/>
    </w:p>
    <w:p>
      <w:pPr>
        <w:numPr>
          <w:ilvl w:val="0"/>
          <w:numId w:val="7"/>
        </w:numPr>
        <w:ind w:left="0" w:firstLine="480"/>
        <w:jc w:val="left"/>
        <w:keepLines w:val="0"/>
        <w:keepNext w:val="0"/>
        <w:pageBreakBefore w:val="0"/>
        <w:spacing w:after="0" w:line="46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合同签订事宜：中标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应当在中标通知书发出后</w:t>
      </w:r>
      <w:r>
        <w:rPr>
          <w:rFonts w:hint="eastAsia" w:ascii="宋体" w:hAnsi="宋体" w:eastAsia="宋体" w:cs="宋体"/>
          <w:color w:val="000000"/>
          <w:sz w:val="24"/>
          <w:szCs w:val="24"/>
          <w:lang w:val="en-US" w:eastAsia="zh-CN"/>
        </w:rPr>
        <w:t xml:space="preserve">立即</w:t>
      </w:r>
      <w:r>
        <w:rPr>
          <w:rFonts w:hint="eastAsia" w:ascii="宋体" w:hAnsi="宋体" w:eastAsia="宋体" w:cs="宋体"/>
          <w:color w:val="000000"/>
          <w:sz w:val="24"/>
          <w:szCs w:val="24"/>
        </w:rPr>
        <w:t xml:space="preserve">与兴化市人民法院签订合同，签订合同后</w:t>
      </w:r>
      <w:r>
        <w:rPr>
          <w:rFonts w:hint="eastAsia" w:ascii="宋体" w:hAnsi="宋体" w:eastAsia="宋体" w:cs="宋体"/>
          <w:color w:val="000000"/>
          <w:sz w:val="24"/>
          <w:szCs w:val="24"/>
          <w:lang w:val="en-US" w:eastAsia="zh-CN"/>
        </w:rPr>
        <w:t xml:space="preserve">按照合同服务时间</w:t>
      </w:r>
      <w:r>
        <w:rPr>
          <w:rFonts w:hint="eastAsia" w:ascii="宋体" w:hAnsi="宋体" w:eastAsia="宋体" w:cs="宋体"/>
          <w:color w:val="000000"/>
          <w:sz w:val="24"/>
          <w:szCs w:val="24"/>
        </w:rPr>
        <w:t xml:space="preserve">进场正常开展工作。合同一年一签，经采购人考核合格，可续签下一年度合同</w:t>
      </w:r>
      <w:r>
        <w:rPr>
          <w:rFonts w:hint="eastAsia" w:ascii="宋体" w:hAnsi="宋体" w:eastAsia="宋体" w:cs="宋体"/>
          <w:b/>
          <w:bCs/>
          <w:color w:val="000000"/>
          <w:sz w:val="24"/>
          <w:szCs w:val="24"/>
          <w:lang w:val="en-US" w:eastAsia="zh-CN"/>
        </w:rPr>
        <w:t xml:space="preserve">，如考核不合格，采购人有权拒绝续签合同，并不承担任何责任。</w:t>
      </w:r>
      <w:r/>
    </w:p>
    <w:p>
      <w:pPr>
        <w:numPr>
          <w:ilvl w:val="0"/>
          <w:numId w:val="7"/>
        </w:numPr>
        <w:ind w:left="0" w:firstLine="480"/>
        <w:jc w:val="left"/>
        <w:keepLines w:val="0"/>
        <w:keepNext w:val="0"/>
        <w:pageBreakBefore w:val="0"/>
        <w:spacing w:after="0" w:line="46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根据项目内容要求，完成整体运作流程图、设置岗位工作说明书、工作流程、工作业务量。</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需负责各岗位人员的招聘、上岗培训、日常管理、业务流程等全面性的工作。不得出现因岗位设置不齐全、岗位人数不符合而导致的工作效率问题，拖延法院的案件流转速度。</w:t>
      </w:r>
      <w:r/>
    </w:p>
    <w:p>
      <w:pPr>
        <w:numPr>
          <w:ilvl w:val="0"/>
          <w:numId w:val="7"/>
        </w:numPr>
        <w:ind w:left="0" w:firstLine="480"/>
        <w:jc w:val="left"/>
        <w:keepLines w:val="0"/>
        <w:keepNext w:val="0"/>
        <w:pageBreakBefore w:val="0"/>
        <w:spacing w:after="0" w:line="46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兴化市人民法院负责对项目运转的结果和质效进行验收。</w:t>
      </w:r>
      <w:r/>
    </w:p>
    <w:p>
      <w:pPr>
        <w:numPr>
          <w:ilvl w:val="0"/>
          <w:numId w:val="7"/>
        </w:numPr>
        <w:ind w:left="0" w:firstLine="480"/>
        <w:jc w:val="left"/>
        <w:keepLines w:val="0"/>
        <w:keepNext w:val="0"/>
        <w:pageBreakBefore w:val="0"/>
        <w:spacing w:after="0" w:line="46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本项目涉及人民法院日常审判业务流程及节点，</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根据自身情况如有需要前往勘查现场。</w:t>
      </w:r>
      <w:r/>
    </w:p>
    <w:p>
      <w:pPr>
        <w:numPr>
          <w:ilvl w:val="0"/>
          <w:numId w:val="6"/>
        </w:numPr>
        <w:ind w:left="0" w:firstLine="0"/>
        <w:jc w:val="center"/>
        <w:keepLines w:val="0"/>
        <w:keepNext w:val="0"/>
        <w:pageBreakBefore w:val="0"/>
        <w:spacing w:before="100" w:after="100" w:line="520" w:lineRule="exact"/>
        <w:widowControl/>
        <w:tabs>
          <w:tab w:val="left" w:pos="709" w:leader="none"/>
          <w:tab w:val="left" w:pos="992"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项目需求</w:t>
      </w:r>
      <w:r/>
    </w:p>
    <w:tbl>
      <w:tblPr>
        <w:tblStyle w:val="866"/>
        <w:tblW w:w="86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7"/>
        <w:gridCol w:w="1459"/>
        <w:gridCol w:w="3519"/>
        <w:gridCol w:w="1676"/>
      </w:tblGrid>
      <w:tr>
        <w:trPr>
          <w:jc w:val="center"/>
          <w:trHeight w:val="588"/>
          <w:tblHeader/>
        </w:trPr>
        <w:tc>
          <w:tcPr>
            <w:tcW w:w="197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工作概述</w:t>
            </w:r>
            <w:r/>
          </w:p>
        </w:tc>
        <w:tc>
          <w:tcPr>
            <w:tcW w:w="145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服务期限</w:t>
            </w:r>
            <w:r/>
          </w:p>
        </w:tc>
        <w:tc>
          <w:tcPr>
            <w:tcW w:w="351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近三年度接、收案件数量</w:t>
            </w:r>
            <w:r/>
          </w:p>
        </w:tc>
        <w:tc>
          <w:tcPr>
            <w:tcW w:w="167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工作人员数量</w:t>
            </w:r>
            <w:r/>
          </w:p>
        </w:tc>
      </w:tr>
      <w:tr>
        <w:trPr>
          <w:jc w:val="center"/>
          <w:trHeight w:val="1124"/>
        </w:trPr>
        <w:tc>
          <w:tcPr>
            <w:tcW w:w="197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司法辅助事务性工作社会化服务</w:t>
            </w:r>
            <w:r/>
          </w:p>
        </w:tc>
        <w:tc>
          <w:tcPr>
            <w:tcW w:w="145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2年</w:t>
            </w:r>
            <w:r/>
          </w:p>
        </w:tc>
        <w:tc>
          <w:tcPr>
            <w:tcW w:w="351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23年、收21384、结21749；</w:t>
            </w:r>
            <w:r/>
          </w:p>
          <w:p>
            <w:pPr>
              <w:ind w:left="0" w:right="0" w:firstLine="0"/>
              <w:jc w:val="center"/>
              <w:keepLines w:val="0"/>
              <w:keepNext w:val="0"/>
              <w:pageBreakBefore w:val="0"/>
              <w:spacing w:after="0" w:line="240" w:lineRule="auto"/>
              <w:widowControl/>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24年、收22222、结21709；</w:t>
            </w:r>
            <w:r/>
          </w:p>
          <w:p>
            <w:pPr>
              <w:ind w:left="0" w:right="0" w:firstLine="0"/>
              <w:jc w:val="center"/>
              <w:keepLines w:val="0"/>
              <w:keepNext w:val="0"/>
              <w:pageBreakBefore w:val="0"/>
              <w:spacing w:after="0" w:line="240" w:lineRule="auto"/>
              <w:widowControl/>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25年、收30206、结27662。</w:t>
            </w:r>
            <w:r/>
          </w:p>
        </w:tc>
        <w:tc>
          <w:tcPr>
            <w:tcW w:w="167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50人</w:t>
            </w:r>
            <w:r/>
          </w:p>
        </w:tc>
      </w:tr>
    </w:tbl>
    <w:p>
      <w:pPr>
        <w:numPr>
          <w:ilvl w:val="0"/>
          <w:numId w:val="6"/>
        </w:numPr>
        <w:ind w:left="0" w:firstLine="0"/>
        <w:jc w:val="center"/>
        <w:keepLines w:val="0"/>
        <w:keepNext w:val="0"/>
        <w:pageBreakBefore w:val="0"/>
        <w:spacing w:before="100" w:after="100" w:line="520" w:lineRule="exact"/>
        <w:widowControl/>
        <w:tabs>
          <w:tab w:val="left" w:pos="709" w:leader="none"/>
          <w:tab w:val="left" w:pos="992"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司法辅助事务性工作社会化服务人员条件、办公设备要求</w:t>
      </w:r>
      <w:r/>
    </w:p>
    <w:p>
      <w:pPr>
        <w:numPr>
          <w:ilvl w:val="0"/>
          <w:numId w:val="8"/>
        </w:numPr>
        <w:ind w:left="0" w:firstLine="420"/>
        <w:keepLines w:val="0"/>
        <w:keepNext w:val="0"/>
        <w:pageBreakBefore w:val="0"/>
        <w:spacing w:after="0" w:line="50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现场服务人员学历要求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项目管理人员必须是本科及以上学历，项目其他人员须是大专及以上学历。</w:t>
      </w:r>
      <w:r/>
    </w:p>
    <w:p>
      <w:pPr>
        <w:numPr>
          <w:ilvl w:val="0"/>
          <w:numId w:val="8"/>
        </w:numPr>
        <w:ind w:left="0" w:firstLine="420"/>
        <w:keepLines w:val="0"/>
        <w:keepNext w:val="0"/>
        <w:pageBreakBefore w:val="0"/>
        <w:spacing w:after="0" w:line="500" w:lineRule="exact"/>
        <w:widowControl/>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现场服务人员素质要求</w:t>
      </w:r>
      <w:r>
        <w:rPr>
          <w:rFonts w:hint="eastAsia" w:ascii="宋体" w:hAnsi="宋体" w:eastAsia="宋体" w:cs="宋体"/>
          <w:color w:val="000000"/>
          <w:sz w:val="24"/>
          <w:szCs w:val="24"/>
          <w:lang w:eastAsia="zh-CN"/>
        </w:rPr>
        <w:t xml:space="preserve">：</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具有中华人民共和国国籍，拥护党的理论和路线方针政策，遵纪守法，具有较强的政治素质、良好的职业道德，无违法违纪受处分记录，热爱法院工作；</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身体健康，五官端正，无传染病；具有正常履行职责的身体条件和工作能力，能胜任相关司法辅助性岗位的工作；</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具有较强的语言表达能力及组织协调能力；工作积极主动、执行能力强；具有良好的团队合作精神、强烈的责任感和进取心，严格的组织纪律性和保密意识；</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能熟练操作计算机，会使用常用办公软件（如：Word、Excel等），快速进行文字输入工作及档案整理工作；</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严格遵守泰州市兴化市人民法院日常规章管理制度和工作。</w:t>
      </w:r>
      <w:r/>
    </w:p>
    <w:p>
      <w:pPr>
        <w:numPr>
          <w:ilvl w:val="0"/>
          <w:numId w:val="8"/>
        </w:numPr>
        <w:ind w:left="0" w:firstLine="42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有下列情形之一的不得担任本项目的工作人员：</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本人及其近亲属因犯罪受过刑事处罚的；</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曾被开除公职或辞退的；</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涉嫌违法违纪正在接受审查的，尚未作出结论的；</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本人及其近亲属有不良信用记录的，被法院列入失信人员名单的；</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法律、法规规定的其他不得应聘的情形。</w:t>
      </w:r>
      <w:r/>
    </w:p>
    <w:p>
      <w:pPr>
        <w:numPr>
          <w:ilvl w:val="0"/>
          <w:numId w:val="8"/>
        </w:numPr>
        <w:ind w:left="0" w:firstLine="42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最终现场服务人员由</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进行政审，政审合格后方可上岗。</w:t>
      </w:r>
      <w:r/>
    </w:p>
    <w:p>
      <w:pPr>
        <w:numPr>
          <w:ilvl w:val="0"/>
          <w:numId w:val="8"/>
        </w:numPr>
        <w:ind w:left="0" w:firstLine="42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现场服务人员应统一着装上岗，统一着装须标有明显的</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公司标识标牌等。</w:t>
      </w:r>
      <w:r/>
    </w:p>
    <w:p>
      <w:pPr>
        <w:numPr>
          <w:ilvl w:val="0"/>
          <w:numId w:val="8"/>
        </w:numPr>
        <w:ind w:left="0" w:firstLine="42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办公设备要求</w:t>
      </w:r>
      <w:r>
        <w:rPr>
          <w:rFonts w:hint="eastAsia" w:ascii="宋体" w:hAnsi="宋体" w:eastAsia="宋体" w:cs="宋体"/>
          <w:color w:val="000000"/>
          <w:sz w:val="24"/>
          <w:szCs w:val="24"/>
          <w:lang w:eastAsia="zh-CN"/>
        </w:rPr>
        <w:t xml:space="preserve">：</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由泰州市兴化市人民法院负责提供服务场地、必要的办公条件(包括但不限于办公桌椅、文件柜、储物柜等)和工作用品及耗材；</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由兴化市人民法院负责提供办公设备(包括但不限于电脑、打印机、扫描仪、电话机等)。</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应当正确使用所有办公设备，如因</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工作人员使用不当导致设备毁损的，</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应当承担相应的赔偿责任。</w:t>
      </w:r>
      <w:r/>
    </w:p>
    <w:p>
      <w:pPr>
        <w:numPr>
          <w:ilvl w:val="0"/>
          <w:numId w:val="8"/>
        </w:numPr>
        <w:ind w:left="0" w:firstLine="42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相关要求</w:t>
      </w:r>
      <w:r>
        <w:rPr>
          <w:rFonts w:hint="eastAsia" w:ascii="宋体" w:hAnsi="宋体" w:eastAsia="宋体" w:cs="宋体"/>
          <w:color w:val="000000"/>
          <w:sz w:val="24"/>
          <w:szCs w:val="24"/>
          <w:lang w:eastAsia="zh-CN"/>
        </w:rPr>
        <w:t xml:space="preserve">：</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1.中标单位严格按合同法予以员工交纳“五险一金’；</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2.中标单位签定合同七个工作日内，需要向甲方交纳合同总价的10%，作为合同履约保证金；</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3.中标单位应加强对人员管理、培训、教育；利用一切办法调动员工工作积极性；</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4.中标单位提供50名符合规定的员工用于本项目工作，从离岗到新员工上岗，补缺时间不得超过7个工作日；</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5.本项目员工不得从事本项目之外的工作，法务外包项目与卷宗扫描项目之间员工不得借用，不得对调使用；</w:t>
      </w:r>
      <w:r/>
    </w:p>
    <w:p>
      <w:pPr>
        <w:ind w:left="400" w:firstLine="480"/>
        <w:keepLines w:val="0"/>
        <w:keepNext w:val="0"/>
        <w:pageBreakBefore w:val="0"/>
        <w:spacing w:after="0" w:line="500" w:lineRule="exact"/>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6.中标单位因为员工工作失误，引发导致当事人信访、投诉所产生的损失、费用，应当由中标单位主动对接负责赔偿。</w:t>
      </w:r>
      <w:r/>
    </w:p>
    <w:p>
      <w:pPr>
        <w:numPr>
          <w:ilvl w:val="0"/>
          <w:numId w:val="6"/>
        </w:numPr>
        <w:ind w:left="0" w:firstLine="0"/>
        <w:jc w:val="center"/>
        <w:keepLines w:val="0"/>
        <w:keepNext w:val="0"/>
        <w:pageBreakBefore w:val="0"/>
        <w:spacing w:before="100" w:after="100" w:line="520" w:lineRule="exact"/>
        <w:widowControl/>
        <w:tabs>
          <w:tab w:val="left" w:pos="709" w:leader="none"/>
          <w:tab w:val="left" w:pos="992"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项目内容</w:t>
      </w:r>
      <w:r/>
    </w:p>
    <w:p>
      <w:pPr>
        <w:ind w:firstLine="561"/>
        <w:keepLines w:val="0"/>
        <w:keepNext w:val="0"/>
        <w:pageBreakBefore w:val="0"/>
        <w:spacing w:after="0" w:line="360" w:lineRule="auto"/>
        <w:widowControl/>
        <w:tabs>
          <w:tab w:val="left" w:pos="65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兴化市人民法院司法辅助事务服务，包含诉讼服务辅助工作、审判业务辅助工作、执行业务辅助工作等一系列的辅助事务性工作。</w:t>
      </w:r>
      <w:r/>
    </w:p>
    <w:tbl>
      <w:tblPr>
        <w:tblStyle w:val="866"/>
        <w:tblW w:w="8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2337"/>
        <w:gridCol w:w="2936"/>
        <w:gridCol w:w="1337"/>
        <w:gridCol w:w="1022"/>
      </w:tblGrid>
      <w:tr>
        <w:trPr>
          <w:jc w:val="center"/>
          <w:trHeight w:val="376"/>
          <w:tblHeader/>
        </w:trPr>
        <w:tc>
          <w:tcPr>
            <w:shd w:val="clear" w:color="auto" w:fill="auto"/>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auto"/>
                <w:sz w:val="24"/>
                <w:szCs w:val="24"/>
                <w:shd w:val="clear" w:color="auto" w:fill="auto"/>
              </w:rPr>
            </w:pPr>
            <w:r>
              <w:rPr>
                <w:rFonts w:hint="eastAsia" w:ascii="宋体" w:hAnsi="宋体" w:eastAsia="宋体" w:cs="宋体"/>
                <w:b/>
                <w:color w:val="auto"/>
                <w:sz w:val="24"/>
                <w:szCs w:val="24"/>
                <w:shd w:val="clear" w:color="auto" w:fill="auto"/>
                <w:lang w:bidi="ar"/>
              </w:rPr>
              <w:t xml:space="preserve">序号</w:t>
            </w:r>
            <w:r/>
          </w:p>
        </w:tc>
        <w:tc>
          <w:tcPr>
            <w:shd w:val="clear" w:color="auto" w:fill="auto"/>
            <w:tcW w:w="23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auto"/>
                <w:sz w:val="24"/>
                <w:szCs w:val="24"/>
                <w:shd w:val="clear" w:color="auto" w:fill="auto"/>
              </w:rPr>
            </w:pPr>
            <w:r>
              <w:rPr>
                <w:rFonts w:hint="eastAsia" w:ascii="宋体" w:hAnsi="宋体" w:eastAsia="宋体" w:cs="宋体"/>
                <w:b/>
                <w:color w:val="auto"/>
                <w:sz w:val="24"/>
                <w:szCs w:val="24"/>
                <w:shd w:val="clear" w:color="auto" w:fill="auto"/>
                <w:lang w:bidi="ar"/>
              </w:rPr>
              <w:t xml:space="preserve">岗位类型</w:t>
            </w:r>
            <w:r/>
          </w:p>
        </w:tc>
        <w:tc>
          <w:tcPr>
            <w:shd w:val="clear" w:color="auto" w:fill="auto"/>
            <w:tcW w:w="293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auto"/>
                <w:sz w:val="24"/>
                <w:szCs w:val="24"/>
                <w:shd w:val="clear" w:color="auto" w:fill="auto"/>
              </w:rPr>
            </w:pPr>
            <w:r>
              <w:rPr>
                <w:rFonts w:hint="eastAsia" w:ascii="宋体" w:hAnsi="宋体" w:eastAsia="宋体" w:cs="宋体"/>
                <w:b/>
                <w:color w:val="auto"/>
                <w:sz w:val="24"/>
                <w:szCs w:val="24"/>
                <w:shd w:val="clear" w:color="auto" w:fill="auto"/>
                <w:lang w:bidi="ar"/>
              </w:rPr>
              <w:t xml:space="preserve">岗位明细</w:t>
            </w:r>
            <w:r/>
          </w:p>
        </w:tc>
        <w:tc>
          <w:tcPr>
            <w:shd w:val="clear" w:color="auto" w:fill="auto"/>
            <w:tcW w:w="13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auto"/>
                <w:sz w:val="24"/>
                <w:szCs w:val="24"/>
                <w:shd w:val="clear" w:color="auto" w:fill="auto"/>
              </w:rPr>
            </w:pPr>
            <w:r>
              <w:rPr>
                <w:rFonts w:hint="eastAsia" w:ascii="宋体" w:hAnsi="宋体" w:eastAsia="宋体" w:cs="宋体"/>
                <w:b/>
                <w:color w:val="auto"/>
                <w:sz w:val="24"/>
                <w:szCs w:val="24"/>
                <w:shd w:val="clear" w:color="auto" w:fill="auto"/>
                <w:lang w:bidi="ar"/>
              </w:rPr>
              <w:t xml:space="preserve">配置人数</w:t>
            </w:r>
            <w:r/>
          </w:p>
        </w:tc>
        <w:tc>
          <w:tcPr>
            <w:shd w:val="clear" w:color="auto" w:fill="auto"/>
            <w:tcW w:w="1022"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auto"/>
                <w:sz w:val="24"/>
                <w:szCs w:val="24"/>
                <w:shd w:val="clear" w:color="auto" w:fill="auto"/>
              </w:rPr>
            </w:pPr>
            <w:r>
              <w:rPr>
                <w:rFonts w:hint="eastAsia" w:ascii="宋体" w:hAnsi="宋体" w:eastAsia="宋体" w:cs="宋体"/>
                <w:b/>
                <w:color w:val="auto"/>
                <w:sz w:val="24"/>
                <w:szCs w:val="24"/>
                <w:shd w:val="clear" w:color="auto" w:fill="auto"/>
                <w:lang w:bidi="ar"/>
              </w:rPr>
              <w:t xml:space="preserve">备注</w:t>
            </w:r>
            <w:r/>
          </w:p>
        </w:tc>
      </w:tr>
      <w:tr>
        <w:trPr>
          <w:jc w:val="center"/>
          <w:trHeight w:val="419"/>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w:t>
            </w:r>
            <w:r/>
          </w:p>
        </w:tc>
        <w:tc>
          <w:tcPr>
            <w:tcW w:w="2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管理人员</w:t>
            </w:r>
            <w:r/>
          </w:p>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（2人）</w:t>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业务主管</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color w:val="000000"/>
                <w:sz w:val="24"/>
                <w:szCs w:val="24"/>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行政助理</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r>
      <w:tr>
        <w:trPr>
          <w:jc w:val="center"/>
          <w:trHeight w:val="324"/>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3</w:t>
            </w:r>
            <w:r/>
          </w:p>
        </w:tc>
        <w:tc>
          <w:tcPr>
            <w:tcW w:w="2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color w:val="222222"/>
                <w:sz w:val="24"/>
                <w:szCs w:val="24"/>
                <w:lang w:bidi="ar"/>
              </w:rPr>
              <w:t xml:space="preserve">诉讼辅助</w:t>
            </w:r>
            <w:r/>
          </w:p>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事务小组</w:t>
            </w:r>
            <w:r/>
          </w:p>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color w:val="222222"/>
                <w:sz w:val="24"/>
                <w:szCs w:val="24"/>
                <w:lang w:bidi="ar"/>
              </w:rPr>
              <w:t xml:space="preserve">（10人）</w:t>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立案诉导</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9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4</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智能编目扫描</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38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5</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立案录入</w:t>
            </w:r>
            <w:r/>
          </w:p>
        </w:tc>
        <w:tc>
          <w:tcPr>
            <w:tcW w:w="1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tcW w:w="1022" w:type="dxa"/>
            <w:vAlign w:val="center"/>
            <w:vMerge w:val="restart"/>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37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6</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跨域立案</w:t>
            </w:r>
            <w:r/>
          </w:p>
        </w:tc>
        <w:tc>
          <w:tcPr>
            <w:tcW w:w="1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022"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7</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诉前调解录入</w:t>
            </w:r>
            <w:r/>
          </w:p>
        </w:tc>
        <w:tc>
          <w:tcPr>
            <w:tcW w:w="1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8</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“微解纷”平台维护</w:t>
            </w:r>
            <w:r/>
          </w:p>
        </w:tc>
        <w:tc>
          <w:tcPr>
            <w:tcW w:w="1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9</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材料收转岗</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10</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鉴定辅助</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11</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档案卷调档</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348"/>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12</w:t>
            </w:r>
            <w:r/>
          </w:p>
        </w:tc>
        <w:tc>
          <w:tcPr>
            <w:tcW w:w="2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审判辅助</w:t>
            </w:r>
            <w:r/>
          </w:p>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事务小组</w:t>
            </w:r>
            <w:r/>
          </w:p>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lang w:bidi="ar"/>
              </w:rPr>
              <w:t xml:space="preserve">（20人）</w:t>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卷宗流转</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13</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案件排期</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14</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color w:val="000000"/>
                <w:sz w:val="24"/>
                <w:szCs w:val="24"/>
                <w:lang w:bidi="ar"/>
              </w:rPr>
              <w:t xml:space="preserve">应诉文书制作</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15</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sz w:val="24"/>
                <w:szCs w:val="24"/>
                <w:lang w:bidi="ar"/>
              </w:rPr>
              <w:t xml:space="preserve">跟案送达</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16</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派出法庭送达</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ff0000"/>
                <w:sz w:val="24"/>
                <w:szCs w:val="24"/>
                <w:lang w:bidi="ar"/>
              </w:rPr>
            </w:pPr>
            <w:r>
              <w:rPr>
                <w:rFonts w:hint="eastAsia" w:ascii="宋体" w:hAnsi="宋体" w:eastAsia="宋体" w:cs="宋体"/>
                <w:color w:val="ff0000"/>
                <w:sz w:val="24"/>
                <w:szCs w:val="24"/>
                <w:lang w:bidi="ar"/>
              </w:rPr>
            </w:r>
            <w:r/>
          </w:p>
        </w:tc>
      </w:tr>
      <w:tr>
        <w:trPr>
          <w:jc w:val="center"/>
          <w:trHeight w:val="342"/>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17</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rPr>
            </w:pPr>
            <w:r>
              <w:rPr>
                <w:rFonts w:hint="eastAsia" w:ascii="宋体" w:hAnsi="宋体" w:eastAsia="宋体" w:cs="宋体"/>
                <w:color w:val="222222"/>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sz w:val="24"/>
                <w:szCs w:val="24"/>
                <w:lang w:bidi="ar"/>
              </w:rPr>
              <w:t xml:space="preserve">EMS对接岗</w:t>
            </w:r>
            <w:r/>
          </w:p>
        </w:tc>
        <w:tc>
          <w:tcPr>
            <w:tcW w:w="1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c>
          <w:tcPr>
            <w:tcW w:w="1022" w:type="dxa"/>
            <w:vAlign w:val="center"/>
            <w:vMerge w:val="restart"/>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366"/>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18</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公告岗</w:t>
            </w:r>
            <w:r/>
          </w:p>
        </w:tc>
        <w:tc>
          <w:tcPr>
            <w:tcW w:w="1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W w:w="1022"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19</w:t>
            </w:r>
            <w:r/>
          </w:p>
        </w:tc>
        <w:tc>
          <w:tcPr>
            <w:tcW w:w="2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执行辅助</w:t>
            </w:r>
            <w:r/>
          </w:p>
          <w:p>
            <w:pPr>
              <w:ind w:left="0" w:right="0" w:firstLine="0"/>
              <w:jc w:val="center"/>
              <w:keepLines w:val="0"/>
              <w:keepNext w:val="0"/>
              <w:pageBreakBefore w:val="0"/>
              <w:spacing w:after="0" w:line="240" w:lineRule="exact"/>
              <w:widowControl/>
              <w:rPr>
                <w:rFonts w:hint="eastAsia" w:ascii="宋体" w:hAnsi="宋体" w:eastAsia="宋体" w:cs="宋体"/>
                <w:b/>
                <w:color w:val="auto"/>
                <w:sz w:val="24"/>
                <w:szCs w:val="24"/>
              </w:rPr>
            </w:pPr>
            <w:r>
              <w:rPr>
                <w:rFonts w:hint="eastAsia" w:ascii="宋体" w:hAnsi="宋体" w:eastAsia="宋体" w:cs="宋体"/>
                <w:color w:val="auto"/>
                <w:sz w:val="24"/>
                <w:szCs w:val="24"/>
                <w:lang w:bidi="ar"/>
              </w:rPr>
              <w:t xml:space="preserve">事务小组</w:t>
            </w:r>
            <w:r/>
          </w:p>
          <w:p>
            <w:pPr>
              <w:ind w:left="0" w:right="0" w:firstLine="0"/>
              <w:jc w:val="center"/>
              <w:keepLines w:val="0"/>
              <w:keepNext w:val="0"/>
              <w:pageBreakBefore w:val="0"/>
              <w:spacing w:after="0" w:line="24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w:t>
            </w:r>
            <w:r>
              <w:rPr>
                <w:rFonts w:hint="eastAsia" w:ascii="宋体" w:hAnsi="宋体" w:eastAsia="宋体" w:cs="宋体"/>
                <w:color w:val="auto"/>
                <w:sz w:val="24"/>
                <w:szCs w:val="24"/>
                <w:lang w:val="en-US" w:eastAsia="zh-CN" w:bidi="ar"/>
              </w:rPr>
              <w:t xml:space="preserve">7</w:t>
            </w:r>
            <w:r>
              <w:rPr>
                <w:rFonts w:hint="eastAsia" w:ascii="宋体" w:hAnsi="宋体" w:eastAsia="宋体" w:cs="宋体"/>
                <w:color w:val="auto"/>
                <w:sz w:val="24"/>
                <w:szCs w:val="24"/>
                <w:lang w:bidi="ar"/>
              </w:rPr>
              <w:t xml:space="preserve">人）</w:t>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立案录入</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20</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color w:val="auto"/>
                <w:sz w:val="24"/>
                <w:szCs w:val="24"/>
              </w:rPr>
            </w:pPr>
            <w:r>
              <w:rPr>
                <w:rFonts w:hint="eastAsia" w:ascii="宋体" w:hAnsi="宋体" w:eastAsia="宋体" w:cs="宋体"/>
                <w:color w:val="auto"/>
                <w:sz w:val="24"/>
                <w:szCs w:val="24"/>
                <w:lang w:bidi="ar"/>
              </w:rPr>
              <w:t xml:space="preserve">电话接听</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21</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卷宗流转</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22</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网络查控</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3</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23</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b/>
                <w:sz w:val="24"/>
                <w:szCs w:val="24"/>
              </w:rPr>
            </w:pPr>
            <w:r>
              <w:rPr>
                <w:rFonts w:hint="eastAsia" w:ascii="宋体" w:hAnsi="宋体" w:eastAsia="宋体" w:cs="宋体"/>
                <w:b/>
                <w:sz w:val="24"/>
                <w:szCs w:val="24"/>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b/>
                <w:sz w:val="24"/>
                <w:szCs w:val="24"/>
              </w:rPr>
            </w:pPr>
            <w:r>
              <w:rPr>
                <w:rFonts w:hint="eastAsia" w:ascii="宋体" w:hAnsi="宋体" w:eastAsia="宋体" w:cs="宋体"/>
                <w:sz w:val="24"/>
                <w:szCs w:val="24"/>
                <w:lang w:bidi="ar"/>
              </w:rPr>
              <w:t xml:space="preserve">文书草拟</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24</w:t>
            </w:r>
            <w:r/>
          </w:p>
        </w:tc>
        <w:tc>
          <w:tcPr>
            <w:tcW w:w="2337" w:type="dxa"/>
            <w:vAlign w:val="center"/>
            <w:vMerge w:val="restart"/>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执行中间库（4人）</w:t>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扫描岗</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25</w:t>
            </w:r>
            <w:r/>
          </w:p>
        </w:tc>
        <w:tc>
          <w:tcPr>
            <w:tcW w:w="2337" w:type="dxa"/>
            <w:vAlign w:val="center"/>
            <w:vMerge w:val="continue"/>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节点预警</w:t>
            </w:r>
            <w:r/>
          </w:p>
        </w:tc>
        <w:tc>
          <w:tcPr>
            <w:tcW w:w="1337" w:type="dxa"/>
            <w:vAlign w:val="center"/>
            <w:textDirection w:val="lrTb"/>
            <w:noWrap w:val="false"/>
          </w:tcPr>
          <w:p>
            <w:pPr>
              <w:ind w:left="0" w:right="0" w:firstLine="0"/>
              <w:jc w:val="center"/>
              <w:keepLines w:val="0"/>
              <w:keepNext w:val="0"/>
              <w:pageBreakBefore w:val="0"/>
              <w:spacing w:after="0" w:line="2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w:t>
            </w:r>
            <w:r/>
          </w:p>
        </w:tc>
        <w:tc>
          <w:tcPr>
            <w:tcW w:w="102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26</w:t>
            </w:r>
            <w:r/>
          </w:p>
        </w:tc>
        <w:tc>
          <w:tcPr>
            <w:tcW w:w="23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sz w:val="24"/>
                <w:szCs w:val="24"/>
              </w:rPr>
            </w:pPr>
            <w:r>
              <w:rPr>
                <w:rFonts w:hint="eastAsia" w:ascii="宋体" w:hAnsi="宋体" w:eastAsia="宋体" w:cs="宋体"/>
                <w:color w:val="222222"/>
                <w:sz w:val="24"/>
                <w:szCs w:val="24"/>
                <w:lang w:bidi="ar"/>
              </w:rPr>
              <w:t xml:space="preserve">卷宗装订小组（6人）</w:t>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卷宗装订</w:t>
            </w:r>
            <w:r/>
          </w:p>
        </w:tc>
        <w:tc>
          <w:tcPr>
            <w:tcW w:w="13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w:t>
            </w:r>
            <w:r/>
          </w:p>
        </w:tc>
        <w:tc>
          <w:tcPr>
            <w:tcW w:w="1022" w:type="dxa"/>
            <w:vAlign w:val="center"/>
            <w:textDirection w:val="lrTb"/>
            <w:noWrap w:val="false"/>
          </w:tcPr>
          <w:p>
            <w:pPr>
              <w:ind w:left="0" w:right="0" w:firstLine="0"/>
              <w:jc w:val="center"/>
              <w:spacing w:line="240" w:lineRule="auto"/>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tcW w:w="0" w:type="auto"/>
            <w:vAlign w:val="center"/>
            <w:textDirection w:val="lrTb"/>
            <w:noWrap w:val="false"/>
          </w:tcPr>
          <w:p>
            <w:pPr>
              <w:ind w:left="0" w:right="0" w:firstLine="0"/>
              <w:jc w:val="center"/>
              <w:keepLines w:val="0"/>
              <w:keepNext w:val="0"/>
              <w:pageBreakBefore w:val="0"/>
              <w:spacing w:after="0" w:line="240" w:lineRule="auto"/>
              <w:widowControl/>
              <w:rPr>
                <w:rFonts w:hint="default" w:ascii="宋体" w:hAnsi="宋体" w:eastAsia="宋体" w:cs="宋体"/>
                <w:color w:val="222222"/>
                <w:sz w:val="24"/>
                <w:szCs w:val="24"/>
                <w:lang w:val="en-US" w:eastAsia="zh-CN" w:bidi="ar"/>
              </w:rPr>
            </w:pPr>
            <w:r>
              <w:rPr>
                <w:rFonts w:hint="eastAsia" w:ascii="宋体" w:hAnsi="宋体" w:eastAsia="宋体" w:cs="宋体"/>
                <w:color w:val="222222"/>
                <w:sz w:val="24"/>
                <w:szCs w:val="24"/>
                <w:lang w:val="en-US" w:eastAsia="zh-CN" w:bidi="ar"/>
              </w:rPr>
              <w:t xml:space="preserve">27</w:t>
            </w:r>
            <w:r/>
          </w:p>
        </w:tc>
        <w:tc>
          <w:tcPr>
            <w:tcW w:w="23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t xml:space="preserve">网络管理员</w:t>
            </w:r>
            <w:r/>
          </w:p>
        </w:tc>
        <w:tc>
          <w:tcPr>
            <w:tcW w:w="2936" w:type="dxa"/>
            <w:vAlign w:val="center"/>
            <w:textDirection w:val="lrTb"/>
            <w:noWrap w:val="false"/>
          </w:tcPr>
          <w:p>
            <w:pPr>
              <w:ind w:left="0" w:right="0" w:firstLine="0"/>
              <w:jc w:val="center"/>
              <w:keepLines w:val="0"/>
              <w:keepNext w:val="0"/>
              <w:pageBreakBefore w:val="0"/>
              <w:spacing w:after="0"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网络管理</w:t>
            </w:r>
            <w:r/>
          </w:p>
        </w:tc>
        <w:tc>
          <w:tcPr>
            <w:tcW w:w="13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w:t>
            </w:r>
            <w:r/>
          </w:p>
        </w:tc>
        <w:tc>
          <w:tcPr>
            <w:tcW w:w="1022" w:type="dxa"/>
            <w:vAlign w:val="center"/>
            <w:textDirection w:val="lrTb"/>
            <w:noWrap w:val="false"/>
          </w:tcPr>
          <w:p>
            <w:pPr>
              <w:ind w:left="0" w:right="0" w:firstLine="0"/>
              <w:jc w:val="center"/>
              <w:spacing w:line="240" w:lineRule="auto"/>
              <w:rPr>
                <w:rFonts w:hint="eastAsia" w:ascii="宋体" w:hAnsi="宋体" w:eastAsia="宋体" w:cs="宋体"/>
                <w:color w:val="222222"/>
                <w:sz w:val="24"/>
                <w:szCs w:val="24"/>
                <w:lang w:bidi="ar"/>
              </w:rPr>
            </w:pPr>
            <w:r>
              <w:rPr>
                <w:rFonts w:hint="eastAsia" w:ascii="宋体" w:hAnsi="宋体" w:eastAsia="宋体" w:cs="宋体"/>
                <w:color w:val="222222"/>
                <w:sz w:val="24"/>
                <w:szCs w:val="24"/>
                <w:lang w:bidi="ar"/>
              </w:rPr>
            </w:r>
            <w:r/>
          </w:p>
        </w:tc>
      </w:tr>
      <w:tr>
        <w:trPr>
          <w:jc w:val="center"/>
          <w:trHeight w:val="0"/>
        </w:trPr>
        <w:tc>
          <w:tcPr>
            <w:gridSpan w:val="3"/>
            <w:tcW w:w="5971" w:type="dxa"/>
            <w:vAlign w:val="center"/>
            <w:textDirection w:val="lrTb"/>
            <w:noWrap w:val="false"/>
          </w:tcPr>
          <w:p>
            <w:pPr>
              <w:ind w:left="0" w:right="0" w:firstLine="0"/>
              <w:jc w:val="center"/>
              <w:keepLines w:val="0"/>
              <w:keepNext w:val="0"/>
              <w:pageBreakBefore w:val="0"/>
              <w:spacing w:after="0" w:line="240" w:lineRule="auto"/>
              <w:widowControl/>
              <w:tabs>
                <w:tab w:val="left" w:pos="1915" w:leader="none"/>
              </w:tabs>
              <w:rPr>
                <w:rFonts w:hint="eastAsia" w:ascii="宋体" w:hAnsi="宋体" w:eastAsia="宋体" w:cs="宋体"/>
                <w:b/>
                <w:color w:val="222222"/>
                <w:sz w:val="24"/>
                <w:szCs w:val="24"/>
                <w:lang w:bidi="ar"/>
              </w:rPr>
            </w:pPr>
            <w:r>
              <w:rPr>
                <w:rFonts w:hint="eastAsia" w:ascii="宋体" w:hAnsi="宋体" w:eastAsia="宋体" w:cs="宋体"/>
                <w:b/>
                <w:color w:val="222222"/>
                <w:sz w:val="24"/>
                <w:szCs w:val="24"/>
                <w:lang w:bidi="ar"/>
              </w:rPr>
              <w:t xml:space="preserve">合计</w:t>
            </w:r>
            <w:r/>
          </w:p>
        </w:tc>
        <w:tc>
          <w:tcPr>
            <w:tcW w:w="133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sz w:val="24"/>
                <w:szCs w:val="24"/>
                <w:lang w:val="en-US" w:eastAsia="zh-CN" w:bidi="ar"/>
              </w:rPr>
            </w:pPr>
            <w:r>
              <w:rPr>
                <w:rFonts w:hint="eastAsia" w:ascii="宋体" w:hAnsi="宋体" w:eastAsia="宋体" w:cs="宋体"/>
                <w:b/>
                <w:color w:val="000000"/>
                <w:sz w:val="24"/>
                <w:szCs w:val="24"/>
                <w:lang w:val="en-US" w:eastAsia="zh-CN" w:bidi="ar"/>
              </w:rPr>
              <w:t xml:space="preserve">50</w:t>
            </w:r>
            <w:r/>
          </w:p>
        </w:tc>
        <w:tc>
          <w:tcPr>
            <w:tcW w:w="1022" w:type="dxa"/>
            <w:vAlign w:val="center"/>
            <w:textDirection w:val="lrTb"/>
            <w:noWrap w:val="false"/>
          </w:tcPr>
          <w:p>
            <w:pPr>
              <w:ind w:left="0" w:right="0" w:firstLine="0"/>
              <w:jc w:val="center"/>
              <w:spacing w:line="240" w:lineRule="auto"/>
              <w:rPr>
                <w:rFonts w:hint="eastAsia" w:ascii="宋体" w:hAnsi="宋体" w:eastAsia="宋体" w:cs="宋体"/>
                <w:b/>
                <w:color w:val="222222"/>
                <w:sz w:val="24"/>
                <w:szCs w:val="24"/>
                <w:lang w:bidi="ar"/>
              </w:rPr>
            </w:pPr>
            <w:r>
              <w:rPr>
                <w:rFonts w:hint="eastAsia" w:ascii="宋体" w:hAnsi="宋体" w:eastAsia="宋体" w:cs="宋体"/>
                <w:b/>
                <w:color w:val="222222"/>
                <w:sz w:val="24"/>
                <w:szCs w:val="24"/>
                <w:lang w:bidi="ar"/>
              </w:rPr>
            </w:r>
            <w:r/>
          </w:p>
        </w:tc>
      </w:tr>
    </w:tbl>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管理要求</w:t>
      </w:r>
      <w:r/>
    </w:p>
    <w:p>
      <w:pPr>
        <w:numPr>
          <w:ilvl w:val="0"/>
          <w:numId w:val="9"/>
        </w:numPr>
        <w:ind w:left="0" w:firstLine="480"/>
        <w:jc w:val="left"/>
        <w:keepLines w:val="0"/>
        <w:keepNext w:val="0"/>
        <w:pageBreakBefore w:val="0"/>
        <w:spacing w:after="0" w:line="5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工作人员须严格遵守兴化市人民法院的相关工作守则和作息时间，并听从兴化市人民法院的安排和分配，在指定的工作场所完成事务类工作，遵守和维护工作秩序。</w:t>
      </w:r>
      <w:r/>
    </w:p>
    <w:p>
      <w:pPr>
        <w:numPr>
          <w:ilvl w:val="0"/>
          <w:numId w:val="9"/>
        </w:numPr>
        <w:ind w:left="0" w:firstLine="480"/>
        <w:jc w:val="left"/>
        <w:keepLines w:val="0"/>
        <w:keepNext w:val="0"/>
        <w:pageBreakBefore w:val="0"/>
        <w:spacing w:after="0" w:line="5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工作人员不得利用工作之便，进行任何非法或本项目范围外的活动，不得有意损坏、丢失、涂改、抽换、伪造档案资料，不得擅自修改、复制案件档案资料及带离开工作场所。如经发现，兴化市人民法院有权终止该员工的服务，并要求</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及时更换服务人员，构成犯罪的依法追究该员工法律责任。</w:t>
      </w:r>
      <w:r/>
    </w:p>
    <w:p>
      <w:pPr>
        <w:numPr>
          <w:ilvl w:val="0"/>
          <w:numId w:val="9"/>
        </w:numPr>
        <w:ind w:left="0" w:firstLine="480"/>
        <w:jc w:val="left"/>
        <w:keepLines w:val="0"/>
        <w:keepNext w:val="0"/>
        <w:pageBreakBefore w:val="0"/>
        <w:spacing w:after="0" w:line="540" w:lineRule="exact"/>
        <w:widowControl/>
        <w:rPr>
          <w:rFonts w:hint="eastAsia" w:ascii="宋体" w:hAnsi="宋体" w:eastAsia="宋体" w:cs="宋体"/>
          <w:sz w:val="24"/>
          <w:szCs w:val="24"/>
          <w:lang w:val="zh-CN"/>
        </w:rPr>
      </w:pP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工作人员在实施服务过程中，兴化市人民法院有监督检查权。如发现问题，兴化市人民法院有权向</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提出整改意见；</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应在收到整改意见后五个工作日内将整改情况及配套管理制度等以正式回函的方式回复兴化市人民法院。</w:t>
      </w:r>
      <w:r/>
    </w:p>
    <w:p>
      <w:pPr>
        <w:numPr>
          <w:ilvl w:val="0"/>
          <w:numId w:val="9"/>
        </w:numPr>
        <w:ind w:left="0" w:firstLine="480"/>
        <w:jc w:val="left"/>
        <w:keepLines w:val="0"/>
        <w:keepNext w:val="0"/>
        <w:pageBreakBefore w:val="0"/>
        <w:spacing w:after="0" w:line="5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应按交接工作清单的要求按时保质保量地完成服务工作，并按该工作清单约定的时间和方式向兴化市人民法院交付工作成果。兴化市人民法院应对</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提交的工作成果按约定质量标准进行验收，并出具验收意见及评分。</w:t>
      </w:r>
      <w:r/>
    </w:p>
    <w:p>
      <w:pPr>
        <w:numPr>
          <w:ilvl w:val="0"/>
          <w:numId w:val="9"/>
        </w:numPr>
        <w:ind w:left="0" w:firstLine="480"/>
        <w:jc w:val="left"/>
        <w:keepLines w:val="0"/>
        <w:keepNext w:val="0"/>
        <w:pageBreakBefore w:val="0"/>
        <w:spacing w:after="0" w:line="5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应充分发挥专业管理优势，定期组织工作人员开展丰富多样的活动及培训工作，以增强队伍的凝聚力和归属感。</w:t>
      </w:r>
      <w:r/>
    </w:p>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职责范围</w:t>
      </w:r>
      <w:r/>
    </w:p>
    <w:p>
      <w:pPr>
        <w:numPr>
          <w:ilvl w:val="0"/>
          <w:numId w:val="10"/>
        </w:numPr>
        <w:ind w:left="0" w:firstLine="480"/>
        <w:keepLines w:val="0"/>
        <w:keepNext w:val="0"/>
        <w:pageBreakBefore w:val="0"/>
        <w:spacing w:after="0" w:line="540" w:lineRule="exact"/>
        <w:widowControl/>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采购人职责范围</w:t>
      </w:r>
      <w:r/>
    </w:p>
    <w:p>
      <w:pPr>
        <w:numPr>
          <w:ilvl w:val="0"/>
          <w:numId w:val="11"/>
        </w:numPr>
        <w:ind w:left="0" w:firstLine="480"/>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bCs/>
          <w:color w:val="000000"/>
          <w:sz w:val="24"/>
          <w:szCs w:val="24"/>
        </w:rPr>
        <w:t xml:space="preserve">兴化市人民法院负责协调各岗位相关部门配合开展工作，提供司法辅助综合事务咨询支持。</w:t>
      </w:r>
      <w:r/>
    </w:p>
    <w:p>
      <w:pPr>
        <w:numPr>
          <w:ilvl w:val="0"/>
          <w:numId w:val="11"/>
        </w:numPr>
        <w:ind w:left="0" w:firstLine="480"/>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兴化市人民法院应配合</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开展各项培训、员工管理等事项。</w:t>
      </w:r>
      <w:r/>
    </w:p>
    <w:p>
      <w:pPr>
        <w:numPr>
          <w:ilvl w:val="0"/>
          <w:numId w:val="11"/>
        </w:numPr>
        <w:ind w:left="0" w:firstLine="480"/>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提供的外包服务享有监督和检查权，并按约定时间向</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支付项目服务费用。</w:t>
      </w:r>
      <w:r/>
    </w:p>
    <w:p>
      <w:pPr>
        <w:numPr>
          <w:ilvl w:val="0"/>
          <w:numId w:val="11"/>
        </w:numPr>
        <w:ind w:left="0" w:firstLine="480"/>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在服务期内对工作人员进行管理等需要兴化市人民法院配合的工作时，兴化市人民法院应积极配合。</w:t>
      </w:r>
      <w:r/>
    </w:p>
    <w:p>
      <w:pPr>
        <w:numPr>
          <w:ilvl w:val="0"/>
          <w:numId w:val="10"/>
        </w:numPr>
        <w:ind w:left="0" w:firstLine="480"/>
        <w:keepLines w:val="0"/>
        <w:keepNext w:val="0"/>
        <w:pageBreakBefore w:val="0"/>
        <w:spacing w:after="0" w:line="5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职责范围</w:t>
      </w:r>
      <w:r/>
    </w:p>
    <w:p>
      <w:pPr>
        <w:numPr>
          <w:ilvl w:val="0"/>
          <w:numId w:val="12"/>
        </w:numPr>
        <w:ind w:left="0" w:firstLine="480"/>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sz w:val="24"/>
          <w:szCs w:val="24"/>
          <w:lang w:val="zh-CN"/>
        </w:rPr>
        <w:t xml:space="preserve">中标供应商应了解</w:t>
      </w:r>
      <w:r>
        <w:rPr>
          <w:rFonts w:hint="eastAsia" w:ascii="宋体" w:hAnsi="宋体" w:eastAsia="宋体" w:cs="宋体"/>
          <w:sz w:val="24"/>
          <w:szCs w:val="24"/>
        </w:rPr>
        <w:t xml:space="preserve">兴化市人民法院</w:t>
      </w:r>
      <w:r>
        <w:rPr>
          <w:rFonts w:hint="eastAsia" w:ascii="宋体" w:hAnsi="宋体" w:eastAsia="宋体" w:cs="宋体"/>
          <w:sz w:val="24"/>
          <w:szCs w:val="24"/>
          <w:lang w:val="zh-CN"/>
        </w:rPr>
        <w:t xml:space="preserve">的工作流程、工作内容、工作环境等状况，负责组建服务团队，提供高质量的司法辅助事务性工作，并</w:t>
      </w:r>
      <w:r>
        <w:rPr>
          <w:rFonts w:hint="eastAsia" w:ascii="宋体" w:hAnsi="宋体" w:eastAsia="宋体" w:cs="宋体"/>
          <w:sz w:val="24"/>
          <w:szCs w:val="24"/>
        </w:rPr>
        <w:t xml:space="preserve">按约定保质保量向兴化市人民法院提供服务，保证提供服务的团队人员的数量和素质满足履行本项目要求</w:t>
      </w:r>
      <w:r>
        <w:rPr>
          <w:rFonts w:hint="eastAsia" w:ascii="宋体" w:hAnsi="宋体" w:eastAsia="宋体" w:cs="宋体"/>
          <w:bCs/>
          <w:color w:val="000000"/>
          <w:sz w:val="24"/>
          <w:szCs w:val="24"/>
        </w:rPr>
        <w:t xml:space="preserve">。</w:t>
      </w:r>
      <w:r/>
    </w:p>
    <w:p>
      <w:pPr>
        <w:numPr>
          <w:ilvl w:val="0"/>
          <w:numId w:val="12"/>
        </w:numPr>
        <w:ind w:left="0" w:firstLine="480"/>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sz w:val="24"/>
          <w:szCs w:val="24"/>
          <w:lang w:val="zh-CN"/>
        </w:rPr>
        <w:t xml:space="preserve">服务期内中标供应商有权对工作人员的数量和工作标准按照兴化市人民法院的要求进行合理地调整。中标供应商应积极寻求更有效的管理手段，</w:t>
      </w:r>
      <w:r>
        <w:rPr>
          <w:rFonts w:hint="eastAsia" w:ascii="宋体" w:hAnsi="宋体" w:eastAsia="宋体" w:cs="宋体"/>
          <w:sz w:val="24"/>
          <w:szCs w:val="24"/>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posOffset>0</wp:posOffset>
                </wp:positionH>
                <wp:positionV relativeFrom="page">
                  <wp:posOffset>10692130</wp:posOffset>
                </wp:positionV>
                <wp:extent cx="1270" cy="127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4C">
                                <a:alpha val="70000"/>
                              </a:srgbClr>
                            </a:gs>
                          </a:gsLst>
                          <a:lin ang="5400000" scaled="1"/>
                        </a:gradFill>
                        <a:ln w="12700" cap="flat" cmpd="sng">
                          <a:solidFill>
                            <a:srgbClr val="000000"/>
                          </a:solidFill>
                          <a:prstDash val="dash"/>
                          <a:miter/>
                          <a:headEnd type="none" w="med" len="med"/>
                          <a:tailEnd type="none" w="med" len="med"/>
                        </a:ln>
                        <a:effectLst/>
                      </wps:spPr>
                      <wps:txbx>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wps:txbx>
                      <wps:bodyPr lIns="0" tIns="0" rIns="0" bIns="0" upright="1"/>
                    </wps:wsp>
                  </a:graphicData>
                </a:graphic>
              </wp:anchor>
            </w:drawing>
          </mc:Choice>
          <mc:Fallback>
            <w:pict>
              <v:shape id="shape 5" o:spid="_x0000_s5" o:spt="202" type="#_x0000_t202" style="position:absolute;z-index:251661312;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000000" strokeweight="1.00pt">
                <v:stroke dashstyle="dash"/>
                <v:textbox inset="0,0,0,0">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v:textbox>
              </v:shape>
            </w:pict>
          </mc:Fallback>
        </mc:AlternateContent>
      </w:r>
      <w:r>
        <w:rPr>
          <w:rFonts w:hint="eastAsia" w:ascii="宋体" w:hAnsi="宋体" w:eastAsia="宋体" w:cs="宋体"/>
          <w:sz w:val="24"/>
          <w:szCs w:val="24"/>
          <w:lang w:val="zh-CN"/>
        </w:rPr>
        <w:t xml:space="preserve">不断优化流程标准和服务规范</w:t>
      </w:r>
      <w:r>
        <w:rPr>
          <w:rFonts w:hint="eastAsia" w:ascii="宋体" w:hAnsi="宋体" w:eastAsia="宋体" w:cs="宋体"/>
          <w:color w:val="000000"/>
          <w:sz w:val="24"/>
          <w:szCs w:val="24"/>
        </w:rPr>
        <w:t xml:space="preserve">。</w:t>
      </w:r>
      <w:r/>
    </w:p>
    <w:p>
      <w:pPr>
        <w:numPr>
          <w:ilvl w:val="0"/>
          <w:numId w:val="12"/>
        </w:numPr>
        <w:ind w:left="0" w:firstLine="480"/>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sz w:val="24"/>
          <w:szCs w:val="24"/>
          <w:lang w:val="zh-CN"/>
        </w:rPr>
        <w:t xml:space="preserve">中标供应商支付给工作人员的工资</w:t>
      </w:r>
      <w:r>
        <w:rPr>
          <w:rFonts w:hint="eastAsia" w:ascii="宋体" w:hAnsi="宋体" w:eastAsia="宋体" w:cs="宋体"/>
          <w:sz w:val="24"/>
          <w:szCs w:val="24"/>
        </w:rPr>
        <w:t xml:space="preserve">应</w:t>
      </w:r>
      <w:r>
        <w:rPr>
          <w:rFonts w:hint="eastAsia" w:ascii="宋体" w:hAnsi="宋体" w:eastAsia="宋体" w:cs="宋体"/>
          <w:sz w:val="24"/>
          <w:szCs w:val="24"/>
          <w:lang w:val="zh-CN"/>
        </w:rPr>
        <w:t xml:space="preserve">遵守国家相关规定不得低于兴化</w:t>
      </w:r>
      <w:r>
        <w:rPr>
          <w:rFonts w:hint="eastAsia" w:ascii="宋体" w:hAnsi="宋体" w:eastAsia="宋体" w:cs="宋体"/>
          <w:sz w:val="24"/>
          <w:szCs w:val="24"/>
        </w:rPr>
        <w:t xml:space="preserve">市</w:t>
      </w:r>
      <w:r>
        <w:rPr>
          <w:rFonts w:hint="eastAsia" w:ascii="宋体" w:hAnsi="宋体" w:eastAsia="宋体" w:cs="宋体"/>
          <w:sz w:val="24"/>
          <w:szCs w:val="24"/>
          <w:lang w:val="zh-CN"/>
        </w:rPr>
        <w:t xml:space="preserve">当地政府规定的最低工资标准</w:t>
      </w:r>
      <w:r>
        <w:rPr>
          <w:rFonts w:hint="eastAsia" w:ascii="宋体" w:hAnsi="宋体" w:eastAsia="宋体" w:cs="宋体"/>
          <w:color w:val="000000"/>
          <w:sz w:val="24"/>
          <w:szCs w:val="24"/>
        </w:rPr>
        <w:t xml:space="preserve">。</w:t>
      </w:r>
      <w:r/>
    </w:p>
    <w:p>
      <w:pPr>
        <w:numPr>
          <w:ilvl w:val="0"/>
          <w:numId w:val="12"/>
        </w:numPr>
        <w:ind w:left="0" w:firstLine="480"/>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sz w:val="24"/>
          <w:szCs w:val="24"/>
          <w:lang w:val="zh-CN"/>
        </w:rPr>
        <w:t xml:space="preserve">中标供应商负责完善工作人员的各项专业管理工作，还应负责工作人员的工伤、人身意外、劳资纠纷等造成的责任。</w:t>
      </w:r>
      <w:r>
        <w:rPr>
          <w:rFonts w:hint="eastAsia" w:ascii="宋体" w:hAnsi="宋体" w:eastAsia="宋体" w:cs="宋体"/>
          <w:color w:val="000000"/>
          <w:sz w:val="24"/>
          <w:szCs w:val="24"/>
        </w:rPr>
        <w:t xml:space="preserve">  </w:t>
      </w:r>
      <w:r/>
    </w:p>
    <w:p>
      <w:pPr>
        <w:numPr>
          <w:ilvl w:val="0"/>
          <w:numId w:val="12"/>
        </w:numPr>
        <w:ind w:left="0" w:firstLine="480"/>
        <w:keepLines w:val="0"/>
        <w:keepNext w:val="0"/>
        <w:pageBreakBefore w:val="0"/>
        <w:spacing w:after="0" w:line="540" w:lineRule="exact"/>
        <w:widowControl/>
        <w:tabs>
          <w:tab w:val="left" w:pos="420" w:leader="none"/>
        </w:tabs>
        <w:rPr>
          <w:rFonts w:hint="eastAsia" w:ascii="宋体" w:hAnsi="宋体" w:eastAsia="宋体" w:cs="宋体"/>
          <w:sz w:val="28"/>
          <w:szCs w:val="28"/>
        </w:rPr>
      </w:pPr>
      <w:r>
        <w:rPr>
          <w:rFonts w:hint="eastAsia" w:ascii="宋体" w:hAnsi="宋体" w:eastAsia="宋体" w:cs="宋体"/>
          <w:sz w:val="24"/>
          <w:szCs w:val="24"/>
          <w:lang w:val="zh-CN"/>
        </w:rPr>
        <w:t xml:space="preserve">中标供应商应加强对工作人员的教育和管理，遵守兴化市人民法院有关规章管理制度。中标供应商的用工要符合国家的相关规定，中标供应商必须与招聘人员及时签订用工合同，并按照国家相关法律规定为招聘人员缴纳各项保险等。</w:t>
      </w:r>
      <w:r>
        <w:rPr>
          <w:rFonts w:hint="eastAsia" w:ascii="宋体" w:hAnsi="宋体" w:eastAsia="宋体" w:cs="宋体"/>
          <w:sz w:val="28"/>
          <w:szCs w:val="28"/>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0</wp:posOffset>
                </wp:positionH>
                <wp:positionV relativeFrom="page">
                  <wp:posOffset>10692130</wp:posOffset>
                </wp:positionV>
                <wp:extent cx="1270" cy="127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4C">
                                <a:alpha val="70000"/>
                              </a:srgbClr>
                            </a:gs>
                          </a:gsLst>
                          <a:lin ang="5400000" scaled="1"/>
                        </a:gradFill>
                        <a:ln w="12700" cap="flat" cmpd="sng">
                          <a:solidFill>
                            <a:srgbClr val="000000"/>
                          </a:solidFill>
                          <a:prstDash val="dash"/>
                          <a:miter/>
                          <a:headEnd type="none" w="med" len="med"/>
                          <a:tailEnd type="none" w="med" len="med"/>
                        </a:ln>
                        <a:effectLst/>
                      </wps:spPr>
                      <wps:txbx>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wps:txbx>
                      <wps:bodyPr lIns="0" tIns="0" rIns="0" bIns="0" upright="1"/>
                    </wps:wsp>
                  </a:graphicData>
                </a:graphic>
              </wp:anchor>
            </w:drawing>
          </mc:Choice>
          <mc:Fallback>
            <w:pict>
              <v:shape id="shape 6" o:spid="_x0000_s6" o:spt="202" type="#_x0000_t202" style="position:absolute;z-index:251660288;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000000" strokeweight="1.00pt">
                <v:stroke dashstyle="dash"/>
                <v:textbox inset="0,0,0,0">
                  <w:txbxContent>
                    <w:p>
                      <w:pPr>
                        <w:ind w:left="40" w:right="38" w:hanging="40"/>
                        <w:jc w:val="right"/>
                        <w:spacing w:before="93"/>
                        <w:rPr>
                          <w:rFonts w:hint="eastAsia" w:ascii="Helvetica"/>
                          <w:sz w:val="20"/>
                        </w:rPr>
                      </w:pPr>
                      <w:r>
                        <w:rPr>
                          <w:rFonts w:hint="eastAsia" w:ascii="Helvetica"/>
                          <w:sz w:val="20"/>
                        </w:rPr>
                        <w:t xml:space="preserve">--------------------------------------------</w:t>
                      </w:r>
                      <w:r/>
                    </w:p>
                    <w:p>
                      <w:pPr>
                        <w:ind w:left="40" w:right="38" w:hanging="40"/>
                        <w:jc w:val="right"/>
                        <w:spacing w:line="331" w:lineRule="exact"/>
                        <w:rPr>
                          <w:rFonts w:hint="eastAsia" w:ascii="Helvetica"/>
                          <w:i/>
                          <w:sz w:val="16"/>
                        </w:rPr>
                      </w:pPr>
                      <w:r>
                        <w:rPr>
                          <w:rFonts w:hint="eastAsia" w:ascii="Helvetica"/>
                          <w:i/>
                          <w:sz w:val="16"/>
                        </w:rPr>
                      </w:r>
                      <w:r/>
                    </w:p>
                  </w:txbxContent>
                </v:textbox>
              </v:shape>
            </w:pict>
          </mc:Fallback>
        </mc:AlternateContent>
      </w:r>
      <w:r/>
    </w:p>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保密要求</w:t>
      </w:r>
      <w:r/>
    </w:p>
    <w:p>
      <w:pPr>
        <w:numPr>
          <w:ilvl w:val="0"/>
          <w:numId w:val="13"/>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及其工作人员应严守在履行本合同中通过各种方式知悉的兴化市人民法院案件信息、技术秘密和其他业务信息，不得向兴化市人民法院以外第三人以任何方式泄露，双方还需签订《保密协议》，并提交壹份兴化市人民法院备案。</w:t>
      </w:r>
      <w:r/>
    </w:p>
    <w:p>
      <w:pPr>
        <w:numPr>
          <w:ilvl w:val="0"/>
          <w:numId w:val="13"/>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在进行服务过程中，必须确保兴化市人民法院的信息安全，未经兴化市人民法院同意不得擅自删除、修改和转移兴化市人民法院业务系统中的信息，并为其保密。</w:t>
      </w:r>
      <w:r>
        <w:rPr>
          <w:rFonts w:hint="eastAsia" w:ascii="宋体" w:hAnsi="宋体" w:eastAsia="宋体" w:cs="宋体"/>
          <w:sz w:val="24"/>
          <w:szCs w:val="24"/>
        </w:rPr>
        <w:t xml:space="preserve">因</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员工泄露兴化市人民法院工作秘密造成兴化市人民法院损失的，</w:t>
      </w: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应赔偿兴化市人民法院损失，</w:t>
      </w:r>
      <w:r>
        <w:rPr>
          <w:rFonts w:hint="eastAsia" w:ascii="宋体" w:hAnsi="宋体" w:eastAsia="宋体" w:cs="宋体"/>
          <w:color w:val="000000"/>
          <w:sz w:val="24"/>
          <w:szCs w:val="24"/>
          <w:lang w:eastAsia="zh-CN"/>
        </w:rPr>
        <w:t xml:space="preserve">中标供应商</w:t>
      </w:r>
      <w:r>
        <w:rPr>
          <w:rFonts w:hint="eastAsia" w:ascii="宋体" w:hAnsi="宋体" w:eastAsia="宋体" w:cs="宋体"/>
          <w:sz w:val="24"/>
          <w:szCs w:val="24"/>
        </w:rPr>
        <w:t xml:space="preserve">事后可根据实际情况向该</w:t>
      </w:r>
      <w:r>
        <w:rPr>
          <w:rFonts w:hint="eastAsia" w:ascii="宋体" w:hAnsi="宋体" w:eastAsia="宋体" w:cs="宋体"/>
          <w:color w:val="000000"/>
          <w:sz w:val="24"/>
          <w:szCs w:val="24"/>
        </w:rPr>
        <w:t xml:space="preserve">工作人员进行追偿</w:t>
      </w:r>
      <w:r>
        <w:rPr>
          <w:rFonts w:hint="eastAsia" w:ascii="宋体" w:hAnsi="宋体" w:eastAsia="宋体" w:cs="宋体"/>
          <w:sz w:val="24"/>
          <w:szCs w:val="24"/>
        </w:rPr>
        <w:t xml:space="preserve">。</w:t>
      </w:r>
      <w:r/>
    </w:p>
    <w:p>
      <w:pPr>
        <w:numPr>
          <w:ilvl w:val="0"/>
          <w:numId w:val="13"/>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服务结束后，</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应返还兴化市人民法院提供的相关资料和服务过程中取得的任何材料，不得存留原件或复制品。</w:t>
      </w:r>
      <w:r/>
    </w:p>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default" w:ascii="宋体" w:hAnsi="宋体" w:eastAsia="宋体" w:cs="宋体"/>
          <w:b/>
          <w:bCs/>
          <w:color w:val="auto"/>
          <w:sz w:val="28"/>
          <w:szCs w:val="28"/>
          <w:lang w:val="en-US" w:eastAsia="zh-CN"/>
        </w:rPr>
      </w:pPr>
      <w:r/>
      <w:bookmarkStart w:id="110" w:name="heading_0"/>
      <w:r>
        <w:rPr>
          <w:rFonts w:hint="eastAsia" w:ascii="宋体" w:hAnsi="宋体" w:eastAsia="宋体" w:cs="宋体"/>
          <w:b/>
          <w:bCs/>
          <w:color w:val="auto"/>
          <w:sz w:val="28"/>
          <w:szCs w:val="28"/>
          <w:lang w:val="en-US" w:eastAsia="zh-CN"/>
        </w:rPr>
        <w:t xml:space="preserve">服务方案要求</w:t>
      </w:r>
      <w:r/>
    </w:p>
    <w:p>
      <w:pPr>
        <w:ind w:left="0" w:firstLine="480"/>
        <w:jc w:val="left"/>
        <w:keepLines w:val="0"/>
        <w:keepNext w:val="0"/>
        <w:pageBreakBefore w:val="0"/>
        <w:spacing w:after="0" w:line="500" w:lineRule="exact"/>
        <w:widowControl w:val="off"/>
        <w:rPr>
          <w:rFonts w:hint="eastAsia" w:ascii="宋体" w:hAnsi="宋体" w:eastAsia="宋体" w:cs="宋体"/>
          <w:b w:val="0"/>
          <w:bCs/>
          <w:sz w:val="24"/>
          <w:szCs w:val="24"/>
        </w:rPr>
        <w:outlineLvl w:val="1"/>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一</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、服务方案</w:t>
      </w:r>
      <w:bookmarkEnd w:id="110"/>
      <w:r/>
      <w:r/>
    </w:p>
    <w:p>
      <w:pPr>
        <w:ind w:left="0" w:firstLine="480"/>
        <w:jc w:val="left"/>
        <w:keepLines w:val="0"/>
        <w:keepNext w:val="0"/>
        <w:pageBreakBefore w:val="0"/>
        <w:spacing w:after="0" w:line="5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应结合本项目司法服务外包需求，编制针对性服务方案，明确服务范围、服务内容、工作实施流程、服务质量管控标准、日常服务响应机制、突发事件应急处置预案等内容，方案需贴合法院司法工作实际，具备可操作性与落地性。</w:t>
      </w:r>
      <w:r/>
    </w:p>
    <w:p>
      <w:pPr>
        <w:ind w:left="0" w:firstLine="480"/>
        <w:jc w:val="left"/>
        <w:keepLines w:val="0"/>
        <w:keepNext w:val="0"/>
        <w:pageBreakBefore w:val="0"/>
        <w:spacing w:after="0" w:line="500" w:lineRule="exact"/>
        <w:widowControl w:val="off"/>
        <w:rPr>
          <w:rFonts w:hint="eastAsia" w:ascii="宋体" w:hAnsi="宋体" w:eastAsia="宋体" w:cs="宋体"/>
          <w:b w:val="0"/>
          <w:bCs/>
          <w:sz w:val="24"/>
          <w:szCs w:val="24"/>
        </w:rPr>
        <w:outlineLvl w:val="1"/>
      </w:pPr>
      <w:r/>
      <w:bookmarkStart w:id="111" w:name="heading_1"/>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二</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、管理框架及岗位设置</w:t>
      </w:r>
      <w:bookmarkEnd w:id="111"/>
      <w:r/>
      <w:r/>
    </w:p>
    <w:p>
      <w:pPr>
        <w:ind w:left="0" w:firstLine="480"/>
        <w:jc w:val="left"/>
        <w:keepLines w:val="0"/>
        <w:keepNext w:val="0"/>
        <w:pageBreakBefore w:val="0"/>
        <w:spacing w:after="0" w:line="5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投标人应制定本项目专属组织管理框架，明确项目管理体系、各层级管理职责、岗位配置方案，合理设置服务岗位，明晰各岗位职责分工、定岗定员要求，确保管理架构顺畅、岗位配置与项目需求高度匹配。</w:t>
      </w:r>
      <w:r/>
    </w:p>
    <w:p>
      <w:pPr>
        <w:ind w:left="0" w:firstLine="480"/>
        <w:jc w:val="left"/>
        <w:keepLines w:val="0"/>
        <w:keepNext w:val="0"/>
        <w:pageBreakBefore w:val="0"/>
        <w:spacing w:after="0" w:line="500" w:lineRule="exact"/>
        <w:widowControl w:val="off"/>
        <w:rPr>
          <w:rFonts w:hint="eastAsia" w:ascii="宋体" w:hAnsi="宋体" w:eastAsia="宋体" w:cs="宋体"/>
          <w:b w:val="0"/>
          <w:bCs/>
          <w:sz w:val="24"/>
          <w:szCs w:val="24"/>
        </w:rPr>
        <w:outlineLvl w:val="1"/>
      </w:pPr>
      <w:r/>
      <w:bookmarkStart w:id="112" w:name="heading_2"/>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三</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、内部管理</w:t>
      </w:r>
      <w:bookmarkEnd w:id="112"/>
      <w:r/>
      <w:r/>
    </w:p>
    <w:p>
      <w:pPr>
        <w:ind w:left="0" w:firstLine="480"/>
        <w:jc w:val="left"/>
        <w:keepLines w:val="0"/>
        <w:keepNext w:val="0"/>
        <w:pageBreakBefore w:val="0"/>
        <w:spacing w:after="0" w:line="50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投标人应建立适配法院司法服务工作的内部管理体系，制定日常工作管理、人员考勤、工作考核、日常监督、问题整改等全流程内部管理制度，保障项目规范化运转。</w:t>
      </w:r>
      <w:r/>
    </w:p>
    <w:p>
      <w:pPr>
        <w:ind w:left="0" w:firstLine="480"/>
        <w:jc w:val="left"/>
        <w:keepLines w:val="0"/>
        <w:keepNext w:val="0"/>
        <w:pageBreakBefore w:val="0"/>
        <w:spacing w:after="0" w:line="500" w:lineRule="exact"/>
        <w:widowControl/>
        <w:rPr>
          <w:rFonts w:hint="eastAsia" w:ascii="宋体" w:hAnsi="宋体" w:eastAsia="宋体" w:cs="宋体"/>
          <w:b w:val="0"/>
          <w:bCs/>
          <w:sz w:val="24"/>
          <w:szCs w:val="24"/>
        </w:rPr>
        <w:outlineLvl w:val="1"/>
      </w:pPr>
      <w:r/>
      <w:bookmarkStart w:id="113" w:name="heading_3"/>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四</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、人力资源保障</w:t>
      </w:r>
      <w:bookmarkEnd w:id="113"/>
      <w:r/>
      <w:r/>
    </w:p>
    <w:p>
      <w:pPr>
        <w:ind w:left="0" w:firstLine="480"/>
        <w:jc w:val="left"/>
        <w:keepLines w:val="0"/>
        <w:keepNext w:val="0"/>
        <w:pageBreakBefore w:val="0"/>
        <w:spacing w:after="0" w:line="500" w:lineRule="exact"/>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应明确本项目服务人员配置数量、岗位任职条件、人员资质经验要求，制定人员到岗保障、人员稳定性管理、人员应急替补等人力资源保障措施。评审委员会根据人员配置充足性、保障措施完善性、方案可行性进行量化评分。</w:t>
      </w:r>
      <w:r/>
    </w:p>
    <w:p>
      <w:pPr>
        <w:ind w:left="0" w:firstLine="480"/>
        <w:jc w:val="left"/>
        <w:keepLines w:val="0"/>
        <w:keepNext w:val="0"/>
        <w:pageBreakBefore w:val="0"/>
        <w:spacing w:after="0" w:line="500" w:lineRule="exact"/>
        <w:widowControl/>
        <w:rPr>
          <w:rFonts w:hint="eastAsia" w:ascii="宋体" w:hAnsi="宋体" w:eastAsia="宋体" w:cs="宋体"/>
          <w:b w:val="0"/>
          <w:bCs/>
          <w:sz w:val="24"/>
          <w:szCs w:val="24"/>
        </w:rPr>
        <w:outlineLvl w:val="1"/>
      </w:pPr>
      <w:r/>
      <w:bookmarkStart w:id="114" w:name="heading_4"/>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五</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、培训计划</w:t>
      </w:r>
      <w:bookmarkEnd w:id="114"/>
      <w:r/>
      <w:r/>
    </w:p>
    <w:p>
      <w:pPr>
        <w:ind w:left="0" w:firstLine="480"/>
        <w:jc w:val="left"/>
        <w:keepLines w:val="0"/>
        <w:keepNext w:val="0"/>
        <w:pageBreakBefore w:val="0"/>
        <w:spacing w:after="0" w:line="500" w:lineRule="exact"/>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应制定完善的项目培训计划，涵盖岗前培训、在岗常态化培训、司法服务专项培训，明确培训内容、培训频次、培训实施方式及培训效果考核方式，培训内容需贴合法院工作纪律、业务规范及服务要求。评审委员会根据培训体系完整性、内容针对性、计划可落地性进行量化评分。</w:t>
      </w:r>
      <w:r/>
    </w:p>
    <w:p>
      <w:pPr>
        <w:ind w:left="0" w:firstLine="480"/>
        <w:jc w:val="left"/>
        <w:keepLines w:val="0"/>
        <w:keepNext w:val="0"/>
        <w:pageBreakBefore w:val="0"/>
        <w:spacing w:after="0" w:line="500" w:lineRule="exact"/>
        <w:widowControl/>
        <w:rPr>
          <w:rFonts w:hint="eastAsia" w:ascii="宋体" w:hAnsi="宋体" w:eastAsia="宋体" w:cs="宋体"/>
          <w:b w:val="0"/>
          <w:bCs/>
          <w:sz w:val="24"/>
          <w:szCs w:val="24"/>
        </w:rPr>
        <w:outlineLvl w:val="1"/>
      </w:pPr>
      <w:r/>
      <w:bookmarkStart w:id="115" w:name="heading_5"/>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六</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、保密制度及保密措施</w:t>
      </w:r>
      <w:bookmarkEnd w:id="115"/>
      <w:r/>
      <w:r/>
    </w:p>
    <w:p>
      <w:pPr>
        <w:ind w:left="0" w:firstLine="480"/>
        <w:jc w:val="left"/>
        <w:keepLines w:val="0"/>
        <w:keepNext w:val="0"/>
        <w:pageBreakBefore w:val="0"/>
        <w:spacing w:after="0" w:line="500" w:lineRule="exact"/>
        <w:widowControl/>
        <w:rPr>
          <w:rFonts w:hint="eastAsia" w:ascii="宋体" w:hAnsi="宋体" w:eastAsia="宋体" w:cs="宋体"/>
          <w:b w:val="0"/>
          <w:bCs/>
          <w:sz w:val="28"/>
          <w:szCs w:val="28"/>
        </w:rPr>
      </w:pPr>
      <w:r>
        <w:rPr>
          <w:rFonts w:hint="eastAsia" w:ascii="宋体" w:hAnsi="宋体" w:eastAsia="宋体" w:cs="宋体"/>
          <w:b w:val="0"/>
          <w:bCs/>
          <w:sz w:val="24"/>
          <w:szCs w:val="24"/>
        </w:rPr>
        <w:t xml:space="preserve">投标人应制定符合法院司法保密工作要求的保密管理制度，明确保密管理范围、保密工作责任，制定人员、文件、场所、信息数据等全方位保密防控措施，落实保密责任与日常保密管控要求。评审委员会根据保密制度完善性、保密措施全面性、合规性进行量化评分。</w:t>
      </w:r>
      <w:r/>
    </w:p>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罚则</w:t>
      </w:r>
      <w:r/>
    </w:p>
    <w:p>
      <w:pPr>
        <w:numPr>
          <w:ilvl w:val="0"/>
          <w:numId w:val="14"/>
        </w:numPr>
        <w:ind w:left="0" w:firstLine="480"/>
        <w:jc w:val="left"/>
        <w:keepLines/>
        <w:keepNext w:val="0"/>
        <w:pageBreakBefore w:val="0"/>
        <w:spacing w:after="0" w:line="540" w:lineRule="exact"/>
        <w:widowControl/>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因</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工作人员蓄意破坏设备设施、违反规程造成重大事故、违反规定公开发布敏感信息造成重大影响的，一经查实则视为</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严重违约，情节严重的依法追究其法律责任。</w:t>
      </w:r>
      <w:r/>
    </w:p>
    <w:p>
      <w:pPr>
        <w:numPr>
          <w:ilvl w:val="0"/>
          <w:numId w:val="14"/>
        </w:numPr>
        <w:ind w:left="0" w:firstLine="480"/>
        <w:jc w:val="left"/>
        <w:keepLines w:val="0"/>
        <w:keepNext w:val="0"/>
        <w:pageBreakBefore w:val="0"/>
        <w:spacing w:after="0" w:line="540" w:lineRule="exact"/>
        <w:widowControl/>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若</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在服务期内违反其服务承诺或本招标文件的要求三次或以上，则视为</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违约，兴化市人民法院有权拒绝支付本期项目服务费。</w:t>
      </w:r>
      <w:r/>
    </w:p>
    <w:p>
      <w:pPr>
        <w:numPr>
          <w:ilvl w:val="0"/>
          <w:numId w:val="14"/>
        </w:numPr>
        <w:ind w:left="0" w:firstLine="480"/>
        <w:jc w:val="left"/>
        <w:keepLines w:val="0"/>
        <w:keepNext w:val="0"/>
        <w:pageBreakBefore w:val="0"/>
        <w:spacing w:after="0" w:line="540" w:lineRule="exact"/>
        <w:widowControl/>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每月结束，由兴化市人民法院评定本月度服务绩效，乙方签字确认后，按照考核结果直接在下月服务费中予以扣减</w:t>
      </w:r>
      <w:r/>
    </w:p>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报价要求</w:t>
      </w:r>
      <w:r/>
    </w:p>
    <w:p>
      <w:pPr>
        <w:numPr>
          <w:ilvl w:val="0"/>
          <w:numId w:val="15"/>
        </w:numPr>
        <w:ind w:left="0" w:firstLine="420"/>
        <w:jc w:val="left"/>
        <w:keepLines w:val="0"/>
        <w:keepNext w:val="0"/>
        <w:pageBreakBefore w:val="0"/>
        <w:spacing w:after="0" w:line="540" w:lineRule="exact"/>
        <w:widowControl w:val="off"/>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服务期内由</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按中标价</w:t>
      </w:r>
      <w:r>
        <w:rPr>
          <w:rFonts w:hint="eastAsia" w:ascii="宋体" w:hAnsi="宋体" w:eastAsia="宋体" w:cs="宋体"/>
          <w:bCs/>
          <w:color w:val="000000"/>
          <w:sz w:val="24"/>
          <w:szCs w:val="24"/>
          <w:lang w:val="en-US" w:eastAsia="zh-CN"/>
        </w:rPr>
        <w:t xml:space="preserve">每年</w:t>
      </w:r>
      <w:r>
        <w:rPr>
          <w:rFonts w:hint="eastAsia" w:ascii="宋体" w:hAnsi="宋体" w:eastAsia="宋体" w:cs="宋体"/>
          <w:bCs/>
          <w:color w:val="000000"/>
          <w:sz w:val="24"/>
          <w:szCs w:val="24"/>
        </w:rPr>
        <w:t xml:space="preserve">总价包干，投标报价应包括：全年案件事务性工作处理、所有人员工资、社保费用、医疗费用、管理费用、一切税费（包括增值税发票）、保险费、培训费、资料等的全部费用。</w:t>
      </w:r>
      <w:r/>
    </w:p>
    <w:p>
      <w:pPr>
        <w:numPr>
          <w:ilvl w:val="0"/>
          <w:numId w:val="15"/>
        </w:numPr>
        <w:ind w:left="0" w:firstLine="420"/>
        <w:jc w:val="left"/>
        <w:keepLines w:val="0"/>
        <w:keepNext w:val="0"/>
        <w:pageBreakBefore w:val="0"/>
        <w:spacing w:after="0" w:line="540" w:lineRule="exact"/>
        <w:widowControl w:val="off"/>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中标价包含合同期内的招标文件要求所有服务范围，服务内容有增加的不得超过原合同采购金额10%。超出部分经双方协商书面达成一致，办理政府采购审批手续后，另外支付服务费用。</w:t>
      </w:r>
      <w:r/>
    </w:p>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付款方式</w:t>
      </w:r>
      <w:r/>
    </w:p>
    <w:p>
      <w:pPr>
        <w:numPr>
          <w:ilvl w:val="0"/>
          <w:numId w:val="16"/>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项目费用按月支付。每期支付时间为下一月的10日前，</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须在每次支付前向兴化市人民法院提供合法有效的增值税发票，兴化市人民法院核对无误后在约定时间内完成支付。</w:t>
      </w:r>
      <w:r/>
    </w:p>
    <w:p>
      <w:pPr>
        <w:numPr>
          <w:ilvl w:val="0"/>
          <w:numId w:val="16"/>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双方往来款采用银行转账方式办理，如有变更修改，以书面通知为准。</w:t>
      </w:r>
      <w:r/>
    </w:p>
    <w:p>
      <w:pPr>
        <w:numPr>
          <w:ilvl w:val="0"/>
          <w:numId w:val="16"/>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对于满足合同约定支付条件的，兴化市人民法院应当自收到发票后在约定时间内将资金支付到约定的</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指定银行账户，不得以机构变动、人员更替、政策调整等为由延迟付款，不得将采购文件和合同中未规定的义务作为向</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付款的条件。对于因兴化市人民法院原因导致变更、中止或者终止政府采购合同的，兴化市人民法院依照合同约定对</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受到的损失予以等价赔偿和补偿。</w:t>
      </w:r>
      <w:r/>
    </w:p>
    <w:p>
      <w:pPr>
        <w:numPr>
          <w:ilvl w:val="0"/>
          <w:numId w:val="6"/>
        </w:numPr>
        <w:ind w:left="0" w:firstLine="0"/>
        <w:jc w:val="center"/>
        <w:keepLines w:val="0"/>
        <w:keepNext w:val="0"/>
        <w:pageBreakBefore w:val="0"/>
        <w:spacing w:after="0" w:line="520" w:lineRule="exact"/>
        <w:widowControl/>
        <w:tabs>
          <w:tab w:val="left" w:pos="709" w:leader="none"/>
          <w:tab w:val="left" w:pos="992" w:leader="none"/>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范围验收标准</w:t>
      </w:r>
      <w:r/>
    </w:p>
    <w:p>
      <w:pPr>
        <w:numPr>
          <w:ilvl w:val="0"/>
          <w:numId w:val="17"/>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服务质量标准：中标</w:t>
      </w:r>
      <w:r>
        <w:rPr>
          <w:rFonts w:hint="eastAsia" w:ascii="宋体" w:hAnsi="宋体" w:eastAsia="宋体" w:cs="宋体"/>
          <w:bCs/>
          <w:color w:val="000000"/>
          <w:sz w:val="24"/>
          <w:szCs w:val="24"/>
          <w:lang w:eastAsia="zh-CN"/>
        </w:rPr>
        <w:t xml:space="preserve">人</w:t>
      </w:r>
      <w:r>
        <w:rPr>
          <w:rFonts w:hint="eastAsia" w:ascii="宋体" w:hAnsi="宋体" w:eastAsia="宋体" w:cs="宋体"/>
          <w:bCs/>
          <w:color w:val="000000"/>
          <w:sz w:val="24"/>
          <w:szCs w:val="24"/>
        </w:rPr>
        <w:t xml:space="preserve">服务团队人员按兴化市人民法院规定进行司法辅助事务性工作，所完成的工作质量需达到兴化市人民法院要求。</w:t>
      </w:r>
      <w:r/>
    </w:p>
    <w:p>
      <w:pPr>
        <w:numPr>
          <w:ilvl w:val="0"/>
          <w:numId w:val="17"/>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服务验收标准：中标</w:t>
      </w:r>
      <w:r>
        <w:rPr>
          <w:rFonts w:hint="eastAsia" w:ascii="宋体" w:hAnsi="宋体" w:eastAsia="宋体" w:cs="宋体"/>
          <w:bCs/>
          <w:color w:val="000000"/>
          <w:sz w:val="24"/>
          <w:szCs w:val="24"/>
          <w:lang w:eastAsia="zh-CN"/>
        </w:rPr>
        <w:t xml:space="preserve">人</w:t>
      </w:r>
      <w:r>
        <w:rPr>
          <w:rFonts w:hint="eastAsia" w:ascii="宋体" w:hAnsi="宋体" w:eastAsia="宋体" w:cs="宋体"/>
          <w:bCs/>
          <w:color w:val="000000"/>
          <w:sz w:val="24"/>
          <w:szCs w:val="24"/>
        </w:rPr>
        <w:t xml:space="preserve">按兴化市人民法院要求按时按质完成工作任务。</w:t>
      </w:r>
      <w:r/>
    </w:p>
    <w:p>
      <w:pPr>
        <w:numPr>
          <w:ilvl w:val="0"/>
          <w:numId w:val="17"/>
        </w:numPr>
        <w:ind w:left="0" w:firstLine="42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如遇对业务整理流程的调整，则提前一个月向</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提供最新验收标准，</w:t>
      </w:r>
      <w:r>
        <w:rPr>
          <w:rFonts w:hint="eastAsia" w:ascii="宋体" w:hAnsi="宋体" w:eastAsia="宋体" w:cs="宋体"/>
          <w:bCs/>
          <w:color w:val="000000"/>
          <w:sz w:val="24"/>
          <w:szCs w:val="24"/>
          <w:lang w:eastAsia="zh-CN"/>
        </w:rPr>
        <w:t xml:space="preserve">中标供应商</w:t>
      </w:r>
      <w:r>
        <w:rPr>
          <w:rFonts w:hint="eastAsia" w:ascii="宋体" w:hAnsi="宋体" w:eastAsia="宋体" w:cs="宋体"/>
          <w:bCs/>
          <w:color w:val="000000"/>
          <w:sz w:val="24"/>
          <w:szCs w:val="24"/>
        </w:rPr>
        <w:t xml:space="preserve">应按新标准按时完成工作。</w:t>
      </w:r>
      <w:r/>
    </w:p>
    <w:p>
      <w:pPr>
        <w:numPr>
          <w:ilvl w:val="0"/>
          <w:numId w:val="6"/>
        </w:numPr>
        <w:ind w:left="0" w:firstLine="0"/>
        <w:jc w:val="center"/>
        <w:keepLines w:val="0"/>
        <w:keepNext w:val="0"/>
        <w:pageBreakBefore w:val="0"/>
        <w:spacing w:line="520" w:lineRule="exact"/>
        <w:widowControl/>
        <w:tabs>
          <w:tab w:val="left" w:pos="709" w:leader="none"/>
          <w:tab w:val="left" w:pos="992"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配合条件</w:t>
      </w:r>
      <w:r/>
    </w:p>
    <w:p>
      <w:pPr>
        <w:numPr>
          <w:ilvl w:val="0"/>
          <w:numId w:val="0"/>
        </w:numPr>
        <w:ind w:left="0" w:firstLine="480"/>
        <w:jc w:val="left"/>
        <w:keepLines w:val="0"/>
        <w:keepNext w:val="0"/>
        <w:pageBreakBefore w:val="0"/>
        <w:spacing w:after="0" w:line="540" w:lineRule="exact"/>
        <w:widowControl/>
        <w:tabs>
          <w:tab w:val="left" w:pos="42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bCs/>
          <w:color w:val="000000"/>
          <w:sz w:val="24"/>
          <w:szCs w:val="24"/>
        </w:rPr>
        <w:t xml:space="preserve">在投标文件中要列明在项目实施过程中要求兴化市人民法院提供的配合条件。</w:t>
      </w:r>
      <w:r/>
    </w:p>
    <w:p>
      <w:pPr>
        <w:numPr>
          <w:ilvl w:val="0"/>
          <w:numId w:val="6"/>
        </w:numPr>
        <w:ind w:left="0" w:firstLine="0"/>
        <w:jc w:val="center"/>
        <w:keepLines w:val="0"/>
        <w:keepNext w:val="0"/>
        <w:pageBreakBefore w:val="0"/>
        <w:spacing w:line="520" w:lineRule="exact"/>
        <w:widowControl/>
        <w:tabs>
          <w:tab w:val="left" w:pos="709" w:leader="none"/>
          <w:tab w:val="left" w:pos="992"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附件</w:t>
      </w:r>
      <w:r/>
    </w:p>
    <w:p>
      <w:pPr>
        <w:ind w:firstLine="630"/>
        <w:spacing w:line="460" w:lineRule="exact"/>
        <w:tabs>
          <w:tab w:val="left" w:pos="755" w:leader="none"/>
          <w:tab w:val="left" w:pos="1620" w:leader="none"/>
          <w:tab w:val="left" w:pos="2562" w:leader="none"/>
        </w:tabs>
        <w:rPr>
          <w:rFonts w:hint="eastAsia" w:ascii="宋体" w:hAnsi="宋体" w:eastAsia="宋体" w:cs="宋体"/>
          <w:b/>
          <w:bCs/>
          <w:spacing w:val="12"/>
          <w:sz w:val="28"/>
          <w:szCs w:val="28"/>
        </w:rPr>
      </w:pPr>
      <w:r>
        <w:rPr>
          <w:rFonts w:hint="eastAsia" w:ascii="宋体" w:hAnsi="宋体" w:eastAsia="宋体" w:cs="宋体"/>
          <w:sz w:val="28"/>
          <w:szCs w:val="28"/>
        </w:rPr>
        <w:t xml:space="preserve">              </w:t>
      </w:r>
      <w:r>
        <w:rPr>
          <w:rFonts w:hint="eastAsia" w:ascii="宋体" w:hAnsi="宋体" w:eastAsia="宋体" w:cs="宋体"/>
          <w:b/>
          <w:bCs/>
          <w:spacing w:val="12"/>
          <w:sz w:val="28"/>
          <w:szCs w:val="28"/>
        </w:rPr>
        <w:t xml:space="preserve">监督管理和考核（总分100分）</w:t>
      </w:r>
      <w:r/>
    </w:p>
    <w:p>
      <w:pPr>
        <w:numPr>
          <w:ilvl w:val="0"/>
          <w:numId w:val="0"/>
        </w:numPr>
        <w:ind w:left="0" w:firstLine="420"/>
        <w:jc w:val="left"/>
        <w:keepLines w:val="0"/>
        <w:keepNext w:val="0"/>
        <w:pageBreakBefore w:val="0"/>
        <w:spacing w:after="0" w:line="540" w:lineRule="exact"/>
        <w:widowControl w:val="off"/>
        <w:tabs>
          <w:tab w:val="left" w:pos="0" w:leader="none"/>
        </w:tabs>
        <w:rPr>
          <w:rFonts w:hint="eastAsia" w:ascii="宋体" w:hAnsi="宋体" w:eastAsia="宋体" w:cs="宋体"/>
          <w:bCs/>
          <w:color w:val="000000"/>
          <w:sz w:val="28"/>
          <w:szCs w:val="28"/>
        </w:rPr>
      </w:pPr>
      <w:r>
        <w:rPr>
          <w:rFonts w:hint="eastAsia" w:ascii="宋体" w:hAnsi="宋体" w:eastAsia="宋体" w:cs="宋体"/>
          <w:bCs/>
          <w:color w:val="000000"/>
          <w:sz w:val="24"/>
          <w:szCs w:val="24"/>
        </w:rPr>
        <w:t xml:space="preserve">服务费用由分期付款总额和质量保证金两部分构成，其中质量保证金为服务费用中标价的10%，具体按每月考核结果支付。项目考核得分≥90分，全额支付质量保证金；低于90分的，按以下方法支付：月质量保证金付款金额＝月质量保证金（中标价除以12个月）×考核得分的％；考核得分低于60分的，扣减全额质量保证金。如出现以下情形，将予以扣分：</w:t>
      </w:r>
      <w:r/>
    </w:p>
    <w:p>
      <w:pPr>
        <w:numPr>
          <w:ilvl w:val="0"/>
          <w:numId w:val="18"/>
        </w:numPr>
        <w:ind w:left="0" w:firstLine="425"/>
        <w:jc w:val="left"/>
        <w:keepLines w:val="0"/>
        <w:keepNext w:val="0"/>
        <w:pageBreakBefore w:val="0"/>
        <w:spacing w:after="0" w:line="500" w:lineRule="exact"/>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在法定工作时间，工作人员无故缺勤、迟到、早退的，每人次扣1分。</w:t>
      </w:r>
      <w:r/>
    </w:p>
    <w:p>
      <w:pPr>
        <w:numPr>
          <w:ilvl w:val="0"/>
          <w:numId w:val="18"/>
        </w:numPr>
        <w:ind w:left="0" w:firstLine="425"/>
        <w:jc w:val="left"/>
        <w:keepLines w:val="0"/>
        <w:keepNext w:val="0"/>
        <w:pageBreakBefore w:val="0"/>
        <w:spacing w:after="0" w:line="500" w:lineRule="exact"/>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未在规定时间内完成服务服务事项的，每件次扣0.5分。</w:t>
      </w:r>
      <w:r/>
    </w:p>
    <w:p>
      <w:pPr>
        <w:numPr>
          <w:ilvl w:val="0"/>
          <w:numId w:val="18"/>
        </w:numPr>
        <w:ind w:left="0" w:firstLine="425"/>
        <w:jc w:val="left"/>
        <w:keepLines w:val="0"/>
        <w:keepNext w:val="0"/>
        <w:pageBreakBefore w:val="0"/>
        <w:spacing w:after="0" w:line="500" w:lineRule="exact"/>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完成服务服务事项的完整性、准确率低于（差错率高于）规定的要求，经确认后应加以纠正，未及时或不能纠正的，每件次扣1分。</w:t>
      </w:r>
      <w:r/>
    </w:p>
    <w:p>
      <w:pPr>
        <w:numPr>
          <w:ilvl w:val="0"/>
          <w:numId w:val="18"/>
        </w:numPr>
        <w:ind w:left="0" w:firstLine="425"/>
        <w:jc w:val="left"/>
        <w:keepLines w:val="0"/>
        <w:keepNext w:val="0"/>
        <w:pageBreakBefore w:val="0"/>
        <w:spacing w:after="0" w:line="500" w:lineRule="exact"/>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违反内部规章制度，不听从安排和分配，扰乱工作秩序的，每人次扣5分。</w:t>
      </w:r>
      <w:r/>
    </w:p>
    <w:p>
      <w:pPr>
        <w:numPr>
          <w:ilvl w:val="0"/>
          <w:numId w:val="18"/>
        </w:numPr>
        <w:ind w:left="0" w:firstLine="425"/>
        <w:jc w:val="left"/>
        <w:keepLines w:val="0"/>
        <w:keepNext w:val="0"/>
        <w:pageBreakBefore w:val="0"/>
        <w:spacing w:after="0" w:line="500" w:lineRule="exact"/>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损坏、丢失、涂改、抽换、伪造档案的，扣减全额质量保证金。涉嫌违法的将移送相关部门处理。</w:t>
      </w:r>
      <w:r/>
    </w:p>
    <w:p>
      <w:pPr>
        <w:numPr>
          <w:ilvl w:val="0"/>
          <w:numId w:val="18"/>
        </w:numPr>
        <w:ind w:left="0" w:firstLine="425"/>
        <w:jc w:val="left"/>
        <w:keepLines w:val="0"/>
        <w:keepNext w:val="0"/>
        <w:pageBreakBefore w:val="0"/>
        <w:spacing w:after="0" w:line="500" w:lineRule="exact"/>
        <w:widowControl w:val="off"/>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违反保密协议，对外泄露保密信息内容，擅自修改、复制案件档案资料的，扣减全额质量保证金。</w:t>
      </w:r>
      <w:r/>
    </w:p>
    <w:p>
      <w:pPr>
        <w:rPr>
          <w:rFonts w:hint="eastAsia" w:cs="仿宋_GB2312" w:asciiTheme="minorEastAsia" w:hAnsiTheme="minorEastAsia" w:eastAsiaTheme="minorEastAsia"/>
          <w:color w:val="000000" w:themeColor="text1"/>
          <w:sz w:val="28"/>
          <w:szCs w:val="28"/>
          <w14:textFill>
            <w14:solidFill>
              <w14:schemeClr w14:val="tx1"/>
            </w14:solidFill>
          </w14:textFill>
        </w:rPr>
      </w:pPr>
      <w:r>
        <w:rPr>
          <w:rFonts w:hint="eastAsia" w:cs="仿宋_GB2312" w:asciiTheme="minorEastAsia" w:hAnsiTheme="minorEastAsia" w:eastAsiaTheme="minorEastAsia"/>
          <w:color w:val="000000" w:themeColor="text1"/>
          <w:sz w:val="28"/>
          <w:szCs w:val="28"/>
          <w14:textFill>
            <w14:solidFill>
              <w14:schemeClr w14:val="tx1"/>
            </w14:solidFill>
          </w14:textFill>
        </w:rPr>
      </w:r>
      <w:r/>
    </w:p>
    <w:p>
      <w:pPr>
        <w:pStyle w:val="856"/>
        <w:jc w:val="center"/>
        <w:keepLines/>
        <w:keepNext/>
        <w:pageBreakBefore/>
        <w:spacing w:before="100" w:after="100" w:line="400" w:lineRule="exact"/>
        <w:widowControl/>
        <w:rPr>
          <w:rFonts w:hint="eastAsia" w:ascii="宋体" w:hAnsi="宋体" w:eastAsia="宋体" w:cs="宋体"/>
          <w:lang w:val="en-US" w:eastAsia="zh-CN"/>
        </w:rPr>
      </w:pPr>
      <w:r/>
      <w:bookmarkStart w:id="116" w:name="_Toc13801"/>
      <w:r>
        <w:rPr>
          <w:rFonts w:hint="eastAsia" w:ascii="宋体" w:hAnsi="宋体" w:eastAsia="宋体" w:cs="宋体"/>
          <w:lang w:val="en-US" w:eastAsia="zh-CN"/>
        </w:rPr>
        <w:t xml:space="preserve">第五章  评标方法与评标标准</w:t>
      </w:r>
      <w:bookmarkEnd w:id="116"/>
      <w:r/>
      <w:r/>
    </w:p>
    <w:p>
      <w:pPr>
        <w:ind w:firstLine="48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如</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得</w:t>
      </w:r>
      <w:r>
        <w:rPr>
          <w:rFonts w:hint="eastAsia" w:ascii="宋体" w:hAnsi="宋体" w:eastAsia="宋体" w:cs="宋体"/>
          <w:color w:val="000000" w:themeColor="text1"/>
          <w:sz w:val="24"/>
          <w:szCs w:val="24"/>
          <w:lang w:val="zh-CN" w:eastAsia="zh-CN" w:bidi="ar-SA"/>
          <w14:textFill>
            <w14:solidFill>
              <w14:schemeClr w14:val="tx1"/>
            </w14:solidFill>
          </w14:textFill>
        </w:rPr>
        <w:t xml:space="preserve">分且投标报价、量化指标评审得分</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均相同</w:t>
      </w:r>
      <w:r>
        <w:rPr>
          <w:rFonts w:hint="eastAsia" w:ascii="宋体" w:hAnsi="宋体" w:eastAsia="宋体" w:cs="宋体"/>
          <w:color w:val="000000" w:themeColor="text1"/>
          <w:sz w:val="24"/>
          <w:szCs w:val="24"/>
          <w:lang w:val="zh-CN" w:eastAsia="zh-CN" w:bidi="ar-SA"/>
          <w14:textFill>
            <w14:solidFill>
              <w14:schemeClr w14:val="tx1"/>
            </w14:solidFill>
          </w14:textFill>
        </w:rPr>
        <w:t xml:space="preserve">，由评标委员会在评审现场抽签确定。本项目选取1名中标候选人。</w:t>
      </w:r>
      <w:r/>
    </w:p>
    <w:p>
      <w:pPr>
        <w:ind w:left="0" w:firstLine="36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政府采购政策功能落实</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1、小微型企业价格扣除</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（1）本项目对小型和微型企业提供的服务给予10%的扣除价格，用扣除后的价格参与评审。</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（2）供应商需按照采购文件的要求提供相应的《中小微企业声明函》。</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2、残疾人福利单位价格扣除</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（1）本项目对残疾人福利性单位视同小型、微型企业，给予10%的价格扣除，用扣除后的价格参与评审。</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（2）残疾人福利单位需按照采购文件的要求提供《残疾人福利性单位声明函》。</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（3）残疾人福利单位标准请参照《关于促进残疾人就业政府采购政策的通知》（财库〔2017〕141号）。</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3、监狱和戒毒企业价格扣除</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（1）本项目对监狱和戒毒企业（简称监狱企业）视同小型、微型企业，给予10%的价格扣除，用扣除后的价格参与评审。</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（3）监狱企业标准请参照《关于政府采购支持监狱企业发展有关问题的通知》（财库〔2014〕68号）。</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4、残疾人福利单位、监狱企业属于小型、微型企业的，不重复享受政策。</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firstLine="440"/>
        <w:keepLines w:val="0"/>
        <w:keepNext w:val="0"/>
        <w:pageBreakBefore w:val="0"/>
        <w:spacing w:after="0" w:line="40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6、联合体各方均为小型、微型企业（残疾人福利单位、监狱企业）的，联合体享受10%价格扣除，用扣除后的价格参与评审。</w:t>
      </w:r>
      <w:r/>
    </w:p>
    <w:tbl>
      <w:tblPr>
        <w:tblStyle w:val="866"/>
        <w:tblW w:w="8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874"/>
        <w:gridCol w:w="1279"/>
        <w:gridCol w:w="5502"/>
      </w:tblGrid>
      <w:tr>
        <w:trPr>
          <w:jc w:val="center"/>
          <w:trHeight w:val="336"/>
        </w:trPr>
        <w:tc>
          <w:tcPr>
            <w:gridSpan w:val="2"/>
            <w:shd w:val="clear" w:color="auto" w:fill="auto"/>
            <w:tcW w:w="1835" w:type="dxa"/>
            <w:vAlign w:val="center"/>
            <w:textDirection w:val="lrTb"/>
            <w:noWrap w:val="false"/>
          </w:tcPr>
          <w:p>
            <w:pPr>
              <w:jc w:val="center"/>
              <w:keepLines w:val="0"/>
              <w:keepNext w:val="0"/>
              <w:pageBreakBefore w:val="0"/>
              <w:spacing w:after="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评分项目</w:t>
            </w:r>
            <w:r/>
          </w:p>
        </w:tc>
        <w:tc>
          <w:tcPr>
            <w:shd w:val="clear" w:color="auto" w:fill="auto"/>
            <w:tcW w:w="1279" w:type="dxa"/>
            <w:vAlign w:val="center"/>
            <w:textDirection w:val="lrTb"/>
            <w:noWrap w:val="false"/>
          </w:tcPr>
          <w:p>
            <w:pPr>
              <w:jc w:val="center"/>
              <w:keepLines w:val="0"/>
              <w:keepNext w:val="0"/>
              <w:pageBreakBefore w:val="0"/>
              <w:spacing w:after="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满分分值</w:t>
            </w:r>
            <w:r/>
          </w:p>
        </w:tc>
        <w:tc>
          <w:tcPr>
            <w:shd w:val="clear" w:color="auto" w:fill="auto"/>
            <w:tcW w:w="5502" w:type="dxa"/>
            <w:vAlign w:val="center"/>
            <w:textDirection w:val="lrTb"/>
            <w:noWrap w:val="false"/>
          </w:tcPr>
          <w:p>
            <w:pPr>
              <w:jc w:val="center"/>
              <w:keepLines w:val="0"/>
              <w:keepNext w:val="0"/>
              <w:pageBreakBefore w:val="0"/>
              <w:spacing w:after="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评分细则</w:t>
            </w:r>
            <w:r/>
          </w:p>
        </w:tc>
      </w:tr>
      <w:tr>
        <w:trPr>
          <w:jc w:val="center"/>
          <w:trHeight w:val="90"/>
        </w:trPr>
        <w:tc>
          <w:tcPr>
            <w:gridSpan w:val="2"/>
            <w:shd w:val="clear" w:color="auto" w:fill="auto"/>
            <w:tcW w:w="1835" w:type="dxa"/>
            <w:vAlign w:val="center"/>
            <w:textDirection w:val="lrTb"/>
            <w:noWrap w:val="false"/>
          </w:tcPr>
          <w:p>
            <w:pPr>
              <w:ind w:right="-189"/>
              <w:jc w:val="both"/>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价格</w:t>
            </w:r>
            <w:r>
              <w:rPr>
                <w:rFonts w:hint="eastAsia" w:ascii="宋体" w:hAnsi="宋体" w:eastAsia="宋体" w:cs="宋体"/>
                <w:color w:val="000000"/>
                <w:sz w:val="24"/>
                <w:szCs w:val="24"/>
                <w:lang w:bidi="ar"/>
              </w:rPr>
              <w:t xml:space="preserve">部分(</w:t>
            </w:r>
            <w:r>
              <w:rPr>
                <w:rFonts w:hint="eastAsia" w:ascii="宋体" w:hAnsi="宋体" w:eastAsia="宋体" w:cs="宋体"/>
                <w:color w:val="000000"/>
                <w:sz w:val="24"/>
                <w:szCs w:val="24"/>
                <w:lang w:val="en-US" w:eastAsia="zh-CN" w:bidi="ar"/>
              </w:rPr>
              <w:t xml:space="preserve">15</w:t>
            </w:r>
            <w:r>
              <w:rPr>
                <w:rFonts w:hint="eastAsia" w:ascii="宋体" w:hAnsi="宋体" w:eastAsia="宋体" w:cs="宋体"/>
                <w:color w:val="000000"/>
                <w:sz w:val="24"/>
                <w:szCs w:val="24"/>
                <w:lang w:bidi="ar"/>
              </w:rPr>
              <w:t xml:space="preserve">分)</w:t>
            </w:r>
            <w:r/>
          </w:p>
        </w:tc>
        <w:tc>
          <w:tcPr>
            <w:shd w:val="clear" w:color="auto" w:fill="auto"/>
            <w:tcW w:w="1279" w:type="dxa"/>
            <w:vAlign w:val="center"/>
            <w:textDirection w:val="lrTb"/>
            <w:noWrap w:val="false"/>
          </w:tcPr>
          <w:p>
            <w:pPr>
              <w:jc w:val="center"/>
              <w:keepLines w:val="0"/>
              <w:keepNext w:val="0"/>
              <w:pageBreakBefore w:val="0"/>
              <w:spacing w:after="0"/>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15</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1.价格分采用低价优先法计算，即满足采购文件要求且报价最低的供应商报价为评标基准价，其价格分为满分</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，其它投标人的价格分统一按照以下公式计算：</w:t>
            </w:r>
            <w:r/>
          </w:p>
          <w:p>
            <w:pPr>
              <w:jc w:val="left"/>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投标报价得分=（评标基准价/该投标人的投标报价）×</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值保留小数点后2位。价格扣除说明：投标供应商应如实准确提供《中小企业声明函》或《残疾人福利性单位声明函》或《属于监狱企业的证明文件》；如投标产品为非投标供应商制造，应准确如实填写投标产品制造商信息。如未按要求提供、填写，或相关内容表述不清的，不得享受价格扣除。</w:t>
            </w:r>
            <w:r/>
          </w:p>
          <w:p>
            <w:pPr>
              <w:jc w:val="left"/>
              <w:keepLines w:val="0"/>
              <w:keepNext w:val="0"/>
              <w:pageBreakBefore w:val="0"/>
              <w:spacing w:after="0" w:line="24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hint="eastAsia" w:ascii="宋体" w:hAnsi="宋体" w:eastAsia="宋体" w:cs="宋体"/>
                <w:color w:val="000000"/>
                <w:sz w:val="24"/>
                <w:szCs w:val="24"/>
                <w:lang w:val="en-US" w:eastAsia="zh-CN"/>
              </w:rPr>
              <w:t xml:space="preserve">具体按招标文件相关要求。</w:t>
            </w:r>
            <w:r/>
          </w:p>
        </w:tc>
      </w:tr>
      <w:tr>
        <w:trPr>
          <w:jc w:val="center"/>
          <w:trHeight w:val="90"/>
        </w:trPr>
        <w:tc>
          <w:tcPr>
            <w:shd w:val="clear" w:color="auto" w:fill="auto"/>
            <w:tcW w:w="961" w:type="dxa"/>
            <w:vAlign w:val="center"/>
            <w:vMerge w:val="restart"/>
            <w:textDirection w:val="lrTb"/>
            <w:noWrap w:val="false"/>
          </w:tcPr>
          <w:p>
            <w:pPr>
              <w:ind w:right="-134"/>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技术分（</w:t>
            </w:r>
            <w:r>
              <w:rPr>
                <w:rFonts w:hint="eastAsia" w:ascii="宋体" w:hAnsi="宋体" w:eastAsia="宋体" w:cs="宋体"/>
                <w:color w:val="000000"/>
                <w:sz w:val="24"/>
                <w:szCs w:val="24"/>
                <w:lang w:val="en-US" w:eastAsia="zh-CN" w:bidi="ar"/>
              </w:rPr>
              <w:t xml:space="preserve">42</w:t>
            </w:r>
            <w:r>
              <w:rPr>
                <w:rFonts w:hint="eastAsia" w:ascii="宋体" w:hAnsi="宋体" w:eastAsia="宋体" w:cs="宋体"/>
                <w:color w:val="000000"/>
                <w:sz w:val="24"/>
                <w:szCs w:val="24"/>
                <w:lang w:bidi="ar"/>
              </w:rPr>
              <w:t xml:space="preserve">分）</w:t>
            </w:r>
            <w:r/>
          </w:p>
        </w:tc>
        <w:tc>
          <w:tcPr>
            <w:shd w:val="clear" w:color="auto" w:fill="auto"/>
            <w:tcW w:w="874" w:type="dxa"/>
            <w:vAlign w:val="center"/>
            <w:textDirection w:val="lrTb"/>
            <w:noWrap w:val="false"/>
          </w:tcPr>
          <w:p>
            <w:pPr>
              <w:ind w:right="-189"/>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服务方案</w:t>
            </w:r>
            <w:r/>
          </w:p>
        </w:tc>
        <w:tc>
          <w:tcPr>
            <w:shd w:val="clear" w:color="auto" w:fill="auto"/>
            <w:tcW w:w="127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8</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投标人针对本项目的特点和要求编制解决方案，方案优于采购需求的得8</w:t>
            </w:r>
            <w:bookmarkStart w:id="126" w:name="_GoBack"/>
            <w:r/>
            <w:bookmarkEnd w:id="126"/>
            <w:r>
              <w:rPr>
                <w:rFonts w:hint="eastAsia" w:ascii="宋体" w:hAnsi="宋体" w:eastAsia="宋体" w:cs="宋体"/>
                <w:color w:val="auto"/>
                <w:sz w:val="24"/>
                <w:szCs w:val="24"/>
                <w:lang w:val="en-US" w:eastAsia="zh-CN" w:bidi="ar-SA"/>
              </w:rPr>
              <w:t xml:space="preserve">分；符合采购需求的得5分；不符合采购需求或未提供的不得分。</w:t>
            </w:r>
            <w:r/>
          </w:p>
        </w:tc>
      </w:tr>
      <w:tr>
        <w:trPr>
          <w:jc w:val="center"/>
          <w:trHeight w:val="986"/>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874" w:type="dxa"/>
            <w:vAlign w:val="center"/>
            <w:textDirection w:val="lrTb"/>
            <w:noWrap w:val="false"/>
          </w:tcPr>
          <w:p>
            <w:pPr>
              <w:ind w:right="-189"/>
              <w:jc w:val="left"/>
              <w:keepLines w:val="0"/>
              <w:keepNext w:val="0"/>
              <w:pageBreakBefore w:val="0"/>
              <w:spacing w:after="0"/>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管理架构及岗位设置</w:t>
            </w:r>
            <w:r/>
          </w:p>
        </w:tc>
        <w:tc>
          <w:tcPr>
            <w:shd w:val="clear" w:color="auto" w:fill="auto"/>
            <w:tcW w:w="1279"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000000"/>
                <w:sz w:val="24"/>
                <w:szCs w:val="24"/>
                <w:lang w:val="en-US" w:eastAsia="zh-CN"/>
              </w:rPr>
              <w:t xml:space="preserve">投标人针对本项目服务要求编制团队管理架构及岗位职责说明，根据其内容的专业性、针对性、合理性等因素进行评审打分：优于采购需求的得8分；符合采购需求的得5分；不符合采购需求或未提供的不得分。</w:t>
            </w:r>
            <w:r/>
          </w:p>
        </w:tc>
      </w:tr>
      <w:tr>
        <w:trPr>
          <w:jc w:val="center"/>
          <w:trHeight w:val="986"/>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874" w:type="dxa"/>
            <w:vAlign w:val="center"/>
            <w:textDirection w:val="lrTb"/>
            <w:noWrap w:val="false"/>
          </w:tcPr>
          <w:p>
            <w:pPr>
              <w:ind w:right="-189"/>
              <w:jc w:val="left"/>
              <w:keepLines w:val="0"/>
              <w:keepNext w:val="0"/>
              <w:pageBreakBefore w:val="0"/>
              <w:spacing w:after="0"/>
              <w:widowControl/>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Hans"/>
              </w:rPr>
              <w:t xml:space="preserve">内部管理</w:t>
            </w:r>
            <w:r/>
          </w:p>
        </w:tc>
        <w:tc>
          <w:tcPr>
            <w:shd w:val="clear" w:color="auto" w:fill="auto"/>
            <w:tcW w:w="1279"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c>
          <w:tcPr>
            <w:shd w:val="clear" w:color="auto" w:fill="auto"/>
            <w:tcW w:w="5502" w:type="dxa"/>
            <w:vAlign w:val="center"/>
            <w:textDirection w:val="lrTb"/>
            <w:noWrap w:val="false"/>
          </w:tcPr>
          <w:p>
            <w:pPr>
              <w:jc w:val="left"/>
              <w:keepLines w:val="0"/>
              <w:keepNext w:val="0"/>
              <w:pageBreakBefore w:val="0"/>
              <w:spacing w:after="0"/>
              <w:widowControl/>
              <w:rPr>
                <w:rFonts w:hint="eastAsia" w:ascii="宋体" w:hAnsi="宋体" w:eastAsia="宋体" w:cs="宋体"/>
                <w:color w:val="auto"/>
                <w:sz w:val="24"/>
                <w:szCs w:val="24"/>
                <w:lang w:val="en-US" w:eastAsia="zh-Hans"/>
              </w:rPr>
            </w:pPr>
            <w:r>
              <w:rPr>
                <w:rFonts w:hint="eastAsia" w:ascii="宋体" w:hAnsi="宋体" w:eastAsia="宋体" w:cs="宋体"/>
                <w:color w:val="auto"/>
                <w:sz w:val="24"/>
                <w:szCs w:val="24"/>
                <w:lang w:val="en-US" w:eastAsia="zh-Hans"/>
              </w:rPr>
              <w:t xml:space="preserve">根据投标人是否具有完善的内部管理制度，优于采购需求的得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val="en-US" w:eastAsia="zh-Hans"/>
              </w:rPr>
              <w:t xml:space="preserve">分；符合采购需求的得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en-US" w:eastAsia="zh-Hans"/>
              </w:rPr>
              <w:t xml:space="preserve">分；不符合采购需求或未提供的不得分。</w:t>
            </w:r>
            <w:r/>
          </w:p>
        </w:tc>
      </w:tr>
      <w:tr>
        <w:trPr>
          <w:jc w:val="center"/>
          <w:trHeight w:val="399"/>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874" w:type="dxa"/>
            <w:vAlign w:val="center"/>
            <w:textDirection w:val="lrTb"/>
            <w:noWrap w:val="false"/>
          </w:tcPr>
          <w:p>
            <w:pPr>
              <w:ind w:right="-189"/>
              <w:jc w:val="left"/>
              <w:keepLines w:val="0"/>
              <w:keepNext w:val="0"/>
              <w:pageBreakBefore w:val="0"/>
              <w:spacing w:after="0"/>
              <w:widowControl/>
              <w:rPr>
                <w:rFonts w:hint="eastAsia" w:ascii="宋体" w:hAnsi="宋体" w:eastAsia="宋体" w:cs="宋体"/>
                <w:color w:val="auto"/>
                <w:sz w:val="24"/>
                <w:szCs w:val="24"/>
                <w:lang w:val="en-US" w:eastAsia="zh-Hans" w:bidi="ar-SA"/>
              </w:rPr>
            </w:pPr>
            <w:r>
              <w:rPr>
                <w:rFonts w:hint="eastAsia" w:ascii="宋体" w:hAnsi="宋体" w:eastAsia="宋体" w:cs="宋体"/>
                <w:color w:val="auto"/>
                <w:sz w:val="24"/>
                <w:szCs w:val="24"/>
                <w:lang w:val="en-US" w:eastAsia="zh-Hans" w:bidi="ar-SA"/>
              </w:rPr>
              <w:t xml:space="preserve">人力资源保障</w:t>
            </w:r>
            <w:r/>
          </w:p>
        </w:tc>
        <w:tc>
          <w:tcPr>
            <w:shd w:val="clear" w:color="auto" w:fill="auto"/>
            <w:tcW w:w="1279"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shd w:val="clear" w:color="auto" w:fill="auto"/>
            <w:tcW w:w="5502" w:type="dxa"/>
            <w:vAlign w:val="center"/>
            <w:textDirection w:val="lrTb"/>
            <w:noWrap w:val="false"/>
          </w:tcPr>
          <w:p>
            <w:pPr>
              <w:jc w:val="left"/>
              <w:keepLines w:val="0"/>
              <w:keepNext w:val="0"/>
              <w:pageBreakBefore w:val="0"/>
              <w:spacing w:after="0"/>
              <w:widowControl/>
              <w:rPr>
                <w:rFonts w:hint="eastAsia" w:ascii="宋体" w:hAnsi="宋体" w:eastAsia="宋体" w:cs="宋体"/>
                <w:color w:val="auto"/>
                <w:sz w:val="24"/>
                <w:szCs w:val="24"/>
                <w:lang w:val="en-US" w:eastAsia="zh-Hans" w:bidi="ar-SA"/>
              </w:rPr>
            </w:pPr>
            <w:r>
              <w:rPr>
                <w:rFonts w:hint="eastAsia" w:ascii="宋体" w:hAnsi="宋体" w:eastAsia="宋体" w:cs="宋体"/>
                <w:color w:val="auto"/>
                <w:sz w:val="24"/>
                <w:szCs w:val="24"/>
                <w:lang w:val="en-US" w:eastAsia="zh-Hans" w:bidi="ar-SA"/>
              </w:rPr>
              <w:t xml:space="preserve">根据投标人对项目的人员储备计划、人员稳定保障措施</w:t>
            </w:r>
            <w:r>
              <w:rPr>
                <w:rFonts w:hint="eastAsia" w:ascii="宋体" w:hAnsi="宋体" w:eastAsia="宋体" w:cs="宋体"/>
                <w:color w:val="auto"/>
                <w:sz w:val="24"/>
                <w:szCs w:val="24"/>
                <w:lang w:val="en-US" w:eastAsia="zh-CN" w:bidi="ar-SA"/>
              </w:rPr>
              <w:t xml:space="preserve">等方案</w:t>
            </w:r>
            <w:r>
              <w:rPr>
                <w:rFonts w:hint="eastAsia" w:ascii="宋体" w:hAnsi="宋体" w:eastAsia="宋体" w:cs="宋体"/>
                <w:color w:val="auto"/>
                <w:sz w:val="24"/>
                <w:szCs w:val="24"/>
                <w:lang w:val="en-US" w:eastAsia="zh-Hans" w:bidi="ar-SA"/>
              </w:rPr>
              <w:t xml:space="preserve">进行评审：优于采购需求的得</w:t>
            </w: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szCs w:val="24"/>
                <w:lang w:val="en-US" w:eastAsia="zh-Hans" w:bidi="ar-SA"/>
              </w:rPr>
              <w:t xml:space="preserve">分；符合采购需求的得</w:t>
            </w: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lang w:val="en-US" w:eastAsia="zh-Hans" w:bidi="ar-SA"/>
              </w:rPr>
              <w:t xml:space="preserve">分；不符合采购需求或未提供的不得分。</w:t>
            </w:r>
            <w:r/>
          </w:p>
        </w:tc>
      </w:tr>
      <w:tr>
        <w:trPr>
          <w:jc w:val="center"/>
          <w:trHeight w:val="684"/>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874" w:type="dxa"/>
            <w:vAlign w:val="center"/>
            <w:textDirection w:val="lrTb"/>
            <w:noWrap w:val="false"/>
          </w:tcPr>
          <w:p>
            <w:pPr>
              <w:ind w:right="-189"/>
              <w:jc w:val="left"/>
              <w:keepLines w:val="0"/>
              <w:keepNext w:val="0"/>
              <w:pageBreakBefore w:val="0"/>
              <w:spacing w:after="0"/>
              <w:widowControl/>
              <w:rPr>
                <w:rFonts w:hint="eastAsia" w:ascii="宋体" w:hAnsi="宋体" w:eastAsia="宋体" w:cs="宋体"/>
                <w:color w:val="auto"/>
                <w:sz w:val="24"/>
                <w:szCs w:val="24"/>
                <w:lang w:val="en-US" w:eastAsia="zh-Hans" w:bidi="ar-SA"/>
              </w:rPr>
            </w:pPr>
            <w:r>
              <w:rPr>
                <w:rFonts w:hint="eastAsia" w:ascii="宋体" w:hAnsi="宋体" w:eastAsia="宋体" w:cs="宋体"/>
                <w:color w:val="auto"/>
                <w:sz w:val="24"/>
                <w:szCs w:val="24"/>
                <w:lang w:val="en-US" w:eastAsia="zh-Hans" w:bidi="ar-SA"/>
              </w:rPr>
              <w:t xml:space="preserve">培训计划</w:t>
            </w:r>
            <w:r/>
          </w:p>
        </w:tc>
        <w:tc>
          <w:tcPr>
            <w:shd w:val="clear" w:color="auto" w:fill="auto"/>
            <w:tcW w:w="1279"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shd w:val="clear" w:color="auto" w:fill="auto"/>
            <w:tcW w:w="5502" w:type="dxa"/>
            <w:vAlign w:val="center"/>
            <w:textDirection w:val="lrTb"/>
            <w:noWrap w:val="false"/>
          </w:tcPr>
          <w:p>
            <w:pPr>
              <w:jc w:val="left"/>
              <w:keepLines w:val="0"/>
              <w:keepNext w:val="0"/>
              <w:pageBreakBefore w:val="0"/>
              <w:spacing w:after="0"/>
              <w:widowControl/>
              <w:rPr>
                <w:rFonts w:hint="eastAsia" w:ascii="宋体" w:hAnsi="宋体" w:eastAsia="宋体" w:cs="宋体"/>
                <w:color w:val="auto"/>
                <w:sz w:val="24"/>
                <w:szCs w:val="24"/>
                <w:lang w:val="en-US" w:eastAsia="zh-Hans" w:bidi="ar-SA"/>
              </w:rPr>
            </w:pPr>
            <w:r>
              <w:rPr>
                <w:rFonts w:hint="eastAsia" w:ascii="宋体" w:hAnsi="宋体" w:eastAsia="宋体" w:cs="宋体"/>
                <w:color w:val="auto"/>
                <w:sz w:val="24"/>
                <w:szCs w:val="24"/>
                <w:lang w:val="en-US" w:eastAsia="zh-Hans" w:bidi="ar-SA"/>
              </w:rPr>
              <w:t xml:space="preserve">根据投标人对项目人员的岗前培训、在岗培训、考勤等方案进行评审：</w:t>
            </w:r>
            <w:r>
              <w:rPr>
                <w:rFonts w:hint="eastAsia" w:ascii="宋体" w:hAnsi="宋体" w:eastAsia="宋体" w:cs="宋体"/>
                <w:color w:val="auto"/>
                <w:sz w:val="24"/>
                <w:szCs w:val="24"/>
                <w:lang w:val="en-US" w:eastAsia="zh-Hans"/>
              </w:rPr>
              <w:t xml:space="preserve">优于采购需求的得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en-US" w:eastAsia="zh-Hans"/>
              </w:rPr>
              <w:t xml:space="preserve">分；符合采购需求的得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en-US" w:eastAsia="zh-Hans"/>
              </w:rPr>
              <w:t xml:space="preserve">分；不符合采购需求或未提供的不得分。</w:t>
            </w:r>
            <w:r/>
          </w:p>
        </w:tc>
      </w:tr>
      <w:tr>
        <w:trPr>
          <w:jc w:val="center"/>
          <w:trHeight w:val="374"/>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W w:w="874" w:type="dxa"/>
            <w:vAlign w:val="center"/>
            <w:textDirection w:val="lrTb"/>
            <w:noWrap w:val="false"/>
          </w:tcPr>
          <w:p>
            <w:pPr>
              <w:ind w:right="-189"/>
              <w:jc w:val="left"/>
              <w:keepLines w:val="0"/>
              <w:keepNext w:val="0"/>
              <w:pageBreakBefore w:val="0"/>
              <w:spacing w:after="0"/>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保密制度及保密措施</w:t>
            </w:r>
            <w:r/>
          </w:p>
        </w:tc>
        <w:tc>
          <w:tcPr>
            <w:shd w:val="clear" w:color="auto" w:fill="auto"/>
            <w:tcW w:w="1279" w:type="dxa"/>
            <w:vAlign w:val="center"/>
            <w:textDirection w:val="lrTb"/>
            <w:noWrap w:val="false"/>
          </w:tcPr>
          <w:p>
            <w:pPr>
              <w:jc w:val="center"/>
              <w:keepLines w:val="0"/>
              <w:keepNext w:val="0"/>
              <w:pageBreakBefore w:val="0"/>
              <w:spacing w:after="0"/>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p>
        </w:tc>
        <w:tc>
          <w:tcPr>
            <w:shd w:val="clear" w:color="auto" w:fill="auto"/>
            <w:tcW w:w="5502"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根据投标人的保密制度和保密措施进行评审：</w:t>
            </w:r>
            <w:r>
              <w:rPr>
                <w:rFonts w:hint="eastAsia" w:ascii="宋体" w:hAnsi="宋体" w:eastAsia="宋体" w:cs="宋体"/>
                <w:color w:val="auto"/>
                <w:sz w:val="24"/>
                <w:szCs w:val="24"/>
                <w:lang w:val="en-US" w:eastAsia="zh-Hans"/>
              </w:rPr>
              <w:t xml:space="preserve">优于采购需求的得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en-US" w:eastAsia="zh-Hans"/>
              </w:rPr>
              <w:t xml:space="preserve">分；符合采购需求的得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en-US" w:eastAsia="zh-Hans"/>
              </w:rPr>
              <w:t xml:space="preserve">分；不符合采购需求或未提供的不得分。</w:t>
            </w:r>
            <w:r/>
          </w:p>
        </w:tc>
      </w:tr>
      <w:tr>
        <w:trPr>
          <w:jc w:val="center"/>
          <w:trHeight w:val="698"/>
        </w:trPr>
        <w:tc>
          <w:tcPr>
            <w:shd w:val="clear" w:color="auto" w:fill="auto"/>
            <w:tcW w:w="961" w:type="dxa"/>
            <w:vAlign w:val="center"/>
            <w:vMerge w:val="restart"/>
            <w:textDirection w:val="lrTb"/>
            <w:noWrap w:val="false"/>
          </w:tcPr>
          <w:p>
            <w:pPr>
              <w:ind w:right="-134"/>
              <w:jc w:val="cente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商务分（</w:t>
            </w:r>
            <w:r>
              <w:rPr>
                <w:rFonts w:hint="eastAsia" w:ascii="宋体" w:hAnsi="宋体" w:eastAsia="宋体" w:cs="宋体"/>
                <w:color w:val="000000"/>
                <w:sz w:val="24"/>
                <w:szCs w:val="24"/>
                <w:lang w:val="en-US" w:eastAsia="zh-CN" w:bidi="ar"/>
              </w:rPr>
              <w:t xml:space="preserve">43</w:t>
            </w:r>
            <w:r>
              <w:rPr>
                <w:rFonts w:hint="eastAsia" w:ascii="宋体" w:hAnsi="宋体" w:eastAsia="宋体" w:cs="宋体"/>
                <w:color w:val="000000"/>
                <w:sz w:val="24"/>
                <w:szCs w:val="24"/>
                <w:lang w:bidi="ar"/>
              </w:rPr>
              <w:t xml:space="preserve">分）</w:t>
            </w:r>
            <w:r/>
          </w:p>
        </w:tc>
        <w:tc>
          <w:tcPr>
            <w:shd w:val="clear" w:color="auto" w:fill="auto"/>
            <w:tcW w:w="874"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履约能力</w:t>
            </w:r>
            <w:r/>
          </w:p>
        </w:tc>
        <w:tc>
          <w:tcPr>
            <w:shd w:val="clear" w:color="auto" w:fill="auto"/>
            <w:tcW w:w="1279"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6</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投标人具有由国家认证认可监督管理委员会认可、经市场监管部门批准设立的合法认证机构颁发并在有效期内的认证证书进行评审：(1)“ISO9001质量管理体系认证”、(2)“ISO14001环境管理体系认证”、(3)“ISO45001职业健康安全管理体系认证”；每有一个得2分，最高得分为6分，未提供的不得分。（提供原件扫描件。评标委员会有权通过全国认证认可信息公共服务平台（CX.CNCA.CN）现场核验证书真伪及有效性，查询不到、发证机构不具备合法资质、证书过期或状态异常的，不予计分。）</w:t>
            </w:r>
            <w:r/>
          </w:p>
        </w:tc>
      </w:tr>
      <w:tr>
        <w:trPr>
          <w:jc w:val="center"/>
          <w:trHeight w:val="1021"/>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auto"/>
            <w:tcW w:w="874" w:type="dxa"/>
            <w:vAlign w:val="center"/>
            <w:textDirection w:val="lrTb"/>
            <w:noWrap w:val="false"/>
          </w:tcPr>
          <w:p>
            <w:pPr>
              <w:jc w:val="center"/>
              <w:keepLines w:val="0"/>
              <w:keepNext w:val="0"/>
              <w:pageBreakBefore w:val="0"/>
              <w:spacing w:after="0"/>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业绩</w:t>
            </w:r>
            <w:r/>
          </w:p>
        </w:tc>
        <w:tc>
          <w:tcPr>
            <w:shd w:val="clear" w:color="auto" w:fill="auto"/>
            <w:tcW w:w="1279"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6</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根据投标人自 2022年1月1日起（以合同服务时间为准）司法辅助事务性服务业绩进行评审：具有类似行业司法辅助事务性服务业绩的，每有1个得3分，本项最高得6分；</w:t>
            </w:r>
            <w:r/>
          </w:p>
          <w:p>
            <w:pPr>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注：提供合同原件扫描件，需能够清晰、明确反映投标人名称、合同服务时间、服务内容等主要信息，未提供、提供不全或提供不清晰的均不得分。</w:t>
            </w:r>
            <w:r/>
          </w:p>
        </w:tc>
      </w:tr>
      <w:tr>
        <w:trPr>
          <w:jc w:val="center"/>
          <w:trHeight w:val="1021"/>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auto"/>
            <w:tcW w:w="874" w:type="dxa"/>
            <w:vAlign w:val="center"/>
            <w:textDirection w:val="lrTb"/>
            <w:noWrap w:val="false"/>
          </w:tcPr>
          <w:p>
            <w:pPr>
              <w:jc w:val="center"/>
              <w:keepLines w:val="0"/>
              <w:keepNext w:val="0"/>
              <w:pageBreakBefore w:val="0"/>
              <w:spacing w:after="0"/>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投标人业绩评价</w:t>
            </w:r>
            <w:r/>
          </w:p>
        </w:tc>
        <w:tc>
          <w:tcPr>
            <w:shd w:val="clear" w:color="auto" w:fill="auto"/>
            <w:tcW w:w="1279"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shd w:val="clear" w:color="auto" w:fill="auto"/>
            <w:tcW w:w="5502" w:type="dxa"/>
            <w:vAlign w:val="center"/>
            <w:textDirection w:val="lrTb"/>
            <w:noWrap w:val="false"/>
          </w:tcPr>
          <w:p>
            <w:pPr>
              <w:jc w:val="left"/>
              <w:keepLines w:val="0"/>
              <w:keepNext w:val="0"/>
              <w:pageBreakBefore w:val="0"/>
              <w:spacing w:after="0"/>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根据投标人得分业绩业主单位（采购人）给予服务评价好评（结果为“良好”或“优秀”或相同含义的评价)进行评审，每有1得3分，本项最高得6分。</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注：投标文件中提供证明材料原件扫描件(项目名称须与对应合同一致，须加盖采购单位或使用部门公章，否则不得分)，未按要求提供的不得分。</w:t>
            </w:r>
            <w:r/>
          </w:p>
        </w:tc>
      </w:tr>
      <w:tr>
        <w:trPr>
          <w:jc w:val="center"/>
          <w:trHeight w:val="1021"/>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auto"/>
            <w:tcW w:w="874" w:type="dxa"/>
            <w:vAlign w:val="center"/>
            <w:textDirection w:val="lrTb"/>
            <w:noWrap w:val="false"/>
          </w:tcPr>
          <w:p>
            <w:pPr>
              <w:jc w:val="center"/>
              <w:keepLines w:val="0"/>
              <w:keepNext w:val="0"/>
              <w:pageBreakBefore w:val="0"/>
              <w:spacing w:after="0"/>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司法辅助事务平台</w:t>
            </w:r>
            <w:r/>
          </w:p>
        </w:tc>
        <w:tc>
          <w:tcPr>
            <w:shd w:val="clear" w:color="auto" w:fill="auto"/>
            <w:tcW w:w="1279"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shd w:val="clear" w:color="auto" w:fill="auto"/>
            <w:tcW w:w="5502" w:type="dxa"/>
            <w:vAlign w:val="center"/>
            <w:textDirection w:val="lrTb"/>
            <w:noWrap w:val="false"/>
          </w:tcPr>
          <w:p>
            <w:pPr>
              <w:jc w:val="left"/>
              <w:keepLines w:val="0"/>
              <w:keepNext w:val="0"/>
              <w:pageBreakBefore w:val="0"/>
              <w:spacing w:after="0"/>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投标人如能提供自有软件事务平台（司法辅助相关）的，得10分；投标时须提供平台截图、相关功能说明，否则不得分。</w:t>
            </w:r>
            <w:r/>
          </w:p>
        </w:tc>
      </w:tr>
      <w:tr>
        <w:trPr>
          <w:jc w:val="center"/>
          <w:trHeight w:val="2211"/>
        </w:trPr>
        <w:tc>
          <w:tcPr>
            <w:shd w:val="clear" w:color="auto" w:fill="auto"/>
            <w:tcW w:w="961"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shd w:val="clear" w:color="auto" w:fill="auto"/>
            <w:tcW w:w="874" w:type="dxa"/>
            <w:vAlign w:val="center"/>
            <w:textDirection w:val="lrTb"/>
            <w:noWrap w:val="false"/>
          </w:tcPr>
          <w:p>
            <w:pPr>
              <w:jc w:val="center"/>
              <w:keepLines w:val="0"/>
              <w:keepNext w:val="0"/>
              <w:pageBreakBefore w:val="0"/>
              <w:spacing w:after="0"/>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人员情况</w:t>
            </w:r>
            <w:r/>
          </w:p>
        </w:tc>
        <w:tc>
          <w:tcPr>
            <w:shd w:val="clear" w:color="auto" w:fill="auto"/>
            <w:tcW w:w="1279" w:type="dxa"/>
            <w:vAlign w:val="center"/>
            <w:textDirection w:val="lrTb"/>
            <w:noWrap w:val="false"/>
          </w:tcPr>
          <w:p>
            <w:pPr>
              <w:jc w:val="center"/>
              <w:keepLines w:val="0"/>
              <w:keepNext w:val="0"/>
              <w:pageBreakBefore w:val="0"/>
              <w:spacing w:after="0"/>
              <w:widowControl/>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15</w:t>
            </w:r>
            <w:r/>
          </w:p>
        </w:tc>
        <w:tc>
          <w:tcPr>
            <w:shd w:val="clear" w:color="auto" w:fill="auto"/>
            <w:tcW w:w="5502"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根据投标人的拟投入人员配置情情况进行评审：</w:t>
            </w:r>
            <w:r/>
          </w:p>
          <w:p>
            <w:pPr>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投标人拟投入本项目的人员具有法律专业本科及以上学历的，每有1个得1.5分,该项最高得15分。</w:t>
            </w:r>
            <w:r/>
          </w:p>
          <w:p>
            <w:pPr>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说明：提供人员证书原件扫描件，同时提供需提供相应人员至投标截止时间前6个月内任意1个月在投标人单位的参保证明原件扫描件，未按要求提供的不得分。</w:t>
            </w:r>
            <w:r/>
          </w:p>
        </w:tc>
      </w:tr>
    </w:tbl>
    <w:p>
      <w:pPr>
        <w:pStyle w:val="856"/>
        <w:keepLines/>
        <w:keepNext/>
        <w:pageBreakBefore/>
        <w:spacing w:before="100" w:after="100" w:line="400" w:lineRule="exact"/>
        <w:widowControl/>
        <w:rPr>
          <w:rFonts w:hint="eastAsia"/>
        </w:rPr>
      </w:pPr>
      <w:r/>
      <w:bookmarkStart w:id="117" w:name="_Toc5670"/>
      <w:r/>
      <w:bookmarkStart w:id="118" w:name="_Toc18027"/>
      <w:r>
        <w:rPr>
          <w:rFonts w:hint="eastAsia"/>
          <w:lang w:val="en-US" w:eastAsia="zh-CN"/>
        </w:rPr>
        <w:t xml:space="preserve">第六章  </w:t>
      </w:r>
      <w:bookmarkEnd w:id="117"/>
      <w:r/>
      <w:bookmarkStart w:id="119" w:name="_Toc28896"/>
      <w:r>
        <w:rPr>
          <w:rFonts w:hint="eastAsia"/>
        </w:rPr>
        <w:t xml:space="preserve">投标文件相关格式</w:t>
      </w:r>
      <w:bookmarkEnd w:id="118"/>
      <w:r/>
      <w:bookmarkEnd w:id="119"/>
      <w:r/>
      <w:r/>
    </w:p>
    <w:p>
      <w:pPr>
        <w:jc w:val="center"/>
        <w:keepLines w:val="0"/>
        <w:keepNext w:val="0"/>
        <w:pageBreakBefore w:val="0"/>
        <w:spacing w:line="360" w:lineRule="auto"/>
        <w:widowControl w:val="off"/>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 xml:space="preserve">投  标  文  件</w:t>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ind w:firstLine="1080"/>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名 称：</w:t>
      </w:r>
      <w:r>
        <w:rPr>
          <w:rFonts w:hint="eastAsia" w:ascii="宋体" w:hAnsi="宋体"/>
          <w:b/>
          <w:color w:val="000000" w:themeColor="text1"/>
          <w:sz w:val="36"/>
          <w:szCs w:val="21"/>
          <w:u w:val="single"/>
          <w14:textFill>
            <w14:solidFill>
              <w14:schemeClr w14:val="tx1"/>
            </w14:solidFill>
          </w14:textFill>
        </w:rPr>
        <w:t xml:space="preserve">       </w:t>
      </w:r>
      <w:r>
        <w:rPr>
          <w:rFonts w:hint="eastAsia" w:ascii="宋体" w:hAnsi="宋体" w:eastAsia="宋体"/>
          <w:b/>
          <w:color w:val="000000" w:themeColor="text1"/>
          <w:sz w:val="36"/>
          <w:szCs w:val="21"/>
          <w:u w:val="single"/>
          <w:lang w:val="en-US" w:eastAsia="zh-CN"/>
          <w14:textFill>
            <w14:solidFill>
              <w14:schemeClr w14:val="tx1"/>
            </w14:solidFill>
          </w14:textFill>
        </w:rPr>
        <w:t xml:space="preserve">   </w:t>
      </w:r>
      <w:r>
        <w:rPr>
          <w:rFonts w:hint="eastAsia" w:ascii="宋体" w:hAnsi="宋体"/>
          <w:b/>
          <w:color w:val="000000" w:themeColor="text1"/>
          <w:sz w:val="36"/>
          <w:szCs w:val="21"/>
          <w:u w:val="single"/>
          <w14:textFill>
            <w14:solidFill>
              <w14:schemeClr w14:val="tx1"/>
            </w14:solidFill>
          </w14:textFill>
        </w:rPr>
        <w:t xml:space="preserve">        </w:t>
      </w:r>
      <w:r/>
    </w:p>
    <w:p>
      <w:pPr>
        <w:ind w:firstLine="1080"/>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编 号：</w:t>
      </w:r>
      <w:r>
        <w:rPr>
          <w:rFonts w:hint="eastAsia" w:ascii="宋体" w:hAnsi="宋体"/>
          <w:b/>
          <w:color w:val="000000" w:themeColor="text1"/>
          <w:sz w:val="36"/>
          <w:szCs w:val="21"/>
          <w:u w:val="single"/>
          <w14:textFill>
            <w14:solidFill>
              <w14:schemeClr w14:val="tx1"/>
            </w14:solidFill>
          </w14:textFill>
        </w:rPr>
        <w:t xml:space="preserve">      </w:t>
      </w:r>
      <w:r>
        <w:rPr>
          <w:rFonts w:hint="eastAsia" w:ascii="宋体" w:hAnsi="宋体" w:eastAsia="宋体"/>
          <w:b/>
          <w:color w:val="000000" w:themeColor="text1"/>
          <w:sz w:val="36"/>
          <w:szCs w:val="21"/>
          <w:u w:val="single"/>
          <w:lang w:val="en-US" w:eastAsia="zh-CN"/>
          <w14:textFill>
            <w14:solidFill>
              <w14:schemeClr w14:val="tx1"/>
            </w14:solidFill>
          </w14:textFill>
        </w:rPr>
        <w:t xml:space="preserve">    </w:t>
      </w:r>
      <w:r>
        <w:rPr>
          <w:rFonts w:hint="eastAsia" w:ascii="宋体" w:hAnsi="宋体"/>
          <w:b/>
          <w:color w:val="000000" w:themeColor="text1"/>
          <w:sz w:val="36"/>
          <w:szCs w:val="21"/>
          <w:u w:val="single"/>
          <w14:textFill>
            <w14:solidFill>
              <w14:schemeClr w14:val="tx1"/>
            </w14:solidFill>
          </w14:textFill>
        </w:rPr>
        <w:t xml:space="preserve">         </w:t>
      </w:r>
      <w:r/>
    </w:p>
    <w:p>
      <w:pPr>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投标人名称 ：</w:t>
      </w:r>
      <w:r>
        <w:rPr>
          <w:rFonts w:hint="eastAsia" w:ascii="宋体" w:hAnsi="宋体"/>
          <w:b/>
          <w:color w:val="000000" w:themeColor="text1"/>
          <w:sz w:val="36"/>
          <w:szCs w:val="21"/>
          <w:u w:val="single"/>
          <w14:textFill>
            <w14:solidFill>
              <w14:schemeClr w14:val="tx1"/>
            </w14:solidFill>
          </w14:textFill>
        </w:rPr>
        <w:t xml:space="preserve">（加盖CA电子公章）</w:t>
      </w:r>
      <w:r/>
    </w:p>
    <w:p>
      <w:pPr>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日      期 ：</w:t>
      </w:r>
      <w:r>
        <w:rPr>
          <w:rFonts w:hint="eastAsia" w:ascii="宋体" w:hAnsi="宋体"/>
          <w:b/>
          <w:color w:val="000000" w:themeColor="text1"/>
          <w:sz w:val="36"/>
          <w:szCs w:val="21"/>
          <w:u w:val="single"/>
          <w14:textFill>
            <w14:solidFill>
              <w14:schemeClr w14:val="tx1"/>
            </w14:solidFill>
          </w14:textFill>
        </w:rPr>
        <w:t xml:space="preserve">       </w:t>
      </w:r>
      <w:r>
        <w:rPr>
          <w:rFonts w:hint="eastAsia" w:ascii="宋体" w:hAnsi="宋体" w:eastAsia="宋体"/>
          <w:b/>
          <w:color w:val="000000" w:themeColor="text1"/>
          <w:sz w:val="36"/>
          <w:szCs w:val="21"/>
          <w:u w:val="single"/>
          <w:lang w:val="en-US" w:eastAsia="zh-CN"/>
          <w14:textFill>
            <w14:solidFill>
              <w14:schemeClr w14:val="tx1"/>
            </w14:solidFill>
          </w14:textFill>
        </w:rPr>
        <w:t xml:space="preserve">    </w:t>
      </w:r>
      <w:r>
        <w:rPr>
          <w:rFonts w:hint="eastAsia" w:ascii="宋体" w:hAnsi="宋体"/>
          <w:b/>
          <w:color w:val="000000" w:themeColor="text1"/>
          <w:sz w:val="36"/>
          <w:szCs w:val="21"/>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jc w:val="center"/>
        <w:keepLines w:val="0"/>
        <w:keepNext w:val="0"/>
        <w:pageBreakBefore w:val="0"/>
        <w:spacing w:line="360" w:lineRule="auto"/>
        <w:widowControl w:val="off"/>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keepLines w:val="0"/>
        <w:keepNext w:val="0"/>
        <w:pageBreakBefore w:val="0"/>
        <w:spacing w:line="360" w:lineRule="auto"/>
        <w:widowControl w:val="off"/>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keepLines w:val="0"/>
        <w:keepNext w:val="0"/>
        <w:pageBreakBefore w:val="0"/>
        <w:spacing w:line="360" w:lineRule="auto"/>
        <w:widowControl w:val="off"/>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97"/>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center"/>
        <w:keepLines w:val="0"/>
        <w:keepNext/>
        <w:pageBreakBefore/>
        <w:spacing w:after="0" w:line="400" w:lineRule="exact"/>
        <w:widowControl/>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投标文件的</w:t>
      </w:r>
      <w:r>
        <w:rPr>
          <w:rFonts w:ascii="宋体" w:hAnsi="宋体"/>
          <w:b/>
          <w:bCs/>
          <w:color w:val="000000" w:themeColor="text1"/>
          <w:sz w:val="32"/>
          <w:szCs w:val="32"/>
          <w14:textFill>
            <w14:solidFill>
              <w14:schemeClr w14:val="tx1"/>
            </w14:solidFill>
          </w14:textFill>
        </w:rPr>
        <w:t xml:space="preserve">组成</w:t>
      </w:r>
      <w:r/>
    </w:p>
    <w:p>
      <w:pPr>
        <w:ind w:left="440" w:firstLine="0"/>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一、基本目录</w:t>
      </w:r>
      <w:r/>
    </w:p>
    <w:p>
      <w:pPr>
        <w:ind w:left="440" w:firstLine="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1.开标一览表（格式见附件1）</w:t>
      </w:r>
      <w:r/>
    </w:p>
    <w:p>
      <w:pPr>
        <w:ind w:left="440" w:firstLine="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2.投标分项报价表（格式见附件2）</w:t>
      </w:r>
      <w:r/>
    </w:p>
    <w:p>
      <w:pPr>
        <w:ind w:left="440" w:firstLine="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3.技术要求响应及偏离表（格式见附件3）</w:t>
      </w:r>
      <w:r/>
    </w:p>
    <w:p>
      <w:pPr>
        <w:ind w:left="440" w:firstLine="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4.商务要求响应及偏离表（格式见附件4）</w:t>
      </w:r>
      <w:r/>
    </w:p>
    <w:p>
      <w:pPr>
        <w:ind w:left="440" w:firstLine="0"/>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二、资格审查内容</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1.法人或者其他组织的营业执照等证明文件，自然人的身份证明</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具有良好的商业信誉和健全的财务会计制度</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提供投标人提供2024或2025年度财务报告，至少包含资产负债表、利润表；或投标截止时间前六个月内银行出具的资信证明；成立不满一年无须提供</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依法缴纳税收和社会保障资金的相关材料：提供提交投标文件截止时间前</w:t>
      </w:r>
      <w:r>
        <w:rPr>
          <w:rFonts w:hint="eastAsia" w:ascii="宋体" w:hAnsi="宋体" w:eastAsia="宋体" w:cs="宋体"/>
          <w:color w:val="000000" w:themeColor="text1"/>
          <w:sz w:val="24"/>
          <w:szCs w:val="24"/>
          <w:lang w:val="en-US" w:eastAsia="zh-CN"/>
          <w14:textFill>
            <w14:solidFill>
              <w14:schemeClr w14:val="tx1"/>
            </w14:solidFill>
          </w14:textFill>
        </w:rPr>
        <w:t xml:space="preserve">一年</w:t>
      </w:r>
      <w:r>
        <w:rPr>
          <w:rFonts w:hint="eastAsia" w:ascii="宋体" w:hAnsi="宋体" w:eastAsia="宋体" w:cs="宋体"/>
          <w:color w:val="000000" w:themeColor="text1"/>
          <w:sz w:val="24"/>
          <w:szCs w:val="24"/>
          <w:lang w:eastAsia="zh-CN"/>
          <w14:textFill>
            <w14:solidFill>
              <w14:schemeClr w14:val="tx1"/>
            </w14:solidFill>
          </w14:textFill>
        </w:rPr>
        <w:t xml:space="preserve">内</w:t>
      </w:r>
      <w:r>
        <w:rPr>
          <w:rFonts w:hint="eastAsia" w:ascii="宋体" w:hAnsi="宋体" w:eastAsia="宋体" w:cs="宋体"/>
          <w:color w:val="000000" w:themeColor="text1"/>
          <w:sz w:val="24"/>
          <w:szCs w:val="24"/>
          <w:lang w:val="en-US" w:eastAsia="zh-CN"/>
          <w14:textFill>
            <w14:solidFill>
              <w14:schemeClr w14:val="tx1"/>
            </w14:solidFill>
          </w14:textFill>
        </w:rPr>
        <w:t xml:space="preserve">至少</w:t>
      </w:r>
      <w:r>
        <w:rPr>
          <w:rFonts w:hint="eastAsia" w:ascii="宋体" w:hAnsi="宋体" w:eastAsia="宋体" w:cs="宋体"/>
          <w:color w:val="000000" w:themeColor="text1"/>
          <w:sz w:val="24"/>
          <w:szCs w:val="24"/>
          <w:lang w:eastAsia="zh-CN"/>
          <w14:textFill>
            <w14:solidFill>
              <w14:schemeClr w14:val="tx1"/>
            </w14:solidFill>
          </w14:textFill>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4.具备履行合同所必需的设备和专业技术能力的书面声明（格式见附件5）</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5.参加政府采购活动前 3 年内在经营活动中没有重大违法记录的书面声明（格式见附件6）</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6.特定资格要求的证明文件（如果本项目对投标人做出特定资格要求的，必须提供）</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8.法人授权书（格式见附件7）</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9.投标函（格式见附件8）</w:t>
      </w:r>
      <w:r/>
    </w:p>
    <w:p>
      <w:pPr>
        <w:ind w:left="0" w:firstLine="480"/>
        <w:keepLines w:val="0"/>
        <w:keepNext w:val="0"/>
        <w:pageBreakBefore w:val="0"/>
        <w:spacing w:before="100" w:after="100" w:line="400" w:lineRule="exact"/>
        <w:rPr>
          <w:rFonts w:hint="eastAsia" w:ascii="宋体" w:hAnsi="宋体" w:eastAsia="宋体" w:cs="宋体"/>
          <w:sz w:val="24"/>
          <w:szCs w:val="24"/>
        </w:rPr>
      </w:pPr>
      <w:r>
        <w:rPr>
          <w:rFonts w:hint="eastAsia" w:ascii="宋体" w:hAnsi="宋体" w:eastAsia="宋体" w:cs="宋体"/>
          <w:sz w:val="24"/>
          <w:szCs w:val="24"/>
        </w:rPr>
        <w:t xml:space="preserve">10.中小微企业声明函（如果本项目专门面向中小微型企业采购，则必须提供。格式见附件9）</w:t>
      </w:r>
      <w:r/>
    </w:p>
    <w:p>
      <w:pPr>
        <w:ind w:left="0" w:firstLine="480"/>
        <w:keepLines w:val="0"/>
        <w:keepNext w:val="0"/>
        <w:pageBreakBefore w:val="0"/>
        <w:spacing w:before="100" w:after="100" w:line="400" w:lineRule="exact"/>
        <w:rPr>
          <w:rFonts w:hint="eastAsia" w:ascii="宋体" w:hAnsi="宋体" w:eastAsia="宋体" w:cs="宋体"/>
          <w:sz w:val="24"/>
          <w:szCs w:val="24"/>
        </w:rPr>
      </w:pPr>
      <w:r>
        <w:rPr>
          <w:rFonts w:hint="eastAsia" w:ascii="宋体" w:hAnsi="宋体" w:eastAsia="宋体" w:cs="宋体"/>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11.残疾人福利性单位声明函（如果本项目专门面向中小微型企业采购，供应商为残疾人福利性单位并提供本单位制造的货物，或者提供其他残疾人福利性单位制造的货物，则必须提供。格式见附件10）</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12.联合体协议（如果本项目接受联合体参加投标，投标人是联合体的，则必须提供。格式见附件11）</w:t>
      </w:r>
      <w:r/>
    </w:p>
    <w:p>
      <w:pPr>
        <w:ind w:left="0" w:firstLine="480"/>
        <w:keepLines w:val="0"/>
        <w:keepNext w:val="0"/>
        <w:pageBreakBefore w:val="0"/>
        <w:spacing w:before="100"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总备注：上述“资格审查内容”中1-5条、8、9条投标人必须在投标文件中提供相关材料，否则作无效投标处理；</w:t>
      </w:r>
      <w:r>
        <w:rPr>
          <w:rFonts w:hint="eastAsia" w:ascii="宋体" w:hAnsi="宋体"/>
          <w:sz w:val="24"/>
          <w:szCs w:val="24"/>
        </w:rPr>
        <w:t xml:space="preserve">6、10、11、12</w:t>
      </w:r>
      <w:r>
        <w:rPr>
          <w:rFonts w:hint="eastAsia" w:ascii="宋体" w:hAnsi="宋体" w:eastAsia="宋体" w:cs="宋体"/>
          <w:color w:val="000000" w:themeColor="text1"/>
          <w:sz w:val="24"/>
          <w:szCs w:val="24"/>
          <w14:textFill>
            <w14:solidFill>
              <w14:schemeClr w14:val="tx1"/>
            </w14:solidFill>
          </w14:textFill>
        </w:rPr>
        <w:t xml:space="preserve">条如招标文件要求必须提供相关材料而未提供的，作无效投标处理。</w:t>
      </w:r>
      <w:r/>
    </w:p>
    <w:p>
      <w:pPr>
        <w:ind w:left="480"/>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三、符合性审查内容</w:t>
      </w:r>
      <w:r/>
    </w:p>
    <w:p>
      <w:pPr>
        <w:ind w:firstLine="480"/>
        <w:keepLines w:val="0"/>
        <w:keepNext w:val="0"/>
        <w:pageBreakBefore w:val="0"/>
        <w:spacing w:after="100" w:line="40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投标人必须对招标文件（含技术要求和商务要求）中要求逐条做出响应，并按照招标文件要求提供证明材料，否则作无效投标处理。（格式见附件12）</w:t>
      </w:r>
      <w:r/>
    </w:p>
    <w:p>
      <w:pPr>
        <w:ind w:firstLine="48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97"/>
        <w:ind w:left="0" w:firstLine="0"/>
        <w:rPr>
          <w:rFonts w:hint="eastAsia" w:ascii="宋体" w:hAnsi="宋体" w:eastAsia="宋体" w:cs="宋体"/>
          <w:b/>
          <w:bCs/>
          <w:color w:val="000000"/>
          <w:sz w:val="28"/>
          <w:szCs w:val="28"/>
        </w:rPr>
      </w:pPr>
      <w:r/>
      <w:bookmarkStart w:id="120" w:name="_Toc30076"/>
      <w:r/>
      <w:bookmarkStart w:id="121" w:name="_Toc31409"/>
      <w:r/>
      <w:bookmarkStart w:id="122" w:name="_Toc15944"/>
      <w:r>
        <w:rPr>
          <w:rFonts w:hint="eastAsia" w:ascii="宋体" w:hAnsi="宋体" w:eastAsia="宋体" w:cs="宋体"/>
          <w:b/>
          <w:bCs/>
          <w:color w:val="000000"/>
          <w:sz w:val="28"/>
          <w:szCs w:val="28"/>
          <w:lang w:val="en-US" w:eastAsia="zh-CN"/>
        </w:rPr>
        <w:t xml:space="preserve">注：</w:t>
      </w:r>
      <w:r>
        <w:rPr>
          <w:rFonts w:hint="eastAsia" w:ascii="宋体" w:hAnsi="宋体" w:eastAsia="宋体" w:cs="宋体"/>
          <w:b/>
          <w:bCs/>
          <w:color w:val="000000"/>
          <w:sz w:val="28"/>
          <w:szCs w:val="28"/>
        </w:rPr>
        <w:t xml:space="preserve">本章仅提供</w:t>
      </w:r>
      <w:r>
        <w:rPr>
          <w:rFonts w:hint="eastAsia" w:ascii="宋体" w:hAnsi="宋体" w:eastAsia="宋体" w:cs="宋体"/>
          <w:b/>
          <w:bCs/>
          <w:color w:val="000000"/>
          <w:sz w:val="28"/>
          <w:szCs w:val="28"/>
          <w:lang w:val="en-US" w:eastAsia="zh-CN"/>
        </w:rPr>
        <w:t xml:space="preserve">投标</w:t>
      </w:r>
      <w:r>
        <w:rPr>
          <w:rFonts w:hint="eastAsia" w:ascii="宋体" w:hAnsi="宋体" w:eastAsia="宋体" w:cs="宋体"/>
          <w:b/>
          <w:bCs/>
          <w:color w:val="000000"/>
          <w:sz w:val="28"/>
          <w:szCs w:val="28"/>
        </w:rPr>
        <w:t xml:space="preserve">文件中的部分文件格式，不应被理解为包含了</w:t>
      </w:r>
      <w:r>
        <w:rPr>
          <w:rFonts w:hint="eastAsia" w:ascii="宋体" w:hAnsi="宋体" w:eastAsia="宋体" w:cs="宋体"/>
          <w:b/>
          <w:bCs/>
          <w:color w:val="000000"/>
          <w:sz w:val="28"/>
          <w:szCs w:val="28"/>
          <w:lang w:val="en-US" w:eastAsia="zh-CN"/>
        </w:rPr>
        <w:t xml:space="preserve">投标</w:t>
      </w:r>
      <w:r>
        <w:rPr>
          <w:rFonts w:hint="eastAsia" w:ascii="宋体" w:hAnsi="宋体" w:eastAsia="宋体" w:cs="宋体"/>
          <w:b/>
          <w:bCs/>
          <w:color w:val="000000"/>
          <w:sz w:val="28"/>
          <w:szCs w:val="28"/>
        </w:rPr>
        <w:t xml:space="preserve">文件所需的全部资料</w:t>
      </w:r>
      <w:bookmarkEnd w:id="120"/>
      <w:r/>
      <w:bookmarkEnd w:id="121"/>
      <w:r/>
      <w:bookmarkEnd w:id="122"/>
      <w:r/>
      <w:r/>
    </w:p>
    <w:p>
      <w:pPr>
        <w:pStyle w:val="897"/>
        <w:ind w:left="0" w:firstLine="0"/>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97"/>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97"/>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97"/>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97"/>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897"/>
        <w:rPr>
          <w:rFonts w:hint="eastAsia" w:ascii="仿宋" w:hAnsi="仿宋" w:eastAsia="仿宋" w:cs="仿宋"/>
          <w:color w:val="000000"/>
          <w:sz w:val="36"/>
          <w:szCs w:val="36"/>
        </w:rPr>
      </w:pPr>
      <w:r>
        <w:rPr>
          <w:rFonts w:hint="eastAsia" w:ascii="仿宋" w:hAnsi="仿宋" w:eastAsia="仿宋" w:cs="仿宋"/>
          <w:color w:val="000000"/>
          <w:sz w:val="36"/>
          <w:szCs w:val="36"/>
        </w:rPr>
      </w:r>
      <w:r/>
    </w:p>
    <w:p>
      <w:pPr>
        <w:jc w:val="both"/>
        <w:keepLines w:val="0"/>
        <w:keepNext/>
        <w:pageBreakBefore/>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附件1</w:t>
      </w:r>
      <w:r>
        <w:rPr>
          <w:rFonts w:hint="eastAsia" w:ascii="宋体" w:hAnsi="宋体" w:eastAsia="宋体" w:cs="宋体"/>
          <w:b/>
          <w:color w:val="000000" w:themeColor="text1"/>
          <w:sz w:val="36"/>
          <w:szCs w:val="36"/>
          <w14:textFill>
            <w14:solidFill>
              <w14:schemeClr w14:val="tx1"/>
            </w14:solidFill>
          </w14:textFill>
        </w:rPr>
        <w:t xml:space="preserve"> </w:t>
      </w:r>
      <w:r/>
    </w:p>
    <w:p>
      <w:pPr>
        <w:jc w:val="center"/>
        <w:keepLines w:val="0"/>
        <w:keepNext/>
        <w:pageBreakBefore w:val="0"/>
        <w:widowControl w:val="off"/>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开标一览表</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投标人全称（加盖CA电子签章）：</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default"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tbl>
      <w:tblPr>
        <w:tblStyle w:val="866"/>
        <w:tblW w:w="8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7"/>
      </w:tblGrid>
      <w:tr>
        <w:trPr>
          <w:cantSplit/>
          <w:jc w:val="center"/>
          <w:trHeight w:val="725"/>
        </w:trPr>
        <w:tc>
          <w:tcPr>
            <w:tcW w:w="8337" w:type="dxa"/>
            <w:vAlign w:val="center"/>
            <w:textDirection w:val="lrTb"/>
            <w:noWrap w:val="false"/>
          </w:tcPr>
          <w:p>
            <w:pPr>
              <w:jc w:val="center"/>
              <w:keepLines w:val="0"/>
              <w:keepNext w:val="0"/>
              <w:pageBreakBefore w:val="0"/>
              <w:spacing w:after="0"/>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每年投标</w:t>
            </w:r>
            <w:r>
              <w:rPr>
                <w:rFonts w:hint="eastAsia" w:ascii="宋体" w:hAnsi="宋体" w:eastAsia="宋体" w:cs="宋体"/>
                <w:b w:val="0"/>
                <w:bCs w:val="0"/>
                <w:color w:val="000000" w:themeColor="text1"/>
                <w:sz w:val="24"/>
                <w:szCs w:val="24"/>
                <w14:textFill>
                  <w14:solidFill>
                    <w14:schemeClr w14:val="tx1"/>
                  </w14:solidFill>
                </w14:textFill>
              </w:rPr>
              <w:t xml:space="preserve">报价</w:t>
            </w:r>
            <w:r/>
          </w:p>
        </w:tc>
      </w:tr>
      <w:tr>
        <w:trPr>
          <w:cantSplit/>
          <w:jc w:val="center"/>
          <w:trHeight w:val="612"/>
        </w:trPr>
        <w:tc>
          <w:tcPr>
            <w:tcW w:w="833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小写：                             （人民币：元）</w:t>
            </w:r>
            <w:r/>
          </w:p>
        </w:tc>
      </w:tr>
    </w:tbl>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jc w:val="both"/>
        <w:keepLines w:val="0"/>
        <w:keepNext/>
        <w:pageBreakBefore/>
        <w:spacing w:after="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附件2</w:t>
      </w:r>
      <w:r>
        <w:rPr>
          <w:rFonts w:hint="eastAsia" w:ascii="宋体" w:hAnsi="宋体" w:eastAsia="宋体" w:cs="宋体"/>
          <w:b/>
          <w:color w:val="000000" w:themeColor="text1"/>
          <w:sz w:val="36"/>
          <w:szCs w:val="36"/>
          <w14:textFill>
            <w14:solidFill>
              <w14:schemeClr w14:val="tx1"/>
            </w14:solidFill>
          </w14:textFill>
        </w:rPr>
        <w:t xml:space="preserve">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投标分项报价表</w:t>
      </w:r>
      <w:r/>
    </w:p>
    <w:tbl>
      <w:tblPr>
        <w:tblStyle w:val="8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3016"/>
        <w:gridCol w:w="698"/>
        <w:gridCol w:w="698"/>
        <w:gridCol w:w="1421"/>
        <w:gridCol w:w="1421"/>
      </w:tblGrid>
      <w:tr>
        <w:trPr>
          <w:jc w:val="center"/>
          <w:trHeight w:val="478"/>
          <w:tblHeader/>
        </w:trPr>
        <w:tc>
          <w:tcPr>
            <w:tcBorders>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序号</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服务内容</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ascii="宋体" w:hAnsi="宋体"/>
                <w:b/>
                <w:sz w:val="24"/>
              </w:rPr>
              <w:t xml:space="preserve">单位</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数量</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单价（元）</w:t>
            </w:r>
            <w:r/>
          </w:p>
        </w:tc>
        <w:tc>
          <w:tcPr>
            <w:tcBorders>
              <w:lef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总价（元）</w:t>
            </w:r>
            <w:r/>
          </w:p>
        </w:tc>
      </w:tr>
      <w:tr>
        <w:trPr>
          <w:jc w:val="center"/>
          <w:trHeight w:val="745"/>
        </w:trPr>
        <w:tc>
          <w:tcPr>
            <w:tcBorders>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w:t>
            </w:r>
            <w:r/>
          </w:p>
        </w:tc>
        <w:tc>
          <w:tcPr>
            <w:tcBorders>
              <w:left w:val="single" w:color="000000" w:sz="4" w:space="0"/>
              <w:right w:val="single" w:color="000000" w:sz="4" w:space="0"/>
            </w:tcBorders>
            <w:tcW w:w="0" w:type="auto"/>
            <w:vAlign w:val="center"/>
            <w:textDirection w:val="lrTb"/>
            <w:noWrap w:val="false"/>
          </w:tcPr>
          <w:p>
            <w:pPr>
              <w:pStyle w:val="1095"/>
              <w:ind w:left="0" w:right="0" w:firstLine="0"/>
              <w:jc w:val="center"/>
              <w:keepLines w:val="0"/>
              <w:keepNext w:val="0"/>
              <w:pageBreakBefore w:val="0"/>
              <w:spacing w:line="240" w:lineRule="auto"/>
              <w:widowControl/>
              <w:rPr>
                <w:rFonts w:hint="eastAsia" w:ascii="宋体" w:hAnsi="宋体" w:eastAsia="宋体" w:cs="宋体"/>
                <w:sz w:val="28"/>
                <w:szCs w:val="28"/>
              </w:rPr>
            </w:pPr>
            <w:r>
              <w:rPr>
                <w:rFonts w:hint="eastAsia" w:ascii="宋体" w:hAnsi="宋体" w:eastAsia="宋体" w:cs="宋体"/>
                <w:color w:val="000000" w:themeColor="text1"/>
                <w:sz w:val="28"/>
                <w:szCs w:val="28"/>
                <w:lang w:eastAsia="zh-CN"/>
                <w14:textFill>
                  <w14:solidFill>
                    <w14:schemeClr w14:val="tx1"/>
                  </w14:solidFill>
                </w14:textFill>
              </w:rPr>
              <w:t xml:space="preserve">司法辅助事务服务项目</w:t>
            </w:r>
            <w:r/>
          </w:p>
        </w:tc>
        <w:tc>
          <w:tcPr>
            <w:tcBorders>
              <w:left w:val="single" w:color="000000" w:sz="4" w:space="0"/>
              <w:right w:val="single" w:color="000000" w:sz="4" w:space="0"/>
            </w:tcBorders>
            <w:tcW w:w="0" w:type="auto"/>
            <w:vAlign w:val="center"/>
            <w:textDirection w:val="lrTb"/>
            <w:noWrap w:val="false"/>
          </w:tcPr>
          <w:p>
            <w:pPr>
              <w:pStyle w:val="1095"/>
              <w:ind w:left="0" w:right="0" w:firstLine="0"/>
              <w:jc w:val="center"/>
              <w:keepLines w:val="0"/>
              <w:keepNext w:val="0"/>
              <w:pageBreakBefore w:val="0"/>
              <w:spacing w:line="24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年</w:t>
            </w:r>
            <w:r/>
          </w:p>
        </w:tc>
        <w:tc>
          <w:tcPr>
            <w:tcBorders>
              <w:left w:val="single" w:color="000000" w:sz="4" w:space="0"/>
              <w:right w:val="single" w:color="000000" w:sz="4" w:space="0"/>
            </w:tcBorders>
            <w:tcW w:w="0" w:type="auto"/>
            <w:vAlign w:val="center"/>
            <w:textDirection w:val="lrTb"/>
            <w:noWrap w:val="false"/>
          </w:tcPr>
          <w:p>
            <w:pPr>
              <w:pStyle w:val="1095"/>
              <w:ind w:left="0" w:right="0" w:firstLine="0"/>
              <w:jc w:val="center"/>
              <w:keepLines w:val="0"/>
              <w:keepNext w:val="0"/>
              <w:pageBreakBefore w:val="0"/>
              <w:spacing w:line="24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lef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8"/>
                <w:szCs w:val="28"/>
              </w:rPr>
            </w:pPr>
            <w:r>
              <w:rPr>
                <w:rFonts w:hint="eastAsia" w:ascii="宋体" w:hAnsi="宋体" w:eastAsia="宋体" w:cs="宋体"/>
                <w:sz w:val="28"/>
                <w:szCs w:val="28"/>
              </w:rPr>
            </w:r>
            <w:r/>
          </w:p>
        </w:tc>
      </w:tr>
    </w:tbl>
    <w:p>
      <w:pPr>
        <w:pStyle w:val="897"/>
        <w:ind w:left="0" w:firstLine="0"/>
        <w:jc w:val="both"/>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r>
      <w:r/>
    </w:p>
    <w:p>
      <w:pPr>
        <w:pStyle w:val="897"/>
        <w:jc w:val="right"/>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r>
      <w:r/>
    </w:p>
    <w:p>
      <w:pPr>
        <w:pStyle w:val="897"/>
        <w:jc w:val="right"/>
        <w:rPr>
          <w:rFonts w:hint="eastAsia"/>
        </w:rPr>
      </w:pPr>
      <w:r>
        <w:rPr>
          <w:rFonts w:hint="eastAsia" w:ascii="宋体" w:hAnsi="宋体" w:eastAsia="宋体" w:cs="宋体"/>
          <w:bCs/>
          <w:color w:val="000000" w:themeColor="text1"/>
          <w:sz w:val="28"/>
          <w:szCs w:val="28"/>
          <w:lang w:eastAsia="en-US"/>
          <w14:textFill>
            <w14:solidFill>
              <w14:schemeClr w14:val="tx1"/>
            </w14:solidFill>
          </w14:textFill>
        </w:rPr>
        <w:t xml:space="preserve">投标人：</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firstLine="480"/>
        <w:keepLines w:val="0"/>
        <w:keepNext w:val="0"/>
        <w:pageBreakBefore w:val="0"/>
        <w:spacing w:before="20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keepLines w:val="0"/>
        <w:keepNext w:val="0"/>
        <w:pageBreakBefore w:val="0"/>
        <w:spacing w:before="20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2.“投标分项报价表”中“投标总报价”数额应当与“开标一览表”中“投标总报价”数额一致。</w:t>
      </w:r>
      <w:r/>
    </w:p>
    <w:p>
      <w:pPr>
        <w:ind w:firstLine="480"/>
        <w:keepLines w:val="0"/>
        <w:keepNext w:val="0"/>
        <w:pageBreakBefore w:val="0"/>
        <w:spacing w:before="200" w:line="400" w:lineRule="exact"/>
        <w:widowControl/>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2"/>
        <w:keepLines w:val="0"/>
        <w:keepNext w:val="0"/>
        <w:pageBreakBefore w:val="0"/>
        <w:spacing w:before="200" w:line="400" w:lineRule="exact"/>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4</w:t>
      </w:r>
      <w:r>
        <w:rPr>
          <w:rFonts w:hint="eastAsia" w:ascii="宋体" w:hAnsi="宋体" w:eastAsia="宋体" w:cs="宋体"/>
          <w:b/>
          <w:color w:val="000000" w:themeColor="text1"/>
          <w:sz w:val="24"/>
          <w:szCs w:val="24"/>
          <w14:textFill>
            <w14:solidFill>
              <w14:schemeClr w14:val="tx1"/>
            </w14:solidFill>
          </w14:textFill>
        </w:rPr>
        <w:t xml:space="preserve">.投标人需认真填写本报价表，尤其注意规格型号的准确填写。</w:t>
      </w:r>
      <w:r/>
    </w:p>
    <w:p>
      <w:pPr>
        <w:ind w:firstLine="480"/>
        <w:keepLines w:val="0"/>
        <w:keepNext w:val="0"/>
        <w:pageBreakBefore w:val="0"/>
        <w:spacing w:before="20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.项目经办人可以根据项目实际需要对表格结构进行调整。</w:t>
      </w:r>
      <w:r/>
    </w:p>
    <w:p>
      <w:pP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附件3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技术要求响应及偏离表</w:t>
      </w:r>
      <w:r/>
    </w:p>
    <w:tbl>
      <w:tblPr>
        <w:tblStyle w:val="866"/>
        <w:tblW w:w="85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802"/>
        <w:gridCol w:w="2650"/>
        <w:gridCol w:w="2312"/>
      </w:tblGrid>
      <w:tr>
        <w:trPr>
          <w:cantSplit/>
          <w:jc w:val="center"/>
        </w:trPr>
        <w:tc>
          <w:tcPr>
            <w:tcW w:w="8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280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技术要求</w:t>
            </w:r>
            <w:r/>
          </w:p>
        </w:tc>
        <w:tc>
          <w:tcPr>
            <w:tcW w:w="26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投标响应情况</w:t>
            </w:r>
            <w:r/>
          </w:p>
        </w:tc>
        <w:tc>
          <w:tcPr>
            <w:tcW w:w="23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超出、符合或偏离</w:t>
            </w:r>
            <w:r/>
          </w:p>
        </w:tc>
      </w:tr>
      <w:tr>
        <w:trPr>
          <w:cantSplit/>
          <w:jc w:val="center"/>
          <w:trHeight w:val="640"/>
        </w:trPr>
        <w:tc>
          <w:tcPr>
            <w:tcW w:w="8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80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6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8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280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6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806"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80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650"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31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附件3-1  证明材料1，证明材料2，……</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1.投标人需对招标文件技术要求逐条做出明确响应。</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2.如果招标文件要求提供证明材料，投标人需将证明材料列于该表之下。</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val="zh-CN"/>
          <w14:textFill>
            <w14:solidFill>
              <w14:schemeClr w14:val="tx1"/>
            </w14:solidFill>
          </w14:textFill>
        </w:rPr>
        <w:t xml:space="preserve">投标人未对实质性要求逐条作出明确响应的，或未按招标文件要求提供证明材料的，该采购包作无效投标处理。</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4、除以上要求，</w:t>
      </w:r>
      <w:r>
        <w:rPr>
          <w:rFonts w:hint="eastAsia" w:ascii="宋体" w:hAnsi="宋体" w:eastAsia="宋体" w:cs="宋体"/>
          <w:color w:val="000000" w:themeColor="text1"/>
          <w:sz w:val="24"/>
          <w:szCs w:val="24"/>
          <w14:textFill>
            <w14:solidFill>
              <w14:schemeClr w14:val="tx1"/>
            </w14:solidFill>
          </w14:textFill>
        </w:rPr>
        <w:t xml:space="preserve">投标人的投标文件中的内容与招标文件（含招标文件的澄清或者修改的内容，下同）的要求不同时，逐条列在偏离表中，否则将认为投标人接受招标文件的要求。</w:t>
      </w:r>
      <w:r/>
    </w:p>
    <w:p>
      <w:pPr>
        <w:pStyle w:val="89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97"/>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投标人：</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附件4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商务要求响应及偏离表</w:t>
      </w:r>
      <w:r/>
    </w:p>
    <w:tbl>
      <w:tblPr>
        <w:tblStyle w:val="866"/>
        <w:tblW w:w="86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824"/>
        <w:gridCol w:w="2833"/>
        <w:gridCol w:w="2235"/>
      </w:tblGrid>
      <w:tr>
        <w:trPr>
          <w:cantSplit/>
          <w:jc w:val="center"/>
        </w:trPr>
        <w:tc>
          <w:tcPr>
            <w:tcW w:w="784"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2824"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商务要求</w:t>
            </w:r>
            <w:r/>
          </w:p>
        </w:tc>
        <w:tc>
          <w:tcPr>
            <w:tcW w:w="283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投标响应情况</w:t>
            </w:r>
            <w:r/>
          </w:p>
        </w:tc>
        <w:tc>
          <w:tcPr>
            <w:tcW w:w="2235"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超出、符合或偏离</w:t>
            </w:r>
            <w:r/>
          </w:p>
        </w:tc>
      </w:tr>
      <w:tr>
        <w:trPr>
          <w:cantSplit/>
          <w:jc w:val="center"/>
          <w:trHeight w:val="640"/>
        </w:trPr>
        <w:tc>
          <w:tcPr>
            <w:tcW w:w="78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82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833"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35"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78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282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833"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35"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78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824"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833"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35" w:type="dxa"/>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附件4-1  证明材料1，证明材料2，……</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sz w:val="24"/>
          <w:szCs w:val="24"/>
        </w:rPr>
        <w:t xml:space="preserve">投标人需对招标文件商务要求逐条做出明确响应。</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2.如果招标文件要求提供证明材料，投标人需将证明材料列于该表之下。</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投标人未对实质性要求逐条作出明确响应的，或未按招标文件要求提供证明材料的，该采购包作无效投标处理。</w:t>
      </w:r>
      <w:r/>
    </w:p>
    <w:p>
      <w:pPr>
        <w:spacing w:line="40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4.除以上要求，投标人的投标文件中的内容与招标文件（含招标文件的澄清或者修改的内容，下同）的要求不同时，逐条列在偏离表中，否则将认为投标人接受招标文件的要求。</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97"/>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投标人：</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附件5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具备履行合同所必需的设备和专业技术能力的书面声明</w:t>
      </w:r>
      <w:r/>
    </w:p>
    <w:p>
      <w:pPr>
        <w:ind w:firstLine="493"/>
        <w:keepLines w:val="0"/>
        <w:keepNext w:val="0"/>
        <w:pageBreakBefore w:val="0"/>
        <w:spacing w:line="540" w:lineRule="exact"/>
        <w:widowControl/>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主要设备有：</w:t>
      </w:r>
      <w:r>
        <w:rPr>
          <w:rFonts w:hint="eastAsia" w:ascii="宋体" w:hAnsi="宋体" w:eastAsia="宋体" w:cs="宋体"/>
          <w:bCs/>
          <w:color w:val="000000" w:themeColor="text1"/>
          <w:sz w:val="24"/>
          <w:szCs w:val="21"/>
          <w:u w:val="single"/>
          <w14:textFill>
            <w14:solidFill>
              <w14:schemeClr w14:val="tx1"/>
            </w14:solidFill>
          </w14:textFill>
        </w:rPr>
        <w:t xml:space="preserve">      </w:t>
      </w:r>
      <w:r>
        <w:rPr>
          <w:rFonts w:hint="eastAsia" w:ascii="宋体" w:hAnsi="宋体" w:eastAsia="宋体" w:cs="宋体"/>
          <w:bCs/>
          <w:color w:val="000000" w:themeColor="text1"/>
          <w:sz w:val="24"/>
          <w:szCs w:val="21"/>
          <w14:textFill>
            <w14:solidFill>
              <w14:schemeClr w14:val="tx1"/>
            </w14:solidFill>
          </w14:textFill>
        </w:rPr>
        <w:t xml:space="preserve">。</w:t>
      </w:r>
      <w:r/>
    </w:p>
    <w:p>
      <w:pPr>
        <w:ind w:firstLine="492"/>
        <w:spacing w:line="460" w:lineRule="exact"/>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主要专业技术能力有：</w:t>
      </w:r>
      <w:r>
        <w:rPr>
          <w:rFonts w:hint="eastAsia" w:ascii="宋体" w:hAnsi="宋体" w:eastAsia="宋体" w:cs="宋体"/>
          <w:bCs/>
          <w:color w:val="000000" w:themeColor="text1"/>
          <w:sz w:val="24"/>
          <w:szCs w:val="21"/>
          <w:u w:val="single"/>
          <w14:textFill>
            <w14:solidFill>
              <w14:schemeClr w14:val="tx1"/>
            </w14:solidFill>
          </w14:textFill>
        </w:rPr>
        <w:t xml:space="preserve">         </w:t>
      </w:r>
      <w:r>
        <w:rPr>
          <w:rFonts w:hint="eastAsia" w:ascii="宋体" w:hAnsi="宋体" w:eastAsia="宋体" w:cs="宋体"/>
          <w:bCs/>
          <w:color w:val="000000" w:themeColor="text1"/>
          <w:sz w:val="24"/>
          <w:szCs w:val="21"/>
          <w14:textFill>
            <w14:solidFill>
              <w14:schemeClr w14:val="tx1"/>
            </w14:solidFill>
          </w14:textFill>
        </w:rPr>
        <w:t xml:space="preserve">。</w:t>
      </w:r>
      <w:r/>
    </w:p>
    <w:p>
      <w:pPr>
        <w:pStyle w:val="897"/>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897"/>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897"/>
        <w:jc w:val="right"/>
        <w:rPr>
          <w:rFonts w:hint="eastAsia" w:ascii="宋体" w:hAnsi="宋体" w:eastAsia="宋体" w:cs="宋体"/>
          <w:bCs/>
          <w:color w:val="000000" w:themeColor="text1"/>
          <w:sz w:val="24"/>
          <w:szCs w:val="21"/>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投标人：</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spacing w:line="460" w:lineRule="exact"/>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                                     </w:t>
      </w:r>
      <w:r/>
    </w:p>
    <w:p>
      <w:pPr>
        <w:ind w:left="48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48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48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48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附件6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参加政府采购活动前3年内在经营活动中没有重大违法记录的书面声明</w:t>
      </w:r>
      <w:r/>
    </w:p>
    <w:p>
      <w:pPr>
        <w:ind w:firstLine="480"/>
        <w:spacing w:line="46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我单位郑重声明：参加本次政府采购</w:t>
      </w:r>
      <w:r>
        <w:rPr>
          <w:rFonts w:hint="eastAsia" w:ascii="宋体" w:hAnsi="宋体" w:eastAsia="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color w:val="000000" w:themeColor="text1"/>
          <w:sz w:val="28"/>
          <w:szCs w:val="28"/>
          <w:lang w:val="en-US" w:eastAsia="zh-CN"/>
          <w14:textFill>
            <w14:solidFill>
              <w14:schemeClr w14:val="tx1"/>
            </w14:solidFill>
          </w14:textFill>
        </w:rPr>
        <w:t xml:space="preserve">项目名称：</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none"/>
          <w:lang w:val="en-US" w:eastAsia="zh-CN"/>
          <w14:textFill>
            <w14:solidFill>
              <w14:schemeClr w14:val="tx1"/>
            </w14:solidFill>
          </w14:textFill>
        </w:rPr>
        <w:t xml:space="preserve">，项目编号：</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lang w:eastAsia="zh-CN"/>
          <w14:textFill>
            <w14:solidFill>
              <w14:schemeClr w14:val="tx1"/>
            </w14:solidFill>
          </w14:textFill>
        </w:rPr>
        <w:t xml:space="preserve">）</w:t>
      </w:r>
      <w:r>
        <w:rPr>
          <w:rFonts w:hint="eastAsia" w:ascii="宋体" w:hAnsi="宋体" w:eastAsia="宋体" w:cs="宋体"/>
          <w:bCs/>
          <w:color w:val="000000" w:themeColor="text1"/>
          <w:sz w:val="28"/>
          <w:szCs w:val="28"/>
          <w14:textFill>
            <w14:solidFill>
              <w14:schemeClr w14:val="tx1"/>
            </w14:solidFill>
          </w14:textFill>
        </w:rPr>
        <w:t xml:space="preserve">活动前3年内，我单位在经营活动中没有因违法经营受到刑事处罚或者责令停产停业、吊销许可证或者执照、较大数额罚款等行政处罚。</w:t>
      </w:r>
      <w:r/>
    </w:p>
    <w:p>
      <w:pPr>
        <w:ind w:firstLine="480"/>
        <w:spacing w:line="460" w:lineRule="exact"/>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我单位对上述声明的真实性负责。如有虚假，将依法承担相应责任。</w:t>
      </w:r>
      <w:r/>
    </w:p>
    <w:p>
      <w:pPr>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pStyle w:val="897"/>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投标人：</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p>
    <w:p>
      <w:pPr>
        <w:ind w:firstLine="480"/>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keepLines w:val="0"/>
        <w:keepNext/>
        <w:pageBreakBefore/>
        <w:spacing w:after="0" w:line="400" w:lineRule="exact"/>
        <w:widowControl/>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附件7  </w:t>
      </w:r>
      <w:r>
        <w:rPr>
          <w:rFonts w:hint="eastAsia" w:ascii="宋体" w:hAnsi="宋体" w:eastAsia="宋体" w:cs="宋体"/>
          <w:b/>
          <w:color w:val="000000" w:themeColor="text1"/>
          <w:sz w:val="24"/>
          <w:szCs w:val="21"/>
          <w14:textFill>
            <w14:solidFill>
              <w14:schemeClr w14:val="tx1"/>
            </w14:solidFill>
          </w14:textFill>
        </w:rPr>
        <w:t xml:space="preserve">                       </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法人授权书</w:t>
      </w:r>
      <w:r/>
    </w:p>
    <w:p>
      <w:pPr>
        <w:ind w:firstLine="482"/>
        <w:keepLines w:val="0"/>
        <w:keepNext w:val="0"/>
        <w:pageBreakBefore w:val="0"/>
        <w:spacing w:line="6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本授权书声明：____________（投标人名称）授权________________（被授权人的姓名）为我方</w:t>
      </w:r>
      <w:r>
        <w:rPr>
          <w:rFonts w:hint="eastAsia" w:ascii="宋体" w:hAnsi="宋体" w:eastAsia="宋体" w:cs="宋体"/>
          <w:color w:val="auto"/>
          <w:sz w:val="24"/>
          <w:szCs w:val="24"/>
        </w:rPr>
        <w:t xml:space="preserve">就</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rPr>
        <w:t xml:space="preserve">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（项目名称）</w:t>
      </w:r>
      <w:r>
        <w:rPr>
          <w:rFonts w:hint="eastAsia" w:ascii="宋体" w:hAnsi="宋体" w:eastAsia="宋体" w:cs="宋体"/>
          <w:color w:val="000000" w:themeColor="text1"/>
          <w:sz w:val="24"/>
          <w:szCs w:val="24"/>
          <w14:textFill>
            <w14:solidFill>
              <w14:schemeClr w14:val="tx1"/>
            </w14:solidFill>
          </w14:textFill>
        </w:rPr>
        <w:t xml:space="preserve">项目采购活动的合法代理人，以本单位名义全权处理一切与该项目采购有关的事务。</w:t>
      </w:r>
      <w:r/>
    </w:p>
    <w:p>
      <w:pPr>
        <w:ind w:firstLine="480"/>
        <w:keepLines w:val="0"/>
        <w:keepNext w:val="0"/>
        <w:pageBreakBefore w:val="0"/>
        <w:spacing w:line="4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本授权书于______年____月____日起生效，特此声明。</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被授权人身份证号码：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被授权人联系电话：（手机）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被授权人电子邮箱：</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授权单位名称：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单位地址：</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4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w:t>
      </w:r>
      <w:bookmarkStart w:id="123" w:name="_Hlt26671380"/>
      <w:r/>
      <w:bookmarkEnd w:id="123"/>
      <w:r/>
      <w:bookmarkStart w:id="124" w:name="_格式3__银行出具的资信证明"/>
      <w:r/>
      <w:bookmarkEnd w:id="124"/>
      <w:r/>
      <w:bookmarkStart w:id="125" w:name="_Hlt26955070"/>
      <w:r/>
      <w:bookmarkEnd w:id="125"/>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t xml:space="preserve">被授权人身份证</w:t>
      </w:r>
      <w:r>
        <w:rPr>
          <w:rFonts w:hint="eastAsia" w:ascii="宋体" w:hAnsi="宋体" w:eastAsia="宋体" w:cs="宋体"/>
          <w:color w:val="000000" w:themeColor="text1"/>
          <w:sz w:val="24"/>
          <w:szCs w:val="24"/>
          <w:lang w:val="en-US" w:eastAsia="zh-CN"/>
          <w14:textFill>
            <w14:solidFill>
              <w14:schemeClr w14:val="tx1"/>
            </w14:solidFill>
          </w14:textFill>
        </w:rPr>
        <w:t xml:space="preserve">原件</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4"/>
      </w:tblGrid>
      <w:tr>
        <w:trPr>
          <w:jc w:val="center"/>
          <w:trHeight w:val="1657"/>
        </w:trPr>
        <w:tc>
          <w:tcPr>
            <w:tcW w:w="7354" w:type="dxa"/>
            <w:textDirection w:val="lrTb"/>
            <w:noWrap w:val="false"/>
          </w:tcPr>
          <w:p>
            <w:pPr>
              <w:keepLines w:val="0"/>
              <w:keepNext w:val="0"/>
              <w:pageBreakBefore w:val="0"/>
              <w:spacing w:after="200" w:line="440" w:lineRule="exact"/>
              <w:widowControl/>
              <w:tabs>
                <w:tab w:val="left" w:pos="0" w:leader="none"/>
              </w:tabs>
              <w:rPr>
                <w:rFonts w:hint="default"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正面</w:t>
            </w:r>
            <w:r/>
          </w:p>
        </w:tc>
      </w:tr>
      <w:tr>
        <w:trPr>
          <w:jc w:val="center"/>
          <w:trHeight w:val="1653"/>
        </w:trPr>
        <w:tc>
          <w:tcPr>
            <w:tcW w:w="7354" w:type="dxa"/>
            <w:textDirection w:val="lrTb"/>
            <w:noWrap w:val="false"/>
          </w:tcPr>
          <w:p>
            <w:pPr>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反面</w:t>
            </w:r>
            <w:r/>
          </w:p>
        </w:tc>
      </w:tr>
    </w:tbl>
    <w:p>
      <w:pPr>
        <w:keepLines w:val="0"/>
        <w:keepNext/>
        <w:pageBreakBefore/>
        <w:spacing w:after="0" w:line="440" w:lineRule="exact"/>
        <w:widowControl/>
        <w:tabs>
          <w:tab w:val="left" w:pos="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8</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投标函</w:t>
      </w:r>
      <w:r/>
    </w:p>
    <w:p>
      <w:pPr>
        <w:jc w:val="left"/>
        <w:keepLines w:val="0"/>
        <w:keepNext w:val="0"/>
        <w:pageBreakBefore w:val="0"/>
        <w:spacing w:after="100" w:line="440" w:lineRule="exact"/>
        <w:widowControl/>
        <w:rPr>
          <w:rFonts w:hint="eastAsia" w:ascii="宋体" w:hAnsi="宋体" w:eastAsia="宋体" w:cs="宋体"/>
          <w:b/>
          <w:bCs w:val="0"/>
          <w:color w:val="000000" w:themeColor="text1"/>
          <w:sz w:val="32"/>
          <w:szCs w:val="32"/>
          <w:lang w:eastAsia="zh-CN"/>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致：</w:t>
      </w:r>
      <w:r>
        <w:rPr>
          <w:rFonts w:hint="eastAsia" w:ascii="宋体" w:hAnsi="宋体" w:eastAsia="宋体" w:cs="宋体"/>
          <w:color w:val="000000" w:themeColor="text1"/>
          <w:sz w:val="24"/>
          <w:szCs w:val="21"/>
          <w:lang w:val="en-US" w:eastAsia="zh-CN"/>
          <w14:textFill>
            <w14:solidFill>
              <w14:schemeClr w14:val="tx1"/>
            </w14:solidFill>
          </w14:textFill>
        </w:rPr>
        <w:t xml:space="preserve">泰州中招投标代理有限公司</w:t>
      </w:r>
      <w:r/>
    </w:p>
    <w:p>
      <w:pPr>
        <w:ind w:firstLine="482"/>
        <w:jc w:val="left"/>
        <w:keepLines w:val="0"/>
        <w:keepNext w:val="0"/>
        <w:pageBreakBefore w:val="0"/>
        <w:spacing w:after="100" w:line="44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根据贵方的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rPr>
        <w:t xml:space="preserve">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（项目名称）</w:t>
      </w:r>
      <w:r>
        <w:rPr>
          <w:rFonts w:hint="eastAsia" w:ascii="宋体" w:hAnsi="宋体" w:eastAsia="宋体" w:cs="宋体"/>
          <w:color w:val="000000" w:themeColor="text1"/>
          <w:sz w:val="24"/>
          <w:szCs w:val="21"/>
          <w14:textFill>
            <w14:solidFill>
              <w14:schemeClr w14:val="tx1"/>
            </w14:solidFill>
          </w14:textFill>
        </w:rPr>
        <w:t xml:space="preserve">招标文件，正式授权下述签字人_____(姓名)代表我方_____________（投标人的名称），全权处理本次项目投标的有关事宜。</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据此函，__________签字人兹宣布同意如下：</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1.按招标文件规定的各项要求，向买方提供所需货物（包含与货物相关的服务）。</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2.我们完全理解贵方不一定将合同授予最低报价的投标人。</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4.我们同意从规定的开标日期起遵循本投标文件，并在规定的投标有效期期满之前均具有约束力。</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left="425"/>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7.与本投标有关的正式通讯地址为：</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地     址：</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邮     编：</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电     话：</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传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 真：</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投标人开户行：</w:t>
      </w:r>
      <w:r/>
    </w:p>
    <w:p>
      <w:pPr>
        <w:ind w:left="416"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账     号： </w:t>
      </w:r>
      <w:r/>
    </w:p>
    <w:p>
      <w:pPr>
        <w:pStyle w:val="1075"/>
        <w:ind w:right="565"/>
        <w:jc w:val="right"/>
        <w:keepLines w:val="0"/>
        <w:keepNext w:val="0"/>
        <w:pageBreakBefore w:val="0"/>
        <w:spacing w:after="100"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sz w:val="24"/>
          <w:szCs w:val="24"/>
          <w:lang w:val="en-US" w:eastAsia="zh-CN"/>
        </w:rPr>
        <w:t xml:space="preserve">企业名称：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加盖CA电子公章</w:t>
      </w:r>
      <w:r>
        <w:rPr>
          <w:rFonts w:hint="eastAsia" w:ascii="宋体" w:hAnsi="宋体" w:eastAsia="宋体" w:cs="宋体"/>
          <w:sz w:val="24"/>
          <w:szCs w:val="24"/>
          <w:lang w:val="en-US" w:eastAsia="zh-CN"/>
        </w:rPr>
        <w:t xml:space="preserve">） </w:t>
      </w:r>
      <w:r/>
    </w:p>
    <w:p>
      <w:pPr>
        <w:ind w:left="416" w:firstLine="21"/>
        <w:jc w:val="center"/>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日   期：________年____月____</w:t>
      </w:r>
      <w:r/>
    </w:p>
    <w:p>
      <w:pPr>
        <w:keepLines w:val="0"/>
        <w:keepNext/>
        <w:pageBreakBefore/>
        <w:spacing w:after="0" w:line="440" w:lineRule="exact"/>
        <w:widowControl/>
        <w:tabs>
          <w:tab w:val="left" w:pos="0" w:leader="none"/>
        </w:tabs>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9</w:t>
      </w:r>
      <w:r/>
    </w:p>
    <w:p>
      <w:pPr>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中小微企业声明函（服务类项目）</w:t>
      </w:r>
      <w:r/>
    </w:p>
    <w:p>
      <w:pPr>
        <w:pStyle w:val="1074"/>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本公司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联合体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郑重声明，根据《政府采购促进中小企业发展管理办法》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财库﹝2020﹞46号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本公司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联合体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参加</w:t>
      </w:r>
      <w:r>
        <w:rPr>
          <w:rFonts w:hint="eastAsia" w:ascii="宋体" w:hAnsi="宋体" w:eastAsia="宋体" w:cs="宋体"/>
          <w:sz w:val="24"/>
          <w:szCs w:val="24"/>
          <w:u w:val="single"/>
          <w:lang w:val="en-US" w:eastAsia="zh-CN"/>
        </w:rPr>
        <w:t xml:space="preserve">兴化市人民法院</w:t>
      </w:r>
      <w:r>
        <w:rPr>
          <w:rFonts w:hint="eastAsia" w:ascii="宋体" w:hAnsi="宋体" w:eastAsia="宋体" w:cs="宋体"/>
          <w:sz w:val="24"/>
          <w:szCs w:val="24"/>
          <w:lang w:val="en-US" w:eastAsia="zh-CN"/>
        </w:rPr>
        <w:t xml:space="preserve">单位的</w:t>
      </w:r>
      <w:r>
        <w:rPr>
          <w:rFonts w:hint="eastAsia" w:ascii="宋体" w:hAnsi="宋体" w:eastAsia="宋体" w:cs="宋体"/>
          <w:sz w:val="24"/>
          <w:szCs w:val="24"/>
          <w:u w:val="single"/>
          <w:lang w:val="en-US" w:eastAsia="zh-CN"/>
        </w:rPr>
        <w:t xml:space="preserve">司法辅助事务服务项目</w:t>
      </w:r>
      <w:r>
        <w:rPr>
          <w:rFonts w:hint="eastAsia" w:ascii="宋体" w:hAnsi="宋体" w:eastAsia="宋体" w:cs="宋体"/>
          <w:b w:val="0"/>
          <w:bCs w:val="0"/>
          <w:color w:val="auto"/>
          <w:sz w:val="24"/>
          <w:szCs w:val="24"/>
          <w:u w:val="single"/>
          <w:lang w:eastAsia="zh-CN"/>
        </w:rPr>
        <w:t xml:space="preserve">（采购编号：</w:t>
      </w:r>
      <w:r>
        <w:rPr>
          <w:rFonts w:hint="eastAsia" w:ascii="宋体" w:hAnsi="宋体" w:eastAsia="宋体" w:cs="宋体"/>
          <w:b w:val="0"/>
          <w:bCs w:val="0"/>
          <w:color w:val="auto"/>
          <w:sz w:val="24"/>
          <w:szCs w:val="24"/>
          <w:u w:val="single"/>
          <w:lang w:val="en-US" w:eastAsia="zh-CN"/>
        </w:rPr>
        <w:t xml:space="preserve">JSZC-321281-TZTC-G2026-0007</w:t>
      </w:r>
      <w:r>
        <w:rPr>
          <w:rFonts w:hint="eastAsia" w:ascii="宋体" w:hAnsi="宋体" w:eastAsia="宋体" w:cs="宋体"/>
          <w:b w:val="0"/>
          <w:bCs w:val="0"/>
          <w:color w:val="auto"/>
          <w:sz w:val="24"/>
          <w:szCs w:val="24"/>
          <w:u w:val="single"/>
          <w:lang w:eastAsia="zh-CN"/>
        </w:rPr>
        <w:t xml:space="preserve">）</w:t>
      </w:r>
      <w:r>
        <w:rPr>
          <w:rFonts w:hint="eastAsia" w:ascii="宋体" w:hAnsi="宋体" w:eastAsia="宋体" w:cs="宋体"/>
          <w:sz w:val="24"/>
          <w:szCs w:val="24"/>
        </w:rPr>
        <w:t xml:space="preserve">采购活动，服务全部由符合政策要求的中小企业承接</w:t>
      </w:r>
      <w:r>
        <w:rPr>
          <w:rFonts w:hint="eastAsia" w:ascii="宋体" w:hAnsi="宋体" w:eastAsia="宋体" w:cs="宋体"/>
          <w:sz w:val="24"/>
          <w:szCs w:val="24"/>
          <w:lang w:eastAsia="zh-CN"/>
        </w:rPr>
        <w:t xml:space="preserve">。相关企业（含联合体中的中小企业、签订分包意向协议的中小企业）的具体情况如下：</w:t>
      </w:r>
      <w:r/>
    </w:p>
    <w:p>
      <w:pPr>
        <w:numPr>
          <w:ilvl w:val="0"/>
          <w:numId w:val="0"/>
        </w:numPr>
        <w:ind w:firstLine="480"/>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u w:val="single"/>
          <w:lang w:val="en-US" w:eastAsia="zh-CN"/>
        </w:rPr>
        <w:t xml:space="preserve">兴化市人民法院司法辅助事务服务项目</w:t>
      </w:r>
      <w:r>
        <w:rPr>
          <w:rFonts w:hint="eastAsia" w:ascii="宋体" w:hAnsi="宋体" w:eastAsia="宋体" w:cs="宋体"/>
          <w:sz w:val="24"/>
          <w:szCs w:val="24"/>
        </w:rPr>
        <w:t xml:space="preserve">，属于</w:t>
      </w:r>
      <w:r>
        <w:rPr>
          <w:rFonts w:hint="eastAsia" w:ascii="宋体" w:hAnsi="宋体" w:eastAsia="宋体" w:cs="宋体"/>
          <w:b/>
          <w:bCs/>
          <w:sz w:val="24"/>
          <w:szCs w:val="24"/>
          <w:u w:val="single"/>
          <w:lang w:val="en-US" w:eastAsia="zh-CN"/>
        </w:rPr>
        <w:t xml:space="preserve">租赁和商务服务业</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w:t>
      </w:r>
      <w:r>
        <w:rPr>
          <w:rFonts w:hint="eastAsia" w:ascii="宋体" w:hAnsi="宋体" w:eastAsia="宋体" w:cs="宋体"/>
          <w:color w:val="000000"/>
          <w:sz w:val="24"/>
          <w:szCs w:val="24"/>
          <w:u w:val="single"/>
        </w:rPr>
        <w:t xml:space="preserve">□</w:t>
      </w:r>
      <w:r>
        <w:rPr>
          <w:rFonts w:hint="eastAsia" w:ascii="宋体" w:hAnsi="宋体" w:eastAsia="宋体" w:cs="宋体"/>
          <w:b/>
          <w:sz w:val="24"/>
          <w:szCs w:val="24"/>
          <w:u w:val="single"/>
        </w:rPr>
        <w:t xml:space="preserve">中型企业、</w:t>
      </w:r>
      <w:r>
        <w:rPr>
          <w:rFonts w:hint="eastAsia" w:ascii="宋体" w:hAnsi="宋体" w:eastAsia="宋体" w:cs="宋体"/>
          <w:sz w:val="24"/>
          <w:szCs w:val="24"/>
          <w:u w:val="single"/>
        </w:rPr>
        <w:t xml:space="preserve">□</w:t>
      </w:r>
      <w:r>
        <w:rPr>
          <w:rFonts w:hint="eastAsia" w:ascii="宋体" w:hAnsi="宋体" w:eastAsia="宋体" w:cs="宋体"/>
          <w:b/>
          <w:sz w:val="24"/>
          <w:szCs w:val="24"/>
          <w:u w:val="single"/>
        </w:rPr>
        <w:t xml:space="preserve">小型企业、</w:t>
      </w:r>
      <w:r>
        <w:rPr>
          <w:rFonts w:hint="eastAsia" w:ascii="宋体" w:hAnsi="宋体" w:eastAsia="宋体" w:cs="宋体"/>
          <w:sz w:val="24"/>
          <w:szCs w:val="24"/>
          <w:u w:val="single"/>
          <w:lang w:eastAsia="zh-CN"/>
        </w:rPr>
        <w:t xml:space="preserve">□</w:t>
      </w:r>
      <w:r>
        <w:rPr>
          <w:rFonts w:hint="eastAsia" w:ascii="宋体" w:hAnsi="宋体" w:eastAsia="宋体" w:cs="宋体"/>
          <w:b/>
          <w:sz w:val="24"/>
          <w:szCs w:val="24"/>
          <w:u w:val="single"/>
        </w:rPr>
        <w:t xml:space="preserve">微型企业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pStyle w:val="1074"/>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p>
    <w:p>
      <w:pPr>
        <w:pStyle w:val="1074"/>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1074"/>
        <w:ind w:firstLine="480"/>
        <w:keepLines w:val="0"/>
        <w:keepNext w:val="0"/>
        <w:pageBreakBefore w:val="0"/>
        <w:spacing w:after="0"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1075"/>
        <w:ind w:right="565"/>
        <w:jc w:val="center"/>
        <w:keepLines w:val="0"/>
        <w:keepNext w:val="0"/>
        <w:pageBreakBefore w:val="0"/>
        <w:spacing w:after="10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p>
    <w:p>
      <w:pPr>
        <w:pStyle w:val="1075"/>
        <w:ind w:right="565"/>
        <w:jc w:val="center"/>
        <w:keepLines w:val="0"/>
        <w:keepNext w:val="0"/>
        <w:pageBreakBefore w:val="0"/>
        <w:spacing w:after="100"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企业名称：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加盖CA电子公章</w:t>
      </w:r>
      <w:r>
        <w:rPr>
          <w:rFonts w:hint="eastAsia" w:ascii="宋体" w:hAnsi="宋体" w:eastAsia="宋体" w:cs="宋体"/>
          <w:sz w:val="24"/>
          <w:szCs w:val="24"/>
          <w:lang w:val="en-US" w:eastAsia="zh-CN"/>
        </w:rPr>
        <w:t xml:space="preserve">） </w:t>
      </w:r>
      <w:r/>
    </w:p>
    <w:p>
      <w:pPr>
        <w:pStyle w:val="1075"/>
        <w:ind w:right="565" w:firstLine="2880"/>
        <w:jc w:val="both"/>
        <w:keepLines w:val="0"/>
        <w:keepNext w:val="0"/>
        <w:pageBreakBefore w:val="0"/>
        <w:spacing w:after="100" w:line="360" w:lineRule="auto"/>
        <w:rPr>
          <w:rFonts w:hint="eastAsia" w:ascii="宋体" w:hAnsi="宋体" w:eastAsia="宋体" w:cs="宋体"/>
          <w:b/>
          <w:bCs/>
          <w:sz w:val="21"/>
          <w:szCs w:val="21"/>
          <w:lang w:eastAsia="zh-CN"/>
        </w:rPr>
      </w:pP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期：</w:t>
      </w:r>
      <w:r/>
    </w:p>
    <w:p>
      <w:pPr>
        <w:jc w:val="both"/>
        <w:keepLines w:val="0"/>
        <w:keepNext w:val="0"/>
        <w:pageBreakBefore w:val="0"/>
        <w:spacing w:after="0" w:line="360" w:lineRule="exact"/>
        <w:widowControl/>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 xml:space="preserve">备注：</w:t>
      </w:r>
      <w:r/>
    </w:p>
    <w:p>
      <w:pPr>
        <w:jc w:val="both"/>
        <w:keepLines w:val="0"/>
        <w:keepNext w:val="0"/>
        <w:pageBreakBefore w:val="0"/>
        <w:spacing w:after="0" w:line="360" w:lineRule="exact"/>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 xml:space="preserve">1.从业人员、营业收入、资产总额填报上一年度数据，无上一年度数据的新成立企业可不填报。</w:t>
      </w:r>
      <w:r/>
    </w:p>
    <w:p>
      <w:pPr>
        <w:jc w:val="both"/>
        <w:keepLines w:val="0"/>
        <w:keepNext w:val="0"/>
        <w:pageBreakBefore w:val="0"/>
        <w:spacing w:after="0" w:line="360" w:lineRule="exact"/>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jc w:val="both"/>
        <w:keepLines w:val="0"/>
        <w:keepNext w:val="0"/>
        <w:pageBreakBefore w:val="0"/>
        <w:spacing w:after="0" w:line="360" w:lineRule="exact"/>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jc w:val="both"/>
        <w:keepLines w:val="0"/>
        <w:keepNext w:val="0"/>
        <w:pageBreakBefore w:val="0"/>
        <w:spacing w:after="0" w:line="360" w:lineRule="exact"/>
        <w:widowControl/>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val="0"/>
          <w:bCs/>
          <w:color w:val="000000" w:themeColor="text1"/>
          <w:sz w:val="24"/>
          <w:szCs w:val="24"/>
          <w:lang w:eastAsia="zh-CN"/>
          <w14:textFill>
            <w14:solidFill>
              <w14:schemeClr w14:val="tx1"/>
            </w14:solidFill>
          </w14:textFill>
        </w:rPr>
        <w:t xml:space="preserve">中标、成交供应商为小型、微型企业的，采购人或者其委托的采购代理机构有权随中标、成交结果同时公告其《中小企业声明函》，接受社会监督。</w:t>
      </w:r>
      <w:r/>
    </w:p>
    <w:p>
      <w:pPr>
        <w:jc w:val="both"/>
        <w:keepLines w:val="0"/>
        <w:keepNext w:val="0"/>
        <w:pageBreakBefore w:val="0"/>
        <w:spacing w:after="0" w:line="360" w:lineRule="exact"/>
        <w:widowControl/>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5.</w:t>
      </w:r>
      <w:r>
        <w:rPr>
          <w:rFonts w:hint="eastAsia" w:ascii="宋体" w:hAnsi="宋体"/>
          <w:color w:val="000000"/>
          <w:sz w:val="24"/>
          <w:szCs w:val="24"/>
        </w:rPr>
        <w:t xml:space="preserve">供应商</w:t>
      </w:r>
      <w:r>
        <w:rPr>
          <w:rFonts w:ascii="宋体" w:hAnsi="宋体"/>
          <w:color w:val="000000"/>
          <w:sz w:val="24"/>
          <w:szCs w:val="24"/>
        </w:rPr>
        <w:t xml:space="preserve">自行勾选企业</w:t>
      </w:r>
      <w:r>
        <w:rPr>
          <w:rFonts w:hint="eastAsia" w:ascii="宋体" w:hAnsi="宋体"/>
          <w:color w:val="000000"/>
          <w:sz w:val="24"/>
          <w:szCs w:val="24"/>
        </w:rPr>
        <w:t xml:space="preserve">规模类型</w:t>
      </w:r>
      <w:r>
        <w:rPr>
          <w:rFonts w:ascii="宋体" w:hAnsi="宋体"/>
          <w:color w:val="000000"/>
          <w:sz w:val="24"/>
          <w:szCs w:val="24"/>
        </w:rPr>
        <w:t xml:space="preserve">。</w:t>
      </w:r>
      <w:r/>
    </w:p>
    <w:p>
      <w:pPr>
        <w:keepLines w:val="0"/>
        <w:keepNext/>
        <w:pageBreakBefore/>
        <w:spacing w:after="0" w:line="440" w:lineRule="exact"/>
        <w:widowControl/>
        <w:tabs>
          <w:tab w:val="left" w:pos="0" w:leader="none"/>
        </w:tabs>
        <w:rPr>
          <w:rFonts w:hint="default" w:ascii="宋体" w:hAnsi="宋体" w:eastAsia="宋体" w:cs="宋体"/>
          <w:color w:val="000000" w:themeColor="text1"/>
          <w:sz w:val="24"/>
          <w:szCs w:val="21"/>
          <w:lang w:val="en-US"/>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10</w:t>
      </w:r>
      <w:r/>
    </w:p>
    <w:p>
      <w:pPr>
        <w:ind w:firstLine="723"/>
        <w:jc w:val="center"/>
        <w:keepLines w:val="0"/>
        <w:keepNext/>
        <w:pageBreakBefore w:val="0"/>
        <w:spacing w:line="440" w:lineRule="exact"/>
        <w:widowControl w:val="off"/>
        <w:rPr>
          <w:rFonts w:hint="eastAsia" w:ascii="宋体" w:hAnsi="宋体" w:eastAsia="宋体" w:cs="宋体"/>
          <w:b/>
          <w:color w:val="000000" w:themeColor="text1"/>
          <w:sz w:val="36"/>
          <w:szCs w:val="36"/>
          <w:lang w:eastAsia="zh-CN"/>
          <w14:textFill>
            <w14:solidFill>
              <w14:schemeClr w14:val="tx1"/>
            </w14:solidFill>
          </w14:textFill>
        </w:rPr>
      </w:pPr>
      <w:r>
        <w:rPr>
          <w:rFonts w:hint="eastAsia" w:ascii="宋体" w:hAnsi="宋体" w:eastAsia="宋体" w:cs="宋体"/>
          <w:b/>
          <w:color w:val="000000" w:themeColor="text1"/>
          <w:sz w:val="36"/>
          <w:szCs w:val="36"/>
          <w:lang w:eastAsia="zh-CN"/>
          <w14:textFill>
            <w14:solidFill>
              <w14:schemeClr w14:val="tx1"/>
            </w14:solidFill>
          </w14:textFill>
        </w:rPr>
        <w:t xml:space="preserve">残疾人福利性单位声明函</w:t>
      </w:r>
      <w:r/>
    </w:p>
    <w:p>
      <w:pPr>
        <w:ind w:firstLine="482"/>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u w:val="single"/>
          <w:lang w:val="en-US" w:eastAsia="zh-CN"/>
        </w:rPr>
        <w:t xml:space="preserve">兴化市人民法院</w:t>
      </w:r>
      <w:r>
        <w:rPr>
          <w:rFonts w:hint="eastAsia" w:ascii="宋体" w:hAnsi="宋体" w:eastAsia="宋体" w:cs="宋体"/>
          <w:color w:val="000000" w:themeColor="text1"/>
          <w:sz w:val="24"/>
          <w:szCs w:val="24"/>
          <w14:textFill>
            <w14:solidFill>
              <w14:schemeClr w14:val="tx1"/>
            </w14:solidFill>
          </w14:textFill>
        </w:rPr>
        <w:t xml:space="preserve">单位的采购文件编号为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JSZC-321281-TZTC-G2026-0007</w:t>
      </w:r>
      <w:r>
        <w:rPr>
          <w:rFonts w:hint="eastAsia" w:ascii="宋体" w:hAnsi="宋体" w:eastAsia="宋体" w:cs="宋体"/>
          <w:color w:val="000000" w:themeColor="text1"/>
          <w:sz w:val="24"/>
          <w:szCs w:val="24"/>
          <w14:textFill>
            <w14:solidFill>
              <w14:schemeClr w14:val="tx1"/>
            </w14:solidFill>
          </w14:textFill>
        </w:rPr>
        <w:t xml:space="preserve">的</w:t>
      </w:r>
      <w:r>
        <w:rPr>
          <w:rFonts w:hint="eastAsia" w:ascii="宋体" w:hAnsi="宋体" w:eastAsia="宋体" w:cs="宋体"/>
          <w:sz w:val="24"/>
          <w:szCs w:val="24"/>
          <w:u w:val="single"/>
          <w:lang w:val="en-US" w:eastAsia="zh-CN"/>
        </w:rPr>
        <w:t xml:space="preserve">司法辅助事务服务</w:t>
      </w:r>
      <w:r>
        <w:rPr>
          <w:rFonts w:hint="eastAsia" w:ascii="宋体" w:hAnsi="宋体" w:eastAsia="宋体" w:cs="宋体"/>
          <w:color w:val="000000" w:themeColor="text1"/>
          <w:sz w:val="24"/>
          <w:szCs w:val="24"/>
          <w14:textFill>
            <w14:solidFill>
              <w14:schemeClr w14:val="tx1"/>
            </w14:solidFill>
          </w14:textFill>
        </w:rPr>
        <w:t xml:space="preserve">项目（采购包号：</w:t>
      </w:r>
      <w:r>
        <w:rPr>
          <w:rFonts w:hint="eastAsia" w:ascii="宋体" w:hAnsi="宋体" w:eastAsia="宋体" w:cs="宋体"/>
          <w:color w:val="000000" w:themeColor="text1"/>
          <w:sz w:val="24"/>
          <w:szCs w:val="24"/>
          <w:lang w:val="en-US" w:eastAsia="zh-CN"/>
          <w14:textFill>
            <w14:solidFill>
              <w14:schemeClr w14:val="tx1"/>
            </w14:solidFill>
          </w14:textFill>
        </w:rPr>
        <w:t xml:space="preserve">01</w:t>
      </w:r>
      <w:r>
        <w:rPr>
          <w:rFonts w:hint="eastAsia" w:ascii="宋体" w:hAnsi="宋体" w:eastAsia="宋体" w:cs="宋体"/>
          <w:color w:val="000000" w:themeColor="text1"/>
          <w:sz w:val="24"/>
          <w:szCs w:val="24"/>
          <w14:textFill>
            <w14:solidFill>
              <w14:schemeClr w14:val="tx1"/>
            </w14:solidFill>
          </w14:textFill>
        </w:rPr>
        <w:t xml:space="preserve">）采购活动</w:t>
      </w:r>
      <w:r>
        <w:rPr>
          <w:rFonts w:hint="eastAsia" w:ascii="宋体" w:hAnsi="宋体" w:eastAsia="宋体" w:cs="宋体"/>
          <w:color w:val="000000" w:themeColor="text1"/>
          <w:sz w:val="24"/>
          <w:szCs w:val="24"/>
          <w:lang w:val="en-US" w:eastAsia="zh-CN"/>
          <w14:textFill>
            <w14:solidFill>
              <w14:schemeClr w14:val="tx1"/>
            </w14:solidFill>
          </w14:textFill>
        </w:rPr>
        <w:t xml:space="preserve">由</w:t>
      </w:r>
      <w:r>
        <w:rPr>
          <w:rFonts w:hint="eastAsia" w:ascii="宋体" w:hAnsi="宋体" w:eastAsia="宋体" w:cs="宋体"/>
          <w:color w:val="000000" w:themeColor="text1"/>
          <w:sz w:val="24"/>
          <w:szCs w:val="24"/>
          <w14:textFill>
            <w14:solidFill>
              <w14:schemeClr w14:val="tx1"/>
            </w14:solidFill>
          </w14:textFill>
        </w:rPr>
        <w:t xml:space="preserve">本单位提供服务。</w:t>
      </w:r>
      <w:r/>
    </w:p>
    <w:p>
      <w:pPr>
        <w:ind w:firstLine="482"/>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非专门面向中小微型企业采购的项目，供应商如不提供此声明函，价格将不做相应扣除。</w:t>
      </w:r>
      <w:r/>
    </w:p>
    <w:p>
      <w:pPr>
        <w:ind w:firstLine="4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3.中标/成交供应商为残疾人福利性单位的，此声明函将随中标/成交结果同时公告，接受社会监督。</w:t>
      </w:r>
      <w:r/>
    </w:p>
    <w:p>
      <w:pPr>
        <w:ind w:firstLine="624"/>
        <w:spacing w:line="588"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ind w:right="1559" w:firstLine="624"/>
        <w:jc w:val="center"/>
        <w:spacing w:line="400" w:lineRule="exact"/>
        <w:tabs>
          <w:tab w:val="left" w:pos="48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全称（加盖CA电子公章）：</w:t>
      </w:r>
      <w:r/>
    </w:p>
    <w:p>
      <w:pPr>
        <w:ind w:right="1559" w:firstLine="480"/>
        <w:jc w:val="center"/>
        <w:spacing w:line="400" w:lineRule="exact"/>
        <w:tabs>
          <w:tab w:val="left" w:pos="48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  期：</w:t>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keepLines w:val="0"/>
        <w:keepNext/>
        <w:pageBreakBefore/>
        <w:spacing w:after="0" w:line="440" w:lineRule="exact"/>
        <w:widowControl/>
        <w:tabs>
          <w:tab w:val="left" w:pos="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附件11</w:t>
      </w:r>
      <w:r/>
    </w:p>
    <w:p>
      <w:pPr>
        <w:jc w:val="center"/>
        <w:keepLines w:val="0"/>
        <w:spacing w:line="400" w:lineRule="exact"/>
        <w:widowControl/>
        <w:rPr>
          <w:rFonts w:hint="eastAsia" w:ascii="宋体" w:hAnsi="宋体" w:eastAsia="宋体" w:cs="宋体"/>
          <w:b/>
          <w:bCs w:val="0"/>
          <w:color w:val="000000" w:themeColor="text1"/>
          <w:sz w:val="36"/>
          <w:szCs w:val="36"/>
          <w:lang w:eastAsia="zh-CN"/>
          <w14:textFill>
            <w14:solidFill>
              <w14:schemeClr w14:val="tx1"/>
            </w14:solidFill>
          </w14:textFill>
        </w:rPr>
      </w:pPr>
      <w:r>
        <w:rPr>
          <w:rFonts w:hint="eastAsia" w:ascii="宋体" w:hAnsi="宋体" w:eastAsia="宋体" w:cs="宋体"/>
          <w:b/>
          <w:bCs w:val="0"/>
          <w:color w:val="000000" w:themeColor="text1"/>
          <w:sz w:val="36"/>
          <w:szCs w:val="36"/>
          <w:lang w:eastAsia="zh-CN"/>
          <w14:textFill>
            <w14:solidFill>
              <w14:schemeClr w14:val="tx1"/>
            </w14:solidFill>
          </w14:textFill>
        </w:rPr>
        <w:t xml:space="preserve">联合体协议（参考格式）</w:t>
      </w:r>
      <w:r/>
    </w:p>
    <w:p>
      <w:pPr>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（联合体中各供应商全称）在此达成以下协议：</w:t>
      </w:r>
      <w:r/>
    </w:p>
    <w:p>
      <w:pPr>
        <w:ind w:firstLine="646"/>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1、我们</w:t>
      </w:r>
      <w:r>
        <w:rPr>
          <w:rFonts w:hint="eastAsia" w:ascii="宋体" w:hAnsi="宋体" w:eastAsia="宋体" w:cs="宋体"/>
          <w:color w:val="000000" w:themeColor="text1"/>
          <w:sz w:val="24"/>
          <w:szCs w:val="24"/>
          <w:u w:val="single"/>
          <w14:textFill>
            <w14:solidFill>
              <w14:schemeClr w14:val="tx1"/>
            </w14:solidFill>
          </w14:textFill>
        </w:rPr>
        <w:t xml:space="preserve"> （供应商1），（供应商2） ，……</w:t>
      </w:r>
      <w:r>
        <w:rPr>
          <w:rFonts w:hint="eastAsia" w:ascii="宋体" w:hAnsi="宋体" w:eastAsia="宋体" w:cs="宋体"/>
          <w:color w:val="000000" w:themeColor="text1"/>
          <w:sz w:val="24"/>
          <w:szCs w:val="24"/>
          <w14:textFill>
            <w14:solidFill>
              <w14:schemeClr w14:val="tx1"/>
            </w14:solidFill>
          </w14:textFill>
        </w:rPr>
        <w:t xml:space="preserve">自愿组成联合体，参加江苏省政府采购中心组织的采购编号为</w:t>
      </w:r>
      <w:r>
        <w:rPr>
          <w:rFonts w:hint="eastAsia" w:ascii="宋体" w:hAnsi="宋体" w:eastAsia="宋体" w:cs="宋体"/>
          <w:color w:val="000000" w:themeColor="text1"/>
          <w:sz w:val="24"/>
          <w:szCs w:val="24"/>
          <w:u w:val="single"/>
          <w14:textFill>
            <w14:solidFill>
              <w14:schemeClr w14:val="tx1"/>
            </w14:solidFill>
          </w14:textFill>
        </w:rPr>
        <w:t xml:space="preserve">（编号全称），（项目全称）</w:t>
      </w:r>
      <w:r>
        <w:rPr>
          <w:rFonts w:hint="eastAsia" w:ascii="宋体" w:hAnsi="宋体" w:eastAsia="宋体" w:cs="宋体"/>
          <w:color w:val="000000" w:themeColor="text1"/>
          <w:sz w:val="24"/>
          <w:szCs w:val="24"/>
          <w14:textFill>
            <w14:solidFill>
              <w14:schemeClr w14:val="tx1"/>
            </w14:solidFill>
          </w14:textFill>
        </w:rPr>
        <w:t xml:space="preserve">项目（采购包号：**）的政府采购活动，我联合体指定</w:t>
      </w:r>
      <w:r>
        <w:rPr>
          <w:rFonts w:hint="eastAsia" w:ascii="宋体" w:hAnsi="宋体" w:eastAsia="宋体" w:cs="宋体"/>
          <w:color w:val="000000" w:themeColor="text1"/>
          <w:sz w:val="24"/>
          <w:szCs w:val="24"/>
          <w:u w:val="single"/>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为牵头单位（牵头单位必须为联合体成员）。</w:t>
      </w:r>
      <w:r/>
    </w:p>
    <w:p>
      <w:pPr>
        <w:ind w:firstLine="646"/>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6"/>
        <w:keepLines w:val="0"/>
        <w:keepNext w:val="0"/>
        <w:pageBreakBefore w:val="0"/>
        <w:spacing w:line="44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3、其中</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（小型、微型企业/残疾人福利性单位/监狱企业全称）为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（小型、微型企业/残疾人福利性单位/监狱企业）企业，且我们约定该公司/单位所承担的合同金额将占本项目合同总金额的</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645"/>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r>
      <w:r/>
    </w:p>
    <w:p>
      <w:pPr>
        <w:ind w:firstLine="645"/>
        <w:spacing w:line="56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                                          </w:t>
      </w:r>
      <w:r/>
    </w:p>
    <w:p>
      <w:pPr>
        <w:ind w:firstLine="646"/>
        <w:jc w:val="right"/>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联合体中各供应商全称（公章）：     </w:t>
      </w:r>
      <w:r/>
    </w:p>
    <w:p>
      <w:pPr>
        <w:ind w:firstLine="646"/>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                                    日期：</w:t>
      </w:r>
      <w:r/>
    </w:p>
    <w:p>
      <w:pPr>
        <w:ind w:firstLine="645"/>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r>
      <w:r/>
    </w:p>
    <w:p>
      <w:pPr>
        <w:ind w:firstLine="645"/>
        <w:spacing w:line="4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备注：本招标文件中要求加盖CA电子签章的地方，仅需加盖牵头单位的CA电子签章。</w:t>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keepLines w:val="0"/>
        <w:keepNext/>
        <w:pageBreakBefore/>
        <w:spacing w:after="0" w:line="440" w:lineRule="exact"/>
        <w:widowControl/>
        <w:tabs>
          <w:tab w:val="left" w:pos="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附件1</w:t>
      </w:r>
      <w:r>
        <w:rPr>
          <w:rFonts w:hint="eastAsia" w:ascii="宋体" w:hAnsi="宋体" w:eastAsia="宋体" w:cs="宋体"/>
          <w:b/>
          <w:color w:val="000000" w:themeColor="text1"/>
          <w:sz w:val="32"/>
          <w:szCs w:val="32"/>
          <w:lang w:val="en-US" w:eastAsia="zh-CN"/>
          <w14:textFill>
            <w14:solidFill>
              <w14:schemeClr w14:val="tx1"/>
            </w14:solidFill>
          </w14:textFill>
        </w:rPr>
        <w:t xml:space="preserve">2</w:t>
      </w:r>
      <w:r/>
    </w:p>
    <w:p>
      <w:pPr>
        <w:jc w:val="center"/>
        <w:keepLines w:val="0"/>
        <w:spacing w:line="400" w:lineRule="exact"/>
        <w:widowControl/>
        <w:rPr>
          <w:rFonts w:hint="eastAsia" w:ascii="宋体" w:hAnsi="宋体" w:eastAsia="宋体" w:cs="宋体"/>
          <w:b/>
          <w:bCs w:val="0"/>
          <w:color w:val="000000" w:themeColor="text1"/>
          <w:sz w:val="36"/>
          <w:szCs w:val="36"/>
          <w:lang w:eastAsia="zh-CN"/>
          <w14:textFill>
            <w14:solidFill>
              <w14:schemeClr w14:val="tx1"/>
            </w14:solidFill>
          </w14:textFill>
        </w:rPr>
      </w:pPr>
      <w:r>
        <w:rPr>
          <w:rFonts w:hint="eastAsia" w:ascii="宋体" w:hAnsi="宋体" w:eastAsia="宋体" w:cs="宋体"/>
          <w:b/>
          <w:bCs w:val="0"/>
          <w:color w:val="000000" w:themeColor="text1"/>
          <w:sz w:val="36"/>
          <w:szCs w:val="36"/>
          <w:lang w:val="en-US" w:eastAsia="zh-CN"/>
          <w14:textFill>
            <w14:solidFill>
              <w14:schemeClr w14:val="tx1"/>
            </w14:solidFill>
          </w14:textFill>
        </w:rPr>
        <w:t xml:space="preserve">投标人类似业绩一览表（如有）</w:t>
      </w:r>
      <w:r/>
    </w:p>
    <w:p>
      <w:pPr>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项目名称：</w:t>
      </w:r>
      <w:r/>
    </w:p>
    <w:p>
      <w:pPr>
        <w:jc w:val="left"/>
        <w:keepLines w:val="0"/>
        <w:keepNext w:val="0"/>
        <w:pageBreakBefore w:val="0"/>
        <w:spacing w:beforeAutospacing="0" w:afterAutospacing="0" w:line="360" w:lineRule="auto"/>
        <w:widowControl/>
        <w:rPr>
          <w:rFonts w:hint="eastAsia" w:ascii="宋体" w:hAnsi="宋体" w:eastAsia="宋体" w:cs="宋体"/>
          <w:sz w:val="24"/>
          <w:u w:val="single"/>
          <w:lang w:val="en-US"/>
        </w:rPr>
      </w:pPr>
      <w:r>
        <w:rPr>
          <w:rFonts w:hint="eastAsia" w:ascii="宋体" w:hAnsi="宋体" w:eastAsia="宋体" w:cs="宋体"/>
          <w:sz w:val="24"/>
        </w:rPr>
        <w:t xml:space="preserve">项目编号：</w:t>
      </w:r>
      <w:r/>
    </w:p>
    <w:p>
      <w:pPr>
        <w:pStyle w:val="873"/>
        <w:rPr>
          <w:rFonts w:hint="eastAsia" w:ascii="宋体" w:hAnsi="宋体" w:eastAsia="宋体" w:cs="宋体"/>
        </w:rPr>
      </w:pPr>
      <w:r>
        <w:rPr>
          <w:rFonts w:hint="eastAsia" w:ascii="宋体" w:hAnsi="宋体" w:eastAsia="宋体" w:cs="宋体"/>
        </w:rPr>
      </w:r>
      <w:r/>
    </w:p>
    <w:tbl>
      <w:tblPr>
        <w:tblStyle w:val="898"/>
        <w:tblW w:w="7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323"/>
        <w:gridCol w:w="1850"/>
        <w:gridCol w:w="1745"/>
        <w:gridCol w:w="1391"/>
        <w:gridCol w:w="887"/>
      </w:tblGrid>
      <w:tr>
        <w:trPr>
          <w:jc w:val="center"/>
          <w:trHeight w:val="697" w:hRule="exact"/>
        </w:trPr>
        <w:tc>
          <w:tcPr>
            <w:tcW w:w="802"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p>
        </w:tc>
        <w:tc>
          <w:tcPr>
            <w:tcW w:w="1323" w:type="dxa"/>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合同签订时间</w:t>
            </w:r>
            <w:r/>
          </w:p>
        </w:tc>
        <w:tc>
          <w:tcPr>
            <w:tcW w:w="1850"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项目名称</w:t>
            </w:r>
            <w:r/>
          </w:p>
        </w:tc>
        <w:tc>
          <w:tcPr>
            <w:tcW w:w="1745" w:type="dxa"/>
            <w:vAlign w:val="center"/>
            <w:textDirection w:val="lrTb"/>
            <w:noWrap w:val="false"/>
          </w:tcPr>
          <w:p>
            <w:pPr>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服务评价</w:t>
            </w:r>
            <w:r/>
          </w:p>
        </w:tc>
        <w:tc>
          <w:tcPr>
            <w:tcW w:w="1391"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甲方联系人及电话</w:t>
            </w:r>
            <w:r/>
          </w:p>
        </w:tc>
        <w:tc>
          <w:tcPr>
            <w:tcW w:w="887"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p>
        </w:tc>
      </w:tr>
      <w:tr>
        <w:trPr>
          <w:jc w:val="center"/>
          <w:trHeight w:val="717" w:hRule="exact"/>
        </w:trPr>
        <w:tc>
          <w:tcPr>
            <w:tcW w:w="80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132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5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4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8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717" w:hRule="exact"/>
        </w:trPr>
        <w:tc>
          <w:tcPr>
            <w:tcW w:w="80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32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5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4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8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717" w:hRule="exact"/>
        </w:trPr>
        <w:tc>
          <w:tcPr>
            <w:tcW w:w="80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32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5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4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8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717" w:hRule="exact"/>
        </w:trPr>
        <w:tc>
          <w:tcPr>
            <w:tcW w:w="80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323"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85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4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8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717" w:hRule="exact"/>
        </w:trPr>
        <w:tc>
          <w:tcPr>
            <w:tcW w:w="802"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c>
          <w:tcPr>
            <w:tcW w:w="1323"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85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74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391"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88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pStyle w:val="896"/>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注：1.此表仅提供了表格样式，各</w:t>
      </w:r>
      <w:r>
        <w:rPr>
          <w:rFonts w:hint="eastAsia" w:ascii="宋体" w:hAnsi="宋体" w:eastAsia="宋体" w:cs="宋体"/>
          <w:sz w:val="24"/>
          <w:lang w:eastAsia="zh-CN"/>
        </w:rPr>
        <w:t xml:space="preserve">投标人</w:t>
      </w:r>
      <w:r>
        <w:rPr>
          <w:rFonts w:hint="eastAsia" w:ascii="宋体" w:hAnsi="宋体" w:eastAsia="宋体" w:cs="宋体"/>
          <w:sz w:val="24"/>
        </w:rPr>
        <w:t xml:space="preserve">可参照上述格式自制表格，但应至少包含上述表格内条目。</w:t>
      </w:r>
      <w:r/>
    </w:p>
    <w:p>
      <w:pPr>
        <w:numPr>
          <w:ilvl w:val="0"/>
          <w:numId w:val="19"/>
        </w:num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投标人</w:t>
      </w:r>
      <w:r>
        <w:rPr>
          <w:rFonts w:hint="eastAsia" w:ascii="宋体" w:hAnsi="宋体" w:eastAsia="宋体" w:cs="宋体"/>
          <w:sz w:val="24"/>
        </w:rPr>
        <w:t xml:space="preserve">应如实填写</w:t>
      </w:r>
      <w:r>
        <w:rPr>
          <w:rFonts w:hint="eastAsia" w:ascii="宋体" w:hAnsi="宋体" w:eastAsia="宋体" w:cs="宋体"/>
          <w:sz w:val="24"/>
          <w:lang w:eastAsia="zh-CN"/>
        </w:rPr>
        <w:t xml:space="preserve">业绩信息</w:t>
      </w:r>
      <w:r>
        <w:rPr>
          <w:rFonts w:hint="eastAsia" w:ascii="宋体" w:hAnsi="宋体" w:eastAsia="宋体" w:cs="宋体"/>
          <w:sz w:val="24"/>
        </w:rPr>
        <w:t xml:space="preserve">，并附相关证明材料</w:t>
      </w:r>
      <w:r>
        <w:rPr>
          <w:rFonts w:hint="eastAsia" w:ascii="宋体" w:hAnsi="宋体" w:eastAsia="宋体" w:cs="宋体"/>
          <w:sz w:val="24"/>
          <w:lang w:val="en-US" w:eastAsia="zh-CN"/>
        </w:rPr>
        <w:t xml:space="preserve">原件扫描件</w:t>
      </w:r>
      <w:r>
        <w:rPr>
          <w:rFonts w:hint="eastAsia" w:ascii="宋体" w:hAnsi="宋体" w:eastAsia="宋体" w:cs="宋体"/>
          <w:sz w:val="24"/>
        </w:rPr>
        <w:t xml:space="preserve">。</w:t>
      </w:r>
      <w:r/>
    </w:p>
    <w:p>
      <w:pPr>
        <w:numPr>
          <w:ilvl w:val="0"/>
          <w:numId w:val="19"/>
        </w:num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后附业绩请按上面序号排放。</w:t>
      </w:r>
      <w:r/>
    </w:p>
    <w:p>
      <w:pPr>
        <w:pStyle w:val="897"/>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97"/>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300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全称（加盖CA电子公章）：</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                </w:t>
      </w:r>
      <w:r/>
    </w:p>
    <w:p>
      <w:pPr>
        <w:ind w:firstLine="3120"/>
        <w:spacing w:line="360" w:lineRule="auto"/>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sz w:val="24"/>
        </w:rPr>
        <w:t xml:space="preserve">日期：   年  月  日</w:t>
      </w:r>
      <w:r/>
    </w:p>
    <w:p>
      <w:pPr>
        <w:jc w:val="both"/>
        <w:keepLines w:val="0"/>
        <w:keepNext w:val="0"/>
        <w:pageBreakBefore w:val="0"/>
        <w:spacing w:line="400" w:lineRule="exact"/>
        <w:widowControl/>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b/>
          <w:color w:val="000000" w:themeColor="text1"/>
          <w:sz w:val="24"/>
          <w:szCs w:val="21"/>
          <w:lang w:eastAsia="zh-CN"/>
          <w14:textFill>
            <w14:solidFill>
              <w14:schemeClr w14:val="tx1"/>
            </w14:solidFill>
          </w14:textFill>
        </w:rPr>
      </w:r>
      <w:r/>
    </w:p>
    <w:p>
      <w:pPr>
        <w:jc w:val="center"/>
        <w:keepLines w:val="0"/>
        <w:keepNext/>
        <w:pageBreakBefore/>
        <w:spacing w:after="40" w:line="360" w:lineRule="auto"/>
        <w:widowControl/>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质疑函范本</w:t>
      </w:r>
      <w:r/>
    </w:p>
    <w:p>
      <w:pPr>
        <w:keepLines w:val="0"/>
        <w:keepNext w:val="0"/>
        <w:pageBreakBefore w:val="0"/>
        <w:spacing w:after="0" w:line="58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keepLines w:val="0"/>
        <w:keepNext w:val="0"/>
        <w:pageBreakBefore w:val="0"/>
        <w:spacing w:after="0" w:line="58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keepLines w:val="0"/>
        <w:keepNext w:val="0"/>
        <w:pageBreakBefore w:val="0"/>
        <w:spacing w:after="0"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w:t>
      </w:r>
      <w:r/>
    </w:p>
    <w:p>
      <w:pPr>
        <w:keepLines w:val="0"/>
        <w:keepNext w:val="0"/>
        <w:pageBreakBefore w:val="0"/>
        <w:spacing w:after="0" w:line="50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keepLines w:val="0"/>
        <w:keepNext w:val="0"/>
        <w:pageBreakBefore w:val="0"/>
        <w:spacing w:after="0" w:line="500" w:lineRule="exact"/>
        <w:widowControl/>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日期：    </w:t>
      </w:r>
      <w:r/>
    </w:p>
    <w:p>
      <w:pPr>
        <w:rPr>
          <w:rFonts w:hint="eastAsia" w:ascii="仿宋" w:hAnsi="仿宋" w:eastAsia="仿宋" w:cs="仿宋"/>
          <w:b/>
          <w:sz w:val="24"/>
          <w:szCs w:val="24"/>
        </w:rPr>
      </w:pPr>
      <w:r>
        <w:rPr>
          <w:rFonts w:hint="eastAsia" w:ascii="仿宋" w:hAnsi="仿宋" w:eastAsia="仿宋" w:cs="仿宋"/>
          <w:b/>
          <w:sz w:val="24"/>
          <w:szCs w:val="24"/>
        </w:rPr>
      </w:r>
      <w:r/>
    </w:p>
    <w:p>
      <w:pPr>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widowControl/>
        <w:rPr>
          <w:rFonts w:hint="eastAsia" w:ascii="仿宋" w:hAnsi="仿宋" w:eastAsia="仿宋" w:cs="仿宋"/>
          <w:sz w:val="24"/>
          <w:szCs w:val="24"/>
        </w:rPr>
      </w:pPr>
      <w:r>
        <w:rPr>
          <w:rFonts w:hint="eastAsia" w:ascii="仿宋" w:hAnsi="仿宋" w:eastAsia="仿宋" w:cs="仿宋"/>
          <w:sz w:val="24"/>
          <w:szCs w:val="24"/>
        </w:rPr>
        <w:t xml:space="preserve">7.按该表格填写，一式两份，并将该函和相关证据盖公章在规定的时间内分别送达采购人和采购代理机构。</w:t>
      </w:r>
      <w:r/>
    </w:p>
    <w:p>
      <w:pPr>
        <w:pStyle w:val="868"/>
        <w:rPr>
          <w:rFonts w:hint="eastAsia"/>
        </w:rPr>
      </w:pPr>
      <w:r>
        <w:rPr>
          <w:rFonts w:hint="eastAsia"/>
        </w:rPr>
      </w:r>
      <w:r/>
    </w:p>
    <w:p>
      <w:pPr>
        <w:keepLines w:val="0"/>
        <w:keepNext w:val="0"/>
        <w:pageBreakBefore w:val="0"/>
        <w:spacing w:after="0" w:line="440" w:lineRule="exact"/>
        <w:widowControl/>
        <w:tabs>
          <w:tab w:val="left" w:pos="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keepLines w:val="0"/>
        <w:keepNext w:val="0"/>
        <w:pageBreakBefore w:val="0"/>
        <w:spacing w:after="0" w:line="440" w:lineRule="exact"/>
        <w:widowControl/>
        <w:tabs>
          <w:tab w:val="left" w:pos="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keepLines w:val="0"/>
        <w:keepNext w:val="0"/>
        <w:pageBreakBefore w:val="0"/>
        <w:spacing w:after="0" w:line="440" w:lineRule="exact"/>
        <w:widowControl/>
        <w:tabs>
          <w:tab w:val="left" w:pos="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lang w:eastAsia="zh-CN"/>
          <w14:textFill>
            <w14:solidFill>
              <w14:schemeClr w14:val="tx1"/>
            </w14:solidFill>
          </w14:textFill>
        </w:rPr>
      </w:r>
      <w:r/>
    </w:p>
    <w:p>
      <w:pPr>
        <w:spacing w:line="300" w:lineRule="auto"/>
        <w:rPr>
          <w:rFonts w:hint="eastAsia" w:ascii="黑体" w:eastAsia="黑体"/>
          <w:color w:val="auto"/>
          <w:sz w:val="36"/>
          <w:lang w:eastAsia="zh-CN"/>
        </w:rPr>
      </w:pPr>
      <w:r>
        <w:rPr>
          <w:rFonts w:hint="eastAsia" w:ascii="黑体" w:eastAsia="黑体"/>
          <w:color w:val="auto"/>
          <w:sz w:val="36"/>
          <w:lang w:eastAsia="zh-CN"/>
        </w:rPr>
      </w:r>
      <w:r/>
    </w:p>
    <w:sectPr>
      <w:footerReference w:type="default" r:id="rId15"/>
      <w:footnotePr/>
      <w:endnotePr/>
      <w:type w:val="nextPage"/>
      <w:pgSz w:w="11906" w:h="16838" w:orient="portrait"/>
      <w:pgMar w:top="1440" w:right="1526"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楷体">
    <w:panose1 w:val="02010609060101010101"/>
  </w:font>
  <w:font w:name="方正仿宋_GB2312">
    <w:panose1 w:val="020B0503020202020204"/>
  </w:font>
  <w:font w:name="Cambria">
    <w:panose1 w:val="02040503050406030204"/>
  </w:font>
  <w:font w:name="Symbol">
    <w:panose1 w:val="05050102010706020507"/>
  </w:font>
  <w:font w:name="文鼎小标宋">
    <w:panose1 w:val="020B0503020202020204"/>
  </w:font>
  <w:font w:name="Courier New">
    <w:panose1 w:val="02070309020205020404"/>
  </w:font>
  <w:font w:name="等线">
    <w:panose1 w:val="02010600030101010101"/>
  </w:font>
  <w:font w:name="仿宋">
    <w:panose1 w:val="02010609060101010101"/>
  </w:font>
  <w:font w:name="Calibri">
    <w:panose1 w:val="020F0502020204030204"/>
  </w:font>
  <w:font w:name="微软雅黑">
    <w:panose1 w:val="020B0503020204020204"/>
  </w:font>
  <w:font w:name="楷体_GB2312">
    <w:panose1 w:val="02010609060101010101"/>
  </w:font>
  <w:font w:name="Wingdings">
    <w:panose1 w:val="05000000000000000000"/>
  </w:font>
  <w:font w:name="Century Schoolbook">
    <w:panose1 w:val="02040604050505020304"/>
  </w:font>
  <w:font w:name="华文楷体">
    <w:panose1 w:val="02010600040101010101"/>
  </w:font>
  <w:font w:name="方正黑体简体">
    <w:panose1 w:val="020B050302020202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Bdr>
        <w:top w:val="single" w:color="auto" w:sz="4"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right="0"/>
      <w:jc w:val="both"/>
      <w:keepLines w:val="0"/>
      <w:keepNext w:val="0"/>
      <w:pageBreakBefore w:val="0"/>
      <w:spacing w:after="0"/>
      <w:widowControl/>
      <w:tabs>
        <w:tab w:val="clear" w:pos="4153" w:leader="none"/>
        <w:tab w:val="center" w:pos="4290" w:leader="none"/>
        <w:tab w:val="clear" w:pos="8306" w:leader="none"/>
        <w:tab w:val="right" w:pos="8580" w:leader="none"/>
      </w:tabs>
      <w:pBdr>
        <w:top w:val="single" w:color="auto" w:sz="4"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5048250</wp:posOffset>
              </wp:positionH>
              <wp:positionV relativeFrom="paragraph">
                <wp:posOffset>0</wp:posOffset>
              </wp:positionV>
              <wp:extent cx="40005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4000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jc w:val="center"/>
                          </w:pPr>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argin-left:397.5pt;mso-position-horizontal:absolute;mso-position-vertical-relative:text;margin-top:0.0pt;mso-position-vertical:absolute;width:31.5pt;height:144.0pt;mso-wrap-distance-left:9.0pt;mso-wrap-distance-top:0.0pt;mso-wrap-distance-right:9.0pt;mso-wrap-distance-bottom:0.0pt;v-text-anchor:top;visibility:visible;" filled="f" stroked="f" strokeweight="0.50pt">
              <v:textbox inset="0,0,0,0">
                <w:txbxContent>
                  <w:p>
                    <w:pPr>
                      <w:pStyle w:val="882"/>
                      <w:jc w:val="center"/>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right="0"/>
      <w:jc w:val="both"/>
      <w:keepLines w:val="0"/>
      <w:keepNext w:val="0"/>
      <w:pageBreakBefore w:val="0"/>
      <w:spacing w:after="0"/>
      <w:widowControl/>
      <w:tabs>
        <w:tab w:val="clear" w:pos="4153" w:leader="none"/>
        <w:tab w:val="center" w:pos="4290" w:leader="none"/>
        <w:tab w:val="clear" w:pos="8306" w:leader="none"/>
        <w:tab w:val="right" w:pos="8580" w:leader="none"/>
      </w:tabs>
      <w:pBdr>
        <w:top w:val="single" w:color="auto" w:sz="4"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begin"/>
                          </w:r>
                          <w:r>
                            <w:instrText xml:space="preserve">NUMPAGES \* MERGEFORMAT</w:instrText>
                          </w:r>
                          <w:r>
                            <w:fldChar w:fldCharType="separate"/>
                          </w:r>
                          <w:r>
                            <w:instrText xml:space="preserve">51</w:instrText>
                          </w:r>
                          <w:r>
                            <w:fldChar w:fldCharType="end"/>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begin"/>
                    </w:r>
                    <w:r>
                      <w:instrText xml:space="preserve">NUMPAGES \* MERGEFORMAT</w:instrText>
                    </w:r>
                    <w:r>
                      <w:fldChar w:fldCharType="separate"/>
                    </w:r>
                    <w:r>
                      <w:instrText xml:space="preserve">51</w:instrText>
                    </w:r>
                    <w:r>
                      <w:fldChar w:fldCharType="end"/>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5048250</wp:posOffset>
              </wp:positionH>
              <wp:positionV relativeFrom="paragraph">
                <wp:posOffset>0</wp:posOffset>
              </wp:positionV>
              <wp:extent cx="40005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4000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jc w:val="center"/>
                          </w:pPr>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argin-left:397.5pt;mso-position-horizontal:absolute;mso-position-vertical-relative:text;margin-top:0.0pt;mso-position-vertical:absolute;width:31.5pt;height:144.0pt;mso-wrap-distance-left:9.0pt;mso-wrap-distance-top:0.0pt;mso-wrap-distance-right:9.0pt;mso-wrap-distance-bottom:0.0pt;v-text-anchor:top;visibility:visible;" filled="f" stroked="f" strokeweight="0.50pt">
              <v:textbox inset="0,0,0,0">
                <w:txbxContent>
                  <w:p>
                    <w:pPr>
                      <w:pStyle w:val="882"/>
                      <w:jc w:val="cente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left"/>
      <w:tabs>
        <w:tab w:val="clear" w:pos="8306" w:leader="none"/>
        <w:tab w:val="right" w:pos="8580" w:leader="none"/>
      </w:tabs>
      <w:rPr>
        <w:rFonts w:hint="default" w:eastAsiaTheme="minorEastAsia"/>
        <w:sz w:val="24"/>
        <w:szCs w:val="24"/>
        <w:lang w:val="en-US" w:eastAsia="zh-CN"/>
      </w:rPr>
      <w:pBdr>
        <w:bottom w:val="single" w:color="auto" w:sz="4" w:space="1"/>
      </w:pBdr>
    </w:pPr>
    <w:r>
      <w:rPr>
        <w:rFonts w:hint="eastAsia" w:ascii="宋体" w:hAnsi="宋体" w:eastAsia="宋体" w:cs="宋体"/>
        <w:sz w:val="24"/>
        <w:szCs w:val="24"/>
        <w:lang w:val="en-US" w:eastAsia="zh-CN"/>
      </w:rPr>
      <w:t xml:space="preserve">JSZC-321281-TZTC-G2026-0007  </w:t>
    </w:r>
    <w:r>
      <w:rPr>
        <w:rFonts w:hint="eastAsia" w:ascii="宋体" w:hAnsi="宋体" w:eastAsia="宋体" w:cs="宋体"/>
        <w:sz w:val="24"/>
        <w:szCs w:val="24"/>
        <w:lang w:val="en-US" w:eastAsia="zh-CN" w:bidi="ar"/>
      </w:rPr>
      <w:t xml:space="preserve">      </w:t>
    </w: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04165" cy="331470"/>
              <wp:effectExtent l="0" t="0" r="635" b="11430"/>
              <wp:docPr id="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9pt;height:26.1pt;mso-wrap-distance-left:0.0pt;mso-wrap-distance-top:0.0pt;mso-wrap-distance-right:0.0pt;mso-wrap-distance-bottom:0.0pt;" stroked="f" strokeweight="0.75pt">
              <v:path textboxrect="0,0,0,0"/>
              <v:imagedata r:id="rId1" o:title=""/>
            </v:shape>
          </w:pict>
        </mc:Fallback>
      </mc:AlternateContent>
    </w:r>
    <w:r>
      <w:rPr>
        <w:rFonts w:hint="eastAsia" w:ascii="宋体" w:hAnsi="宋体" w:eastAsia="宋体" w:cs="宋体"/>
        <w:sz w:val="24"/>
        <w:szCs w:val="24"/>
        <w:lang w:val="en-US" w:eastAsia="zh-CN" w:bidi="ar"/>
      </w:rPr>
      <w:t xml:space="preserve">                       </w:t>
    </w:r>
    <w:r>
      <w:rPr>
        <w:rFonts w:hint="eastAsia" w:ascii="仿宋" w:hAnsi="仿宋" w:eastAsia="仿宋" w:cs="仿宋"/>
        <w:sz w:val="24"/>
        <w:szCs w:val="24"/>
        <w:lang w:val="en-US" w:eastAsia="zh-CN" w:bidi="ar"/>
      </w:rPr>
      <w:t xml:space="preserve">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keepLines w:val="0"/>
      <w:keepNext w:val="0"/>
      <w:pageBreakBefore w:val="0"/>
      <w:spacing w:after="0"/>
      <w:widowControl/>
      <w:tabs>
        <w:tab w:val="clear" w:pos="8306" w:leader="none"/>
        <w:tab w:val="right" w:pos="8580" w:leader="none"/>
      </w:tabs>
      <w:rPr>
        <w:rFonts w:hint="default" w:eastAsiaTheme="minorEastAsia"/>
        <w:sz w:val="24"/>
        <w:szCs w:val="24"/>
        <w:lang w:val="en-US" w:eastAsia="zh-CN"/>
      </w:rPr>
      <w:pBdr>
        <w:bottom w:val="single" w:color="auto" w:sz="4" w:space="1"/>
      </w:pBdr>
    </w:pPr>
    <w:r>
      <w:rPr>
        <w:rFonts w:hint="default" w:eastAsiaTheme="minorEastAsia"/>
        <w:sz w:val="24"/>
        <w:szCs w:val="24"/>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Fonts w:hint="default" w:eastAsiaTheme="minorEastAsia"/>
        <w:lang w:val="en-US" w:eastAsia="zh-CN"/>
      </w:rPr>
    </w:pPr>
    <w:r>
      <w:rPr>
        <w:rFonts w:hint="default" w:eastAsiaTheme="minorEastAsia"/>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tab"/>
      <w:lvlText w:val="%1、"/>
      <w:lvlJc w:val="left"/>
      <w:pPr>
        <w:ind w:left="432" w:hanging="432"/>
      </w:pPr>
      <w:rPr>
        <w:rFonts w:hint="eastAsia" w:ascii="宋体" w:hAnsi="宋体" w:eastAsia="宋体" w:cs="宋体"/>
      </w:rPr>
    </w:lvl>
    <w:lvl w:ilvl="1">
      <w:start w:val="1"/>
      <w:numFmt w:val="none"/>
      <w:isLgl/>
      <w:suff w:val="tab"/>
      <w:lvlText w:val="%2."/>
      <w:lvlJc w:val="left"/>
      <w:pPr>
        <w:ind w:left="575" w:hanging="575"/>
      </w:pPr>
      <w:rPr>
        <w:rFonts w:hint="eastAsia" w:ascii="宋体" w:hAnsi="宋体" w:eastAsia="宋体" w:cs="宋体"/>
      </w:rPr>
    </w:lvl>
    <w:lvl w:ilvl="2">
      <w:start w:val="1"/>
      <w:numFmt w:val="decimal"/>
      <w:pStyle w:val="858"/>
      <w:isLgl/>
      <w:suff w:val="tab"/>
      <w:lvlText w:val="%2.%3."/>
      <w:lvlJc w:val="left"/>
      <w:pPr>
        <w:ind w:left="720" w:hanging="720"/>
      </w:pPr>
      <w:rPr>
        <w:rFonts w:hint="eastAsia" w:ascii="宋体" w:hAnsi="宋体" w:eastAsia="宋体" w:cs="宋体"/>
      </w:rPr>
    </w:lvl>
    <w:lvl w:ilvl="3">
      <w:start w:val="1"/>
      <w:numFmt w:val="decimal"/>
      <w:isLgl/>
      <w:suff w:val="tab"/>
      <w:lvlText w:val="%2.%3.%4."/>
      <w:lvlJc w:val="left"/>
      <w:pPr>
        <w:ind w:left="864" w:hanging="864"/>
      </w:pPr>
      <w:rPr>
        <w:rFonts w:hint="eastAsia" w:ascii="宋体" w:hAnsi="宋体" w:eastAsia="宋体" w:cs="宋体"/>
      </w:rPr>
    </w:lvl>
    <w:lvl w:ilvl="4">
      <w:start w:val="1"/>
      <w:numFmt w:val="decimal"/>
      <w:isLgl/>
      <w:suff w:val="tab"/>
      <w:lvlText w:val="%2.%3.%4.%5."/>
      <w:lvlJc w:val="left"/>
      <w:pPr>
        <w:ind w:left="1008" w:hanging="1008"/>
      </w:pPr>
      <w:rPr>
        <w:rFonts w:hint="eastAsia" w:ascii="宋体" w:hAnsi="宋体" w:eastAsia="宋体" w:cs="宋体"/>
      </w:rPr>
    </w:lvl>
    <w:lvl w:ilvl="5">
      <w:start w:val="1"/>
      <w:numFmt w:val="decimal"/>
      <w:isLgl w:val="false"/>
      <w:suff w:val="tab"/>
      <w:lvlText w:val="%1.%2.%3.%4.%5.%6."/>
      <w:lvlJc w:val="left"/>
      <w:pPr>
        <w:ind w:left="1151" w:hanging="1151"/>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3" w:hanging="1583"/>
      </w:pPr>
      <w:rPr>
        <w:rFonts w:hint="eastAsia"/>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5"/>
  </w:num>
  <w:num w:numId="3">
    <w:abstractNumId w:val="9"/>
  </w:num>
  <w:num w:numId="4">
    <w:abstractNumId w:val="18"/>
  </w:num>
  <w:num w:numId="5">
    <w:abstractNumId w:val="17"/>
  </w:num>
  <w:num w:numId="6">
    <w:abstractNumId w:val="0"/>
  </w:num>
  <w:num w:numId="7">
    <w:abstractNumId w:val="11"/>
  </w:num>
  <w:num w:numId="8">
    <w:abstractNumId w:val="6"/>
  </w:num>
  <w:num w:numId="9">
    <w:abstractNumId w:val="4"/>
  </w:num>
  <w:num w:numId="10">
    <w:abstractNumId w:val="10"/>
  </w:num>
  <w:num w:numId="11">
    <w:abstractNumId w:val="1"/>
  </w:num>
  <w:num w:numId="12">
    <w:abstractNumId w:val="16"/>
  </w:num>
  <w:num w:numId="13">
    <w:abstractNumId w:val="7"/>
  </w:num>
  <w:num w:numId="14">
    <w:abstractNumId w:val="2"/>
  </w:num>
  <w:num w:numId="15">
    <w:abstractNumId w:val="13"/>
  </w:num>
  <w:num w:numId="16">
    <w:abstractNumId w:val="14"/>
  </w:num>
  <w:num w:numId="17">
    <w:abstractNumId w:val="5"/>
  </w:num>
  <w:num w:numId="18">
    <w:abstractNumId w:val="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default="1">
    <w:name w:val="Normal"/>
    <w:link w:val="1089"/>
    <w:uiPriority w:val="0"/>
    <w:qFormat/>
    <w:pPr>
      <w:spacing w:after="200" w:line="276" w:lineRule="auto"/>
    </w:pPr>
    <w:rPr>
      <w:rFonts w:hint="default" w:asciiTheme="minorHAnsi" w:hAnsiTheme="minorHAnsi" w:eastAsiaTheme="minorEastAsia" w:cstheme="minorBidi"/>
      <w:sz w:val="22"/>
      <w:szCs w:val="22"/>
      <w:lang w:eastAsia="en-US"/>
    </w:rPr>
  </w:style>
  <w:style w:type="paragraph" w:styleId="856">
    <w:name w:val="Heading 1"/>
    <w:basedOn w:val="855"/>
    <w:next w:val="855"/>
    <w:uiPriority w:val="0"/>
    <w:qFormat/>
    <w:pPr>
      <w:jc w:val="center"/>
      <w:keepLines/>
      <w:keepNext/>
      <w:pageBreakBefore/>
      <w:spacing w:before="400" w:beforeAutospacing="0" w:after="330" w:afterAutospacing="0" w:line="576" w:lineRule="auto"/>
      <w:outlineLvl w:val="0"/>
    </w:pPr>
    <w:rPr>
      <w:rFonts w:eastAsia="宋体" w:asciiTheme="minorAscii" w:hAnsiTheme="minorAscii"/>
      <w:b/>
      <w:sz w:val="36"/>
    </w:rPr>
  </w:style>
  <w:style w:type="paragraph" w:styleId="857">
    <w:name w:val="Heading 2"/>
    <w:basedOn w:val="855"/>
    <w:next w:val="855"/>
    <w:uiPriority w:val="99"/>
    <w:qFormat/>
    <w:pPr>
      <w:jc w:val="center"/>
      <w:keepLines/>
      <w:keepNext/>
      <w:spacing w:before="260" w:after="260" w:line="416" w:lineRule="auto"/>
      <w:outlineLvl w:val="1"/>
    </w:pPr>
    <w:rPr>
      <w:rFonts w:ascii="Arial" w:hAnsi="Arial" w:eastAsia="幼圆"/>
      <w:b/>
      <w:sz w:val="44"/>
      <w:szCs w:val="20"/>
    </w:rPr>
  </w:style>
  <w:style w:type="paragraph" w:styleId="858">
    <w:name w:val="Heading 3"/>
    <w:basedOn w:val="855"/>
    <w:next w:val="855"/>
    <w:uiPriority w:val="0"/>
    <w:unhideWhenUsed/>
    <w:qFormat/>
    <w:pPr>
      <w:numPr>
        <w:ilvl w:val="2"/>
        <w:numId w:val="1"/>
      </w:numPr>
      <w:ind w:left="720" w:hanging="720"/>
      <w:jc w:val="left"/>
      <w:spacing w:line="360" w:lineRule="auto"/>
      <w:tabs>
        <w:tab w:val="left" w:pos="420" w:leader="none"/>
      </w:tabs>
      <w:outlineLvl w:val="2"/>
    </w:pPr>
    <w:rPr>
      <w:rFonts w:hint="eastAsia" w:ascii="Times New Roman" w:hAnsi="Times New Roman" w:eastAsia="宋体"/>
      <w:b/>
      <w:bCs/>
      <w:sz w:val="24"/>
      <w:szCs w:val="27"/>
    </w:rPr>
  </w:style>
  <w:style w:type="paragraph" w:styleId="859">
    <w:name w:val="Heading 4"/>
    <w:basedOn w:val="855"/>
    <w:next w:val="855"/>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60">
    <w:name w:val="Heading 5"/>
    <w:basedOn w:val="855"/>
    <w:next w:val="855"/>
    <w:uiPriority w:val="0"/>
    <w:qFormat/>
    <w:pPr>
      <w:keepNext/>
      <w:outlineLvl w:val="4"/>
    </w:pPr>
    <w:rPr>
      <w:rFonts w:ascii="宋体" w:hAnsi="宋体"/>
      <w:b/>
      <w:bCs/>
    </w:rPr>
  </w:style>
  <w:style w:type="paragraph" w:styleId="861">
    <w:name w:val="Heading 6"/>
    <w:basedOn w:val="855"/>
    <w:next w:val="855"/>
    <w:link w:val="925"/>
    <w:uiPriority w:val="9"/>
    <w:unhideWhenUsed/>
    <w:qFormat/>
    <w:pPr>
      <w:keepLines/>
      <w:keepNext/>
      <w:spacing w:before="320" w:after="200"/>
      <w:outlineLvl w:val="5"/>
    </w:pPr>
    <w:rPr>
      <w:rFonts w:ascii="Arial" w:hAnsi="Arial" w:eastAsia="Arial" w:cs="Arial"/>
      <w:b/>
      <w:bCs/>
      <w:sz w:val="22"/>
      <w:szCs w:val="22"/>
    </w:rPr>
  </w:style>
  <w:style w:type="paragraph" w:styleId="862">
    <w:name w:val="Heading 7"/>
    <w:basedOn w:val="855"/>
    <w:next w:val="855"/>
    <w:link w:val="926"/>
    <w:uiPriority w:val="9"/>
    <w:unhideWhenUsed/>
    <w:qFormat/>
    <w:pPr>
      <w:keepLines/>
      <w:keepNext/>
      <w:spacing w:before="320" w:after="200"/>
      <w:outlineLvl w:val="6"/>
    </w:pPr>
    <w:rPr>
      <w:rFonts w:ascii="Arial" w:hAnsi="Arial" w:eastAsia="Arial" w:cs="Arial"/>
      <w:b/>
      <w:bCs/>
      <w:i/>
      <w:iCs/>
      <w:sz w:val="22"/>
      <w:szCs w:val="22"/>
    </w:rPr>
  </w:style>
  <w:style w:type="paragraph" w:styleId="863">
    <w:name w:val="Heading 8"/>
    <w:basedOn w:val="855"/>
    <w:next w:val="855"/>
    <w:link w:val="927"/>
    <w:uiPriority w:val="9"/>
    <w:unhideWhenUsed/>
    <w:qFormat/>
    <w:pPr>
      <w:keepLines/>
      <w:keepNext/>
      <w:spacing w:before="320" w:after="200"/>
      <w:outlineLvl w:val="7"/>
    </w:pPr>
    <w:rPr>
      <w:rFonts w:ascii="Arial" w:hAnsi="Arial" w:eastAsia="Arial" w:cs="Arial"/>
      <w:i/>
      <w:iCs/>
      <w:sz w:val="22"/>
      <w:szCs w:val="22"/>
    </w:rPr>
  </w:style>
  <w:style w:type="paragraph" w:styleId="864">
    <w:name w:val="Heading 9"/>
    <w:basedOn w:val="855"/>
    <w:next w:val="855"/>
    <w:link w:val="928"/>
    <w:uiPriority w:val="9"/>
    <w:unhideWhenUsed/>
    <w:qFormat/>
    <w:pPr>
      <w:keepLines/>
      <w:keepNext/>
      <w:spacing w:before="320" w:after="200"/>
      <w:outlineLvl w:val="8"/>
    </w:pPr>
    <w:rPr>
      <w:rFonts w:ascii="Arial" w:hAnsi="Arial" w:eastAsia="Arial" w:cs="Arial"/>
      <w:i/>
      <w:iCs/>
      <w:sz w:val="21"/>
      <w:szCs w:val="21"/>
    </w:rPr>
  </w:style>
  <w:style w:type="character" w:styleId="865" w:default="1">
    <w:name w:val="Default Paragraph Font"/>
    <w:uiPriority w:val="0"/>
    <w:semiHidden/>
    <w:qFormat/>
  </w:style>
  <w:style w:type="table" w:styleId="866" w:default="1">
    <w:name w:val="Normal Table"/>
    <w:uiPriority w:val="0"/>
    <w:semiHidden/>
    <w:qFormat/>
    <w:tblPr>
      <w:tblCellMar>
        <w:left w:w="108" w:type="dxa"/>
        <w:top w:w="0" w:type="dxa"/>
        <w:right w:w="108" w:type="dxa"/>
        <w:bottom w:w="0" w:type="dxa"/>
      </w:tblCellMar>
    </w:tblPr>
  </w:style>
  <w:style w:type="paragraph" w:styleId="867">
    <w:name w:val="toc 7"/>
    <w:basedOn w:val="855"/>
    <w:next w:val="855"/>
    <w:uiPriority w:val="39"/>
    <w:unhideWhenUsed/>
    <w:qFormat/>
    <w:pPr>
      <w:ind w:left="1701" w:right="0" w:firstLine="0"/>
      <w:spacing w:after="57"/>
    </w:pPr>
  </w:style>
  <w:style w:type="paragraph" w:styleId="868">
    <w:name w:val="Normal Indent"/>
    <w:basedOn w:val="855"/>
    <w:next w:val="855"/>
    <w:uiPriority w:val="0"/>
    <w:qFormat/>
    <w:pPr>
      <w:ind w:firstLine="420"/>
    </w:pPr>
    <w:rPr>
      <w:szCs w:val="20"/>
    </w:rPr>
  </w:style>
  <w:style w:type="paragraph" w:styleId="869">
    <w:name w:val="Caption"/>
    <w:basedOn w:val="855"/>
    <w:next w:val="85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70">
    <w:name w:val="index 5"/>
    <w:basedOn w:val="855"/>
    <w:next w:val="855"/>
    <w:uiPriority w:val="0"/>
    <w:qFormat/>
    <w:pPr>
      <w:ind w:left="798"/>
    </w:pPr>
    <w:rPr>
      <w:rFonts w:ascii="Calibri" w:hAnsi="Calibri"/>
    </w:rPr>
  </w:style>
  <w:style w:type="paragraph" w:styleId="871">
    <w:name w:val="Document Map"/>
    <w:basedOn w:val="855"/>
    <w:uiPriority w:val="0"/>
    <w:qFormat/>
    <w:pPr>
      <w:spacing w:line="360" w:lineRule="auto"/>
    </w:pPr>
    <w:rPr>
      <w:rFonts w:ascii="微软雅黑" w:hAnsi="微软雅黑"/>
      <w:sz w:val="18"/>
      <w:szCs w:val="18"/>
    </w:rPr>
  </w:style>
  <w:style w:type="paragraph" w:styleId="872">
    <w:name w:val="annotation text"/>
    <w:basedOn w:val="855"/>
    <w:uiPriority w:val="0"/>
    <w:qFormat/>
    <w:pPr>
      <w:jc w:val="left"/>
    </w:pPr>
  </w:style>
  <w:style w:type="paragraph" w:styleId="873">
    <w:name w:val="Body Text"/>
    <w:basedOn w:val="855"/>
    <w:uiPriority w:val="99"/>
    <w:unhideWhenUsed/>
    <w:qFormat/>
    <w:pPr>
      <w:spacing w:after="120"/>
    </w:pPr>
  </w:style>
  <w:style w:type="paragraph" w:styleId="874">
    <w:name w:val="Body Text Indent"/>
    <w:basedOn w:val="855"/>
    <w:uiPriority w:val="99"/>
    <w:semiHidden/>
    <w:unhideWhenUsed/>
    <w:qFormat/>
    <w:pPr>
      <w:ind w:left="420"/>
      <w:spacing w:after="120"/>
    </w:pPr>
  </w:style>
  <w:style w:type="paragraph" w:styleId="875">
    <w:name w:val="Block Text"/>
    <w:basedOn w:val="855"/>
    <w:next w:val="855"/>
    <w:uiPriority w:val="6"/>
    <w:qFormat/>
    <w:pPr>
      <w:ind w:left="256" w:right="6" w:firstLine="624"/>
    </w:pPr>
    <w:rPr>
      <w:rFonts w:ascii="Times New Roman" w:hAnsi="Times New Roman" w:eastAsia="仿宋" w:cs="Times New Roman"/>
      <w:sz w:val="28"/>
      <w:szCs w:val="20"/>
    </w:rPr>
  </w:style>
  <w:style w:type="paragraph" w:styleId="876">
    <w:name w:val="toc 5"/>
    <w:basedOn w:val="855"/>
    <w:next w:val="855"/>
    <w:uiPriority w:val="39"/>
    <w:unhideWhenUsed/>
    <w:qFormat/>
    <w:pPr>
      <w:ind w:left="1134" w:right="0" w:firstLine="0"/>
      <w:spacing w:after="57"/>
    </w:pPr>
  </w:style>
  <w:style w:type="paragraph" w:styleId="877">
    <w:name w:val="toc 3"/>
    <w:basedOn w:val="855"/>
    <w:next w:val="855"/>
    <w:uiPriority w:val="39"/>
    <w:unhideWhenUsed/>
    <w:qFormat/>
    <w:pPr>
      <w:ind w:left="567" w:right="0" w:firstLine="0"/>
      <w:spacing w:after="57"/>
    </w:pPr>
  </w:style>
  <w:style w:type="paragraph" w:styleId="878">
    <w:name w:val="Plain Text"/>
    <w:basedOn w:val="855"/>
    <w:next w:val="868"/>
    <w:uiPriority w:val="0"/>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879">
    <w:name w:val="toc 8"/>
    <w:basedOn w:val="855"/>
    <w:next w:val="855"/>
    <w:uiPriority w:val="39"/>
    <w:unhideWhenUsed/>
    <w:qFormat/>
    <w:pPr>
      <w:ind w:left="1984" w:right="0" w:firstLine="0"/>
      <w:spacing w:after="57"/>
    </w:pPr>
  </w:style>
  <w:style w:type="paragraph" w:styleId="880">
    <w:name w:val="Date"/>
    <w:basedOn w:val="855"/>
    <w:next w:val="855"/>
    <w:uiPriority w:val="0"/>
    <w:qFormat/>
    <w:pPr>
      <w:ind w:firstLine="652"/>
      <w:spacing w:line="319" w:lineRule="auto"/>
    </w:pPr>
    <w:rPr>
      <w:rFonts w:ascii="Century Schoolbook" w:hAnsi="Century Schoolbook" w:eastAsia="文鼎小标宋"/>
      <w:spacing w:val="-4"/>
      <w:sz w:val="23"/>
      <w:szCs w:val="20"/>
    </w:rPr>
  </w:style>
  <w:style w:type="paragraph" w:styleId="881">
    <w:name w:val="endnote text"/>
    <w:basedOn w:val="855"/>
    <w:link w:val="1065"/>
    <w:uiPriority w:val="99"/>
    <w:semiHidden/>
    <w:unhideWhenUsed/>
    <w:qFormat/>
    <w:pPr>
      <w:spacing w:after="0" w:line="240" w:lineRule="auto"/>
    </w:pPr>
    <w:rPr>
      <w:sz w:val="20"/>
    </w:rPr>
  </w:style>
  <w:style w:type="paragraph" w:styleId="882">
    <w:name w:val="Footer"/>
    <w:basedOn w:val="855"/>
    <w:uiPriority w:val="0"/>
    <w:qFormat/>
    <w:pPr>
      <w:jc w:val="left"/>
      <w:tabs>
        <w:tab w:val="center" w:pos="4153" w:leader="none"/>
        <w:tab w:val="right" w:pos="8306" w:leader="none"/>
      </w:tabs>
    </w:pPr>
    <w:rPr>
      <w:sz w:val="18"/>
    </w:rPr>
  </w:style>
  <w:style w:type="paragraph" w:styleId="883">
    <w:name w:val="envelope return"/>
    <w:basedOn w:val="855"/>
    <w:uiPriority w:val="99"/>
    <w:unhideWhenUsed/>
    <w:qFormat/>
    <w:rPr>
      <w:rFonts w:ascii="Arial" w:hAnsi="Arial"/>
    </w:rPr>
  </w:style>
  <w:style w:type="paragraph" w:styleId="884">
    <w:name w:val="Header"/>
    <w:basedOn w:val="85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85">
    <w:name w:val="toc 1"/>
    <w:basedOn w:val="855"/>
    <w:next w:val="855"/>
    <w:uiPriority w:val="0"/>
    <w:qFormat/>
  </w:style>
  <w:style w:type="paragraph" w:styleId="886">
    <w:name w:val="toc 4"/>
    <w:basedOn w:val="855"/>
    <w:next w:val="855"/>
    <w:uiPriority w:val="39"/>
    <w:unhideWhenUsed/>
    <w:qFormat/>
    <w:pPr>
      <w:ind w:left="850" w:right="0" w:firstLine="0"/>
      <w:spacing w:after="57"/>
    </w:pPr>
  </w:style>
  <w:style w:type="paragraph" w:styleId="887">
    <w:name w:val="Subtitle"/>
    <w:basedOn w:val="855"/>
    <w:next w:val="855"/>
    <w:link w:val="931"/>
    <w:uiPriority w:val="11"/>
    <w:qFormat/>
    <w:pPr>
      <w:spacing w:before="200" w:after="200"/>
    </w:pPr>
    <w:rPr>
      <w:sz w:val="24"/>
      <w:szCs w:val="24"/>
    </w:rPr>
  </w:style>
  <w:style w:type="paragraph" w:styleId="888">
    <w:name w:val="footnote text"/>
    <w:basedOn w:val="855"/>
    <w:next w:val="870"/>
    <w:uiPriority w:val="99"/>
    <w:unhideWhenUsed/>
    <w:qFormat/>
    <w:pPr>
      <w:spacing w:after="40" w:line="240" w:lineRule="auto"/>
    </w:pPr>
    <w:rPr>
      <w:sz w:val="18"/>
    </w:rPr>
  </w:style>
  <w:style w:type="paragraph" w:styleId="889">
    <w:name w:val="toc 6"/>
    <w:basedOn w:val="855"/>
    <w:next w:val="855"/>
    <w:uiPriority w:val="39"/>
    <w:unhideWhenUsed/>
    <w:qFormat/>
    <w:pPr>
      <w:ind w:left="1417" w:right="0" w:firstLine="0"/>
      <w:spacing w:after="57"/>
    </w:pPr>
  </w:style>
  <w:style w:type="paragraph" w:styleId="890">
    <w:name w:val="table of figures"/>
    <w:basedOn w:val="855"/>
    <w:next w:val="855"/>
    <w:uiPriority w:val="99"/>
    <w:unhideWhenUsed/>
    <w:qFormat/>
    <w:pPr>
      <w:spacing w:after="0" w:afterAutospacing="0"/>
    </w:pPr>
  </w:style>
  <w:style w:type="paragraph" w:styleId="891">
    <w:name w:val="toc 2"/>
    <w:basedOn w:val="855"/>
    <w:next w:val="855"/>
    <w:uiPriority w:val="39"/>
    <w:unhideWhenUsed/>
    <w:qFormat/>
    <w:pPr>
      <w:ind w:left="283" w:right="0" w:firstLine="0"/>
      <w:spacing w:after="57"/>
    </w:pPr>
  </w:style>
  <w:style w:type="paragraph" w:styleId="892">
    <w:name w:val="toc 9"/>
    <w:basedOn w:val="855"/>
    <w:next w:val="855"/>
    <w:uiPriority w:val="39"/>
    <w:unhideWhenUsed/>
    <w:qFormat/>
    <w:pPr>
      <w:ind w:left="2268" w:right="0" w:firstLine="0"/>
      <w:spacing w:after="57"/>
    </w:pPr>
  </w:style>
  <w:style w:type="paragraph" w:styleId="893">
    <w:name w:val="HTML Preformatted"/>
    <w:basedOn w:val="8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94">
    <w:name w:val="Normal (Web)"/>
    <w:basedOn w:val="855"/>
    <w:uiPriority w:val="0"/>
    <w:qFormat/>
    <w:pPr>
      <w:ind w:left="0" w:right="0"/>
      <w:jc w:val="left"/>
      <w:spacing w:before="0" w:beforeAutospacing="1" w:after="0" w:afterAutospacing="1"/>
    </w:pPr>
    <w:rPr>
      <w:sz w:val="24"/>
      <w:lang w:val="en-US" w:eastAsia="zh-CN" w:bidi="ar"/>
    </w:rPr>
  </w:style>
  <w:style w:type="paragraph" w:styleId="895">
    <w:name w:val="Title"/>
    <w:basedOn w:val="855"/>
    <w:next w:val="855"/>
    <w:link w:val="930"/>
    <w:uiPriority w:val="10"/>
    <w:qFormat/>
    <w:pPr>
      <w:contextualSpacing/>
      <w:spacing w:before="300" w:after="200"/>
    </w:pPr>
    <w:rPr>
      <w:sz w:val="48"/>
      <w:szCs w:val="48"/>
    </w:rPr>
  </w:style>
  <w:style w:type="paragraph" w:styleId="896">
    <w:name w:val="Body Text First Indent"/>
    <w:basedOn w:val="873"/>
    <w:next w:val="897"/>
    <w:uiPriority w:val="0"/>
    <w:qFormat/>
    <w:pPr>
      <w:ind w:firstLine="420"/>
    </w:pPr>
  </w:style>
  <w:style w:type="paragraph" w:styleId="897">
    <w:name w:val="Body Text First Indent 2"/>
    <w:basedOn w:val="874"/>
    <w:uiPriority w:val="0"/>
    <w:semiHidden/>
    <w:unhideWhenUsed/>
    <w:qFormat/>
    <w:pPr>
      <w:ind w:firstLine="420"/>
    </w:pPr>
    <w:rPr>
      <w:sz w:val="21"/>
      <w:szCs w:val="24"/>
    </w:rPr>
  </w:style>
  <w:style w:type="table" w:styleId="898">
    <w:name w:val="Table Grid"/>
    <w:basedOn w:val="86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9">
    <w:name w:val="endnote reference"/>
    <w:basedOn w:val="865"/>
    <w:uiPriority w:val="99"/>
    <w:semiHidden/>
    <w:unhideWhenUsed/>
    <w:qFormat/>
    <w:rPr>
      <w:vertAlign w:val="superscript"/>
    </w:rPr>
  </w:style>
  <w:style w:type="character" w:styleId="900">
    <w:name w:val="FollowedHyperlink"/>
    <w:basedOn w:val="865"/>
    <w:uiPriority w:val="0"/>
    <w:qFormat/>
    <w:rPr>
      <w:color w:val="333333"/>
      <w:u w:val="none"/>
    </w:rPr>
  </w:style>
  <w:style w:type="character" w:styleId="901">
    <w:name w:val="Emphasis"/>
    <w:uiPriority w:val="0"/>
    <w:qFormat/>
    <w:rPr>
      <w:i/>
    </w:rPr>
  </w:style>
  <w:style w:type="character" w:styleId="902">
    <w:name w:val="Hyperlink"/>
    <w:basedOn w:val="865"/>
    <w:uiPriority w:val="99"/>
    <w:unhideWhenUsed/>
    <w:qFormat/>
    <w:rPr>
      <w:color w:val="0026e5" w:themeColor="hyperlink"/>
      <w:u w:val="single"/>
      <w14:textFill>
        <w14:solidFill>
          <w14:schemeClr w14:val="hlink"/>
        </w14:solidFill>
      </w14:textFill>
    </w:rPr>
  </w:style>
  <w:style w:type="character" w:styleId="903">
    <w:name w:val="footnote reference"/>
    <w:basedOn w:val="865"/>
    <w:uiPriority w:val="99"/>
    <w:unhideWhenUsed/>
    <w:qFormat/>
    <w:rPr>
      <w:vertAlign w:val="superscript"/>
    </w:rPr>
  </w:style>
  <w:style w:type="paragraph" w:styleId="904" w:customStyle="1">
    <w:name w:val="一级条标题"/>
    <w:basedOn w:val="905"/>
    <w:next w:val="906"/>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5" w:customStyle="1">
    <w:name w:val="章标题"/>
    <w:next w:val="855"/>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06" w:customStyle="1">
    <w:name w:val="段"/>
    <w:basedOn w:val="907"/>
    <w:next w:val="855"/>
    <w:uiPriority w:val="99"/>
    <w:qFormat/>
    <w:pPr>
      <w:ind w:firstLine="200"/>
      <w:widowControl/>
    </w:pPr>
    <w:rPr>
      <w:rFonts w:ascii="宋体"/>
      <w:sz w:val="20"/>
      <w:szCs w:val="20"/>
    </w:rPr>
  </w:style>
  <w:style w:type="paragraph" w:styleId="907" w:customStyle="1">
    <w:name w:val="正文11"/>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文本块1"/>
    <w:basedOn w:val="909"/>
    <w:next w:val="910"/>
    <w:uiPriority w:val="0"/>
    <w:qFormat/>
    <w:pPr>
      <w:ind w:left="256" w:right="6" w:firstLine="624"/>
    </w:pPr>
    <w:rPr>
      <w:rFonts w:eastAsia="仿宋"/>
      <w:sz w:val="28"/>
      <w:szCs w:val="20"/>
    </w:rPr>
  </w:style>
  <w:style w:type="paragraph" w:styleId="909" w:customStyle="1">
    <w:name w:val="正文1111"/>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标题 41"/>
    <w:basedOn w:val="911"/>
    <w:next w:val="917"/>
    <w:uiPriority w:val="0"/>
    <w:qFormat/>
    <w:pPr>
      <w:keepLines/>
      <w:keepNext/>
      <w:spacing w:before="280" w:after="290" w:line="376" w:lineRule="auto"/>
      <w:outlineLvl w:val="3"/>
    </w:pPr>
    <w:rPr>
      <w:sz w:val="28"/>
      <w:szCs w:val="28"/>
    </w:rPr>
  </w:style>
  <w:style w:type="paragraph" w:styleId="911" w:customStyle="1">
    <w:name w:val="标题1"/>
    <w:basedOn w:val="912"/>
    <w:next w:val="913"/>
    <w:uiPriority w:val="0"/>
    <w:qFormat/>
    <w:pPr>
      <w:jc w:val="center"/>
      <w:spacing w:before="300" w:after="300"/>
      <w:outlineLvl w:val="0"/>
    </w:pPr>
    <w:rPr>
      <w:rFonts w:ascii="Cambria" w:hAnsi="Cambria" w:eastAsia="仿宋_GB2312"/>
      <w:b/>
      <w:bCs/>
      <w:sz w:val="36"/>
      <w:szCs w:val="32"/>
    </w:rPr>
  </w:style>
  <w:style w:type="paragraph" w:styleId="912" w:customStyle="1">
    <w:name w:val="正文111"/>
    <w:next w:val="8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customStyle="1">
    <w:name w:val="正文112"/>
    <w:next w:val="9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正文首行缩进1"/>
    <w:basedOn w:val="873"/>
    <w:next w:val="915"/>
    <w:uiPriority w:val="0"/>
    <w:qFormat/>
    <w:pPr>
      <w:ind w:firstLine="420"/>
    </w:pPr>
    <w:rPr>
      <w:rFonts w:ascii="仿宋_GB2312" w:hAnsi="Times New Roman" w:eastAsia="仿宋_GB2312"/>
      <w:sz w:val="30"/>
      <w:szCs w:val="30"/>
    </w:rPr>
  </w:style>
  <w:style w:type="paragraph" w:styleId="915" w:customStyle="1">
    <w:name w:val="正文首行缩进 211"/>
    <w:basedOn w:val="916"/>
    <w:next w:val="913"/>
    <w:uiPriority w:val="0"/>
    <w:qFormat/>
    <w:pPr>
      <w:ind w:firstLine="420"/>
    </w:pPr>
    <w:rPr>
      <w:sz w:val="24"/>
    </w:rPr>
  </w:style>
  <w:style w:type="paragraph" w:styleId="916" w:customStyle="1">
    <w:name w:val="正文文本缩进11"/>
    <w:basedOn w:val="907"/>
    <w:next w:val="913"/>
    <w:uiPriority w:val="0"/>
    <w:qFormat/>
    <w:pPr>
      <w:ind w:left="420"/>
      <w:spacing w:after="120"/>
    </w:pPr>
    <w:rPr>
      <w:rFonts w:ascii="Calibri" w:hAnsi="Calibri"/>
    </w:rPr>
  </w:style>
  <w:style w:type="paragraph" w:styleId="917" w:customStyle="1">
    <w:name w:val="正文缩进1"/>
    <w:basedOn w:val="855"/>
    <w:uiPriority w:val="0"/>
    <w:qFormat/>
    <w:pPr>
      <w:ind w:firstLine="420"/>
    </w:pPr>
  </w:style>
  <w:style w:type="paragraph" w:styleId="918" w:customStyle="1">
    <w:name w:val="正文1"/>
    <w:basedOn w:val="912"/>
    <w:next w:val="919"/>
    <w:uiPriority w:val="0"/>
    <w:qFormat/>
    <w:pPr>
      <w:jc w:val="both"/>
      <w:widowControl w:val="off"/>
    </w:pPr>
    <w:rPr>
      <w:rFonts w:ascii="Times New Roman" w:hAnsi="Times New Roman" w:eastAsia="宋体" w:cs="Times New Roman"/>
      <w:sz w:val="21"/>
      <w:szCs w:val="24"/>
      <w:lang w:val="en-US" w:eastAsia="zh-CN" w:bidi="ar-SA"/>
    </w:rPr>
  </w:style>
  <w:style w:type="paragraph" w:styleId="919" w:customStyle="1">
    <w:name w:val="正文文本1"/>
    <w:basedOn w:val="918"/>
    <w:next w:val="904"/>
    <w:uiPriority w:val="0"/>
    <w:qFormat/>
    <w:pPr>
      <w:spacing w:after="120"/>
    </w:pPr>
    <w:rPr>
      <w:rFonts w:ascii="Calibri" w:hAnsi="Calibri"/>
    </w:rPr>
  </w:style>
  <w:style w:type="character" w:styleId="920" w:customStyle="1">
    <w:name w:val="Heading 1 Char"/>
    <w:basedOn w:val="865"/>
    <w:uiPriority w:val="9"/>
    <w:qFormat/>
    <w:rPr>
      <w:rFonts w:ascii="Arial" w:hAnsi="Arial" w:eastAsia="Arial" w:cs="Arial"/>
      <w:sz w:val="40"/>
      <w:szCs w:val="40"/>
    </w:rPr>
  </w:style>
  <w:style w:type="character" w:styleId="921" w:customStyle="1">
    <w:name w:val="Heading 2 Char"/>
    <w:basedOn w:val="865"/>
    <w:uiPriority w:val="9"/>
    <w:qFormat/>
    <w:rPr>
      <w:rFonts w:ascii="Arial" w:hAnsi="Arial" w:eastAsia="Arial" w:cs="Arial"/>
      <w:sz w:val="34"/>
    </w:rPr>
  </w:style>
  <w:style w:type="character" w:styleId="922" w:customStyle="1">
    <w:name w:val="Heading 3 Char"/>
    <w:basedOn w:val="865"/>
    <w:uiPriority w:val="9"/>
    <w:qFormat/>
    <w:rPr>
      <w:rFonts w:ascii="Arial" w:hAnsi="Arial" w:eastAsia="Arial" w:cs="Arial"/>
      <w:sz w:val="30"/>
      <w:szCs w:val="30"/>
    </w:rPr>
  </w:style>
  <w:style w:type="character" w:styleId="923" w:customStyle="1">
    <w:name w:val="Heading 4 Char"/>
    <w:basedOn w:val="865"/>
    <w:uiPriority w:val="9"/>
    <w:qFormat/>
    <w:rPr>
      <w:rFonts w:ascii="Arial" w:hAnsi="Arial" w:eastAsia="Arial" w:cs="Arial"/>
      <w:b/>
      <w:bCs/>
      <w:sz w:val="26"/>
      <w:szCs w:val="26"/>
    </w:rPr>
  </w:style>
  <w:style w:type="character" w:styleId="924" w:customStyle="1">
    <w:name w:val="Heading 5 Char"/>
    <w:basedOn w:val="865"/>
    <w:uiPriority w:val="9"/>
    <w:qFormat/>
    <w:rPr>
      <w:rFonts w:ascii="Arial" w:hAnsi="Arial" w:eastAsia="Arial" w:cs="Arial"/>
      <w:b/>
      <w:bCs/>
      <w:sz w:val="24"/>
      <w:szCs w:val="24"/>
    </w:rPr>
  </w:style>
  <w:style w:type="character" w:styleId="925" w:customStyle="1">
    <w:name w:val="Heading 6 Char"/>
    <w:basedOn w:val="865"/>
    <w:link w:val="861"/>
    <w:uiPriority w:val="9"/>
    <w:qFormat/>
    <w:rPr>
      <w:rFonts w:ascii="Arial" w:hAnsi="Arial" w:eastAsia="Arial" w:cs="Arial"/>
      <w:b/>
      <w:bCs/>
      <w:sz w:val="22"/>
      <w:szCs w:val="22"/>
    </w:rPr>
  </w:style>
  <w:style w:type="character" w:styleId="926" w:customStyle="1">
    <w:name w:val="Heading 7 Char"/>
    <w:basedOn w:val="865"/>
    <w:link w:val="862"/>
    <w:uiPriority w:val="9"/>
    <w:qFormat/>
    <w:rPr>
      <w:rFonts w:ascii="Arial" w:hAnsi="Arial" w:eastAsia="Arial" w:cs="Arial"/>
      <w:b/>
      <w:bCs/>
      <w:i/>
      <w:iCs/>
      <w:sz w:val="22"/>
      <w:szCs w:val="22"/>
    </w:rPr>
  </w:style>
  <w:style w:type="character" w:styleId="927" w:customStyle="1">
    <w:name w:val="Heading 8 Char"/>
    <w:basedOn w:val="865"/>
    <w:link w:val="863"/>
    <w:uiPriority w:val="9"/>
    <w:qFormat/>
    <w:rPr>
      <w:rFonts w:ascii="Arial" w:hAnsi="Arial" w:eastAsia="Arial" w:cs="Arial"/>
      <w:i/>
      <w:iCs/>
      <w:sz w:val="22"/>
      <w:szCs w:val="22"/>
    </w:rPr>
  </w:style>
  <w:style w:type="character" w:styleId="928" w:customStyle="1">
    <w:name w:val="Heading 9 Char"/>
    <w:basedOn w:val="865"/>
    <w:link w:val="864"/>
    <w:uiPriority w:val="9"/>
    <w:qFormat/>
    <w:rPr>
      <w:rFonts w:ascii="Arial" w:hAnsi="Arial" w:eastAsia="Arial" w:cs="Arial"/>
      <w:i/>
      <w:iCs/>
      <w:sz w:val="21"/>
      <w:szCs w:val="21"/>
    </w:rPr>
  </w:style>
  <w:style w:type="paragraph" w:styleId="929">
    <w:name w:val="No Spacing"/>
    <w:uiPriority w:val="1"/>
    <w:qFormat/>
    <w:pPr>
      <w:spacing w:before="0" w:after="0" w:line="240" w:lineRule="auto"/>
    </w:pPr>
    <w:rPr>
      <w:rFonts w:hint="default" w:ascii="Times New Roman" w:hAnsi="Times New Roman" w:eastAsia="宋体" w:cs="Times New Roman"/>
    </w:rPr>
  </w:style>
  <w:style w:type="character" w:styleId="930" w:customStyle="1">
    <w:name w:val="Title Char"/>
    <w:basedOn w:val="865"/>
    <w:link w:val="895"/>
    <w:uiPriority w:val="10"/>
    <w:qFormat/>
    <w:rPr>
      <w:sz w:val="48"/>
      <w:szCs w:val="48"/>
    </w:rPr>
  </w:style>
  <w:style w:type="character" w:styleId="931" w:customStyle="1">
    <w:name w:val="Subtitle Char"/>
    <w:basedOn w:val="865"/>
    <w:link w:val="887"/>
    <w:uiPriority w:val="11"/>
    <w:qFormat/>
    <w:rPr>
      <w:sz w:val="24"/>
      <w:szCs w:val="24"/>
    </w:rPr>
  </w:style>
  <w:style w:type="paragraph" w:styleId="932">
    <w:name w:val="Quote"/>
    <w:basedOn w:val="855"/>
    <w:next w:val="855"/>
    <w:link w:val="933"/>
    <w:uiPriority w:val="29"/>
    <w:qFormat/>
    <w:pPr>
      <w:ind w:left="720" w:right="720"/>
    </w:pPr>
    <w:rPr>
      <w:i/>
    </w:rPr>
  </w:style>
  <w:style w:type="character" w:styleId="933" w:customStyle="1">
    <w:name w:val="Quote Char"/>
    <w:link w:val="932"/>
    <w:uiPriority w:val="29"/>
    <w:qFormat/>
    <w:rPr>
      <w:i/>
    </w:rPr>
  </w:style>
  <w:style w:type="paragraph" w:styleId="934">
    <w:name w:val="Intense Quote"/>
    <w:basedOn w:val="855"/>
    <w:next w:val="855"/>
    <w:link w:val="9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customStyle="1">
    <w:name w:val="Intense Quote Char"/>
    <w:link w:val="934"/>
    <w:uiPriority w:val="30"/>
    <w:qFormat/>
    <w:rPr>
      <w:i/>
    </w:rPr>
  </w:style>
  <w:style w:type="character" w:styleId="936" w:customStyle="1">
    <w:name w:val="Header Char"/>
    <w:basedOn w:val="865"/>
    <w:uiPriority w:val="99"/>
    <w:qFormat/>
  </w:style>
  <w:style w:type="character" w:styleId="937" w:customStyle="1">
    <w:name w:val="Footer Char"/>
    <w:basedOn w:val="865"/>
    <w:uiPriority w:val="99"/>
    <w:qFormat/>
  </w:style>
  <w:style w:type="character" w:styleId="938" w:customStyle="1">
    <w:name w:val="Caption Char"/>
    <w:uiPriority w:val="99"/>
    <w:qFormat/>
  </w:style>
  <w:style w:type="table" w:styleId="939" w:customStyle="1">
    <w:name w:val="Table Grid Light"/>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0" w:customStyle="1">
    <w:name w:val="Plain Table 1"/>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Plain Table 2"/>
    <w:basedOn w:val="8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Plain Table 3"/>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customStyle="1">
    <w:name w:val="Plain Table 4"/>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customStyle="1">
    <w:name w:val="Plain Table 5"/>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5" w:customStyle="1">
    <w:name w:val="Grid Table 1 Light"/>
    <w:basedOn w:val="8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1"/>
    <w:basedOn w:val="86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2"/>
    <w:basedOn w:val="86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3"/>
    <w:basedOn w:val="86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4"/>
    <w:basedOn w:val="86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5"/>
    <w:basedOn w:val="86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6"/>
    <w:basedOn w:val="86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52" w:customStyle="1">
    <w:name w:val="Grid Table 2"/>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3" w:customStyle="1">
    <w:name w:val="Grid Table 2 - Accent 1"/>
    <w:basedOn w:val="86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54" w:customStyle="1">
    <w:name w:val="Grid Table 2 - Accent 2"/>
    <w:basedOn w:val="86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55" w:customStyle="1">
    <w:name w:val="Grid Table 2 - Accent 3"/>
    <w:basedOn w:val="86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56" w:customStyle="1">
    <w:name w:val="Grid Table 2 - Accent 4"/>
    <w:basedOn w:val="86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57" w:customStyle="1">
    <w:name w:val="Grid Table 2 - Accent 5"/>
    <w:basedOn w:val="86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58" w:customStyle="1">
    <w:name w:val="Grid Table 2 - Accent 6"/>
    <w:basedOn w:val="86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59" w:customStyle="1">
    <w:name w:val="Grid Table 3"/>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1"/>
    <w:basedOn w:val="86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2"/>
    <w:basedOn w:val="86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3"/>
    <w:basedOn w:val="86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4"/>
    <w:basedOn w:val="86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5"/>
    <w:basedOn w:val="86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6"/>
    <w:basedOn w:val="86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4"/>
    <w:basedOn w:val="8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7" w:customStyle="1">
    <w:name w:val="Grid Table 4 - Accent 1"/>
    <w:basedOn w:val="86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68" w:customStyle="1">
    <w:name w:val="Grid Table 4 - Accent 2"/>
    <w:basedOn w:val="86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69" w:customStyle="1">
    <w:name w:val="Grid Table 4 - Accent 3"/>
    <w:basedOn w:val="86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70" w:customStyle="1">
    <w:name w:val="Grid Table 4 - Accent 4"/>
    <w:basedOn w:val="86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71" w:customStyle="1">
    <w:name w:val="Grid Table 4 - Accent 5"/>
    <w:basedOn w:val="86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72" w:customStyle="1">
    <w:name w:val="Grid Table 4 - Accent 6"/>
    <w:basedOn w:val="86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73" w:customStyle="1">
    <w:name w:val="Grid Table 5 Dark"/>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4" w:customStyle="1">
    <w:name w:val="Grid Table 5 Dark- Accent 1"/>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75" w:customStyle="1">
    <w:name w:val="Grid Table 5 Dark - Accent 2"/>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76" w:customStyle="1">
    <w:name w:val="Grid Table 5 Dark - Accent 3"/>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77" w:customStyle="1">
    <w:name w:val="Grid Table 5 Dark- Accent 4"/>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78" w:customStyle="1">
    <w:name w:val="Grid Table 5 Dark - Accent 5"/>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79" w:customStyle="1">
    <w:name w:val="Grid Table 5 Dark - Accent 6"/>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80" w:customStyle="1">
    <w:name w:val="Grid Table 6 Colorful"/>
    <w:basedOn w:val="8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1" w:customStyle="1">
    <w:name w:val="Grid Table 6 Colorful - Accent 1"/>
    <w:basedOn w:val="86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82" w:customStyle="1">
    <w:name w:val="Grid Table 6 Colorful - Accent 2"/>
    <w:basedOn w:val="86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83" w:customStyle="1">
    <w:name w:val="Grid Table 6 Colorful - Accent 3"/>
    <w:basedOn w:val="86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84" w:customStyle="1">
    <w:name w:val="Grid Table 6 Colorful - Accent 4"/>
    <w:basedOn w:val="86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85" w:customStyle="1">
    <w:name w:val="Grid Table 6 Colorful - Accent 5"/>
    <w:basedOn w:val="86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86" w:customStyle="1">
    <w:name w:val="Grid Table 6 Colorful - Accent 6"/>
    <w:basedOn w:val="86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87" w:customStyle="1">
    <w:name w:val="Grid Table 7 Colorful"/>
    <w:basedOn w:val="8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Grid Table 7 Colorful - Accent 1"/>
    <w:basedOn w:val="86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89" w:customStyle="1">
    <w:name w:val="Grid Table 7 Colorful - Accent 2"/>
    <w:basedOn w:val="86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0" w:customStyle="1">
    <w:name w:val="Grid Table 7 Colorful - Accent 3"/>
    <w:basedOn w:val="86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91" w:customStyle="1">
    <w:name w:val="Grid Table 7 Colorful - Accent 4"/>
    <w:basedOn w:val="86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2" w:customStyle="1">
    <w:name w:val="Grid Table 7 Colorful - Accent 5"/>
    <w:basedOn w:val="86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93" w:customStyle="1">
    <w:name w:val="Grid Table 7 Colorful - Accent 6"/>
    <w:basedOn w:val="86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94" w:customStyle="1">
    <w:name w:val="List Table 1 Light"/>
    <w:basedOn w:val="8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5" w:customStyle="1">
    <w:name w:val="List Table 1 Light - Accent 1"/>
    <w:basedOn w:val="86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96" w:customStyle="1">
    <w:name w:val="List Table 1 Light - Accent 2"/>
    <w:basedOn w:val="86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97" w:customStyle="1">
    <w:name w:val="List Table 1 Light - Accent 3"/>
    <w:basedOn w:val="86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98" w:customStyle="1">
    <w:name w:val="List Table 1 Light - Accent 4"/>
    <w:basedOn w:val="86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99" w:customStyle="1">
    <w:name w:val="List Table 1 Light - Accent 5"/>
    <w:basedOn w:val="86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00" w:customStyle="1">
    <w:name w:val="List Table 1 Light - Accent 6"/>
    <w:basedOn w:val="86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01" w:customStyle="1">
    <w:name w:val="List Table 2"/>
    <w:basedOn w:val="8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2" w:customStyle="1">
    <w:name w:val="List Table 2 - Accent 1"/>
    <w:basedOn w:val="86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03" w:customStyle="1">
    <w:name w:val="List Table 2 - Accent 2"/>
    <w:basedOn w:val="86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04" w:customStyle="1">
    <w:name w:val="List Table 2 - Accent 3"/>
    <w:basedOn w:val="86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05" w:customStyle="1">
    <w:name w:val="List Table 2 - Accent 4"/>
    <w:basedOn w:val="86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06" w:customStyle="1">
    <w:name w:val="List Table 2 - Accent 5"/>
    <w:basedOn w:val="86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07" w:customStyle="1">
    <w:name w:val="List Table 2 - Accent 6"/>
    <w:basedOn w:val="86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08" w:customStyle="1">
    <w:name w:val="List Table 3"/>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3 - Accent 1"/>
    <w:basedOn w:val="86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10" w:customStyle="1">
    <w:name w:val="List Table 3 - Accent 2"/>
    <w:basedOn w:val="86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11" w:customStyle="1">
    <w:name w:val="List Table 3 - Accent 3"/>
    <w:basedOn w:val="86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12" w:customStyle="1">
    <w:name w:val="List Table 3 - Accent 4"/>
    <w:basedOn w:val="86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13" w:customStyle="1">
    <w:name w:val="List Table 3 - Accent 5"/>
    <w:basedOn w:val="86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14" w:customStyle="1">
    <w:name w:val="List Table 3 - Accent 6"/>
    <w:basedOn w:val="86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15" w:customStyle="1">
    <w:name w:val="List Table 4"/>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6" w:customStyle="1">
    <w:name w:val="List Table 4 - Accent 1"/>
    <w:basedOn w:val="86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17" w:customStyle="1">
    <w:name w:val="List Table 4 - Accent 2"/>
    <w:basedOn w:val="86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18" w:customStyle="1">
    <w:name w:val="List Table 4 - Accent 3"/>
    <w:basedOn w:val="86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19" w:customStyle="1">
    <w:name w:val="List Table 4 - Accent 4"/>
    <w:basedOn w:val="86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20" w:customStyle="1">
    <w:name w:val="List Table 4 - Accent 5"/>
    <w:basedOn w:val="86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21" w:customStyle="1">
    <w:name w:val="List Table 4 - Accent 6"/>
    <w:basedOn w:val="86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22" w:customStyle="1">
    <w:name w:val="List Table 5 Dark"/>
    <w:basedOn w:val="8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1"/>
    <w:basedOn w:val="86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2"/>
    <w:basedOn w:val="86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3"/>
    <w:basedOn w:val="86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4"/>
    <w:basedOn w:val="86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5"/>
    <w:basedOn w:val="86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6"/>
    <w:basedOn w:val="86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6 Colorful"/>
    <w:basedOn w:val="8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0" w:customStyle="1">
    <w:name w:val="List Table 6 Colorful - Accent 1"/>
    <w:basedOn w:val="86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31" w:customStyle="1">
    <w:name w:val="List Table 6 Colorful - Accent 2"/>
    <w:basedOn w:val="86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32" w:customStyle="1">
    <w:name w:val="List Table 6 Colorful - Accent 3"/>
    <w:basedOn w:val="86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33" w:customStyle="1">
    <w:name w:val="List Table 6 Colorful - Accent 4"/>
    <w:basedOn w:val="86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34" w:customStyle="1">
    <w:name w:val="List Table 6 Colorful - Accent 5"/>
    <w:basedOn w:val="86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35" w:customStyle="1">
    <w:name w:val="List Table 6 Colorful - Accent 6"/>
    <w:basedOn w:val="86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36" w:customStyle="1">
    <w:name w:val="List Table 7 Colorful"/>
    <w:basedOn w:val="8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List Table 7 Colorful - Accent 1"/>
    <w:basedOn w:val="86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38" w:customStyle="1">
    <w:name w:val="List Table 7 Colorful - Accent 2"/>
    <w:basedOn w:val="86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39" w:customStyle="1">
    <w:name w:val="List Table 7 Colorful - Accent 3"/>
    <w:basedOn w:val="86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40" w:customStyle="1">
    <w:name w:val="List Table 7 Colorful - Accent 4"/>
    <w:basedOn w:val="86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41" w:customStyle="1">
    <w:name w:val="List Table 7 Colorful - Accent 5"/>
    <w:basedOn w:val="86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42" w:customStyle="1">
    <w:name w:val="List Table 7 Colorful - Accent 6"/>
    <w:basedOn w:val="86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43" w:customStyle="1">
    <w:name w:val="Lined - Accent"/>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Lined - Accent 1"/>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45" w:customStyle="1">
    <w:name w:val="Lined - Accent 2"/>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46" w:customStyle="1">
    <w:name w:val="Lined - Accent 3"/>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47" w:customStyle="1">
    <w:name w:val="Lined - Accent 4"/>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48" w:customStyle="1">
    <w:name w:val="Lined - Accent 5"/>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49" w:customStyle="1">
    <w:name w:val="Lined - Accent 6"/>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50" w:customStyle="1">
    <w:name w:val="Bordered &amp; Lined - Accent"/>
    <w:basedOn w:val="8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1" w:customStyle="1">
    <w:name w:val="Bordered &amp; Lined - Accent 1"/>
    <w:basedOn w:val="86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52" w:customStyle="1">
    <w:name w:val="Bordered &amp; Lined - Accent 2"/>
    <w:basedOn w:val="86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53" w:customStyle="1">
    <w:name w:val="Bordered &amp; Lined - Accent 3"/>
    <w:basedOn w:val="86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54" w:customStyle="1">
    <w:name w:val="Bordered &amp; Lined - Accent 4"/>
    <w:basedOn w:val="86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55" w:customStyle="1">
    <w:name w:val="Bordered &amp; Lined - Accent 5"/>
    <w:basedOn w:val="86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56" w:customStyle="1">
    <w:name w:val="Bordered &amp; Lined - Accent 6"/>
    <w:basedOn w:val="86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57" w:customStyle="1">
    <w:name w:val="Bordered"/>
    <w:basedOn w:val="8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8" w:customStyle="1">
    <w:name w:val="Bordered - Accent 1"/>
    <w:basedOn w:val="86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59" w:customStyle="1">
    <w:name w:val="Bordered - Accent 2"/>
    <w:basedOn w:val="86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60" w:customStyle="1">
    <w:name w:val="Bordered - Accent 3"/>
    <w:basedOn w:val="86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61" w:customStyle="1">
    <w:name w:val="Bordered - Accent 4"/>
    <w:basedOn w:val="86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62" w:customStyle="1">
    <w:name w:val="Bordered - Accent 5"/>
    <w:basedOn w:val="86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63" w:customStyle="1">
    <w:name w:val="Bordered - Accent 6"/>
    <w:basedOn w:val="86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64" w:customStyle="1">
    <w:name w:val="Footnote Text Char"/>
    <w:uiPriority w:val="99"/>
    <w:qFormat/>
    <w:rPr>
      <w:sz w:val="18"/>
    </w:rPr>
  </w:style>
  <w:style w:type="character" w:styleId="1065" w:customStyle="1">
    <w:name w:val="Endnote Text Char"/>
    <w:link w:val="881"/>
    <w:uiPriority w:val="99"/>
    <w:qFormat/>
    <w:rPr>
      <w:sz w:val="20"/>
    </w:rPr>
  </w:style>
  <w:style w:type="paragraph" w:styleId="1066" w:customStyle="1">
    <w:name w:val="TOC Heading"/>
    <w:uiPriority w:val="39"/>
    <w:unhideWhenUsed/>
    <w:qFormat/>
    <w:rPr>
      <w:rFonts w:hint="default" w:ascii="Times New Roman" w:hAnsi="Times New Roman" w:eastAsia="宋体" w:cs="Times New Roman"/>
    </w:rPr>
  </w:style>
  <w:style w:type="paragraph" w:styleId="1067" w:customStyle="1">
    <w:name w:val="脚注文本1"/>
    <w:basedOn w:val="918"/>
    <w:next w:val="1068"/>
    <w:uiPriority w:val="0"/>
    <w:qFormat/>
    <w:pPr>
      <w:jc w:val="left"/>
    </w:pPr>
    <w:rPr>
      <w:rFonts w:ascii="宋体" w:hAnsi="宋体" w:eastAsia="Times New Roman"/>
      <w:sz w:val="18"/>
      <w:szCs w:val="18"/>
    </w:rPr>
  </w:style>
  <w:style w:type="paragraph" w:styleId="1068" w:customStyle="1">
    <w:name w:val="索引 51"/>
    <w:basedOn w:val="918"/>
    <w:next w:val="918"/>
    <w:uiPriority w:val="0"/>
    <w:qFormat/>
    <w:pPr>
      <w:ind w:left="798"/>
      <w:jc w:val="left"/>
    </w:pPr>
    <w:rPr>
      <w:rFonts w:ascii="Calibri" w:hAnsi="Calibri"/>
    </w:rPr>
  </w:style>
  <w:style w:type="paragraph" w:styleId="1069" w:customStyle="1">
    <w:name w:val="AONormal"/>
    <w:uiPriority w:val="0"/>
    <w:qFormat/>
    <w:pPr>
      <w:ind w:firstLine="200"/>
      <w:spacing w:line="400" w:lineRule="exact"/>
    </w:pPr>
    <w:rPr>
      <w:rFonts w:hint="default" w:ascii="华文楷体" w:hAnsi="Times New Roman" w:eastAsia="华文楷体" w:cs="华文楷体"/>
      <w:sz w:val="22"/>
      <w:szCs w:val="21"/>
    </w:rPr>
  </w:style>
  <w:style w:type="paragraph" w:styleId="1070" w:customStyle="1">
    <w:name w:val="列出段落1"/>
    <w:basedOn w:val="918"/>
    <w:uiPriority w:val="0"/>
    <w:qFormat/>
    <w:pPr>
      <w:ind w:firstLine="420"/>
    </w:pPr>
  </w:style>
  <w:style w:type="paragraph" w:styleId="1071" w:customStyle="1">
    <w:name w:val="无间隔1"/>
    <w:uiPriority w:val="0"/>
    <w:qFormat/>
    <w:rPr>
      <w:rFonts w:hint="default" w:ascii="Times New Roman" w:hAnsi="Times New Roman" w:eastAsia="宋体" w:cs="Times New Roman"/>
      <w:sz w:val="22"/>
      <w:szCs w:val="22"/>
      <w:lang w:val="en-US" w:eastAsia="en-US" w:bidi="ar-SA"/>
    </w:rPr>
  </w:style>
  <w:style w:type="paragraph" w:styleId="1072" w:customStyle="1">
    <w:name w:val="black1"/>
    <w:basedOn w:val="855"/>
    <w:uiPriority w:val="0"/>
    <w:qFormat/>
    <w:pPr>
      <w:jc w:val="left"/>
      <w:spacing w:before="100" w:beforeAutospacing="1" w:after="100" w:afterAutospacing="1"/>
      <w:widowControl/>
    </w:pPr>
    <w:rPr>
      <w:rFonts w:ascii="宋体" w:hAnsi="宋体"/>
      <w:sz w:val="24"/>
    </w:rPr>
  </w:style>
  <w:style w:type="paragraph" w:styleId="1073" w:customStyle="1">
    <w:name w:val="小标题 第几章"/>
    <w:basedOn w:val="855"/>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1074" w:customStyle="1">
    <w:name w:val="正文仿宋"/>
    <w:basedOn w:val="855"/>
    <w:uiPriority w:val="0"/>
    <w:qFormat/>
    <w:pPr>
      <w:ind w:firstLine="520"/>
      <w:spacing w:line="350" w:lineRule="exact"/>
    </w:pPr>
    <w:rPr>
      <w:rFonts w:ascii="Times New Roman" w:hAnsi="Times New Roman" w:eastAsia="方正仿宋_GB2312" w:cs="Times New Roman"/>
      <w:sz w:val="24"/>
      <w:lang w:val="zh-CN"/>
    </w:rPr>
  </w:style>
  <w:style w:type="paragraph" w:styleId="1075" w:customStyle="1">
    <w:name w:val="正文文本缩进1"/>
    <w:basedOn w:val="918"/>
    <w:next w:val="1076"/>
    <w:uiPriority w:val="0"/>
    <w:qFormat/>
    <w:pPr>
      <w:ind w:left="420"/>
      <w:spacing w:after="120"/>
    </w:pPr>
  </w:style>
  <w:style w:type="paragraph" w:styleId="1076" w:customStyle="1">
    <w:name w:val="寄信人地址1"/>
    <w:basedOn w:val="907"/>
    <w:uiPriority w:val="0"/>
    <w:qFormat/>
    <w:rPr>
      <w:rFonts w:ascii="Arial" w:hAnsi="Arial"/>
      <w:sz w:val="22"/>
      <w:szCs w:val="22"/>
    </w:rPr>
  </w:style>
  <w:style w:type="paragraph" w:styleId="1077" w:customStyle="1">
    <w:name w:val="WPSOffice手动目录 1"/>
    <w:uiPriority w:val="0"/>
    <w:qFormat/>
    <w:rPr>
      <w:rFonts w:hint="default" w:asciiTheme="minorHAnsi" w:hAnsiTheme="minorHAnsi" w:eastAsiaTheme="minorEastAsia" w:cstheme="minorBidi"/>
      <w:sz w:val="20"/>
      <w:szCs w:val="20"/>
    </w:rPr>
  </w:style>
  <w:style w:type="paragraph" w:styleId="1078" w:customStyle="1">
    <w:name w:val="正文00"/>
    <w:basedOn w:val="855"/>
    <w:uiPriority w:val="0"/>
    <w:qFormat/>
    <w:pPr>
      <w:ind w:firstLine="200"/>
      <w:spacing w:line="360" w:lineRule="auto"/>
    </w:pPr>
    <w:rPr>
      <w:rFonts w:ascii="Calibri" w:hAnsi="Calibri"/>
      <w:sz w:val="24"/>
      <w:szCs w:val="21"/>
    </w:rPr>
  </w:style>
  <w:style w:type="character" w:styleId="1079" w:customStyle="1">
    <w:name w:val="active16"/>
    <w:basedOn w:val="865"/>
    <w:uiPriority w:val="0"/>
    <w:qFormat/>
    <w:rPr>
      <w:color w:val="ffffff"/>
      <w:shd w:val="clear" w:color="auto" w:fill="0f5bb9"/>
    </w:rPr>
  </w:style>
  <w:style w:type="paragraph" w:styleId="1080" w:customStyle="1">
    <w:name w:val="标题 31"/>
    <w:basedOn w:val="855"/>
    <w:next w:val="917"/>
    <w:uiPriority w:val="0"/>
    <w:qFormat/>
    <w:pPr>
      <w:keepLines/>
      <w:keepNext/>
      <w:spacing w:before="260" w:after="260" w:line="416" w:lineRule="auto"/>
      <w:outlineLvl w:val="2"/>
    </w:pPr>
    <w:rPr>
      <w:b/>
      <w:bCs/>
      <w:sz w:val="32"/>
      <w:szCs w:val="32"/>
    </w:rPr>
  </w:style>
  <w:style w:type="character" w:styleId="1081" w:customStyle="1">
    <w:name w:val="font41"/>
    <w:basedOn w:val="865"/>
    <w:uiPriority w:val="0"/>
    <w:qFormat/>
    <w:rPr>
      <w:rFonts w:hint="eastAsia" w:ascii="微软雅黑" w:hAnsi="微软雅黑" w:eastAsia="微软雅黑" w:cs="微软雅黑"/>
      <w:color w:val="ff0000"/>
      <w:sz w:val="18"/>
      <w:szCs w:val="18"/>
      <w:u w:val="none"/>
    </w:rPr>
  </w:style>
  <w:style w:type="character" w:styleId="1082" w:customStyle="1">
    <w:name w:val="font11"/>
    <w:basedOn w:val="865"/>
    <w:uiPriority w:val="0"/>
    <w:qFormat/>
    <w:rPr>
      <w:rFonts w:hint="eastAsia" w:ascii="宋体" w:hAnsi="宋体" w:eastAsia="宋体" w:cs="宋体"/>
      <w:color w:val="ff0000"/>
      <w:sz w:val="21"/>
      <w:szCs w:val="21"/>
      <w:u w:val="none"/>
    </w:rPr>
  </w:style>
  <w:style w:type="character" w:styleId="1083" w:customStyle="1">
    <w:name w:val="font51"/>
    <w:basedOn w:val="865"/>
    <w:uiPriority w:val="0"/>
    <w:qFormat/>
    <w:rPr>
      <w:rFonts w:ascii="等线" w:hAnsi="等线" w:eastAsia="等线" w:cs="等线"/>
      <w:color w:val="000000"/>
      <w:sz w:val="21"/>
      <w:szCs w:val="21"/>
      <w:u w:val="none"/>
    </w:rPr>
  </w:style>
  <w:style w:type="character" w:styleId="1084" w:customStyle="1">
    <w:name w:val="font01"/>
    <w:basedOn w:val="865"/>
    <w:uiPriority w:val="0"/>
    <w:qFormat/>
    <w:rPr>
      <w:rFonts w:hint="eastAsia" w:ascii="宋体" w:hAnsi="宋体" w:eastAsia="宋体" w:cs="宋体"/>
      <w:color w:val="000000"/>
      <w:sz w:val="22"/>
      <w:szCs w:val="22"/>
      <w:u w:val="none"/>
    </w:rPr>
  </w:style>
  <w:style w:type="paragraph" w:styleId="1085" w:customStyle="1">
    <w:name w:val="正文2"/>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87" w:customStyle="1">
    <w:name w:val="UserStyle_11"/>
    <w:uiPriority w:val="0"/>
    <w:qFormat/>
    <w:rPr>
      <w:sz w:val="21"/>
      <w:szCs w:val="21"/>
      <w:lang w:val="en-US" w:eastAsia="zh-CN" w:bidi="ar-SA"/>
    </w:rPr>
  </w:style>
  <w:style w:type="paragraph" w:styleId="1088">
    <w:name w:val="List Paragraph"/>
    <w:basedOn w:val="855"/>
    <w:uiPriority w:val="34"/>
    <w:qFormat/>
    <w:pPr>
      <w:contextualSpacing/>
      <w:ind w:left="720"/>
    </w:pPr>
  </w:style>
  <w:style w:type="character" w:styleId="1089" w:customStyle="1">
    <w:name w:val="超链接1"/>
    <w:link w:val="855"/>
    <w:uiPriority w:val="0"/>
    <w:qFormat/>
    <w:rPr>
      <w:rFonts w:hint="default" w:asciiTheme="minorHAnsi" w:hAnsiTheme="minorHAnsi" w:eastAsiaTheme="minorEastAsia" w:cstheme="minorBidi"/>
      <w:sz w:val="22"/>
      <w:szCs w:val="22"/>
      <w:lang w:eastAsia="en-US"/>
    </w:rPr>
  </w:style>
  <w:style w:type="paragraph" w:styleId="1090" w:customStyle="1">
    <w:name w:val="页脚1"/>
    <w:basedOn w:val="855"/>
    <w:uiPriority w:val="99"/>
    <w:qFormat/>
    <w:pPr>
      <w:jc w:val="left"/>
      <w:tabs>
        <w:tab w:val="center" w:pos="4153" w:leader="none"/>
        <w:tab w:val="right" w:pos="8306" w:leader="none"/>
      </w:tabs>
    </w:pPr>
    <w:rPr>
      <w:sz w:val="18"/>
      <w:szCs w:val="18"/>
    </w:rPr>
  </w:style>
  <w:style w:type="character" w:styleId="1091" w:customStyle="1">
    <w:name w:val="font21"/>
    <w:uiPriority w:val="0"/>
    <w:qFormat/>
    <w:rPr>
      <w:rFonts w:hint="eastAsia" w:ascii="宋体" w:hAnsi="宋体" w:eastAsia="宋体" w:cs="宋体"/>
      <w:color w:val="000000"/>
      <w:sz w:val="20"/>
      <w:szCs w:val="20"/>
      <w:u w:val="none"/>
    </w:rPr>
  </w:style>
  <w:style w:type="character" w:styleId="1092" w:customStyle="1">
    <w:name w:val="font31"/>
    <w:uiPriority w:val="0"/>
    <w:qFormat/>
    <w:rPr>
      <w:rFonts w:hint="eastAsia" w:ascii="宋体" w:hAnsi="宋体" w:eastAsia="宋体" w:cs="宋体"/>
      <w:color w:val="000000"/>
      <w:sz w:val="20"/>
      <w:szCs w:val="20"/>
      <w:u w:val="none"/>
    </w:rPr>
  </w:style>
  <w:style w:type="paragraph" w:styleId="1093" w:customStyle="1">
    <w:name w:val="_Style 3"/>
    <w:basedOn w:val="855"/>
    <w:uiPriority w:val="0"/>
    <w:qFormat/>
    <w:rPr>
      <w:rFonts w:ascii="Times New Roman" w:hAnsi="Times New Roman"/>
      <w:szCs w:val="22"/>
    </w:rPr>
  </w:style>
  <w:style w:type="paragraph" w:styleId="1094" w:customStyle="1">
    <w:name w:val="标题 11"/>
    <w:basedOn w:val="907"/>
    <w:next w:val="907"/>
    <w:uiPriority w:val="0"/>
    <w:qFormat/>
    <w:pPr>
      <w:keepLines/>
      <w:keepNext/>
      <w:spacing w:before="340" w:after="330" w:line="578" w:lineRule="auto"/>
      <w:outlineLvl w:val="0"/>
    </w:pPr>
    <w:rPr>
      <w:b/>
      <w:bCs/>
      <w:sz w:val="44"/>
      <w:szCs w:val="44"/>
    </w:rPr>
  </w:style>
  <w:style w:type="paragraph" w:styleId="1095" w:customStyle="1">
    <w:name w:val="Normal_2"/>
    <w:uiPriority w:val="0"/>
    <w:qFormat/>
    <w:rPr>
      <w:rFonts w:hint="default" w:ascii="Times New Roman" w:hAnsi="Times New Roman" w:eastAsia="Times New Roman" w:cs="Times New Roman"/>
      <w:sz w:val="24"/>
      <w:szCs w:val="24"/>
      <w:lang w:bidi="ar-SA"/>
    </w:rPr>
  </w:style>
  <w:style w:type="numbering" w:styleId="1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dc:creator>
  <cp:lastModifiedBy>程龙</cp:lastModifiedBy>
  <cp:revision>9</cp:revision>
  <dcterms:created xsi:type="dcterms:W3CDTF">2025-01-10T03:03:00Z</dcterms:created>
  <dcterms:modified xsi:type="dcterms:W3CDTF">2026-08-04T03:18:21Z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F254659BEECA478284A34E7525F1395F_13</vt:lpwstr>
  </property>
  <property fmtid="{D5CDD505-2E9C-101B-9397-08002B2CF9AE}" pid="4" name="KSOTemplateDocerSaveRecord">
    <vt:lpwstr>eyJoZGlkIjoiYmQ0MjA2YzA5ZTU0NjMxNDFjOWU4OTI4ODkxODk0YTUiLCJ1c2VySWQiOiIyMjYxODI1MTYifQ==</vt:lpwstr>
  </property>
</Properties>
</file>