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1E6ECD">
      <w:pPr>
        <w:pStyle w:val="17"/>
        <w:spacing w:before="120" w:beforeAutospacing="0" w:after="120" w:afterAutospacing="0" w:line="360" w:lineRule="auto"/>
      </w:pPr>
      <w:r>
        <w:t> </w:t>
      </w:r>
    </w:p>
    <w:p w14:paraId="022ABE7A">
      <w:pPr>
        <w:pStyle w:val="17"/>
        <w:spacing w:before="120" w:beforeAutospacing="0" w:after="120" w:afterAutospacing="0" w:line="360" w:lineRule="auto"/>
        <w:jc w:val="center"/>
      </w:pPr>
      <w:r>
        <w:rPr>
          <w:rFonts w:ascii="Arial" w:hAnsi="Arial" w:cs="Arial"/>
          <w:b/>
          <w:color w:val="000000"/>
          <w:sz w:val="84"/>
          <w:szCs w:val="84"/>
        </w:rPr>
        <w:t>招 标 文 件</w:t>
      </w:r>
    </w:p>
    <w:p w14:paraId="0C2D780E">
      <w:pPr>
        <w:pStyle w:val="17"/>
        <w:spacing w:before="120" w:beforeAutospacing="0" w:after="120" w:afterAutospacing="0" w:line="360" w:lineRule="auto"/>
        <w:ind w:firstLine="643" w:firstLineChars="200"/>
        <w:rPr>
          <w:rFonts w:hint="eastAsia" w:ascii="Arial" w:hAnsi="Arial" w:cs="Arial" w:eastAsiaTheme="minorEastAsia"/>
          <w:color w:val="000000"/>
          <w:sz w:val="28"/>
          <w:szCs w:val="28"/>
          <w:lang w:eastAsia="zh-CN"/>
        </w:rPr>
      </w:pPr>
      <w:r>
        <w:rPr>
          <w:rFonts w:ascii="Arial" w:hAnsi="Arial" w:cs="Arial"/>
          <w:b/>
          <w:color w:val="000000"/>
          <w:sz w:val="32"/>
          <w:szCs w:val="32"/>
        </w:rPr>
        <w:t>项目名称：</w:t>
      </w:r>
      <w:r>
        <w:rPr>
          <w:rFonts w:hint="eastAsia" w:ascii="Arial" w:hAnsi="Arial" w:cs="Arial"/>
          <w:color w:val="000000"/>
          <w:sz w:val="28"/>
          <w:szCs w:val="28"/>
          <w:lang w:eastAsia="zh-CN"/>
        </w:rPr>
        <w:t>阜宁县2026年度老旧小区及零散楼幢通信和广电网络改造服务项目</w:t>
      </w:r>
    </w:p>
    <w:p w14:paraId="2D6B2793">
      <w:pPr>
        <w:pStyle w:val="17"/>
        <w:spacing w:beforeAutospacing="0" w:afterAutospacing="0"/>
        <w:ind w:firstLine="643" w:firstLineChars="200"/>
        <w:jc w:val="both"/>
        <w:rPr>
          <w:rFonts w:hint="eastAsia" w:ascii="Arial" w:hAnsi="Arial" w:cs="Arial"/>
          <w:color w:val="000000"/>
          <w:sz w:val="28"/>
          <w:szCs w:val="28"/>
          <w:lang w:eastAsia="zh-CN"/>
        </w:rPr>
      </w:pPr>
      <w:r>
        <w:rPr>
          <w:rFonts w:ascii="Times New Roman" w:hAnsi="Times New Roman"/>
          <w:b/>
          <w:color w:val="000000"/>
          <w:sz w:val="32"/>
          <w:szCs w:val="32"/>
        </w:rPr>
        <w:t>项目编号：</w:t>
      </w:r>
      <w:r>
        <w:rPr>
          <w:rFonts w:hint="eastAsia" w:ascii="Arial" w:hAnsi="Arial" w:cs="Arial"/>
          <w:color w:val="000000"/>
          <w:sz w:val="28"/>
          <w:szCs w:val="28"/>
          <w:lang w:eastAsia="zh-CN"/>
        </w:rPr>
        <w:t>JSZC-320923-JSTC-G2026-0002</w:t>
      </w:r>
    </w:p>
    <w:p w14:paraId="25B6BCBA">
      <w:pPr>
        <w:pStyle w:val="17"/>
        <w:spacing w:beforeAutospacing="0" w:afterAutospacing="0" w:line="360" w:lineRule="auto"/>
      </w:pPr>
      <w:r>
        <w:t> </w:t>
      </w:r>
    </w:p>
    <w:p w14:paraId="35150F1D">
      <w:pPr>
        <w:pStyle w:val="17"/>
        <w:spacing w:beforeAutospacing="0" w:afterAutospacing="0" w:line="360" w:lineRule="auto"/>
      </w:pPr>
      <w:r>
        <w:t> </w:t>
      </w:r>
    </w:p>
    <w:p w14:paraId="4AE3F4CC">
      <w:pPr>
        <w:pStyle w:val="17"/>
        <w:spacing w:beforeAutospacing="0" w:afterAutospacing="0" w:line="360" w:lineRule="auto"/>
      </w:pPr>
      <w:r>
        <w:t> </w:t>
      </w:r>
    </w:p>
    <w:p w14:paraId="5D572E81">
      <w:pPr>
        <w:pStyle w:val="17"/>
        <w:spacing w:beforeAutospacing="0" w:afterAutospacing="0" w:line="360" w:lineRule="auto"/>
      </w:pPr>
      <w:r>
        <w:t> </w:t>
      </w:r>
    </w:p>
    <w:p w14:paraId="0A4327E9">
      <w:pPr>
        <w:pStyle w:val="17"/>
        <w:spacing w:beforeAutospacing="0" w:afterAutospacing="0" w:line="360" w:lineRule="auto"/>
      </w:pPr>
      <w:r>
        <w:t> </w:t>
      </w:r>
    </w:p>
    <w:p w14:paraId="3FC004CB">
      <w:pPr>
        <w:pStyle w:val="17"/>
        <w:spacing w:beforeAutospacing="0" w:afterAutospacing="0" w:line="360" w:lineRule="auto"/>
      </w:pPr>
    </w:p>
    <w:p w14:paraId="2CE49B82">
      <w:pPr>
        <w:pStyle w:val="17"/>
        <w:spacing w:beforeAutospacing="0" w:afterAutospacing="0" w:line="360" w:lineRule="auto"/>
      </w:pPr>
    </w:p>
    <w:p w14:paraId="1CCF4049">
      <w:pPr>
        <w:pStyle w:val="17"/>
        <w:spacing w:beforeAutospacing="0" w:afterAutospacing="0" w:line="360" w:lineRule="auto"/>
      </w:pPr>
    </w:p>
    <w:p w14:paraId="55922750">
      <w:pPr>
        <w:pStyle w:val="17"/>
        <w:spacing w:beforeAutospacing="0" w:afterAutospacing="0" w:line="360" w:lineRule="auto"/>
      </w:pPr>
    </w:p>
    <w:p w14:paraId="18914B26">
      <w:pPr>
        <w:pStyle w:val="17"/>
        <w:spacing w:beforeAutospacing="0" w:afterAutospacing="0" w:line="360" w:lineRule="auto"/>
      </w:pPr>
      <w:r>
        <w:t> </w:t>
      </w:r>
    </w:p>
    <w:p w14:paraId="433311AE">
      <w:pPr>
        <w:pStyle w:val="17"/>
        <w:spacing w:beforeAutospacing="0" w:afterAutospacing="0" w:line="360" w:lineRule="auto"/>
      </w:pPr>
      <w:r>
        <w:t> </w:t>
      </w:r>
    </w:p>
    <w:p w14:paraId="2C4C9B9F">
      <w:pPr>
        <w:keepNext w:val="0"/>
        <w:keepLines w:val="0"/>
        <w:pageBreakBefore w:val="0"/>
        <w:widowControl w:val="0"/>
        <w:kinsoku/>
        <w:wordWrap/>
        <w:overflowPunct/>
        <w:topLinePunct w:val="0"/>
        <w:autoSpaceDE/>
        <w:autoSpaceDN/>
        <w:bidi w:val="0"/>
        <w:snapToGrid/>
        <w:spacing w:before="240" w:after="240" w:line="480" w:lineRule="auto"/>
        <w:ind w:firstLine="1600"/>
        <w:jc w:val="left"/>
        <w:rPr>
          <w:rFonts w:hint="eastAsia" w:ascii="宋体" w:hAnsi="宋体" w:eastAsia="宋体"/>
          <w:bCs/>
          <w:color w:val="000000"/>
          <w:sz w:val="32"/>
          <w:szCs w:val="24"/>
          <w:highlight w:val="none"/>
          <w:lang w:eastAsia="zh-CN"/>
        </w:rPr>
      </w:pPr>
      <w:r>
        <w:rPr>
          <w:rFonts w:hint="eastAsia" w:ascii="Arial" w:hAnsi="Arial" w:cs="Arial"/>
          <w:b/>
          <w:color w:val="000000"/>
          <w:sz w:val="32"/>
          <w:szCs w:val="32"/>
        </w:rPr>
        <w:t>采购单位</w:t>
      </w:r>
      <w:r>
        <w:rPr>
          <w:rFonts w:hint="eastAsia" w:ascii="Arial" w:hAnsi="Arial" w:cs="Arial"/>
          <w:b/>
          <w:color w:val="000000"/>
          <w:sz w:val="32"/>
          <w:szCs w:val="32"/>
          <w:lang w:eastAsia="zh-CN"/>
        </w:rPr>
        <w:t>：</w:t>
      </w:r>
      <w:r>
        <w:rPr>
          <w:rFonts w:hint="eastAsia" w:ascii="宋体" w:hAnsi="宋体"/>
          <w:bCs/>
          <w:color w:val="000000"/>
          <w:sz w:val="32"/>
          <w:szCs w:val="24"/>
          <w:highlight w:val="none"/>
          <w:lang w:val="en-US" w:eastAsia="zh-CN"/>
        </w:rPr>
        <w:t>阜宁县住房和城乡建设局</w:t>
      </w:r>
    </w:p>
    <w:p w14:paraId="5F222625">
      <w:pPr>
        <w:keepNext w:val="0"/>
        <w:keepLines w:val="0"/>
        <w:pageBreakBefore w:val="0"/>
        <w:widowControl w:val="0"/>
        <w:kinsoku/>
        <w:wordWrap/>
        <w:overflowPunct/>
        <w:topLinePunct w:val="0"/>
        <w:autoSpaceDE/>
        <w:autoSpaceDN/>
        <w:bidi w:val="0"/>
        <w:snapToGrid/>
        <w:spacing w:before="240" w:after="240" w:line="480" w:lineRule="auto"/>
        <w:ind w:firstLine="1600"/>
        <w:rPr>
          <w:rFonts w:hint="eastAsia" w:ascii="宋体" w:hAnsi="宋体" w:eastAsia="宋体"/>
          <w:bCs/>
          <w:color w:val="000000"/>
          <w:sz w:val="32"/>
          <w:szCs w:val="24"/>
          <w:highlight w:val="none"/>
          <w:lang w:eastAsia="zh-CN"/>
        </w:rPr>
      </w:pPr>
      <w:r>
        <w:rPr>
          <w:rFonts w:hint="eastAsia" w:ascii="Arial" w:hAnsi="Arial" w:cs="Arial"/>
          <w:b/>
          <w:color w:val="000000"/>
          <w:sz w:val="32"/>
          <w:szCs w:val="32"/>
        </w:rPr>
        <w:t>采购代理机构</w:t>
      </w:r>
      <w:r>
        <w:rPr>
          <w:rFonts w:hint="eastAsia" w:ascii="宋体" w:hAnsi="宋体"/>
          <w:bCs/>
          <w:color w:val="000000"/>
          <w:sz w:val="32"/>
          <w:szCs w:val="24"/>
          <w:highlight w:val="none"/>
        </w:rPr>
        <w:t>：</w:t>
      </w:r>
      <w:r>
        <w:rPr>
          <w:rFonts w:hint="eastAsia" w:ascii="宋体" w:hAnsi="宋体"/>
          <w:bCs/>
          <w:color w:val="000000"/>
          <w:sz w:val="32"/>
          <w:szCs w:val="24"/>
          <w:highlight w:val="none"/>
          <w:lang w:eastAsia="zh-CN"/>
        </w:rPr>
        <w:t>江苏天成项目管理有限公司</w:t>
      </w:r>
    </w:p>
    <w:p w14:paraId="70A4FDCA">
      <w:pPr>
        <w:pStyle w:val="17"/>
        <w:spacing w:before="120" w:beforeAutospacing="0" w:after="120" w:afterAutospacing="0" w:line="360" w:lineRule="auto"/>
        <w:jc w:val="center"/>
        <w:rPr>
          <w:color w:val="auto"/>
        </w:rPr>
      </w:pPr>
      <w:r>
        <w:rPr>
          <w:rFonts w:hint="eastAsia" w:ascii="Arial" w:hAnsi="Arial"/>
          <w:b/>
          <w:bCs/>
          <w:color w:val="000000"/>
          <w:kern w:val="0"/>
          <w:sz w:val="32"/>
          <w:szCs w:val="24"/>
          <w:lang w:val="en-US" w:eastAsia="zh-CN"/>
        </w:rPr>
        <w:t xml:space="preserve">  </w:t>
      </w:r>
      <w:r>
        <w:rPr>
          <w:rFonts w:hint="eastAsia" w:ascii="Arial" w:hAnsi="Arial"/>
          <w:b/>
          <w:bCs/>
          <w:color w:val="auto"/>
          <w:kern w:val="0"/>
          <w:sz w:val="32"/>
          <w:szCs w:val="24"/>
          <w:lang w:val="en-US" w:eastAsia="zh-CN"/>
        </w:rPr>
        <w:t xml:space="preserve">   </w:t>
      </w:r>
      <w:r>
        <w:rPr>
          <w:rFonts w:hint="eastAsia" w:ascii="Arial" w:hAnsi="Arial" w:cs="Arial"/>
          <w:b/>
          <w:color w:val="auto"/>
          <w:sz w:val="32"/>
          <w:szCs w:val="32"/>
          <w:lang w:val="en-US" w:eastAsia="zh-CN"/>
        </w:rPr>
        <w:t>2026</w:t>
      </w:r>
      <w:r>
        <w:rPr>
          <w:rFonts w:ascii="Arial" w:hAnsi="Arial" w:cs="Arial"/>
          <w:b/>
          <w:color w:val="auto"/>
          <w:sz w:val="32"/>
          <w:szCs w:val="32"/>
        </w:rPr>
        <w:t>年</w:t>
      </w:r>
      <w:r>
        <w:rPr>
          <w:rFonts w:hint="eastAsia" w:ascii="Arial" w:hAnsi="Arial" w:cs="Arial"/>
          <w:b/>
          <w:color w:val="auto"/>
          <w:sz w:val="32"/>
          <w:szCs w:val="32"/>
          <w:lang w:val="en-US" w:eastAsia="zh-CN"/>
        </w:rPr>
        <w:t>7</w:t>
      </w:r>
      <w:r>
        <w:rPr>
          <w:rFonts w:ascii="Arial" w:hAnsi="Arial" w:cs="Arial"/>
          <w:b/>
          <w:color w:val="auto"/>
          <w:sz w:val="32"/>
          <w:szCs w:val="32"/>
        </w:rPr>
        <w:t>月</w:t>
      </w:r>
      <w:r>
        <w:rPr>
          <w:rFonts w:hint="eastAsia" w:ascii="Arial" w:hAnsi="Arial" w:cs="Arial"/>
          <w:b/>
          <w:color w:val="auto"/>
          <w:sz w:val="32"/>
          <w:szCs w:val="32"/>
          <w:lang w:val="en-US" w:eastAsia="zh-CN"/>
        </w:rPr>
        <w:t>16</w:t>
      </w:r>
      <w:r>
        <w:rPr>
          <w:rFonts w:ascii="Arial" w:hAnsi="Arial" w:cs="Arial"/>
          <w:b/>
          <w:color w:val="auto"/>
          <w:sz w:val="32"/>
          <w:szCs w:val="32"/>
        </w:rPr>
        <w:t>日</w:t>
      </w:r>
    </w:p>
    <w:p w14:paraId="14C67F78">
      <w:pPr>
        <w:pStyle w:val="17"/>
        <w:spacing w:before="120" w:beforeAutospacing="0" w:after="120" w:afterAutospacing="0" w:line="360" w:lineRule="auto"/>
      </w:pPr>
      <w:r>
        <w:rPr>
          <w:rFonts w:ascii="Arial" w:hAnsi="Arial" w:cs="Arial"/>
          <w:color w:val="000000"/>
        </w:rPr>
        <w:t xml:space="preserve">                        </w:t>
      </w:r>
    </w:p>
    <w:p w14:paraId="0FE3B081">
      <w:pPr>
        <w:pStyle w:val="17"/>
        <w:spacing w:before="120" w:beforeAutospacing="0" w:after="120" w:afterAutospacing="0" w:line="360" w:lineRule="auto"/>
        <w:jc w:val="center"/>
      </w:pPr>
      <w:r>
        <w:t> </w:t>
      </w:r>
    </w:p>
    <w:p w14:paraId="2A7355FB">
      <w:pPr>
        <w:pStyle w:val="17"/>
        <w:spacing w:beforeAutospacing="0" w:afterAutospacing="0" w:line="480" w:lineRule="auto"/>
        <w:jc w:val="center"/>
      </w:pPr>
      <w:r>
        <w:rPr>
          <w:rFonts w:ascii="Times New Roman" w:hAnsi="Times New Roman"/>
          <w:color w:val="000000"/>
          <w:sz w:val="21"/>
          <w:szCs w:val="21"/>
        </w:rPr>
        <w:br w:type="page"/>
      </w:r>
      <w:r>
        <w:rPr>
          <w:rFonts w:ascii="Times New Roman" w:hAnsi="Times New Roman"/>
          <w:color w:val="000000"/>
          <w:sz w:val="21"/>
          <w:szCs w:val="21"/>
        </w:rPr>
        <w:t> </w:t>
      </w:r>
      <w:bookmarkStart w:id="0" w:name="_Toc16938516"/>
      <w:bookmarkStart w:id="1" w:name="_Toc20823272"/>
      <w:bookmarkStart w:id="2" w:name="_Toc523127445"/>
      <w:bookmarkStart w:id="3" w:name="_Toc479757206"/>
      <w:bookmarkStart w:id="4" w:name="_Toc120614210"/>
      <w:bookmarkStart w:id="5" w:name="_Toc513029200"/>
      <w:r>
        <w:rPr>
          <w:rFonts w:ascii="Times New Roman" w:hAnsi="Times New Roman"/>
          <w:color w:val="000000"/>
          <w:sz w:val="21"/>
          <w:szCs w:val="21"/>
        </w:rPr>
        <w:t> </w:t>
      </w:r>
      <w:r>
        <w:rPr>
          <w:rFonts w:ascii="黑体" w:hAnsi="宋体" w:eastAsia="黑体" w:cs="黑体"/>
          <w:b/>
          <w:color w:val="000000"/>
          <w:sz w:val="44"/>
          <w:szCs w:val="44"/>
        </w:rPr>
        <w:t>总  目  录</w:t>
      </w:r>
      <w:bookmarkEnd w:id="0"/>
      <w:bookmarkEnd w:id="1"/>
      <w:bookmarkEnd w:id="2"/>
      <w:bookmarkEnd w:id="3"/>
      <w:bookmarkEnd w:id="4"/>
      <w:bookmarkEnd w:id="5"/>
    </w:p>
    <w:p w14:paraId="275F2AE6">
      <w:pPr>
        <w:pStyle w:val="17"/>
        <w:spacing w:beforeAutospacing="0" w:afterAutospacing="0" w:line="480" w:lineRule="auto"/>
        <w:jc w:val="both"/>
      </w:pPr>
      <w:r>
        <w:t> </w:t>
      </w:r>
    </w:p>
    <w:p w14:paraId="2D749C98">
      <w:pPr>
        <w:pStyle w:val="17"/>
        <w:tabs>
          <w:tab w:val="left" w:pos="1441"/>
        </w:tabs>
        <w:spacing w:beforeAutospacing="0" w:afterAutospacing="0" w:line="480" w:lineRule="auto"/>
        <w:ind w:left="2160" w:hanging="1440"/>
        <w:jc w:val="both"/>
      </w:pPr>
      <w:r>
        <w:rPr>
          <w:rFonts w:hint="eastAsia" w:ascii="黑体" w:hAnsi="宋体" w:eastAsia="黑体" w:cs="黑体"/>
          <w:color w:val="000000"/>
          <w:sz w:val="36"/>
          <w:szCs w:val="36"/>
          <w:lang w:val="en-US" w:eastAsia="zh-CN"/>
        </w:rPr>
        <w:t>招标公告</w:t>
      </w:r>
      <w:r>
        <w:rPr>
          <w:rFonts w:hint="eastAsia" w:ascii="黑体" w:hAnsi="宋体" w:eastAsia="黑体" w:cs="黑体"/>
          <w:color w:val="000000"/>
          <w:sz w:val="36"/>
          <w:szCs w:val="36"/>
        </w:rPr>
        <w:t xml:space="preserve">…………………………………… </w:t>
      </w:r>
    </w:p>
    <w:p w14:paraId="7F7F9847">
      <w:pPr>
        <w:pStyle w:val="17"/>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 xml:space="preserve">投标人须知…………………………………  </w:t>
      </w:r>
    </w:p>
    <w:p w14:paraId="1251C370">
      <w:pPr>
        <w:pStyle w:val="17"/>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合同文本……………………………………</w:t>
      </w:r>
    </w:p>
    <w:p w14:paraId="403A5D87">
      <w:pPr>
        <w:pStyle w:val="17"/>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采购需求……………………………………</w:t>
      </w:r>
    </w:p>
    <w:p w14:paraId="24CCE42F">
      <w:pPr>
        <w:pStyle w:val="17"/>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评标方法与评标标准………………………</w:t>
      </w:r>
    </w:p>
    <w:p w14:paraId="7B1A0C00">
      <w:pPr>
        <w:pStyle w:val="17"/>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投标文件格式………………………………</w:t>
      </w:r>
    </w:p>
    <w:p w14:paraId="2048ACF3">
      <w:pPr>
        <w:pStyle w:val="17"/>
        <w:spacing w:beforeAutospacing="0" w:afterAutospacing="0"/>
        <w:jc w:val="both"/>
      </w:pPr>
      <w:r>
        <w:t> </w:t>
      </w:r>
    </w:p>
    <w:p w14:paraId="61044C0B">
      <w:pPr>
        <w:pStyle w:val="17"/>
        <w:spacing w:beforeAutospacing="0" w:afterAutospacing="0"/>
        <w:jc w:val="both"/>
      </w:pPr>
      <w:r>
        <w:t> </w:t>
      </w:r>
    </w:p>
    <w:p w14:paraId="0DD874B4">
      <w:pPr>
        <w:pStyle w:val="17"/>
        <w:spacing w:beforeAutospacing="0" w:afterAutospacing="0"/>
        <w:jc w:val="both"/>
      </w:pPr>
      <w:r>
        <w:t> </w:t>
      </w:r>
    </w:p>
    <w:p w14:paraId="6C5924D6">
      <w:pPr>
        <w:pStyle w:val="17"/>
        <w:spacing w:beforeAutospacing="0" w:afterAutospacing="0"/>
        <w:jc w:val="both"/>
      </w:pPr>
      <w:r>
        <w:t> </w:t>
      </w:r>
    </w:p>
    <w:p w14:paraId="6380019E">
      <w:pPr>
        <w:pStyle w:val="17"/>
        <w:spacing w:beforeAutospacing="0" w:afterAutospacing="0"/>
        <w:jc w:val="both"/>
      </w:pPr>
      <w:r>
        <w:t> </w:t>
      </w:r>
    </w:p>
    <w:p w14:paraId="0B7931E5">
      <w:pPr>
        <w:pStyle w:val="17"/>
        <w:spacing w:beforeAutospacing="0" w:afterAutospacing="0"/>
        <w:jc w:val="both"/>
      </w:pPr>
      <w:r>
        <w:t> </w:t>
      </w:r>
    </w:p>
    <w:p w14:paraId="601D1F7D">
      <w:pPr>
        <w:pStyle w:val="17"/>
        <w:spacing w:beforeAutospacing="0" w:afterAutospacing="0"/>
        <w:jc w:val="both"/>
      </w:pPr>
      <w:r>
        <w:t> </w:t>
      </w:r>
    </w:p>
    <w:p w14:paraId="007BC8DC">
      <w:pPr>
        <w:pStyle w:val="17"/>
        <w:spacing w:beforeAutospacing="0" w:afterAutospacing="0"/>
        <w:jc w:val="both"/>
      </w:pPr>
      <w:r>
        <w:t> </w:t>
      </w:r>
    </w:p>
    <w:p w14:paraId="2719EAC7">
      <w:pPr>
        <w:pStyle w:val="17"/>
        <w:spacing w:beforeAutospacing="0" w:afterAutospacing="0"/>
        <w:jc w:val="both"/>
      </w:pPr>
      <w:r>
        <w:t> </w:t>
      </w:r>
    </w:p>
    <w:p w14:paraId="26E6022B">
      <w:pPr>
        <w:pStyle w:val="17"/>
        <w:spacing w:beforeAutospacing="0" w:afterAutospacing="0"/>
        <w:jc w:val="both"/>
      </w:pPr>
      <w:r>
        <w:t> </w:t>
      </w:r>
    </w:p>
    <w:p w14:paraId="73D9A2C5">
      <w:pPr>
        <w:pStyle w:val="17"/>
        <w:spacing w:beforeAutospacing="0" w:afterAutospacing="0"/>
        <w:jc w:val="both"/>
      </w:pPr>
      <w:r>
        <w:t> </w:t>
      </w:r>
    </w:p>
    <w:p w14:paraId="4F2921CD">
      <w:pPr>
        <w:pStyle w:val="17"/>
        <w:spacing w:beforeAutospacing="0" w:afterAutospacing="0"/>
        <w:jc w:val="both"/>
      </w:pPr>
      <w:r>
        <w:t> </w:t>
      </w:r>
    </w:p>
    <w:p w14:paraId="68C3544A">
      <w:pPr>
        <w:pStyle w:val="17"/>
        <w:spacing w:beforeAutospacing="0" w:afterAutospacing="0"/>
        <w:jc w:val="both"/>
      </w:pPr>
      <w:r>
        <w:t> </w:t>
      </w:r>
    </w:p>
    <w:p w14:paraId="2D81C9C6">
      <w:pPr>
        <w:pStyle w:val="17"/>
        <w:spacing w:beforeAutospacing="0" w:afterAutospacing="0"/>
        <w:jc w:val="both"/>
      </w:pPr>
      <w:r>
        <w:t> </w:t>
      </w:r>
    </w:p>
    <w:p w14:paraId="30CB7C79">
      <w:pPr>
        <w:pStyle w:val="17"/>
        <w:spacing w:beforeAutospacing="0" w:afterAutospacing="0"/>
        <w:jc w:val="both"/>
      </w:pPr>
      <w:r>
        <w:t> </w:t>
      </w:r>
    </w:p>
    <w:p w14:paraId="0AEC02DF">
      <w:pPr>
        <w:pStyle w:val="17"/>
        <w:spacing w:beforeAutospacing="0" w:afterAutospacing="0"/>
        <w:jc w:val="both"/>
      </w:pPr>
      <w:r>
        <w:t> </w:t>
      </w:r>
    </w:p>
    <w:p w14:paraId="6213F52D">
      <w:pPr>
        <w:pStyle w:val="17"/>
        <w:spacing w:beforeAutospacing="0" w:afterAutospacing="0"/>
        <w:jc w:val="both"/>
      </w:pPr>
      <w:r>
        <w:t> </w:t>
      </w:r>
    </w:p>
    <w:p w14:paraId="02C5B1A3">
      <w:pPr>
        <w:pStyle w:val="17"/>
        <w:spacing w:beforeAutospacing="0" w:afterAutospacing="0"/>
        <w:jc w:val="both"/>
      </w:pPr>
      <w:r>
        <w:t> </w:t>
      </w:r>
    </w:p>
    <w:p w14:paraId="6BDF1823">
      <w:pPr>
        <w:pStyle w:val="17"/>
        <w:spacing w:beforeAutospacing="0" w:afterAutospacing="0"/>
        <w:jc w:val="both"/>
      </w:pPr>
      <w:r>
        <w:t> </w:t>
      </w:r>
    </w:p>
    <w:p w14:paraId="1A725B1F">
      <w:pPr>
        <w:pStyle w:val="17"/>
        <w:spacing w:beforeAutospacing="0" w:afterAutospacing="0"/>
        <w:jc w:val="both"/>
      </w:pPr>
      <w:r>
        <w:t> </w:t>
      </w:r>
    </w:p>
    <w:p w14:paraId="7585D3F2">
      <w:pPr>
        <w:pStyle w:val="17"/>
        <w:spacing w:beforeAutospacing="0" w:afterAutospacing="0"/>
        <w:jc w:val="both"/>
      </w:pPr>
      <w:r>
        <w:t> </w:t>
      </w:r>
    </w:p>
    <w:p w14:paraId="3C020CDD">
      <w:pPr>
        <w:pStyle w:val="17"/>
        <w:spacing w:beforeAutospacing="0" w:afterAutospacing="0"/>
        <w:jc w:val="both"/>
      </w:pPr>
      <w:r>
        <w:t> </w:t>
      </w:r>
    </w:p>
    <w:p w14:paraId="14A7654F">
      <w:pPr>
        <w:pStyle w:val="17"/>
        <w:spacing w:beforeAutospacing="0" w:afterAutospacing="0"/>
        <w:jc w:val="both"/>
      </w:pPr>
      <w:r>
        <w:t> </w:t>
      </w:r>
    </w:p>
    <w:p w14:paraId="45214D07">
      <w:pPr>
        <w:pStyle w:val="17"/>
        <w:spacing w:beforeAutospacing="0" w:afterAutospacing="0"/>
        <w:jc w:val="both"/>
      </w:pPr>
      <w:r>
        <w:t> </w:t>
      </w:r>
    </w:p>
    <w:p w14:paraId="317A1B81">
      <w:pPr>
        <w:pStyle w:val="17"/>
        <w:spacing w:beforeAutospacing="0" w:afterAutospacing="0"/>
        <w:jc w:val="both"/>
      </w:pPr>
      <w:r>
        <w:t> </w:t>
      </w:r>
    </w:p>
    <w:p w14:paraId="7D6B7798">
      <w:pPr>
        <w:pStyle w:val="17"/>
        <w:spacing w:beforeAutospacing="0" w:afterAutospacing="0"/>
        <w:jc w:val="both"/>
      </w:pPr>
      <w:r>
        <w:t> </w:t>
      </w:r>
    </w:p>
    <w:p w14:paraId="2407DC5F">
      <w:pPr>
        <w:pStyle w:val="17"/>
        <w:keepNext/>
        <w:spacing w:beforeAutospacing="0" w:afterAutospacing="0"/>
        <w:jc w:val="center"/>
        <w:rPr>
          <w:rFonts w:hint="default" w:eastAsia="黑体"/>
          <w:lang w:val="en-US" w:eastAsia="zh-CN"/>
        </w:rPr>
      </w:pPr>
      <w:r>
        <w:rPr>
          <w:rFonts w:hint="eastAsia" w:ascii="黑体" w:hAnsi="宋体" w:eastAsia="黑体" w:cs="黑体"/>
          <w:color w:val="000000"/>
          <w:sz w:val="44"/>
          <w:szCs w:val="44"/>
        </w:rPr>
        <w:t>第一章 </w:t>
      </w:r>
      <w:r>
        <w:rPr>
          <w:rFonts w:hint="eastAsia" w:ascii="黑体" w:hAnsi="宋体" w:eastAsia="黑体" w:cs="黑体"/>
          <w:color w:val="000000"/>
          <w:sz w:val="44"/>
          <w:szCs w:val="44"/>
          <w:lang w:val="en-US" w:eastAsia="zh-CN"/>
        </w:rPr>
        <w:t>招标公告</w:t>
      </w:r>
    </w:p>
    <w:p w14:paraId="7FC5F6E5">
      <w:pPr>
        <w:pStyle w:val="17"/>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2"/>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项目概况</w:t>
      </w:r>
    </w:p>
    <w:p w14:paraId="0611D9A6">
      <w:pPr>
        <w:pStyle w:val="17"/>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2"/>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color w:val="000000"/>
          <w:sz w:val="24"/>
          <w:szCs w:val="24"/>
          <w:u w:val="single"/>
          <w:lang w:eastAsia="zh-CN"/>
        </w:rPr>
        <w:t>阜宁县2026年度老旧小区及零散楼幢通信和广电网络改造服务项目</w:t>
      </w:r>
      <w:r>
        <w:rPr>
          <w:rFonts w:hint="eastAsia" w:asciiTheme="minorEastAsia" w:hAnsiTheme="minorEastAsia" w:cstheme="minorEastAsia"/>
          <w:color w:val="000000"/>
          <w:sz w:val="24"/>
          <w:szCs w:val="24"/>
          <w:u w:val="single"/>
          <w:lang w:val="en-US" w:eastAsia="zh-CN"/>
        </w:rPr>
        <w:t>（JSZC-320923-JSTC-G2026-0002）</w:t>
      </w:r>
      <w:r>
        <w:rPr>
          <w:rFonts w:hint="eastAsia" w:asciiTheme="minorEastAsia" w:hAnsiTheme="minorEastAsia" w:eastAsiaTheme="minorEastAsia" w:cstheme="minorEastAsia"/>
          <w:color w:val="auto"/>
          <w:sz w:val="24"/>
          <w:szCs w:val="24"/>
        </w:rPr>
        <w:t>招标项目的潜在投标人可在“苏采云”系统内免费下载（投标人必须在苏采云系统中获取采购文件，方能参与政府采购项目）</w:t>
      </w:r>
      <w:r>
        <w:rPr>
          <w:rFonts w:hint="eastAsia" w:asciiTheme="minorEastAsia" w:hAnsiTheme="minorEastAsia" w:eastAsiaTheme="minorEastAsia" w:cstheme="minorEastAsia"/>
          <w:color w:val="000000"/>
          <w:sz w:val="24"/>
          <w:szCs w:val="24"/>
        </w:rPr>
        <w:t>，并于</w:t>
      </w:r>
      <w:r>
        <w:rPr>
          <w:rFonts w:hint="eastAsia" w:asciiTheme="minorEastAsia" w:hAnsiTheme="minorEastAsia" w:eastAsiaTheme="minorEastAsia" w:cstheme="minorEastAsia"/>
          <w:color w:val="000000"/>
          <w:sz w:val="24"/>
          <w:szCs w:val="24"/>
          <w:u w:val="single"/>
        </w:rPr>
        <w:t> </w:t>
      </w:r>
      <w:r>
        <w:rPr>
          <w:rFonts w:hint="eastAsia" w:asciiTheme="minorEastAsia" w:hAnsiTheme="minorEastAsia" w:cstheme="minorEastAsia"/>
          <w:color w:val="auto"/>
          <w:sz w:val="24"/>
          <w:szCs w:val="24"/>
          <w:u w:val="single"/>
          <w:lang w:val="en-US" w:eastAsia="zh-CN"/>
        </w:rPr>
        <w:t>2026年8月14日</w:t>
      </w:r>
      <w:r>
        <w:rPr>
          <w:rFonts w:hint="eastAsia" w:asciiTheme="minorEastAsia" w:hAnsiTheme="minorEastAsia" w:eastAsiaTheme="minorEastAsia" w:cstheme="minorEastAsia"/>
          <w:color w:val="auto"/>
          <w:sz w:val="24"/>
          <w:szCs w:val="24"/>
          <w:u w:val="single"/>
          <w:lang w:val="en-US" w:eastAsia="zh-CN"/>
        </w:rPr>
        <w:t>09</w:t>
      </w:r>
      <w:r>
        <w:rPr>
          <w:rFonts w:hint="eastAsia" w:asciiTheme="minorEastAsia" w:hAnsiTheme="minorEastAsia" w:eastAsiaTheme="minorEastAsia" w:cstheme="minorEastAsia"/>
          <w:color w:val="auto"/>
          <w:sz w:val="24"/>
          <w:szCs w:val="24"/>
          <w:u w:val="single"/>
        </w:rPr>
        <w:t>点</w:t>
      </w:r>
      <w:r>
        <w:rPr>
          <w:rFonts w:hint="eastAsia" w:asciiTheme="minorEastAsia" w:hAnsiTheme="minorEastAsia" w:eastAsiaTheme="minorEastAsia" w:cstheme="minorEastAsia"/>
          <w:color w:val="auto"/>
          <w:sz w:val="24"/>
          <w:szCs w:val="24"/>
          <w:u w:val="single"/>
          <w:lang w:val="en-US" w:eastAsia="zh-CN"/>
        </w:rPr>
        <w:t>00</w:t>
      </w:r>
      <w:r>
        <w:rPr>
          <w:rFonts w:hint="eastAsia" w:asciiTheme="minorEastAsia" w:hAnsiTheme="minorEastAsia" w:eastAsiaTheme="minorEastAsia" w:cstheme="minorEastAsia"/>
          <w:color w:val="auto"/>
          <w:sz w:val="24"/>
          <w:szCs w:val="24"/>
          <w:u w:val="single"/>
        </w:rPr>
        <w:t>分（</w:t>
      </w:r>
      <w:r>
        <w:rPr>
          <w:rFonts w:hint="eastAsia" w:asciiTheme="minorEastAsia" w:hAnsiTheme="minorEastAsia" w:eastAsiaTheme="minorEastAsia" w:cstheme="minorEastAsia"/>
          <w:color w:val="auto"/>
          <w:sz w:val="24"/>
          <w:szCs w:val="24"/>
        </w:rPr>
        <w:t>北京时间）前递交投标文件。</w:t>
      </w:r>
    </w:p>
    <w:p w14:paraId="3CB9F132">
      <w:pPr>
        <w:pStyle w:val="17"/>
        <w:keepNext/>
        <w:keepLines/>
        <w:pageBreakBefore w:val="0"/>
        <w:widowControl w:val="0"/>
        <w:kinsoku/>
        <w:wordWrap/>
        <w:overflowPunct/>
        <w:topLinePunct w:val="0"/>
        <w:autoSpaceDE/>
        <w:autoSpaceDN/>
        <w:bidi w:val="0"/>
        <w:adjustRightInd/>
        <w:snapToGrid/>
        <w:spacing w:beforeAutospacing="0" w:afterAutospacing="0" w:line="460" w:lineRule="exact"/>
        <w:ind w:firstLine="499"/>
        <w:jc w:val="both"/>
        <w:textAlignment w:val="auto"/>
        <w:rPr>
          <w:rFonts w:hint="eastAsia" w:ascii="Times New Roman" w:hAnsi="Times New Roman" w:cs="Times New Roman"/>
          <w:b/>
          <w:color w:val="000000"/>
          <w:sz w:val="28"/>
          <w:szCs w:val="28"/>
        </w:rPr>
      </w:pPr>
      <w:bookmarkStart w:id="6" w:name="_Toc35393790"/>
      <w:bookmarkStart w:id="7" w:name="_Toc28359079"/>
      <w:bookmarkStart w:id="8" w:name="_Toc38985263"/>
      <w:bookmarkStart w:id="9" w:name="_Hlk24379207"/>
      <w:bookmarkStart w:id="10" w:name="_Toc35393621"/>
      <w:bookmarkStart w:id="11" w:name="_Toc28359002"/>
      <w:r>
        <w:rPr>
          <w:rFonts w:hint="eastAsia" w:ascii="Times New Roman" w:hAnsi="Times New Roman" w:cs="Times New Roman"/>
          <w:b/>
          <w:color w:val="000000"/>
          <w:sz w:val="28"/>
          <w:szCs w:val="28"/>
        </w:rPr>
        <w:t>一、项目基本情况</w:t>
      </w:r>
      <w:bookmarkEnd w:id="6"/>
      <w:bookmarkEnd w:id="7"/>
      <w:bookmarkEnd w:id="8"/>
      <w:bookmarkEnd w:id="9"/>
      <w:bookmarkEnd w:id="10"/>
      <w:bookmarkEnd w:id="11"/>
    </w:p>
    <w:p w14:paraId="45C0C4B1">
      <w:pPr>
        <w:pStyle w:val="17"/>
        <w:spacing w:beforeAutospacing="0" w:afterAutospacing="0"/>
        <w:ind w:firstLine="480" w:firstLineChars="20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000000"/>
          <w:sz w:val="24"/>
          <w:szCs w:val="24"/>
        </w:rPr>
        <w:t>1.项目编号：</w:t>
      </w:r>
      <w:r>
        <w:rPr>
          <w:rFonts w:hint="eastAsia" w:asciiTheme="minorEastAsia" w:hAnsiTheme="minorEastAsia" w:cstheme="minorEastAsia"/>
          <w:color w:val="auto"/>
          <w:sz w:val="24"/>
          <w:szCs w:val="24"/>
          <w:lang w:eastAsia="zh-CN"/>
        </w:rPr>
        <w:t>JSZC-320923-JSTC-G2026-0002</w:t>
      </w:r>
    </w:p>
    <w:p w14:paraId="245124C6">
      <w:pPr>
        <w:pStyle w:val="1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Theme="minorEastAsia" w:cstheme="minorBidi"/>
          <w:color w:val="auto"/>
          <w:kern w:val="2"/>
          <w:sz w:val="24"/>
          <w:szCs w:val="24"/>
          <w:lang w:val="en-US" w:eastAsia="zh-CN" w:bidi="ar-SA"/>
        </w:rPr>
      </w:pPr>
      <w:r>
        <w:rPr>
          <w:rFonts w:hint="eastAsia" w:asciiTheme="minorEastAsia" w:hAnsiTheme="minorEastAsia" w:eastAsiaTheme="minorEastAsia" w:cstheme="minorEastAsia"/>
          <w:color w:val="000000"/>
          <w:sz w:val="24"/>
          <w:szCs w:val="24"/>
        </w:rPr>
        <w:t>2.项目名称：</w:t>
      </w:r>
      <w:r>
        <w:rPr>
          <w:rFonts w:hint="eastAsia" w:ascii="宋体" w:hAnsi="宋体" w:cstheme="minorBidi"/>
          <w:color w:val="auto"/>
          <w:kern w:val="2"/>
          <w:sz w:val="24"/>
          <w:szCs w:val="24"/>
          <w:lang w:val="en-US" w:eastAsia="zh-CN" w:bidi="ar-SA"/>
        </w:rPr>
        <w:t>阜宁县2026年度老旧小区及零散楼幢通信和广电网络改造服务项目</w:t>
      </w:r>
    </w:p>
    <w:p w14:paraId="181F7EFD">
      <w:pPr>
        <w:pStyle w:val="1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3.</w:t>
      </w:r>
      <w:r>
        <w:rPr>
          <w:rFonts w:hint="eastAsia" w:asciiTheme="minorEastAsia" w:hAnsiTheme="minorEastAsia" w:eastAsiaTheme="minorEastAsia" w:cstheme="minorEastAsia"/>
          <w:i w:val="0"/>
          <w:iCs w:val="0"/>
          <w:caps w:val="0"/>
          <w:color w:val="333333"/>
          <w:spacing w:val="0"/>
          <w:sz w:val="24"/>
          <w:szCs w:val="24"/>
          <w:shd w:val="clear" w:fill="FFFFFF"/>
        </w:rPr>
        <w:t>采购方式：</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公开招标</w:t>
      </w:r>
    </w:p>
    <w:p w14:paraId="5C22ED8B">
      <w:pPr>
        <w:spacing w:line="440" w:lineRule="exact"/>
        <w:ind w:firstLine="480" w:firstLineChars="200"/>
        <w:rPr>
          <w:rFonts w:ascii="宋体" w:hAnsi="宋体"/>
          <w:color w:val="auto"/>
          <w:sz w:val="24"/>
        </w:rPr>
      </w:pP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.预算金额：</w:t>
      </w:r>
      <w:r>
        <w:rPr>
          <w:rFonts w:hint="eastAsia" w:ascii="宋体" w:hAnsi="宋体"/>
          <w:color w:val="auto"/>
          <w:sz w:val="24"/>
          <w:lang w:eastAsia="zh-CN"/>
        </w:rPr>
        <w:t>153.72万元</w:t>
      </w:r>
      <w:r>
        <w:rPr>
          <w:rFonts w:hint="eastAsia" w:ascii="宋体" w:hAnsi="宋体"/>
          <w:color w:val="auto"/>
          <w:sz w:val="24"/>
        </w:rPr>
        <w:t>。</w:t>
      </w:r>
    </w:p>
    <w:p w14:paraId="0249A27F">
      <w:pPr>
        <w:pStyle w:val="1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default" w:asciiTheme="minorEastAsia" w:hAnsiTheme="minorEastAsia" w:eastAsiaTheme="minorEastAsia" w:cstheme="minorEastAsia"/>
          <w:color w:val="000000"/>
          <w:sz w:val="24"/>
          <w:szCs w:val="24"/>
          <w:shd w:val="clear" w:color="auto" w:fill="FFFF00"/>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5.</w:t>
      </w:r>
      <w:r>
        <w:rPr>
          <w:rFonts w:hint="eastAsia" w:asciiTheme="minorEastAsia" w:hAnsiTheme="minorEastAsia" w:eastAsiaTheme="minorEastAsia" w:cstheme="minorEastAsia"/>
          <w:i w:val="0"/>
          <w:iCs w:val="0"/>
          <w:caps w:val="0"/>
          <w:color w:val="333333"/>
          <w:spacing w:val="0"/>
          <w:sz w:val="24"/>
          <w:szCs w:val="24"/>
          <w:shd w:val="clear" w:fill="FFFFFF"/>
        </w:rPr>
        <w:t>最高限价</w:t>
      </w:r>
      <w:r>
        <w:rPr>
          <w:rFonts w:hint="eastAsia" w:asciiTheme="minorEastAsia" w:hAnsiTheme="minorEastAsia" w:cstheme="minorEastAsia"/>
          <w:i w:val="0"/>
          <w:iCs w:val="0"/>
          <w:caps w:val="0"/>
          <w:color w:val="333333"/>
          <w:spacing w:val="0"/>
          <w:sz w:val="24"/>
          <w:szCs w:val="24"/>
          <w:shd w:val="clear" w:fill="FFFFFF"/>
          <w:lang w:eastAsia="zh-CN"/>
        </w:rPr>
        <w:t>：</w:t>
      </w:r>
      <w:r>
        <w:rPr>
          <w:rFonts w:hint="eastAsia" w:ascii="宋体" w:hAnsi="宋体"/>
          <w:color w:val="auto"/>
          <w:sz w:val="24"/>
          <w:lang w:eastAsia="zh-CN"/>
        </w:rPr>
        <w:t>153.72万元</w:t>
      </w:r>
      <w:r>
        <w:rPr>
          <w:rFonts w:hint="eastAsia" w:ascii="宋体" w:hAnsi="宋体"/>
          <w:color w:val="auto"/>
          <w:sz w:val="24"/>
        </w:rPr>
        <w:t>。</w:t>
      </w:r>
    </w:p>
    <w:p w14:paraId="28A397C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kern w:val="0"/>
          <w:sz w:val="24"/>
          <w:szCs w:val="24"/>
          <w:lang w:eastAsia="zh-CN"/>
        </w:rPr>
      </w:pP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.采购需求（简介）</w:t>
      </w:r>
      <w:r>
        <w:rPr>
          <w:rFonts w:hint="eastAsia" w:asciiTheme="minorEastAsia" w:hAnsiTheme="minorEastAsia" w:cstheme="minorEastAsia"/>
          <w:color w:val="auto"/>
          <w:sz w:val="24"/>
          <w:szCs w:val="24"/>
          <w:lang w:eastAsia="zh-CN"/>
        </w:rPr>
        <w:t>：</w:t>
      </w:r>
      <w:r>
        <w:rPr>
          <w:rFonts w:hint="eastAsia" w:ascii="宋体" w:hAnsi="宋体" w:eastAsia="宋体" w:cs="宋体"/>
          <w:color w:val="auto"/>
          <w:sz w:val="24"/>
          <w:szCs w:val="24"/>
          <w:highlight w:val="none"/>
          <w:lang w:val="en-US" w:eastAsia="zh-CN"/>
        </w:rPr>
        <w:t>本次招标涉及老城区窑桥、新盛、林海三个社区零散楼栋通信广电管网进行改造以及与之相关的一切衍生服务等，面积约11.18万平方米。</w:t>
      </w:r>
      <w:r>
        <w:rPr>
          <w:rFonts w:hint="eastAsia" w:ascii="宋体" w:hAnsi="宋体" w:cs="宋体"/>
          <w:kern w:val="0"/>
          <w:sz w:val="24"/>
          <w:szCs w:val="24"/>
        </w:rPr>
        <w:t>详细内容见本招标文件第四章</w:t>
      </w:r>
      <w:r>
        <w:rPr>
          <w:rFonts w:hint="eastAsia" w:ascii="宋体" w:hAnsi="宋体" w:cs="宋体"/>
          <w:kern w:val="0"/>
          <w:sz w:val="24"/>
          <w:szCs w:val="24"/>
          <w:lang w:eastAsia="zh-CN"/>
        </w:rPr>
        <w:t>。</w:t>
      </w:r>
    </w:p>
    <w:p w14:paraId="5287436B">
      <w:pPr>
        <w:keepNext w:val="0"/>
        <w:keepLines w:val="0"/>
        <w:pageBreakBefore w:val="0"/>
        <w:widowControl w:val="0"/>
        <w:kinsoku/>
        <w:wordWrap/>
        <w:overflowPunct/>
        <w:topLinePunct w:val="0"/>
        <w:autoSpaceDE/>
        <w:autoSpaceDN/>
        <w:bidi w:val="0"/>
        <w:adjustRightInd/>
        <w:snapToGrid/>
        <w:spacing w:line="420" w:lineRule="exact"/>
        <w:ind w:firstLine="437"/>
        <w:textAlignment w:val="auto"/>
        <w:rPr>
          <w:rFonts w:hint="eastAsia" w:ascii="宋体" w:hAnsi="宋体" w:eastAsia="宋体" w:cs="Times New Roman"/>
          <w:sz w:val="24"/>
          <w:lang w:eastAsia="zh-CN"/>
        </w:rPr>
      </w:pPr>
      <w:r>
        <w:rPr>
          <w:rFonts w:hint="eastAsia" w:ascii="宋体" w:hAnsi="宋体"/>
          <w:color w:val="auto"/>
          <w:sz w:val="24"/>
        </w:rPr>
        <w:t>6.合同履行期限</w:t>
      </w:r>
      <w:r>
        <w:rPr>
          <w:rFonts w:hint="eastAsia" w:ascii="宋体" w:hAnsi="宋体" w:eastAsia="宋体" w:cs="Times New Roman"/>
          <w:sz w:val="24"/>
          <w:lang w:eastAsia="zh-CN"/>
        </w:rPr>
        <w:t>：合同签订后90日历天。</w:t>
      </w:r>
    </w:p>
    <w:p w14:paraId="79625B00">
      <w:pPr>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left="0" w:leftChars="0" w:firstLine="504" w:firstLineChars="210"/>
        <w:jc w:val="both"/>
        <w:textAlignment w:val="baseline"/>
        <w:rPr>
          <w:rStyle w:val="36"/>
          <w:rFonts w:hint="eastAsia" w:ascii="宋体" w:hAnsi="宋体" w:eastAsia="宋体" w:cs="宋体"/>
          <w:b w:val="0"/>
          <w:i w:val="0"/>
          <w:caps w:val="0"/>
          <w:spacing w:val="0"/>
          <w:w w:val="100"/>
          <w:kern w:val="2"/>
          <w:sz w:val="24"/>
          <w:szCs w:val="24"/>
          <w:lang w:val="en-US" w:eastAsia="zh-CN" w:bidi="ar-SA"/>
        </w:rPr>
      </w:pPr>
      <w:r>
        <w:rPr>
          <w:rFonts w:hint="eastAsia" w:ascii="宋体" w:hAnsi="宋体" w:eastAsia="宋体" w:cs="Times New Roman"/>
          <w:color w:val="auto"/>
          <w:sz w:val="24"/>
          <w:lang w:val="en-US" w:eastAsia="zh-CN"/>
        </w:rPr>
        <w:t>7</w:t>
      </w:r>
      <w:r>
        <w:rPr>
          <w:rFonts w:hint="eastAsia" w:ascii="宋体" w:hAnsi="宋体"/>
          <w:color w:val="auto"/>
          <w:sz w:val="24"/>
        </w:rPr>
        <w:t>.</w:t>
      </w:r>
      <w:r>
        <w:rPr>
          <w:rStyle w:val="36"/>
          <w:rFonts w:hAnsi="宋体"/>
          <w:color w:val="auto"/>
          <w:kern w:val="2"/>
          <w:sz w:val="24"/>
          <w:szCs w:val="24"/>
          <w:lang w:val="en-US" w:eastAsia="zh-CN" w:bidi="ar-SA"/>
        </w:rPr>
        <w:t>发包范围与标段划分：</w:t>
      </w:r>
      <w:r>
        <w:rPr>
          <w:rFonts w:hint="eastAsia" w:ascii="宋体" w:hAnsi="宋体" w:eastAsia="宋体" w:cs="Times New Roman"/>
          <w:color w:val="auto"/>
          <w:sz w:val="24"/>
        </w:rPr>
        <w:t>本次招标工程共</w:t>
      </w:r>
      <w:r>
        <w:rPr>
          <w:rFonts w:hint="eastAsia" w:ascii="宋体" w:hAnsi="宋体" w:cs="Times New Roman"/>
          <w:color w:val="auto"/>
          <w:sz w:val="24"/>
          <w:lang w:val="en-US" w:eastAsia="zh-CN"/>
        </w:rPr>
        <w:t>1</w:t>
      </w:r>
      <w:r>
        <w:rPr>
          <w:rFonts w:hint="eastAsia" w:ascii="宋体" w:hAnsi="宋体" w:eastAsia="宋体" w:cs="Times New Roman"/>
          <w:color w:val="auto"/>
          <w:sz w:val="24"/>
        </w:rPr>
        <w:t>个标段</w:t>
      </w:r>
      <w:r>
        <w:rPr>
          <w:rFonts w:hint="eastAsia" w:ascii="宋体" w:hAnsi="宋体" w:cs="Times New Roman"/>
          <w:color w:val="auto"/>
          <w:sz w:val="24"/>
          <w:lang w:eastAsia="zh-CN"/>
        </w:rPr>
        <w:t>。</w:t>
      </w:r>
    </w:p>
    <w:p w14:paraId="310CB598">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cs="宋体"/>
          <w:color w:val="auto"/>
          <w:sz w:val="24"/>
          <w:lang w:bidi="ar"/>
        </w:rPr>
      </w:pPr>
      <w:bookmarkStart w:id="12" w:name="_Toc38985264"/>
      <w:bookmarkStart w:id="13" w:name="_Toc35393622"/>
      <w:bookmarkStart w:id="14" w:name="_Toc28359003"/>
      <w:bookmarkStart w:id="15" w:name="_Toc35393791"/>
      <w:bookmarkStart w:id="16" w:name="_Toc28359080"/>
      <w:r>
        <w:rPr>
          <w:rFonts w:hint="eastAsia" w:ascii="宋体" w:hAnsi="宋体" w:cs="宋体"/>
          <w:color w:val="auto"/>
          <w:sz w:val="24"/>
          <w:lang w:val="en-US" w:eastAsia="zh-CN" w:bidi="ar"/>
        </w:rPr>
        <w:t>8</w:t>
      </w:r>
      <w:r>
        <w:rPr>
          <w:rFonts w:hint="eastAsia" w:ascii="宋体" w:hAnsi="宋体"/>
          <w:color w:val="auto"/>
          <w:sz w:val="24"/>
        </w:rPr>
        <w:t>.</w:t>
      </w:r>
      <w:r>
        <w:rPr>
          <w:rFonts w:hint="eastAsia" w:ascii="宋体" w:hAnsi="宋体" w:cs="宋体"/>
          <w:color w:val="auto"/>
          <w:sz w:val="24"/>
          <w:lang w:bidi="ar"/>
        </w:rPr>
        <w:t>本项目不接受联合体投标。</w:t>
      </w:r>
    </w:p>
    <w:p w14:paraId="38B440E5">
      <w:pPr>
        <w:pStyle w:val="17"/>
        <w:keepNext/>
        <w:keepLines/>
        <w:pageBreakBefore w:val="0"/>
        <w:widowControl w:val="0"/>
        <w:kinsoku/>
        <w:wordWrap/>
        <w:overflowPunct/>
        <w:topLinePunct w:val="0"/>
        <w:autoSpaceDE/>
        <w:autoSpaceDN/>
        <w:bidi w:val="0"/>
        <w:adjustRightInd/>
        <w:snapToGrid/>
        <w:spacing w:beforeAutospacing="0" w:afterAutospacing="0" w:line="460" w:lineRule="exact"/>
        <w:ind w:firstLine="499"/>
        <w:jc w:val="both"/>
        <w:textAlignment w:val="auto"/>
        <w:rPr>
          <w:rFonts w:hint="eastAsia" w:ascii="Times New Roman" w:hAnsi="Times New Roman" w:cs="Times New Roman"/>
          <w:b/>
          <w:color w:val="000000"/>
          <w:sz w:val="28"/>
          <w:szCs w:val="28"/>
        </w:rPr>
      </w:pPr>
      <w:r>
        <w:rPr>
          <w:rFonts w:hint="eastAsia" w:ascii="Times New Roman" w:hAnsi="Times New Roman" w:cs="Times New Roman"/>
          <w:b/>
          <w:color w:val="000000"/>
          <w:sz w:val="28"/>
          <w:szCs w:val="28"/>
        </w:rPr>
        <w:t>二、申请人的资格要求：</w:t>
      </w:r>
      <w:bookmarkEnd w:id="12"/>
      <w:bookmarkEnd w:id="13"/>
      <w:bookmarkEnd w:id="14"/>
      <w:bookmarkEnd w:id="15"/>
      <w:bookmarkEnd w:id="16"/>
    </w:p>
    <w:p w14:paraId="0F8E58E2">
      <w:pPr>
        <w:pStyle w:val="1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1.满足《中华人民共和国政府采购法》第二十二条规定，并提供下列材料：</w:t>
      </w:r>
    </w:p>
    <w:p w14:paraId="01352385">
      <w:pPr>
        <w:pStyle w:val="1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rPr>
        <w:t>1.1 法人或者其他组织的营业执照等证明文件，自然人的身份证明；</w:t>
      </w:r>
    </w:p>
    <w:p w14:paraId="390C8784">
      <w:pPr>
        <w:pStyle w:val="1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jc w:val="both"/>
        <w:textAlignment w:val="auto"/>
        <w:rPr>
          <w:rFonts w:hint="eastAsia" w:ascii="宋体" w:hAnsi="宋体" w:eastAsia="宋体" w:cs="宋体"/>
          <w:color w:val="auto"/>
          <w:sz w:val="24"/>
          <w:lang w:eastAsia="zh-CN" w:bidi="ar"/>
        </w:rPr>
      </w:pPr>
      <w:r>
        <w:rPr>
          <w:rFonts w:hint="eastAsia" w:asciiTheme="minorEastAsia" w:hAnsiTheme="minorEastAsia" w:eastAsiaTheme="minorEastAsia" w:cstheme="minorEastAsia"/>
          <w:color w:val="000000"/>
          <w:sz w:val="24"/>
          <w:szCs w:val="24"/>
          <w:highlight w:val="none"/>
        </w:rPr>
        <w:t>1.2</w:t>
      </w:r>
      <w:r>
        <w:rPr>
          <w:rFonts w:hint="eastAsia" w:ascii="宋体" w:hAnsi="宋体" w:eastAsia="宋体" w:cs="宋体"/>
          <w:color w:val="auto"/>
          <w:sz w:val="24"/>
          <w:lang w:eastAsia="zh-CN" w:bidi="ar"/>
        </w:rPr>
        <w:t>具有良好的商业信誉和健全的财务会计制度【提供</w:t>
      </w:r>
      <w:r>
        <w:rPr>
          <w:rFonts w:hint="eastAsia" w:ascii="宋体" w:hAnsi="宋体" w:eastAsia="宋体" w:cs="宋体"/>
          <w:color w:val="auto"/>
          <w:sz w:val="24"/>
          <w:lang w:val="en-US" w:eastAsia="zh-CN" w:bidi="ar"/>
        </w:rPr>
        <w:t>2025年度的财务状况报告</w:t>
      </w:r>
      <w:r>
        <w:rPr>
          <w:rFonts w:hint="eastAsia" w:ascii="宋体" w:hAnsi="宋体" w:eastAsia="宋体" w:cs="宋体"/>
          <w:color w:val="auto"/>
          <w:sz w:val="24"/>
          <w:lang w:eastAsia="zh-CN" w:bidi="ar"/>
        </w:rPr>
        <w:t>（财务状况报告至少应包括资产负债表、利润表；距投标截止之日止，成立不足一年的供应商，可不提供财务状况报告。）】；</w:t>
      </w:r>
    </w:p>
    <w:p w14:paraId="7D28F76B">
      <w:pPr>
        <w:pStyle w:val="1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1.3</w:t>
      </w:r>
      <w:r>
        <w:rPr>
          <w:rFonts w:hint="eastAsia" w:asciiTheme="minorEastAsia" w:hAnsiTheme="minorEastAsia" w:eastAsiaTheme="minorEastAsia" w:cstheme="minorEastAsia"/>
          <w:color w:val="000000"/>
          <w:sz w:val="24"/>
          <w:szCs w:val="24"/>
        </w:rPr>
        <w:t>具备履行合同所必需的设备和专业技术能力的书面声明；</w:t>
      </w:r>
    </w:p>
    <w:p w14:paraId="1F2A3736">
      <w:pPr>
        <w:pStyle w:val="1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依法缴纳税收和社会保障资金的相关材料（提供提交</w:t>
      </w:r>
      <w:r>
        <w:rPr>
          <w:rFonts w:hint="eastAsia" w:asciiTheme="minorEastAsia" w:hAnsiTheme="minorEastAsia" w:cstheme="minorEastAsia"/>
          <w:color w:val="000000"/>
          <w:sz w:val="24"/>
          <w:szCs w:val="24"/>
          <w:lang w:eastAsia="zh-CN"/>
        </w:rPr>
        <w:t>投标</w:t>
      </w:r>
      <w:r>
        <w:rPr>
          <w:rFonts w:hint="eastAsia" w:asciiTheme="minorEastAsia" w:hAnsiTheme="minorEastAsia" w:eastAsiaTheme="minorEastAsia" w:cstheme="minorEastAsia"/>
          <w:color w:val="000000"/>
          <w:sz w:val="24"/>
          <w:szCs w:val="24"/>
        </w:rPr>
        <w:t>文件截止时间前一年内至少一个月依法缴纳税收及缴纳社会保障资金的证明材料。供应商依法享受缓缴、免缴税收、社会保障资金的提供证明材料。）；</w:t>
      </w:r>
    </w:p>
    <w:p w14:paraId="33CCE015">
      <w:pPr>
        <w:pStyle w:val="1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rPr>
        <w:t>.5参加政府采购活动前3年内在经营活动中没有重大违法记录的书面声明。</w:t>
      </w:r>
    </w:p>
    <w:p w14:paraId="41813061">
      <w:pPr>
        <w:pStyle w:val="1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1.6法律、行政法规规定的其他条件。</w:t>
      </w:r>
    </w:p>
    <w:p w14:paraId="03E29829">
      <w:pPr>
        <w:pStyle w:val="1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在“信用中国”网</w:t>
      </w:r>
      <w:r>
        <w:rPr>
          <w:rFonts w:hint="eastAsia" w:asciiTheme="minorEastAsia" w:hAnsiTheme="minorEastAsia" w:eastAsiaTheme="minorEastAsia" w:cstheme="minorEastAsia"/>
          <w:color w:val="000000"/>
          <w:sz w:val="24"/>
          <w:szCs w:val="24"/>
        </w:rPr>
        <w:t>站查询，</w:t>
      </w:r>
      <w:r>
        <w:rPr>
          <w:rFonts w:hint="eastAsia" w:ascii="宋体" w:hAnsi="宋体"/>
          <w:color w:val="auto"/>
          <w:sz w:val="24"/>
          <w:szCs w:val="24"/>
          <w:lang w:eastAsia="zh-CN"/>
        </w:rPr>
        <w:t>无被列入失信被执行人、重大税收违法失信主体、政府采购严重违法失信行为记录名单</w:t>
      </w:r>
      <w:r>
        <w:rPr>
          <w:rFonts w:hint="eastAsia" w:ascii="宋体" w:hAnsi="宋体"/>
          <w:color w:val="auto"/>
          <w:sz w:val="24"/>
          <w:szCs w:val="24"/>
        </w:rPr>
        <w:t>及其他不符合《中华人民共和国政府采购法》第二十二条规定条件的信用记录。</w:t>
      </w:r>
      <w:r>
        <w:rPr>
          <w:rFonts w:hint="eastAsia" w:ascii="宋体" w:hAnsi="宋体"/>
          <w:sz w:val="24"/>
          <w:szCs w:val="24"/>
        </w:rPr>
        <w:t>（投标文件中无需提供证明材料）。</w:t>
      </w:r>
    </w:p>
    <w:p w14:paraId="4D22202F">
      <w:pPr>
        <w:pStyle w:val="1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1.8</w:t>
      </w:r>
      <w:r>
        <w:rPr>
          <w:rFonts w:hint="eastAsia" w:asciiTheme="minorEastAsia" w:hAnsiTheme="minorEastAsia" w:eastAsiaTheme="minorEastAsia" w:cstheme="minorEastAsia"/>
          <w:color w:val="000000"/>
          <w:sz w:val="24"/>
          <w:szCs w:val="24"/>
        </w:rPr>
        <w:t>单位负责人为同一人或者存在直接控股、管理关系的不同供应商，不得参加同一合同项下的政府采购活动。</w:t>
      </w:r>
    </w:p>
    <w:p w14:paraId="1DEBAF4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b/>
          <w:bCs/>
          <w:color w:val="auto"/>
          <w:sz w:val="21"/>
          <w:szCs w:val="21"/>
          <w:highlight w:val="none"/>
          <w:lang w:val="en-US" w:eastAsia="zh-CN"/>
        </w:rPr>
      </w:pPr>
      <w:r>
        <w:rPr>
          <w:rFonts w:hint="eastAsia" w:asciiTheme="minorEastAsia" w:hAnsiTheme="minorEastAsia" w:eastAsiaTheme="minorEastAsia" w:cstheme="minorEastAsia"/>
          <w:color w:val="000000"/>
          <w:sz w:val="24"/>
          <w:szCs w:val="24"/>
        </w:rPr>
        <w:t>2</w:t>
      </w:r>
      <w:r>
        <w:rPr>
          <w:rFonts w:hint="eastAsia" w:asciiTheme="minorEastAsia" w:hAnsiTheme="minorEastAsia" w:eastAsiaTheme="minorEastAsia" w:cstheme="minorEastAsia"/>
          <w:color w:val="000000"/>
          <w:sz w:val="24"/>
          <w:szCs w:val="24"/>
          <w:lang w:val="en-US" w:eastAsia="zh-CN"/>
        </w:rPr>
        <w:t>.</w:t>
      </w:r>
      <w:r>
        <w:rPr>
          <w:rFonts w:hint="eastAsia" w:asciiTheme="minorEastAsia" w:hAnsiTheme="minorEastAsia" w:eastAsiaTheme="minorEastAsia" w:cstheme="minorEastAsia"/>
          <w:color w:val="000000"/>
          <w:sz w:val="24"/>
          <w:szCs w:val="24"/>
        </w:rPr>
        <w:t>落实政府采购政策需满足的资格要求：</w:t>
      </w:r>
      <w:r>
        <w:rPr>
          <w:rFonts w:hint="eastAsia" w:ascii="宋体" w:hAnsi="宋体" w:eastAsia="宋体" w:cs="Times New Roman"/>
          <w:b/>
          <w:bCs/>
          <w:color w:val="auto"/>
          <w:sz w:val="24"/>
          <w:highlight w:val="none"/>
          <w:lang w:val="en-US" w:eastAsia="zh-CN"/>
        </w:rPr>
        <w:t>无</w:t>
      </w:r>
    </w:p>
    <w:p w14:paraId="5BA2B7C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Chars="200"/>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本项目的特定资格要求</w:t>
      </w:r>
    </w:p>
    <w:p w14:paraId="64FF0720">
      <w:pPr>
        <w:numPr>
          <w:ilvl w:val="0"/>
          <w:numId w:val="0"/>
        </w:numPr>
        <w:spacing w:line="440" w:lineRule="exact"/>
        <w:ind w:left="422" w:leftChars="0"/>
        <w:rPr>
          <w:rFonts w:hint="eastAsia" w:ascii="宋体" w:hAnsi="宋体" w:cs="宋体"/>
          <w:b/>
          <w:bCs/>
          <w:sz w:val="24"/>
          <w:highlight w:val="none"/>
        </w:rPr>
      </w:pPr>
      <w:r>
        <w:rPr>
          <w:rFonts w:hint="eastAsia" w:ascii="宋体" w:hAnsi="宋体" w:cs="宋体"/>
          <w:b/>
          <w:bCs/>
          <w:sz w:val="24"/>
          <w:highlight w:val="none"/>
        </w:rPr>
        <w:t>3.1</w:t>
      </w:r>
      <w:r>
        <w:rPr>
          <w:rFonts w:hint="eastAsia" w:ascii="宋体" w:hAnsi="宋体" w:cs="宋体"/>
          <w:color w:val="auto"/>
          <w:sz w:val="24"/>
          <w:szCs w:val="24"/>
          <w:highlight w:val="none"/>
          <w:shd w:val="clear" w:color="auto" w:fill="FFFFFF"/>
          <w:lang w:eastAsia="zh-CN"/>
        </w:rPr>
        <w:t>投标人必须在中国境内注册，</w:t>
      </w:r>
      <w:r>
        <w:rPr>
          <w:rFonts w:hint="eastAsia" w:ascii="宋体" w:hAnsi="宋体" w:cs="宋体"/>
          <w:color w:val="0000FF"/>
          <w:sz w:val="24"/>
          <w:szCs w:val="24"/>
          <w:highlight w:val="none"/>
          <w:shd w:val="clear" w:color="auto" w:fill="FFFFFF"/>
          <w:lang w:eastAsia="zh-CN"/>
        </w:rPr>
        <w:t>且</w:t>
      </w:r>
      <w:r>
        <w:rPr>
          <w:rFonts w:hint="eastAsia" w:ascii="宋体" w:hAnsi="宋体" w:cs="宋体"/>
          <w:color w:val="auto"/>
          <w:sz w:val="24"/>
          <w:szCs w:val="24"/>
          <w:highlight w:val="none"/>
          <w:shd w:val="clear" w:color="auto" w:fill="FFFFFF"/>
          <w:lang w:eastAsia="zh-CN"/>
        </w:rPr>
        <w:t>具有国家工信部颁发的《中华人民共和国基础电信业务经营许可证》或其分(支)公司；或具有省级及以上的广电主管部门颁发的《广播电视节目传送业务经营许可证》或其分(支)公司</w:t>
      </w:r>
      <w:r>
        <w:rPr>
          <w:rFonts w:hint="eastAsia" w:ascii="宋体" w:hAnsi="宋体" w:cs="宋体"/>
          <w:b/>
          <w:bCs/>
          <w:sz w:val="24"/>
          <w:highlight w:val="none"/>
          <w:lang w:eastAsia="zh-CN"/>
        </w:rPr>
        <w:t>。</w:t>
      </w:r>
      <w:r>
        <w:rPr>
          <w:rFonts w:hint="eastAsia" w:ascii="宋体" w:hAnsi="宋体" w:cs="宋体"/>
          <w:b/>
          <w:bCs/>
          <w:sz w:val="24"/>
          <w:highlight w:val="none"/>
        </w:rPr>
        <w:t>（若分公司投标的，应出具相应具有独立法人资格的上级公司的授权，授权单位应承担该项目授权内容的一切连带责任。）</w:t>
      </w:r>
    </w:p>
    <w:p w14:paraId="0D88BE82">
      <w:pPr>
        <w:pStyle w:val="17"/>
        <w:keepNext/>
        <w:keepLines/>
        <w:pageBreakBefore w:val="0"/>
        <w:widowControl w:val="0"/>
        <w:kinsoku/>
        <w:wordWrap/>
        <w:overflowPunct/>
        <w:topLinePunct w:val="0"/>
        <w:autoSpaceDE/>
        <w:autoSpaceDN/>
        <w:bidi w:val="0"/>
        <w:adjustRightInd/>
        <w:snapToGrid/>
        <w:spacing w:beforeAutospacing="0" w:afterAutospacing="0" w:line="460" w:lineRule="exact"/>
        <w:ind w:firstLine="499"/>
        <w:jc w:val="both"/>
        <w:textAlignment w:val="auto"/>
        <w:rPr>
          <w:rFonts w:hint="eastAsia" w:ascii="Times New Roman" w:hAnsi="Times New Roman" w:cs="Times New Roman"/>
          <w:b/>
          <w:color w:val="auto"/>
          <w:sz w:val="28"/>
          <w:szCs w:val="28"/>
        </w:rPr>
      </w:pPr>
      <w:r>
        <w:rPr>
          <w:rFonts w:hint="eastAsia" w:ascii="Times New Roman" w:hAnsi="Times New Roman" w:cs="Times New Roman"/>
          <w:b/>
          <w:color w:val="auto"/>
          <w:sz w:val="28"/>
          <w:szCs w:val="28"/>
        </w:rPr>
        <w:t>三、获取招标文件</w:t>
      </w:r>
    </w:p>
    <w:p w14:paraId="58B0B24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1.时间：</w:t>
      </w:r>
      <w:r>
        <w:rPr>
          <w:rFonts w:hint="eastAsia" w:asciiTheme="minorEastAsia" w:hAnsiTheme="minorEastAsia" w:cstheme="minorEastAsia"/>
          <w:i w:val="0"/>
          <w:iCs w:val="0"/>
          <w:caps w:val="0"/>
          <w:color w:val="auto"/>
          <w:spacing w:val="0"/>
          <w:sz w:val="24"/>
          <w:szCs w:val="24"/>
          <w:highlight w:val="none"/>
          <w:u w:val="single"/>
          <w:shd w:val="clear" w:color="auto" w:fill="FFFFFF"/>
          <w:lang w:val="en-US" w:eastAsia="zh-CN"/>
        </w:rPr>
        <w:t>2026</w:t>
      </w:r>
      <w:r>
        <w:rPr>
          <w:rFonts w:hint="eastAsia" w:asciiTheme="minorEastAsia" w:hAnsiTheme="minorEastAsia" w:eastAsiaTheme="minorEastAsia" w:cstheme="minorEastAsia"/>
          <w:i w:val="0"/>
          <w:iCs w:val="0"/>
          <w:caps w:val="0"/>
          <w:color w:val="auto"/>
          <w:spacing w:val="0"/>
          <w:sz w:val="24"/>
          <w:szCs w:val="24"/>
          <w:highlight w:val="none"/>
          <w:u w:val="single"/>
          <w:shd w:val="clear" w:color="auto" w:fill="FFFFFF"/>
        </w:rPr>
        <w:t>年</w:t>
      </w:r>
      <w:r>
        <w:rPr>
          <w:rFonts w:hint="eastAsia" w:asciiTheme="minorEastAsia" w:hAnsiTheme="minorEastAsia" w:cstheme="minorEastAsia"/>
          <w:i w:val="0"/>
          <w:iCs w:val="0"/>
          <w:caps w:val="0"/>
          <w:color w:val="auto"/>
          <w:spacing w:val="0"/>
          <w:sz w:val="24"/>
          <w:szCs w:val="24"/>
          <w:highlight w:val="none"/>
          <w:u w:val="single"/>
          <w:shd w:val="clear" w:color="auto" w:fill="FFFFFF"/>
          <w:lang w:val="en-US" w:eastAsia="zh-CN"/>
        </w:rPr>
        <w:t>7</w:t>
      </w:r>
      <w:r>
        <w:rPr>
          <w:rFonts w:hint="eastAsia" w:asciiTheme="minorEastAsia" w:hAnsiTheme="minorEastAsia" w:eastAsiaTheme="minorEastAsia" w:cstheme="minorEastAsia"/>
          <w:i w:val="0"/>
          <w:iCs w:val="0"/>
          <w:caps w:val="0"/>
          <w:color w:val="auto"/>
          <w:spacing w:val="0"/>
          <w:sz w:val="24"/>
          <w:szCs w:val="24"/>
          <w:highlight w:val="none"/>
          <w:u w:val="single"/>
          <w:shd w:val="clear" w:color="auto" w:fill="FFFFFF"/>
        </w:rPr>
        <w:t>月</w:t>
      </w:r>
      <w:r>
        <w:rPr>
          <w:rFonts w:hint="eastAsia" w:asciiTheme="minorEastAsia" w:hAnsiTheme="minorEastAsia" w:cstheme="minorEastAsia"/>
          <w:i w:val="0"/>
          <w:iCs w:val="0"/>
          <w:caps w:val="0"/>
          <w:color w:val="auto"/>
          <w:spacing w:val="0"/>
          <w:sz w:val="24"/>
          <w:szCs w:val="24"/>
          <w:highlight w:val="none"/>
          <w:u w:val="single"/>
          <w:shd w:val="clear" w:color="auto" w:fill="FFFFFF"/>
          <w:lang w:val="en-US" w:eastAsia="zh-CN"/>
        </w:rPr>
        <w:t>23</w:t>
      </w:r>
      <w:r>
        <w:rPr>
          <w:rFonts w:hint="eastAsia" w:asciiTheme="minorEastAsia" w:hAnsiTheme="minorEastAsia" w:eastAsiaTheme="minorEastAsia" w:cstheme="minorEastAsia"/>
          <w:i w:val="0"/>
          <w:iCs w:val="0"/>
          <w:caps w:val="0"/>
          <w:color w:val="auto"/>
          <w:spacing w:val="0"/>
          <w:sz w:val="24"/>
          <w:szCs w:val="24"/>
          <w:highlight w:val="none"/>
          <w:u w:val="single"/>
          <w:shd w:val="clear" w:color="auto" w:fill="FFFFFF"/>
        </w:rPr>
        <w:t>日</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至</w:t>
      </w:r>
      <w:r>
        <w:rPr>
          <w:rFonts w:hint="eastAsia" w:asciiTheme="minorEastAsia" w:hAnsiTheme="minorEastAsia" w:cstheme="minorEastAsia"/>
          <w:i w:val="0"/>
          <w:iCs w:val="0"/>
          <w:caps w:val="0"/>
          <w:color w:val="auto"/>
          <w:spacing w:val="0"/>
          <w:sz w:val="24"/>
          <w:szCs w:val="24"/>
          <w:highlight w:val="none"/>
          <w:u w:val="single"/>
          <w:shd w:val="clear" w:color="auto" w:fill="FFFFFF"/>
          <w:lang w:val="en-US" w:eastAsia="zh-CN"/>
        </w:rPr>
        <w:t>2026</w:t>
      </w:r>
      <w:r>
        <w:rPr>
          <w:rFonts w:hint="eastAsia" w:asciiTheme="minorEastAsia" w:hAnsiTheme="minorEastAsia" w:eastAsiaTheme="minorEastAsia" w:cstheme="minorEastAsia"/>
          <w:i w:val="0"/>
          <w:iCs w:val="0"/>
          <w:caps w:val="0"/>
          <w:color w:val="auto"/>
          <w:spacing w:val="0"/>
          <w:sz w:val="24"/>
          <w:szCs w:val="24"/>
          <w:highlight w:val="none"/>
          <w:u w:val="single"/>
          <w:shd w:val="clear" w:color="auto" w:fill="FFFFFF"/>
          <w:lang w:val="en-US" w:eastAsia="zh-CN"/>
        </w:rPr>
        <w:t>年</w:t>
      </w:r>
      <w:r>
        <w:rPr>
          <w:rFonts w:hint="eastAsia" w:asciiTheme="minorEastAsia" w:hAnsiTheme="minorEastAsia" w:cstheme="minorEastAsia"/>
          <w:i w:val="0"/>
          <w:iCs w:val="0"/>
          <w:caps w:val="0"/>
          <w:color w:val="auto"/>
          <w:spacing w:val="0"/>
          <w:sz w:val="24"/>
          <w:szCs w:val="24"/>
          <w:highlight w:val="none"/>
          <w:u w:val="single"/>
          <w:shd w:val="clear" w:color="auto" w:fill="FFFFFF"/>
          <w:lang w:val="en-US" w:eastAsia="zh-CN"/>
        </w:rPr>
        <w:t>7</w:t>
      </w:r>
      <w:r>
        <w:rPr>
          <w:rFonts w:hint="eastAsia" w:asciiTheme="minorEastAsia" w:hAnsiTheme="minorEastAsia" w:eastAsiaTheme="minorEastAsia" w:cstheme="minorEastAsia"/>
          <w:i w:val="0"/>
          <w:iCs w:val="0"/>
          <w:caps w:val="0"/>
          <w:color w:val="auto"/>
          <w:spacing w:val="0"/>
          <w:sz w:val="24"/>
          <w:szCs w:val="24"/>
          <w:highlight w:val="none"/>
          <w:u w:val="single"/>
          <w:shd w:val="clear" w:color="auto" w:fill="FFFFFF"/>
          <w:lang w:val="en-US" w:eastAsia="zh-CN"/>
        </w:rPr>
        <w:t>月</w:t>
      </w:r>
      <w:r>
        <w:rPr>
          <w:rFonts w:hint="eastAsia" w:asciiTheme="minorEastAsia" w:hAnsiTheme="minorEastAsia" w:cstheme="minorEastAsia"/>
          <w:i w:val="0"/>
          <w:iCs w:val="0"/>
          <w:caps w:val="0"/>
          <w:color w:val="auto"/>
          <w:spacing w:val="0"/>
          <w:sz w:val="24"/>
          <w:szCs w:val="24"/>
          <w:highlight w:val="none"/>
          <w:u w:val="single"/>
          <w:shd w:val="clear" w:color="auto" w:fill="FFFFFF"/>
          <w:lang w:val="en-US" w:eastAsia="zh-CN"/>
        </w:rPr>
        <w:t>30</w:t>
      </w:r>
      <w:r>
        <w:rPr>
          <w:rFonts w:hint="eastAsia" w:asciiTheme="minorEastAsia" w:hAnsiTheme="minorEastAsia" w:eastAsiaTheme="minorEastAsia" w:cstheme="minorEastAsia"/>
          <w:i w:val="0"/>
          <w:iCs w:val="0"/>
          <w:caps w:val="0"/>
          <w:color w:val="auto"/>
          <w:spacing w:val="0"/>
          <w:sz w:val="24"/>
          <w:szCs w:val="24"/>
          <w:highlight w:val="none"/>
          <w:u w:val="single"/>
          <w:shd w:val="clear" w:color="auto" w:fill="FFFFFF"/>
          <w:lang w:val="en-US" w:eastAsia="zh-CN"/>
        </w:rPr>
        <w:t>日</w:t>
      </w:r>
      <w:r>
        <w:rPr>
          <w:rFonts w:hint="eastAsia" w:asciiTheme="minorEastAsia" w:hAnsiTheme="minorEastAsia" w:eastAsiaTheme="minorEastAsia" w:cstheme="minorEastAsia"/>
          <w:color w:val="auto"/>
          <w:sz w:val="24"/>
          <w:szCs w:val="24"/>
          <w:highlight w:val="none"/>
        </w:rPr>
        <w:t>。</w:t>
      </w:r>
    </w:p>
    <w:p w14:paraId="5D14E17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40" w:lineRule="exact"/>
        <w:ind w:left="0" w:right="0" w:firstLine="480" w:firstLineChars="200"/>
        <w:jc w:val="lef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2.地点：</w:t>
      </w:r>
      <w:r>
        <w:rPr>
          <w:rFonts w:hint="eastAsia" w:ascii="宋体" w:hAnsi="宋体" w:eastAsia="宋体" w:cs="宋体"/>
          <w:color w:val="000000"/>
          <w:kern w:val="0"/>
          <w:sz w:val="24"/>
          <w:szCs w:val="24"/>
          <w:shd w:val="clear" w:fill="FFFFFF"/>
          <w:lang w:val="en-US" w:eastAsia="zh-CN" w:bidi="ar"/>
        </w:rPr>
        <w:t>“苏采云”系统内免费下载（投标人必须在苏采云系统中获取采购文件，方能参与政府采购项目）；</w:t>
      </w:r>
    </w:p>
    <w:p w14:paraId="486B8672">
      <w:pPr>
        <w:pStyle w:val="17"/>
        <w:keepNext w:val="0"/>
        <w:keepLines w:val="0"/>
        <w:pageBreakBefore w:val="0"/>
        <w:widowControl/>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rPr>
        <w:t>3</w:t>
      </w:r>
      <w:r>
        <w:rPr>
          <w:rFonts w:hint="eastAsia" w:asciiTheme="minorEastAsia" w:hAnsiTheme="minorEastAsia" w:eastAsiaTheme="minorEastAsia" w:cstheme="minorEastAsia"/>
          <w:color w:val="000000"/>
          <w:sz w:val="24"/>
          <w:szCs w:val="24"/>
          <w:highlight w:val="none"/>
        </w:rPr>
        <w:t>.方式</w:t>
      </w:r>
      <w:r>
        <w:rPr>
          <w:rFonts w:hint="eastAsia" w:asciiTheme="minorEastAsia" w:hAnsiTheme="minorEastAsia" w:eastAsiaTheme="minorEastAsia" w:cstheme="minorEastAsia"/>
          <w:color w:val="000000"/>
          <w:sz w:val="24"/>
          <w:szCs w:val="24"/>
          <w:highlight w:val="none"/>
          <w:lang w:eastAsia="zh-CN"/>
        </w:rPr>
        <w:t>：</w:t>
      </w:r>
      <w:r>
        <w:rPr>
          <w:rFonts w:hint="eastAsia" w:ascii="宋体" w:hAnsi="宋体" w:eastAsia="宋体" w:cs="宋体"/>
          <w:color w:val="000000"/>
          <w:kern w:val="0"/>
          <w:sz w:val="24"/>
          <w:szCs w:val="24"/>
          <w:shd w:val="clear" w:fill="FFFFFF"/>
          <w:lang w:val="en-US" w:eastAsia="zh-CN" w:bidi="ar"/>
        </w:rPr>
        <w:t>本项目采用网上注册登记方式。</w:t>
      </w:r>
    </w:p>
    <w:p w14:paraId="70D27800">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highlight w:val="none"/>
          <w:lang w:val="en-US" w:eastAsia="zh-CN"/>
        </w:rPr>
        <w:t>4.售价：0元</w:t>
      </w:r>
    </w:p>
    <w:p w14:paraId="62284679">
      <w:pPr>
        <w:pStyle w:val="17"/>
        <w:keepNext/>
        <w:keepLines/>
        <w:pageBreakBefore w:val="0"/>
        <w:widowControl w:val="0"/>
        <w:kinsoku/>
        <w:wordWrap/>
        <w:overflowPunct/>
        <w:topLinePunct w:val="0"/>
        <w:autoSpaceDE/>
        <w:autoSpaceDN/>
        <w:bidi w:val="0"/>
        <w:adjustRightInd/>
        <w:snapToGrid/>
        <w:spacing w:beforeAutospacing="0" w:afterAutospacing="0" w:line="460" w:lineRule="exact"/>
        <w:ind w:firstLine="499"/>
        <w:jc w:val="both"/>
        <w:textAlignment w:val="auto"/>
        <w:rPr>
          <w:rFonts w:hint="eastAsia" w:ascii="Times New Roman" w:hAnsi="Times New Roman" w:cs="Times New Roman"/>
          <w:b/>
          <w:color w:val="000000"/>
          <w:sz w:val="28"/>
          <w:szCs w:val="28"/>
        </w:rPr>
      </w:pPr>
      <w:r>
        <w:rPr>
          <w:rFonts w:hint="eastAsia" w:ascii="Times New Roman" w:hAnsi="Times New Roman" w:cs="Times New Roman"/>
          <w:b/>
          <w:color w:val="000000"/>
          <w:sz w:val="28"/>
          <w:szCs w:val="28"/>
        </w:rPr>
        <w:t>四、提交投标文件截止时间、开标时间和地点</w:t>
      </w:r>
    </w:p>
    <w:p w14:paraId="50DC3E1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color w:val="auto"/>
          <w:sz w:val="24"/>
          <w:szCs w:val="24"/>
        </w:rPr>
      </w:pPr>
      <w:bookmarkStart w:id="17" w:name="_Toc28359007"/>
      <w:bookmarkStart w:id="18" w:name="_Toc28359084"/>
      <w:bookmarkStart w:id="19" w:name="_Toc38985267"/>
      <w:bookmarkStart w:id="20" w:name="_Toc35393625"/>
      <w:bookmarkStart w:id="21" w:name="_Toc35393794"/>
      <w:r>
        <w:rPr>
          <w:rFonts w:hint="eastAsia" w:ascii="宋体" w:hAnsi="宋体" w:eastAsia="宋体" w:cs="Times New Roman"/>
          <w:color w:val="auto"/>
          <w:sz w:val="24"/>
          <w:szCs w:val="24"/>
          <w:lang w:val="en-US" w:eastAsia="zh-CN"/>
        </w:rPr>
        <w:t>1.时间：2026年8月14日9点00分（北京时间）</w:t>
      </w:r>
    </w:p>
    <w:p w14:paraId="355C37D1">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color w:val="auto"/>
        </w:rPr>
      </w:pPr>
      <w:r>
        <w:rPr>
          <w:rFonts w:hint="eastAsia" w:ascii="宋体" w:hAnsi="宋体" w:eastAsia="宋体" w:cs="Times New Roman"/>
          <w:color w:val="auto"/>
          <w:sz w:val="24"/>
          <w:szCs w:val="24"/>
          <w:lang w:val="en-US" w:eastAsia="zh-CN"/>
        </w:rPr>
        <w:t>2.地点：</w:t>
      </w:r>
      <w:r>
        <w:rPr>
          <w:rFonts w:hint="eastAsia" w:ascii="宋体" w:hAnsi="宋体" w:eastAsia="宋体" w:cs="Times New Roman"/>
          <w:color w:val="FF0000"/>
          <w:sz w:val="24"/>
          <w:szCs w:val="24"/>
          <w:lang w:val="en-US" w:eastAsia="zh-CN"/>
        </w:rPr>
        <w:t>“苏采云”政府采购交易系统网上开标大厅</w:t>
      </w:r>
      <w:r>
        <w:rPr>
          <w:rFonts w:hint="eastAsia" w:ascii="宋体" w:hAnsi="宋体" w:eastAsia="宋体" w:cs="Times New Roman"/>
          <w:color w:val="auto"/>
          <w:sz w:val="24"/>
          <w:szCs w:val="24"/>
          <w:lang w:val="en-US" w:eastAsia="zh-CN"/>
        </w:rPr>
        <w:t>。</w:t>
      </w:r>
    </w:p>
    <w:p w14:paraId="4DB312FF">
      <w:pPr>
        <w:pStyle w:val="17"/>
        <w:keepNext/>
        <w:keepLines/>
        <w:pageBreakBefore w:val="0"/>
        <w:widowControl w:val="0"/>
        <w:kinsoku/>
        <w:wordWrap/>
        <w:overflowPunct/>
        <w:topLinePunct w:val="0"/>
        <w:autoSpaceDE/>
        <w:autoSpaceDN/>
        <w:bidi w:val="0"/>
        <w:adjustRightInd/>
        <w:snapToGrid/>
        <w:spacing w:beforeAutospacing="0" w:afterAutospacing="0" w:line="460" w:lineRule="exact"/>
        <w:ind w:firstLine="499"/>
        <w:jc w:val="both"/>
        <w:textAlignment w:val="auto"/>
        <w:rPr>
          <w:rFonts w:hint="eastAsia" w:ascii="Times New Roman" w:hAnsi="Times New Roman" w:cs="Times New Roman"/>
          <w:b/>
          <w:color w:val="000000"/>
          <w:sz w:val="28"/>
          <w:szCs w:val="28"/>
        </w:rPr>
      </w:pPr>
      <w:r>
        <w:rPr>
          <w:rFonts w:hint="eastAsia" w:ascii="Times New Roman" w:hAnsi="Times New Roman" w:cs="Times New Roman"/>
          <w:b/>
          <w:color w:val="000000"/>
          <w:sz w:val="28"/>
          <w:szCs w:val="28"/>
        </w:rPr>
        <w:t>五、公告期限</w:t>
      </w:r>
      <w:bookmarkEnd w:id="17"/>
      <w:bookmarkEnd w:id="18"/>
      <w:bookmarkEnd w:id="19"/>
      <w:bookmarkEnd w:id="20"/>
      <w:bookmarkEnd w:id="21"/>
    </w:p>
    <w:p w14:paraId="550A9BE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561"/>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bookmarkStart w:id="22" w:name="_Toc35393795"/>
      <w:bookmarkStart w:id="23" w:name="_Toc38985268"/>
      <w:bookmarkStart w:id="24" w:name="_Toc35393626"/>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自本公告发布之日起5个工作日。</w:t>
      </w:r>
      <w:bookmarkEnd w:id="22"/>
      <w:bookmarkEnd w:id="23"/>
      <w:bookmarkEnd w:id="24"/>
    </w:p>
    <w:p w14:paraId="6EF5FBF3">
      <w:pPr>
        <w:pStyle w:val="17"/>
        <w:keepNext/>
        <w:keepLines/>
        <w:pageBreakBefore w:val="0"/>
        <w:widowControl w:val="0"/>
        <w:kinsoku/>
        <w:wordWrap/>
        <w:overflowPunct/>
        <w:topLinePunct w:val="0"/>
        <w:autoSpaceDE/>
        <w:autoSpaceDN/>
        <w:bidi w:val="0"/>
        <w:adjustRightInd/>
        <w:snapToGrid/>
        <w:spacing w:beforeAutospacing="0" w:afterAutospacing="0" w:line="460" w:lineRule="exact"/>
        <w:ind w:firstLine="499"/>
        <w:jc w:val="both"/>
        <w:textAlignment w:val="auto"/>
        <w:rPr>
          <w:rFonts w:hint="eastAsia" w:ascii="Times New Roman" w:hAnsi="Times New Roman" w:cs="Times New Roman"/>
          <w:b/>
          <w:color w:val="000000"/>
          <w:sz w:val="28"/>
          <w:szCs w:val="28"/>
        </w:rPr>
      </w:pPr>
      <w:r>
        <w:rPr>
          <w:rFonts w:hint="eastAsia" w:ascii="Times New Roman" w:hAnsi="Times New Roman" w:cs="Times New Roman"/>
          <w:b/>
          <w:color w:val="000000"/>
          <w:sz w:val="28"/>
          <w:szCs w:val="28"/>
        </w:rPr>
        <w:t>六、其他补充事宜</w:t>
      </w:r>
    </w:p>
    <w:p w14:paraId="2A0228E5">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color w:val="auto"/>
          <w:sz w:val="24"/>
          <w:szCs w:val="24"/>
          <w:lang w:val="en-US" w:eastAsia="zh-CN"/>
        </w:rPr>
      </w:pPr>
      <w:bookmarkStart w:id="25" w:name="_Toc28359018"/>
      <w:r>
        <w:rPr>
          <w:rFonts w:hint="eastAsia" w:ascii="宋体" w:hAnsi="宋体" w:eastAsia="宋体" w:cs="Times New Roman"/>
          <w:color w:val="auto"/>
          <w:sz w:val="24"/>
          <w:szCs w:val="24"/>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 潜在供应商访问电子招标响应交易平台的网络地址和方法： </w:t>
      </w:r>
    </w:p>
    <w:p w14:paraId="32A21B8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2.2 潜在投标人访问“苏采云”系统方法：江苏省政府采购网首页-“苏采云”链接。 </w:t>
      </w:r>
    </w:p>
    <w:p w14:paraId="5B5DA34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2.3 采购文件（后缀名为“.kedt”）、供应商操作手册及政府采购客户端 工具可通过“苏采云”系统相应链接进行下载。 </w:t>
      </w:r>
    </w:p>
    <w:p w14:paraId="4915700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2.4 采购代理机构将数据电文形式的采购文件加载至“苏采云”系统，供潜在供应商下载或者查阅。 </w:t>
      </w:r>
    </w:p>
    <w:p w14:paraId="721EE1E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2.5 请潜在投标单位提前安装相应的控件（详见《“苏采云”系统供应商操作手册》）并使用谷歌浏览器登录“苏采云”系统参与不见面开评标。 </w:t>
      </w:r>
    </w:p>
    <w:p w14:paraId="3C71CFF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如潜在投标人未按上述要求操作，将自行承担所产生的风险。</w:t>
      </w:r>
    </w:p>
    <w:p w14:paraId="364CCC0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3.有关本次招标的事项若存在变动或修改，敬请及时关注盐城市政府采购中心在“中国政府采购网”“江苏政府采购网”“盐城市政府采购网”发布的更正公告。</w:t>
      </w:r>
    </w:p>
    <w:p w14:paraId="6C6FD61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szCs w:val="24"/>
          <w:lang w:val="en-US" w:eastAsia="zh-CN"/>
        </w:rPr>
        <w:t>4.本次招标不收取投标保证金，不收取质量保证金。</w:t>
      </w:r>
    </w:p>
    <w:p w14:paraId="2450A0A9">
      <w:pPr>
        <w:pStyle w:val="17"/>
        <w:keepNext/>
        <w:keepLines/>
        <w:pageBreakBefore w:val="0"/>
        <w:widowControl w:val="0"/>
        <w:kinsoku/>
        <w:wordWrap/>
        <w:overflowPunct/>
        <w:topLinePunct w:val="0"/>
        <w:autoSpaceDE/>
        <w:autoSpaceDN/>
        <w:bidi w:val="0"/>
        <w:adjustRightInd/>
        <w:snapToGrid/>
        <w:spacing w:beforeAutospacing="0" w:afterAutospacing="0" w:line="460" w:lineRule="exact"/>
        <w:ind w:firstLine="499"/>
        <w:jc w:val="both"/>
        <w:textAlignment w:val="auto"/>
        <w:rPr>
          <w:rFonts w:hint="eastAsia" w:ascii="Times New Roman" w:hAnsi="Times New Roman" w:cs="Times New Roman"/>
          <w:b/>
          <w:color w:val="000000"/>
          <w:sz w:val="28"/>
          <w:szCs w:val="28"/>
        </w:rPr>
      </w:pPr>
      <w:r>
        <w:rPr>
          <w:rFonts w:hint="eastAsia" w:ascii="Times New Roman" w:hAnsi="Times New Roman" w:cs="Times New Roman"/>
          <w:b/>
          <w:color w:val="000000"/>
          <w:sz w:val="28"/>
          <w:szCs w:val="28"/>
          <w:lang w:val="en-US" w:eastAsia="zh-CN"/>
        </w:rPr>
        <w:t>七</w:t>
      </w:r>
      <w:r>
        <w:rPr>
          <w:rFonts w:hint="eastAsia" w:ascii="Times New Roman" w:hAnsi="Times New Roman" w:cs="Times New Roman"/>
          <w:b/>
          <w:color w:val="000000"/>
          <w:sz w:val="28"/>
          <w:szCs w:val="28"/>
        </w:rPr>
        <w:t>、对本次</w:t>
      </w:r>
      <w:r>
        <w:rPr>
          <w:rFonts w:hint="eastAsia" w:ascii="Times New Roman" w:hAnsi="Times New Roman" w:cs="Times New Roman"/>
          <w:b/>
          <w:color w:val="000000"/>
          <w:sz w:val="28"/>
          <w:szCs w:val="28"/>
          <w:lang w:val="en-US" w:eastAsia="zh-CN"/>
        </w:rPr>
        <w:t>招标</w:t>
      </w:r>
      <w:r>
        <w:rPr>
          <w:rFonts w:hint="eastAsia" w:ascii="Times New Roman" w:hAnsi="Times New Roman" w:cs="Times New Roman"/>
          <w:b/>
          <w:color w:val="000000"/>
          <w:sz w:val="28"/>
          <w:szCs w:val="28"/>
        </w:rPr>
        <w:t>提出询问，请按以下方式联系。</w:t>
      </w:r>
      <w:bookmarkEnd w:id="25"/>
    </w:p>
    <w:p w14:paraId="06336D8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56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bookmarkStart w:id="26" w:name="_Toc28359009"/>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1.采购人信息</w:t>
      </w:r>
    </w:p>
    <w:p w14:paraId="0D457F0D">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名 称： </w:t>
      </w:r>
      <w:r>
        <w:rPr>
          <w:rFonts w:hint="eastAsia" w:asciiTheme="minorEastAsia" w:hAnsiTheme="minorEastAsia" w:eastAsiaTheme="minorEastAsia" w:cstheme="minorEastAsia"/>
          <w:sz w:val="24"/>
          <w:szCs w:val="24"/>
          <w:lang w:eastAsia="zh-CN" w:bidi="ar"/>
        </w:rPr>
        <w:t>阜宁县住房和城乡建设局</w:t>
      </w:r>
    </w:p>
    <w:p w14:paraId="624BE7A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地址：</w:t>
      </w:r>
      <w:r>
        <w:rPr>
          <w:rFonts w:hint="eastAsia" w:asciiTheme="minorEastAsia" w:hAnsiTheme="minorEastAsia" w:eastAsiaTheme="minorEastAsia" w:cstheme="minorEastAsia"/>
          <w:sz w:val="24"/>
          <w:szCs w:val="24"/>
          <w:lang w:eastAsia="zh-CN" w:bidi="ar"/>
        </w:rPr>
        <w:t>阜宁县城南大厦A座</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 xml:space="preserve">  </w:t>
      </w:r>
    </w:p>
    <w:p w14:paraId="1E66AB9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560"/>
        <w:jc w:val="both"/>
        <w:textAlignment w:val="auto"/>
        <w:rPr>
          <w:rFonts w:hint="eastAsia" w:asciiTheme="minorEastAsia" w:hAnsiTheme="minorEastAsia" w:eastAsiaTheme="minorEastAsia" w:cstheme="minorEastAsia"/>
          <w:color w:val="auto"/>
          <w:sz w:val="24"/>
          <w:szCs w:val="24"/>
          <w:lang w:eastAsia="zh-CN" w:bidi="ar"/>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联系人：</w:t>
      </w:r>
      <w:r>
        <w:rPr>
          <w:rFonts w:hint="eastAsia" w:asciiTheme="minorEastAsia" w:hAnsiTheme="minorEastAsia" w:cstheme="minorEastAsia"/>
          <w:color w:val="auto"/>
          <w:sz w:val="24"/>
          <w:szCs w:val="24"/>
          <w:lang w:eastAsia="zh-CN" w:bidi="ar"/>
        </w:rPr>
        <w:t>王洪义</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  联系方式：</w:t>
      </w:r>
      <w:r>
        <w:rPr>
          <w:rFonts w:hint="eastAsia" w:asciiTheme="minorEastAsia" w:hAnsiTheme="minorEastAsia" w:cstheme="minorEastAsia"/>
          <w:color w:val="auto"/>
          <w:sz w:val="24"/>
          <w:szCs w:val="24"/>
          <w:lang w:eastAsia="zh-CN" w:bidi="ar"/>
        </w:rPr>
        <w:t>15951541999</w:t>
      </w:r>
    </w:p>
    <w:p w14:paraId="4280D16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7" w:beforeLines="50" w:beforeAutospacing="0" w:after="0" w:afterAutospacing="0" w:line="420" w:lineRule="exact"/>
        <w:ind w:left="0" w:right="0" w:firstLine="561"/>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2.采购代理机构信息</w:t>
      </w:r>
    </w:p>
    <w:p w14:paraId="2C68A42D">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名 称： </w:t>
      </w:r>
      <w:r>
        <w:rPr>
          <w:rFonts w:hint="eastAsia" w:asciiTheme="minorEastAsia" w:hAnsiTheme="minorEastAsia" w:eastAsiaTheme="minorEastAsia" w:cstheme="minorEastAsia"/>
          <w:sz w:val="24"/>
          <w:szCs w:val="24"/>
          <w:lang w:bidi="ar"/>
        </w:rPr>
        <w:t>江苏天成项目管理有限公司</w:t>
      </w:r>
    </w:p>
    <w:p w14:paraId="29FEC7E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560"/>
        <w:jc w:val="both"/>
        <w:textAlignment w:val="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 xml:space="preserve">地 址： </w:t>
      </w:r>
      <w:r>
        <w:rPr>
          <w:rFonts w:hint="eastAsia" w:asciiTheme="minorEastAsia" w:hAnsiTheme="minorEastAsia" w:eastAsiaTheme="minorEastAsia" w:cstheme="minorEastAsia"/>
          <w:sz w:val="24"/>
          <w:szCs w:val="24"/>
          <w:lang w:bidi="ar"/>
        </w:rPr>
        <w:t>天鹅国际商业中心13栋八楼</w:t>
      </w:r>
    </w:p>
    <w:p w14:paraId="66B421D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560"/>
        <w:jc w:val="both"/>
        <w:textAlignment w:val="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联系人：</w:t>
      </w:r>
      <w:r>
        <w:rPr>
          <w:rFonts w:hint="eastAsia" w:asciiTheme="minorEastAsia" w:hAnsiTheme="minorEastAsia" w:cstheme="minorEastAsia"/>
          <w:sz w:val="24"/>
          <w:szCs w:val="24"/>
          <w:lang w:eastAsia="zh-CN" w:bidi="ar"/>
        </w:rPr>
        <w:t>曹晔</w:t>
      </w: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  联系方式：</w:t>
      </w:r>
      <w:bookmarkStart w:id="27" w:name="_Toc28359010"/>
      <w:bookmarkStart w:id="28" w:name="_Toc28359087"/>
      <w:r>
        <w:rPr>
          <w:rFonts w:hint="eastAsia" w:asciiTheme="minorEastAsia" w:hAnsiTheme="minorEastAsia" w:eastAsiaTheme="minorEastAsia" w:cstheme="minorEastAsia"/>
          <w:sz w:val="24"/>
          <w:szCs w:val="24"/>
          <w:lang w:bidi="ar"/>
        </w:rPr>
        <w:t>0515-87281985</w:t>
      </w:r>
      <w:r>
        <w:rPr>
          <w:rFonts w:hint="eastAsia" w:asciiTheme="minorEastAsia" w:hAnsiTheme="minorEastAsia" w:eastAsiaTheme="minorEastAsia" w:cstheme="minorEastAsia"/>
          <w:sz w:val="24"/>
          <w:szCs w:val="24"/>
          <w:lang w:bidi="ar"/>
        </w:rPr>
        <w:fldChar w:fldCharType="begin"/>
      </w:r>
      <w:r>
        <w:rPr>
          <w:rFonts w:hint="eastAsia" w:asciiTheme="minorEastAsia" w:hAnsiTheme="minorEastAsia" w:eastAsiaTheme="minorEastAsia" w:cstheme="minorEastAsia"/>
          <w:sz w:val="24"/>
          <w:szCs w:val="24"/>
          <w:lang w:bidi="ar"/>
        </w:rPr>
        <w:instrText xml:space="preserve"> HYPERLINK "mailto:kent9355@163.com" </w:instrText>
      </w:r>
      <w:r>
        <w:rPr>
          <w:rFonts w:hint="eastAsia" w:asciiTheme="minorEastAsia" w:hAnsiTheme="minorEastAsia" w:eastAsiaTheme="minorEastAsia" w:cstheme="minorEastAsia"/>
          <w:sz w:val="24"/>
          <w:szCs w:val="24"/>
          <w:lang w:bidi="ar"/>
        </w:rPr>
        <w:fldChar w:fldCharType="separate"/>
      </w:r>
      <w:r>
        <w:rPr>
          <w:rFonts w:hint="eastAsia" w:asciiTheme="minorEastAsia" w:hAnsiTheme="minorEastAsia" w:eastAsiaTheme="minorEastAsia" w:cstheme="minorEastAsia"/>
          <w:sz w:val="24"/>
          <w:szCs w:val="24"/>
          <w:lang w:bidi="ar"/>
        </w:rPr>
        <w:fldChar w:fldCharType="end"/>
      </w:r>
    </w:p>
    <w:bookmarkEnd w:id="27"/>
    <w:bookmarkEnd w:id="28"/>
    <w:p w14:paraId="18D6912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7" w:beforeLines="50" w:beforeAutospacing="0" w:after="0" w:afterAutospacing="0" w:line="420" w:lineRule="exact"/>
        <w:ind w:right="0" w:firstLine="240" w:firstLineChars="10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 xml:space="preserve"> </w:t>
      </w:r>
      <w:bookmarkStart w:id="29" w:name="_Toc28359021"/>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3.</w:t>
      </w:r>
      <w:bookmarkEnd w:id="29"/>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项目联系方式</w:t>
      </w:r>
    </w:p>
    <w:p w14:paraId="7CDED27D">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Theme="minorEastAsia" w:hAnsiTheme="minorEastAsia" w:eastAsiaTheme="minorEastAsia" w:cstheme="minorEastAsia"/>
          <w:sz w:val="24"/>
          <w:szCs w:val="24"/>
          <w:lang w:eastAsia="zh-CN" w:bidi="ar"/>
        </w:rPr>
      </w:pPr>
      <w:r>
        <w:rPr>
          <w:rFonts w:hint="eastAsia" w:asciiTheme="minorEastAsia" w:hAnsiTheme="minorEastAsia" w:eastAsiaTheme="minorEastAsia" w:cstheme="minorEastAsia"/>
          <w:sz w:val="24"/>
          <w:szCs w:val="24"/>
          <w:lang w:bidi="ar"/>
        </w:rPr>
        <w:t>项目联系人：</w:t>
      </w:r>
      <w:r>
        <w:rPr>
          <w:rFonts w:hint="eastAsia" w:asciiTheme="minorEastAsia" w:hAnsiTheme="minorEastAsia" w:cstheme="minorEastAsia"/>
          <w:sz w:val="24"/>
          <w:szCs w:val="24"/>
          <w:lang w:eastAsia="zh-CN" w:bidi="ar"/>
        </w:rPr>
        <w:t>王洪义</w:t>
      </w:r>
      <w:r>
        <w:rPr>
          <w:rFonts w:hint="eastAsia" w:asciiTheme="minorEastAsia" w:hAnsiTheme="minorEastAsia" w:eastAsiaTheme="minorEastAsia" w:cstheme="minorEastAsia"/>
          <w:sz w:val="24"/>
          <w:szCs w:val="24"/>
          <w:lang w:bidi="ar"/>
        </w:rPr>
        <w:t>，</w:t>
      </w:r>
      <w:r>
        <w:rPr>
          <w:rFonts w:hint="eastAsia" w:asciiTheme="minorEastAsia" w:hAnsiTheme="minorEastAsia" w:cstheme="minorEastAsia"/>
          <w:sz w:val="24"/>
          <w:szCs w:val="24"/>
          <w:lang w:eastAsia="zh-CN" w:bidi="ar"/>
        </w:rPr>
        <w:t>曹晔</w:t>
      </w:r>
    </w:p>
    <w:p w14:paraId="6FC55902">
      <w:pPr>
        <w:keepNext w:val="0"/>
        <w:keepLines w:val="0"/>
        <w:pageBreakBefore w:val="0"/>
        <w:widowControl/>
        <w:kinsoku/>
        <w:wordWrap/>
        <w:overflowPunct/>
        <w:topLinePunct w:val="0"/>
        <w:autoSpaceDE/>
        <w:autoSpaceDN/>
        <w:bidi w:val="0"/>
        <w:adjustRightInd/>
        <w:snapToGrid/>
        <w:spacing w:after="161" w:afterLines="50" w:line="420" w:lineRule="exact"/>
        <w:ind w:firstLine="480" w:firstLineChars="200"/>
        <w:jc w:val="left"/>
        <w:textAlignment w:val="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电 话：</w:t>
      </w:r>
      <w:r>
        <w:rPr>
          <w:rFonts w:hint="eastAsia" w:asciiTheme="minorEastAsia" w:hAnsiTheme="minorEastAsia" w:cstheme="minorEastAsia"/>
          <w:sz w:val="24"/>
          <w:szCs w:val="24"/>
          <w:lang w:eastAsia="zh-CN" w:bidi="ar"/>
        </w:rPr>
        <w:t>15951541999</w:t>
      </w:r>
      <w:r>
        <w:rPr>
          <w:rFonts w:hint="eastAsia" w:asciiTheme="minorEastAsia" w:hAnsiTheme="minorEastAsia" w:eastAsiaTheme="minorEastAsia" w:cstheme="minorEastAsia"/>
          <w:sz w:val="24"/>
          <w:szCs w:val="24"/>
          <w:lang w:bidi="ar"/>
        </w:rPr>
        <w:t>，0515-87281985</w:t>
      </w:r>
      <w:r>
        <w:rPr>
          <w:rFonts w:hint="eastAsia" w:asciiTheme="minorEastAsia" w:hAnsiTheme="minorEastAsia" w:eastAsiaTheme="minorEastAsia" w:cstheme="minorEastAsia"/>
          <w:sz w:val="24"/>
          <w:szCs w:val="24"/>
          <w:lang w:bidi="ar"/>
        </w:rPr>
        <w:fldChar w:fldCharType="begin"/>
      </w:r>
      <w:r>
        <w:rPr>
          <w:rFonts w:hint="eastAsia" w:asciiTheme="minorEastAsia" w:hAnsiTheme="minorEastAsia" w:eastAsiaTheme="minorEastAsia" w:cstheme="minorEastAsia"/>
          <w:sz w:val="24"/>
          <w:szCs w:val="24"/>
          <w:lang w:bidi="ar"/>
        </w:rPr>
        <w:instrText xml:space="preserve"> HYPERLINK "mailto:kent9355@163.com" </w:instrText>
      </w:r>
      <w:r>
        <w:rPr>
          <w:rFonts w:hint="eastAsia" w:asciiTheme="minorEastAsia" w:hAnsiTheme="minorEastAsia" w:eastAsiaTheme="minorEastAsia" w:cstheme="minorEastAsia"/>
          <w:sz w:val="24"/>
          <w:szCs w:val="24"/>
          <w:lang w:bidi="ar"/>
        </w:rPr>
        <w:fldChar w:fldCharType="separate"/>
      </w:r>
      <w:r>
        <w:rPr>
          <w:rFonts w:hint="eastAsia" w:asciiTheme="minorEastAsia" w:hAnsiTheme="minorEastAsia" w:eastAsiaTheme="minorEastAsia" w:cstheme="minorEastAsia"/>
          <w:sz w:val="24"/>
          <w:szCs w:val="24"/>
          <w:lang w:bidi="ar"/>
        </w:rPr>
        <w:fldChar w:fldCharType="end"/>
      </w:r>
    </w:p>
    <w:p w14:paraId="38844A1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p>
    <w:p w14:paraId="57B79C3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p>
    <w:p w14:paraId="09DF3CE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Theme="minorEastAsia" w:hAnsiTheme="minorEastAsia" w:eastAsiaTheme="minorEastAsia" w:cstheme="minorEastAsia"/>
          <w:i w:val="0"/>
          <w:iCs w:val="0"/>
          <w:caps w:val="0"/>
          <w:color w:val="333333"/>
          <w:spacing w:val="0"/>
          <w:sz w:val="24"/>
          <w:szCs w:val="24"/>
          <w:shd w:val="clear" w:fill="FFFFFF"/>
          <w:lang w:val="en-US" w:eastAsia="zh-CN"/>
        </w:rPr>
      </w:pPr>
    </w:p>
    <w:p w14:paraId="7B7FA5D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pPr>
      <w:r>
        <w:rPr>
          <w:rFonts w:hint="eastAsia" w:asciiTheme="minorEastAsia" w:hAnsiTheme="minorEastAsia" w:eastAsiaTheme="minorEastAsia" w:cstheme="minorEastAsia"/>
          <w:i w:val="0"/>
          <w:iCs w:val="0"/>
          <w:caps w:val="0"/>
          <w:color w:val="333333"/>
          <w:spacing w:val="0"/>
          <w:sz w:val="24"/>
          <w:szCs w:val="24"/>
          <w:shd w:val="clear" w:fill="FFFFFF"/>
          <w:lang w:val="en-US" w:eastAsia="zh-CN"/>
        </w:rPr>
        <w:t>　　　　　</w:t>
      </w:r>
      <w:bookmarkStart w:id="30" w:name="_Toc120614211"/>
      <w:r>
        <w:rPr>
          <w:rFonts w:hint="eastAsia" w:ascii="黑体" w:hAnsi="宋体" w:eastAsia="黑体" w:cs="黑体"/>
          <w:b/>
          <w:color w:val="000000"/>
          <w:sz w:val="44"/>
          <w:szCs w:val="44"/>
        </w:rPr>
        <w:t xml:space="preserve">第二章  </w:t>
      </w:r>
      <w:bookmarkEnd w:id="30"/>
      <w:bookmarkStart w:id="31" w:name="_Toc20823274"/>
      <w:bookmarkStart w:id="32" w:name="_Toc120614213"/>
      <w:bookmarkStart w:id="33" w:name="_Toc16938518"/>
      <w:bookmarkStart w:id="34" w:name="_Toc513029202"/>
      <w:r>
        <w:rPr>
          <w:rFonts w:hint="eastAsia" w:ascii="黑体" w:hAnsi="宋体" w:eastAsia="黑体" w:cs="黑体"/>
          <w:b/>
          <w:color w:val="000000"/>
          <w:sz w:val="44"/>
          <w:szCs w:val="44"/>
        </w:rPr>
        <w:t>投标人须知</w:t>
      </w:r>
      <w:bookmarkEnd w:id="31"/>
      <w:bookmarkEnd w:id="32"/>
      <w:bookmarkEnd w:id="33"/>
      <w:bookmarkEnd w:id="34"/>
    </w:p>
    <w:p w14:paraId="51645A17">
      <w:pPr>
        <w:pStyle w:val="17"/>
        <w:keepNext/>
        <w:keepLines/>
        <w:pageBreakBefore w:val="0"/>
        <w:widowControl w:val="0"/>
        <w:kinsoku/>
        <w:wordWrap/>
        <w:overflowPunct/>
        <w:topLinePunct w:val="0"/>
        <w:autoSpaceDE/>
        <w:autoSpaceDN/>
        <w:bidi w:val="0"/>
        <w:adjustRightInd/>
        <w:snapToGrid/>
        <w:spacing w:beforeAutospacing="0" w:afterAutospacing="0" w:line="520" w:lineRule="exact"/>
        <w:ind w:firstLine="499"/>
        <w:jc w:val="both"/>
        <w:textAlignment w:val="auto"/>
      </w:pPr>
      <w:bookmarkStart w:id="35" w:name="_Toc16938519"/>
      <w:bookmarkStart w:id="36" w:name="_Toc120614214"/>
      <w:bookmarkStart w:id="37" w:name="_Toc513029203"/>
      <w:bookmarkStart w:id="38" w:name="_Toc20823275"/>
      <w:r>
        <w:rPr>
          <w:rFonts w:ascii="Times New Roman" w:hAnsi="Times New Roman"/>
          <w:b/>
          <w:color w:val="000000"/>
          <w:sz w:val="32"/>
          <w:szCs w:val="32"/>
        </w:rPr>
        <w:t>一、总则</w:t>
      </w:r>
      <w:bookmarkEnd w:id="35"/>
      <w:bookmarkEnd w:id="36"/>
      <w:bookmarkEnd w:id="37"/>
      <w:bookmarkEnd w:id="38"/>
    </w:p>
    <w:p w14:paraId="0983A1BE">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39" w:name="_Toc16938520"/>
      <w:bookmarkStart w:id="40" w:name="_Toc513029204"/>
      <w:bookmarkStart w:id="41" w:name="_Toc458694821"/>
      <w:bookmarkStart w:id="42" w:name="_Toc20823276"/>
      <w:bookmarkStart w:id="43" w:name="_Hlt16619475"/>
      <w:r>
        <w:rPr>
          <w:rFonts w:ascii="Arial" w:hAnsi="Arial" w:cs="Arial"/>
          <w:color w:val="000000"/>
          <w:sz w:val="28"/>
          <w:szCs w:val="28"/>
        </w:rPr>
        <w:t>1</w:t>
      </w:r>
      <w:bookmarkEnd w:id="39"/>
      <w:r>
        <w:rPr>
          <w:rFonts w:ascii="Arial" w:hAnsi="Arial" w:cs="Arial"/>
          <w:color w:val="000000"/>
          <w:sz w:val="28"/>
          <w:szCs w:val="28"/>
        </w:rPr>
        <w:t>、招标方式</w:t>
      </w:r>
      <w:bookmarkEnd w:id="40"/>
      <w:bookmarkEnd w:id="41"/>
      <w:bookmarkEnd w:id="42"/>
    </w:p>
    <w:p w14:paraId="5D135DF6">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pPr>
      <w:r>
        <w:rPr>
          <w:rFonts w:hint="eastAsia" w:ascii="宋体" w:hAnsi="宋体" w:eastAsia="宋体" w:cs="宋体"/>
          <w:color w:val="000000"/>
        </w:rPr>
        <w:t>1.1本次招标采取公开招标方式，本招标文件仅适用于招标公告中所述项目。</w:t>
      </w:r>
    </w:p>
    <w:p w14:paraId="7C6981D6">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44" w:name="_Toc16938521"/>
      <w:bookmarkStart w:id="45" w:name="_Toc20823277"/>
      <w:bookmarkStart w:id="46" w:name="_Toc513029205"/>
      <w:r>
        <w:rPr>
          <w:rFonts w:ascii="Arial" w:hAnsi="Arial" w:cs="Arial"/>
          <w:color w:val="000000"/>
          <w:sz w:val="28"/>
          <w:szCs w:val="28"/>
        </w:rPr>
        <w:t>2、合格的投标人</w:t>
      </w:r>
      <w:bookmarkEnd w:id="44"/>
      <w:bookmarkEnd w:id="45"/>
      <w:bookmarkEnd w:id="46"/>
    </w:p>
    <w:p w14:paraId="2685332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000000"/>
        </w:rPr>
      </w:pPr>
      <w:r>
        <w:rPr>
          <w:rFonts w:hint="eastAsia" w:ascii="宋体" w:hAnsi="宋体" w:eastAsia="宋体" w:cs="宋体"/>
          <w:color w:val="000000"/>
        </w:rPr>
        <w:t>2.1满足招标公告中供应商的资格要求的规定。</w:t>
      </w:r>
    </w:p>
    <w:p w14:paraId="17D0A4C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000000"/>
        </w:rPr>
      </w:pPr>
      <w:r>
        <w:rPr>
          <w:rFonts w:hint="eastAsia" w:ascii="宋体" w:hAnsi="宋体" w:eastAsia="宋体" w:cs="宋体"/>
          <w:color w:val="000000"/>
        </w:rPr>
        <w:t>2.2满足本文件实质性要求和条件的规定。</w:t>
      </w:r>
    </w:p>
    <w:p w14:paraId="651C2F46">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47" w:name="_Toc16938522"/>
      <w:bookmarkStart w:id="48" w:name="_Toc513029206"/>
      <w:bookmarkStart w:id="49" w:name="_Toc20823278"/>
      <w:r>
        <w:rPr>
          <w:rFonts w:ascii="Arial" w:hAnsi="Arial" w:cs="Arial"/>
          <w:color w:val="000000"/>
          <w:sz w:val="28"/>
          <w:szCs w:val="28"/>
        </w:rPr>
        <w:t>3、适用法律</w:t>
      </w:r>
      <w:bookmarkEnd w:id="47"/>
      <w:bookmarkEnd w:id="48"/>
      <w:bookmarkEnd w:id="49"/>
    </w:p>
    <w:p w14:paraId="06751A8B">
      <w:pPr>
        <w:pStyle w:val="17"/>
        <w:spacing w:beforeAutospacing="0" w:afterAutospacing="0" w:line="0" w:lineRule="atLeast"/>
        <w:ind w:firstLine="420"/>
        <w:jc w:val="both"/>
      </w:pPr>
      <w:r>
        <w:rPr>
          <w:rFonts w:hint="eastAsia" w:ascii="宋体" w:hAnsi="宋体" w:eastAsia="宋体" w:cs="宋体"/>
          <w:color w:val="000000"/>
        </w:rPr>
        <w:t>3.1本次招标及由此产生的合同受中华人民共和国有关的法律法规制约和保护。</w:t>
      </w:r>
    </w:p>
    <w:p w14:paraId="10CBFFAE">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pPr>
      <w:bookmarkStart w:id="50" w:name="_Toc20823279"/>
      <w:bookmarkStart w:id="51" w:name="_Toc513029207"/>
      <w:bookmarkStart w:id="52" w:name="_Toc16938523"/>
      <w:bookmarkStart w:id="53" w:name="_Toc462564067"/>
      <w:r>
        <w:rPr>
          <w:rFonts w:ascii="Arial" w:hAnsi="Arial" w:cs="Arial"/>
          <w:color w:val="000000"/>
          <w:sz w:val="28"/>
          <w:szCs w:val="28"/>
        </w:rPr>
        <w:t>4、投标费用</w:t>
      </w:r>
      <w:bookmarkEnd w:id="50"/>
      <w:bookmarkEnd w:id="51"/>
      <w:bookmarkEnd w:id="52"/>
      <w:bookmarkEnd w:id="53"/>
    </w:p>
    <w:p w14:paraId="29907A8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20"/>
        <w:jc w:val="both"/>
        <w:textAlignment w:val="auto"/>
        <w:rPr>
          <w:rFonts w:hint="eastAsia" w:ascii="宋体" w:hAnsi="宋体" w:eastAsia="宋体" w:cs="宋体"/>
          <w:color w:val="000000"/>
        </w:rPr>
      </w:pPr>
      <w:r>
        <w:rPr>
          <w:rFonts w:hint="eastAsia" w:ascii="宋体" w:hAnsi="宋体" w:eastAsia="宋体" w:cs="宋体"/>
          <w:color w:val="000000"/>
        </w:rPr>
        <w:t>4.1投标人应自行承担所有与参加投标有关的费用，无论投标过程中的做法和结果如何，采购人或采购代理机构</w:t>
      </w:r>
      <w:r>
        <w:rPr>
          <w:rFonts w:hint="eastAsia" w:ascii="宋体" w:hAnsi="宋体" w:eastAsia="宋体" w:cs="宋体"/>
          <w:color w:val="000000"/>
          <w:lang w:val="en-US" w:eastAsia="zh-CN"/>
        </w:rPr>
        <w:t>在任何情况下均无义务和责任承担这些费用。</w:t>
      </w:r>
    </w:p>
    <w:p w14:paraId="52CE0162">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2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4.2代理机构将按江苏省苏招协〔2022〕002号标准的21.89%向中标</w:t>
      </w:r>
      <w:bookmarkStart w:id="54" w:name="_Hlk54789946"/>
      <w:r>
        <w:rPr>
          <w:rFonts w:hint="eastAsia" w:ascii="宋体" w:hAnsi="宋体" w:eastAsia="宋体" w:cs="宋体"/>
          <w:color w:val="000000"/>
          <w:lang w:val="en-US" w:eastAsia="zh-CN"/>
        </w:rPr>
        <w:t>供应商</w:t>
      </w:r>
      <w:bookmarkEnd w:id="54"/>
      <w:r>
        <w:rPr>
          <w:rFonts w:hint="eastAsia" w:ascii="宋体" w:hAnsi="宋体" w:eastAsia="宋体" w:cs="宋体"/>
          <w:color w:val="000000"/>
          <w:lang w:val="en-US" w:eastAsia="zh-CN"/>
        </w:rPr>
        <w:t>收取服务费用，由中标供应商在开取中标通知书前一次性支付。</w:t>
      </w:r>
    </w:p>
    <w:p w14:paraId="045B1B3F">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r>
        <w:rPr>
          <w:rFonts w:hint="eastAsia" w:ascii="Arial" w:hAnsi="Arial" w:cs="Arial"/>
          <w:color w:val="000000"/>
          <w:sz w:val="28"/>
          <w:szCs w:val="28"/>
        </w:rPr>
        <w:t>5、招标文件的约束力</w:t>
      </w:r>
    </w:p>
    <w:p w14:paraId="3988EB58">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hint="eastAsia" w:ascii="宋体" w:hAnsi="宋体" w:eastAsia="宋体" w:cs="宋体"/>
          <w:color w:val="000000"/>
        </w:rPr>
      </w:pPr>
      <w:r>
        <w:rPr>
          <w:rFonts w:hint="eastAsia" w:ascii="宋体" w:hAnsi="宋体" w:eastAsia="宋体" w:cs="宋体"/>
          <w:color w:val="000000"/>
        </w:rPr>
        <w:t>5.1投标人一旦参加本项目采购活动，即被认为接受了本招标文件的规定和约束。</w:t>
      </w:r>
    </w:p>
    <w:p w14:paraId="677771EB">
      <w:pPr>
        <w:pStyle w:val="17"/>
        <w:keepNext/>
        <w:keepLines/>
        <w:pageBreakBefore w:val="0"/>
        <w:widowControl w:val="0"/>
        <w:kinsoku/>
        <w:wordWrap/>
        <w:overflowPunct/>
        <w:topLinePunct w:val="0"/>
        <w:autoSpaceDE/>
        <w:autoSpaceDN/>
        <w:bidi w:val="0"/>
        <w:adjustRightInd/>
        <w:snapToGrid/>
        <w:spacing w:beforeAutospacing="0" w:afterAutospacing="0" w:line="520" w:lineRule="exact"/>
        <w:ind w:firstLine="499"/>
        <w:jc w:val="both"/>
        <w:textAlignment w:val="auto"/>
        <w:rPr>
          <w:rFonts w:cs="Times New Roman"/>
        </w:rPr>
      </w:pPr>
      <w:bookmarkStart w:id="55" w:name="_Toc120614215"/>
      <w:bookmarkStart w:id="56" w:name="_Toc513029209"/>
      <w:bookmarkStart w:id="57" w:name="_Toc20823281"/>
      <w:bookmarkStart w:id="58" w:name="_Toc16938525"/>
      <w:r>
        <w:rPr>
          <w:rFonts w:cs="Times New Roman"/>
        </w:rPr>
        <w:t>二、招标文件</w:t>
      </w:r>
      <w:bookmarkEnd w:id="55"/>
      <w:bookmarkEnd w:id="56"/>
      <w:bookmarkEnd w:id="57"/>
      <w:bookmarkEnd w:id="58"/>
    </w:p>
    <w:p w14:paraId="25B0D104">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59" w:name="_Toc16938526"/>
      <w:bookmarkStart w:id="60" w:name="_Toc513029210"/>
      <w:bookmarkStart w:id="61" w:name="_Toc20823282"/>
      <w:r>
        <w:rPr>
          <w:rFonts w:ascii="Arial" w:hAnsi="Arial" w:cs="Arial"/>
          <w:color w:val="000000"/>
          <w:sz w:val="28"/>
          <w:szCs w:val="28"/>
        </w:rPr>
        <w:t>6、招标文件构成</w:t>
      </w:r>
      <w:bookmarkEnd w:id="59"/>
      <w:bookmarkEnd w:id="60"/>
      <w:bookmarkEnd w:id="61"/>
    </w:p>
    <w:p w14:paraId="10A6924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6.1 招标文件由以下部分组成：</w:t>
      </w:r>
    </w:p>
    <w:p w14:paraId="218D9403">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default" w:eastAsia="宋体"/>
          <w:lang w:val="en-US" w:eastAsia="zh-CN"/>
        </w:rPr>
      </w:pPr>
      <w:r>
        <w:rPr>
          <w:rFonts w:hint="eastAsia" w:ascii="宋体" w:hAnsi="宋体" w:eastAsia="宋体" w:cs="宋体"/>
          <w:color w:val="000000"/>
        </w:rPr>
        <w:t>（1）</w:t>
      </w:r>
      <w:r>
        <w:rPr>
          <w:rFonts w:hint="eastAsia" w:ascii="宋体" w:hAnsi="宋体" w:eastAsia="宋体" w:cs="宋体"/>
          <w:color w:val="000000"/>
          <w:lang w:val="en-US" w:eastAsia="zh-CN"/>
        </w:rPr>
        <w:t>招标公告</w:t>
      </w:r>
    </w:p>
    <w:p w14:paraId="35D4939B">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pPr>
      <w:r>
        <w:rPr>
          <w:rFonts w:hint="eastAsia" w:ascii="宋体" w:hAnsi="宋体" w:eastAsia="宋体" w:cs="宋体"/>
          <w:color w:val="000000"/>
        </w:rPr>
        <w:t>（2）投标人须知</w:t>
      </w:r>
    </w:p>
    <w:p w14:paraId="5BFD41A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pPr>
      <w:r>
        <w:rPr>
          <w:rFonts w:hint="eastAsia" w:ascii="宋体" w:hAnsi="宋体" w:eastAsia="宋体" w:cs="宋体"/>
          <w:color w:val="000000"/>
        </w:rPr>
        <w:t>（3）合同文本</w:t>
      </w:r>
    </w:p>
    <w:p w14:paraId="46B42DC6">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pPr>
      <w:r>
        <w:rPr>
          <w:rFonts w:hint="eastAsia" w:ascii="宋体" w:hAnsi="宋体" w:eastAsia="宋体" w:cs="宋体"/>
          <w:color w:val="000000"/>
        </w:rPr>
        <w:t>（4）采购需求</w:t>
      </w:r>
    </w:p>
    <w:p w14:paraId="6CCE3102">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pPr>
      <w:r>
        <w:rPr>
          <w:rFonts w:hint="eastAsia" w:ascii="宋体" w:hAnsi="宋体" w:eastAsia="宋体" w:cs="宋体"/>
          <w:color w:val="000000"/>
        </w:rPr>
        <w:t>（5）</w:t>
      </w:r>
      <w:r>
        <w:rPr>
          <w:rFonts w:ascii="Times New Roman" w:hAnsi="Times New Roman"/>
          <w:color w:val="000000"/>
        </w:rPr>
        <w:t>评标方法与评标标准</w:t>
      </w:r>
    </w:p>
    <w:p w14:paraId="13E3BD7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pPr>
      <w:r>
        <w:rPr>
          <w:rFonts w:hint="eastAsia" w:ascii="宋体" w:hAnsi="宋体" w:eastAsia="宋体" w:cs="宋体"/>
          <w:color w:val="000000"/>
        </w:rPr>
        <w:t>（6）投标文件格式</w:t>
      </w:r>
    </w:p>
    <w:p w14:paraId="002215F2">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请仔细检查招标文件是否齐全，如有缺漏请立即与</w:t>
      </w:r>
      <w:r>
        <w:rPr>
          <w:rFonts w:hint="eastAsia" w:ascii="宋体" w:hAnsi="宋体" w:eastAsia="宋体" w:cs="宋体"/>
          <w:color w:val="000000"/>
          <w:lang w:eastAsia="zh-CN"/>
        </w:rPr>
        <w:t>采购人或采购代理机构</w:t>
      </w:r>
      <w:r>
        <w:rPr>
          <w:rFonts w:hint="eastAsia" w:ascii="宋体" w:hAnsi="宋体" w:eastAsia="宋体" w:cs="宋体"/>
          <w:color w:val="000000"/>
        </w:rPr>
        <w:t>联系解决。</w:t>
      </w:r>
    </w:p>
    <w:p w14:paraId="4E1598E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9ECC726">
      <w:pPr>
        <w:pStyle w:val="17"/>
        <w:keepNext/>
        <w:keepLines/>
        <w:spacing w:beforeAutospacing="0" w:afterAutospacing="0"/>
        <w:ind w:firstLine="560"/>
        <w:jc w:val="both"/>
      </w:pPr>
      <w:bookmarkStart w:id="62" w:name="_Toc20823283"/>
      <w:bookmarkStart w:id="63" w:name="_Toc16938527"/>
      <w:bookmarkStart w:id="64" w:name="_Toc513029211"/>
      <w:bookmarkStart w:id="65" w:name="_Toc462564070"/>
      <w:r>
        <w:rPr>
          <w:rFonts w:ascii="Arial" w:hAnsi="Arial" w:cs="Arial"/>
          <w:color w:val="000000"/>
          <w:sz w:val="28"/>
          <w:szCs w:val="28"/>
        </w:rPr>
        <w:t>7、招标文件的澄清</w:t>
      </w:r>
      <w:bookmarkEnd w:id="62"/>
      <w:bookmarkEnd w:id="63"/>
      <w:bookmarkEnd w:id="64"/>
      <w:bookmarkEnd w:id="65"/>
    </w:p>
    <w:p w14:paraId="2A0DCCEF">
      <w:pPr>
        <w:pStyle w:val="17"/>
        <w:spacing w:beforeAutospacing="0" w:afterAutospacing="0" w:line="0" w:lineRule="atLeast"/>
        <w:ind w:firstLine="480"/>
        <w:jc w:val="both"/>
      </w:pPr>
      <w:r>
        <w:rPr>
          <w:rFonts w:hint="eastAsia" w:ascii="宋体" w:hAnsi="宋体" w:eastAsia="宋体" w:cs="宋体"/>
          <w:color w:val="000000"/>
        </w:rPr>
        <w:t>7.1任何要求对招标文件进行澄清的投标人，应在投标截止期</w:t>
      </w:r>
      <w:r>
        <w:rPr>
          <w:rFonts w:ascii="仿宋_GB2312" w:eastAsia="仿宋_GB2312" w:cs="仿宋_GB2312"/>
          <w:b/>
          <w:color w:val="000000"/>
        </w:rPr>
        <w:t>十日</w:t>
      </w:r>
      <w:r>
        <w:rPr>
          <w:rFonts w:ascii="仿宋_GB2312" w:eastAsia="仿宋_GB2312" w:cs="仿宋_GB2312"/>
          <w:color w:val="000000"/>
        </w:rPr>
        <w:t>前</w:t>
      </w:r>
      <w:r>
        <w:rPr>
          <w:rFonts w:hint="eastAsia" w:ascii="宋体" w:hAnsi="宋体" w:eastAsia="宋体" w:cs="宋体"/>
          <w:color w:val="000000"/>
        </w:rPr>
        <w:t>按招标公告中的通讯地址，以书面形式通知</w:t>
      </w:r>
      <w:r>
        <w:rPr>
          <w:rFonts w:hint="eastAsia" w:ascii="宋体" w:hAnsi="宋体" w:eastAsia="宋体" w:cs="宋体"/>
          <w:color w:val="000000"/>
          <w:lang w:eastAsia="zh-CN"/>
        </w:rPr>
        <w:t>采购人或采购代理机构</w:t>
      </w:r>
      <w:r>
        <w:rPr>
          <w:rFonts w:hint="eastAsia" w:ascii="宋体" w:hAnsi="宋体" w:eastAsia="宋体" w:cs="宋体"/>
          <w:color w:val="000000"/>
        </w:rPr>
        <w:t>。</w:t>
      </w:r>
    </w:p>
    <w:p w14:paraId="2A76E3D1">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66" w:name="_Toc20823284"/>
      <w:bookmarkStart w:id="67" w:name="_Toc513029212"/>
      <w:bookmarkStart w:id="68" w:name="_Toc16938528"/>
      <w:bookmarkStart w:id="69" w:name="_Toc462564071"/>
      <w:r>
        <w:rPr>
          <w:rFonts w:ascii="Arial" w:hAnsi="Arial" w:cs="Arial"/>
          <w:color w:val="000000"/>
          <w:sz w:val="28"/>
          <w:szCs w:val="28"/>
        </w:rPr>
        <w:t>8、招标文件的修改</w:t>
      </w:r>
      <w:bookmarkEnd w:id="66"/>
      <w:bookmarkEnd w:id="67"/>
      <w:bookmarkEnd w:id="68"/>
      <w:bookmarkEnd w:id="69"/>
    </w:p>
    <w:p w14:paraId="08C8810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8.1在投标截止时间前，</w:t>
      </w:r>
      <w:r>
        <w:rPr>
          <w:rFonts w:hint="eastAsia" w:ascii="宋体" w:hAnsi="宋体" w:eastAsia="宋体" w:cs="宋体"/>
          <w:color w:val="000000"/>
          <w:lang w:eastAsia="zh-CN"/>
        </w:rPr>
        <w:t>采购人或采购代理机构</w:t>
      </w:r>
      <w:r>
        <w:rPr>
          <w:rFonts w:hint="eastAsia" w:ascii="宋体" w:hAnsi="宋体" w:eastAsia="宋体" w:cs="宋体"/>
          <w:color w:val="000000"/>
        </w:rPr>
        <w:t>可以对招标文件进行修改。</w:t>
      </w:r>
    </w:p>
    <w:p w14:paraId="148D0B4F">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8.2</w:t>
      </w:r>
      <w:r>
        <w:rPr>
          <w:rFonts w:hint="eastAsia" w:ascii="宋体" w:hAnsi="宋体" w:eastAsia="宋体" w:cs="宋体"/>
          <w:color w:val="000000"/>
          <w:lang w:eastAsia="zh-CN"/>
        </w:rPr>
        <w:t>采购人或采购代理机构</w:t>
      </w:r>
      <w:r>
        <w:rPr>
          <w:rFonts w:hint="eastAsia" w:ascii="宋体" w:hAnsi="宋体" w:eastAsia="宋体" w:cs="宋体"/>
          <w:color w:val="000000"/>
        </w:rPr>
        <w:t>有权按照法定的要求推迟投标截止日期和开标日期。</w:t>
      </w:r>
    </w:p>
    <w:p w14:paraId="624BA28B">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8.3招标文件的修改将在</w:t>
      </w:r>
      <w:r>
        <w:rPr>
          <w:rFonts w:hint="eastAsia" w:ascii="宋体" w:hAnsi="宋体" w:eastAsia="宋体" w:cs="宋体"/>
          <w:color w:val="000000"/>
          <w:lang w:val="en-US" w:eastAsia="zh-CN"/>
        </w:rPr>
        <w:t>中国政府采购网、</w:t>
      </w:r>
      <w:r>
        <w:rPr>
          <w:rFonts w:hint="eastAsia" w:ascii="宋体" w:hAnsi="宋体" w:eastAsia="宋体" w:cs="宋体"/>
          <w:color w:val="000000"/>
        </w:rPr>
        <w:t>江苏政府采购网</w:t>
      </w:r>
      <w:r>
        <w:rPr>
          <w:rFonts w:hint="eastAsia" w:ascii="宋体" w:hAnsi="宋体" w:eastAsia="宋体" w:cs="宋体"/>
          <w:color w:val="000000"/>
          <w:lang w:eastAsia="zh-CN"/>
        </w:rPr>
        <w:t>、</w:t>
      </w:r>
      <w:r>
        <w:rPr>
          <w:rFonts w:hint="eastAsia" w:ascii="宋体" w:hAnsi="宋体" w:eastAsia="宋体" w:cs="宋体"/>
          <w:color w:val="000000"/>
        </w:rPr>
        <w:t>盐城市政府采购网公布，补充文件将作为招标文件的组成部分，并对投标人具有约束力。</w:t>
      </w:r>
    </w:p>
    <w:p w14:paraId="4D2F309F">
      <w:pPr>
        <w:pStyle w:val="17"/>
        <w:keepNext/>
        <w:keepLines/>
        <w:pageBreakBefore w:val="0"/>
        <w:widowControl w:val="0"/>
        <w:kinsoku/>
        <w:wordWrap/>
        <w:overflowPunct/>
        <w:topLinePunct w:val="0"/>
        <w:autoSpaceDE/>
        <w:autoSpaceDN/>
        <w:bidi w:val="0"/>
        <w:adjustRightInd/>
        <w:snapToGrid/>
        <w:spacing w:beforeAutospacing="0" w:afterAutospacing="0" w:line="520" w:lineRule="exact"/>
        <w:ind w:firstLine="499"/>
        <w:jc w:val="both"/>
        <w:textAlignment w:val="auto"/>
        <w:rPr>
          <w:rFonts w:ascii="Times New Roman" w:hAnsi="Times New Roman" w:cs="Times New Roman"/>
          <w:b/>
          <w:color w:val="000000"/>
          <w:sz w:val="32"/>
          <w:szCs w:val="32"/>
        </w:rPr>
      </w:pPr>
      <w:bookmarkStart w:id="70" w:name="_Toc16938529"/>
      <w:bookmarkStart w:id="71" w:name="_Toc20823285"/>
      <w:bookmarkStart w:id="72" w:name="_Toc120614216"/>
      <w:bookmarkStart w:id="73" w:name="_Toc462564072"/>
      <w:bookmarkStart w:id="74" w:name="_Toc513029213"/>
      <w:r>
        <w:rPr>
          <w:rFonts w:ascii="Times New Roman" w:hAnsi="Times New Roman" w:cs="Times New Roman"/>
          <w:b/>
          <w:color w:val="000000"/>
          <w:sz w:val="32"/>
          <w:szCs w:val="32"/>
        </w:rPr>
        <w:t>三、投标文件的编制</w:t>
      </w:r>
      <w:bookmarkEnd w:id="70"/>
      <w:bookmarkEnd w:id="71"/>
      <w:bookmarkEnd w:id="72"/>
      <w:bookmarkEnd w:id="73"/>
      <w:bookmarkEnd w:id="74"/>
    </w:p>
    <w:p w14:paraId="7E8BB65E">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75" w:name="_Toc513029214"/>
      <w:bookmarkStart w:id="76" w:name="_Toc462564073"/>
      <w:bookmarkStart w:id="77" w:name="_Toc20823286"/>
      <w:bookmarkStart w:id="78" w:name="_Toc16938530"/>
      <w:r>
        <w:rPr>
          <w:rFonts w:ascii="Arial" w:hAnsi="Arial" w:cs="Arial"/>
          <w:color w:val="000000"/>
          <w:sz w:val="28"/>
          <w:szCs w:val="28"/>
        </w:rPr>
        <w:t>9、投标文件的语言及度量衡单位</w:t>
      </w:r>
      <w:bookmarkEnd w:id="75"/>
      <w:bookmarkEnd w:id="76"/>
      <w:bookmarkEnd w:id="77"/>
      <w:bookmarkEnd w:id="78"/>
    </w:p>
    <w:p w14:paraId="393E4DC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9.1投标人提交的投标文件以及投标人与</w:t>
      </w:r>
      <w:r>
        <w:rPr>
          <w:rFonts w:hint="eastAsia" w:ascii="宋体" w:hAnsi="宋体" w:eastAsia="宋体" w:cs="宋体"/>
          <w:color w:val="000000"/>
          <w:lang w:eastAsia="zh-CN"/>
        </w:rPr>
        <w:t>采购人或采购代理机构</w:t>
      </w:r>
      <w:r>
        <w:rPr>
          <w:rFonts w:hint="eastAsia" w:ascii="宋体" w:hAnsi="宋体" w:eastAsia="宋体" w:cs="宋体"/>
          <w:color w:val="000000"/>
        </w:rPr>
        <w:t>就有关投标的所有来往通知、函件和文件均应使用简体中文。</w:t>
      </w:r>
    </w:p>
    <w:p w14:paraId="73F1E276">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9.2除技术性能另有规定外，投标文件所使用的度量衡单位，均须采用国家法定计量单位。</w:t>
      </w:r>
    </w:p>
    <w:p w14:paraId="36084B88">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79" w:name="_Toc462564074"/>
      <w:bookmarkStart w:id="80" w:name="_Toc20823287"/>
      <w:bookmarkStart w:id="81" w:name="_Toc16938531"/>
      <w:bookmarkStart w:id="82" w:name="_Toc513029215"/>
      <w:r>
        <w:rPr>
          <w:rFonts w:ascii="Arial" w:hAnsi="Arial" w:cs="Arial"/>
          <w:color w:val="000000"/>
          <w:sz w:val="28"/>
          <w:szCs w:val="28"/>
        </w:rPr>
        <w:t>10、投标文件构成</w:t>
      </w:r>
      <w:bookmarkEnd w:id="79"/>
      <w:bookmarkEnd w:id="80"/>
      <w:bookmarkEnd w:id="81"/>
      <w:bookmarkEnd w:id="82"/>
    </w:p>
    <w:p w14:paraId="1B827852">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10.1投标人编写的投标文件应包括资格证明文件、符合性证明文件、投标分项报价表、技术要求响应及偏离表、商务要求响应及偏离表、其他证明文件、投标函、开标一览表等部分。</w:t>
      </w:r>
    </w:p>
    <w:p w14:paraId="18E79F4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10.2如标书制作工具中格式和内容与</w:t>
      </w:r>
      <w:r>
        <w:rPr>
          <w:rFonts w:hint="eastAsia" w:ascii="宋体" w:hAnsi="宋体" w:eastAsia="宋体" w:cs="宋体"/>
          <w:color w:val="000000"/>
          <w:lang w:val="en-US" w:eastAsia="zh-CN"/>
        </w:rPr>
        <w:t>“中国政府采购网”、</w:t>
      </w:r>
      <w:r>
        <w:rPr>
          <w:rFonts w:hint="eastAsia" w:ascii="宋体" w:hAnsi="宋体" w:eastAsia="宋体" w:cs="宋体"/>
          <w:color w:val="000000"/>
        </w:rPr>
        <w:t>“江苏政府采购网”、“盐城市政府采购网”发布的招标文件不一致，请以</w:t>
      </w:r>
      <w:r>
        <w:rPr>
          <w:rFonts w:hint="eastAsia" w:ascii="宋体" w:hAnsi="宋体" w:eastAsia="宋体" w:cs="宋体"/>
          <w:color w:val="000000"/>
          <w:lang w:val="en-US" w:eastAsia="zh-CN"/>
        </w:rPr>
        <w:t>“中国政府采购网”、</w:t>
      </w:r>
      <w:r>
        <w:rPr>
          <w:rFonts w:hint="eastAsia" w:ascii="宋体" w:hAnsi="宋体" w:eastAsia="宋体" w:cs="宋体"/>
          <w:color w:val="000000"/>
        </w:rPr>
        <w:t>“江苏政府采购网”、“盐城市政府采购网”发布的招标文件为准。</w:t>
      </w:r>
    </w:p>
    <w:p w14:paraId="10B933E8">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83" w:name="_Toc49090507"/>
      <w:bookmarkStart w:id="84" w:name="_Toc513029219"/>
      <w:bookmarkStart w:id="85" w:name="_Toc14577354"/>
      <w:bookmarkStart w:id="86" w:name="_Toc14577357"/>
      <w:bookmarkStart w:id="87" w:name="_Toc513029216"/>
      <w:bookmarkStart w:id="88" w:name="_Toc49090509"/>
      <w:bookmarkStart w:id="89" w:name="_Hlt26670360"/>
      <w:bookmarkStart w:id="90" w:name="_Hlt26954838"/>
      <w:bookmarkStart w:id="91" w:name="_Hlt26668975"/>
      <w:r>
        <w:rPr>
          <w:rFonts w:ascii="Arial" w:hAnsi="Arial" w:cs="Arial"/>
          <w:color w:val="000000"/>
          <w:sz w:val="28"/>
          <w:szCs w:val="28"/>
        </w:rPr>
        <w:t>11、证明投标人及投标标的符合招标文件规定的文件</w:t>
      </w:r>
      <w:bookmarkEnd w:id="83"/>
      <w:bookmarkEnd w:id="84"/>
      <w:bookmarkEnd w:id="85"/>
      <w:bookmarkEnd w:id="86"/>
      <w:bookmarkEnd w:id="87"/>
      <w:bookmarkEnd w:id="88"/>
    </w:p>
    <w:p w14:paraId="2374A83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240" w:firstLineChars="100"/>
        <w:jc w:val="both"/>
        <w:textAlignment w:val="auto"/>
        <w:rPr>
          <w:rFonts w:hint="eastAsia" w:ascii="宋体" w:hAnsi="宋体" w:eastAsia="宋体" w:cs="宋体"/>
          <w:color w:val="000000"/>
        </w:rPr>
      </w:pPr>
      <w:bookmarkStart w:id="92" w:name="_Toc49090508"/>
      <w:bookmarkStart w:id="93" w:name="_Toc14577355"/>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2"/>
      <w:bookmarkEnd w:id="93"/>
    </w:p>
    <w:p w14:paraId="36AF6E7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11.2招标文件对证明文件无明确形式要求的，证明文件可以以文字资料、图纸和数据等形式提交。</w:t>
      </w:r>
    </w:p>
    <w:p w14:paraId="18580C48">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r>
        <w:rPr>
          <w:rFonts w:ascii="Arial" w:hAnsi="Arial" w:cs="Arial"/>
          <w:color w:val="000000"/>
          <w:sz w:val="28"/>
          <w:szCs w:val="28"/>
        </w:rPr>
        <w:t>12、投标分项报价</w:t>
      </w:r>
      <w:bookmarkStart w:id="94" w:name="_Hlt26670373"/>
      <w:r>
        <w:rPr>
          <w:rFonts w:ascii="Arial" w:hAnsi="Arial" w:cs="Arial"/>
          <w:color w:val="000000"/>
          <w:sz w:val="28"/>
          <w:szCs w:val="28"/>
        </w:rPr>
        <w:t>表</w:t>
      </w:r>
    </w:p>
    <w:p w14:paraId="6B982D51">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240" w:firstLineChars="100"/>
        <w:jc w:val="both"/>
        <w:textAlignment w:val="auto"/>
        <w:rPr>
          <w:rFonts w:hint="eastAsia" w:ascii="宋体" w:hAnsi="宋体" w:eastAsia="宋体" w:cs="宋体"/>
          <w:color w:val="000000"/>
        </w:rPr>
      </w:pPr>
      <w:r>
        <w:rPr>
          <w:rFonts w:hint="eastAsia" w:ascii="宋体" w:hAnsi="宋体" w:eastAsia="宋体" w:cs="宋体"/>
          <w:color w:val="000000"/>
        </w:rPr>
        <w:t>12.1投</w:t>
      </w:r>
      <w:bookmarkStart w:id="95" w:name="_Hlt26954840"/>
      <w:r>
        <w:rPr>
          <w:rFonts w:hint="eastAsia" w:ascii="宋体" w:hAnsi="宋体" w:eastAsia="宋体" w:cs="宋体"/>
          <w:color w:val="000000"/>
        </w:rPr>
        <w:t>标人应按照招标文件规定格式填报投标分项报价表</w:t>
      </w:r>
      <w:bookmarkStart w:id="96" w:name="_Hlt26670399"/>
      <w:r>
        <w:rPr>
          <w:rFonts w:hint="eastAsia" w:ascii="宋体" w:hAnsi="宋体" w:eastAsia="宋体" w:cs="宋体"/>
          <w:color w:val="000000"/>
        </w:rPr>
        <w:t>。</w:t>
      </w:r>
    </w:p>
    <w:p w14:paraId="1DACED8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240" w:firstLineChars="100"/>
        <w:jc w:val="both"/>
        <w:textAlignment w:val="auto"/>
        <w:rPr>
          <w:rFonts w:hint="eastAsia" w:ascii="宋体" w:hAnsi="宋体" w:eastAsia="宋体" w:cs="宋体"/>
          <w:color w:val="000000"/>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3537515D">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97" w:name="_Hlt26954844"/>
      <w:bookmarkStart w:id="98" w:name="_Hlt26670403"/>
      <w:bookmarkStart w:id="99" w:name="_Hlt26954846"/>
      <w:bookmarkStart w:id="100" w:name="_Hlt26954731"/>
      <w:bookmarkStart w:id="101" w:name="_Hlt26954848"/>
      <w:bookmarkStart w:id="102" w:name="_Hlt26670486"/>
      <w:bookmarkStart w:id="103" w:name="_Hlt26668983"/>
      <w:bookmarkStart w:id="104" w:name="_Hlt26670482"/>
      <w:bookmarkStart w:id="105" w:name="_Hlt26954842"/>
      <w:bookmarkStart w:id="106" w:name="_Hlt26670425"/>
      <w:r>
        <w:rPr>
          <w:rFonts w:ascii="Arial" w:hAnsi="Arial" w:cs="Arial"/>
          <w:color w:val="000000"/>
          <w:sz w:val="28"/>
          <w:szCs w:val="28"/>
        </w:rPr>
        <w:t>13、技术要求响应及偏离表、商务要求响应及偏离表</w:t>
      </w:r>
    </w:p>
    <w:p w14:paraId="36666D86">
      <w:pPr>
        <w:autoSpaceDE w:val="0"/>
        <w:autoSpaceDN w:val="0"/>
        <w:adjustRightInd w:val="0"/>
        <w:spacing w:line="500" w:lineRule="exact"/>
        <w:ind w:firstLine="480"/>
        <w:rPr>
          <w:rFonts w:hint="eastAsia" w:ascii="宋体" w:hAnsi="Arial" w:cs="宋体"/>
          <w:color w:val="auto"/>
          <w:sz w:val="24"/>
          <w:szCs w:val="21"/>
          <w:lang w:val="zh-CN"/>
        </w:rPr>
      </w:pPr>
      <w:r>
        <w:rPr>
          <w:rFonts w:ascii="宋体" w:hAnsi="Arial" w:cs="宋体"/>
          <w:bCs/>
          <w:color w:val="auto"/>
          <w:sz w:val="24"/>
          <w:szCs w:val="21"/>
          <w:lang w:val="zh-CN"/>
        </w:rPr>
        <w:t>1</w:t>
      </w:r>
      <w:r>
        <w:rPr>
          <w:rFonts w:hint="eastAsia" w:ascii="宋体" w:hAnsi="Arial" w:cs="宋体"/>
          <w:bCs/>
          <w:color w:val="auto"/>
          <w:sz w:val="24"/>
          <w:szCs w:val="21"/>
          <w:lang w:val="zh-CN"/>
        </w:rPr>
        <w:t>3</w:t>
      </w:r>
      <w:r>
        <w:rPr>
          <w:rFonts w:ascii="宋体" w:hAnsi="Arial" w:cs="宋体"/>
          <w:bCs/>
          <w:color w:val="auto"/>
          <w:sz w:val="24"/>
          <w:szCs w:val="21"/>
          <w:lang w:val="zh-CN"/>
        </w:rPr>
        <w:t>.1</w:t>
      </w:r>
      <w:r>
        <w:rPr>
          <w:rFonts w:hint="eastAsia" w:ascii="宋体" w:hAnsi="Arial" w:cs="宋体"/>
          <w:bCs/>
          <w:color w:val="auto"/>
          <w:sz w:val="24"/>
          <w:szCs w:val="21"/>
          <w:lang w:val="zh-CN"/>
        </w:rPr>
        <w:t xml:space="preserve"> </w:t>
      </w:r>
      <w:r>
        <w:rPr>
          <w:rFonts w:hint="eastAsia" w:ascii="宋体" w:hAnsi="Arial" w:cs="宋体"/>
          <w:color w:val="auto"/>
          <w:sz w:val="24"/>
          <w:szCs w:val="21"/>
          <w:lang w:val="zh-CN"/>
        </w:rPr>
        <w:t>投标人对招标文件中的技术要求与商务要求</w:t>
      </w:r>
      <w:r>
        <w:rPr>
          <w:rFonts w:hint="eastAsia" w:ascii="宋体" w:hAnsi="Arial" w:cs="宋体"/>
          <w:color w:val="auto"/>
          <w:sz w:val="24"/>
          <w:szCs w:val="21"/>
          <w:lang w:val="en-US" w:eastAsia="zh-CN"/>
        </w:rPr>
        <w:t>,</w:t>
      </w:r>
      <w:r>
        <w:rPr>
          <w:rFonts w:hint="eastAsia" w:ascii="宋体" w:hAnsi="Arial" w:cs="宋体"/>
          <w:b/>
          <w:bCs/>
          <w:color w:val="auto"/>
          <w:sz w:val="24"/>
          <w:szCs w:val="21"/>
          <w:lang w:val="zh-CN"/>
        </w:rPr>
        <w:t>如</w:t>
      </w:r>
      <w:r>
        <w:rPr>
          <w:rFonts w:hint="eastAsia" w:ascii="宋体" w:hAnsi="Arial" w:cs="宋体"/>
          <w:b/>
          <w:bCs/>
          <w:color w:val="auto"/>
          <w:sz w:val="24"/>
          <w:szCs w:val="21"/>
          <w:lang w:val="zh-CN" w:eastAsia="zh-CN"/>
        </w:rPr>
        <w:t>有</w:t>
      </w:r>
      <w:r>
        <w:rPr>
          <w:rFonts w:hint="eastAsia" w:ascii="宋体" w:hAnsi="Arial" w:cs="宋体"/>
          <w:b/>
          <w:bCs/>
          <w:color w:val="auto"/>
          <w:sz w:val="24"/>
          <w:szCs w:val="21"/>
          <w:lang w:val="zh-CN"/>
        </w:rPr>
        <w:t>偏离</w:t>
      </w:r>
      <w:r>
        <w:rPr>
          <w:rFonts w:hint="eastAsia" w:ascii="宋体" w:hAnsi="Arial" w:cs="宋体"/>
          <w:color w:val="auto"/>
          <w:sz w:val="24"/>
          <w:szCs w:val="21"/>
          <w:lang w:val="zh-CN"/>
        </w:rPr>
        <w:t>，在偏离表中逐条说明，并说明原因。</w:t>
      </w:r>
    </w:p>
    <w:p w14:paraId="1E6A4945">
      <w:pPr>
        <w:pStyle w:val="17"/>
        <w:tabs>
          <w:tab w:val="left" w:pos="1036"/>
        </w:tabs>
        <w:spacing w:beforeAutospacing="0" w:afterAutospacing="0" w:line="0" w:lineRule="atLeast"/>
        <w:ind w:firstLine="480"/>
        <w:jc w:val="both"/>
      </w:pPr>
      <w:r>
        <w:rPr>
          <w:rFonts w:hint="eastAsia" w:ascii="宋体" w:hAnsi="宋体" w:eastAsia="宋体" w:cs="宋体"/>
          <w:color w:val="000000"/>
        </w:rPr>
        <w:t>13.2投标人可在投标文件中提供认为需要的其他技术文件或说明。</w:t>
      </w:r>
    </w:p>
    <w:p w14:paraId="37B42AD6">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107" w:name="_Toc14577359"/>
      <w:bookmarkStart w:id="108" w:name="_Toc49090510"/>
      <w:r>
        <w:rPr>
          <w:rFonts w:ascii="Arial" w:hAnsi="Arial" w:cs="Arial"/>
          <w:color w:val="000000"/>
          <w:sz w:val="28"/>
          <w:szCs w:val="28"/>
        </w:rPr>
        <w:t>14、投标函和开标一览表</w:t>
      </w:r>
      <w:bookmarkEnd w:id="107"/>
      <w:bookmarkEnd w:id="108"/>
    </w:p>
    <w:p w14:paraId="6077A700">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14.1投标人应按照招标文件中提供的格式完整、正确填写投标函、开标一览表。</w:t>
      </w:r>
    </w:p>
    <w:p w14:paraId="0053D773">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p>
    <w:p w14:paraId="211E76B6">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109" w:name="_Toc49090511"/>
      <w:bookmarkStart w:id="110" w:name="_Toc14577360"/>
      <w:bookmarkStart w:id="111" w:name="_Hlt26670489"/>
      <w:bookmarkStart w:id="112" w:name="_Hlt26954734"/>
      <w:bookmarkStart w:id="113" w:name="_Hlt26954850"/>
      <w:r>
        <w:rPr>
          <w:rFonts w:ascii="Arial" w:hAnsi="Arial" w:cs="Arial"/>
          <w:color w:val="000000"/>
          <w:sz w:val="28"/>
          <w:szCs w:val="28"/>
        </w:rPr>
        <w:t>15、投标有效期</w:t>
      </w:r>
      <w:bookmarkEnd w:id="109"/>
      <w:bookmarkEnd w:id="110"/>
    </w:p>
    <w:p w14:paraId="2CDB7E36">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15.1投标有效期为开标之日后</w:t>
      </w:r>
      <w:r>
        <w:rPr>
          <w:rFonts w:ascii="仿宋_GB2312" w:eastAsia="仿宋_GB2312" w:cs="仿宋_GB2312"/>
          <w:b/>
          <w:color w:val="000000"/>
          <w:u w:val="single"/>
        </w:rPr>
        <w:t>六十（60）天</w:t>
      </w:r>
      <w:r>
        <w:rPr>
          <w:rFonts w:hint="eastAsia" w:ascii="宋体" w:hAnsi="宋体" w:eastAsia="宋体" w:cs="宋体"/>
          <w:color w:val="000000"/>
        </w:rPr>
        <w:t>。投标有效期比规定短的将被视为未实质性响应招标文件而予以拒绝。</w:t>
      </w:r>
    </w:p>
    <w:p w14:paraId="53B1296B">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r>
        <w:rPr>
          <w:rFonts w:ascii="Arial" w:hAnsi="Arial" w:cs="Arial"/>
          <w:color w:val="000000"/>
          <w:sz w:val="28"/>
          <w:szCs w:val="28"/>
        </w:rPr>
        <w:t>16、投标有效期的延长</w:t>
      </w:r>
    </w:p>
    <w:p w14:paraId="76C84BD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16.1在特殊情况下，</w:t>
      </w:r>
      <w:r>
        <w:rPr>
          <w:rFonts w:hint="eastAsia" w:ascii="宋体" w:hAnsi="宋体" w:eastAsia="宋体" w:cs="宋体"/>
          <w:color w:val="000000"/>
          <w:lang w:eastAsia="zh-CN"/>
        </w:rPr>
        <w:t>采购人或采购代理机构</w:t>
      </w:r>
      <w:r>
        <w:rPr>
          <w:rFonts w:hint="eastAsia" w:ascii="宋体" w:hAnsi="宋体" w:eastAsia="宋体" w:cs="宋体"/>
          <w:color w:val="000000"/>
        </w:rPr>
        <w:t>于原投标有效期满之前，可向投标人提出延长投标有效期的要求。这种要求与答复均应采用书面形式。投标人可以拒绝</w:t>
      </w:r>
      <w:r>
        <w:rPr>
          <w:rFonts w:hint="eastAsia" w:ascii="宋体" w:hAnsi="宋体" w:eastAsia="宋体" w:cs="宋体"/>
          <w:color w:val="000000"/>
          <w:lang w:eastAsia="zh-CN"/>
        </w:rPr>
        <w:t>采购人或采购代理机构</w:t>
      </w:r>
      <w:r>
        <w:rPr>
          <w:rFonts w:hint="eastAsia" w:ascii="宋体" w:hAnsi="宋体" w:eastAsia="宋体" w:cs="宋体"/>
          <w:color w:val="000000"/>
        </w:rPr>
        <w:t>的这一要求而放弃投标。同意延长投标有效期的投标人既不能要求也不允许修改其投标文件，同时受投标有效期约束的所有权利与义务均延长至新的有效期。</w:t>
      </w:r>
    </w:p>
    <w:p w14:paraId="614CF83E">
      <w:pPr>
        <w:pStyle w:val="17"/>
        <w:keepNext/>
        <w:keepLines/>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pPr>
      <w:bookmarkStart w:id="114" w:name="_Toc120614217"/>
      <w:bookmarkStart w:id="115" w:name="_Toc513029224"/>
      <w:bookmarkStart w:id="116" w:name="_Toc16938540"/>
      <w:bookmarkStart w:id="117" w:name="_Toc20823296"/>
      <w:bookmarkStart w:id="118" w:name="_Hlt26954852"/>
      <w:bookmarkStart w:id="119" w:name="_Hlt26954739"/>
      <w:r>
        <w:rPr>
          <w:rFonts w:ascii="Times New Roman" w:hAnsi="Times New Roman"/>
          <w:b/>
          <w:color w:val="000000"/>
          <w:sz w:val="32"/>
          <w:szCs w:val="32"/>
        </w:rPr>
        <w:t>四、投标文件的递交</w:t>
      </w:r>
      <w:bookmarkEnd w:id="114"/>
      <w:bookmarkEnd w:id="115"/>
      <w:bookmarkEnd w:id="116"/>
      <w:bookmarkEnd w:id="117"/>
    </w:p>
    <w:p w14:paraId="6BE806D4">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120" w:name="_Toc513029225"/>
      <w:bookmarkStart w:id="121" w:name="_Toc16938541"/>
      <w:bookmarkStart w:id="122" w:name="_Toc20823297"/>
      <w:bookmarkStart w:id="123" w:name="_Toc462564084"/>
      <w:r>
        <w:rPr>
          <w:rFonts w:ascii="Arial" w:hAnsi="Arial" w:cs="Arial"/>
          <w:color w:val="000000"/>
          <w:sz w:val="28"/>
          <w:szCs w:val="28"/>
        </w:rPr>
        <w:t>17、</w:t>
      </w:r>
      <w:r>
        <w:rPr>
          <w:rFonts w:hint="eastAsia" w:ascii="Arial" w:hAnsi="Arial" w:cs="Arial"/>
          <w:color w:val="000000"/>
          <w:sz w:val="28"/>
          <w:szCs w:val="28"/>
        </w:rPr>
        <w:t>投标文件</w:t>
      </w:r>
      <w:bookmarkEnd w:id="120"/>
      <w:bookmarkEnd w:id="121"/>
      <w:bookmarkEnd w:id="122"/>
      <w:bookmarkEnd w:id="123"/>
      <w:r>
        <w:rPr>
          <w:rFonts w:hint="eastAsia" w:ascii="Arial" w:hAnsi="Arial" w:cs="Arial"/>
          <w:color w:val="000000"/>
          <w:sz w:val="28"/>
          <w:szCs w:val="28"/>
        </w:rPr>
        <w:t>的递交</w:t>
      </w:r>
    </w:p>
    <w:p w14:paraId="016855ED">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000000"/>
        </w:rPr>
      </w:pPr>
      <w:r>
        <w:rPr>
          <w:rFonts w:hint="eastAsia" w:ascii="宋体" w:hAnsi="宋体" w:eastAsia="宋体" w:cs="宋体"/>
          <w:color w:val="000000"/>
        </w:rPr>
        <w:t>17.1 电子投标文件的递交</w:t>
      </w:r>
    </w:p>
    <w:p w14:paraId="7F161F8F">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000000"/>
        </w:rPr>
      </w:pPr>
      <w:r>
        <w:rPr>
          <w:rFonts w:hint="eastAsia" w:ascii="宋体" w:hAnsi="宋体" w:eastAsia="宋体" w:cs="宋体"/>
          <w:color w:val="000000"/>
        </w:rPr>
        <w:t>投标人应当按照《操作手册》规定，在投标截止时间前制作并上传电子投标文件。</w:t>
      </w:r>
      <w:bookmarkStart w:id="124" w:name="_Toc16938542"/>
      <w:bookmarkEnd w:id="124"/>
      <w:bookmarkStart w:id="125" w:name="_Toc20823298"/>
      <w:bookmarkEnd w:id="125"/>
      <w:bookmarkStart w:id="126" w:name="_Toc513029226"/>
    </w:p>
    <w:p w14:paraId="4A23684D">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bCs/>
          <w:sz w:val="24"/>
          <w:szCs w:val="21"/>
        </w:rPr>
      </w:pPr>
      <w:r>
        <w:rPr>
          <w:rFonts w:hint="eastAsia" w:ascii="宋体" w:hAnsi="宋体"/>
          <w:bCs/>
          <w:sz w:val="24"/>
          <w:szCs w:val="21"/>
          <w:lang w:val="en-US" w:eastAsia="zh-CN"/>
        </w:rPr>
        <w:t>17</w:t>
      </w:r>
      <w:r>
        <w:rPr>
          <w:rFonts w:hint="eastAsia" w:ascii="宋体" w:hAnsi="宋体"/>
          <w:bCs/>
          <w:sz w:val="24"/>
          <w:szCs w:val="21"/>
        </w:rPr>
        <w:t>.2</w:t>
      </w:r>
      <w:r>
        <w:rPr>
          <w:rFonts w:hint="eastAsia" w:ascii="宋体" w:hAnsi="宋体"/>
          <w:b/>
          <w:bCs/>
          <w:sz w:val="24"/>
        </w:rPr>
        <w:t>中标人在领取中标通知书之前，必须提供</w:t>
      </w:r>
      <w:r>
        <w:rPr>
          <w:rFonts w:hint="eastAsia" w:ascii="宋体" w:hAnsi="宋体"/>
          <w:b/>
          <w:bCs/>
          <w:sz w:val="24"/>
          <w:lang w:eastAsia="zh-CN"/>
        </w:rPr>
        <w:t>四</w:t>
      </w:r>
      <w:r>
        <w:rPr>
          <w:rFonts w:hint="eastAsia" w:ascii="宋体" w:hAnsi="宋体"/>
          <w:b/>
          <w:bCs/>
          <w:sz w:val="24"/>
        </w:rPr>
        <w:t>份与电子投标文件一致的纸质打印投标文件并且加盖投标人公章。</w:t>
      </w:r>
    </w:p>
    <w:p w14:paraId="0F36143B">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r>
        <w:rPr>
          <w:rFonts w:ascii="Arial" w:hAnsi="Arial" w:cs="Arial"/>
          <w:color w:val="000000"/>
          <w:sz w:val="28"/>
          <w:szCs w:val="28"/>
        </w:rPr>
        <w:t>18、投标截止时间</w:t>
      </w:r>
    </w:p>
    <w:p w14:paraId="3421BF31">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b/>
          <w:bCs/>
        </w:rPr>
      </w:pPr>
      <w:r>
        <w:rPr>
          <w:rFonts w:hint="eastAsia" w:ascii="宋体" w:hAnsi="宋体" w:eastAsia="宋体" w:cs="宋体"/>
          <w:b/>
          <w:bCs/>
          <w:i/>
          <w:color w:val="000000"/>
          <w:u w:val="single"/>
        </w:rPr>
        <w:t>18.1投标人上传电子投标文件的时间不得迟于招标公告中规定的投标截止时间。</w:t>
      </w:r>
    </w:p>
    <w:p w14:paraId="0D6193AD">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投标人应充分考虑到网络环境、网络带宽等风险因素，如因投标人自身原因造成的电子投标文件上传不成功的按照本招标文件第二章第26.1.2条 规定做无效投标处理。</w:t>
      </w:r>
    </w:p>
    <w:p w14:paraId="41CCCF6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18.2</w:t>
      </w:r>
      <w:r>
        <w:rPr>
          <w:rFonts w:hint="eastAsia" w:ascii="宋体" w:hAnsi="宋体" w:eastAsia="宋体" w:cs="宋体"/>
          <w:color w:val="000000"/>
          <w:lang w:eastAsia="zh-CN"/>
        </w:rPr>
        <w:t>采购人</w:t>
      </w:r>
      <w:r>
        <w:rPr>
          <w:rFonts w:hint="eastAsia" w:ascii="宋体" w:hAnsi="宋体" w:eastAsia="宋体" w:cs="宋体"/>
          <w:color w:val="000000"/>
        </w:rPr>
        <w:t>可以按照规定，通过修改招标文件酌情延长投标截止时间，在此情况下，投标人的所有权利和义务以及投标人受制的截止时间均应以延长后新的截止时间为准。</w:t>
      </w:r>
    </w:p>
    <w:p w14:paraId="3FCCD253">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127" w:name="_Toc20823299"/>
      <w:bookmarkStart w:id="128" w:name="_Toc16938543"/>
      <w:bookmarkStart w:id="129" w:name="_Toc513029227"/>
      <w:r>
        <w:rPr>
          <w:rFonts w:ascii="Arial" w:hAnsi="Arial" w:cs="Arial"/>
          <w:color w:val="000000"/>
          <w:sz w:val="28"/>
          <w:szCs w:val="28"/>
        </w:rPr>
        <w:t>19、投标文件</w:t>
      </w:r>
      <w:bookmarkEnd w:id="127"/>
      <w:bookmarkEnd w:id="128"/>
      <w:bookmarkEnd w:id="129"/>
      <w:r>
        <w:rPr>
          <w:rFonts w:ascii="Arial" w:hAnsi="Arial" w:cs="Arial"/>
          <w:color w:val="000000"/>
          <w:sz w:val="28"/>
          <w:szCs w:val="28"/>
        </w:rPr>
        <w:t>的拒收</w:t>
      </w:r>
    </w:p>
    <w:p w14:paraId="42EA887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lang w:eastAsia="zh-CN"/>
        </w:rPr>
      </w:pPr>
      <w:r>
        <w:rPr>
          <w:rFonts w:hint="eastAsia" w:ascii="宋体" w:hAnsi="宋体" w:eastAsia="宋体" w:cs="宋体"/>
          <w:color w:val="000000"/>
          <w:lang w:eastAsia="zh-CN"/>
        </w:rPr>
        <w:t>19.1采购人拒绝接收在其规定的投标截止时间后上传的任何投标文件。</w:t>
      </w:r>
    </w:p>
    <w:p w14:paraId="4880C80A">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130" w:name="_Toc16938544"/>
      <w:bookmarkStart w:id="131" w:name="_Toc513029228"/>
      <w:bookmarkStart w:id="132" w:name="_Toc20823300"/>
      <w:r>
        <w:rPr>
          <w:rFonts w:ascii="Arial" w:hAnsi="Arial" w:cs="Arial"/>
          <w:color w:val="000000"/>
          <w:sz w:val="28"/>
          <w:szCs w:val="28"/>
        </w:rPr>
        <w:t>20、投标文件的撤回和修改</w:t>
      </w:r>
      <w:bookmarkEnd w:id="130"/>
      <w:bookmarkEnd w:id="131"/>
      <w:bookmarkEnd w:id="132"/>
    </w:p>
    <w:p w14:paraId="14860C00">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20.1投标文件的撤回</w:t>
      </w:r>
    </w:p>
    <w:p w14:paraId="6205539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21.1.1电子投标文件的撤回</w:t>
      </w:r>
    </w:p>
    <w:p w14:paraId="3C8BE41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投标人可在投标截止时间前，撤回其电子投标文件，具体操作方法见《操作手册》。</w:t>
      </w:r>
    </w:p>
    <w:p w14:paraId="41D440ED">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21.1.2投标人撤回电子投标文件，则认为其不再参与本项目投标活动。</w:t>
      </w:r>
    </w:p>
    <w:p w14:paraId="27597E9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20.2 投标文件的修改</w:t>
      </w:r>
    </w:p>
    <w:p w14:paraId="5BA8F7F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20.2.1投标人可在投标截止时间前，对其电子投标文件进行修改，具体操作方法见《操作手册》。</w:t>
      </w:r>
    </w:p>
    <w:p w14:paraId="7D7FA49F">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20.2.2在投标截止时间之后，投标人不得对其电子投标文件作任何修改。</w:t>
      </w:r>
    </w:p>
    <w:p w14:paraId="031EE651">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20.3在投标截止时间至招标文件中规定的投标有效期满之间的这段时间内，投标人不得撤回其投标。</w:t>
      </w:r>
    </w:p>
    <w:p w14:paraId="31EB191C">
      <w:pPr>
        <w:pStyle w:val="17"/>
        <w:keepNext/>
        <w:keepLines/>
        <w:pageBreakBefore w:val="0"/>
        <w:widowControl w:val="0"/>
        <w:kinsoku/>
        <w:wordWrap/>
        <w:overflowPunct/>
        <w:topLinePunct w:val="0"/>
        <w:autoSpaceDE/>
        <w:autoSpaceDN/>
        <w:bidi w:val="0"/>
        <w:adjustRightInd/>
        <w:snapToGrid/>
        <w:spacing w:beforeAutospacing="0" w:afterAutospacing="0" w:line="520" w:lineRule="exact"/>
        <w:ind w:firstLine="499"/>
        <w:jc w:val="both"/>
        <w:textAlignment w:val="auto"/>
        <w:rPr>
          <w:rFonts w:ascii="Times New Roman" w:hAnsi="Times New Roman" w:cs="Times New Roman"/>
          <w:b/>
          <w:color w:val="000000"/>
          <w:sz w:val="32"/>
          <w:szCs w:val="32"/>
        </w:rPr>
      </w:pPr>
      <w:bookmarkStart w:id="133" w:name="_Toc513029229"/>
      <w:bookmarkStart w:id="134" w:name="_Toc120614218"/>
      <w:bookmarkStart w:id="135" w:name="_Toc16938545"/>
      <w:bookmarkStart w:id="136" w:name="_Toc20823301"/>
      <w:r>
        <w:rPr>
          <w:rFonts w:ascii="Times New Roman" w:hAnsi="Times New Roman" w:cs="Times New Roman"/>
          <w:b/>
          <w:color w:val="000000"/>
          <w:sz w:val="32"/>
          <w:szCs w:val="32"/>
        </w:rPr>
        <w:t>五、开标与评标</w:t>
      </w:r>
      <w:bookmarkEnd w:id="133"/>
      <w:bookmarkEnd w:id="134"/>
      <w:bookmarkEnd w:id="135"/>
      <w:bookmarkEnd w:id="136"/>
    </w:p>
    <w:p w14:paraId="189ECA1A">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137" w:name="_Toc513029230"/>
      <w:bookmarkStart w:id="138" w:name="_Toc16938546"/>
      <w:bookmarkStart w:id="139" w:name="_Toc20823302"/>
      <w:r>
        <w:rPr>
          <w:rFonts w:ascii="Arial" w:hAnsi="Arial" w:cs="Arial"/>
          <w:color w:val="000000"/>
          <w:sz w:val="28"/>
          <w:szCs w:val="28"/>
        </w:rPr>
        <w:t>21、开标</w:t>
      </w:r>
      <w:bookmarkEnd w:id="137"/>
      <w:bookmarkEnd w:id="138"/>
      <w:bookmarkEnd w:id="139"/>
    </w:p>
    <w:p w14:paraId="5A0142D6">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21.1</w:t>
      </w:r>
      <w:r>
        <w:rPr>
          <w:rFonts w:hint="eastAsia" w:ascii="宋体" w:hAnsi="宋体" w:eastAsia="宋体" w:cs="宋体"/>
          <w:color w:val="000000"/>
          <w:lang w:eastAsia="zh-CN"/>
        </w:rPr>
        <w:t>采购人或采购代理机构</w:t>
      </w:r>
      <w:r>
        <w:rPr>
          <w:rFonts w:hint="eastAsia" w:ascii="宋体" w:hAnsi="宋体" w:eastAsia="宋体" w:cs="宋体"/>
          <w:color w:val="000000"/>
        </w:rPr>
        <w:t>将在招标公告中规定的时间和地点组织公开开标。投标人应当按照《操作手册》规定，参加开标活动和在苏采云系统规定的时间内对投标文件进行解密。</w:t>
      </w:r>
    </w:p>
    <w:p w14:paraId="6016AF7E">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21.2开标仪式由</w:t>
      </w:r>
      <w:r>
        <w:rPr>
          <w:rFonts w:hint="eastAsia" w:ascii="宋体" w:hAnsi="宋体" w:eastAsia="宋体" w:cs="宋体"/>
          <w:color w:val="000000"/>
          <w:lang w:eastAsia="zh-CN"/>
        </w:rPr>
        <w:t>采购人</w:t>
      </w:r>
      <w:r>
        <w:rPr>
          <w:rFonts w:hint="eastAsia" w:ascii="宋体" w:hAnsi="宋体" w:eastAsia="宋体" w:cs="宋体"/>
          <w:color w:val="000000"/>
        </w:rPr>
        <w:t>组织。苏采云系统将自动对项目进行开标，并宣布各投标人名称和投标价格。</w:t>
      </w:r>
    </w:p>
    <w:p w14:paraId="0FC3738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21.3投标人在开标过程中涉及到的投标文件解密、开标结果确认等工作，应按照《操作手册》规定执行。</w:t>
      </w:r>
    </w:p>
    <w:p w14:paraId="6EAF5EFF">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21.4投标人如果对开标过程和开标记录有疑义，应当根据《操作手册》规定提出，如苏采云系统中《开标记录表》宣布后5分钟内未提出的，视同认可开标结果。</w:t>
      </w:r>
    </w:p>
    <w:p w14:paraId="3FB8E543">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bookmarkStart w:id="140" w:name="_Toc16938547"/>
      <w:bookmarkStart w:id="141" w:name="_Toc20823303"/>
      <w:bookmarkStart w:id="142" w:name="_Toc513029231"/>
      <w:r>
        <w:rPr>
          <w:rFonts w:ascii="Arial" w:hAnsi="Arial" w:cs="Arial"/>
          <w:color w:val="000000"/>
          <w:sz w:val="28"/>
          <w:szCs w:val="28"/>
        </w:rPr>
        <w:t>22、评标委员会</w:t>
      </w:r>
      <w:bookmarkEnd w:id="140"/>
      <w:bookmarkEnd w:id="141"/>
      <w:bookmarkEnd w:id="142"/>
    </w:p>
    <w:p w14:paraId="3321F76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rFonts w:hint="eastAsia" w:ascii="宋体" w:hAnsi="宋体" w:eastAsia="宋体" w:cs="宋体"/>
          <w:color w:val="000000"/>
        </w:rPr>
      </w:pPr>
      <w:r>
        <w:rPr>
          <w:rFonts w:hint="eastAsia" w:ascii="宋体" w:hAnsi="宋体" w:eastAsia="宋体" w:cs="宋体"/>
          <w:color w:val="000000"/>
        </w:rPr>
        <w:t>22.1开标后，</w:t>
      </w:r>
      <w:r>
        <w:rPr>
          <w:rFonts w:hint="eastAsia" w:ascii="宋体" w:hAnsi="宋体" w:eastAsia="宋体" w:cs="宋体"/>
          <w:color w:val="000000"/>
          <w:lang w:eastAsia="zh-CN"/>
        </w:rPr>
        <w:t>采购人</w:t>
      </w:r>
      <w:r>
        <w:rPr>
          <w:rFonts w:hint="eastAsia" w:ascii="宋体" w:hAnsi="宋体" w:eastAsia="宋体" w:cs="宋体"/>
          <w:color w:val="000000"/>
        </w:rPr>
        <w:t>将立即组织评标委员会（以下简称评委会）进行评标。</w:t>
      </w:r>
    </w:p>
    <w:p w14:paraId="074E7DEB">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240" w:firstLineChars="100"/>
        <w:jc w:val="both"/>
        <w:textAlignment w:val="auto"/>
        <w:rPr>
          <w:rFonts w:hint="eastAsia" w:ascii="宋体" w:hAnsi="宋体" w:eastAsia="宋体" w:cs="宋体"/>
          <w:color w:val="000000"/>
        </w:rPr>
      </w:pPr>
      <w:r>
        <w:rPr>
          <w:rFonts w:hint="eastAsia" w:ascii="宋体" w:hAnsi="宋体" w:eastAsia="宋体" w:cs="宋体"/>
          <w:color w:val="000000"/>
        </w:rPr>
        <w:t xml:space="preserve"> 22.2评委会由采购人代表和有关技术、经济等方面的专家组成，且人员构成符合政府采购有关规定。</w:t>
      </w:r>
    </w:p>
    <w:p w14:paraId="448DBCC9">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firstLineChars="200"/>
        <w:jc w:val="both"/>
        <w:textAlignment w:val="auto"/>
        <w:rPr>
          <w:rFonts w:hint="eastAsia" w:ascii="宋体" w:hAnsi="宋体" w:eastAsia="宋体" w:cs="宋体"/>
          <w:color w:val="000000"/>
        </w:rPr>
      </w:pPr>
      <w:r>
        <w:rPr>
          <w:rFonts w:hint="eastAsia" w:ascii="宋体" w:hAnsi="宋体" w:eastAsia="宋体" w:cs="宋体"/>
          <w:color w:val="000000"/>
        </w:rPr>
        <w:t>22.3评委会独立工作，负责评审所有投标文件并确定中标</w:t>
      </w:r>
      <w:r>
        <w:rPr>
          <w:rFonts w:hint="eastAsia" w:ascii="宋体" w:hAnsi="宋体" w:eastAsia="宋体" w:cs="宋体"/>
          <w:color w:val="000000"/>
          <w:lang w:eastAsia="zh-CN"/>
        </w:rPr>
        <w:t>候选人</w:t>
      </w:r>
      <w:r>
        <w:rPr>
          <w:rFonts w:hint="eastAsia" w:ascii="宋体" w:hAnsi="宋体" w:eastAsia="宋体" w:cs="宋体"/>
          <w:color w:val="000000"/>
        </w:rPr>
        <w:t>。</w:t>
      </w:r>
    </w:p>
    <w:p w14:paraId="3120299E">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ascii="Arial" w:hAnsi="Arial" w:cs="Arial"/>
          <w:color w:val="000000"/>
          <w:sz w:val="28"/>
          <w:szCs w:val="28"/>
        </w:rPr>
      </w:pPr>
      <w:r>
        <w:rPr>
          <w:rFonts w:hint="eastAsia" w:ascii="Arial" w:hAnsi="Arial" w:cs="Arial"/>
          <w:color w:val="000000"/>
          <w:sz w:val="28"/>
          <w:szCs w:val="28"/>
        </w:rPr>
        <w:t>23、评标过程的保密与公正</w:t>
      </w:r>
    </w:p>
    <w:p w14:paraId="3F956FDF">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23.1凡是与审查、澄清、评价和比较投标的有关资料以及授标建议等，采购人、评委、</w:t>
      </w:r>
      <w:r>
        <w:rPr>
          <w:rFonts w:hint="eastAsia" w:ascii="宋体" w:hAnsi="宋体" w:eastAsia="宋体" w:cs="宋体"/>
          <w:color w:val="000000"/>
          <w:lang w:eastAsia="zh-CN"/>
        </w:rPr>
        <w:t>采购代理机构</w:t>
      </w:r>
      <w:r>
        <w:rPr>
          <w:rFonts w:hint="eastAsia" w:ascii="宋体" w:hAnsi="宋体" w:eastAsia="宋体" w:cs="宋体"/>
          <w:color w:val="000000"/>
        </w:rPr>
        <w:t>均不得向投标人或与评标无关的其他人员透露。</w:t>
      </w:r>
    </w:p>
    <w:p w14:paraId="6C1282F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23.2在评标过程中，投标人不得以任何行为影响评标过程，否则其投标文件将被作为无效投标文件。</w:t>
      </w:r>
    </w:p>
    <w:p w14:paraId="53106209">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color w:val="auto"/>
        </w:rPr>
      </w:pPr>
      <w:r>
        <w:rPr>
          <w:rFonts w:hint="eastAsia" w:ascii="宋体" w:hAnsi="宋体" w:eastAsia="宋体" w:cs="宋体"/>
          <w:color w:val="000000"/>
        </w:rPr>
        <w:t>23.</w:t>
      </w:r>
      <w:r>
        <w:rPr>
          <w:rFonts w:hint="eastAsia" w:ascii="宋体" w:hAnsi="宋体" w:eastAsia="宋体" w:cs="宋体"/>
          <w:color w:val="auto"/>
        </w:rPr>
        <w:t>3</w:t>
      </w:r>
      <w:r>
        <w:rPr>
          <w:rFonts w:hint="eastAsia" w:ascii="宋体" w:hAnsi="宋体" w:eastAsia="宋体" w:cs="宋体"/>
          <w:color w:val="auto"/>
          <w:lang w:eastAsia="zh-CN"/>
        </w:rPr>
        <w:t>采购人、采购代理机构</w:t>
      </w:r>
      <w:r>
        <w:rPr>
          <w:rFonts w:hint="eastAsia" w:ascii="宋体" w:hAnsi="宋体" w:eastAsia="宋体" w:cs="宋体"/>
          <w:color w:val="auto"/>
        </w:rPr>
        <w:t>和评标委员会不向未中标的投标人解释未中标原因，也不公布评标过程中的相关细节。</w:t>
      </w:r>
    </w:p>
    <w:p w14:paraId="1E2BEA0B">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auto"/>
        </w:rPr>
        <w:t>23.4采用综合评分法的项目，未中标的投标人可于中标结果公告期限届满之日起通过苏采云系统查看自</w:t>
      </w:r>
      <w:r>
        <w:rPr>
          <w:rFonts w:hint="eastAsia" w:ascii="宋体" w:hAnsi="宋体" w:eastAsia="宋体" w:cs="宋体"/>
          <w:color w:val="000000"/>
        </w:rPr>
        <w:t>己的评审得分及排序情况。</w:t>
      </w:r>
    </w:p>
    <w:p w14:paraId="341D6480">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hint="eastAsia" w:ascii="Arial" w:hAnsi="Arial" w:cs="Arial"/>
          <w:color w:val="000000"/>
          <w:sz w:val="28"/>
          <w:szCs w:val="28"/>
        </w:rPr>
      </w:pPr>
      <w:bookmarkStart w:id="143" w:name="_Toc513029232"/>
      <w:bookmarkStart w:id="144" w:name="_Toc16938548"/>
      <w:bookmarkStart w:id="145" w:name="_Toc20823304"/>
      <w:r>
        <w:rPr>
          <w:rFonts w:hint="eastAsia" w:ascii="Arial" w:hAnsi="Arial" w:cs="Arial"/>
          <w:color w:val="000000"/>
          <w:sz w:val="28"/>
          <w:szCs w:val="28"/>
        </w:rPr>
        <w:t>24、投标文件的澄清</w:t>
      </w:r>
      <w:bookmarkEnd w:id="143"/>
      <w:bookmarkEnd w:id="144"/>
      <w:bookmarkEnd w:id="145"/>
    </w:p>
    <w:p w14:paraId="21F97D0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pPr>
      <w:r>
        <w:rPr>
          <w:rFonts w:hint="eastAsia" w:ascii="宋体" w:hAnsi="宋体" w:eastAsia="宋体" w:cs="宋体"/>
          <w:color w:val="000000"/>
        </w:rPr>
        <w:t>24.1评标期间，评委会对投标文件中含义不明确、同类问题表述不一致或者有明显文字和计算错误的内容 ，有权要求投标人作出必要的澄清、说明或者补正。</w:t>
      </w:r>
    </w:p>
    <w:p w14:paraId="3B39E2C3">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rPr>
          <w:color w:val="auto"/>
        </w:rPr>
      </w:pPr>
      <w:r>
        <w:rPr>
          <w:rFonts w:hint="eastAsia" w:ascii="宋体" w:hAnsi="宋体" w:eastAsia="宋体" w:cs="宋体"/>
          <w:color w:val="000000"/>
        </w:rPr>
        <w:t>投标人的澄清、说明或者补正不得超出投标文件的范围或者改变投标文件的实质性内容。</w:t>
      </w:r>
    </w:p>
    <w:p w14:paraId="5C087149">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rPr>
          <w:color w:val="auto"/>
        </w:rPr>
      </w:pPr>
      <w:r>
        <w:rPr>
          <w:rFonts w:hint="eastAsia" w:ascii="宋体" w:hAnsi="宋体" w:eastAsia="宋体" w:cs="宋体"/>
          <w:color w:val="auto"/>
        </w:rPr>
        <w:t>评标委员会并非对每个投标人都做澄清要求。</w:t>
      </w:r>
    </w:p>
    <w:p w14:paraId="70ECC742">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pPr>
      <w:r>
        <w:rPr>
          <w:rFonts w:hint="eastAsia" w:ascii="宋体" w:hAnsi="宋体" w:eastAsia="宋体" w:cs="宋体"/>
          <w:color w:val="auto"/>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投标文件的补充部分，具体操作方式见《操作手册》。</w:t>
      </w:r>
    </w:p>
    <w:p w14:paraId="16E6116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jc w:val="both"/>
        <w:textAlignment w:val="auto"/>
      </w:pPr>
      <w:r>
        <w:rPr>
          <w:rFonts w:hint="eastAsia" w:ascii="宋体" w:hAnsi="宋体" w:eastAsia="宋体" w:cs="宋体"/>
          <w:color w:val="000000"/>
        </w:rPr>
        <w:t>  24.3接到评委会澄清、说明和补正要求的投标人如未按规定做出澄清、说明和补正，其风险由投标人自行承担。</w:t>
      </w:r>
    </w:p>
    <w:p w14:paraId="6CC3C2A6">
      <w:pPr>
        <w:pStyle w:val="17"/>
        <w:keepNext/>
        <w:keepLines/>
        <w:pageBreakBefore w:val="0"/>
        <w:widowControl w:val="0"/>
        <w:kinsoku/>
        <w:wordWrap/>
        <w:overflowPunct/>
        <w:topLinePunct w:val="0"/>
        <w:autoSpaceDE/>
        <w:autoSpaceDN/>
        <w:bidi w:val="0"/>
        <w:adjustRightInd/>
        <w:snapToGrid/>
        <w:spacing w:beforeAutospacing="0" w:afterAutospacing="0" w:line="480" w:lineRule="exact"/>
        <w:ind w:firstLine="420"/>
        <w:jc w:val="both"/>
        <w:textAlignment w:val="auto"/>
        <w:rPr>
          <w:rFonts w:hint="eastAsia" w:ascii="Arial" w:hAnsi="Arial" w:cs="Arial"/>
          <w:color w:val="000000"/>
          <w:sz w:val="28"/>
          <w:szCs w:val="28"/>
        </w:rPr>
      </w:pPr>
      <w:bookmarkStart w:id="146" w:name="_Toc513029233"/>
      <w:bookmarkStart w:id="147" w:name="_Toc20823305"/>
      <w:bookmarkStart w:id="148" w:name="_Toc16938549"/>
      <w:r>
        <w:rPr>
          <w:rFonts w:hint="eastAsia" w:ascii="Arial" w:hAnsi="Arial" w:cs="Arial"/>
          <w:color w:val="000000"/>
          <w:sz w:val="28"/>
          <w:szCs w:val="28"/>
        </w:rPr>
        <w:t>25、对投标文件的初审</w:t>
      </w:r>
      <w:bookmarkEnd w:id="146"/>
      <w:bookmarkEnd w:id="147"/>
      <w:bookmarkEnd w:id="148"/>
    </w:p>
    <w:p w14:paraId="2AEC8BE9">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pPr>
      <w:r>
        <w:rPr>
          <w:rFonts w:hint="eastAsia" w:ascii="宋体" w:hAnsi="宋体" w:eastAsia="宋体" w:cs="宋体"/>
          <w:color w:val="000000"/>
        </w:rPr>
        <w:t>25.1投标文件初审分为资格审查和符合性审查。</w:t>
      </w:r>
    </w:p>
    <w:p w14:paraId="18F44AD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rPr>
          <w:rFonts w:hint="eastAsia" w:ascii="宋体" w:hAnsi="宋体" w:eastAsia="宋体" w:cs="宋体"/>
          <w:color w:val="000000"/>
        </w:rPr>
      </w:pPr>
      <w:r>
        <w:rPr>
          <w:rFonts w:hint="eastAsia" w:ascii="宋体" w:hAnsi="宋体" w:eastAsia="宋体" w:cs="宋体"/>
          <w:color w:val="000000"/>
        </w:rPr>
        <w:t>25.1.1资格审查：依据法律法规和招标文件的规定，由采购人或采购代理机构对投标文件中的资格证明文件进行审查。资格审查的结论，采购人以书面形式向评委会进行反馈。</w:t>
      </w:r>
    </w:p>
    <w:p w14:paraId="5508095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rPr>
          <w:rFonts w:hint="eastAsia" w:ascii="宋体" w:hAnsi="宋体" w:eastAsia="宋体" w:cs="宋体"/>
          <w:color w:val="000000"/>
        </w:rPr>
      </w:pPr>
      <w:r>
        <w:rPr>
          <w:rFonts w:hint="eastAsia" w:ascii="宋体" w:hAnsi="宋体" w:eastAsia="宋体" w:cs="宋体"/>
          <w:color w:val="000000"/>
        </w:rPr>
        <w:t>采购人</w:t>
      </w:r>
      <w:r>
        <w:rPr>
          <w:rFonts w:hint="eastAsia" w:ascii="宋体" w:hAnsi="宋体" w:eastAsia="宋体" w:cs="宋体"/>
          <w:color w:val="000000"/>
          <w:lang w:eastAsia="zh-CN"/>
        </w:rPr>
        <w:t>或</w:t>
      </w:r>
      <w:r>
        <w:rPr>
          <w:rFonts w:hint="eastAsia" w:ascii="宋体" w:hAnsi="宋体" w:eastAsia="宋体" w:cs="宋体"/>
          <w:color w:val="000000"/>
        </w:rPr>
        <w:t>采购代理机构在进行资格性审查的同时，将在“信用中国”网站（www.creditchina.gov.cn）查询投标人的信用记录，以确定投标人是否具备投标资格,查询结果留存并归档。</w:t>
      </w:r>
    </w:p>
    <w:p w14:paraId="64E0C45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接受联合体的项目，两个以上的自然人、法人或者其他组织组成一个联合体，以一个供应商的身份共同参加政府采购活动的,联合体成员存在不良信用记录的，视同联合体存在不良应用记录。</w:t>
      </w:r>
    </w:p>
    <w:p w14:paraId="3A28012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rPr>
          <w:color w:val="auto"/>
        </w:rPr>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4F7285B1">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pPr>
      <w:r>
        <w:rPr>
          <w:rFonts w:hint="eastAsia" w:ascii="宋体" w:hAnsi="宋体" w:eastAsia="宋体" w:cs="宋体"/>
          <w:color w:val="auto"/>
        </w:rPr>
        <w:t>25.1.3未通过资格审查或符合性审查的投标人，</w:t>
      </w:r>
      <w:r>
        <w:rPr>
          <w:rFonts w:hint="eastAsia" w:ascii="宋体" w:hAnsi="宋体" w:eastAsia="宋体" w:cs="宋体"/>
          <w:color w:val="auto"/>
          <w:lang w:eastAsia="zh-CN"/>
        </w:rPr>
        <w:t>采购人或采购代理机构</w:t>
      </w:r>
      <w:r>
        <w:rPr>
          <w:rFonts w:hint="eastAsia" w:ascii="宋体" w:hAnsi="宋体" w:eastAsia="宋体" w:cs="宋体"/>
          <w:color w:val="auto"/>
        </w:rPr>
        <w:t>将在苏采云系统中告知未通过资格审查或符合性审查的原因，评标结束后，</w:t>
      </w:r>
      <w:r>
        <w:rPr>
          <w:rFonts w:hint="eastAsia" w:ascii="宋体" w:hAnsi="宋体" w:eastAsia="宋体" w:cs="宋体"/>
          <w:color w:val="auto"/>
          <w:lang w:eastAsia="zh-CN"/>
        </w:rPr>
        <w:t>采购人或采购代理机构</w:t>
      </w:r>
      <w:r>
        <w:rPr>
          <w:rFonts w:hint="eastAsia" w:ascii="宋体" w:hAnsi="宋体" w:eastAsia="宋体" w:cs="宋体"/>
          <w:color w:val="auto"/>
        </w:rPr>
        <w:t>将不再告知</w:t>
      </w:r>
      <w:r>
        <w:rPr>
          <w:rFonts w:hint="eastAsia" w:ascii="宋体" w:hAnsi="宋体" w:eastAsia="宋体" w:cs="宋体"/>
          <w:color w:val="000000"/>
        </w:rPr>
        <w:t>未通过资格审查和符合性审查的原因。</w:t>
      </w:r>
    </w:p>
    <w:p w14:paraId="4332A86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4D4E2F5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pPr>
      <w:r>
        <w:rPr>
          <w:rFonts w:hint="eastAsia" w:ascii="宋体" w:hAnsi="宋体" w:eastAsia="宋体" w:cs="宋体"/>
          <w:color w:val="000000"/>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3B4A64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pPr>
      <w:r>
        <w:rPr>
          <w:rFonts w:hint="eastAsia" w:ascii="宋体" w:hAnsi="宋体" w:eastAsia="宋体" w:cs="宋体"/>
          <w:color w:val="000000"/>
        </w:rPr>
        <w:t>25.3如果投标文件实质上没有响应招标文件的要求，评委会将予以拒绝，投标人不得通过修改或撤销不合要求的偏离或保留而使其投标成为实质性响应的投标。</w:t>
      </w:r>
    </w:p>
    <w:p w14:paraId="528E1E1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1322852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pPr>
      <w:r>
        <w:rPr>
          <w:rFonts w:hint="eastAsia" w:ascii="宋体" w:hAnsi="宋体" w:eastAsia="宋体" w:cs="宋体"/>
          <w:color w:val="000000"/>
        </w:rPr>
        <w:t>（1）投标文件中开标一览表内容与投标文件中相应内容不一致的，以开标一览表为准。</w:t>
      </w:r>
    </w:p>
    <w:p w14:paraId="0EEB44E0">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pPr>
      <w:r>
        <w:rPr>
          <w:rFonts w:hint="eastAsia" w:ascii="宋体" w:hAnsi="宋体" w:eastAsia="宋体" w:cs="宋体"/>
          <w:color w:val="000000"/>
        </w:rPr>
        <w:t>（2）大写金额和小写金额不一致的，以大写金额为准。</w:t>
      </w:r>
    </w:p>
    <w:p w14:paraId="6A3B1B69">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pPr>
      <w:r>
        <w:rPr>
          <w:rFonts w:hint="eastAsia" w:ascii="宋体" w:hAnsi="宋体" w:eastAsia="宋体" w:cs="宋体"/>
          <w:color w:val="000000"/>
        </w:rPr>
        <w:t>（3）单价金额小数点或者百分比有明显错位的，以开标一览表的总价为准，并修改单价。</w:t>
      </w:r>
    </w:p>
    <w:p w14:paraId="65003212">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pPr>
      <w:r>
        <w:rPr>
          <w:rFonts w:hint="eastAsia" w:ascii="宋体" w:hAnsi="宋体" w:eastAsia="宋体" w:cs="宋体"/>
          <w:color w:val="000000"/>
        </w:rPr>
        <w:t>（4）总价金额与按单价汇总金额不一致的，以单价金额计算结果为准。</w:t>
      </w:r>
    </w:p>
    <w:p w14:paraId="368170A6">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rPr>
          <w:color w:val="auto"/>
        </w:rPr>
      </w:pPr>
      <w:r>
        <w:rPr>
          <w:rFonts w:hint="eastAsia" w:ascii="宋体" w:hAnsi="宋体" w:eastAsia="宋体" w:cs="宋体"/>
          <w:color w:val="auto"/>
        </w:rPr>
        <w:t>同时出现两种以上错误的，按照前款规定的顺序修正。</w:t>
      </w:r>
    </w:p>
    <w:p w14:paraId="049AEFB3">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jc w:val="both"/>
        <w:textAlignment w:val="auto"/>
        <w:rPr>
          <w:color w:val="auto"/>
        </w:rPr>
      </w:pPr>
      <w:r>
        <w:rPr>
          <w:rFonts w:hint="eastAsia" w:ascii="宋体" w:hAnsi="宋体" w:eastAsia="宋体" w:cs="宋体"/>
          <w:color w:val="auto"/>
        </w:rPr>
        <w:t>25.5评委会将按上述修正错误的方法调整投标文件中的投标报价，并通过苏采云系统告知投标人，调整后的价格应对投标人具有约束力。如果投标人不接受修正后的价格，则其投标将被拒绝。</w:t>
      </w:r>
    </w:p>
    <w:p w14:paraId="361F608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20"/>
        <w:jc w:val="both"/>
        <w:textAlignment w:val="auto"/>
        <w:rPr>
          <w:color w:val="auto"/>
        </w:rPr>
      </w:pPr>
      <w:bookmarkStart w:id="149" w:name="_Toc513029234"/>
      <w:bookmarkStart w:id="150" w:name="_Toc20823306"/>
      <w:bookmarkStart w:id="151" w:name="_Toc16938550"/>
      <w:r>
        <w:rPr>
          <w:rFonts w:hint="eastAsia" w:ascii="宋体" w:hAnsi="宋体" w:eastAsia="宋体" w:cs="宋体"/>
          <w:color w:val="auto"/>
        </w:rPr>
        <w:t>25.6投标人在开、评标全过程中应保持通讯畅通，及时登录苏采云系统查阅、答复相关信息，并安排专人与</w:t>
      </w:r>
      <w:r>
        <w:rPr>
          <w:rFonts w:hint="eastAsia" w:ascii="宋体" w:hAnsi="宋体" w:eastAsia="宋体" w:cs="宋体"/>
          <w:color w:val="auto"/>
          <w:lang w:eastAsia="zh-CN"/>
        </w:rPr>
        <w:t>采购代理机构</w:t>
      </w:r>
      <w:r>
        <w:rPr>
          <w:rFonts w:hint="eastAsia" w:ascii="宋体" w:hAnsi="宋体" w:eastAsia="宋体" w:cs="宋体"/>
          <w:color w:val="auto"/>
        </w:rPr>
        <w:t>及评标委员会联系。</w:t>
      </w:r>
      <w:bookmarkEnd w:id="149"/>
      <w:bookmarkEnd w:id="150"/>
      <w:bookmarkEnd w:id="151"/>
    </w:p>
    <w:p w14:paraId="4A54CFE1">
      <w:pPr>
        <w:pStyle w:val="17"/>
        <w:keepNext/>
        <w:keepLines/>
        <w:pageBreakBefore w:val="0"/>
        <w:widowControl w:val="0"/>
        <w:kinsoku/>
        <w:wordWrap/>
        <w:overflowPunct/>
        <w:topLinePunct w:val="0"/>
        <w:autoSpaceDE/>
        <w:autoSpaceDN/>
        <w:bidi w:val="0"/>
        <w:adjustRightInd/>
        <w:snapToGrid/>
        <w:spacing w:beforeAutospacing="0" w:afterAutospacing="0" w:line="520" w:lineRule="exact"/>
        <w:ind w:firstLine="300" w:firstLineChars="100"/>
        <w:jc w:val="both"/>
        <w:textAlignment w:val="auto"/>
        <w:rPr>
          <w:rFonts w:hint="eastAsia" w:ascii="黑体" w:hAnsi="宋体" w:eastAsia="黑体" w:cs="黑体"/>
          <w:color w:val="000000"/>
          <w:sz w:val="30"/>
          <w:szCs w:val="30"/>
        </w:rPr>
      </w:pPr>
      <w:r>
        <w:rPr>
          <w:rFonts w:hint="eastAsia" w:ascii="黑体" w:hAnsi="宋体" w:eastAsia="黑体" w:cs="黑体"/>
          <w:color w:val="000000"/>
          <w:sz w:val="30"/>
          <w:szCs w:val="30"/>
        </w:rPr>
        <w:t>26、无效投标条款和废标条款</w:t>
      </w:r>
    </w:p>
    <w:p w14:paraId="0098C176">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79"/>
        <w:jc w:val="both"/>
        <w:textAlignment w:val="auto"/>
        <w:rPr>
          <w:color w:val="auto"/>
        </w:rPr>
      </w:pPr>
      <w:bookmarkStart w:id="152" w:name="_Toc20823307"/>
      <w:bookmarkStart w:id="153" w:name="_Toc513029235"/>
      <w:bookmarkStart w:id="154" w:name="_Toc16938551"/>
      <w:r>
        <w:rPr>
          <w:rFonts w:hint="eastAsia" w:ascii="宋体" w:hAnsi="宋体" w:eastAsia="宋体" w:cs="宋体"/>
          <w:color w:val="auto"/>
        </w:rPr>
        <w:t>26.1无效投标条款</w:t>
      </w:r>
      <w:bookmarkEnd w:id="152"/>
      <w:bookmarkEnd w:id="153"/>
      <w:bookmarkEnd w:id="154"/>
    </w:p>
    <w:p w14:paraId="7A0E51CD">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color w:val="auto"/>
        </w:rPr>
      </w:pPr>
      <w:r>
        <w:rPr>
          <w:rFonts w:hint="eastAsia" w:ascii="宋体" w:hAnsi="宋体" w:eastAsia="宋体" w:cs="宋体"/>
          <w:color w:val="auto"/>
        </w:rPr>
        <w:t>26.1.1投标人在苏采云系统规定的时间内未成功解密电子投标文件的。</w:t>
      </w:r>
    </w:p>
    <w:p w14:paraId="763E901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color w:val="auto"/>
        </w:rPr>
      </w:pPr>
      <w:r>
        <w:rPr>
          <w:rFonts w:hint="eastAsia" w:ascii="宋体" w:hAnsi="宋体" w:eastAsia="宋体" w:cs="宋体"/>
          <w:color w:val="auto"/>
        </w:rPr>
        <w:t>26.1.2投标人未按照招标文件要求上传电子投标文件的。</w:t>
      </w:r>
    </w:p>
    <w:p w14:paraId="65926C93">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79"/>
        <w:jc w:val="both"/>
        <w:textAlignment w:val="auto"/>
        <w:rPr>
          <w:color w:val="auto"/>
        </w:rPr>
      </w:pPr>
      <w:r>
        <w:rPr>
          <w:rFonts w:hint="eastAsia" w:ascii="宋体" w:hAnsi="宋体" w:eastAsia="宋体" w:cs="宋体"/>
          <w:color w:val="auto"/>
        </w:rPr>
        <w:t>26.1.3同一投标人提交两个（含两个）以上不同的投标报价的。</w:t>
      </w:r>
    </w:p>
    <w:p w14:paraId="3520AA2E">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79"/>
        <w:jc w:val="both"/>
        <w:textAlignment w:val="auto"/>
        <w:rPr>
          <w:color w:val="auto"/>
        </w:rPr>
      </w:pPr>
      <w:r>
        <w:rPr>
          <w:rFonts w:hint="eastAsia" w:ascii="宋体" w:hAnsi="宋体" w:eastAsia="宋体" w:cs="宋体"/>
          <w:color w:val="auto"/>
        </w:rPr>
        <w:t>26.1.4投标人不具备招标文件中规定资格要求的。</w:t>
      </w:r>
    </w:p>
    <w:p w14:paraId="712F9C9B">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26.1.5投标人的报价超过了采购预算或最高限价的。</w:t>
      </w:r>
    </w:p>
    <w:p w14:paraId="75E6798B">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26.1.6未通过符合性审查的。</w:t>
      </w:r>
    </w:p>
    <w:p w14:paraId="420B5480">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000000"/>
        </w:rPr>
      </w:pPr>
      <w:r>
        <w:rPr>
          <w:rFonts w:hint="eastAsia" w:ascii="宋体" w:hAnsi="宋体" w:eastAsia="宋体" w:cs="宋体"/>
          <w:color w:val="000000"/>
        </w:rPr>
        <w:t>26.1.7不符合招标文件中规定的实质性要求和条件的。（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69DC919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240" w:firstLineChars="100"/>
        <w:jc w:val="both"/>
        <w:textAlignment w:val="auto"/>
      </w:pPr>
      <w:r>
        <w:rPr>
          <w:rFonts w:hint="eastAsia" w:ascii="宋体" w:hAnsi="宋体" w:eastAsia="宋体" w:cs="宋体"/>
          <w:color w:val="000000"/>
        </w:rPr>
        <w:t>26.1.8投标人被“信用中国”网站（www.creditchina.gov.cn）</w:t>
      </w:r>
      <w:r>
        <w:rPr>
          <w:rFonts w:hint="eastAsia" w:ascii="宋体" w:hAnsi="宋体" w:eastAsia="宋体" w:cs="Times New Roman"/>
          <w:bCs/>
          <w:color w:val="auto"/>
          <w:sz w:val="24"/>
          <w:szCs w:val="21"/>
          <w:lang w:eastAsia="zh-CN"/>
        </w:rPr>
        <w:t>列入失信被执行人或重大税收违法失信主体或政府采购严重违法失信行为记录名单</w:t>
      </w:r>
      <w:r>
        <w:rPr>
          <w:rFonts w:hint="eastAsia" w:ascii="宋体" w:hAnsi="宋体" w:eastAsia="宋体" w:cs="宋体"/>
          <w:color w:val="000000"/>
        </w:rPr>
        <w:t>。或查询“信用中国”网站后发现投标人存在其他不符合《中华人民共和国政府采购法》第二十二条规定条件的信用记录。</w:t>
      </w:r>
    </w:p>
    <w:p w14:paraId="329D8CE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26.1.9投标文件含有采购人不能接受的附加条件的。</w:t>
      </w:r>
    </w:p>
    <w:p w14:paraId="30278C46">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rPr>
      </w:pPr>
      <w:r>
        <w:rPr>
          <w:rFonts w:hint="eastAsia" w:ascii="宋体" w:hAnsi="宋体" w:eastAsia="宋体" w:cs="宋体"/>
          <w:color w:val="auto"/>
        </w:rPr>
        <w:t>26.1.10投标人不能证明其报价合理性的，评</w:t>
      </w:r>
      <w:r>
        <w:rPr>
          <w:rFonts w:hint="eastAsia" w:ascii="宋体" w:hAnsi="宋体" w:eastAsia="宋体" w:cs="宋体"/>
          <w:color w:val="auto"/>
          <w:lang w:val="en-US" w:eastAsia="zh-CN"/>
        </w:rPr>
        <w:t>标</w:t>
      </w:r>
      <w:r>
        <w:rPr>
          <w:rFonts w:hint="eastAsia" w:ascii="宋体" w:hAnsi="宋体" w:eastAsia="宋体" w:cs="宋体"/>
          <w:color w:val="auto"/>
        </w:rPr>
        <w:t>委员会应当将其作为无效投标处理。</w:t>
      </w:r>
    </w:p>
    <w:p w14:paraId="6F27A046">
      <w:pPr>
        <w:pStyle w:val="17"/>
        <w:spacing w:beforeAutospacing="0" w:afterAutospacing="0" w:line="0" w:lineRule="atLeast"/>
        <w:ind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（一）评审过程中出现下列情形之一的，评标委员会应当启动异常低价投标审查程序：</w:t>
      </w:r>
    </w:p>
    <w:p w14:paraId="029D404A">
      <w:pPr>
        <w:pStyle w:val="17"/>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7"/>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7"/>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3.投标（响应）报价低于采购项目最高限价45%的，即投标（响应）报价&lt;采购项目最高限价×45%；</w:t>
      </w:r>
    </w:p>
    <w:p w14:paraId="6B93ED46">
      <w:pPr>
        <w:pStyle w:val="17"/>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4.评审委员会基于专业判断，认为供应商报价过低，有可能影响产品质量或者不能诚信履约的其他情形。</w:t>
      </w:r>
    </w:p>
    <w:p w14:paraId="4BE739D2">
      <w:pPr>
        <w:pStyle w:val="17"/>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w:t>
      </w:r>
    </w:p>
    <w:p w14:paraId="6E14DBF3">
      <w:pPr>
        <w:pStyle w:val="17"/>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相关法律法规对供应商报价有规定的，从其规定。</w:t>
      </w:r>
    </w:p>
    <w:p w14:paraId="209516AE">
      <w:pPr>
        <w:pStyle w:val="17"/>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7"/>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7"/>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39BDE7E">
      <w:pPr>
        <w:keepNext w:val="0"/>
        <w:keepLines w:val="0"/>
        <w:pageBreakBefore w:val="0"/>
        <w:widowControl w:val="0"/>
        <w:kinsoku/>
        <w:wordWrap/>
        <w:overflowPunct/>
        <w:topLinePunct w:val="0"/>
        <w:autoSpaceDE/>
        <w:autoSpaceDN/>
        <w:bidi w:val="0"/>
        <w:adjustRightInd w:val="0"/>
        <w:snapToGrid/>
        <w:spacing w:before="120" w:after="120" w:line="400" w:lineRule="exact"/>
        <w:ind w:firstLine="482" w:firstLineChars="200"/>
        <w:jc w:val="left"/>
        <w:textAlignment w:val="baseline"/>
        <w:rPr>
          <w:rFonts w:hint="eastAsia" w:ascii="宋体" w:hAnsi="宋体"/>
          <w:b/>
          <w:bCs/>
          <w:color w:val="000000"/>
          <w:sz w:val="24"/>
          <w:szCs w:val="24"/>
          <w:lang w:eastAsia="zh-CN"/>
        </w:rPr>
      </w:pPr>
      <w:r>
        <w:rPr>
          <w:rFonts w:hint="eastAsia" w:ascii="宋体" w:hAnsi="宋体" w:eastAsia="宋体" w:cs="宋体"/>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3A12E39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color w:val="auto"/>
        </w:rPr>
      </w:pPr>
      <w:r>
        <w:rPr>
          <w:rFonts w:hint="eastAsia" w:ascii="宋体" w:hAnsi="宋体" w:eastAsia="宋体" w:cs="宋体"/>
          <w:color w:val="auto"/>
        </w:rPr>
        <w:t>26.1.11投标文件未按照招标文件要求加盖CA电子公章的。</w:t>
      </w:r>
    </w:p>
    <w:p w14:paraId="5538AEF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color w:val="auto"/>
        </w:rPr>
      </w:pPr>
      <w:r>
        <w:rPr>
          <w:rFonts w:hint="eastAsia" w:ascii="宋体" w:hAnsi="宋体" w:eastAsia="宋体" w:cs="宋体"/>
          <w:color w:val="auto"/>
        </w:rPr>
        <w:t>26.1.12其他法律、法规及本招标文件规定的属无效投标的情形。</w:t>
      </w:r>
    </w:p>
    <w:p w14:paraId="1C0B822E">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79"/>
        <w:jc w:val="both"/>
        <w:textAlignment w:val="auto"/>
        <w:rPr>
          <w:color w:val="auto"/>
        </w:rPr>
      </w:pPr>
      <w:r>
        <w:rPr>
          <w:rFonts w:hint="eastAsia" w:ascii="宋体" w:hAnsi="宋体" w:eastAsia="宋体" w:cs="宋体"/>
          <w:color w:val="auto"/>
        </w:rPr>
        <w:t>26.2废标条款</w:t>
      </w:r>
    </w:p>
    <w:p w14:paraId="7957969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79"/>
        <w:jc w:val="both"/>
        <w:textAlignment w:val="auto"/>
        <w:rPr>
          <w:color w:val="auto"/>
        </w:rPr>
      </w:pPr>
      <w:r>
        <w:rPr>
          <w:rFonts w:hint="eastAsia" w:ascii="宋体" w:hAnsi="宋体" w:eastAsia="宋体" w:cs="宋体"/>
          <w:color w:val="auto"/>
        </w:rPr>
        <w:t>26.2.1符合专业条件的供应商或者对招标文件作实质响应的供应商不足三家的。26.2.2出现影响采购公正的违法、违规行为的。</w:t>
      </w:r>
    </w:p>
    <w:p w14:paraId="20C3438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79"/>
        <w:jc w:val="both"/>
        <w:textAlignment w:val="auto"/>
        <w:rPr>
          <w:color w:val="auto"/>
        </w:rPr>
      </w:pPr>
      <w:r>
        <w:rPr>
          <w:rFonts w:hint="eastAsia" w:ascii="宋体" w:hAnsi="宋体" w:eastAsia="宋体" w:cs="宋体"/>
          <w:color w:val="auto"/>
        </w:rPr>
        <w:t>26.2.3因重大变故，采购任务取消的。</w:t>
      </w:r>
    </w:p>
    <w:p w14:paraId="4A6E5CC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79"/>
        <w:jc w:val="both"/>
        <w:textAlignment w:val="auto"/>
        <w:rPr>
          <w:color w:val="auto"/>
        </w:rPr>
      </w:pPr>
      <w:r>
        <w:rPr>
          <w:rFonts w:hint="eastAsia" w:ascii="宋体" w:hAnsi="宋体" w:eastAsia="宋体" w:cs="宋体"/>
          <w:color w:val="auto"/>
        </w:rPr>
        <w:t>26.2.4评标委员会认定招标文件存在歧义、重大缺陷导致评审工作无法进行。</w:t>
      </w:r>
    </w:p>
    <w:p w14:paraId="64491F93">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79"/>
        <w:jc w:val="both"/>
        <w:textAlignment w:val="auto"/>
        <w:rPr>
          <w:color w:val="auto"/>
        </w:rPr>
      </w:pPr>
      <w:r>
        <w:rPr>
          <w:rFonts w:hint="eastAsia" w:ascii="宋体" w:hAnsi="宋体" w:eastAsia="宋体" w:cs="宋体"/>
          <w:color w:val="auto"/>
        </w:rPr>
        <w:t>26.2.5因苏采云系统系统故障原因造成开标不成功的。</w:t>
      </w:r>
    </w:p>
    <w:p w14:paraId="3C85872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left="479"/>
        <w:jc w:val="both"/>
        <w:textAlignment w:val="auto"/>
        <w:rPr>
          <w:color w:val="auto"/>
        </w:rPr>
      </w:pPr>
      <w:r>
        <w:rPr>
          <w:rFonts w:hint="eastAsia" w:ascii="宋体" w:hAnsi="宋体" w:eastAsia="宋体" w:cs="宋体"/>
          <w:color w:val="auto"/>
        </w:rPr>
        <w:t>26.3 投标截止时间结束后参加投标的供应商不足三家的处理：</w:t>
      </w:r>
    </w:p>
    <w:p w14:paraId="3B595D10">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26.3.1如出现投标截止时间结束后参加投标的供应商或者在评标期间对招标文件做出实质响应的供应商不足三家情况，按政府采购相关规定执行。</w:t>
      </w:r>
    </w:p>
    <w:p w14:paraId="3CFF709D">
      <w:pPr>
        <w:pStyle w:val="17"/>
        <w:keepNext/>
        <w:keepLines/>
        <w:pageBreakBefore w:val="0"/>
        <w:widowControl w:val="0"/>
        <w:kinsoku/>
        <w:wordWrap/>
        <w:overflowPunct/>
        <w:topLinePunct w:val="0"/>
        <w:autoSpaceDE/>
        <w:autoSpaceDN/>
        <w:bidi w:val="0"/>
        <w:adjustRightInd/>
        <w:snapToGrid/>
        <w:spacing w:beforeAutospacing="0" w:afterAutospacing="0" w:line="520" w:lineRule="exact"/>
        <w:ind w:firstLine="499"/>
        <w:jc w:val="both"/>
        <w:textAlignment w:val="auto"/>
        <w:rPr>
          <w:rFonts w:ascii="Times New Roman" w:hAnsi="Times New Roman" w:cs="Times New Roman"/>
          <w:b/>
          <w:color w:val="000000"/>
          <w:sz w:val="32"/>
          <w:szCs w:val="32"/>
          <w:highlight w:val="none"/>
        </w:rPr>
      </w:pPr>
      <w:bookmarkStart w:id="155" w:name="_Toc120614219"/>
      <w:r>
        <w:rPr>
          <w:rFonts w:ascii="Times New Roman" w:hAnsi="Times New Roman" w:cs="Times New Roman"/>
          <w:b/>
          <w:color w:val="000000"/>
          <w:sz w:val="32"/>
          <w:szCs w:val="32"/>
          <w:highlight w:val="none"/>
        </w:rPr>
        <w:t>六、定标</w:t>
      </w:r>
      <w:bookmarkEnd w:id="155"/>
    </w:p>
    <w:p w14:paraId="0EA58C4F">
      <w:pPr>
        <w:pStyle w:val="17"/>
        <w:keepNext/>
        <w:keepLines/>
        <w:pageBreakBefore w:val="0"/>
        <w:widowControl w:val="0"/>
        <w:kinsoku/>
        <w:wordWrap/>
        <w:overflowPunct/>
        <w:topLinePunct w:val="0"/>
        <w:autoSpaceDE/>
        <w:autoSpaceDN/>
        <w:bidi w:val="0"/>
        <w:adjustRightInd/>
        <w:snapToGrid/>
        <w:spacing w:beforeAutospacing="0" w:afterAutospacing="0" w:line="520" w:lineRule="exact"/>
        <w:ind w:firstLine="601"/>
        <w:jc w:val="both"/>
        <w:textAlignment w:val="auto"/>
        <w:rPr>
          <w:rFonts w:hint="eastAsia" w:ascii="黑体" w:hAnsi="宋体" w:eastAsia="黑体" w:cs="黑体"/>
          <w:color w:val="000000"/>
          <w:sz w:val="30"/>
          <w:szCs w:val="30"/>
        </w:rPr>
      </w:pPr>
      <w:bookmarkStart w:id="156" w:name="_Toc20823310"/>
      <w:bookmarkStart w:id="157" w:name="_Toc513029238"/>
      <w:bookmarkStart w:id="158" w:name="_Toc16938554"/>
      <w:r>
        <w:rPr>
          <w:rFonts w:hint="eastAsia" w:ascii="黑体" w:hAnsi="宋体" w:eastAsia="黑体" w:cs="黑体"/>
          <w:color w:val="000000"/>
          <w:sz w:val="30"/>
          <w:szCs w:val="30"/>
        </w:rPr>
        <w:t>27、</w:t>
      </w:r>
      <w:bookmarkEnd w:id="156"/>
      <w:r>
        <w:rPr>
          <w:rFonts w:hint="eastAsia" w:ascii="黑体" w:hAnsi="宋体" w:eastAsia="黑体" w:cs="黑体"/>
          <w:color w:val="000000"/>
          <w:sz w:val="30"/>
          <w:szCs w:val="30"/>
        </w:rPr>
        <w:t>确定</w:t>
      </w:r>
      <w:bookmarkEnd w:id="157"/>
      <w:bookmarkEnd w:id="158"/>
      <w:r>
        <w:rPr>
          <w:rFonts w:hint="eastAsia" w:ascii="黑体" w:hAnsi="宋体" w:eastAsia="黑体" w:cs="黑体"/>
          <w:color w:val="000000"/>
          <w:sz w:val="30"/>
          <w:szCs w:val="30"/>
        </w:rPr>
        <w:t>中标单位</w:t>
      </w:r>
    </w:p>
    <w:p w14:paraId="6419FE0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 xml:space="preserve">27.1中标候选人的选取原则和数量见招标文件第五章规定。 </w:t>
      </w:r>
    </w:p>
    <w:p w14:paraId="37E853F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27.2采购人应根据评委会推荐的中标候选人确定中标人。</w:t>
      </w:r>
    </w:p>
    <w:p w14:paraId="579D167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rPr>
          <w:highlight w:val="none"/>
        </w:rPr>
      </w:pPr>
      <w:r>
        <w:rPr>
          <w:rFonts w:hint="eastAsia" w:ascii="宋体" w:hAnsi="宋体" w:eastAsia="宋体" w:cs="宋体"/>
          <w:color w:val="000000"/>
        </w:rPr>
        <w:t>27.3</w:t>
      </w:r>
      <w:r>
        <w:rPr>
          <w:rFonts w:hint="eastAsia" w:ascii="宋体" w:hAnsi="宋体" w:eastAsia="宋体" w:cs="宋体"/>
          <w:color w:val="000000"/>
          <w:lang w:eastAsia="zh-CN"/>
        </w:rPr>
        <w:t>采购人或采购代理机构</w:t>
      </w:r>
      <w:r>
        <w:rPr>
          <w:rFonts w:hint="eastAsia" w:ascii="宋体" w:hAnsi="宋体" w:eastAsia="宋体" w:cs="宋体"/>
          <w:color w:val="000000"/>
        </w:rPr>
        <w:t>将</w:t>
      </w:r>
      <w:r>
        <w:rPr>
          <w:rFonts w:hint="eastAsia" w:ascii="宋体" w:hAnsi="宋体" w:eastAsia="宋体" w:cs="宋体"/>
          <w:color w:val="000000"/>
          <w:highlight w:val="none"/>
        </w:rPr>
        <w:t>在</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中国政府采购网”、</w:t>
      </w:r>
      <w:r>
        <w:rPr>
          <w:rFonts w:hint="eastAsia" w:ascii="宋体" w:hAnsi="宋体" w:eastAsia="宋体" w:cs="宋体"/>
          <w:color w:val="000000"/>
          <w:highlight w:val="none"/>
        </w:rPr>
        <w:t>“江苏政府采购网”、“盐城市政府采购网”</w:t>
      </w:r>
      <w:r>
        <w:rPr>
          <w:rFonts w:hint="eastAsia" w:ascii="宋体" w:hAnsi="宋体" w:eastAsia="宋体" w:cs="宋体"/>
          <w:color w:val="000000"/>
          <w:highlight w:val="none"/>
          <w:lang w:eastAsia="zh-CN"/>
        </w:rPr>
        <w:t>、“阜宁县公共资源电子化服务平台”</w:t>
      </w:r>
      <w:r>
        <w:rPr>
          <w:rFonts w:hint="eastAsia" w:ascii="宋体" w:hAnsi="宋体" w:eastAsia="宋体" w:cs="宋体"/>
          <w:color w:val="000000"/>
          <w:highlight w:val="none"/>
        </w:rPr>
        <w:t>发布中标公告，公告期限为1个工作日。</w:t>
      </w:r>
    </w:p>
    <w:p w14:paraId="1DBD7D6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27.4若有充分证据证明，中标人出现下列情况之一的，一经查实，将被取消中标资格：</w:t>
      </w:r>
    </w:p>
    <w:p w14:paraId="53053F91">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27.4.1提供虚假材料谋取中标的。</w:t>
      </w:r>
    </w:p>
    <w:p w14:paraId="6CA0FB3B">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27.4.2向采购人、采购中心行贿或者提供其他不正当利益的。</w:t>
      </w:r>
    </w:p>
    <w:p w14:paraId="0F42FB3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27.4.3属于本文件规定的无效条件，但在评标过程中又未被评委会发现的。</w:t>
      </w:r>
    </w:p>
    <w:p w14:paraId="44FAADF2">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27.4.4与采购人或者其他供应商恶意串通的。</w:t>
      </w:r>
    </w:p>
    <w:p w14:paraId="5D1F69FF">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27.4.5采取不正当手段诋毁、排挤其他供应商的。</w:t>
      </w:r>
    </w:p>
    <w:p w14:paraId="59C9F276">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bookmarkStart w:id="159" w:name="_Toc200451960"/>
      <w:r>
        <w:rPr>
          <w:rFonts w:hint="eastAsia" w:ascii="宋体" w:hAnsi="宋体" w:eastAsia="宋体" w:cs="宋体"/>
          <w:color w:val="000000"/>
        </w:rPr>
        <w:t xml:space="preserve">27.5 </w:t>
      </w:r>
      <w:r>
        <w:rPr>
          <w:rFonts w:ascii="Times New Roman" w:hAnsi="Times New Roman"/>
          <w:color w:val="000000"/>
        </w:rPr>
        <w:t>有下列情形之一的，视为投标人串通投标，投标无效：</w:t>
      </w:r>
      <w:bookmarkEnd w:id="159"/>
    </w:p>
    <w:p w14:paraId="5C9DFC9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27.5.1不同投标人的投标文件由同一单位或者个人编制。</w:t>
      </w:r>
    </w:p>
    <w:p w14:paraId="1B6FE1E3">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27.5.2不同投标人委托同一单位或者个人办理投标事宜。</w:t>
      </w:r>
    </w:p>
    <w:p w14:paraId="7416288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27.5.3不同投标人的投标文件载明的项目管理成员或者联系人员为同一人。</w:t>
      </w:r>
    </w:p>
    <w:p w14:paraId="545A9356">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27.5.4不同投标人的投标文件异常一致或者投标报价呈规律性差异。</w:t>
      </w:r>
    </w:p>
    <w:p w14:paraId="45ADB335">
      <w:pPr>
        <w:pStyle w:val="17"/>
        <w:keepNext/>
        <w:keepLines/>
        <w:pageBreakBefore w:val="0"/>
        <w:widowControl w:val="0"/>
        <w:kinsoku/>
        <w:wordWrap/>
        <w:overflowPunct/>
        <w:topLinePunct w:val="0"/>
        <w:autoSpaceDE/>
        <w:autoSpaceDN/>
        <w:bidi w:val="0"/>
        <w:adjustRightInd/>
        <w:snapToGrid/>
        <w:spacing w:beforeAutospacing="0" w:afterAutospacing="0" w:line="520" w:lineRule="exact"/>
        <w:ind w:firstLine="601"/>
        <w:jc w:val="both"/>
        <w:textAlignment w:val="auto"/>
        <w:rPr>
          <w:rFonts w:hint="eastAsia" w:ascii="黑体" w:hAnsi="宋体" w:eastAsia="黑体" w:cs="黑体"/>
          <w:color w:val="000000"/>
          <w:sz w:val="30"/>
          <w:szCs w:val="30"/>
        </w:rPr>
      </w:pPr>
      <w:r>
        <w:rPr>
          <w:rFonts w:hint="eastAsia" w:ascii="黑体" w:hAnsi="宋体" w:eastAsia="黑体" w:cs="黑体"/>
          <w:color w:val="000000"/>
          <w:sz w:val="30"/>
          <w:szCs w:val="30"/>
        </w:rPr>
        <w:t>28、质疑处理</w:t>
      </w:r>
    </w:p>
    <w:p w14:paraId="454459E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48BFB893">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lang w:eastAsia="zh-CN"/>
        </w:rPr>
        <w:t>采购人或采购代理机构</w:t>
      </w:r>
      <w:r>
        <w:rPr>
          <w:rFonts w:hint="eastAsia" w:ascii="宋体" w:hAnsi="宋体" w:eastAsia="宋体" w:cs="宋体"/>
          <w:color w:val="000000"/>
        </w:rPr>
        <w:t>或采购人提出质疑。上述应知其权益受到损害之日，是指：</w:t>
      </w:r>
    </w:p>
    <w:p w14:paraId="76CAE941">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28.2.1</w:t>
      </w:r>
      <w:r>
        <w:rPr>
          <w:rFonts w:ascii="Times New Roman" w:hAnsi="Times New Roman"/>
          <w:color w:val="000000"/>
        </w:rPr>
        <w:t>对可以质疑的采购文件提出质疑的，为收到采购文件之日或者采购文件公告期限届满之日；</w:t>
      </w:r>
    </w:p>
    <w:p w14:paraId="6DD96EA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28.2.2</w:t>
      </w:r>
      <w:r>
        <w:rPr>
          <w:rFonts w:ascii="Times New Roman" w:hAnsi="Times New Roman"/>
          <w:color w:val="000000"/>
        </w:rPr>
        <w:t>对采购过程提出质疑的，为各采购程序环节结束之日；</w:t>
      </w:r>
    </w:p>
    <w:p w14:paraId="62845281">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28.2.3</w:t>
      </w:r>
      <w:r>
        <w:rPr>
          <w:rFonts w:ascii="Times New Roman" w:hAnsi="Times New Roman"/>
          <w:color w:val="000000"/>
        </w:rPr>
        <w:t>对中标或者成交结果提出质疑的，为中标或者成交结果公告期限届满之日。</w:t>
      </w:r>
    </w:p>
    <w:p w14:paraId="7E234266">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ascii="Times New Roman" w:hAnsi="Times New Roman"/>
          <w:color w:val="000000"/>
        </w:rPr>
        <w:t>供应商应当在法定质疑期内一次性提出针对同一采购程序环节的质疑。供应商如在法定期限内对同一采购程序环节提出多次质疑的，采购人将只对供应商第一次质疑作出答复。</w:t>
      </w:r>
    </w:p>
    <w:p w14:paraId="4D822189">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279E9B4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pPr>
      <w:r>
        <w:rPr>
          <w:rFonts w:hint="eastAsia" w:ascii="宋体" w:hAnsi="宋体" w:eastAsia="宋体" w:cs="宋体"/>
          <w:color w:val="000000"/>
        </w:rPr>
        <w:t>28.4</w:t>
      </w:r>
      <w:r>
        <w:rPr>
          <w:rFonts w:hint="eastAsia" w:ascii="宋体" w:hAnsi="宋体" w:eastAsia="宋体" w:cs="宋体"/>
          <w:color w:val="000000" w:themeColor="text1"/>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供应商对除上述事项以外其他事项的询问、质疑请向</w:t>
      </w:r>
      <w:r>
        <w:rPr>
          <w:rFonts w:hint="eastAsia" w:ascii="宋体" w:hAnsi="宋体" w:eastAsia="宋体" w:cs="宋体"/>
          <w:color w:val="000000"/>
          <w:lang w:eastAsia="zh-CN"/>
        </w:rPr>
        <w:t>采购人</w:t>
      </w:r>
      <w:r>
        <w:rPr>
          <w:rFonts w:hint="eastAsia" w:ascii="宋体" w:hAnsi="宋体" w:eastAsia="宋体" w:cs="宋体"/>
          <w:color w:val="000000"/>
        </w:rPr>
        <w:t>提出，由</w:t>
      </w:r>
      <w:r>
        <w:rPr>
          <w:rFonts w:hint="eastAsia" w:ascii="宋体" w:hAnsi="宋体" w:eastAsia="宋体" w:cs="宋体"/>
          <w:color w:val="000000"/>
          <w:lang w:eastAsia="zh-CN"/>
        </w:rPr>
        <w:t>采购人或采购代理机构</w:t>
      </w:r>
      <w:r>
        <w:rPr>
          <w:rFonts w:hint="eastAsia" w:ascii="宋体" w:hAnsi="宋体" w:eastAsia="宋体" w:cs="宋体"/>
          <w:color w:val="000000"/>
        </w:rPr>
        <w:t>负责答复。</w:t>
      </w:r>
    </w:p>
    <w:p w14:paraId="587F86D0">
      <w:pPr>
        <w:keepNext w:val="0"/>
        <w:keepLines w:val="0"/>
        <w:pageBreakBefore w:val="0"/>
        <w:widowControl w:val="0"/>
        <w:tabs>
          <w:tab w:val="left" w:pos="1331"/>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lang w:val="en-US" w:eastAsia="zh-CN" w:bidi="ar-SA"/>
        </w:rPr>
        <w:t>采购人及采购代理机构只接收以纸质原件形式送达的质疑,采购人和采购代理机构不接受未填写快递运单的快</w:t>
      </w:r>
      <w:r>
        <w:rPr>
          <w:rFonts w:hint="eastAsia" w:ascii="宋体" w:hAnsi="宋体" w:eastAsia="宋体" w:cs="宋体"/>
          <w:color w:val="000000"/>
          <w:kern w:val="0"/>
          <w:sz w:val="24"/>
          <w:szCs w:val="24"/>
          <w:highlight w:val="none"/>
          <w:lang w:val="en-US" w:eastAsia="zh-CN" w:bidi="ar-SA"/>
        </w:rPr>
        <w:t>件。</w:t>
      </w:r>
    </w:p>
    <w:p w14:paraId="5CD392C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6"/>
          <w:szCs w:val="26"/>
          <w:lang w:eastAsia="zh-CN" w:bidi="ar"/>
        </w:rPr>
      </w:pPr>
      <w:r>
        <w:rPr>
          <w:rFonts w:hint="eastAsia" w:ascii="宋体" w:hAnsi="宋体" w:eastAsia="宋体" w:cs="Times New Roman"/>
          <w:color w:val="auto"/>
          <w:sz w:val="24"/>
          <w:szCs w:val="24"/>
        </w:rPr>
        <w:t>采购人、采购代理机构接收质疑联系</w:t>
      </w:r>
      <w:r>
        <w:rPr>
          <w:rFonts w:hint="eastAsia" w:ascii="宋体" w:hAnsi="宋体" w:eastAsia="宋体" w:cs="Times New Roman"/>
          <w:sz w:val="24"/>
          <w:szCs w:val="24"/>
          <w:lang w:eastAsia="zh-CN"/>
        </w:rPr>
        <w:t>人</w:t>
      </w:r>
      <w:r>
        <w:rPr>
          <w:rFonts w:hint="eastAsia" w:ascii="宋体" w:hAnsi="宋体" w:eastAsia="宋体" w:cs="Times New Roman"/>
          <w:sz w:val="24"/>
          <w:szCs w:val="24"/>
        </w:rPr>
        <w:t>、联系电话和通讯地址</w:t>
      </w:r>
      <w:r>
        <w:rPr>
          <w:rFonts w:hint="eastAsia" w:ascii="宋体" w:hAnsi="宋体" w:eastAsia="宋体" w:cs="Times New Roman"/>
          <w:sz w:val="24"/>
          <w:szCs w:val="24"/>
          <w:lang w:eastAsia="zh-CN"/>
        </w:rPr>
        <w:t>等见招标公告</w:t>
      </w:r>
      <w:r>
        <w:rPr>
          <w:rFonts w:hint="eastAsia" w:ascii="宋体" w:hAnsi="宋体" w:cs="宋体"/>
          <w:sz w:val="26"/>
          <w:szCs w:val="26"/>
          <w:lang w:bidi="ar"/>
        </w:rPr>
        <w:t>采购人信息</w:t>
      </w:r>
      <w:r>
        <w:rPr>
          <w:rFonts w:hint="eastAsia" w:ascii="宋体" w:hAnsi="宋体" w:cs="宋体"/>
          <w:sz w:val="26"/>
          <w:szCs w:val="26"/>
          <w:lang w:eastAsia="zh-CN" w:bidi="ar"/>
        </w:rPr>
        <w:t>、</w:t>
      </w:r>
      <w:r>
        <w:rPr>
          <w:rFonts w:hint="eastAsia" w:ascii="宋体" w:hAnsi="宋体" w:cs="宋体"/>
          <w:sz w:val="24"/>
          <w:lang w:bidi="ar"/>
        </w:rPr>
        <w:t>采购代理机构信息</w:t>
      </w:r>
      <w:r>
        <w:rPr>
          <w:rFonts w:hint="eastAsia" w:ascii="宋体" w:hAnsi="宋体" w:cs="宋体"/>
          <w:sz w:val="24"/>
          <w:lang w:eastAsia="zh-CN" w:bidi="ar"/>
        </w:rPr>
        <w:t>。</w:t>
      </w:r>
    </w:p>
    <w:p w14:paraId="3F974B3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28.5 以下情形的质疑不予受理</w:t>
      </w:r>
    </w:p>
    <w:p w14:paraId="571E9CA9">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28.5.1内容不符合《政府采购质疑和投诉办法》第十二条规定的质疑。</w:t>
      </w:r>
    </w:p>
    <w:p w14:paraId="75E44CA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28.5.2超出政府采购法定期限的质疑。</w:t>
      </w:r>
    </w:p>
    <w:p w14:paraId="7A942A9D">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28.5.3以传真、电子邮件等方式递交的非原件形式的质疑。</w:t>
      </w:r>
    </w:p>
    <w:p w14:paraId="24939A32">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28.5.4未参加投标活动的供应商或在投标活动中自身权益未受到损害的供应商所提出的质疑。</w:t>
      </w:r>
    </w:p>
    <w:p w14:paraId="566B4F11">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pPr>
      <w:r>
        <w:rPr>
          <w:rFonts w:hint="eastAsia" w:ascii="宋体" w:hAnsi="宋体" w:eastAsia="宋体" w:cs="宋体"/>
          <w:color w:val="000000"/>
        </w:rPr>
        <w:t>28.5.5供应商组成联合体参加投标，联合体中任何一方或多方未按要求签字、盖章、加盖公章的质疑。</w:t>
      </w:r>
    </w:p>
    <w:p w14:paraId="30A3684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68"/>
        <w:jc w:val="both"/>
        <w:textAlignment w:val="auto"/>
      </w:pPr>
      <w:r>
        <w:rPr>
          <w:rFonts w:hint="eastAsia" w:ascii="宋体" w:hAnsi="宋体" w:eastAsia="宋体" w:cs="宋体"/>
          <w:color w:val="000000"/>
        </w:rPr>
        <w:t>28.6供应商提出书面质疑必须有理、有据，不得捏造事实、提供虚假材料进行恶意质疑。否则，一经查实，</w:t>
      </w:r>
      <w:r>
        <w:rPr>
          <w:rFonts w:hint="eastAsia" w:ascii="宋体" w:hAnsi="宋体" w:eastAsia="宋体" w:cs="宋体"/>
          <w:color w:val="000000"/>
          <w:lang w:eastAsia="zh-CN"/>
        </w:rPr>
        <w:t>采购人</w:t>
      </w:r>
      <w:r>
        <w:rPr>
          <w:rFonts w:hint="eastAsia" w:ascii="宋体" w:hAnsi="宋体" w:eastAsia="宋体" w:cs="宋体"/>
          <w:color w:val="000000"/>
        </w:rPr>
        <w:t>有权依据政府采购的有关规定，报请政府采购监管部门对该供应商进行相应的行政处罚和记录该供应商的失信信息。</w:t>
      </w:r>
    </w:p>
    <w:p w14:paraId="72A56A18">
      <w:pPr>
        <w:pStyle w:val="17"/>
        <w:keepNext/>
        <w:keepLines/>
        <w:pageBreakBefore w:val="0"/>
        <w:widowControl w:val="0"/>
        <w:kinsoku/>
        <w:wordWrap/>
        <w:overflowPunct/>
        <w:topLinePunct w:val="0"/>
        <w:autoSpaceDE/>
        <w:autoSpaceDN/>
        <w:bidi w:val="0"/>
        <w:adjustRightInd/>
        <w:snapToGrid/>
        <w:spacing w:beforeAutospacing="0" w:afterAutospacing="0" w:line="520" w:lineRule="exact"/>
        <w:ind w:firstLine="601"/>
        <w:jc w:val="both"/>
        <w:textAlignment w:val="auto"/>
      </w:pPr>
      <w:r>
        <w:rPr>
          <w:rFonts w:hint="eastAsia" w:ascii="黑体" w:hAnsi="宋体" w:eastAsia="黑体" w:cs="黑体"/>
          <w:color w:val="000000"/>
          <w:sz w:val="30"/>
          <w:szCs w:val="30"/>
        </w:rPr>
        <w:t>29、中标通知书</w:t>
      </w:r>
    </w:p>
    <w:p w14:paraId="211FBF6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68"/>
        <w:jc w:val="both"/>
        <w:textAlignment w:val="auto"/>
        <w:rPr>
          <w:rFonts w:hint="eastAsia" w:ascii="宋体" w:hAnsi="宋体" w:eastAsia="宋体" w:cs="宋体"/>
          <w:color w:val="000000"/>
        </w:rPr>
      </w:pPr>
      <w:r>
        <w:rPr>
          <w:rFonts w:hint="eastAsia" w:ascii="宋体" w:hAnsi="宋体" w:eastAsia="宋体" w:cs="宋体"/>
          <w:color w:val="000000"/>
        </w:rPr>
        <w:t>29.l中标结果确定后，</w:t>
      </w:r>
      <w:r>
        <w:rPr>
          <w:rFonts w:hint="eastAsia" w:ascii="宋体" w:hAnsi="宋体" w:eastAsia="宋体" w:cs="宋体"/>
          <w:color w:val="000000"/>
          <w:lang w:eastAsia="zh-CN"/>
        </w:rPr>
        <w:t>采购人</w:t>
      </w:r>
      <w:r>
        <w:rPr>
          <w:rFonts w:hint="eastAsia" w:ascii="宋体" w:hAnsi="宋体" w:eastAsia="宋体" w:cs="宋体"/>
          <w:color w:val="000000"/>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C26B7AE">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68"/>
        <w:jc w:val="both"/>
        <w:textAlignment w:val="auto"/>
        <w:rPr>
          <w:rFonts w:hint="eastAsia" w:ascii="宋体" w:hAnsi="宋体" w:eastAsia="宋体" w:cs="宋体"/>
          <w:color w:val="000000"/>
        </w:rPr>
      </w:pPr>
      <w:r>
        <w:rPr>
          <w:rFonts w:hint="eastAsia" w:ascii="宋体" w:hAnsi="宋体" w:eastAsia="宋体" w:cs="宋体"/>
          <w:color w:val="000000"/>
        </w:rPr>
        <w:t>29.2中标通知书将是合同的一个组成部分。对采购人和中标人均具有法律效力。中标通知书发出后，采购人改变中标结果的，或者中标人放弃中标项目的，应当依法承担法律责任。</w:t>
      </w:r>
    </w:p>
    <w:p w14:paraId="59CFC75A">
      <w:pPr>
        <w:pStyle w:val="17"/>
        <w:keepNext/>
        <w:keepLines/>
        <w:pageBreakBefore w:val="0"/>
        <w:widowControl w:val="0"/>
        <w:kinsoku/>
        <w:wordWrap/>
        <w:overflowPunct/>
        <w:topLinePunct w:val="0"/>
        <w:autoSpaceDE/>
        <w:autoSpaceDN/>
        <w:bidi w:val="0"/>
        <w:adjustRightInd/>
        <w:snapToGrid/>
        <w:spacing w:beforeAutospacing="0" w:afterAutospacing="0" w:line="520" w:lineRule="exact"/>
        <w:ind w:firstLine="499"/>
        <w:jc w:val="both"/>
        <w:textAlignment w:val="auto"/>
        <w:rPr>
          <w:rFonts w:ascii="Times New Roman" w:hAnsi="Times New Roman" w:cs="Times New Roman"/>
          <w:b/>
          <w:color w:val="000000"/>
          <w:sz w:val="32"/>
          <w:szCs w:val="32"/>
        </w:rPr>
      </w:pPr>
      <w:bookmarkStart w:id="160" w:name="_Toc120614220"/>
      <w:bookmarkStart w:id="161" w:name="_Toc513029236"/>
      <w:bookmarkStart w:id="162" w:name="_Toc16938552"/>
      <w:bookmarkStart w:id="163" w:name="_Toc20823308"/>
      <w:r>
        <w:rPr>
          <w:rFonts w:ascii="Times New Roman" w:hAnsi="Times New Roman" w:cs="Times New Roman"/>
          <w:b/>
          <w:color w:val="000000"/>
          <w:sz w:val="32"/>
          <w:szCs w:val="32"/>
        </w:rPr>
        <w:t>七、授予合同</w:t>
      </w:r>
      <w:bookmarkEnd w:id="160"/>
      <w:bookmarkEnd w:id="161"/>
      <w:bookmarkEnd w:id="162"/>
      <w:bookmarkEnd w:id="163"/>
    </w:p>
    <w:p w14:paraId="7EB3BC66">
      <w:pPr>
        <w:pStyle w:val="17"/>
        <w:keepNext/>
        <w:keepLines/>
        <w:pageBreakBefore w:val="0"/>
        <w:widowControl w:val="0"/>
        <w:kinsoku/>
        <w:wordWrap/>
        <w:overflowPunct/>
        <w:topLinePunct w:val="0"/>
        <w:autoSpaceDE/>
        <w:autoSpaceDN/>
        <w:bidi w:val="0"/>
        <w:adjustRightInd/>
        <w:snapToGrid/>
        <w:spacing w:beforeAutospacing="0" w:afterAutospacing="0" w:line="520" w:lineRule="exact"/>
        <w:ind w:firstLine="601"/>
        <w:jc w:val="both"/>
        <w:textAlignment w:val="auto"/>
        <w:rPr>
          <w:rFonts w:hint="eastAsia" w:ascii="黑体" w:hAnsi="宋体" w:eastAsia="黑体" w:cs="黑体"/>
          <w:color w:val="000000"/>
          <w:sz w:val="30"/>
          <w:szCs w:val="30"/>
        </w:rPr>
      </w:pPr>
      <w:bookmarkStart w:id="164" w:name="_Toc16938553"/>
      <w:bookmarkStart w:id="165" w:name="_Toc20823309"/>
      <w:bookmarkStart w:id="166" w:name="_Toc513029237"/>
      <w:r>
        <w:rPr>
          <w:rFonts w:hint="eastAsia" w:ascii="黑体" w:hAnsi="宋体" w:eastAsia="黑体" w:cs="黑体"/>
          <w:color w:val="000000"/>
          <w:sz w:val="30"/>
          <w:szCs w:val="30"/>
        </w:rPr>
        <w:t>30.签订合同</w:t>
      </w:r>
      <w:bookmarkEnd w:id="164"/>
      <w:bookmarkEnd w:id="165"/>
      <w:bookmarkEnd w:id="166"/>
    </w:p>
    <w:p w14:paraId="2946F9C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pPr>
      <w:r>
        <w:rPr>
          <w:rFonts w:hint="eastAsia" w:ascii="宋体" w:hAnsi="宋体" w:eastAsia="宋体" w:cs="宋体"/>
          <w:color w:val="000000"/>
        </w:rPr>
        <w:t>30.l中标人应当在中标通知书发出之日起三十日内，按照招标文件确定的事项与采购人签订政府采购合同。</w:t>
      </w:r>
    </w:p>
    <w:p w14:paraId="54C243E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pPr>
      <w:r>
        <w:rPr>
          <w:rFonts w:hint="eastAsia" w:ascii="宋体" w:hAnsi="宋体" w:eastAsia="宋体" w:cs="宋体"/>
          <w:color w:val="000000"/>
        </w:rPr>
        <w:t>30.2招标文件、中标人的投标文件及招标过程中有关澄清、承诺文件均应作为合同附件。</w:t>
      </w:r>
    </w:p>
    <w:p w14:paraId="56B6F271">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pPr>
      <w:r>
        <w:rPr>
          <w:rFonts w:hint="eastAsia" w:ascii="宋体" w:hAnsi="宋体" w:eastAsia="宋体" w:cs="宋体"/>
          <w:color w:val="000000"/>
        </w:rPr>
        <w:t>30.3签订合同后，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0C1325E5">
      <w:pPr>
        <w:pStyle w:val="17"/>
        <w:keepNext/>
        <w:keepLines/>
        <w:spacing w:beforeAutospacing="0" w:afterAutospacing="0"/>
        <w:ind w:firstLine="600"/>
        <w:jc w:val="both"/>
      </w:pPr>
      <w:r>
        <w:rPr>
          <w:rFonts w:hint="eastAsia" w:ascii="黑体" w:hAnsi="宋体" w:eastAsia="黑体" w:cs="黑体"/>
          <w:color w:val="000000"/>
          <w:sz w:val="30"/>
          <w:szCs w:val="30"/>
        </w:rPr>
        <w:t>31、服务（包含与服务相关的货物）的追加</w:t>
      </w:r>
    </w:p>
    <w:p w14:paraId="2D30905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2"/>
        <w:jc w:val="both"/>
        <w:textAlignment w:val="auto"/>
      </w:pPr>
      <w:r>
        <w:rPr>
          <w:rFonts w:hint="eastAsia" w:ascii="宋体" w:hAnsi="宋体" w:eastAsia="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CBFAA33">
      <w:pPr>
        <w:pStyle w:val="17"/>
        <w:keepNext/>
        <w:keepLines/>
        <w:spacing w:beforeAutospacing="0" w:afterAutospacing="0"/>
        <w:ind w:firstLine="600"/>
        <w:jc w:val="both"/>
        <w:rPr>
          <w:highlight w:val="none"/>
        </w:rPr>
      </w:pPr>
      <w:bookmarkStart w:id="167" w:name="_Toc513029242"/>
      <w:bookmarkStart w:id="168" w:name="_Toc20823314"/>
      <w:bookmarkStart w:id="169" w:name="_Toc16938558"/>
      <w:bookmarkStart w:id="170" w:name="_Toc479757207"/>
      <w:bookmarkStart w:id="171" w:name="_Toc120614221"/>
      <w:r>
        <w:rPr>
          <w:rFonts w:hint="eastAsia" w:ascii="黑体" w:hAnsi="宋体" w:eastAsia="黑体" w:cs="黑体"/>
          <w:color w:val="000000"/>
          <w:sz w:val="30"/>
          <w:szCs w:val="30"/>
          <w:highlight w:val="none"/>
        </w:rPr>
        <w:t>32、</w:t>
      </w:r>
      <w:bookmarkEnd w:id="167"/>
      <w:bookmarkEnd w:id="168"/>
      <w:bookmarkEnd w:id="169"/>
      <w:bookmarkEnd w:id="170"/>
      <w:bookmarkEnd w:id="171"/>
      <w:r>
        <w:rPr>
          <w:rFonts w:hint="eastAsia" w:ascii="黑体" w:hAnsi="宋体" w:eastAsia="黑体" w:cs="黑体"/>
          <w:color w:val="000000"/>
          <w:sz w:val="30"/>
          <w:szCs w:val="30"/>
          <w:lang w:val="en-US" w:eastAsia="zh-CN"/>
        </w:rPr>
        <w:t>政府采购政策功能落实</w:t>
      </w:r>
    </w:p>
    <w:p w14:paraId="3EA2C72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rPr>
      </w:pPr>
      <w:r>
        <w:rPr>
          <w:rFonts w:hint="eastAsia" w:ascii="宋体" w:hAnsi="宋体" w:eastAsia="宋体" w:cs="宋体"/>
          <w:color w:val="000000"/>
          <w:lang w:val="en-US" w:eastAsia="zh-CN"/>
        </w:rPr>
        <w:t>32.1</w:t>
      </w:r>
      <w:r>
        <w:rPr>
          <w:rFonts w:hint="eastAsia" w:ascii="宋体" w:hAnsi="宋体" w:eastAsia="宋体" w:cs="宋体"/>
          <w:color w:val="000000"/>
        </w:rPr>
        <w:t>政府采购</w:t>
      </w:r>
      <w:r>
        <w:rPr>
          <w:rFonts w:hint="eastAsia" w:ascii="宋体" w:hAnsi="宋体" w:eastAsia="宋体" w:cs="宋体"/>
          <w:color w:val="000000"/>
          <w:lang w:eastAsia="zh-CN"/>
        </w:rPr>
        <w:t>线上合同信用融资</w:t>
      </w:r>
      <w:r>
        <w:rPr>
          <w:rFonts w:hint="eastAsia" w:ascii="宋体" w:hAnsi="宋体" w:eastAsia="宋体" w:cs="宋体"/>
          <w:color w:val="000000"/>
        </w:rPr>
        <w:t>政策</w:t>
      </w:r>
    </w:p>
    <w:p w14:paraId="7831DEFD">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lang w:val="en-US" w:eastAsia="zh-CN"/>
        </w:rPr>
        <w:t>江苏省</w:t>
      </w:r>
      <w:r>
        <w:rPr>
          <w:rFonts w:hint="eastAsia" w:ascii="宋体" w:hAnsi="宋体" w:eastAsia="宋体" w:cs="宋体"/>
          <w:color w:val="000000"/>
        </w:rPr>
        <w:t>政府采购网“政采贷”栏目）申请贷款，相关金融机构按照双方自愿的原则提供便捷、优惠的贷款服务；具体操作流程请参考苏采云系统中操作手册。 </w:t>
      </w:r>
    </w:p>
    <w:p w14:paraId="05A8ADEB">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32.2进口产品</w:t>
      </w:r>
    </w:p>
    <w:p w14:paraId="5E25FDB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rPr>
      </w:pPr>
      <w:r>
        <w:rPr>
          <w:rFonts w:hint="eastAsia" w:ascii="宋体" w:hAnsi="宋体" w:eastAsia="宋体" w:cs="宋体"/>
          <w:color w:val="000000"/>
          <w:lang w:val="en-US" w:eastAsia="zh-CN"/>
        </w:rPr>
        <w:t>进口产品</w:t>
      </w:r>
      <w:r>
        <w:rPr>
          <w:rFonts w:hint="eastAsia" w:ascii="宋体" w:hAnsi="宋体" w:eastAsia="宋体" w:cs="宋体"/>
          <w:color w:val="000000"/>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32.3中小企业、监狱企业及残疾人福利性单位</w:t>
      </w:r>
    </w:p>
    <w:p w14:paraId="63807B9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32.3.1中小企业定义：</w:t>
      </w:r>
    </w:p>
    <w:p w14:paraId="4C9CBD8E">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32.3.2供应商提供的货物、工程或者服务符合下列情形的，享受中小企业扶持政策：</w:t>
      </w:r>
    </w:p>
    <w:p w14:paraId="6761BEF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32.3.2.1在货物采购项目中，货物由中小企业制造，即货物由中小企业生产且使用该中小企业商号或者注册商标；</w:t>
      </w:r>
    </w:p>
    <w:p w14:paraId="31163D4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32.3.2.2在工程采购项目中，工程由中小企业承建，即工程施工单位为中小企业；</w:t>
      </w:r>
    </w:p>
    <w:p w14:paraId="4DFC19BD">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32.3.2.3在服务采购项目中，服务由中小企业承接，即提供服务的人员为中小企业依照《中华人民共和国劳动合同法》订立劳动合同的从业人员。</w:t>
      </w:r>
    </w:p>
    <w:p w14:paraId="3EA95C7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32.3.3在货物采购项目中，供应商提供的货物既有中小企业制造货物，也有大型企业制造货物的，不享受中小企业扶持政策。</w:t>
      </w:r>
    </w:p>
    <w:p w14:paraId="18C13D1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32.3.4以联合体形式参加政府采购活动，联合体各方均为中小企业的，联合体视同中小企业。其中，联合体各方均为小微企业的，联合体视同小微企业。</w:t>
      </w:r>
    </w:p>
    <w:p w14:paraId="34D8F3DF">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32.3.6残疾人福利单位定义：享受政府采购支持政策的残疾人福利性单位应当同时满足以下条件：</w:t>
      </w:r>
    </w:p>
    <w:p w14:paraId="2C10A4F6">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32.3.6.1安置的残疾人占本单位在职职工人数的比例不低于25%（含25%），并且安置的残疾人人数不少于10 人（含10 人）；</w:t>
      </w:r>
    </w:p>
    <w:p w14:paraId="273AB3B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32.3.6.2依法与安置的每位残疾人签订了一年以上（含一年）的劳动合同或服务协议；</w:t>
      </w:r>
    </w:p>
    <w:p w14:paraId="25054FF3">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32.3.6.3为安置的每位残疾人按月足额缴纳了基本养老保险、基本医疗保险、失业保险、工伤保险和生育保险等社会保险费；</w:t>
      </w:r>
    </w:p>
    <w:p w14:paraId="2B08B5C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32.3.6.4通过银行等金融机构向安置的每位残疾人，按月支付了不低于单位所在区县适用的经省级人民政府批准的月最低工资标准的工资；</w:t>
      </w:r>
    </w:p>
    <w:p w14:paraId="20CB233D">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32.3.7本项目是否专门面向中小企业预留采购份额见第一章《招标公告》。</w:t>
      </w:r>
    </w:p>
    <w:p w14:paraId="66321B5E">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32.3.8采购标的对应的中小企业划分标准所属行业见第四章《采购需求》。</w:t>
      </w:r>
    </w:p>
    <w:p w14:paraId="3CD3781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32.3.9小微企业价格评审优惠的政策：见第五章《评标方法和评标标准》。</w:t>
      </w:r>
    </w:p>
    <w:p w14:paraId="2413029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32.4政府采购节能产品、环境标志产品</w:t>
      </w:r>
    </w:p>
    <w:p w14:paraId="56196F7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32.5绿色包装</w:t>
      </w:r>
    </w:p>
    <w:p w14:paraId="3C828DB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32.6政府采购创新产品</w:t>
      </w:r>
    </w:p>
    <w:p w14:paraId="2D9B336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采购人优先采购各级政府部门公开发布的有效期内的创新产品、创新服务、首台套、首购首用等《目录》的创新产品。</w:t>
      </w:r>
    </w:p>
    <w:p w14:paraId="57947BB5">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32.7绿色数据中心政策 </w:t>
      </w:r>
    </w:p>
    <w:p w14:paraId="722A8D32">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32.8履约保证金政策</w:t>
      </w:r>
    </w:p>
    <w:p w14:paraId="40F02B3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确需收取履约保证金的，履约保证金的缴纳形式：</w:t>
      </w:r>
    </w:p>
    <w:p w14:paraId="5EB031A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 如以履约保函（保险）形式缴纳履约保证金，供应商可通过政府采购电子履约保函（保险）平台（www.jsdzbh.com）在线申请履约保函（保险）。</w:t>
      </w:r>
    </w:p>
    <w:p w14:paraId="3B7F9F7F">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 </w:t>
      </w:r>
      <w:r>
        <w:rPr>
          <w:rFonts w:hint="eastAsia" w:ascii="黑体" w:hAnsi="宋体" w:eastAsia="黑体" w:cs="黑体"/>
          <w:color w:val="000000"/>
          <w:sz w:val="30"/>
          <w:szCs w:val="30"/>
          <w:lang w:val="en-US" w:eastAsia="zh-CN"/>
        </w:rPr>
        <w:t>33. 预付款制度</w:t>
      </w:r>
    </w:p>
    <w:p w14:paraId="38744688">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601"/>
        <w:jc w:val="both"/>
        <w:textAlignment w:val="auto"/>
        <w:rPr>
          <w:rFonts w:hint="eastAsia" w:ascii="宋体" w:hAnsi="宋体" w:eastAsia="宋体" w:cs="宋体"/>
          <w:color w:val="auto"/>
          <w:sz w:val="21"/>
          <w:szCs w:val="21"/>
        </w:rPr>
      </w:pPr>
      <w:r>
        <w:rPr>
          <w:rFonts w:hint="eastAsia" w:ascii="宋体" w:hAnsi="宋体" w:eastAsia="宋体" w:cs="宋体"/>
          <w:color w:val="000000"/>
          <w:lang w:val="en-US" w:eastAsia="zh-CN"/>
        </w:rPr>
        <w:t>本项目落实预付款制度，预付款比例为_30_%（原则上不低于合同金额的30%）。在签订合同时，中标、成交供应商明确书面表示无需预付款或者主动要求降低预付款比例的，采购人可就预付款比例作相应调整。</w:t>
      </w:r>
    </w:p>
    <w:p w14:paraId="5286D7E7">
      <w:pPr>
        <w:pStyle w:val="17"/>
        <w:spacing w:beforeAutospacing="0" w:afterAutospacing="0"/>
        <w:jc w:val="both"/>
        <w:rPr>
          <w:rFonts w:hint="eastAsia"/>
          <w:lang w:val="en-US" w:eastAsia="zh-CN"/>
        </w:rPr>
      </w:pPr>
      <w:r>
        <w:rPr>
          <w:color w:val="auto"/>
        </w:rPr>
        <w:t>  </w:t>
      </w:r>
      <w:r>
        <w:rPr>
          <w:rFonts w:hint="eastAsia"/>
          <w:color w:val="auto"/>
          <w:lang w:val="en-US" w:eastAsia="zh-CN"/>
        </w:rPr>
        <w:t xml:space="preserve">                </w:t>
      </w:r>
    </w:p>
    <w:p w14:paraId="2B940384">
      <w:pPr>
        <w:pStyle w:val="17"/>
        <w:spacing w:beforeAutospacing="0" w:afterAutospacing="0"/>
        <w:jc w:val="both"/>
        <w:rPr>
          <w:rFonts w:hint="eastAsia"/>
          <w:lang w:val="en-US" w:eastAsia="zh-CN"/>
        </w:rPr>
      </w:pPr>
    </w:p>
    <w:p w14:paraId="2501B635">
      <w:pPr>
        <w:pStyle w:val="17"/>
        <w:spacing w:beforeAutospacing="0" w:afterAutospacing="0"/>
        <w:jc w:val="both"/>
        <w:rPr>
          <w:rFonts w:hint="eastAsia"/>
          <w:lang w:val="en-US" w:eastAsia="zh-CN"/>
        </w:rPr>
      </w:pPr>
    </w:p>
    <w:p w14:paraId="1DE195D8">
      <w:pPr>
        <w:pStyle w:val="17"/>
        <w:spacing w:beforeAutospacing="0" w:afterAutospacing="0"/>
        <w:jc w:val="both"/>
        <w:rPr>
          <w:rFonts w:hint="eastAsia"/>
          <w:lang w:val="en-US" w:eastAsia="zh-CN"/>
        </w:rPr>
      </w:pPr>
    </w:p>
    <w:p w14:paraId="3A12B354">
      <w:pPr>
        <w:pStyle w:val="17"/>
        <w:spacing w:beforeAutospacing="0" w:afterAutospacing="0"/>
        <w:jc w:val="both"/>
        <w:rPr>
          <w:rFonts w:hint="eastAsia"/>
          <w:lang w:val="en-US" w:eastAsia="zh-CN"/>
        </w:rPr>
      </w:pPr>
    </w:p>
    <w:p w14:paraId="7C8C030F">
      <w:pPr>
        <w:pStyle w:val="17"/>
        <w:spacing w:beforeAutospacing="0" w:afterAutospacing="0"/>
        <w:jc w:val="both"/>
        <w:rPr>
          <w:rFonts w:hint="eastAsia"/>
          <w:lang w:val="en-US" w:eastAsia="zh-CN"/>
        </w:rPr>
      </w:pPr>
    </w:p>
    <w:p w14:paraId="3110E81C">
      <w:pPr>
        <w:pStyle w:val="17"/>
        <w:spacing w:beforeAutospacing="0" w:afterAutospacing="0"/>
        <w:jc w:val="both"/>
        <w:rPr>
          <w:rFonts w:hint="eastAsia"/>
          <w:lang w:val="en-US" w:eastAsia="zh-CN"/>
        </w:rPr>
      </w:pPr>
    </w:p>
    <w:p w14:paraId="43D1525E">
      <w:pPr>
        <w:pStyle w:val="17"/>
        <w:spacing w:beforeAutospacing="0" w:afterAutospacing="0"/>
        <w:jc w:val="both"/>
        <w:rPr>
          <w:rFonts w:hint="eastAsia"/>
          <w:lang w:val="en-US" w:eastAsia="zh-CN"/>
        </w:rPr>
      </w:pPr>
    </w:p>
    <w:p w14:paraId="630BDF3E">
      <w:pPr>
        <w:pStyle w:val="17"/>
        <w:spacing w:beforeAutospacing="0" w:afterAutospacing="0"/>
        <w:jc w:val="both"/>
        <w:rPr>
          <w:rFonts w:hint="eastAsia"/>
          <w:lang w:val="en-US" w:eastAsia="zh-CN"/>
        </w:rPr>
      </w:pPr>
    </w:p>
    <w:p w14:paraId="016E0B61">
      <w:pPr>
        <w:pStyle w:val="17"/>
        <w:spacing w:beforeAutospacing="0" w:afterAutospacing="0"/>
        <w:jc w:val="both"/>
        <w:rPr>
          <w:rFonts w:hint="eastAsia"/>
          <w:lang w:val="en-US" w:eastAsia="zh-CN"/>
        </w:rPr>
      </w:pPr>
    </w:p>
    <w:p w14:paraId="55ACFAB3">
      <w:pPr>
        <w:pStyle w:val="17"/>
        <w:spacing w:beforeAutospacing="0" w:afterAutospacing="0"/>
        <w:jc w:val="both"/>
        <w:rPr>
          <w:rFonts w:hint="eastAsia"/>
          <w:lang w:val="en-US" w:eastAsia="zh-CN"/>
        </w:rPr>
      </w:pPr>
    </w:p>
    <w:p w14:paraId="3DC5FEE9">
      <w:pPr>
        <w:pStyle w:val="17"/>
        <w:spacing w:beforeAutospacing="0" w:afterAutospacing="0"/>
        <w:jc w:val="both"/>
        <w:rPr>
          <w:rFonts w:hint="eastAsia"/>
          <w:lang w:val="en-US" w:eastAsia="zh-CN"/>
        </w:rPr>
      </w:pPr>
    </w:p>
    <w:p w14:paraId="6FA8F7B9">
      <w:pPr>
        <w:pStyle w:val="17"/>
        <w:spacing w:beforeAutospacing="0" w:afterAutospacing="0"/>
        <w:jc w:val="both"/>
        <w:rPr>
          <w:rFonts w:hint="eastAsia"/>
          <w:lang w:val="en-US" w:eastAsia="zh-CN"/>
        </w:rPr>
      </w:pPr>
    </w:p>
    <w:p w14:paraId="7F81038C">
      <w:pPr>
        <w:pStyle w:val="17"/>
        <w:spacing w:beforeAutospacing="0" w:afterAutospacing="0"/>
        <w:jc w:val="both"/>
        <w:rPr>
          <w:rFonts w:hint="eastAsia"/>
          <w:lang w:val="en-US" w:eastAsia="zh-CN"/>
        </w:rPr>
      </w:pPr>
    </w:p>
    <w:p w14:paraId="01E8110D">
      <w:pPr>
        <w:pStyle w:val="17"/>
        <w:spacing w:beforeAutospacing="0" w:afterAutospacing="0"/>
        <w:jc w:val="both"/>
        <w:rPr>
          <w:rFonts w:hint="eastAsia"/>
          <w:lang w:val="en-US" w:eastAsia="zh-CN"/>
        </w:rPr>
      </w:pPr>
    </w:p>
    <w:p w14:paraId="524FBC97">
      <w:pPr>
        <w:pStyle w:val="17"/>
        <w:spacing w:beforeAutospacing="0" w:afterAutospacing="0"/>
        <w:jc w:val="both"/>
        <w:rPr>
          <w:rFonts w:hint="eastAsia"/>
          <w:lang w:val="en-US" w:eastAsia="zh-CN"/>
        </w:rPr>
      </w:pPr>
    </w:p>
    <w:p w14:paraId="2A8CB694">
      <w:pPr>
        <w:pStyle w:val="17"/>
        <w:spacing w:beforeAutospacing="0" w:afterAutospacing="0"/>
        <w:jc w:val="both"/>
        <w:rPr>
          <w:rFonts w:hint="eastAsia"/>
          <w:lang w:val="en-US" w:eastAsia="zh-CN"/>
        </w:rPr>
      </w:pPr>
    </w:p>
    <w:p w14:paraId="3AC9B9A7">
      <w:pPr>
        <w:pStyle w:val="17"/>
        <w:spacing w:beforeAutospacing="0" w:afterAutospacing="0"/>
        <w:jc w:val="both"/>
        <w:rPr>
          <w:rFonts w:hint="eastAsia"/>
          <w:lang w:val="en-US" w:eastAsia="zh-CN"/>
        </w:rPr>
      </w:pPr>
    </w:p>
    <w:p w14:paraId="60B89826">
      <w:pPr>
        <w:pStyle w:val="17"/>
        <w:spacing w:beforeAutospacing="0" w:afterAutospacing="0"/>
        <w:jc w:val="both"/>
        <w:rPr>
          <w:rFonts w:hint="eastAsia"/>
          <w:lang w:val="en-US" w:eastAsia="zh-CN"/>
        </w:rPr>
      </w:pPr>
    </w:p>
    <w:p w14:paraId="1CD637DE">
      <w:pPr>
        <w:pStyle w:val="17"/>
        <w:spacing w:beforeAutospacing="0" w:afterAutospacing="0"/>
        <w:jc w:val="both"/>
        <w:rPr>
          <w:rFonts w:hint="eastAsia"/>
          <w:lang w:val="en-US" w:eastAsia="zh-CN"/>
        </w:rPr>
      </w:pPr>
    </w:p>
    <w:p w14:paraId="6D007904">
      <w:pPr>
        <w:pStyle w:val="17"/>
        <w:spacing w:beforeAutospacing="0" w:afterAutospacing="0"/>
        <w:jc w:val="both"/>
        <w:rPr>
          <w:rFonts w:hint="eastAsia"/>
          <w:lang w:val="en-US" w:eastAsia="zh-CN"/>
        </w:rPr>
      </w:pPr>
    </w:p>
    <w:p w14:paraId="7E04D202">
      <w:pPr>
        <w:pStyle w:val="17"/>
        <w:spacing w:beforeAutospacing="0" w:afterAutospacing="0"/>
        <w:jc w:val="both"/>
        <w:rPr>
          <w:rFonts w:hint="eastAsia"/>
          <w:lang w:val="en-US" w:eastAsia="zh-CN"/>
        </w:rPr>
      </w:pPr>
    </w:p>
    <w:p w14:paraId="4BFD3BC5">
      <w:pPr>
        <w:pStyle w:val="17"/>
        <w:spacing w:beforeAutospacing="0" w:afterAutospacing="0"/>
        <w:jc w:val="both"/>
        <w:rPr>
          <w:rFonts w:hint="eastAsia"/>
          <w:lang w:val="en-US" w:eastAsia="zh-CN"/>
        </w:rPr>
      </w:pPr>
    </w:p>
    <w:p w14:paraId="21F05EF9">
      <w:pPr>
        <w:pStyle w:val="17"/>
        <w:keepNext/>
        <w:spacing w:beforeAutospacing="0" w:afterAutospacing="0"/>
        <w:jc w:val="center"/>
        <w:rPr>
          <w:rFonts w:hint="eastAsia" w:ascii="宋体" w:hAnsi="宋体" w:eastAsia="宋体" w:cs="宋体"/>
          <w:color w:val="000000"/>
        </w:rPr>
      </w:pPr>
      <w:bookmarkStart w:id="172" w:name="_Hlt16619369"/>
      <w:r>
        <w:rPr>
          <w:rFonts w:hint="eastAsia" w:ascii="黑体" w:hAnsi="宋体" w:eastAsia="黑体"/>
          <w:bCs/>
          <w:color w:val="auto"/>
          <w:sz w:val="32"/>
          <w:szCs w:val="32"/>
          <w:highlight w:val="none"/>
          <w:lang w:val="en-US" w:eastAsia="zh-CN"/>
        </w:rPr>
        <w:t xml:space="preserve">第三章  </w:t>
      </w:r>
      <w:r>
        <w:rPr>
          <w:rFonts w:hint="eastAsia" w:ascii="黑体" w:hAnsi="宋体" w:eastAsia="黑体" w:cs="Times New Roman"/>
          <w:bCs/>
          <w:color w:val="auto"/>
          <w:sz w:val="32"/>
          <w:szCs w:val="32"/>
          <w:highlight w:val="none"/>
          <w:lang w:val="en-US" w:eastAsia="zh-CN"/>
        </w:rPr>
        <w:t>合同文本</w:t>
      </w:r>
      <w:bookmarkStart w:id="173" w:name="_Toc20823315"/>
      <w:bookmarkStart w:id="174" w:name="_Toc513029243"/>
      <w:bookmarkStart w:id="175" w:name="_Toc16938559"/>
    </w:p>
    <w:p w14:paraId="7A388986">
      <w:pPr>
        <w:pStyle w:val="17"/>
        <w:spacing w:beforeAutospacing="0" w:afterAutospacing="0" w:line="0" w:lineRule="atLeast"/>
        <w:ind w:firstLine="787"/>
        <w:jc w:val="both"/>
      </w:pPr>
      <w:r>
        <w:rPr>
          <w:rFonts w:hint="eastAsia" w:ascii="宋体" w:hAnsi="宋体" w:eastAsia="宋体" w:cs="宋体"/>
          <w:color w:val="000000"/>
        </w:rPr>
        <w:t>以下为中标后签定本项目合同的通用条款，中标人不得提出实质性的修改。</w:t>
      </w:r>
      <w:bookmarkEnd w:id="173"/>
      <w:bookmarkEnd w:id="174"/>
      <w:bookmarkEnd w:id="175"/>
    </w:p>
    <w:p w14:paraId="6212C659">
      <w:pPr>
        <w:pStyle w:val="17"/>
        <w:keepNext w:val="0"/>
        <w:keepLines w:val="0"/>
        <w:pageBreakBefore w:val="0"/>
        <w:widowControl w:val="0"/>
        <w:spacing w:beforeAutospacing="0" w:afterAutospacing="0" w:line="460" w:lineRule="exact"/>
        <w:ind w:firstLine="602"/>
        <w:jc w:val="both"/>
        <w:rPr>
          <w:rFonts w:hint="eastAsia" w:ascii="宋体" w:hAnsi="宋体" w:eastAsia="宋体" w:cs="宋体"/>
          <w:b/>
          <w:color w:val="000000"/>
          <w:sz w:val="30"/>
          <w:szCs w:val="30"/>
        </w:rPr>
      </w:pPr>
      <w:r>
        <w:rPr>
          <w:rFonts w:hint="eastAsia" w:ascii="宋体" w:hAnsi="宋体" w:eastAsia="宋体" w:cs="宋体"/>
          <w:b/>
          <w:color w:val="000000"/>
          <w:sz w:val="30"/>
          <w:szCs w:val="30"/>
        </w:rPr>
        <w:t>盐城市政府采购合同（服务）</w:t>
      </w:r>
    </w:p>
    <w:p w14:paraId="19853B4C">
      <w:pPr>
        <w:pStyle w:val="33"/>
        <w:keepNext w:val="0"/>
        <w:keepLines w:val="0"/>
        <w:pageBreakBefore w:val="0"/>
        <w:widowControl w:val="0"/>
        <w:spacing w:before="0" w:after="0" w:line="440" w:lineRule="exact"/>
        <w:ind w:firstLine="787"/>
        <w:rPr>
          <w:rFonts w:hint="eastAsia" w:ascii="Arial" w:hAnsi="宋体" w:eastAsia="宋体" w:cs="Times New Roman"/>
          <w:u w:val="single"/>
        </w:rPr>
      </w:pPr>
      <w:r>
        <w:rPr>
          <w:rFonts w:hAnsi="宋体"/>
          <w:sz w:val="24"/>
          <w:szCs w:val="24"/>
        </w:rPr>
        <w:t>项目名称：</w:t>
      </w:r>
      <w:r>
        <w:rPr>
          <w:rFonts w:hint="eastAsia" w:hAnsi="宋体" w:eastAsia="宋体" w:cs="Times New Roman"/>
          <w:u w:val="single"/>
          <w:lang w:val="en-US" w:eastAsia="zh-CN"/>
        </w:rPr>
        <w:t>阜宁县2026年度老旧小区及零散楼幢通信和广电网络改造服务项目</w:t>
      </w:r>
    </w:p>
    <w:p w14:paraId="05D6B0EB">
      <w:pPr>
        <w:pStyle w:val="33"/>
        <w:keepNext w:val="0"/>
        <w:keepLines w:val="0"/>
        <w:pageBreakBefore w:val="0"/>
        <w:widowControl w:val="0"/>
        <w:spacing w:before="0" w:after="0" w:line="440" w:lineRule="exact"/>
        <w:ind w:left="0" w:firstLine="480" w:firstLineChars="200"/>
        <w:rPr>
          <w:rFonts w:hAnsi="宋体"/>
          <w:color w:val="auto"/>
          <w:sz w:val="24"/>
          <w:szCs w:val="24"/>
          <w:u w:val="single"/>
        </w:rPr>
      </w:pPr>
      <w:r>
        <w:rPr>
          <w:rFonts w:hAnsi="宋体"/>
          <w:color w:val="auto"/>
          <w:sz w:val="24"/>
          <w:szCs w:val="24"/>
        </w:rPr>
        <w:t>项目编号：</w:t>
      </w:r>
      <w:r>
        <w:rPr>
          <w:rFonts w:hint="eastAsia" w:ascii="宋体" w:hAnsi="宋体"/>
          <w:color w:val="auto"/>
          <w:sz w:val="24"/>
          <w:szCs w:val="24"/>
          <w:u w:val="single"/>
          <w:lang w:eastAsia="zh-CN"/>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lang w:eastAsia="zh-CN"/>
        </w:rPr>
        <w:t xml:space="preserve">  </w:t>
      </w:r>
    </w:p>
    <w:p w14:paraId="07C8B1A9">
      <w:pPr>
        <w:pStyle w:val="17"/>
        <w:spacing w:before="120" w:beforeAutospacing="0" w:after="120" w:afterAutospacing="0"/>
        <w:ind w:firstLine="480" w:firstLineChars="200"/>
        <w:jc w:val="both"/>
        <w:rPr>
          <w:rFonts w:hint="default" w:ascii="宋体" w:hAnsi="宋体" w:eastAsia="宋体" w:cs="宋体"/>
          <w:color w:val="000000"/>
          <w:u w:val="single"/>
          <w:lang w:val="en-US" w:eastAsia="zh-CN"/>
        </w:rPr>
      </w:pPr>
      <w:r>
        <w:rPr>
          <w:rFonts w:hint="eastAsia" w:ascii="宋体" w:hAnsi="宋体" w:eastAsia="宋体" w:cs="宋体"/>
          <w:color w:val="000000"/>
        </w:rPr>
        <w:t>甲方：（买方）</w:t>
      </w:r>
      <w:r>
        <w:rPr>
          <w:rFonts w:hint="eastAsia" w:ascii="宋体" w:hAnsi="宋体" w:eastAsia="宋体" w:cs="宋体"/>
          <w:color w:val="000000"/>
          <w:u w:val="single"/>
          <w:lang w:val="en-US" w:eastAsia="zh-CN"/>
        </w:rPr>
        <w:t xml:space="preserve">                       </w:t>
      </w:r>
    </w:p>
    <w:p w14:paraId="60864FA3">
      <w:pPr>
        <w:pStyle w:val="17"/>
        <w:spacing w:before="120" w:beforeAutospacing="0" w:after="120" w:afterAutospacing="0"/>
        <w:ind w:firstLine="480" w:firstLineChars="200"/>
        <w:jc w:val="both"/>
        <w:rPr>
          <w:u w:val="single"/>
        </w:rPr>
      </w:pPr>
      <w:r>
        <w:rPr>
          <w:rFonts w:hint="eastAsia" w:ascii="宋体" w:hAnsi="宋体" w:eastAsia="宋体" w:cs="宋体"/>
          <w:color w:val="000000"/>
        </w:rPr>
        <w:t>乙方：（卖方）</w:t>
      </w:r>
      <w:r>
        <w:rPr>
          <w:rFonts w:hint="eastAsia" w:ascii="宋体" w:hAnsi="宋体" w:eastAsia="宋体" w:cs="宋体"/>
          <w:color w:val="000000"/>
          <w:u w:val="single"/>
          <w:lang w:val="en-US" w:eastAsia="zh-CN"/>
        </w:rPr>
        <w:t xml:space="preserve">                       </w:t>
      </w:r>
    </w:p>
    <w:p w14:paraId="18C730CB">
      <w:pPr>
        <w:pStyle w:val="17"/>
        <w:keepNext w:val="0"/>
        <w:keepLines w:val="0"/>
        <w:pageBreakBefore w:val="0"/>
        <w:widowControl w:val="0"/>
        <w:spacing w:before="120" w:beforeAutospacing="0" w:after="120" w:afterAutospacing="0" w:line="440" w:lineRule="exact"/>
        <w:jc w:val="both"/>
      </w:pPr>
      <w:r>
        <w:rPr>
          <w:rFonts w:hint="eastAsia" w:ascii="宋体" w:hAnsi="宋体" w:eastAsia="宋体" w:cs="宋体"/>
          <w:b/>
          <w:color w:val="000000"/>
        </w:rPr>
        <w:t xml:space="preserve">  </w:t>
      </w:r>
      <w:r>
        <w:rPr>
          <w:rFonts w:hint="eastAsia" w:hAnsi="宋体"/>
          <w:b/>
          <w:sz w:val="24"/>
          <w:szCs w:val="24"/>
          <w:lang w:val="en-US" w:eastAsia="zh-CN"/>
        </w:rPr>
        <w:t xml:space="preserve"> </w:t>
      </w:r>
      <w:r>
        <w:rPr>
          <w:rFonts w:hAnsi="宋体"/>
          <w:b/>
          <w:sz w:val="24"/>
          <w:szCs w:val="24"/>
        </w:rPr>
        <w:t xml:space="preserve"> </w:t>
      </w:r>
      <w:r>
        <w:rPr>
          <w:rFonts w:hAnsi="宋体"/>
          <w:sz w:val="24"/>
          <w:szCs w:val="24"/>
        </w:rPr>
        <w:t>甲、乙双方根据</w:t>
      </w:r>
      <w:r>
        <w:rPr>
          <w:rFonts w:hint="eastAsia" w:ascii="宋体" w:hAnsi="宋体" w:eastAsia="宋体" w:cs="宋体"/>
          <w:sz w:val="24"/>
          <w:szCs w:val="24"/>
          <w:u w:val="single"/>
          <w:lang w:val="en-US" w:eastAsia="zh-CN"/>
        </w:rPr>
        <w:t xml:space="preserve">                     </w:t>
      </w:r>
      <w:r>
        <w:rPr>
          <w:rFonts w:hAnsi="宋体"/>
          <w:sz w:val="24"/>
          <w:szCs w:val="24"/>
        </w:rPr>
        <w:t>项目公开招标的结果，签署本合同。</w:t>
      </w:r>
    </w:p>
    <w:p w14:paraId="352AB726">
      <w:pPr>
        <w:pStyle w:val="17"/>
        <w:spacing w:before="120" w:beforeAutospacing="0" w:after="120" w:afterAutospacing="0"/>
        <w:ind w:firstLine="482"/>
        <w:jc w:val="both"/>
      </w:pPr>
      <w:r>
        <w:rPr>
          <w:rFonts w:hint="eastAsia" w:ascii="宋体" w:hAnsi="宋体" w:eastAsia="宋体" w:cs="宋体"/>
          <w:b/>
          <w:color w:val="000000"/>
        </w:rPr>
        <w:t>一、合同内容</w:t>
      </w:r>
    </w:p>
    <w:p w14:paraId="05B2BF83">
      <w:pPr>
        <w:keepNext w:val="0"/>
        <w:keepLines w:val="0"/>
        <w:pageBreakBefore w:val="0"/>
        <w:widowControl/>
        <w:suppressLineNumbers w:val="0"/>
        <w:spacing w:line="440" w:lineRule="exact"/>
        <w:ind w:firstLine="480"/>
        <w:jc w:val="lef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1.1 标的名称：</w:t>
      </w:r>
      <w:r>
        <w:rPr>
          <w:rFonts w:hint="eastAsia" w:ascii="宋体" w:hAnsi="宋体" w:eastAsia="宋体" w:cs="Times New Roman"/>
          <w:color w:val="000000"/>
          <w:sz w:val="24"/>
          <w:szCs w:val="24"/>
          <w:lang w:val="en-US" w:eastAsia="zh-CN"/>
        </w:rPr>
        <w:t>阜宁县2026年度老旧小区及零散楼幢通信和广电网络改造服务项目</w:t>
      </w:r>
    </w:p>
    <w:p w14:paraId="3E550C41">
      <w:pPr>
        <w:keepNext w:val="0"/>
        <w:keepLines w:val="0"/>
        <w:pageBreakBefore w:val="0"/>
        <w:widowControl/>
        <w:suppressLineNumbers w:val="0"/>
        <w:spacing w:line="440" w:lineRule="exact"/>
        <w:ind w:firstLine="480"/>
        <w:jc w:val="lef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1.2 标的质量：质量要求符合国家现行质量验收规范合格标准。</w:t>
      </w:r>
    </w:p>
    <w:p w14:paraId="44094026">
      <w:pPr>
        <w:spacing w:line="480" w:lineRule="exact"/>
        <w:ind w:firstLine="36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1.3 标的数量（规模）：</w:t>
      </w:r>
      <w:r>
        <w:rPr>
          <w:rFonts w:hint="eastAsia" w:ascii="宋体" w:hAnsi="宋体" w:eastAsia="宋体" w:cs="宋体"/>
          <w:color w:val="auto"/>
          <w:sz w:val="24"/>
          <w:szCs w:val="24"/>
          <w:highlight w:val="none"/>
          <w:lang w:val="en-US" w:eastAsia="zh-CN"/>
        </w:rPr>
        <w:t>本次招标涉及老城区窑桥、新盛、林海三个社区零散楼栋通信广电管网进行改造以及与之相关的一切衍生服务等，面积约11.18万平方米</w:t>
      </w:r>
      <w:r>
        <w:rPr>
          <w:rFonts w:hint="eastAsia" w:eastAsia="宋体" w:asciiTheme="minorEastAsia" w:hAnsiTheme="minorEastAsia" w:cstheme="minorEastAsia"/>
          <w:color w:val="000000"/>
          <w:sz w:val="24"/>
          <w:szCs w:val="24"/>
          <w:lang w:eastAsia="zh-CN"/>
        </w:rPr>
        <w:t>。</w:t>
      </w:r>
    </w:p>
    <w:p w14:paraId="11C93AFD">
      <w:pPr>
        <w:keepNext w:val="0"/>
        <w:keepLines w:val="0"/>
        <w:pageBreakBefore w:val="0"/>
        <w:widowControl/>
        <w:suppressLineNumbers w:val="0"/>
        <w:spacing w:line="440" w:lineRule="exact"/>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1.4 履行时间（期限）：项目实施(作业)期限：合同签订后90日历天。</w:t>
      </w:r>
    </w:p>
    <w:p w14:paraId="3B86811C">
      <w:pPr>
        <w:keepNext w:val="0"/>
        <w:keepLines w:val="0"/>
        <w:pageBreakBefore w:val="0"/>
        <w:widowControl/>
        <w:suppressLineNumbers w:val="0"/>
        <w:spacing w:line="440" w:lineRule="exact"/>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1.5 履行地点：阜宁县</w:t>
      </w:r>
    </w:p>
    <w:p w14:paraId="72E83FD7">
      <w:pPr>
        <w:keepNext w:val="0"/>
        <w:keepLines w:val="0"/>
        <w:pageBreakBefore w:val="0"/>
        <w:widowControl/>
        <w:suppressLineNumbers w:val="0"/>
        <w:spacing w:line="440" w:lineRule="exact"/>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1.6履行方式：符合招标文件及国家相关法律法规相关要求。</w:t>
      </w:r>
    </w:p>
    <w:p w14:paraId="3471EAEC">
      <w:pPr>
        <w:pStyle w:val="17"/>
        <w:spacing w:before="120" w:beforeAutospacing="0" w:after="120" w:afterAutospacing="0"/>
        <w:ind w:firstLine="241"/>
        <w:jc w:val="both"/>
      </w:pPr>
      <w:r>
        <w:rPr>
          <w:rFonts w:hint="eastAsia" w:ascii="宋体" w:hAnsi="宋体" w:eastAsia="宋体" w:cs="宋体"/>
          <w:b/>
          <w:color w:val="000000"/>
        </w:rPr>
        <w:t>二、合同金额</w:t>
      </w:r>
    </w:p>
    <w:p w14:paraId="01402ED7">
      <w:pPr>
        <w:keepNext w:val="0"/>
        <w:keepLines w:val="0"/>
        <w:pageBreakBefore w:val="0"/>
        <w:widowControl/>
        <w:suppressLineNumbers w:val="0"/>
        <w:spacing w:line="440" w:lineRule="exact"/>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2.1本合同金额总价为（大写）：______________圆（____________元）人民币；单价为（大写）：______________圆（____________元）人民币。</w:t>
      </w:r>
    </w:p>
    <w:p w14:paraId="4F554CAC">
      <w:pPr>
        <w:keepNext w:val="0"/>
        <w:keepLines w:val="0"/>
        <w:pageBreakBefore w:val="0"/>
        <w:widowControl w:val="0"/>
        <w:spacing w:line="440" w:lineRule="exact"/>
        <w:ind w:firstLine="480"/>
        <w:rPr>
          <w:rFonts w:hint="eastAsia" w:ascii="宋体" w:hAnsi="宋体" w:eastAsia="宋体" w:cs="Times New Roman"/>
          <w:bCs/>
          <w:sz w:val="24"/>
          <w:lang w:eastAsia="zh-CN"/>
        </w:rPr>
      </w:pPr>
      <w:r>
        <w:rPr>
          <w:rFonts w:hint="eastAsia" w:ascii="宋体" w:hAnsi="宋体" w:eastAsia="宋体" w:cs="Times New Roman"/>
          <w:sz w:val="24"/>
          <w:lang w:val="en-US" w:eastAsia="zh-CN"/>
        </w:rPr>
        <w:t>2.2</w:t>
      </w:r>
      <w:r>
        <w:rPr>
          <w:rFonts w:hint="eastAsia" w:ascii="宋体" w:hAnsi="宋体"/>
          <w:sz w:val="24"/>
        </w:rPr>
        <w:t>上述金额是</w:t>
      </w:r>
      <w:r>
        <w:rPr>
          <w:sz w:val="24"/>
        </w:rPr>
        <w:t>乙方</w:t>
      </w:r>
      <w:r>
        <w:rPr>
          <w:rFonts w:hint="eastAsia" w:ascii="宋体" w:hAnsi="宋体"/>
          <w:sz w:val="24"/>
        </w:rPr>
        <w:t>对本次采购及其伴随服务各项支付金额的总和。</w:t>
      </w:r>
      <w:r>
        <w:rPr>
          <w:rFonts w:hint="eastAsia" w:ascii="宋体" w:hAnsi="宋体" w:eastAsia="宋体" w:cs="Times New Roman"/>
          <w:bCs/>
          <w:sz w:val="24"/>
          <w:lang w:eastAsia="zh-CN"/>
        </w:rPr>
        <w:t>以及投标人为完成上述内容所必须的技术支持以及劳务、产品供货（</w:t>
      </w:r>
      <w:r>
        <w:rPr>
          <w:rFonts w:hint="eastAsia" w:ascii="宋体" w:hAnsi="宋体" w:eastAsia="宋体" w:cs="Times New Roman"/>
          <w:color w:val="000000"/>
          <w:sz w:val="24"/>
          <w:szCs w:val="24"/>
          <w:lang w:val="en-US" w:eastAsia="zh-CN"/>
        </w:rPr>
        <w:t>包含与服务相关的所有货物</w:t>
      </w:r>
      <w:r>
        <w:rPr>
          <w:rFonts w:hint="eastAsia" w:ascii="宋体" w:hAnsi="宋体" w:eastAsia="宋体" w:cs="Times New Roman"/>
          <w:bCs/>
          <w:sz w:val="24"/>
          <w:lang w:eastAsia="zh-CN"/>
        </w:rPr>
        <w:t>）、机械设备投入、运输、安装及相应安装辅材、调试、检测、运输、维修、保险、电费、劳务、利润、税金、代理费、管理费、政策性文件规定的各项所需的全部费用、不可预见费及其它一切相关费用。</w:t>
      </w:r>
    </w:p>
    <w:p w14:paraId="1CCFA99E">
      <w:pPr>
        <w:keepNext w:val="0"/>
        <w:keepLines w:val="0"/>
        <w:pageBreakBefore w:val="0"/>
        <w:widowControl w:val="0"/>
        <w:spacing w:line="440" w:lineRule="exact"/>
        <w:ind w:left="-1" w:firstLine="480"/>
        <w:rPr>
          <w:rFonts w:hint="eastAsia" w:ascii="宋体" w:hAnsi="宋体"/>
          <w:sz w:val="24"/>
        </w:rPr>
      </w:pPr>
      <w:r>
        <w:rPr>
          <w:rFonts w:hint="eastAsia" w:ascii="宋体" w:hAnsi="宋体"/>
          <w:sz w:val="24"/>
          <w:lang w:val="en-US" w:eastAsia="zh-CN"/>
        </w:rPr>
        <w:t>2.3</w:t>
      </w:r>
      <w:r>
        <w:rPr>
          <w:rFonts w:hint="eastAsia" w:ascii="宋体" w:hAnsi="宋体"/>
          <w:sz w:val="24"/>
        </w:rPr>
        <w:t>乙</w:t>
      </w:r>
      <w:r>
        <w:rPr>
          <w:rFonts w:ascii="宋体" w:hAnsi="宋体"/>
          <w:sz w:val="24"/>
        </w:rPr>
        <w:t>方</w:t>
      </w:r>
      <w:r>
        <w:rPr>
          <w:rFonts w:hint="eastAsia" w:ascii="宋体" w:hAnsi="宋体"/>
          <w:sz w:val="24"/>
        </w:rPr>
        <w:t>在履行合同过程中</w:t>
      </w:r>
      <w:r>
        <w:rPr>
          <w:rFonts w:ascii="宋体" w:hAnsi="宋体"/>
          <w:sz w:val="24"/>
        </w:rPr>
        <w:t>,</w:t>
      </w:r>
      <w:r>
        <w:rPr>
          <w:rFonts w:hint="eastAsia" w:ascii="宋体" w:hAnsi="宋体"/>
          <w:sz w:val="24"/>
        </w:rPr>
        <w:t>所发生的全部生产、生活费用均由乙</w:t>
      </w:r>
      <w:r>
        <w:rPr>
          <w:rFonts w:ascii="宋体" w:hAnsi="宋体"/>
          <w:sz w:val="24"/>
        </w:rPr>
        <w:t>方</w:t>
      </w:r>
      <w:r>
        <w:rPr>
          <w:rFonts w:hint="eastAsia" w:ascii="宋体" w:hAnsi="宋体"/>
          <w:sz w:val="24"/>
        </w:rPr>
        <w:t>负责。</w:t>
      </w:r>
    </w:p>
    <w:p w14:paraId="5579BAEE">
      <w:pPr>
        <w:keepNext w:val="0"/>
        <w:keepLines w:val="0"/>
        <w:pageBreakBefore w:val="0"/>
        <w:widowControl w:val="0"/>
        <w:spacing w:line="440" w:lineRule="exact"/>
        <w:ind w:firstLine="480"/>
        <w:rPr>
          <w:rFonts w:hint="eastAsia" w:ascii="宋体" w:hAnsi="宋体"/>
          <w:sz w:val="24"/>
        </w:rPr>
      </w:pPr>
      <w:r>
        <w:rPr>
          <w:rFonts w:hint="eastAsia" w:ascii="宋体" w:hAnsi="宋体"/>
          <w:sz w:val="24"/>
          <w:lang w:val="en-US" w:eastAsia="zh-CN"/>
        </w:rPr>
        <w:t>2.4</w:t>
      </w:r>
      <w:r>
        <w:rPr>
          <w:rFonts w:hint="eastAsia" w:ascii="宋体" w:hAnsi="宋体"/>
          <w:sz w:val="24"/>
        </w:rPr>
        <w:t>交付使用前的一切费用由乙</w:t>
      </w:r>
      <w:r>
        <w:rPr>
          <w:rFonts w:ascii="宋体" w:hAnsi="宋体"/>
          <w:sz w:val="24"/>
        </w:rPr>
        <w:t>方</w:t>
      </w:r>
      <w:r>
        <w:rPr>
          <w:rFonts w:hint="eastAsia" w:ascii="宋体" w:hAnsi="宋体"/>
          <w:sz w:val="24"/>
        </w:rPr>
        <w:t>承担。</w:t>
      </w:r>
    </w:p>
    <w:p w14:paraId="3713254E">
      <w:pPr>
        <w:keepNext w:val="0"/>
        <w:keepLines w:val="0"/>
        <w:pageBreakBefore w:val="0"/>
        <w:widowControl w:val="0"/>
        <w:spacing w:line="440" w:lineRule="exact"/>
        <w:ind w:firstLine="480"/>
        <w:rPr>
          <w:rFonts w:hint="default" w:ascii="宋体" w:hAnsi="宋体" w:eastAsiaTheme="minorEastAsia"/>
          <w:color w:val="FF0000"/>
          <w:sz w:val="24"/>
          <w:lang w:val="en-US" w:eastAsia="zh-CN"/>
        </w:rPr>
      </w:pPr>
      <w:r>
        <w:rPr>
          <w:rFonts w:hint="eastAsia" w:ascii="宋体" w:hAnsi="宋体"/>
          <w:color w:val="FF0000"/>
          <w:sz w:val="24"/>
          <w:lang w:val="en-US" w:eastAsia="zh-CN"/>
        </w:rPr>
        <w:t>结算标准：小区建筑面积计算规则：自行车库不计算建筑面积，其他按国家建筑面积计算规则计算。</w:t>
      </w:r>
    </w:p>
    <w:p w14:paraId="74F24EB5">
      <w:pPr>
        <w:pStyle w:val="17"/>
        <w:keepNext w:val="0"/>
        <w:keepLines w:val="0"/>
        <w:pageBreakBefore w:val="0"/>
        <w:widowControl w:val="0"/>
        <w:spacing w:before="120" w:beforeAutospacing="0" w:afterAutospacing="0"/>
        <w:ind w:firstLine="482"/>
        <w:jc w:val="both"/>
      </w:pPr>
      <w:r>
        <w:rPr>
          <w:rFonts w:hint="eastAsia" w:ascii="宋体" w:hAnsi="宋体" w:eastAsia="宋体" w:cs="宋体"/>
          <w:b/>
          <w:color w:val="000000"/>
        </w:rPr>
        <w:t>三、技术资料</w:t>
      </w:r>
    </w:p>
    <w:p w14:paraId="5E21DA76">
      <w:pPr>
        <w:keepNext w:val="0"/>
        <w:keepLines w:val="0"/>
        <w:pageBreakBefore w:val="0"/>
        <w:widowControl/>
        <w:suppressLineNumbers w:val="0"/>
        <w:spacing w:line="440" w:lineRule="exact"/>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3.1乙方应按招标文件规定的时间向甲方提供服务（包含与服务相关的货物）的有关技术资料。</w:t>
      </w:r>
    </w:p>
    <w:p w14:paraId="31F8F5CB">
      <w:pPr>
        <w:keepNext w:val="0"/>
        <w:keepLines w:val="0"/>
        <w:pageBreakBefore w:val="0"/>
        <w:widowControl/>
        <w:suppressLineNumbers w:val="0"/>
        <w:spacing w:line="440" w:lineRule="exact"/>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388B759">
      <w:pPr>
        <w:pStyle w:val="17"/>
        <w:keepNext w:val="0"/>
        <w:keepLines w:val="0"/>
        <w:pageBreakBefore w:val="0"/>
        <w:widowControl w:val="0"/>
        <w:spacing w:before="157" w:beforeAutospacing="0" w:afterAutospacing="0"/>
        <w:ind w:left="426" w:firstLine="10"/>
        <w:jc w:val="both"/>
      </w:pPr>
      <w:r>
        <w:rPr>
          <w:rFonts w:hint="eastAsia" w:ascii="宋体" w:hAnsi="宋体" w:eastAsia="宋体" w:cs="宋体"/>
          <w:b/>
          <w:color w:val="000000"/>
        </w:rPr>
        <w:t>四、知识产权</w:t>
      </w:r>
    </w:p>
    <w:p w14:paraId="3BB2FD39">
      <w:pPr>
        <w:keepNext w:val="0"/>
        <w:keepLines w:val="0"/>
        <w:pageBreakBefore w:val="0"/>
        <w:widowControl/>
        <w:suppressLineNumbers w:val="0"/>
        <w:spacing w:line="440" w:lineRule="exact"/>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4.1乙方应保证甲方在使用、接受本合同服务（包含与服务相关的货物）或其任何一部分时不受第三方提出侵犯其专利权、版权、商标权和工业设计权等知识产权的起诉。一旦出现侵权，由乙方负全部责任。</w:t>
      </w:r>
    </w:p>
    <w:p w14:paraId="603ADD80">
      <w:pPr>
        <w:keepNext w:val="0"/>
        <w:keepLines w:val="0"/>
        <w:pageBreakBefore w:val="0"/>
        <w:widowControl/>
        <w:suppressLineNumbers w:val="0"/>
        <w:spacing w:line="440" w:lineRule="exact"/>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4.2采购项目涉及采购标的知识产权归采购人所有。</w:t>
      </w:r>
    </w:p>
    <w:p w14:paraId="64CB0567">
      <w:pPr>
        <w:pStyle w:val="17"/>
        <w:keepNext w:val="0"/>
        <w:keepLines w:val="0"/>
        <w:pageBreakBefore w:val="0"/>
        <w:widowControl w:val="0"/>
        <w:spacing w:before="120" w:beforeAutospacing="0" w:afterAutospacing="0"/>
        <w:ind w:firstLine="482"/>
        <w:jc w:val="both"/>
      </w:pPr>
      <w:r>
        <w:rPr>
          <w:rFonts w:hint="eastAsia" w:ascii="宋体" w:hAnsi="宋体" w:eastAsia="宋体" w:cs="宋体"/>
          <w:b/>
          <w:color w:val="000000"/>
        </w:rPr>
        <w:t>五、产权担保</w:t>
      </w:r>
    </w:p>
    <w:p w14:paraId="4E5762B8">
      <w:pPr>
        <w:keepNext w:val="0"/>
        <w:keepLines w:val="0"/>
        <w:pageBreakBefore w:val="0"/>
        <w:widowControl/>
        <w:suppressLineNumbers w:val="0"/>
        <w:spacing w:line="440" w:lineRule="exact"/>
        <w:ind w:firstLine="480"/>
        <w:jc w:val="lef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5.1乙方保证所交付的服务（包含与服务相关的货物）的所有权完全属于乙方且无任何抵押、查封等产权瑕疵。</w:t>
      </w:r>
    </w:p>
    <w:p w14:paraId="42F298FB">
      <w:pPr>
        <w:pStyle w:val="17"/>
        <w:keepNext w:val="0"/>
        <w:keepLines w:val="0"/>
        <w:pageBreakBefore w:val="0"/>
        <w:widowControl w:val="0"/>
        <w:spacing w:before="157" w:beforeAutospacing="0" w:afterAutospacing="0"/>
        <w:ind w:left="426" w:firstLine="12"/>
        <w:jc w:val="both"/>
      </w:pPr>
      <w:r>
        <w:rPr>
          <w:rFonts w:hint="eastAsia" w:ascii="宋体" w:hAnsi="宋体" w:eastAsia="宋体" w:cs="宋体"/>
          <w:b/>
          <w:color w:val="000000"/>
        </w:rPr>
        <w:t>六、履约保证金</w:t>
      </w:r>
    </w:p>
    <w:p w14:paraId="41F0A494">
      <w:pPr>
        <w:pStyle w:val="17"/>
        <w:keepNext w:val="0"/>
        <w:keepLines w:val="0"/>
        <w:pageBreakBefore w:val="0"/>
        <w:widowControl w:val="0"/>
        <w:spacing w:beforeAutospacing="0" w:afterAutospacing="0" w:line="440" w:lineRule="exact"/>
        <w:ind w:firstLine="48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6.1</w:t>
      </w:r>
      <w:r>
        <w:rPr>
          <w:rFonts w:hint="eastAsia" w:ascii="宋体" w:hAnsi="宋体"/>
          <w:color w:val="auto"/>
          <w:sz w:val="24"/>
        </w:rPr>
        <w:t>本项目</w:t>
      </w:r>
      <w:r>
        <w:rPr>
          <w:rFonts w:hint="eastAsia" w:ascii="宋体" w:hAnsi="宋体"/>
          <w:color w:val="auto"/>
          <w:sz w:val="24"/>
          <w:lang w:eastAsia="zh-CN"/>
        </w:rPr>
        <w:t>无需缴纳</w:t>
      </w:r>
      <w:r>
        <w:rPr>
          <w:rFonts w:hint="eastAsia" w:ascii="宋体" w:hAnsi="宋体"/>
          <w:color w:val="auto"/>
          <w:sz w:val="24"/>
        </w:rPr>
        <w:t>履约保证金</w:t>
      </w:r>
      <w:r>
        <w:rPr>
          <w:rFonts w:hint="eastAsia" w:ascii="宋体" w:hAnsi="宋体" w:eastAsia="宋体" w:cs="Times New Roman"/>
          <w:color w:val="auto"/>
          <w:sz w:val="24"/>
          <w:lang w:eastAsia="zh-CN"/>
        </w:rPr>
        <w:t>。</w:t>
      </w:r>
    </w:p>
    <w:p w14:paraId="18D40075">
      <w:pPr>
        <w:pStyle w:val="17"/>
        <w:spacing w:before="145" w:beforeAutospacing="0" w:after="145" w:afterAutospacing="0"/>
        <w:ind w:firstLine="482"/>
        <w:jc w:val="both"/>
      </w:pPr>
      <w:bookmarkStart w:id="203" w:name="_GoBack"/>
      <w:bookmarkEnd w:id="203"/>
      <w:r>
        <w:rPr>
          <w:rFonts w:hint="eastAsia" w:ascii="宋体" w:hAnsi="宋体" w:eastAsia="宋体" w:cs="宋体"/>
          <w:b/>
          <w:color w:val="000000"/>
        </w:rPr>
        <w:t>七、合同转包或分包</w:t>
      </w:r>
    </w:p>
    <w:p w14:paraId="342896A2">
      <w:pPr>
        <w:pStyle w:val="17"/>
        <w:spacing w:before="145" w:beforeAutospacing="0" w:after="145" w:afterAutospacing="0"/>
        <w:ind w:firstLine="480"/>
        <w:jc w:val="both"/>
      </w:pPr>
      <w:r>
        <w:rPr>
          <w:rFonts w:hint="eastAsia" w:ascii="宋体" w:hAnsi="宋体" w:eastAsia="宋体" w:cs="宋体"/>
          <w:color w:val="000000"/>
        </w:rPr>
        <w:t>7.1乙方不得将合同标的转包给他人履行。</w:t>
      </w:r>
    </w:p>
    <w:p w14:paraId="3698AF86">
      <w:pPr>
        <w:pStyle w:val="17"/>
        <w:spacing w:before="145" w:beforeAutospacing="0" w:after="145" w:afterAutospacing="0"/>
        <w:ind w:firstLine="480"/>
        <w:jc w:val="both"/>
      </w:pPr>
      <w:r>
        <w:rPr>
          <w:rFonts w:hint="eastAsia" w:ascii="宋体" w:hAnsi="宋体" w:eastAsia="宋体" w:cs="宋体"/>
          <w:color w:val="000000"/>
        </w:rPr>
        <w:t>7.2乙方不得将合同标的分包给他人履行。</w:t>
      </w:r>
    </w:p>
    <w:p w14:paraId="2E2618C4">
      <w:pPr>
        <w:pStyle w:val="17"/>
        <w:spacing w:before="145" w:beforeAutospacing="0" w:after="145" w:afterAutospacing="0"/>
        <w:ind w:firstLine="480"/>
        <w:jc w:val="both"/>
      </w:pPr>
      <w:r>
        <w:rPr>
          <w:rFonts w:hint="eastAsia" w:ascii="宋体" w:hAnsi="宋体" w:eastAsia="宋体" w:cs="宋体"/>
          <w:color w:val="000000"/>
        </w:rPr>
        <w:t>7.3乙方如有转包或未经甲方同意的分包行为，甲方有权解除合同。</w:t>
      </w:r>
    </w:p>
    <w:p w14:paraId="4CB07D02">
      <w:pPr>
        <w:pStyle w:val="17"/>
        <w:keepNext w:val="0"/>
        <w:keepLines w:val="0"/>
        <w:pageBreakBefore w:val="0"/>
        <w:widowControl w:val="0"/>
        <w:spacing w:before="120" w:beforeAutospacing="0" w:afterAutospacing="0"/>
        <w:ind w:firstLine="482"/>
        <w:jc w:val="both"/>
      </w:pPr>
      <w:r>
        <w:rPr>
          <w:rFonts w:hint="eastAsia" w:ascii="宋体" w:hAnsi="宋体" w:eastAsia="宋体" w:cs="宋体"/>
          <w:b/>
          <w:color w:val="000000"/>
        </w:rPr>
        <w:t>八、合同款项支付</w:t>
      </w:r>
    </w:p>
    <w:p w14:paraId="594B0F83">
      <w:pPr>
        <w:keepNext w:val="0"/>
        <w:keepLines w:val="0"/>
        <w:pageBreakBefore w:val="0"/>
        <w:widowControl w:val="0"/>
        <w:spacing w:line="440" w:lineRule="exact"/>
        <w:ind w:firstLine="480"/>
        <w:rPr>
          <w:rFonts w:hint="eastAsia" w:ascii="宋体" w:hAnsi="宋体" w:eastAsia="宋体" w:cs="Times New Roman"/>
          <w:b/>
          <w:bCs/>
          <w:color w:val="auto"/>
          <w:sz w:val="24"/>
          <w:szCs w:val="24"/>
          <w:highlight w:val="none"/>
          <w:lang w:eastAsia="zh-CN"/>
        </w:rPr>
      </w:pPr>
      <w:r>
        <w:rPr>
          <w:rFonts w:hint="eastAsia" w:asciiTheme="minorEastAsia" w:hAnsiTheme="minorEastAsia" w:eastAsiaTheme="minorEastAsia" w:cstheme="minorEastAsia"/>
          <w:color w:val="auto"/>
          <w:sz w:val="24"/>
          <w:highlight w:val="none"/>
        </w:rPr>
        <w:t>8.1合同款项的支付方式及进度安排</w:t>
      </w:r>
    </w:p>
    <w:p w14:paraId="47C9965D">
      <w:pPr>
        <w:keepNext w:val="0"/>
        <w:keepLines w:val="0"/>
        <w:pageBreakBefore w:val="0"/>
        <w:widowControl w:val="0"/>
        <w:numPr>
          <w:ilvl w:val="0"/>
          <w:numId w:val="0"/>
        </w:numPr>
        <w:spacing w:line="440" w:lineRule="exact"/>
        <w:ind w:firstLine="480"/>
        <w:rPr>
          <w:rFonts w:hint="eastAsia" w:ascii="宋体" w:hAnsi="宋体" w:eastAsia="宋体" w:cs="Times New Roman"/>
          <w:b/>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
          <w:bCs/>
          <w:color w:val="FF0000"/>
          <w:sz w:val="24"/>
          <w:szCs w:val="24"/>
          <w:highlight w:val="none"/>
          <w:lang w:eastAsia="zh-CN"/>
        </w:rPr>
        <w:t>合同签订后十日内付预付款至合同价的30%;工程结束并经验收合格后半年内付至工程总价款的80%;余款在二审结束后按审定价结清</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w:t>
      </w:r>
    </w:p>
    <w:p w14:paraId="015A0D2C">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lang w:val="en-US" w:eastAsia="zh-CN"/>
        </w:rPr>
        <w:t>注：①在签订合同时，中标人明确表示无需预付款或者主动要求降低预付款比例的，采购人可不适用前述预付款规定。②</w:t>
      </w:r>
      <w:r>
        <w:rPr>
          <w:rFonts w:hint="eastAsia" w:asciiTheme="minorEastAsia" w:hAnsiTheme="minorEastAsia" w:eastAsiaTheme="minorEastAsia" w:cstheme="minorEastAsia"/>
          <w:sz w:val="24"/>
          <w:szCs w:val="24"/>
        </w:rPr>
        <w:t>以上付款均无息。</w:t>
      </w:r>
    </w:p>
    <w:p w14:paraId="615AA17C">
      <w:pPr>
        <w:pStyle w:val="17"/>
        <w:keepNext w:val="0"/>
        <w:keepLines w:val="0"/>
        <w:pageBreakBefore w:val="0"/>
        <w:widowControl w:val="0"/>
        <w:spacing w:before="145" w:beforeAutospacing="0" w:afterAutospacing="0"/>
        <w:ind w:firstLine="482"/>
        <w:jc w:val="both"/>
      </w:pPr>
      <w:r>
        <w:rPr>
          <w:rFonts w:hint="eastAsia" w:ascii="宋体" w:hAnsi="宋体" w:eastAsia="宋体" w:cs="宋体"/>
          <w:b/>
          <w:color w:val="000000"/>
        </w:rPr>
        <w:t>九、税费</w:t>
      </w:r>
    </w:p>
    <w:p w14:paraId="3A927FB1">
      <w:pPr>
        <w:keepNext w:val="0"/>
        <w:keepLines w:val="0"/>
        <w:pageBreakBefore w:val="0"/>
        <w:widowControl w:val="0"/>
        <w:spacing w:line="440" w:lineRule="exact"/>
        <w:ind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9.1本合同执行中相关的一切税费均由乙方负担。</w:t>
      </w:r>
    </w:p>
    <w:p w14:paraId="417F33C9">
      <w:pPr>
        <w:pStyle w:val="17"/>
        <w:spacing w:before="120" w:beforeAutospacing="0" w:after="120" w:afterAutospacing="0"/>
        <w:ind w:firstLine="482"/>
        <w:jc w:val="both"/>
      </w:pPr>
      <w:r>
        <w:rPr>
          <w:rFonts w:hint="eastAsia" w:ascii="宋体" w:hAnsi="宋体" w:eastAsia="宋体" w:cs="宋体"/>
          <w:b/>
          <w:color w:val="000000"/>
        </w:rPr>
        <w:t>十、项目验收</w:t>
      </w:r>
    </w:p>
    <w:p w14:paraId="0E446B87">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10.1甲方依法组织履约验收工作。</w:t>
      </w:r>
    </w:p>
    <w:p w14:paraId="0F9A49D9">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ADBFDEF">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10.3对于实际使用人和甲方分离的项目，甲方邀请实际使用人参与验收。</w:t>
      </w:r>
    </w:p>
    <w:p w14:paraId="45B893D1">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10.4如有必要，甲方邀请参加本项目的其他供应商或第三方专业机构及专家参与验收，相关意见将作为验收书的参考资料。</w:t>
      </w:r>
    </w:p>
    <w:p w14:paraId="73899F7B">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6787F33">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27248B2">
      <w:pPr>
        <w:pStyle w:val="17"/>
        <w:keepNext w:val="0"/>
        <w:keepLines w:val="0"/>
        <w:pageBreakBefore w:val="0"/>
        <w:widowControl w:val="0"/>
        <w:spacing w:before="145" w:beforeAutospacing="0" w:afterAutospacing="0"/>
        <w:ind w:firstLine="482"/>
        <w:jc w:val="both"/>
        <w:rPr>
          <w:rFonts w:hint="eastAsia" w:ascii="宋体" w:hAnsi="宋体" w:eastAsia="宋体" w:cs="宋体"/>
          <w:b/>
          <w:color w:val="000000"/>
          <w:highlight w:val="none"/>
        </w:rPr>
      </w:pPr>
      <w:r>
        <w:rPr>
          <w:rFonts w:hint="eastAsia" w:ascii="宋体" w:hAnsi="宋体" w:eastAsia="宋体" w:cs="宋体"/>
          <w:b/>
          <w:color w:val="000000"/>
          <w:highlight w:val="none"/>
        </w:rPr>
        <w:t>十一、违约责任</w:t>
      </w:r>
    </w:p>
    <w:p w14:paraId="139B16A5">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11.1甲方无正当理由拒绝接受乙方提供服务的，甲方向乙方偿付拒绝接受服务合同价款总值</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lang w:val="en-US" w:eastAsia="zh-CN"/>
        </w:rPr>
        <w:t>的违约金。</w:t>
      </w:r>
    </w:p>
    <w:p w14:paraId="489B4F14">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11.2甲方无故逾期验收和办理合同款项支付手续的,甲方应按逾期付款总额</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lang w:val="en-US" w:eastAsia="zh-CN"/>
        </w:rPr>
        <w:t>每日向乙方支付违约金。</w:t>
      </w:r>
    </w:p>
    <w:p w14:paraId="498BB6ED">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lang w:val="en-US" w:eastAsia="zh-CN"/>
        </w:rPr>
        <w:t xml:space="preserve">的违约金，如造成甲方损失超过违约金的，超出部分由乙方继续承担赔偿责任。 </w:t>
      </w:r>
    </w:p>
    <w:p w14:paraId="03667DEC">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11.4乙方所提供服务的标准不符合合同规定及招标文件规定标准的，甲方有权拒绝接受服务，并可单方面解除合同。</w:t>
      </w:r>
    </w:p>
    <w:p w14:paraId="126397F0">
      <w:pPr>
        <w:spacing w:before="120" w:after="120"/>
        <w:ind w:firstLine="241"/>
        <w:rPr>
          <w:rFonts w:hint="default" w:ascii="宋体" w:hAnsi="宋体" w:eastAsia="宋体" w:cs="Courier New"/>
          <w:b/>
          <w:color w:val="000000"/>
          <w:sz w:val="24"/>
          <w:szCs w:val="24"/>
          <w:lang w:val="en-US" w:eastAsia="zh-CN"/>
        </w:rPr>
      </w:pPr>
      <w:r>
        <w:rPr>
          <w:rFonts w:hint="eastAsia" w:ascii="宋体" w:hAnsi="宋体" w:cs="Courier New"/>
          <w:b/>
          <w:color w:val="000000"/>
          <w:sz w:val="24"/>
          <w:szCs w:val="24"/>
          <w:lang w:val="en-US" w:eastAsia="zh-CN"/>
        </w:rPr>
        <w:t>十二、现场实施</w:t>
      </w:r>
    </w:p>
    <w:p w14:paraId="00608B7D">
      <w:pPr>
        <w:keepNext w:val="0"/>
        <w:keepLines w:val="0"/>
        <w:pageBreakBefore w:val="0"/>
        <w:widowControl w:val="0"/>
        <w:spacing w:line="420" w:lineRule="exact"/>
        <w:ind w:firstLine="480"/>
        <w:rPr>
          <w:rFonts w:hint="eastAsia" w:ascii="宋体" w:hAnsi="宋体"/>
          <w:sz w:val="24"/>
        </w:rPr>
      </w:pPr>
      <w:r>
        <w:rPr>
          <w:rFonts w:hint="eastAsia" w:ascii="宋体" w:hAnsi="宋体"/>
          <w:sz w:val="24"/>
          <w:lang w:val="en-US" w:eastAsia="zh-CN"/>
        </w:rPr>
        <w:t>12.</w:t>
      </w:r>
      <w:r>
        <w:rPr>
          <w:rFonts w:hint="eastAsia" w:ascii="宋体" w:hAnsi="宋体"/>
          <w:sz w:val="24"/>
        </w:rPr>
        <w:t>1乙方应在签订合同后</w:t>
      </w:r>
      <w:r>
        <w:rPr>
          <w:rFonts w:hint="eastAsia" w:ascii="宋体" w:hAnsi="宋体"/>
          <w:sz w:val="24"/>
          <w:lang w:eastAsia="zh-CN"/>
        </w:rPr>
        <w:t>按照招标文件要求和投标文件承诺派驻项目实施人员进场</w:t>
      </w:r>
      <w:r>
        <w:rPr>
          <w:rFonts w:hint="eastAsia" w:ascii="宋体" w:hAnsi="宋体"/>
          <w:sz w:val="24"/>
        </w:rPr>
        <w:t>。</w:t>
      </w:r>
    </w:p>
    <w:p w14:paraId="65D1DE3A">
      <w:pPr>
        <w:keepNext w:val="0"/>
        <w:keepLines w:val="0"/>
        <w:pageBreakBefore w:val="0"/>
        <w:widowControl w:val="0"/>
        <w:spacing w:line="420" w:lineRule="exact"/>
        <w:ind w:firstLine="480"/>
        <w:rPr>
          <w:rFonts w:hint="eastAsia" w:ascii="宋体" w:hAnsi="宋体"/>
          <w:sz w:val="24"/>
        </w:rPr>
      </w:pPr>
      <w:r>
        <w:rPr>
          <w:rFonts w:hint="eastAsia" w:ascii="宋体" w:hAnsi="宋体"/>
          <w:sz w:val="24"/>
          <w:lang w:val="en-US" w:eastAsia="zh-CN"/>
        </w:rPr>
        <w:t>12.2</w:t>
      </w:r>
      <w:r>
        <w:rPr>
          <w:rFonts w:hint="eastAsia" w:ascii="宋体" w:hAnsi="宋体"/>
          <w:sz w:val="24"/>
        </w:rPr>
        <w:t>应按照相关规范</w:t>
      </w:r>
      <w:r>
        <w:rPr>
          <w:rFonts w:hint="eastAsia" w:ascii="宋体" w:hAnsi="宋体"/>
          <w:sz w:val="24"/>
          <w:lang w:eastAsia="zh-CN"/>
        </w:rPr>
        <w:t>及招标文件</w:t>
      </w:r>
      <w:r>
        <w:rPr>
          <w:rFonts w:hint="eastAsia" w:ascii="宋体" w:hAnsi="宋体"/>
          <w:sz w:val="24"/>
        </w:rPr>
        <w:t>要求进行</w:t>
      </w:r>
      <w:r>
        <w:rPr>
          <w:rFonts w:hint="eastAsia" w:ascii="宋体" w:hAnsi="宋体"/>
          <w:sz w:val="24"/>
          <w:lang w:eastAsia="zh-CN"/>
        </w:rPr>
        <w:t>实施</w:t>
      </w:r>
      <w:r>
        <w:rPr>
          <w:rFonts w:hint="eastAsia" w:ascii="宋体" w:hAnsi="宋体"/>
          <w:sz w:val="24"/>
        </w:rPr>
        <w:t>。</w:t>
      </w:r>
    </w:p>
    <w:p w14:paraId="5BC252C9">
      <w:pPr>
        <w:keepNext w:val="0"/>
        <w:keepLines w:val="0"/>
        <w:pageBreakBefore w:val="0"/>
        <w:widowControl w:val="0"/>
        <w:spacing w:line="420" w:lineRule="exact"/>
        <w:ind w:firstLine="480"/>
        <w:rPr>
          <w:rFonts w:hint="eastAsia" w:ascii="宋体" w:hAnsi="宋体" w:cs="宋体"/>
          <w:sz w:val="24"/>
          <w:szCs w:val="24"/>
        </w:rPr>
      </w:pPr>
      <w:r>
        <w:rPr>
          <w:rFonts w:hint="eastAsia" w:ascii="宋体" w:hAnsi="宋体" w:cs="宋体"/>
          <w:sz w:val="24"/>
          <w:szCs w:val="24"/>
          <w:lang w:val="en-US" w:eastAsia="zh-CN"/>
        </w:rPr>
        <w:t>12.3</w:t>
      </w:r>
      <w:r>
        <w:rPr>
          <w:rFonts w:hint="eastAsia" w:ascii="宋体" w:hAnsi="宋体" w:cs="宋体"/>
          <w:sz w:val="24"/>
          <w:szCs w:val="24"/>
          <w:lang w:val="zh-CN"/>
        </w:rPr>
        <w:t>乙方在从事现场服务工作中应当做到文明工作、安全生产，采取必要的安全防范措施，合同期内</w:t>
      </w:r>
      <w:r>
        <w:rPr>
          <w:rFonts w:hint="eastAsia" w:ascii="宋体" w:hAnsi="宋体" w:cs="宋体"/>
          <w:sz w:val="24"/>
          <w:szCs w:val="24"/>
        </w:rPr>
        <w:t>，乙方工作人员发生的一切安全问题包括由于乙方提供的服务导致的安全事故的责任，均由乙方自行负责</w:t>
      </w:r>
      <w:r>
        <w:rPr>
          <w:rFonts w:hint="eastAsia" w:ascii="宋体" w:hAnsi="宋体" w:cs="宋体"/>
          <w:sz w:val="24"/>
          <w:szCs w:val="24"/>
          <w:lang w:val="zh-CN"/>
        </w:rPr>
        <w:t>，与甲方无关。</w:t>
      </w:r>
    </w:p>
    <w:p w14:paraId="3BA7D14A">
      <w:pPr>
        <w:keepNext w:val="0"/>
        <w:keepLines w:val="0"/>
        <w:pageBreakBefore w:val="0"/>
        <w:widowControl w:val="0"/>
        <w:spacing w:line="420" w:lineRule="exact"/>
        <w:ind w:firstLine="480"/>
        <w:rPr>
          <w:rFonts w:hint="eastAsia" w:ascii="宋体" w:hAnsi="宋体" w:cs="宋体"/>
          <w:sz w:val="24"/>
          <w:szCs w:val="24"/>
        </w:rPr>
      </w:pPr>
      <w:r>
        <w:rPr>
          <w:rFonts w:hint="eastAsia" w:ascii="宋体" w:hAnsi="宋体" w:cs="宋体"/>
          <w:sz w:val="24"/>
          <w:szCs w:val="24"/>
          <w:lang w:val="en-US" w:eastAsia="zh-CN"/>
        </w:rPr>
        <w:t>12.4</w:t>
      </w:r>
      <w:r>
        <w:rPr>
          <w:rFonts w:hint="eastAsia" w:ascii="宋体" w:hAnsi="宋体" w:cs="宋体"/>
          <w:sz w:val="24"/>
          <w:szCs w:val="24"/>
          <w:lang w:val="zh-CN"/>
        </w:rPr>
        <w:t>乙方应及时调整不适应工作需求的管理人员及其员工。如甲方认为该员工不能胜任本职工作的，必须调整。</w:t>
      </w:r>
    </w:p>
    <w:p w14:paraId="33914F75">
      <w:pPr>
        <w:pStyle w:val="17"/>
        <w:keepNext w:val="0"/>
        <w:keepLines w:val="0"/>
        <w:pageBreakBefore w:val="0"/>
        <w:widowControl w:val="0"/>
        <w:spacing w:before="120" w:beforeAutospacing="0" w:afterAutospacing="0"/>
        <w:ind w:firstLine="482"/>
        <w:jc w:val="both"/>
      </w:pPr>
      <w:r>
        <w:rPr>
          <w:rFonts w:hint="eastAsia" w:ascii="宋体" w:hAnsi="宋体" w:eastAsia="宋体" w:cs="宋体"/>
          <w:b/>
          <w:color w:val="000000"/>
        </w:rPr>
        <w:t>十</w:t>
      </w:r>
      <w:r>
        <w:rPr>
          <w:rFonts w:hint="eastAsia" w:ascii="宋体" w:hAnsi="宋体" w:eastAsia="宋体" w:cs="宋体"/>
          <w:b/>
          <w:color w:val="000000"/>
          <w:lang w:eastAsia="zh-CN"/>
        </w:rPr>
        <w:t>三</w:t>
      </w:r>
      <w:r>
        <w:rPr>
          <w:rFonts w:hint="eastAsia" w:ascii="宋体" w:hAnsi="宋体" w:eastAsia="宋体" w:cs="宋体"/>
          <w:b/>
          <w:color w:val="000000"/>
        </w:rPr>
        <w:t>、不可抗力事件处理</w:t>
      </w:r>
    </w:p>
    <w:p w14:paraId="601E42D4">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cstheme="minorEastAsia"/>
          <w:color w:val="auto"/>
          <w:sz w:val="24"/>
          <w:lang w:val="en-US" w:eastAsia="zh-CN"/>
        </w:rPr>
        <w:t>13</w:t>
      </w:r>
      <w:r>
        <w:rPr>
          <w:rFonts w:hint="eastAsia" w:asciiTheme="minorEastAsia" w:hAnsiTheme="minorEastAsia" w:eastAsiaTheme="minorEastAsia" w:cstheme="minorEastAsia"/>
          <w:color w:val="auto"/>
          <w:sz w:val="24"/>
          <w:lang w:val="en-US" w:eastAsia="zh-CN"/>
        </w:rPr>
        <w:t>.1在合同有效期内，任何一方因不可抗力事件导致不能履行合同，则合同履行期可延长，其延长期与不可抗力影响期相同。</w:t>
      </w:r>
    </w:p>
    <w:p w14:paraId="20737117">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cstheme="minorEastAsia"/>
          <w:color w:val="auto"/>
          <w:sz w:val="24"/>
          <w:lang w:val="en-US" w:eastAsia="zh-CN"/>
        </w:rPr>
        <w:t>13</w:t>
      </w:r>
      <w:r>
        <w:rPr>
          <w:rFonts w:hint="eastAsia" w:asciiTheme="minorEastAsia" w:hAnsiTheme="minorEastAsia" w:eastAsiaTheme="minorEastAsia" w:cstheme="minorEastAsia"/>
          <w:color w:val="auto"/>
          <w:sz w:val="24"/>
          <w:lang w:val="en-US" w:eastAsia="zh-CN"/>
        </w:rPr>
        <w:t>.2不可抗力事件发生后，应立即通知对方，并寄送有关权威机构出具的证明。</w:t>
      </w:r>
    </w:p>
    <w:p w14:paraId="493727A3">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cstheme="minorEastAsia"/>
          <w:color w:val="auto"/>
          <w:sz w:val="24"/>
          <w:lang w:val="en-US" w:eastAsia="zh-CN"/>
        </w:rPr>
        <w:t>13</w:t>
      </w:r>
      <w:r>
        <w:rPr>
          <w:rFonts w:hint="eastAsia" w:asciiTheme="minorEastAsia" w:hAnsiTheme="minorEastAsia" w:eastAsiaTheme="minorEastAsia" w:cstheme="minorEastAsia"/>
          <w:color w:val="auto"/>
          <w:sz w:val="24"/>
          <w:lang w:val="en-US" w:eastAsia="zh-CN"/>
        </w:rPr>
        <w:t>.3不可抗力事件延续120天以上，双方应通过友好协商，确定是否继续履行合同。</w:t>
      </w:r>
    </w:p>
    <w:p w14:paraId="4610608C">
      <w:pPr>
        <w:pStyle w:val="17"/>
        <w:spacing w:before="120" w:beforeAutospacing="0" w:after="120" w:afterAutospacing="0"/>
        <w:ind w:firstLine="482"/>
        <w:jc w:val="both"/>
        <w:rPr>
          <w:rFonts w:hint="eastAsia" w:ascii="宋体" w:hAnsi="宋体" w:eastAsia="宋体" w:cs="宋体"/>
          <w:b/>
          <w:color w:val="000000"/>
        </w:rPr>
      </w:pPr>
      <w:r>
        <w:rPr>
          <w:rFonts w:hint="eastAsia" w:ascii="宋体" w:hAnsi="宋体" w:eastAsia="宋体" w:cs="宋体"/>
          <w:b/>
          <w:color w:val="000000"/>
        </w:rPr>
        <w:t>十</w:t>
      </w:r>
      <w:r>
        <w:rPr>
          <w:rFonts w:hint="eastAsia" w:ascii="宋体" w:hAnsi="宋体" w:eastAsia="宋体" w:cs="宋体"/>
          <w:b/>
          <w:color w:val="000000"/>
          <w:lang w:eastAsia="zh-CN"/>
        </w:rPr>
        <w:t>四</w:t>
      </w:r>
      <w:r>
        <w:rPr>
          <w:rFonts w:hint="eastAsia" w:ascii="宋体" w:hAnsi="宋体" w:eastAsia="宋体" w:cs="宋体"/>
          <w:b/>
          <w:color w:val="000000"/>
        </w:rPr>
        <w:t>、解决争议的方法</w:t>
      </w:r>
    </w:p>
    <w:p w14:paraId="3A0D25AA">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cstheme="minorEastAsia"/>
          <w:color w:val="auto"/>
          <w:sz w:val="24"/>
          <w:lang w:val="en-US" w:eastAsia="zh-CN"/>
        </w:rPr>
        <w:t>14</w:t>
      </w:r>
      <w:r>
        <w:rPr>
          <w:rFonts w:hint="eastAsia" w:asciiTheme="minorEastAsia" w:hAnsiTheme="minorEastAsia" w:eastAsiaTheme="minorEastAsia" w:cstheme="minorEastAsia"/>
          <w:color w:val="auto"/>
          <w:sz w:val="24"/>
          <w:lang w:val="en-US" w:eastAsia="zh-CN"/>
        </w:rPr>
        <w:t>.1双方在签订、履行合同中所发生的一切争议，应通过友好协商解决。如协商不成，由甲方住所地人民法院管辖。</w:t>
      </w:r>
    </w:p>
    <w:p w14:paraId="1E588BCD">
      <w:pPr>
        <w:pStyle w:val="17"/>
        <w:spacing w:before="120" w:beforeAutospacing="0" w:after="120" w:afterAutospacing="0"/>
        <w:ind w:firstLine="482"/>
        <w:jc w:val="both"/>
        <w:rPr>
          <w:rFonts w:hint="eastAsia" w:ascii="宋体" w:hAnsi="宋体" w:eastAsia="宋体" w:cs="宋体"/>
          <w:b/>
          <w:color w:val="000000"/>
        </w:rPr>
      </w:pPr>
      <w:r>
        <w:rPr>
          <w:rFonts w:hint="eastAsia" w:ascii="宋体" w:hAnsi="宋体" w:eastAsia="宋体" w:cs="宋体"/>
          <w:b/>
          <w:color w:val="000000"/>
        </w:rPr>
        <w:t>十</w:t>
      </w:r>
      <w:r>
        <w:rPr>
          <w:rFonts w:hint="eastAsia" w:ascii="宋体" w:hAnsi="宋体" w:eastAsia="宋体" w:cs="宋体"/>
          <w:b/>
          <w:color w:val="000000"/>
          <w:lang w:eastAsia="zh-CN"/>
        </w:rPr>
        <w:t>五</w:t>
      </w:r>
      <w:r>
        <w:rPr>
          <w:rFonts w:hint="eastAsia" w:ascii="宋体" w:hAnsi="宋体" w:eastAsia="宋体" w:cs="宋体"/>
          <w:b/>
          <w:color w:val="000000"/>
        </w:rPr>
        <w:t>、合同生效及其它</w:t>
      </w:r>
    </w:p>
    <w:p w14:paraId="0EF7CC3A">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15.1合同经双方法定代表人或授权委托代表人签字并加盖单位公章后生效。</w:t>
      </w:r>
    </w:p>
    <w:p w14:paraId="76617EF0">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15.2本合同未尽事宜，遵照《民法典》、《政府采购法》有关条文执行。</w:t>
      </w:r>
    </w:p>
    <w:p w14:paraId="2EE80EC0">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15.3 本合同一式柒份，具有同等法律效力，甲方、乙方各执叁份，政府采购监管部门执壹份。</w:t>
      </w:r>
    </w:p>
    <w:p w14:paraId="03E14C6F">
      <w:pPr>
        <w:pStyle w:val="17"/>
        <w:spacing w:before="120" w:beforeAutospacing="0" w:after="120" w:afterAutospacing="0" w:line="0" w:lineRule="atLeast"/>
        <w:ind w:left="480" w:hanging="480"/>
        <w:jc w:val="both"/>
      </w:pPr>
      <w:r>
        <w:rPr>
          <w:rFonts w:hint="eastAsia" w:ascii="宋体" w:hAnsi="宋体" w:eastAsia="宋体" w:cs="宋体"/>
          <w:color w:val="000000"/>
        </w:rPr>
        <w:t xml:space="preserve">  甲方：                        乙方： </w:t>
      </w:r>
    </w:p>
    <w:p w14:paraId="785CA123">
      <w:pPr>
        <w:pStyle w:val="17"/>
        <w:spacing w:before="120" w:beforeAutospacing="0" w:after="120" w:afterAutospacing="0" w:line="0" w:lineRule="atLeast"/>
        <w:jc w:val="both"/>
      </w:pPr>
      <w:r>
        <w:rPr>
          <w:rFonts w:hint="eastAsia" w:ascii="宋体" w:hAnsi="宋体" w:eastAsia="宋体" w:cs="宋体"/>
          <w:color w:val="000000"/>
        </w:rPr>
        <w:t xml:space="preserve">  地址：                        地址： </w:t>
      </w:r>
    </w:p>
    <w:p w14:paraId="08754BF8">
      <w:pPr>
        <w:pStyle w:val="17"/>
        <w:spacing w:before="120" w:beforeAutospacing="0" w:after="120" w:afterAutospacing="0" w:line="0" w:lineRule="atLeast"/>
        <w:jc w:val="both"/>
      </w:pPr>
      <w:r>
        <w:rPr>
          <w:rFonts w:hint="eastAsia" w:ascii="宋体" w:hAnsi="宋体" w:eastAsia="宋体" w:cs="宋体"/>
          <w:color w:val="000000"/>
        </w:rPr>
        <w:t>  法定代表人或授权代表：        法定代表人或授权代表：</w:t>
      </w:r>
    </w:p>
    <w:p w14:paraId="7D0CADC5">
      <w:pPr>
        <w:pStyle w:val="17"/>
        <w:spacing w:before="120" w:beforeAutospacing="0" w:after="120" w:afterAutospacing="0" w:line="0" w:lineRule="atLeast"/>
        <w:ind w:firstLine="240"/>
        <w:jc w:val="both"/>
      </w:pPr>
      <w:r>
        <w:rPr>
          <w:rFonts w:hint="eastAsia" w:ascii="宋体" w:hAnsi="宋体" w:eastAsia="宋体" w:cs="宋体"/>
          <w:color w:val="000000"/>
        </w:rPr>
        <w:t xml:space="preserve">联系电话：                 联系电话：          </w:t>
      </w:r>
    </w:p>
    <w:p w14:paraId="5ADC64BC">
      <w:pPr>
        <w:pStyle w:val="11"/>
        <w:snapToGrid w:val="0"/>
        <w:spacing w:before="120" w:after="120" w:line="0" w:lineRule="atLeast"/>
        <w:jc w:val="center"/>
        <w:rPr>
          <w:rFonts w:hint="eastAsia" w:hAnsi="宋体"/>
          <w:sz w:val="24"/>
          <w:szCs w:val="24"/>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签订日期：   年   月   日</w:t>
      </w:r>
      <w:r>
        <w:rPr>
          <w:rFonts w:hint="eastAsia" w:ascii="黑体" w:hAnsi="宋体" w:eastAsia="黑体" w:cs="黑体"/>
          <w:color w:val="000000"/>
          <w:sz w:val="44"/>
          <w:szCs w:val="44"/>
        </w:rPr>
        <w:br w:type="page" w:clear="all"/>
      </w:r>
      <w:r>
        <w:rPr>
          <w:rFonts w:hint="eastAsia" w:ascii="黑体" w:eastAsia="黑体"/>
          <w:bCs/>
          <w:sz w:val="44"/>
        </w:rPr>
        <w:t>第四章 采购需求</w:t>
      </w:r>
    </w:p>
    <w:p w14:paraId="19FA15A5">
      <w:pPr>
        <w:keepNext w:val="0"/>
        <w:keepLines w:val="0"/>
        <w:pageBreakBefore w:val="0"/>
        <w:widowControl w:val="0"/>
        <w:spacing w:line="460" w:lineRule="exact"/>
        <w:ind w:firstLine="482"/>
        <w:rPr>
          <w:rFonts w:hint="eastAsia" w:ascii="宋体" w:hAnsi="宋体"/>
          <w:b/>
          <w:sz w:val="24"/>
        </w:rPr>
      </w:pPr>
      <w:bookmarkStart w:id="176" w:name="_Toc49090575"/>
      <w:bookmarkStart w:id="177" w:name="_Toc26554093"/>
      <w:r>
        <w:rPr>
          <w:rFonts w:hint="eastAsia" w:ascii="宋体" w:hAnsi="宋体"/>
          <w:b/>
          <w:sz w:val="24"/>
        </w:rPr>
        <w:t>一、项目概述</w:t>
      </w:r>
    </w:p>
    <w:p w14:paraId="670D5D33">
      <w:pPr>
        <w:keepNext w:val="0"/>
        <w:keepLines w:val="0"/>
        <w:pageBreakBefore w:val="0"/>
        <w:widowControl w:val="0"/>
        <w:numPr>
          <w:ilvl w:val="0"/>
          <w:numId w:val="0"/>
        </w:numPr>
        <w:spacing w:line="440" w:lineRule="exact"/>
        <w:ind w:firstLine="48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1.项目属性:服务类项目。</w:t>
      </w:r>
      <w:bookmarkEnd w:id="176"/>
      <w:bookmarkEnd w:id="177"/>
    </w:p>
    <w:p w14:paraId="6AA14F48">
      <w:pPr>
        <w:keepNext w:val="0"/>
        <w:keepLines w:val="0"/>
        <w:pageBreakBefore w:val="0"/>
        <w:widowControl w:val="0"/>
        <w:numPr>
          <w:ilvl w:val="0"/>
          <w:numId w:val="0"/>
        </w:numPr>
        <w:spacing w:line="440" w:lineRule="exact"/>
        <w:ind w:firstLine="480"/>
        <w:jc w:val="left"/>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2.采购需求(简介)：</w:t>
      </w:r>
      <w:r>
        <w:rPr>
          <w:rFonts w:hint="eastAsia" w:eastAsia="宋体" w:asciiTheme="minorEastAsia" w:hAnsiTheme="minorEastAsia" w:cstheme="minorEastAsia"/>
          <w:color w:val="000000"/>
          <w:sz w:val="24"/>
          <w:szCs w:val="24"/>
          <w:lang w:eastAsia="zh-CN"/>
        </w:rPr>
        <w:t>本次招标涉及老城区窑桥、新盛、林海三个社区零散楼栋通信广电管网进行改造以及与之相关的一切衍生服务等，面积约11.18万平方米。</w:t>
      </w:r>
    </w:p>
    <w:p w14:paraId="5D99825F">
      <w:pPr>
        <w:spacing w:line="480" w:lineRule="exact"/>
        <w:ind w:firstLine="315"/>
        <w:rPr>
          <w:rFonts w:ascii="宋体" w:hAnsi="宋体"/>
          <w:bCs/>
          <w:sz w:val="24"/>
          <w:szCs w:val="24"/>
        </w:rPr>
      </w:pPr>
      <w:r>
        <w:rPr>
          <w:rFonts w:hint="eastAsia" w:ascii="宋体" w:hAnsi="宋体" w:eastAsia="宋体" w:cs="宋体"/>
          <w:color w:val="000000"/>
          <w:lang w:val="en-US" w:eastAsia="zh-CN"/>
        </w:rPr>
        <w:t xml:space="preserve">  </w:t>
      </w:r>
      <w:r>
        <w:rPr>
          <w:rFonts w:hint="eastAsia" w:ascii="宋体" w:hAnsi="宋体"/>
          <w:bCs/>
          <w:sz w:val="24"/>
          <w:szCs w:val="24"/>
        </w:rPr>
        <w:t>3.合同履行期限：项目实施(作业)期限：合同签订后</w:t>
      </w:r>
      <w:r>
        <w:rPr>
          <w:rFonts w:hint="eastAsia" w:ascii="宋体" w:hAnsi="宋体" w:eastAsia="宋体"/>
          <w:bCs/>
          <w:sz w:val="24"/>
          <w:szCs w:val="24"/>
          <w:lang w:eastAsia="zh-CN"/>
        </w:rPr>
        <w:t>90日历天</w:t>
      </w:r>
      <w:r>
        <w:rPr>
          <w:rFonts w:hint="eastAsia" w:ascii="宋体" w:hAnsi="宋体"/>
          <w:bCs/>
          <w:sz w:val="24"/>
          <w:szCs w:val="24"/>
        </w:rPr>
        <w:t>。</w:t>
      </w:r>
    </w:p>
    <w:p w14:paraId="09CE4C91">
      <w:pPr>
        <w:keepNext w:val="0"/>
        <w:keepLines w:val="0"/>
        <w:pageBreakBefore w:val="0"/>
        <w:widowControl w:val="0"/>
        <w:spacing w:before="157"/>
        <w:ind w:firstLine="241"/>
        <w:rPr>
          <w:rFonts w:hint="default" w:ascii="宋体" w:hAnsi="宋体" w:eastAsia="宋体"/>
          <w:color w:val="000000"/>
          <w:sz w:val="24"/>
          <w:szCs w:val="24"/>
          <w:lang w:val="en-US" w:eastAsia="zh-CN"/>
        </w:rPr>
      </w:pPr>
      <w:r>
        <w:rPr>
          <w:rFonts w:hint="eastAsia" w:ascii="宋体" w:hAnsi="宋体"/>
          <w:b/>
          <w:sz w:val="24"/>
        </w:rPr>
        <w:t>二、采购需求及要求</w:t>
      </w:r>
    </w:p>
    <w:p w14:paraId="7F413708">
      <w:pPr>
        <w:spacing w:line="440" w:lineRule="exact"/>
        <w:ind w:firstLine="482" w:firstLineChars="200"/>
        <w:jc w:val="left"/>
        <w:rPr>
          <w:rFonts w:hint="eastAsia" w:ascii="宋体" w:hAnsi="宋体"/>
          <w:b/>
          <w:color w:val="0000FF"/>
          <w:sz w:val="24"/>
          <w:highlight w:val="none"/>
          <w:lang w:val="en-US" w:eastAsia="zh-CN"/>
        </w:rPr>
      </w:pPr>
      <w:r>
        <w:rPr>
          <w:rFonts w:hint="eastAsia" w:ascii="宋体" w:hAnsi="宋体"/>
          <w:b/>
          <w:color w:val="0000FF"/>
          <w:sz w:val="24"/>
          <w:highlight w:val="none"/>
          <w:lang w:val="en-US" w:eastAsia="zh-CN"/>
        </w:rPr>
        <w:t>1.服务范围</w:t>
      </w:r>
    </w:p>
    <w:p w14:paraId="4916DF1C">
      <w:pPr>
        <w:spacing w:line="440" w:lineRule="exact"/>
        <w:ind w:firstLine="480" w:firstLineChars="200"/>
        <w:jc w:val="left"/>
        <w:rPr>
          <w:rFonts w:hint="eastAsia" w:ascii="宋体" w:hAnsi="宋体" w:cs="宋体"/>
          <w:bCs/>
          <w:color w:val="000000"/>
          <w:kern w:val="0"/>
          <w:sz w:val="24"/>
          <w:highlight w:val="none"/>
          <w:lang w:eastAsia="zh-CN"/>
        </w:rPr>
      </w:pPr>
      <w:r>
        <w:rPr>
          <w:rFonts w:hint="eastAsia" w:ascii="宋体" w:hAnsi="宋体" w:cs="宋体"/>
          <w:bCs/>
          <w:color w:val="000000"/>
          <w:kern w:val="0"/>
          <w:sz w:val="24"/>
          <w:highlight w:val="none"/>
          <w:lang w:eastAsia="zh-CN"/>
        </w:rPr>
        <w:t>主要包括但不仅限于</w:t>
      </w:r>
      <w:r>
        <w:rPr>
          <w:rFonts w:hint="eastAsia" w:ascii="宋体" w:hAnsi="宋体" w:cs="宋体"/>
          <w:bCs/>
          <w:color w:val="000000"/>
          <w:kern w:val="0"/>
          <w:sz w:val="24"/>
          <w:highlight w:val="none"/>
        </w:rPr>
        <w:t>现场勘查、方案咨询、方案设计、</w:t>
      </w:r>
      <w:r>
        <w:rPr>
          <w:rFonts w:hint="eastAsia" w:ascii="宋体" w:hAnsi="宋体" w:cs="宋体"/>
          <w:bCs/>
          <w:color w:val="000000"/>
          <w:kern w:val="0"/>
          <w:sz w:val="24"/>
          <w:highlight w:val="none"/>
          <w:lang w:eastAsia="zh-CN"/>
        </w:rPr>
        <w:t>改造、</w:t>
      </w:r>
      <w:r>
        <w:rPr>
          <w:rFonts w:hint="eastAsia" w:ascii="宋体" w:hAnsi="宋体" w:cs="宋体"/>
          <w:bCs/>
          <w:color w:val="000000"/>
          <w:kern w:val="0"/>
          <w:sz w:val="24"/>
          <w:highlight w:val="none"/>
        </w:rPr>
        <w:t>现场</w:t>
      </w:r>
      <w:r>
        <w:rPr>
          <w:rFonts w:hint="eastAsia" w:ascii="宋体" w:hAnsi="宋体" w:cs="宋体"/>
          <w:bCs/>
          <w:color w:val="000000"/>
          <w:kern w:val="0"/>
          <w:sz w:val="24"/>
          <w:highlight w:val="none"/>
          <w:lang w:eastAsia="zh-CN"/>
        </w:rPr>
        <w:t>监督（监理）</w:t>
      </w:r>
      <w:r>
        <w:rPr>
          <w:rFonts w:hint="eastAsia" w:ascii="宋体" w:hAnsi="宋体" w:cs="宋体"/>
          <w:bCs/>
          <w:color w:val="000000"/>
          <w:kern w:val="0"/>
          <w:sz w:val="24"/>
          <w:highlight w:val="none"/>
        </w:rPr>
        <w:t>、项目管理</w:t>
      </w:r>
      <w:r>
        <w:rPr>
          <w:rFonts w:hint="eastAsia" w:ascii="宋体" w:hAnsi="宋体" w:cs="宋体"/>
          <w:bCs/>
          <w:color w:val="000000"/>
          <w:kern w:val="0"/>
          <w:sz w:val="24"/>
          <w:highlight w:val="none"/>
          <w:lang w:eastAsia="zh-CN"/>
        </w:rPr>
        <w:t>以及</w:t>
      </w:r>
      <w:r>
        <w:rPr>
          <w:rFonts w:hint="eastAsia" w:ascii="宋体" w:hAnsi="宋体" w:cs="宋体"/>
          <w:bCs/>
          <w:color w:val="000000"/>
          <w:kern w:val="0"/>
          <w:sz w:val="24"/>
          <w:highlight w:val="none"/>
        </w:rPr>
        <w:t>用户数据割接等服务。对小区所有通信管线（包括有线电视等）统一规划建设改造（方案须报建设单位确认），对保留沿墙面的线路</w:t>
      </w:r>
      <w:r>
        <w:rPr>
          <w:rFonts w:hint="eastAsia" w:ascii="宋体" w:hAnsi="宋体" w:cs="宋体"/>
          <w:bCs/>
          <w:kern w:val="0"/>
          <w:sz w:val="24"/>
          <w:highlight w:val="none"/>
        </w:rPr>
        <w:t>，</w:t>
      </w:r>
      <w:r>
        <w:rPr>
          <w:rFonts w:hint="eastAsia" w:ascii="宋体" w:hAnsi="宋体" w:cs="宋体"/>
          <w:bCs/>
          <w:sz w:val="24"/>
          <w:highlight w:val="none"/>
        </w:rPr>
        <w:t>使用304不锈钢方管120*60*2厚</w:t>
      </w:r>
      <w:r>
        <w:rPr>
          <w:rFonts w:hint="eastAsia" w:ascii="宋体" w:hAnsi="宋体" w:cs="宋体"/>
          <w:bCs/>
          <w:color w:val="000000"/>
          <w:kern w:val="0"/>
          <w:sz w:val="24"/>
          <w:highlight w:val="none"/>
        </w:rPr>
        <w:t>统一高度和线路走向。小区内不得有空中飞线，改造完成后乙方所提供的改造服务和数据割接服务质量应符合国家电信主管部门的质量标准及技术要求，确保居民通信需求。</w:t>
      </w:r>
      <w:r>
        <w:rPr>
          <w:rFonts w:hint="eastAsia" w:eastAsia="宋体" w:asciiTheme="minorEastAsia" w:hAnsiTheme="minorEastAsia" w:cstheme="minorEastAsia"/>
          <w:color w:val="000000"/>
          <w:sz w:val="24"/>
          <w:szCs w:val="24"/>
          <w:lang w:eastAsia="zh-CN"/>
        </w:rPr>
        <w:t>本次招标涉及老城区窑桥、新盛、林海三个社区零散楼栋通信广电管网进行改造以及与之相关的一切衍生服务等，面积约11.18万平方米</w:t>
      </w:r>
      <w:r>
        <w:rPr>
          <w:rFonts w:hint="eastAsia" w:ascii="宋体" w:hAnsi="宋体" w:cs="宋体"/>
          <w:bCs/>
          <w:color w:val="000000"/>
          <w:kern w:val="0"/>
          <w:sz w:val="24"/>
          <w:highlight w:val="none"/>
          <w:lang w:eastAsia="zh-CN"/>
        </w:rPr>
        <w:t>。</w:t>
      </w:r>
    </w:p>
    <w:p w14:paraId="1F17EE05">
      <w:pPr>
        <w:spacing w:line="440" w:lineRule="exact"/>
        <w:ind w:firstLine="482" w:firstLineChars="200"/>
        <w:jc w:val="left"/>
        <w:rPr>
          <w:rFonts w:hint="eastAsia" w:ascii="宋体" w:hAnsi="宋体"/>
          <w:b/>
          <w:bCs/>
          <w:color w:val="0000FF"/>
          <w:sz w:val="24"/>
          <w:highlight w:val="none"/>
        </w:rPr>
      </w:pPr>
      <w:r>
        <w:rPr>
          <w:rFonts w:hint="eastAsia" w:ascii="宋体" w:hAnsi="宋体"/>
          <w:b/>
          <w:color w:val="0000FF"/>
          <w:sz w:val="24"/>
          <w:highlight w:val="none"/>
          <w:lang w:val="en-US" w:eastAsia="zh-CN"/>
        </w:rPr>
        <w:t>2.</w:t>
      </w:r>
      <w:r>
        <w:rPr>
          <w:rFonts w:hint="eastAsia" w:ascii="宋体" w:hAnsi="宋体"/>
          <w:b/>
          <w:color w:val="0000FF"/>
          <w:sz w:val="24"/>
          <w:highlight w:val="none"/>
        </w:rPr>
        <w:t>各投标人必须严格按照本次招标要求进行合理报价并供货，如</w:t>
      </w:r>
      <w:r>
        <w:rPr>
          <w:rFonts w:hint="eastAsia" w:ascii="宋体" w:hAnsi="宋体"/>
          <w:b/>
          <w:color w:val="0000FF"/>
          <w:sz w:val="24"/>
          <w:highlight w:val="none"/>
          <w:lang w:eastAsia="zh-CN"/>
        </w:rPr>
        <w:t>因</w:t>
      </w:r>
      <w:r>
        <w:rPr>
          <w:rFonts w:ascii="宋体" w:hAnsi="宋体"/>
          <w:b/>
          <w:color w:val="0000FF"/>
          <w:sz w:val="24"/>
          <w:highlight w:val="none"/>
        </w:rPr>
        <w:t>不符合市场行情的报价</w:t>
      </w:r>
      <w:r>
        <w:rPr>
          <w:rFonts w:hint="eastAsia" w:ascii="宋体" w:hAnsi="宋体"/>
          <w:b/>
          <w:color w:val="0000FF"/>
          <w:sz w:val="24"/>
          <w:highlight w:val="none"/>
          <w:lang w:eastAsia="zh-CN"/>
        </w:rPr>
        <w:t>导致</w:t>
      </w:r>
      <w:r>
        <w:rPr>
          <w:rFonts w:hint="eastAsia" w:ascii="宋体" w:hAnsi="宋体"/>
          <w:b/>
          <w:color w:val="0000FF"/>
          <w:sz w:val="24"/>
          <w:highlight w:val="none"/>
        </w:rPr>
        <w:t>后期出现验收不合格</w:t>
      </w:r>
      <w:r>
        <w:rPr>
          <w:rFonts w:hint="eastAsia" w:ascii="宋体" w:hAnsi="宋体"/>
          <w:b/>
          <w:color w:val="0000FF"/>
          <w:sz w:val="24"/>
          <w:highlight w:val="none"/>
          <w:lang w:eastAsia="zh-CN"/>
        </w:rPr>
        <w:t>等</w:t>
      </w:r>
      <w:r>
        <w:rPr>
          <w:rFonts w:hint="eastAsia" w:ascii="宋体" w:hAnsi="宋体"/>
          <w:b/>
          <w:color w:val="0000FF"/>
          <w:sz w:val="24"/>
          <w:highlight w:val="none"/>
        </w:rPr>
        <w:t>情形</w:t>
      </w:r>
      <w:r>
        <w:rPr>
          <w:rFonts w:hint="eastAsia" w:ascii="宋体" w:hAnsi="宋体"/>
          <w:b/>
          <w:color w:val="0000FF"/>
          <w:sz w:val="24"/>
          <w:highlight w:val="none"/>
          <w:lang w:eastAsia="zh-CN"/>
        </w:rPr>
        <w:t>的，</w:t>
      </w:r>
      <w:r>
        <w:rPr>
          <w:rFonts w:hint="eastAsia" w:ascii="宋体" w:hAnsi="宋体"/>
          <w:b/>
          <w:bCs/>
          <w:color w:val="0000FF"/>
          <w:sz w:val="24"/>
          <w:highlight w:val="none"/>
          <w:lang w:eastAsia="zh-CN"/>
        </w:rPr>
        <w:t>招标人有权终止合同，不支付任何款项，并保留向监督部门提请处罚的权利</w:t>
      </w:r>
      <w:r>
        <w:rPr>
          <w:rFonts w:hint="eastAsia" w:ascii="宋体" w:hAnsi="宋体"/>
          <w:b/>
          <w:bCs/>
          <w:color w:val="0000FF"/>
          <w:sz w:val="24"/>
          <w:highlight w:val="none"/>
        </w:rPr>
        <w:t>。</w:t>
      </w:r>
    </w:p>
    <w:p w14:paraId="505249D6">
      <w:pPr>
        <w:spacing w:line="440" w:lineRule="exact"/>
        <w:ind w:firstLine="480" w:firstLineChars="200"/>
        <w:jc w:val="left"/>
        <w:rPr>
          <w:rFonts w:hint="eastAsia" w:ascii="宋体" w:hAnsi="宋体"/>
          <w:bCs/>
          <w:color w:val="000000"/>
          <w:sz w:val="24"/>
          <w:highlight w:val="none"/>
        </w:rPr>
      </w:pPr>
      <w:r>
        <w:rPr>
          <w:rFonts w:hint="eastAsia" w:ascii="宋体" w:hAnsi="宋体"/>
          <w:bCs/>
          <w:color w:val="000000"/>
          <w:sz w:val="24"/>
          <w:highlight w:val="none"/>
          <w:lang w:val="en-US" w:eastAsia="zh-CN"/>
        </w:rPr>
        <w:t>3.</w:t>
      </w:r>
      <w:r>
        <w:rPr>
          <w:rFonts w:hint="eastAsia" w:ascii="宋体" w:hAnsi="宋体" w:cs="宋体"/>
          <w:color w:val="000000"/>
          <w:kern w:val="0"/>
          <w:sz w:val="24"/>
          <w:highlight w:val="none"/>
        </w:rPr>
        <w:t>中标方自行承担运输、安装过程中的安全责任。</w:t>
      </w:r>
      <w:r>
        <w:rPr>
          <w:rFonts w:ascii="宋体" w:hAnsi="宋体" w:cs="宋体"/>
          <w:color w:val="000000"/>
          <w:kern w:val="0"/>
          <w:sz w:val="24"/>
          <w:highlight w:val="none"/>
        </w:rPr>
        <w:t>因中标方人员在工作中造成了第三方的人或财产损害的，也一概由中标方自行承担</w:t>
      </w:r>
      <w:r>
        <w:rPr>
          <w:rFonts w:hint="eastAsia" w:ascii="宋体" w:hAnsi="宋体"/>
          <w:bCs/>
          <w:color w:val="000000"/>
          <w:sz w:val="24"/>
          <w:highlight w:val="none"/>
        </w:rPr>
        <w:t>。</w:t>
      </w:r>
    </w:p>
    <w:p w14:paraId="38006618">
      <w:pPr>
        <w:keepNext w:val="0"/>
        <w:keepLines w:val="0"/>
        <w:pageBreakBefore w:val="0"/>
        <w:widowControl w:val="0"/>
        <w:numPr>
          <w:ilvl w:val="0"/>
          <w:numId w:val="0"/>
        </w:numPr>
        <w:spacing w:line="440" w:lineRule="exact"/>
        <w:ind w:firstLine="480"/>
        <w:rPr>
          <w:rFonts w:hint="eastAsia" w:eastAsia="宋体" w:asciiTheme="minorEastAsia" w:hAnsiTheme="minorEastAsia" w:cstheme="minorEastAsia"/>
          <w:color w:val="000000"/>
          <w:sz w:val="24"/>
          <w:szCs w:val="24"/>
          <w:lang w:eastAsia="zh-CN"/>
        </w:rPr>
      </w:pPr>
      <w:r>
        <w:rPr>
          <w:rFonts w:hint="eastAsia" w:ascii="宋体" w:hAnsi="宋体"/>
          <w:bCs/>
          <w:color w:val="000000"/>
          <w:sz w:val="24"/>
          <w:highlight w:val="none"/>
          <w:lang w:val="en-US" w:eastAsia="zh-CN"/>
        </w:rPr>
        <w:t>4.</w:t>
      </w:r>
      <w:r>
        <w:rPr>
          <w:rFonts w:hint="eastAsia" w:ascii="宋体" w:hAnsi="宋体"/>
          <w:bCs/>
          <w:color w:val="000000"/>
          <w:sz w:val="24"/>
          <w:highlight w:val="none"/>
        </w:rPr>
        <w:t>投标人在供货、设备安装过程中涉及第三方产品知识产权情况，若出现技术、经济或法律上的纠纷，应由中标人全面承担并全权解决，并确保不影响项目的进度。</w:t>
      </w:r>
    </w:p>
    <w:p w14:paraId="401AB446">
      <w:pPr>
        <w:keepNext w:val="0"/>
        <w:keepLines w:val="0"/>
        <w:pageBreakBefore w:val="0"/>
        <w:widowControl w:val="0"/>
        <w:numPr>
          <w:ilvl w:val="0"/>
          <w:numId w:val="0"/>
        </w:numPr>
        <w:spacing w:line="440" w:lineRule="exact"/>
        <w:ind w:firstLine="480"/>
        <w:rPr>
          <w:rFonts w:hint="default"/>
          <w:lang w:val="en-US" w:eastAsia="zh-CN"/>
        </w:rPr>
        <w:sectPr>
          <w:footerReference r:id="rId3" w:type="default"/>
          <w:pgSz w:w="11906" w:h="16838"/>
          <w:pgMar w:top="1270" w:right="1293" w:bottom="1270" w:left="1293" w:header="851" w:footer="992" w:gutter="0"/>
          <w:cols w:space="425" w:num="1"/>
          <w:docGrid w:linePitch="360" w:charSpace="0"/>
        </w:sectPr>
      </w:pPr>
      <w:r>
        <w:rPr>
          <w:rFonts w:hint="eastAsia" w:eastAsia="宋体" w:asciiTheme="minorEastAsia" w:hAnsiTheme="minorEastAsia" w:cstheme="minorEastAsia"/>
          <w:color w:val="000000"/>
          <w:sz w:val="24"/>
          <w:szCs w:val="24"/>
          <w:lang w:val="en-US" w:eastAsia="zh-CN"/>
        </w:rPr>
        <w:t>5</w:t>
      </w:r>
      <w:r>
        <w:rPr>
          <w:rFonts w:hint="eastAsia" w:eastAsia="宋体" w:asciiTheme="minorEastAsia" w:hAnsiTheme="minorEastAsia" w:cstheme="minorEastAsia"/>
          <w:color w:val="000000"/>
          <w:sz w:val="24"/>
          <w:szCs w:val="24"/>
          <w:lang w:eastAsia="zh-CN"/>
        </w:rPr>
        <w:t>、服务</w:t>
      </w:r>
      <w:r>
        <w:rPr>
          <w:rFonts w:hint="eastAsia" w:eastAsia="宋体" w:asciiTheme="minorEastAsia" w:hAnsiTheme="minorEastAsia" w:cstheme="minorEastAsia"/>
          <w:color w:val="000000"/>
          <w:sz w:val="24"/>
          <w:szCs w:val="24"/>
          <w:highlight w:val="none"/>
          <w:lang w:eastAsia="zh-CN"/>
        </w:rPr>
        <w:t>时间：90日历天。</w:t>
      </w:r>
    </w:p>
    <w:p w14:paraId="133D25E3">
      <w:pPr>
        <w:pStyle w:val="17"/>
        <w:spacing w:beforeAutospacing="0" w:afterAutospacing="0" w:line="0" w:lineRule="atLeast"/>
        <w:jc w:val="both"/>
        <w:rPr>
          <w:color w:val="auto"/>
        </w:rPr>
      </w:pPr>
      <w:r>
        <w:rPr>
          <w:rFonts w:hint="eastAsia" w:ascii="宋体" w:hAnsi="宋体" w:eastAsia="宋体" w:cs="宋体"/>
          <w:color w:val="auto"/>
          <w:lang w:val="en-US" w:eastAsia="zh-CN"/>
        </w:rPr>
        <w:t>6.</w:t>
      </w:r>
      <w:r>
        <w:rPr>
          <w:rFonts w:hint="eastAsia" w:ascii="宋体" w:hAnsi="宋体" w:eastAsia="宋体" w:cs="宋体"/>
          <w:color w:val="auto"/>
        </w:rPr>
        <w:t>采购标的对应的中小企业划分标准所属行业一览表</w:t>
      </w:r>
    </w:p>
    <w:tbl>
      <w:tblPr>
        <w:tblStyle w:val="24"/>
        <w:tblW w:w="7444" w:type="dxa"/>
        <w:jc w:val="center"/>
        <w:tblCellSpacing w:w="0" w:type="dxa"/>
        <w:tblLayout w:type="fixed"/>
        <w:tblCellMar>
          <w:top w:w="0" w:type="dxa"/>
          <w:left w:w="108" w:type="dxa"/>
          <w:bottom w:w="0" w:type="dxa"/>
          <w:right w:w="108" w:type="dxa"/>
        </w:tblCellMar>
      </w:tblPr>
      <w:tblGrid>
        <w:gridCol w:w="797"/>
        <w:gridCol w:w="4293"/>
        <w:gridCol w:w="2354"/>
      </w:tblGrid>
      <w:tr w14:paraId="7688AEC1">
        <w:tblPrEx>
          <w:tblCellMar>
            <w:top w:w="0" w:type="dxa"/>
            <w:left w:w="108" w:type="dxa"/>
            <w:bottom w:w="0" w:type="dxa"/>
            <w:right w:w="108" w:type="dxa"/>
          </w:tblCellMar>
        </w:tblPrEx>
        <w:trPr>
          <w:trHeight w:val="772" w:hRule="atLeast"/>
          <w:tblCellSpacing w:w="0" w:type="dxa"/>
          <w:jc w:val="center"/>
        </w:trPr>
        <w:tc>
          <w:tcPr>
            <w:tcW w:w="7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3F52A0">
            <w:pPr>
              <w:pStyle w:val="17"/>
              <w:spacing w:beforeAutospacing="0" w:afterAutospacing="0" w:line="0" w:lineRule="atLeast"/>
              <w:jc w:val="center"/>
              <w:rPr>
                <w:color w:val="auto"/>
              </w:rPr>
            </w:pPr>
            <w:r>
              <w:rPr>
                <w:rFonts w:hint="eastAsia" w:ascii="宋体" w:hAnsi="宋体" w:eastAsia="宋体" w:cs="宋体"/>
                <w:color w:val="auto"/>
              </w:rPr>
              <w:t>序号</w:t>
            </w:r>
          </w:p>
        </w:tc>
        <w:tc>
          <w:tcPr>
            <w:tcW w:w="429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48DF37">
            <w:pPr>
              <w:pStyle w:val="17"/>
              <w:spacing w:beforeAutospacing="0" w:afterAutospacing="0" w:line="0" w:lineRule="atLeast"/>
              <w:jc w:val="center"/>
              <w:rPr>
                <w:color w:val="auto"/>
              </w:rPr>
            </w:pPr>
            <w:r>
              <w:rPr>
                <w:rFonts w:hint="eastAsia" w:ascii="宋体" w:hAnsi="宋体" w:eastAsia="宋体" w:cs="宋体"/>
                <w:color w:val="auto"/>
              </w:rPr>
              <w:t>采购标的</w:t>
            </w:r>
          </w:p>
        </w:tc>
        <w:tc>
          <w:tcPr>
            <w:tcW w:w="23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22CBF8">
            <w:pPr>
              <w:pStyle w:val="17"/>
              <w:spacing w:beforeAutospacing="0" w:afterAutospacing="0" w:line="0" w:lineRule="atLeast"/>
              <w:jc w:val="center"/>
              <w:rPr>
                <w:color w:val="auto"/>
              </w:rPr>
            </w:pPr>
            <w:r>
              <w:rPr>
                <w:rFonts w:hint="eastAsia" w:ascii="宋体" w:hAnsi="宋体" w:eastAsia="宋体" w:cs="宋体"/>
                <w:color w:val="auto"/>
              </w:rPr>
              <w:t>对应中小企业划分标准所属行业</w:t>
            </w:r>
          </w:p>
        </w:tc>
      </w:tr>
      <w:tr w14:paraId="6CF91A94">
        <w:tblPrEx>
          <w:tblCellMar>
            <w:top w:w="0" w:type="dxa"/>
            <w:left w:w="108" w:type="dxa"/>
            <w:bottom w:w="0" w:type="dxa"/>
            <w:right w:w="108" w:type="dxa"/>
          </w:tblCellMar>
        </w:tblPrEx>
        <w:trPr>
          <w:trHeight w:val="1297" w:hRule="atLeast"/>
          <w:tblCellSpacing w:w="0" w:type="dxa"/>
          <w:jc w:val="center"/>
        </w:trPr>
        <w:tc>
          <w:tcPr>
            <w:tcW w:w="7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8C4DB9">
            <w:pPr>
              <w:pStyle w:val="17"/>
              <w:spacing w:beforeAutospacing="0" w:afterAutospacing="0" w:line="0" w:lineRule="atLeast"/>
              <w:jc w:val="center"/>
              <w:rPr>
                <w:color w:val="auto"/>
              </w:rPr>
            </w:pPr>
            <w:r>
              <w:rPr>
                <w:rFonts w:hint="eastAsia" w:ascii="宋体" w:hAnsi="宋体" w:eastAsia="宋体" w:cs="宋体"/>
                <w:color w:val="auto"/>
              </w:rPr>
              <w:t>1</w:t>
            </w:r>
          </w:p>
        </w:tc>
        <w:tc>
          <w:tcPr>
            <w:tcW w:w="429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12E3292">
            <w:pPr>
              <w:pStyle w:val="17"/>
              <w:keepNext w:val="0"/>
              <w:keepLines w:val="0"/>
              <w:pageBreakBefore w:val="0"/>
              <w:widowControl w:val="0"/>
              <w:spacing w:beforeAutospacing="0" w:afterAutospacing="0" w:line="440" w:lineRule="exact"/>
              <w:jc w:val="both"/>
              <w:rPr>
                <w:color w:val="auto"/>
              </w:rPr>
            </w:pPr>
            <w:r>
              <w:rPr>
                <w:rFonts w:hint="eastAsia" w:asciiTheme="minorEastAsia" w:hAnsiTheme="minorEastAsia" w:cstheme="minorEastAsia"/>
                <w:color w:val="auto"/>
                <w:sz w:val="24"/>
                <w:szCs w:val="24"/>
                <w:lang w:eastAsia="zh-CN"/>
              </w:rPr>
              <w:t>阜宁县2026年度老旧小区及零散楼幢通信和广电网络改造服务项目</w:t>
            </w:r>
          </w:p>
        </w:tc>
        <w:tc>
          <w:tcPr>
            <w:tcW w:w="235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CB76E5">
            <w:pPr>
              <w:pStyle w:val="17"/>
              <w:spacing w:beforeAutospacing="0" w:afterAutospacing="0" w:line="0" w:lineRule="atLeast"/>
              <w:jc w:val="center"/>
              <w:rPr>
                <w:color w:val="auto"/>
              </w:rPr>
            </w:pPr>
            <w:r>
              <w:rPr>
                <w:rFonts w:hint="eastAsia"/>
                <w:color w:val="auto"/>
              </w:rPr>
              <w:t>其他未列明行业</w:t>
            </w:r>
            <w:r>
              <w:rPr>
                <w:color w:val="auto"/>
              </w:rPr>
              <w:t> </w:t>
            </w:r>
          </w:p>
        </w:tc>
      </w:tr>
    </w:tbl>
    <w:p w14:paraId="7783B35B">
      <w:pPr>
        <w:pStyle w:val="17"/>
        <w:spacing w:beforeAutospacing="0" w:afterAutospacing="0" w:line="0" w:lineRule="atLeast"/>
        <w:ind w:firstLine="480"/>
        <w:jc w:val="both"/>
        <w:rPr>
          <w:color w:val="auto"/>
        </w:rPr>
      </w:pPr>
      <w:r>
        <w:rPr>
          <w:color w:val="auto"/>
        </w:rPr>
        <w:t> </w:t>
      </w:r>
    </w:p>
    <w:p w14:paraId="19B62FC0">
      <w:pPr>
        <w:pStyle w:val="17"/>
        <w:spacing w:beforeAutospacing="0" w:afterAutospacing="0"/>
        <w:ind w:firstLine="602"/>
        <w:jc w:val="both"/>
        <w:rPr>
          <w:color w:val="auto"/>
        </w:rPr>
      </w:pPr>
      <w:r>
        <w:rPr>
          <w:color w:val="auto"/>
        </w:rPr>
        <w:t> </w:t>
      </w:r>
    </w:p>
    <w:p w14:paraId="7B165DB4">
      <w:pPr>
        <w:pStyle w:val="17"/>
        <w:spacing w:beforeAutospacing="0" w:afterAutospacing="0"/>
        <w:jc w:val="both"/>
      </w:pPr>
      <w:r>
        <w:rPr>
          <w:color w:val="auto"/>
        </w:rPr>
        <w:t> </w:t>
      </w:r>
    </w:p>
    <w:p w14:paraId="7CB73054">
      <w:pPr>
        <w:keepNext w:val="0"/>
        <w:keepLines w:val="0"/>
        <w:pageBreakBefore w:val="0"/>
        <w:widowControl w:val="0"/>
        <w:spacing w:line="440" w:lineRule="exact"/>
        <w:ind w:firstLine="482"/>
        <w:rPr>
          <w:rFonts w:hint="eastAsia" w:ascii="宋体" w:hAnsi="宋体"/>
          <w:b/>
          <w:sz w:val="24"/>
        </w:rPr>
      </w:pPr>
      <w:r>
        <w:rPr>
          <w:rFonts w:hint="eastAsia" w:ascii="宋体" w:hAnsi="宋体" w:eastAsia="宋体"/>
          <w:b/>
          <w:sz w:val="24"/>
          <w:lang w:eastAsia="zh-CN"/>
        </w:rPr>
        <w:t>四</w:t>
      </w:r>
      <w:r>
        <w:rPr>
          <w:rFonts w:hint="eastAsia" w:ascii="宋体" w:hAnsi="宋体"/>
          <w:b/>
          <w:sz w:val="24"/>
          <w:lang w:eastAsia="zh-CN"/>
        </w:rPr>
        <w:t>、</w:t>
      </w:r>
      <w:r>
        <w:rPr>
          <w:rFonts w:hint="eastAsia" w:ascii="宋体" w:hAnsi="宋体"/>
          <w:b/>
          <w:sz w:val="24"/>
        </w:rPr>
        <w:t>报价要求及付款方式</w:t>
      </w:r>
    </w:p>
    <w:p w14:paraId="65D5F851">
      <w:pPr>
        <w:keepNext w:val="0"/>
        <w:keepLines w:val="0"/>
        <w:pageBreakBefore w:val="0"/>
        <w:widowControl w:val="0"/>
        <w:spacing w:line="440" w:lineRule="exact"/>
        <w:ind w:firstLine="480"/>
        <w:rPr>
          <w:rFonts w:hint="eastAsia" w:ascii="宋体" w:hAnsi="宋体"/>
          <w:sz w:val="24"/>
        </w:rPr>
      </w:pPr>
      <w:r>
        <w:rPr>
          <w:rFonts w:hint="eastAsia" w:ascii="宋体" w:hAnsi="宋体"/>
          <w:sz w:val="24"/>
        </w:rPr>
        <w:t>1、报价要求</w:t>
      </w:r>
    </w:p>
    <w:p w14:paraId="3A7E0E04">
      <w:pPr>
        <w:keepNext w:val="0"/>
        <w:keepLines w:val="0"/>
        <w:pageBreakBefore w:val="0"/>
        <w:widowControl w:val="0"/>
        <w:spacing w:line="440" w:lineRule="exact"/>
        <w:ind w:firstLine="480"/>
        <w:rPr>
          <w:rFonts w:hint="eastAsia" w:ascii="宋体" w:hAnsi="宋体" w:cs="Times New Roman"/>
          <w:bCs/>
          <w:sz w:val="24"/>
        </w:rPr>
      </w:pPr>
      <w:r>
        <w:rPr>
          <w:rFonts w:hint="eastAsia" w:ascii="宋体" w:hAnsi="宋体" w:cs="Times New Roman"/>
          <w:bCs/>
          <w:sz w:val="24"/>
        </w:rPr>
        <w:t>1.1</w:t>
      </w:r>
      <w:r>
        <w:rPr>
          <w:rFonts w:hint="eastAsia" w:ascii="宋体" w:hAnsi="宋体" w:cs="Times New Roman"/>
          <w:bCs/>
          <w:sz w:val="24"/>
          <w:lang w:eastAsia="zh-CN"/>
        </w:rPr>
        <w:t>本次采购按全费用固定综合单价报价方式报价</w:t>
      </w:r>
      <w:r>
        <w:rPr>
          <w:rFonts w:hint="eastAsia" w:ascii="宋体" w:hAnsi="宋体" w:cs="Times New Roman"/>
          <w:bCs/>
          <w:sz w:val="24"/>
        </w:rPr>
        <w:t>。</w:t>
      </w:r>
      <w:r>
        <w:rPr>
          <w:rFonts w:hint="eastAsia" w:ascii="宋体" w:hAnsi="宋体" w:cs="Times New Roman"/>
          <w:bCs/>
          <w:sz w:val="24"/>
          <w:lang w:eastAsia="zh-CN"/>
        </w:rPr>
        <w:t>投标人</w:t>
      </w:r>
      <w:r>
        <w:rPr>
          <w:rFonts w:hint="eastAsia" w:ascii="宋体" w:hAnsi="宋体" w:cs="Times New Roman"/>
          <w:bCs/>
          <w:sz w:val="24"/>
        </w:rPr>
        <w:t>按</w:t>
      </w:r>
      <w:r>
        <w:rPr>
          <w:rFonts w:hint="eastAsia" w:ascii="宋体" w:hAnsi="宋体" w:cs="Times New Roman"/>
          <w:bCs/>
          <w:sz w:val="24"/>
          <w:lang w:eastAsia="zh-CN"/>
        </w:rPr>
        <w:t>采购文件</w:t>
      </w:r>
      <w:r>
        <w:rPr>
          <w:rFonts w:hint="eastAsia" w:ascii="宋体" w:hAnsi="宋体" w:cs="Times New Roman"/>
          <w:bCs/>
          <w:sz w:val="24"/>
        </w:rPr>
        <w:t>要求的服务范围所需，充分考虑服务期间采购人提出变更和国家政策性调整风险系数和采购人对服务等的要求，结合自身实力并充分考虑实际所需进行自主报价，中标后全费用固定</w:t>
      </w:r>
      <w:r>
        <w:rPr>
          <w:rFonts w:hint="eastAsia" w:ascii="宋体" w:hAnsi="宋体" w:cs="Times New Roman"/>
          <w:bCs/>
          <w:sz w:val="24"/>
          <w:lang w:eastAsia="zh-CN"/>
        </w:rPr>
        <w:t>单价</w:t>
      </w:r>
      <w:r>
        <w:rPr>
          <w:rFonts w:hint="eastAsia" w:ascii="宋体" w:hAnsi="宋体" w:cs="Times New Roman"/>
          <w:bCs/>
          <w:sz w:val="24"/>
        </w:rPr>
        <w:t>不予调整。</w:t>
      </w:r>
    </w:p>
    <w:p w14:paraId="0511B613">
      <w:pPr>
        <w:keepNext w:val="0"/>
        <w:keepLines w:val="0"/>
        <w:pageBreakBefore w:val="0"/>
        <w:widowControl w:val="0"/>
        <w:spacing w:line="440" w:lineRule="exact"/>
        <w:ind w:firstLine="480"/>
        <w:rPr>
          <w:rFonts w:hint="eastAsia" w:ascii="宋体" w:hAnsi="宋体" w:eastAsia="宋体" w:cs="Times New Roman"/>
          <w:bCs/>
          <w:sz w:val="24"/>
          <w:lang w:eastAsia="zh-CN"/>
        </w:rPr>
      </w:pPr>
      <w:r>
        <w:rPr>
          <w:rFonts w:hint="eastAsia" w:ascii="宋体" w:hAnsi="宋体" w:eastAsia="宋体" w:cs="Times New Roman"/>
          <w:bCs/>
          <w:color w:val="auto"/>
          <w:sz w:val="24"/>
          <w:lang w:eastAsia="zh-CN"/>
        </w:rPr>
        <w:t>1.2报价应</w:t>
      </w:r>
      <w:r>
        <w:rPr>
          <w:rFonts w:hint="eastAsia" w:ascii="宋体" w:hAnsi="宋体" w:eastAsia="宋体" w:cs="Times New Roman"/>
          <w:bCs/>
          <w:sz w:val="24"/>
          <w:lang w:eastAsia="zh-CN"/>
        </w:rPr>
        <w:t>包括投标人为完成本次招标文件所确定的招标内容，以及投标人为完成上述内容所必须的技术支持以及劳务、产品供货（</w:t>
      </w:r>
      <w:r>
        <w:rPr>
          <w:rFonts w:hint="eastAsia" w:ascii="宋体" w:hAnsi="宋体" w:eastAsia="宋体" w:cs="Times New Roman"/>
          <w:color w:val="000000"/>
          <w:sz w:val="24"/>
          <w:szCs w:val="24"/>
          <w:lang w:val="en-US" w:eastAsia="zh-CN"/>
        </w:rPr>
        <w:t>包含与服务相关的所有货物</w:t>
      </w:r>
      <w:r>
        <w:rPr>
          <w:rFonts w:hint="eastAsia" w:ascii="宋体" w:hAnsi="宋体" w:eastAsia="宋体" w:cs="Times New Roman"/>
          <w:bCs/>
          <w:sz w:val="24"/>
          <w:lang w:eastAsia="zh-CN"/>
        </w:rPr>
        <w:t>）、机械设备投入、运输、安装及相应安装辅材、调试、检测、运输、维修、保险、电费、劳务、利润、税金、代理费、管理费、政策性文件规定的各项所需的全部费用、不可预见费及其它一切相关费用。</w:t>
      </w:r>
    </w:p>
    <w:p w14:paraId="235A9139">
      <w:pPr>
        <w:pStyle w:val="10"/>
        <w:keepNext w:val="0"/>
        <w:keepLines w:val="0"/>
        <w:pageBreakBefore w:val="0"/>
        <w:widowControl w:val="0"/>
        <w:spacing w:line="440" w:lineRule="exact"/>
        <w:ind w:left="0" w:leftChars="0" w:firstLine="240" w:firstLineChars="100"/>
        <w:rPr>
          <w:rFonts w:hint="eastAsia" w:ascii="宋体" w:hAnsi="宋体" w:eastAsia="宋体" w:cs="Times New Roman"/>
          <w:bCs/>
          <w:sz w:val="24"/>
          <w:lang w:eastAsia="zh-CN"/>
        </w:rPr>
      </w:pPr>
      <w:r>
        <w:rPr>
          <w:rFonts w:hint="eastAsia" w:ascii="宋体" w:hAnsi="宋体" w:eastAsia="宋体" w:cs="Times New Roman"/>
          <w:bCs/>
          <w:color w:val="00B0F0"/>
          <w:sz w:val="24"/>
          <w:highlight w:val="none"/>
          <w:lang w:val="en-US" w:eastAsia="zh-CN"/>
        </w:rPr>
        <w:t xml:space="preserve"> </w:t>
      </w:r>
      <w:r>
        <w:rPr>
          <w:rFonts w:hint="eastAsia" w:ascii="宋体" w:hAnsi="宋体" w:eastAsia="宋体" w:cs="Times New Roman"/>
          <w:bCs/>
          <w:sz w:val="24"/>
          <w:lang w:eastAsia="zh-CN"/>
        </w:rPr>
        <w:t>2</w:t>
      </w:r>
      <w:r>
        <w:rPr>
          <w:rFonts w:hint="eastAsia" w:ascii="宋体" w:hAnsi="宋体" w:eastAsia="宋体" w:cs="Times New Roman"/>
          <w:bCs/>
          <w:sz w:val="24"/>
          <w:lang w:val="en-US" w:eastAsia="zh-CN"/>
        </w:rPr>
        <w:t>.</w:t>
      </w:r>
      <w:r>
        <w:rPr>
          <w:rFonts w:hint="eastAsia" w:ascii="宋体" w:hAnsi="宋体" w:eastAsia="宋体" w:cs="Times New Roman"/>
          <w:bCs/>
          <w:sz w:val="24"/>
          <w:lang w:eastAsia="zh-CN"/>
        </w:rPr>
        <w:t>付款方式：按本文件第三章合同条款中的相关条款执行。</w:t>
      </w:r>
    </w:p>
    <w:p w14:paraId="6FEBDAE6">
      <w:pPr>
        <w:spacing w:line="420" w:lineRule="exact"/>
        <w:ind w:firstLine="482"/>
        <w:rPr>
          <w:rFonts w:hint="eastAsia" w:ascii="宋体" w:hAnsi="宋体"/>
          <w:b/>
          <w:sz w:val="24"/>
          <w:lang w:eastAsia="zh-CN"/>
        </w:rPr>
      </w:pPr>
    </w:p>
    <w:p w14:paraId="1B9504DD">
      <w:pPr>
        <w:spacing w:line="420" w:lineRule="exact"/>
        <w:ind w:firstLine="482"/>
        <w:rPr>
          <w:rFonts w:hint="eastAsia" w:ascii="宋体" w:hAnsi="宋体"/>
          <w:b/>
          <w:sz w:val="24"/>
        </w:rPr>
      </w:pPr>
      <w:r>
        <w:rPr>
          <w:rFonts w:hint="eastAsia" w:ascii="宋体" w:hAnsi="宋体" w:eastAsia="宋体"/>
          <w:b/>
          <w:sz w:val="24"/>
          <w:lang w:eastAsia="zh-CN"/>
        </w:rPr>
        <w:t>五</w:t>
      </w:r>
      <w:r>
        <w:rPr>
          <w:rFonts w:hint="eastAsia" w:ascii="宋体" w:hAnsi="宋体"/>
          <w:b/>
          <w:sz w:val="24"/>
        </w:rPr>
        <w:t>、其它</w:t>
      </w:r>
    </w:p>
    <w:p w14:paraId="53D859D0">
      <w:pPr>
        <w:pStyle w:val="17"/>
        <w:spacing w:beforeAutospacing="0" w:afterAutospacing="0"/>
        <w:jc w:val="both"/>
      </w:pPr>
      <w:r>
        <w:rPr>
          <w:rFonts w:hint="eastAsia" w:ascii="宋体" w:hAnsi="宋体"/>
          <w:sz w:val="24"/>
        </w:rPr>
        <w:t>其它未尽事项按国家、地方有关法律、法规、规章规定办理。</w:t>
      </w:r>
    </w:p>
    <w:p w14:paraId="5F25E780">
      <w:pPr>
        <w:pStyle w:val="17"/>
        <w:spacing w:beforeAutospacing="0" w:afterAutospacing="0" w:line="0" w:lineRule="atLeast"/>
        <w:ind w:firstLine="480"/>
        <w:jc w:val="both"/>
      </w:pPr>
      <w:r>
        <w:t> </w:t>
      </w:r>
    </w:p>
    <w:p w14:paraId="101EB7EE">
      <w:pPr>
        <w:pStyle w:val="17"/>
        <w:spacing w:beforeAutospacing="0" w:afterAutospacing="0"/>
        <w:ind w:firstLine="602"/>
        <w:jc w:val="both"/>
      </w:pPr>
      <w:r>
        <w:t> </w:t>
      </w:r>
    </w:p>
    <w:p w14:paraId="32EE5F64">
      <w:pPr>
        <w:pStyle w:val="17"/>
        <w:spacing w:beforeAutospacing="0" w:afterAutospacing="0"/>
        <w:jc w:val="both"/>
      </w:pPr>
      <w:r>
        <w:t> </w:t>
      </w:r>
    </w:p>
    <w:p w14:paraId="31150C11">
      <w:pPr>
        <w:pStyle w:val="17"/>
        <w:tabs>
          <w:tab w:val="left" w:pos="6205"/>
        </w:tabs>
        <w:spacing w:beforeAutospacing="0" w:afterAutospacing="0"/>
        <w:jc w:val="both"/>
      </w:pPr>
      <w:r>
        <w:t> </w:t>
      </w:r>
      <w:bookmarkStart w:id="178" w:name="_Toc120614281"/>
    </w:p>
    <w:p w14:paraId="58933E5C">
      <w:pPr>
        <w:pStyle w:val="17"/>
        <w:spacing w:beforeAutospacing="0" w:afterAutospacing="0"/>
        <w:jc w:val="both"/>
      </w:pPr>
      <w:r>
        <w:t> </w:t>
      </w:r>
    </w:p>
    <w:p w14:paraId="12BB46FB">
      <w:pPr>
        <w:pStyle w:val="17"/>
        <w:spacing w:beforeAutospacing="0" w:afterAutospacing="0"/>
        <w:jc w:val="both"/>
      </w:pPr>
    </w:p>
    <w:p w14:paraId="1CFA9986">
      <w:pPr>
        <w:pStyle w:val="17"/>
        <w:spacing w:beforeAutospacing="0" w:afterAutospacing="0"/>
        <w:jc w:val="both"/>
      </w:pPr>
    </w:p>
    <w:p w14:paraId="24E74719">
      <w:pPr>
        <w:pStyle w:val="17"/>
        <w:spacing w:beforeAutospacing="0" w:afterAutospacing="0"/>
        <w:jc w:val="both"/>
      </w:pPr>
    </w:p>
    <w:p w14:paraId="640DA1D6">
      <w:pPr>
        <w:pStyle w:val="17"/>
        <w:spacing w:beforeAutospacing="0" w:afterAutospacing="0"/>
        <w:jc w:val="both"/>
      </w:pPr>
    </w:p>
    <w:p w14:paraId="29231282">
      <w:pPr>
        <w:pStyle w:val="17"/>
        <w:spacing w:beforeAutospacing="0" w:afterAutospacing="0"/>
        <w:jc w:val="both"/>
      </w:pPr>
    </w:p>
    <w:p w14:paraId="5FA1A880">
      <w:pPr>
        <w:pStyle w:val="17"/>
        <w:spacing w:beforeAutospacing="0" w:afterAutospacing="0"/>
        <w:jc w:val="both"/>
      </w:pPr>
    </w:p>
    <w:p w14:paraId="3FA3D435">
      <w:pPr>
        <w:pStyle w:val="17"/>
        <w:spacing w:beforeAutospacing="0" w:afterAutospacing="0"/>
        <w:jc w:val="both"/>
      </w:pPr>
    </w:p>
    <w:p w14:paraId="46A46013">
      <w:pPr>
        <w:pStyle w:val="17"/>
        <w:spacing w:beforeAutospacing="0" w:afterAutospacing="0"/>
        <w:jc w:val="both"/>
      </w:pPr>
    </w:p>
    <w:p w14:paraId="30537765">
      <w:pPr>
        <w:pStyle w:val="17"/>
        <w:spacing w:beforeAutospacing="0" w:afterAutospacing="0"/>
        <w:jc w:val="both"/>
      </w:pPr>
    </w:p>
    <w:p w14:paraId="31B6892D">
      <w:pPr>
        <w:pStyle w:val="17"/>
        <w:keepNext/>
        <w:spacing w:beforeAutospacing="0" w:afterAutospacing="0"/>
        <w:jc w:val="cente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评标方法与评标标准</w:t>
      </w:r>
    </w:p>
    <w:p w14:paraId="579B27C5">
      <w:pPr>
        <w:pStyle w:val="17"/>
        <w:spacing w:beforeAutospacing="0" w:afterAutospacing="0"/>
        <w:jc w:val="both"/>
      </w:pPr>
      <w:r>
        <w:t> </w:t>
      </w:r>
    </w:p>
    <w:p w14:paraId="668FEA9F">
      <w:pPr>
        <w:snapToGrid w:val="0"/>
        <w:spacing w:line="360" w:lineRule="auto"/>
        <w:rPr>
          <w:rFonts w:ascii="宋体" w:hAnsi="宋体" w:cs="Courier New"/>
          <w:b/>
          <w:bCs/>
          <w:color w:val="000000"/>
          <w:sz w:val="24"/>
        </w:rPr>
      </w:pPr>
      <w:r>
        <w:rPr>
          <w:rFonts w:hint="eastAsia" w:ascii="宋体" w:hAnsi="宋体" w:cs="Courier New"/>
          <w:b/>
          <w:bCs/>
          <w:color w:val="000000"/>
          <w:sz w:val="24"/>
        </w:rPr>
        <w:t>一、定标原则</w:t>
      </w:r>
    </w:p>
    <w:p w14:paraId="511C5593">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sz w:val="24"/>
          <w:highlight w:val="none"/>
        </w:rPr>
        <w:t>本次评标采用</w:t>
      </w:r>
      <w:r>
        <w:rPr>
          <w:rFonts w:hint="eastAsia"/>
          <w:sz w:val="24"/>
          <w:highlight w:val="none"/>
          <w:u w:val="single"/>
        </w:rPr>
        <w:t>最低评标价法</w:t>
      </w:r>
      <w:r>
        <w:rPr>
          <w:rFonts w:hint="eastAsia" w:ascii="宋体" w:hAnsi="宋体"/>
          <w:sz w:val="24"/>
          <w:highlight w:val="none"/>
        </w:rPr>
        <w:t>。</w:t>
      </w:r>
      <w:r>
        <w:rPr>
          <w:rFonts w:hint="eastAsia" w:ascii="宋体" w:hAnsi="宋体" w:cs="Times New Roman"/>
          <w:sz w:val="24"/>
          <w:highlight w:val="none"/>
        </w:rPr>
        <w:t>最低评标价法，是指以价格为主要因素确定中标候选人的评标方法，即在全部满足招标文件实质性要求前提下，依据统一的价格要素评定最低报价，以提出最低报价的投标人作为中标候选人或者中标人的评标方法。</w:t>
      </w:r>
    </w:p>
    <w:p w14:paraId="7A676DAE">
      <w:pPr>
        <w:snapToGrid w:val="0"/>
        <w:spacing w:line="360" w:lineRule="auto"/>
        <w:rPr>
          <w:rFonts w:hint="eastAsia" w:ascii="宋体" w:hAnsi="宋体" w:cs="Courier New"/>
          <w:b/>
          <w:bCs/>
          <w:color w:val="000000"/>
          <w:sz w:val="24"/>
        </w:rPr>
      </w:pPr>
      <w:r>
        <w:rPr>
          <w:rFonts w:hint="eastAsia" w:ascii="宋体" w:hAnsi="宋体" w:cs="Courier New"/>
          <w:b/>
          <w:bCs/>
          <w:color w:val="000000"/>
          <w:sz w:val="24"/>
        </w:rPr>
        <w:t>政府采购政策功能落实</w:t>
      </w:r>
    </w:p>
    <w:p w14:paraId="10DAB7DE">
      <w:pPr>
        <w:pStyle w:val="17"/>
        <w:spacing w:before="120" w:beforeAutospacing="0" w:after="120" w:afterAutospacing="0" w:line="360" w:lineRule="auto"/>
        <w:ind w:firstLine="441"/>
        <w:rPr>
          <w:rFonts w:hint="eastAsia" w:ascii="宋体" w:hAnsi="宋体" w:eastAsia="宋体" w:cs="宋体"/>
          <w:highlight w:val="none"/>
        </w:rPr>
      </w:pPr>
      <w:r>
        <w:rPr>
          <w:rFonts w:hint="eastAsia" w:ascii="宋体" w:hAnsi="宋体" w:eastAsia="宋体" w:cs="宋体"/>
          <w:b/>
          <w:color w:val="000000"/>
          <w:highlight w:val="none"/>
        </w:rPr>
        <w:t>政府采购政策功能落实</w:t>
      </w:r>
    </w:p>
    <w:p w14:paraId="20E729E2">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rPr>
        <w:t>1、小微型企业价格扣除</w:t>
      </w:r>
    </w:p>
    <w:p w14:paraId="5A19E5A0">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rPr>
        <w:t>（1）本项目若不专门面向中小企业采购，对</w:t>
      </w:r>
      <w:r>
        <w:rPr>
          <w:rFonts w:hint="eastAsia" w:ascii="宋体" w:hAnsi="宋体" w:cs="Times New Roman"/>
          <w:sz w:val="24"/>
          <w:highlight w:val="none"/>
          <w:lang w:val="en-US" w:eastAsia="zh-CN"/>
        </w:rPr>
        <w:t>符合规定的</w:t>
      </w:r>
      <w:r>
        <w:rPr>
          <w:rFonts w:hint="eastAsia" w:ascii="宋体" w:hAnsi="宋体" w:cs="Times New Roman"/>
          <w:sz w:val="24"/>
          <w:highlight w:val="none"/>
        </w:rPr>
        <w:t>小型和微型企业</w:t>
      </w:r>
      <w:r>
        <w:rPr>
          <w:rFonts w:hint="eastAsia" w:ascii="宋体" w:hAnsi="宋体" w:cs="Times New Roman"/>
          <w:sz w:val="24"/>
          <w:highlight w:val="none"/>
          <w:lang w:val="en-US" w:eastAsia="zh-CN"/>
        </w:rPr>
        <w:t>报价</w:t>
      </w:r>
      <w:r>
        <w:rPr>
          <w:rFonts w:hint="eastAsia" w:ascii="宋体" w:hAnsi="宋体" w:cs="Times New Roman"/>
          <w:sz w:val="24"/>
          <w:highlight w:val="none"/>
        </w:rPr>
        <w:t>给予20%的扣除价格，用扣除后的价格参与评审；若专门面向中小企业采购，不再对小型和微型企业</w:t>
      </w:r>
      <w:r>
        <w:rPr>
          <w:rFonts w:hint="eastAsia" w:ascii="宋体" w:hAnsi="宋体" w:cs="Times New Roman"/>
          <w:sz w:val="24"/>
          <w:highlight w:val="none"/>
          <w:lang w:val="en-US" w:eastAsia="zh-CN"/>
        </w:rPr>
        <w:t>报价</w:t>
      </w:r>
      <w:r>
        <w:rPr>
          <w:rFonts w:hint="eastAsia" w:ascii="宋体" w:hAnsi="宋体" w:cs="Times New Roman"/>
          <w:sz w:val="24"/>
          <w:highlight w:val="none"/>
        </w:rPr>
        <w:t>给予价格扣除。</w:t>
      </w:r>
    </w:p>
    <w:p w14:paraId="73B3C08A">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rPr>
        <w:t>（2）供应商需按照采购文件的要求提供相应的《</w:t>
      </w:r>
      <w:r>
        <w:rPr>
          <w:rFonts w:hint="eastAsia" w:ascii="宋体" w:hAnsi="宋体" w:cs="Times New Roman"/>
          <w:sz w:val="24"/>
          <w:highlight w:val="none"/>
          <w:lang w:val="en-US" w:eastAsia="zh-CN"/>
        </w:rPr>
        <w:t>小微</w:t>
      </w:r>
      <w:r>
        <w:rPr>
          <w:rFonts w:hint="eastAsia" w:ascii="宋体" w:hAnsi="宋体" w:cs="Times New Roman"/>
          <w:sz w:val="24"/>
          <w:highlight w:val="none"/>
        </w:rPr>
        <w:t>企业声明函》。</w:t>
      </w:r>
    </w:p>
    <w:p w14:paraId="73ACDBA4">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rPr>
        <w:t>（3）企业标准请参照《关于印发中小企业划型标准规定的通知》（工信部联企业</w:t>
      </w:r>
      <w:r>
        <w:rPr>
          <w:rFonts w:hint="eastAsia" w:ascii="宋体" w:hAnsi="宋体" w:cs="Times New Roman"/>
          <w:sz w:val="24"/>
          <w:highlight w:val="none"/>
          <w:lang w:eastAsia="zh-CN"/>
        </w:rPr>
        <w:t>〔2011〕300号</w:t>
      </w:r>
      <w:r>
        <w:rPr>
          <w:rFonts w:hint="eastAsia" w:ascii="宋体" w:hAnsi="宋体" w:cs="Times New Roman"/>
          <w:sz w:val="24"/>
          <w:highlight w:val="none"/>
        </w:rPr>
        <w:t>）文件规定自行填写。</w:t>
      </w:r>
    </w:p>
    <w:p w14:paraId="123A9836">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rPr>
        <w:t>2、残疾人福利单位价格扣除</w:t>
      </w:r>
    </w:p>
    <w:p w14:paraId="48BAD8C1">
      <w:pPr>
        <w:pStyle w:val="17"/>
        <w:spacing w:before="120" w:beforeAutospacing="0" w:after="120" w:afterAutospacing="0" w:line="360" w:lineRule="auto"/>
        <w:ind w:firstLine="439"/>
        <w:rPr>
          <w:rFonts w:hint="eastAsia" w:ascii="宋体" w:hAnsi="宋体" w:cs="Times New Roman"/>
          <w:sz w:val="24"/>
          <w:highlight w:val="none"/>
          <w:lang w:eastAsia="zh-CN"/>
        </w:rPr>
      </w:pPr>
      <w:r>
        <w:rPr>
          <w:rFonts w:hint="eastAsia" w:ascii="宋体" w:hAnsi="宋体" w:cs="Times New Roman"/>
          <w:sz w:val="24"/>
          <w:highlight w:val="none"/>
        </w:rPr>
        <w:t>（1）本项目对残疾人福利性单位视同小型、微型企业，给予20%</w:t>
      </w:r>
      <w:r>
        <w:rPr>
          <w:rFonts w:hint="eastAsia" w:ascii="宋体" w:hAnsi="宋体" w:cs="Times New Roman"/>
          <w:sz w:val="24"/>
          <w:highlight w:val="none"/>
          <w:lang w:eastAsia="zh-CN"/>
        </w:rPr>
        <w:t>的价格扣除。</w:t>
      </w:r>
    </w:p>
    <w:p w14:paraId="6DDC4FB5">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rPr>
        <w:t>（2）残疾人福利单位需按照采购文件的要求提供《残疾人福利性单位声明函》。</w:t>
      </w:r>
    </w:p>
    <w:p w14:paraId="05D26FC5">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rPr>
        <w:t>（3）残疾人福利单位标准请参照《关于促进残疾人就业政府采购政策的通知》（财库〔2017〕141号）。</w:t>
      </w:r>
    </w:p>
    <w:p w14:paraId="04DB8360">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rPr>
        <w:t>3、监狱和戒毒企业价格扣除</w:t>
      </w:r>
    </w:p>
    <w:p w14:paraId="7D3DF823">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rPr>
        <w:t>（1）本项目对监狱和戒毒企业（简称监狱企业）视同小型、微型企业，给予20%</w:t>
      </w:r>
      <w:r>
        <w:rPr>
          <w:rFonts w:hint="eastAsia" w:ascii="宋体" w:hAnsi="宋体" w:cs="Times New Roman"/>
          <w:sz w:val="24"/>
          <w:highlight w:val="none"/>
          <w:lang w:eastAsia="zh-CN"/>
        </w:rPr>
        <w:t>的价格扣除。</w:t>
      </w:r>
    </w:p>
    <w:p w14:paraId="734F155E">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rPr>
        <w:t>（3）监狱企业标准请参照《关于政府采购支持监狱企业发展有关问题的通知》（财库</w:t>
      </w:r>
      <w:r>
        <w:rPr>
          <w:rFonts w:hint="eastAsia" w:ascii="宋体" w:hAnsi="宋体" w:cs="Times New Roman"/>
          <w:sz w:val="24"/>
          <w:highlight w:val="none"/>
          <w:lang w:eastAsia="zh-CN"/>
        </w:rPr>
        <w:t>〔2014〕68号</w:t>
      </w:r>
      <w:r>
        <w:rPr>
          <w:rFonts w:hint="eastAsia" w:ascii="宋体" w:hAnsi="宋体" w:cs="Times New Roman"/>
          <w:sz w:val="24"/>
          <w:highlight w:val="none"/>
        </w:rPr>
        <w:t>）。</w:t>
      </w:r>
    </w:p>
    <w:p w14:paraId="70D78B33">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rPr>
        <w:t>4、残疾人福利单位、监狱企业属于小型、微型企业的，不重复享受政策。</w:t>
      </w:r>
    </w:p>
    <w:p w14:paraId="018A8531">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2E3EB1FA">
      <w:pPr>
        <w:pStyle w:val="17"/>
        <w:spacing w:before="120" w:beforeAutospacing="0" w:after="120" w:afterAutospacing="0" w:line="360" w:lineRule="auto"/>
        <w:ind w:firstLine="439"/>
        <w:rPr>
          <w:rFonts w:hint="eastAsia" w:ascii="宋体" w:hAnsi="宋体" w:cs="Times New Roman"/>
          <w:sz w:val="24"/>
          <w:highlight w:val="none"/>
          <w:lang w:eastAsia="zh-CN"/>
        </w:rPr>
      </w:pPr>
      <w:r>
        <w:rPr>
          <w:rFonts w:hint="eastAsia" w:ascii="宋体" w:hAnsi="宋体" w:cs="Times New Roman"/>
          <w:sz w:val="24"/>
          <w:highlight w:val="none"/>
        </w:rPr>
        <w:t>6、联合体各方均为小型、微型企业（残疾人福利单位、监狱企业）的，联合体享受20%</w:t>
      </w:r>
      <w:r>
        <w:rPr>
          <w:rFonts w:hint="eastAsia" w:ascii="宋体" w:hAnsi="宋体" w:cs="Times New Roman"/>
          <w:sz w:val="24"/>
          <w:highlight w:val="none"/>
          <w:lang w:eastAsia="zh-CN"/>
        </w:rPr>
        <w:t>的价格扣除。</w:t>
      </w:r>
    </w:p>
    <w:p w14:paraId="658367C6">
      <w:pPr>
        <w:pStyle w:val="17"/>
        <w:spacing w:before="120" w:beforeAutospacing="0" w:after="120" w:afterAutospacing="0" w:line="360" w:lineRule="auto"/>
        <w:ind w:firstLine="439"/>
        <w:rPr>
          <w:rFonts w:hint="eastAsia" w:ascii="宋体" w:hAnsi="宋体" w:cs="Times New Roman"/>
          <w:sz w:val="24"/>
          <w:highlight w:val="none"/>
          <w:lang w:eastAsia="zh-CN"/>
        </w:rPr>
      </w:pPr>
      <w:r>
        <w:rPr>
          <w:rFonts w:hint="eastAsia" w:ascii="宋体" w:hAnsi="宋体" w:cs="Times New Roman"/>
          <w:sz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8F97944">
      <w:pPr>
        <w:pStyle w:val="17"/>
        <w:spacing w:before="120" w:beforeAutospacing="0" w:after="120" w:afterAutospacing="0" w:line="360" w:lineRule="auto"/>
        <w:ind w:firstLine="439"/>
        <w:rPr>
          <w:rFonts w:hint="eastAsia" w:ascii="宋体" w:hAnsi="宋体" w:cs="Times New Roman"/>
          <w:sz w:val="24"/>
          <w:highlight w:val="none"/>
        </w:rPr>
      </w:pPr>
      <w:r>
        <w:rPr>
          <w:rFonts w:hint="eastAsia" w:ascii="宋体" w:hAnsi="宋体" w:cs="Times New Roman"/>
          <w:sz w:val="24"/>
          <w:highlight w:val="none"/>
          <w:lang w:val="en-US" w:eastAsia="zh-CN"/>
        </w:rPr>
        <w:t>8、</w:t>
      </w:r>
      <w:r>
        <w:rPr>
          <w:rFonts w:hint="eastAsia" w:ascii="宋体" w:hAnsi="宋体" w:cs="Times New Roman"/>
          <w:sz w:val="24"/>
          <w:highlight w:val="none"/>
        </w:rPr>
        <w:t>本次采购项目属于</w:t>
      </w:r>
      <w:r>
        <w:rPr>
          <w:rFonts w:hint="eastAsia" w:ascii="宋体" w:hAnsi="宋体" w:cs="Times New Roman"/>
          <w:sz w:val="24"/>
          <w:highlight w:val="none"/>
          <w:lang w:eastAsia="zh-CN"/>
        </w:rPr>
        <w:t>“其他未列明行业”</w:t>
      </w:r>
      <w:r>
        <w:rPr>
          <w:rFonts w:hint="eastAsia" w:ascii="宋体" w:hAnsi="宋体" w:cs="Times New Roman"/>
          <w:sz w:val="24"/>
          <w:highlight w:val="none"/>
        </w:rPr>
        <w:t>。</w:t>
      </w:r>
    </w:p>
    <w:p w14:paraId="414C3355">
      <w:pPr>
        <w:spacing w:line="400" w:lineRule="exact"/>
        <w:ind w:left="38" w:leftChars="18" w:firstLine="508" w:firstLineChars="211"/>
        <w:rPr>
          <w:rFonts w:hint="eastAsia" w:ascii="宋体" w:hAnsi="宋体"/>
          <w:b/>
          <w:sz w:val="24"/>
          <w:highlight w:val="none"/>
        </w:rPr>
      </w:pPr>
      <w:r>
        <w:rPr>
          <w:rFonts w:hint="eastAsia" w:ascii="宋体" w:hAnsi="宋体"/>
          <w:b/>
          <w:sz w:val="24"/>
          <w:highlight w:val="none"/>
          <w:lang w:eastAsia="zh-CN"/>
        </w:rPr>
        <w:t>二</w:t>
      </w:r>
      <w:r>
        <w:rPr>
          <w:rFonts w:hint="eastAsia" w:ascii="宋体" w:hAnsi="宋体"/>
          <w:b/>
          <w:sz w:val="24"/>
          <w:highlight w:val="none"/>
        </w:rPr>
        <w:t>、定标办法</w:t>
      </w:r>
    </w:p>
    <w:p w14:paraId="6DDD737C">
      <w:pPr>
        <w:adjustRightInd w:val="0"/>
        <w:snapToGrid w:val="0"/>
        <w:spacing w:line="400" w:lineRule="exact"/>
        <w:ind w:firstLine="480" w:firstLineChars="200"/>
        <w:rPr>
          <w:rFonts w:hint="eastAsia"/>
          <w:sz w:val="24"/>
          <w:highlight w:val="none"/>
        </w:rPr>
      </w:pPr>
      <w:r>
        <w:rPr>
          <w:rFonts w:hint="eastAsia"/>
          <w:sz w:val="24"/>
          <w:highlight w:val="none"/>
        </w:rPr>
        <w:t>1、最终取通过详细评审、投标报价由低到高的前三名投标人为中标人候选人。</w:t>
      </w:r>
    </w:p>
    <w:p w14:paraId="043B2719">
      <w:pPr>
        <w:adjustRightInd w:val="0"/>
        <w:snapToGrid w:val="0"/>
        <w:spacing w:line="400" w:lineRule="exact"/>
        <w:ind w:firstLine="480" w:firstLineChars="200"/>
        <w:rPr>
          <w:rFonts w:hint="eastAsia"/>
          <w:sz w:val="24"/>
          <w:highlight w:val="none"/>
        </w:rPr>
      </w:pPr>
      <w:r>
        <w:rPr>
          <w:rFonts w:hint="eastAsia"/>
          <w:sz w:val="24"/>
          <w:highlight w:val="none"/>
        </w:rPr>
        <w:t>2、</w:t>
      </w:r>
      <w:r>
        <w:rPr>
          <w:sz w:val="24"/>
          <w:highlight w:val="none"/>
        </w:rPr>
        <w:t>采用最低评标价法的，评标结果按投标报价由低到高顺序排列。投标报价相同的并列。投标文件满足招标文件全部实质性要求且投标报价最低的投标人为排名第一的中标候选人。</w:t>
      </w:r>
    </w:p>
    <w:p w14:paraId="5A9C427C">
      <w:pPr>
        <w:adjustRightInd w:val="0"/>
        <w:snapToGrid w:val="0"/>
        <w:spacing w:line="400" w:lineRule="exact"/>
        <w:ind w:firstLine="480" w:firstLineChars="200"/>
        <w:rPr>
          <w:sz w:val="24"/>
          <w:highlight w:val="none"/>
        </w:rPr>
      </w:pPr>
      <w:r>
        <w:rPr>
          <w:rFonts w:hint="eastAsia"/>
          <w:sz w:val="24"/>
          <w:highlight w:val="none"/>
        </w:rPr>
        <w:t>3、</w:t>
      </w:r>
      <w:r>
        <w:rPr>
          <w:sz w:val="24"/>
          <w:highlight w:val="none"/>
        </w:rPr>
        <w:t>中标候选人并列的，</w:t>
      </w:r>
      <w:r>
        <w:rPr>
          <w:rFonts w:hint="eastAsia"/>
          <w:sz w:val="24"/>
          <w:highlight w:val="none"/>
          <w:lang w:eastAsia="zh-CN"/>
        </w:rPr>
        <w:t>招标人</w:t>
      </w:r>
      <w:r>
        <w:rPr>
          <w:sz w:val="24"/>
          <w:highlight w:val="none"/>
        </w:rPr>
        <w:t>委托评标委员会采取随机抽取的方式确定中标人</w:t>
      </w:r>
      <w:r>
        <w:rPr>
          <w:rFonts w:hint="eastAsia"/>
          <w:sz w:val="24"/>
          <w:highlight w:val="none"/>
        </w:rPr>
        <w:t>。</w:t>
      </w:r>
    </w:p>
    <w:p w14:paraId="5963C0F3">
      <w:pPr>
        <w:adjustRightInd w:val="0"/>
        <w:snapToGrid w:val="0"/>
        <w:spacing w:line="400" w:lineRule="exact"/>
        <w:ind w:firstLine="480" w:firstLineChars="200"/>
        <w:rPr>
          <w:rFonts w:hint="eastAsia" w:ascii="宋体" w:hAnsi="宋体"/>
          <w:b/>
          <w:bCs/>
          <w:sz w:val="24"/>
          <w:highlight w:val="none"/>
        </w:rPr>
      </w:pPr>
      <w:r>
        <w:rPr>
          <w:rFonts w:hint="eastAsia"/>
          <w:sz w:val="24"/>
          <w:highlight w:val="none"/>
        </w:rPr>
        <w:t>4、评标委员会决定投标文件的响应性只根据投标文件本身的内容，而不寻求外部的证据。</w:t>
      </w:r>
    </w:p>
    <w:p w14:paraId="584AB4FD">
      <w:pPr>
        <w:spacing w:line="400" w:lineRule="exact"/>
        <w:ind w:firstLine="470" w:firstLineChars="195"/>
        <w:rPr>
          <w:rFonts w:hint="eastAsia" w:ascii="宋体" w:hAnsi="宋体"/>
          <w:b/>
          <w:bCs/>
          <w:sz w:val="24"/>
          <w:highlight w:val="none"/>
        </w:rPr>
      </w:pPr>
      <w:r>
        <w:rPr>
          <w:rFonts w:hint="eastAsia" w:ascii="宋体" w:hAnsi="宋体" w:eastAsia="宋体"/>
          <w:b/>
          <w:bCs/>
          <w:sz w:val="24"/>
          <w:highlight w:val="none"/>
          <w:lang w:eastAsia="zh-CN"/>
        </w:rPr>
        <w:t>三</w:t>
      </w:r>
      <w:r>
        <w:rPr>
          <w:rFonts w:hint="eastAsia" w:ascii="宋体" w:hAnsi="宋体"/>
          <w:b/>
          <w:bCs/>
          <w:sz w:val="24"/>
          <w:highlight w:val="none"/>
        </w:rPr>
        <w:t>、 其它</w:t>
      </w:r>
    </w:p>
    <w:p w14:paraId="13701B9F">
      <w:pPr>
        <w:pStyle w:val="17"/>
        <w:spacing w:beforeAutospacing="0" w:afterAutospacing="0"/>
        <w:ind w:firstLine="480" w:firstLineChars="200"/>
        <w:jc w:val="both"/>
      </w:pPr>
      <w:r>
        <w:rPr>
          <w:rFonts w:hint="eastAsia" w:ascii="宋体" w:hAnsi="宋体"/>
          <w:sz w:val="24"/>
          <w:highlight w:val="none"/>
        </w:rPr>
        <w:t>本办法未述及的事宜，由评标委员会依据法律法规规定处理。</w:t>
      </w:r>
      <w:r>
        <w:t> </w:t>
      </w:r>
    </w:p>
    <w:p w14:paraId="5010AC0A">
      <w:pPr>
        <w:pStyle w:val="17"/>
        <w:spacing w:beforeAutospacing="0" w:afterAutospacing="0"/>
        <w:ind w:firstLine="480" w:firstLineChars="200"/>
        <w:jc w:val="both"/>
      </w:pPr>
      <w:r>
        <w:t> </w:t>
      </w:r>
    </w:p>
    <w:p w14:paraId="19E644B1">
      <w:pPr>
        <w:rPr>
          <w:rFonts w:hint="eastAsia"/>
        </w:rPr>
      </w:pPr>
    </w:p>
    <w:p w14:paraId="24343D18">
      <w:pPr>
        <w:rPr>
          <w:rFonts w:hint="eastAsia"/>
        </w:rPr>
      </w:pPr>
    </w:p>
    <w:p w14:paraId="4E42D92B">
      <w:pPr>
        <w:rPr>
          <w:rFonts w:hint="eastAsia"/>
        </w:rPr>
      </w:pPr>
    </w:p>
    <w:p w14:paraId="35FDC5C0">
      <w:pPr>
        <w:rPr>
          <w:rFonts w:hint="eastAsia"/>
        </w:rPr>
      </w:pPr>
    </w:p>
    <w:p w14:paraId="6994F57F">
      <w:pPr>
        <w:rPr>
          <w:rFonts w:hint="eastAsia"/>
        </w:rPr>
      </w:pPr>
    </w:p>
    <w:p w14:paraId="5BCDB2EF">
      <w:pPr>
        <w:pStyle w:val="17"/>
        <w:spacing w:beforeAutospacing="0" w:afterAutospacing="0"/>
        <w:jc w:val="both"/>
      </w:pPr>
    </w:p>
    <w:p w14:paraId="37E0145E">
      <w:pPr>
        <w:pStyle w:val="17"/>
        <w:spacing w:beforeAutospacing="0" w:afterAutospacing="0"/>
        <w:jc w:val="both"/>
      </w:pPr>
    </w:p>
    <w:p w14:paraId="69E2E63A">
      <w:pPr>
        <w:pStyle w:val="17"/>
        <w:spacing w:beforeAutospacing="0" w:afterAutospacing="0"/>
        <w:jc w:val="both"/>
      </w:pPr>
      <w:r>
        <w:t>   </w:t>
      </w:r>
    </w:p>
    <w:p w14:paraId="7A2A3E4B">
      <w:pPr>
        <w:pStyle w:val="17"/>
        <w:keepNext/>
        <w:spacing w:beforeAutospacing="0" w:afterAutospacing="0"/>
        <w:jc w:val="center"/>
      </w:pPr>
      <w:r>
        <w:rPr>
          <w:rFonts w:hint="eastAsia" w:ascii="黑体" w:hAnsi="宋体" w:eastAsia="黑体" w:cs="黑体"/>
          <w:color w:val="000000"/>
          <w:sz w:val="44"/>
          <w:szCs w:val="44"/>
        </w:rPr>
        <w:t xml:space="preserve">第六章  投标文件格式 </w:t>
      </w:r>
    </w:p>
    <w:p w14:paraId="3C26D2B4">
      <w:pPr>
        <w:pStyle w:val="17"/>
        <w:spacing w:beforeAutospacing="0" w:afterAutospacing="0"/>
        <w:jc w:val="center"/>
        <w:rPr>
          <w:rFonts w:hint="eastAsia" w:ascii="宋体" w:hAnsi="宋体" w:eastAsia="宋体" w:cs="宋体"/>
          <w:b/>
          <w:color w:val="000000"/>
          <w:sz w:val="72"/>
          <w:szCs w:val="72"/>
        </w:rPr>
      </w:pPr>
      <w:bookmarkStart w:id="179" w:name="_Hlt26671244"/>
      <w:bookmarkEnd w:id="179"/>
      <w:bookmarkStart w:id="180" w:name="_Toc26554094"/>
      <w:bookmarkEnd w:id="180"/>
      <w:bookmarkStart w:id="181" w:name="_Hlt26955039"/>
      <w:bookmarkEnd w:id="181"/>
      <w:bookmarkStart w:id="182" w:name="_Toc120614282"/>
      <w:bookmarkStart w:id="183" w:name="_Toc49090576"/>
    </w:p>
    <w:p w14:paraId="35722334">
      <w:pPr>
        <w:pStyle w:val="17"/>
        <w:spacing w:beforeAutospacing="0" w:afterAutospacing="0"/>
        <w:jc w:val="center"/>
      </w:pPr>
      <w:r>
        <w:rPr>
          <w:rFonts w:hint="eastAsia" w:ascii="宋体" w:hAnsi="宋体" w:eastAsia="宋体" w:cs="宋体"/>
          <w:b/>
          <w:color w:val="000000"/>
          <w:sz w:val="72"/>
          <w:szCs w:val="72"/>
        </w:rPr>
        <w:t>投  标  文  件</w:t>
      </w:r>
    </w:p>
    <w:p w14:paraId="53E73EFC">
      <w:pPr>
        <w:pStyle w:val="17"/>
        <w:spacing w:beforeAutospacing="0" w:afterAutospacing="0"/>
        <w:jc w:val="center"/>
      </w:pPr>
      <w:r>
        <w:t> </w:t>
      </w:r>
    </w:p>
    <w:p w14:paraId="269B391E">
      <w:pPr>
        <w:pStyle w:val="17"/>
        <w:spacing w:beforeAutospacing="0" w:afterAutospacing="0"/>
        <w:jc w:val="center"/>
      </w:pPr>
      <w:r>
        <w:t> </w:t>
      </w:r>
    </w:p>
    <w:p w14:paraId="059A0E16">
      <w:pPr>
        <w:pStyle w:val="17"/>
        <w:spacing w:beforeAutospacing="0" w:afterAutospacing="0"/>
        <w:jc w:val="center"/>
      </w:pPr>
      <w:r>
        <w:t> </w:t>
      </w:r>
    </w:p>
    <w:p w14:paraId="6B61888C">
      <w:pPr>
        <w:pStyle w:val="17"/>
        <w:spacing w:beforeAutospacing="0" w:afterAutospacing="0"/>
        <w:jc w:val="center"/>
      </w:pPr>
    </w:p>
    <w:p w14:paraId="0C866529">
      <w:pPr>
        <w:pStyle w:val="17"/>
        <w:spacing w:beforeAutospacing="0" w:afterAutospacing="0"/>
        <w:jc w:val="center"/>
      </w:pPr>
    </w:p>
    <w:p w14:paraId="19668B1C">
      <w:pPr>
        <w:pStyle w:val="17"/>
        <w:spacing w:beforeAutospacing="0" w:afterAutospacing="0"/>
        <w:jc w:val="center"/>
      </w:pPr>
    </w:p>
    <w:p w14:paraId="7D6BA0A9">
      <w:pPr>
        <w:pStyle w:val="17"/>
        <w:spacing w:beforeAutospacing="0" w:afterAutospacing="0"/>
        <w:jc w:val="center"/>
      </w:pPr>
    </w:p>
    <w:p w14:paraId="781BBE9A">
      <w:pPr>
        <w:pStyle w:val="17"/>
        <w:spacing w:beforeAutospacing="0" w:afterAutospacing="0"/>
        <w:jc w:val="center"/>
      </w:pPr>
    </w:p>
    <w:p w14:paraId="1DA48796">
      <w:pPr>
        <w:pStyle w:val="17"/>
        <w:spacing w:beforeAutospacing="0" w:afterAutospacing="0"/>
        <w:jc w:val="center"/>
      </w:pPr>
    </w:p>
    <w:p w14:paraId="7B96BD7D">
      <w:pPr>
        <w:pStyle w:val="17"/>
        <w:spacing w:beforeAutospacing="0" w:afterAutospacing="0"/>
        <w:jc w:val="center"/>
      </w:pPr>
    </w:p>
    <w:p w14:paraId="5A946D7D">
      <w:pPr>
        <w:pStyle w:val="17"/>
        <w:spacing w:beforeAutospacing="0" w:afterAutospacing="0"/>
        <w:jc w:val="center"/>
      </w:pPr>
    </w:p>
    <w:p w14:paraId="0B442EEB">
      <w:pPr>
        <w:pStyle w:val="17"/>
        <w:spacing w:beforeAutospacing="0" w:afterAutospacing="0"/>
        <w:jc w:val="center"/>
      </w:pPr>
    </w:p>
    <w:p w14:paraId="208ED5C1">
      <w:pPr>
        <w:pStyle w:val="17"/>
        <w:spacing w:beforeAutospacing="0" w:afterAutospacing="0"/>
        <w:jc w:val="center"/>
      </w:pPr>
    </w:p>
    <w:p w14:paraId="6E44DF3A">
      <w:pPr>
        <w:pStyle w:val="17"/>
        <w:spacing w:beforeAutospacing="0" w:afterAutospacing="0"/>
        <w:jc w:val="center"/>
      </w:pPr>
    </w:p>
    <w:p w14:paraId="2CF8F1E6">
      <w:pPr>
        <w:pStyle w:val="17"/>
        <w:spacing w:beforeAutospacing="0" w:afterAutospacing="0"/>
        <w:jc w:val="center"/>
      </w:pPr>
      <w:r>
        <w:t> </w:t>
      </w:r>
    </w:p>
    <w:p w14:paraId="03B95BBF">
      <w:pPr>
        <w:pStyle w:val="17"/>
        <w:spacing w:beforeAutospacing="0" w:afterAutospacing="0"/>
        <w:jc w:val="center"/>
      </w:pPr>
      <w:r>
        <w:t> </w:t>
      </w:r>
    </w:p>
    <w:p w14:paraId="1B3061C1">
      <w:pPr>
        <w:pStyle w:val="17"/>
        <w:spacing w:beforeAutospacing="0" w:afterAutospacing="0"/>
        <w:ind w:firstLine="1084"/>
        <w:jc w:val="both"/>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15F366A4">
      <w:pPr>
        <w:pStyle w:val="17"/>
        <w:spacing w:beforeAutospacing="0" w:afterAutospacing="0"/>
        <w:ind w:firstLine="1084"/>
        <w:jc w:val="both"/>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394502D3">
      <w:pPr>
        <w:pStyle w:val="17"/>
        <w:spacing w:beforeAutospacing="0" w:afterAutospacing="0"/>
        <w:jc w:val="both"/>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p>
    <w:p w14:paraId="5111FFEF">
      <w:pPr>
        <w:pStyle w:val="17"/>
        <w:spacing w:beforeAutospacing="0" w:afterAutospacing="0"/>
        <w:jc w:val="both"/>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p>
    <w:p w14:paraId="78FDF6F0">
      <w:pPr>
        <w:pStyle w:val="17"/>
        <w:spacing w:beforeAutospacing="0" w:afterAutospacing="0" w:line="0" w:lineRule="atLeast"/>
        <w:jc w:val="center"/>
      </w:pPr>
      <w:r>
        <w:t> </w:t>
      </w:r>
    </w:p>
    <w:p w14:paraId="70FB82D8">
      <w:pPr>
        <w:pStyle w:val="17"/>
        <w:spacing w:beforeAutospacing="0" w:afterAutospacing="0" w:line="0" w:lineRule="atLeast"/>
        <w:jc w:val="both"/>
      </w:pPr>
      <w:r>
        <w:t> </w:t>
      </w:r>
    </w:p>
    <w:p w14:paraId="45642790">
      <w:pPr>
        <w:pStyle w:val="17"/>
        <w:spacing w:beforeAutospacing="0" w:afterAutospacing="0" w:line="0" w:lineRule="atLeast"/>
        <w:jc w:val="center"/>
        <w:rPr>
          <w:rFonts w:ascii="宋体" w:hAnsi="宋体" w:eastAsia="宋体" w:cs="宋体"/>
          <w:b/>
          <w:color w:val="000000"/>
          <w:sz w:val="36"/>
          <w:szCs w:val="36"/>
          <w:u w:val="single"/>
        </w:rPr>
      </w:pPr>
    </w:p>
    <w:p w14:paraId="07A7D8E0">
      <w:pPr>
        <w:pStyle w:val="17"/>
        <w:spacing w:beforeAutospacing="0" w:afterAutospacing="0" w:line="0" w:lineRule="atLeast"/>
        <w:jc w:val="center"/>
        <w:rPr>
          <w:rFonts w:ascii="宋体" w:hAnsi="宋体" w:eastAsia="宋体" w:cs="宋体"/>
          <w:b/>
          <w:color w:val="000000"/>
          <w:sz w:val="36"/>
          <w:szCs w:val="36"/>
          <w:u w:val="single"/>
        </w:rPr>
      </w:pPr>
    </w:p>
    <w:p w14:paraId="54A9DD22">
      <w:pPr>
        <w:pStyle w:val="17"/>
        <w:spacing w:beforeAutospacing="0" w:afterAutospacing="0" w:line="0" w:lineRule="atLeast"/>
        <w:jc w:val="center"/>
        <w:rPr>
          <w:rFonts w:ascii="宋体" w:hAnsi="宋体" w:eastAsia="宋体" w:cs="宋体"/>
          <w:b/>
          <w:color w:val="000000"/>
          <w:sz w:val="36"/>
          <w:szCs w:val="36"/>
          <w:u w:val="single"/>
        </w:rPr>
      </w:pPr>
    </w:p>
    <w:p w14:paraId="7E74EAAD">
      <w:pPr>
        <w:pStyle w:val="17"/>
        <w:spacing w:beforeAutospacing="0" w:afterAutospacing="0" w:line="0" w:lineRule="atLeast"/>
        <w:jc w:val="center"/>
        <w:rPr>
          <w:rFonts w:ascii="宋体" w:hAnsi="宋体" w:eastAsia="宋体" w:cs="宋体"/>
          <w:b/>
          <w:color w:val="000000"/>
          <w:sz w:val="36"/>
          <w:szCs w:val="36"/>
          <w:u w:val="single"/>
        </w:rPr>
      </w:pPr>
    </w:p>
    <w:p w14:paraId="40371859">
      <w:pPr>
        <w:pStyle w:val="17"/>
        <w:spacing w:beforeAutospacing="0" w:afterAutospacing="0" w:line="0" w:lineRule="atLeast"/>
        <w:jc w:val="center"/>
        <w:rPr>
          <w:rFonts w:ascii="宋体" w:hAnsi="宋体" w:eastAsia="宋体" w:cs="宋体"/>
          <w:b/>
          <w:color w:val="000000"/>
          <w:sz w:val="36"/>
          <w:szCs w:val="36"/>
          <w:u w:val="single"/>
        </w:rPr>
      </w:pPr>
    </w:p>
    <w:p w14:paraId="56489D34">
      <w:pPr>
        <w:pStyle w:val="17"/>
        <w:spacing w:beforeAutospacing="0" w:afterAutospacing="0" w:line="0" w:lineRule="atLeast"/>
        <w:jc w:val="center"/>
        <w:rPr>
          <w:rFonts w:ascii="宋体" w:hAnsi="宋体" w:eastAsia="宋体" w:cs="宋体"/>
          <w:b/>
          <w:color w:val="000000"/>
          <w:sz w:val="36"/>
          <w:szCs w:val="36"/>
          <w:u w:val="single"/>
        </w:rPr>
      </w:pPr>
    </w:p>
    <w:p w14:paraId="4AEA16D9">
      <w:pPr>
        <w:pStyle w:val="17"/>
        <w:spacing w:beforeAutospacing="0" w:afterAutospacing="0" w:line="0" w:lineRule="atLeast"/>
        <w:jc w:val="center"/>
        <w:rPr>
          <w:color w:val="auto"/>
        </w:rPr>
      </w:pPr>
      <w:r>
        <w:rPr>
          <w:rFonts w:hint="eastAsia" w:ascii="宋体" w:hAnsi="宋体" w:eastAsia="宋体" w:cs="宋体"/>
          <w:b/>
          <w:color w:val="auto"/>
          <w:sz w:val="32"/>
          <w:szCs w:val="32"/>
        </w:rPr>
        <w:t>投标文件目录</w:t>
      </w:r>
    </w:p>
    <w:p w14:paraId="49A3C819">
      <w:pPr>
        <w:pStyle w:val="17"/>
        <w:spacing w:beforeAutospacing="0" w:afterAutospacing="0" w:line="0" w:lineRule="atLeast"/>
        <w:jc w:val="center"/>
      </w:pPr>
      <w:r>
        <w:t> </w:t>
      </w:r>
    </w:p>
    <w:p w14:paraId="0F1A98A6">
      <w:pPr>
        <w:pStyle w:val="17"/>
        <w:keepNext w:val="0"/>
        <w:keepLines w:val="0"/>
        <w:pageBreakBefore w:val="0"/>
        <w:kinsoku/>
        <w:wordWrap/>
        <w:overflowPunct/>
        <w:topLinePunct w:val="0"/>
        <w:autoSpaceDE/>
        <w:autoSpaceDN/>
        <w:bidi w:val="0"/>
        <w:adjustRightInd/>
        <w:snapToGrid/>
        <w:spacing w:beforeAutospacing="0" w:afterAutospacing="0" w:line="440" w:lineRule="exact"/>
        <w:ind w:left="480"/>
        <w:jc w:val="both"/>
        <w:textAlignment w:val="auto"/>
        <w:rPr>
          <w:rFonts w:ascii="宋体" w:hAnsi="宋体" w:eastAsia="宋体" w:cs="宋体"/>
          <w:i/>
          <w:color w:val="000000"/>
          <w:u w:val="single"/>
        </w:rPr>
      </w:pPr>
      <w:r>
        <w:rPr>
          <w:rFonts w:hint="eastAsia" w:ascii="宋体" w:hAnsi="宋体" w:eastAsia="宋体" w:cs="宋体"/>
          <w:i/>
          <w:color w:val="000000"/>
          <w:u w:val="single"/>
        </w:rPr>
        <w:t>一、法人或者其他组织的营业执照等证明文件，自然人的身份证明</w:t>
      </w:r>
    </w:p>
    <w:p w14:paraId="4C3F9019">
      <w:pPr>
        <w:keepNext w:val="0"/>
        <w:keepLines w:val="0"/>
        <w:pageBreakBefore w:val="0"/>
        <w:kinsoku/>
        <w:wordWrap/>
        <w:overflowPunct/>
        <w:topLinePunct w:val="0"/>
        <w:autoSpaceDE/>
        <w:autoSpaceDN/>
        <w:bidi w:val="0"/>
        <w:adjustRightInd/>
        <w:snapToGrid/>
        <w:spacing w:line="440" w:lineRule="exact"/>
        <w:ind w:left="480"/>
        <w:textAlignment w:val="auto"/>
        <w:rPr>
          <w:rFonts w:hint="eastAsia" w:ascii="宋体" w:hAnsi="宋体" w:eastAsia="宋体" w:cs="宋体"/>
          <w:i/>
          <w:color w:val="auto"/>
          <w:sz w:val="24"/>
          <w:szCs w:val="24"/>
          <w:u w:val="single"/>
          <w:lang w:eastAsia="zh-CN"/>
        </w:rPr>
      </w:pPr>
      <w:r>
        <w:rPr>
          <w:rFonts w:hint="eastAsia" w:ascii="宋体" w:hAnsi="宋体" w:eastAsia="宋体" w:cs="宋体"/>
          <w:i/>
          <w:color w:val="auto"/>
          <w:sz w:val="24"/>
          <w:szCs w:val="24"/>
          <w:u w:val="single"/>
        </w:rPr>
        <w:t>二、</w:t>
      </w:r>
      <w:r>
        <w:rPr>
          <w:rFonts w:hint="eastAsia" w:ascii="宋体" w:hAnsi="宋体" w:eastAsia="宋体" w:cs="宋体"/>
          <w:i/>
          <w:color w:val="auto"/>
          <w:sz w:val="24"/>
          <w:szCs w:val="24"/>
          <w:u w:val="single"/>
          <w:lang w:eastAsia="zh-CN"/>
        </w:rPr>
        <w:t>投标人2025年度的财务状况报告（财务状况报告至少应包括资产负债表、利润表；距投标截止之日止，成立不足一年的供应商，可不提供财务状况报告。）</w:t>
      </w:r>
    </w:p>
    <w:p w14:paraId="4DA1D030">
      <w:pPr>
        <w:pStyle w:val="17"/>
        <w:keepNext w:val="0"/>
        <w:keepLines w:val="0"/>
        <w:pageBreakBefore w:val="0"/>
        <w:kinsoku/>
        <w:wordWrap/>
        <w:overflowPunct/>
        <w:topLinePunct w:val="0"/>
        <w:autoSpaceDE/>
        <w:autoSpaceDN/>
        <w:bidi w:val="0"/>
        <w:adjustRightInd/>
        <w:snapToGrid/>
        <w:spacing w:beforeAutospacing="0" w:afterAutospacing="0" w:line="440" w:lineRule="exact"/>
        <w:ind w:left="480"/>
        <w:jc w:val="both"/>
        <w:textAlignment w:val="auto"/>
        <w:rPr>
          <w:rFonts w:hint="eastAsia" w:ascii="宋体" w:hAnsi="宋体" w:eastAsia="宋体" w:cs="宋体"/>
          <w:i/>
          <w:color w:val="000000"/>
          <w:u w:val="single"/>
        </w:rPr>
      </w:pPr>
      <w:r>
        <w:rPr>
          <w:rFonts w:hint="eastAsia" w:ascii="宋体" w:hAnsi="宋体" w:eastAsia="宋体" w:cs="宋体"/>
          <w:i/>
          <w:color w:val="000000"/>
          <w:highlight w:val="none"/>
          <w:u w:val="single"/>
          <w:lang w:val="en-US" w:eastAsia="zh-CN"/>
        </w:rPr>
        <w:t>三</w:t>
      </w:r>
      <w:r>
        <w:rPr>
          <w:rFonts w:hint="eastAsia" w:ascii="宋体" w:hAnsi="宋体" w:eastAsia="宋体" w:cs="宋体"/>
          <w:i/>
          <w:color w:val="000000"/>
          <w:highlight w:val="none"/>
          <w:u w:val="single"/>
        </w:rPr>
        <w:t>、具备履行合同所必需的设备和专业技术能力的书面声</w:t>
      </w:r>
      <w:r>
        <w:rPr>
          <w:rFonts w:hint="eastAsia" w:ascii="宋体" w:hAnsi="宋体" w:eastAsia="宋体" w:cs="宋体"/>
          <w:i/>
          <w:color w:val="000000"/>
          <w:u w:val="single"/>
        </w:rPr>
        <w:t>明</w:t>
      </w:r>
    </w:p>
    <w:p w14:paraId="79A292E1">
      <w:pPr>
        <w:pStyle w:val="17"/>
        <w:keepNext w:val="0"/>
        <w:keepLines w:val="0"/>
        <w:pageBreakBefore w:val="0"/>
        <w:kinsoku/>
        <w:wordWrap/>
        <w:overflowPunct/>
        <w:topLinePunct w:val="0"/>
        <w:autoSpaceDE/>
        <w:autoSpaceDN/>
        <w:bidi w:val="0"/>
        <w:adjustRightInd/>
        <w:snapToGrid/>
        <w:spacing w:beforeAutospacing="0" w:afterAutospacing="0" w:line="440" w:lineRule="exact"/>
        <w:ind w:left="480"/>
        <w:jc w:val="both"/>
        <w:textAlignment w:val="auto"/>
        <w:rPr>
          <w:rFonts w:hint="eastAsia" w:ascii="宋体" w:hAnsi="宋体" w:eastAsia="宋体" w:cs="宋体"/>
          <w:i/>
          <w:color w:val="000000"/>
          <w:u w:val="single"/>
        </w:rPr>
      </w:pPr>
      <w:r>
        <w:rPr>
          <w:rFonts w:hint="eastAsia" w:ascii="宋体" w:hAnsi="宋体" w:eastAsia="宋体" w:cs="宋体"/>
          <w:i/>
          <w:color w:val="000000"/>
          <w:u w:val="single"/>
          <w:lang w:val="en-US" w:eastAsia="zh-CN"/>
        </w:rPr>
        <w:t>四</w:t>
      </w:r>
      <w:r>
        <w:rPr>
          <w:rFonts w:hint="eastAsia" w:ascii="宋体" w:hAnsi="宋体" w:eastAsia="宋体" w:cs="宋体"/>
          <w:i/>
          <w:color w:val="000000"/>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995788F">
      <w:pPr>
        <w:pStyle w:val="17"/>
        <w:keepNext w:val="0"/>
        <w:keepLines w:val="0"/>
        <w:pageBreakBefore w:val="0"/>
        <w:kinsoku/>
        <w:wordWrap/>
        <w:overflowPunct/>
        <w:topLinePunct w:val="0"/>
        <w:autoSpaceDE/>
        <w:autoSpaceDN/>
        <w:bidi w:val="0"/>
        <w:adjustRightInd/>
        <w:snapToGrid/>
        <w:spacing w:beforeAutospacing="0" w:afterAutospacing="0" w:line="440" w:lineRule="exact"/>
        <w:ind w:left="480"/>
        <w:jc w:val="both"/>
        <w:textAlignment w:val="auto"/>
        <w:rPr>
          <w:rFonts w:ascii="宋体" w:hAnsi="宋体" w:eastAsia="宋体" w:cs="宋体"/>
          <w:i/>
          <w:color w:val="000000"/>
          <w:u w:val="single"/>
        </w:rPr>
      </w:pPr>
      <w:r>
        <w:rPr>
          <w:rFonts w:hint="eastAsia" w:ascii="宋体" w:hAnsi="宋体" w:eastAsia="宋体" w:cs="宋体"/>
          <w:i/>
          <w:color w:val="000000"/>
          <w:u w:val="single"/>
        </w:rPr>
        <w:t>五、参加政府采购活动前 3 年内在经营活动中没有重大违法记录的书面声明</w:t>
      </w:r>
    </w:p>
    <w:p w14:paraId="10503D60">
      <w:pPr>
        <w:numPr>
          <w:ilvl w:val="0"/>
          <w:numId w:val="2"/>
        </w:numPr>
        <w:spacing w:line="440" w:lineRule="exact"/>
        <w:ind w:firstLine="480" w:firstLineChars="200"/>
        <w:rPr>
          <w:rFonts w:hint="eastAsia" w:ascii="宋体" w:hAnsi="宋体" w:eastAsia="宋体" w:cs="Times New Roman"/>
          <w:b/>
          <w:bCs/>
          <w:i/>
          <w:color w:val="auto"/>
          <w:sz w:val="24"/>
          <w:u w:val="single"/>
          <w:lang w:eastAsia="zh-CN"/>
        </w:rPr>
      </w:pPr>
      <w:r>
        <w:rPr>
          <w:rFonts w:hint="eastAsia" w:ascii="宋体" w:hAnsi="宋体" w:eastAsia="宋体" w:cs="Times New Roman"/>
          <w:i/>
          <w:color w:val="auto"/>
          <w:sz w:val="24"/>
          <w:u w:val="single"/>
          <w:lang w:eastAsia="zh-CN"/>
        </w:rPr>
        <w:t>特定资格要求的证明文件：</w:t>
      </w:r>
      <w:r>
        <w:rPr>
          <w:rFonts w:hint="eastAsia" w:ascii="宋体" w:hAnsi="宋体" w:eastAsia="宋体" w:cs="Times New Roman"/>
          <w:b/>
          <w:bCs/>
          <w:i/>
          <w:color w:val="auto"/>
          <w:sz w:val="24"/>
          <w:u w:val="single"/>
          <w:lang w:eastAsia="zh-CN"/>
        </w:rPr>
        <w:t>投标人必须在中国境内注册，且具有国家工信部颁发的《中华人民共和国基础电信业务经营许可证》或其分(支)公司；或具有省级及以上的广电主管部门颁发的《广播电视节目传送业务经营许可证》或其分(支)公司。（若分公司投标的，应出具相应具有独立法人资格的上级公司的授权，授权单位应承担该项目授权内容的一切连带责任。）</w:t>
      </w:r>
    </w:p>
    <w:p w14:paraId="53DACFFA">
      <w:pPr>
        <w:pStyle w:val="17"/>
        <w:keepNext w:val="0"/>
        <w:keepLines w:val="0"/>
        <w:pageBreakBefore w:val="0"/>
        <w:kinsoku/>
        <w:wordWrap/>
        <w:overflowPunct/>
        <w:topLinePunct w:val="0"/>
        <w:autoSpaceDE/>
        <w:autoSpaceDN/>
        <w:bidi w:val="0"/>
        <w:adjustRightInd/>
        <w:snapToGrid/>
        <w:spacing w:beforeAutospacing="0" w:afterAutospacing="0" w:line="440" w:lineRule="exact"/>
        <w:ind w:left="480"/>
        <w:jc w:val="both"/>
        <w:textAlignment w:val="auto"/>
        <w:rPr>
          <w:rFonts w:ascii="宋体" w:hAnsi="宋体" w:eastAsia="宋体" w:cs="宋体"/>
          <w:i/>
          <w:color w:val="000000"/>
          <w:u w:val="single"/>
        </w:rPr>
      </w:pPr>
      <w:r>
        <w:rPr>
          <w:rFonts w:hint="eastAsia" w:ascii="宋体" w:hAnsi="宋体" w:eastAsia="宋体" w:cs="宋体"/>
          <w:i/>
          <w:color w:val="000000"/>
          <w:u w:val="single"/>
        </w:rPr>
        <w:t>七、</w:t>
      </w:r>
      <w:r>
        <w:rPr>
          <w:rFonts w:hint="eastAsia" w:ascii="宋体" w:hAnsi="宋体" w:eastAsia="宋体" w:cs="宋体"/>
          <w:i/>
          <w:color w:val="0000FF"/>
          <w:u w:val="single"/>
        </w:rPr>
        <w:t>法人授权书</w:t>
      </w:r>
    </w:p>
    <w:p w14:paraId="647BC8BD">
      <w:pPr>
        <w:pStyle w:val="17"/>
        <w:keepNext w:val="0"/>
        <w:keepLines w:val="0"/>
        <w:pageBreakBefore w:val="0"/>
        <w:kinsoku/>
        <w:wordWrap/>
        <w:overflowPunct/>
        <w:topLinePunct w:val="0"/>
        <w:autoSpaceDE/>
        <w:autoSpaceDN/>
        <w:bidi w:val="0"/>
        <w:adjustRightInd/>
        <w:snapToGrid/>
        <w:spacing w:beforeAutospacing="0" w:afterAutospacing="0" w:line="440" w:lineRule="exact"/>
        <w:ind w:left="480"/>
        <w:jc w:val="both"/>
        <w:textAlignment w:val="auto"/>
        <w:rPr>
          <w:rFonts w:ascii="宋体" w:hAnsi="宋体" w:eastAsia="宋体" w:cs="宋体"/>
          <w:i/>
          <w:color w:val="000000"/>
          <w:u w:val="single"/>
        </w:rPr>
      </w:pPr>
      <w:r>
        <w:rPr>
          <w:rFonts w:hint="eastAsia" w:ascii="宋体" w:hAnsi="宋体" w:eastAsia="宋体" w:cs="宋体"/>
          <w:i/>
          <w:color w:val="000000"/>
          <w:u w:val="single"/>
        </w:rPr>
        <w:t>八、</w:t>
      </w:r>
      <w:r>
        <w:rPr>
          <w:rFonts w:hint="eastAsia" w:ascii="宋体" w:hAnsi="宋体" w:eastAsia="宋体" w:cs="宋体"/>
          <w:i/>
          <w:color w:val="0000FF"/>
          <w:u w:val="single"/>
        </w:rPr>
        <w:t>投标函</w:t>
      </w:r>
    </w:p>
    <w:p w14:paraId="519927CB">
      <w:pPr>
        <w:spacing w:line="440" w:lineRule="exact"/>
        <w:ind w:firstLine="480" w:firstLineChars="200"/>
        <w:rPr>
          <w:rFonts w:hint="eastAsia" w:ascii="宋体" w:hAnsi="宋体" w:eastAsia="宋体" w:cs="宋体"/>
          <w:i/>
          <w:color w:val="000000"/>
          <w:kern w:val="0"/>
          <w:sz w:val="24"/>
          <w:szCs w:val="24"/>
          <w:u w:val="single"/>
          <w:lang w:val="en-US" w:eastAsia="zh-CN" w:bidi="ar-SA"/>
        </w:rPr>
      </w:pPr>
      <w:r>
        <w:rPr>
          <w:rFonts w:hint="eastAsia" w:ascii="宋体" w:hAnsi="宋体" w:eastAsia="宋体" w:cs="Times New Roman"/>
          <w:i/>
          <w:color w:val="auto"/>
          <w:sz w:val="24"/>
          <w:u w:val="single"/>
          <w:lang w:eastAsia="zh-CN"/>
        </w:rPr>
        <w:t>九</w:t>
      </w:r>
      <w:r>
        <w:rPr>
          <w:rFonts w:hint="eastAsia" w:ascii="宋体" w:hAnsi="宋体" w:eastAsia="宋体" w:cs="Times New Roman"/>
          <w:i/>
          <w:color w:val="auto"/>
          <w:sz w:val="24"/>
          <w:u w:val="single"/>
        </w:rPr>
        <w:t>、</w:t>
      </w:r>
      <w:r>
        <w:rPr>
          <w:rFonts w:hint="eastAsia" w:ascii="宋体" w:hAnsi="宋体" w:eastAsia="宋体" w:cs="宋体"/>
          <w:i/>
          <w:color w:val="000000"/>
          <w:kern w:val="0"/>
          <w:sz w:val="24"/>
          <w:szCs w:val="24"/>
          <w:u w:val="single"/>
          <w:lang w:val="en-US" w:eastAsia="zh-CN" w:bidi="ar-SA"/>
        </w:rPr>
        <w:t>小微企业声明函（如有）</w:t>
      </w:r>
    </w:p>
    <w:p w14:paraId="62DB3E23">
      <w:pPr>
        <w:pStyle w:val="17"/>
        <w:keepNext w:val="0"/>
        <w:keepLines w:val="0"/>
        <w:pageBreakBefore w:val="0"/>
        <w:kinsoku/>
        <w:wordWrap/>
        <w:overflowPunct/>
        <w:topLinePunct w:val="0"/>
        <w:autoSpaceDE/>
        <w:autoSpaceDN/>
        <w:bidi w:val="0"/>
        <w:adjustRightInd/>
        <w:snapToGrid/>
        <w:spacing w:beforeAutospacing="0" w:afterAutospacing="0" w:line="460" w:lineRule="exact"/>
        <w:ind w:left="480"/>
        <w:jc w:val="both"/>
        <w:textAlignment w:val="auto"/>
        <w:rPr>
          <w:rFonts w:hint="eastAsia" w:ascii="宋体" w:hAnsi="宋体" w:eastAsia="宋体" w:cs="宋体"/>
          <w:i/>
          <w:color w:val="000000"/>
          <w:kern w:val="0"/>
          <w:sz w:val="24"/>
          <w:szCs w:val="24"/>
          <w:u w:val="single"/>
          <w:lang w:val="en-US" w:eastAsia="zh-CN" w:bidi="ar-SA"/>
        </w:rPr>
      </w:pPr>
      <w:r>
        <w:rPr>
          <w:rFonts w:hint="eastAsia" w:cs="宋体"/>
          <w:i/>
          <w:color w:val="auto"/>
          <w:sz w:val="24"/>
          <w:szCs w:val="24"/>
          <w:u w:val="single"/>
          <w:lang w:eastAsia="zh-CN"/>
        </w:rPr>
        <w:t>十</w:t>
      </w:r>
      <w:r>
        <w:rPr>
          <w:rFonts w:hint="eastAsia" w:ascii="宋体" w:hAnsi="宋体" w:eastAsia="宋体" w:cs="宋体"/>
          <w:i/>
          <w:color w:val="auto"/>
          <w:sz w:val="24"/>
          <w:szCs w:val="24"/>
          <w:u w:val="single"/>
          <w:lang w:eastAsia="zh-CN"/>
        </w:rPr>
        <w:t>、</w:t>
      </w:r>
      <w:r>
        <w:rPr>
          <w:rFonts w:hint="eastAsia" w:ascii="宋体" w:hAnsi="宋体" w:eastAsia="宋体" w:cs="宋体"/>
          <w:i/>
          <w:color w:val="0000FF"/>
          <w:sz w:val="24"/>
          <w:szCs w:val="24"/>
          <w:u w:val="single"/>
          <w:lang w:val="en-US" w:eastAsia="zh-CN"/>
        </w:rPr>
        <w:t>投标分项报价表</w:t>
      </w:r>
      <w:r>
        <w:rPr>
          <w:rFonts w:hint="eastAsia" w:ascii="宋体" w:hAnsi="宋体" w:eastAsia="宋体" w:cs="宋体"/>
          <w:i/>
          <w:color w:val="auto"/>
          <w:sz w:val="24"/>
          <w:szCs w:val="24"/>
          <w:u w:val="single"/>
          <w:lang w:eastAsia="zh-CN"/>
        </w:rPr>
        <w:t>；</w:t>
      </w:r>
    </w:p>
    <w:p w14:paraId="0ED53658">
      <w:pPr>
        <w:pStyle w:val="17"/>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ascii="宋体" w:hAnsi="宋体" w:eastAsia="宋体" w:cs="宋体"/>
          <w:color w:val="000000"/>
        </w:rPr>
      </w:pPr>
      <w:r>
        <w:rPr>
          <w:rFonts w:hint="eastAsia" w:ascii="宋体" w:hAnsi="宋体" w:eastAsia="宋体" w:cs="宋体"/>
          <w:color w:val="000000"/>
          <w:lang w:val="en-US" w:eastAsia="zh-CN"/>
        </w:rPr>
        <w:t>十一、</w:t>
      </w:r>
      <w:r>
        <w:rPr>
          <w:rFonts w:hint="eastAsia" w:ascii="宋体" w:hAnsi="宋体" w:eastAsia="宋体" w:cs="宋体"/>
          <w:color w:val="0000FF"/>
        </w:rPr>
        <w:t>商务要求响应及偏离表</w:t>
      </w:r>
    </w:p>
    <w:p w14:paraId="18EA4176">
      <w:pPr>
        <w:pStyle w:val="17"/>
        <w:keepNext w:val="0"/>
        <w:keepLines w:val="0"/>
        <w:pageBreakBefore w:val="0"/>
        <w:kinsoku/>
        <w:wordWrap/>
        <w:overflowPunct/>
        <w:topLinePunct w:val="0"/>
        <w:autoSpaceDE/>
        <w:autoSpaceDN/>
        <w:bidi w:val="0"/>
        <w:adjustRightInd/>
        <w:snapToGrid/>
        <w:spacing w:beforeAutospacing="0" w:afterAutospacing="0" w:line="440" w:lineRule="exact"/>
        <w:ind w:left="480"/>
        <w:jc w:val="both"/>
        <w:textAlignment w:val="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十</w:t>
      </w:r>
      <w:r>
        <w:rPr>
          <w:rFonts w:hint="eastAsia" w:ascii="宋体" w:hAnsi="宋体" w:eastAsia="宋体" w:cs="宋体"/>
          <w:i/>
          <w:color w:val="000000"/>
          <w:highlight w:val="none"/>
          <w:u w:val="single"/>
          <w:lang w:eastAsia="zh-CN"/>
        </w:rPr>
        <w:t>二</w:t>
      </w:r>
      <w:r>
        <w:rPr>
          <w:rFonts w:hint="eastAsia" w:ascii="宋体" w:hAnsi="宋体" w:eastAsia="宋体" w:cs="宋体"/>
          <w:i/>
          <w:color w:val="000000"/>
          <w:highlight w:val="none"/>
          <w:u w:val="single"/>
        </w:rPr>
        <w:t>、开标一览表</w:t>
      </w:r>
    </w:p>
    <w:p w14:paraId="31B2D5BF">
      <w:pPr>
        <w:pStyle w:val="17"/>
        <w:keepNext w:val="0"/>
        <w:keepLines w:val="0"/>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ascii="宋体" w:hAnsi="宋体" w:eastAsia="宋体" w:cs="宋体"/>
          <w:color w:val="000000"/>
          <w:highlight w:val="none"/>
        </w:rPr>
      </w:pPr>
      <w:r>
        <w:rPr>
          <w:rFonts w:hint="eastAsia" w:ascii="宋体" w:hAnsi="宋体" w:eastAsia="宋体" w:cs="宋体"/>
          <w:color w:val="000000"/>
          <w:kern w:val="0"/>
          <w:sz w:val="24"/>
          <w:szCs w:val="24"/>
          <w:lang w:val="en-US" w:eastAsia="zh-CN" w:bidi="ar-SA"/>
        </w:rPr>
        <w:t>十三</w:t>
      </w:r>
      <w:r>
        <w:rPr>
          <w:rFonts w:hint="eastAsia" w:ascii="宋体" w:hAnsi="宋体" w:eastAsia="宋体" w:cs="宋体"/>
          <w:color w:val="000000"/>
          <w:kern w:val="0"/>
          <w:sz w:val="24"/>
          <w:highlight w:val="none"/>
        </w:rPr>
        <w:t>、</w:t>
      </w:r>
      <w:r>
        <w:rPr>
          <w:rFonts w:hint="eastAsia" w:ascii="宋体" w:hAnsi="宋体" w:eastAsia="宋体" w:cs="宋体"/>
          <w:color w:val="0000FF"/>
          <w:highlight w:val="none"/>
        </w:rPr>
        <w:t>盐城市政府采购事前信用承诺书</w:t>
      </w:r>
    </w:p>
    <w:p w14:paraId="665D4C0C">
      <w:pPr>
        <w:pStyle w:val="17"/>
        <w:spacing w:beforeAutospacing="0" w:afterAutospacing="0" w:line="0" w:lineRule="atLeast"/>
        <w:ind w:firstLine="480"/>
        <w:jc w:val="both"/>
        <w:rPr>
          <w:rFonts w:ascii="宋体" w:hAnsi="宋体" w:eastAsia="宋体" w:cs="宋体"/>
          <w:color w:val="000000"/>
        </w:rPr>
      </w:pPr>
    </w:p>
    <w:p w14:paraId="7F6CD071">
      <w:pPr>
        <w:pStyle w:val="17"/>
        <w:spacing w:beforeAutospacing="0" w:afterAutospacing="0" w:line="0" w:lineRule="atLeast"/>
        <w:ind w:firstLine="480"/>
        <w:jc w:val="both"/>
      </w:pPr>
      <w:r>
        <w:t> </w:t>
      </w:r>
    </w:p>
    <w:p w14:paraId="101CE475">
      <w:pPr>
        <w:pStyle w:val="17"/>
        <w:spacing w:beforeAutospacing="0" w:afterAutospacing="0" w:line="0" w:lineRule="atLeast"/>
        <w:ind w:firstLine="480"/>
        <w:jc w:val="both"/>
      </w:pPr>
      <w:r>
        <w:t> </w:t>
      </w:r>
    </w:p>
    <w:p w14:paraId="6C0C8095">
      <w:pPr>
        <w:pStyle w:val="17"/>
        <w:spacing w:beforeAutospacing="0" w:afterAutospacing="0" w:line="0" w:lineRule="atLeast"/>
        <w:ind w:firstLine="480"/>
        <w:jc w:val="both"/>
      </w:pPr>
    </w:p>
    <w:p w14:paraId="188FDDF3">
      <w:pPr>
        <w:pStyle w:val="17"/>
        <w:spacing w:beforeAutospacing="0" w:afterAutospacing="0" w:line="0" w:lineRule="atLeast"/>
        <w:ind w:firstLine="480"/>
        <w:jc w:val="both"/>
      </w:pPr>
    </w:p>
    <w:p w14:paraId="77575718">
      <w:pPr>
        <w:pStyle w:val="17"/>
        <w:spacing w:beforeAutospacing="0" w:afterAutospacing="0" w:line="0" w:lineRule="atLeast"/>
        <w:ind w:firstLine="480"/>
        <w:jc w:val="both"/>
      </w:pPr>
    </w:p>
    <w:p w14:paraId="00A9E2D7">
      <w:pPr>
        <w:pStyle w:val="17"/>
        <w:spacing w:beforeAutospacing="0" w:afterAutospacing="0" w:line="0" w:lineRule="atLeast"/>
        <w:ind w:firstLine="480"/>
        <w:jc w:val="both"/>
      </w:pPr>
    </w:p>
    <w:p w14:paraId="3871391F">
      <w:pPr>
        <w:pStyle w:val="17"/>
        <w:spacing w:beforeAutospacing="0" w:afterAutospacing="0" w:line="0" w:lineRule="atLeast"/>
        <w:ind w:firstLine="480"/>
        <w:jc w:val="both"/>
      </w:pPr>
    </w:p>
    <w:p w14:paraId="3CFF542A">
      <w:pPr>
        <w:pStyle w:val="17"/>
        <w:spacing w:beforeAutospacing="0" w:afterAutospacing="0" w:line="0" w:lineRule="atLeast"/>
        <w:ind w:firstLine="480"/>
        <w:jc w:val="both"/>
      </w:pPr>
    </w:p>
    <w:p w14:paraId="4A640A77">
      <w:pPr>
        <w:pStyle w:val="17"/>
        <w:spacing w:beforeAutospacing="0" w:afterAutospacing="0" w:line="0" w:lineRule="atLeast"/>
        <w:ind w:firstLine="480"/>
        <w:jc w:val="both"/>
      </w:pPr>
    </w:p>
    <w:p w14:paraId="504C7C0E">
      <w:pPr>
        <w:pStyle w:val="17"/>
        <w:spacing w:beforeAutospacing="0" w:afterAutospacing="0" w:line="0" w:lineRule="atLeast"/>
        <w:ind w:firstLine="480"/>
        <w:jc w:val="both"/>
      </w:pPr>
    </w:p>
    <w:p w14:paraId="769527FB">
      <w:pPr>
        <w:pStyle w:val="17"/>
        <w:spacing w:beforeAutospacing="0" w:afterAutospacing="0" w:line="0" w:lineRule="atLeast"/>
        <w:ind w:firstLine="480"/>
        <w:jc w:val="both"/>
      </w:pPr>
    </w:p>
    <w:p w14:paraId="08BC71BF">
      <w:pPr>
        <w:pStyle w:val="17"/>
        <w:spacing w:beforeAutospacing="0" w:afterAutospacing="0" w:line="0" w:lineRule="atLeast"/>
        <w:ind w:firstLine="480"/>
        <w:jc w:val="both"/>
      </w:pPr>
    </w:p>
    <w:p w14:paraId="11551F7B">
      <w:pPr>
        <w:pStyle w:val="17"/>
        <w:spacing w:beforeAutospacing="0" w:afterAutospacing="0" w:line="0" w:lineRule="atLeast"/>
        <w:ind w:firstLine="480"/>
        <w:jc w:val="both"/>
      </w:pPr>
    </w:p>
    <w:p w14:paraId="1A6FBB0B">
      <w:pPr>
        <w:pStyle w:val="17"/>
        <w:spacing w:beforeAutospacing="0" w:afterAutospacing="0" w:line="0" w:lineRule="atLeast"/>
        <w:ind w:firstLine="480"/>
        <w:jc w:val="both"/>
      </w:pPr>
    </w:p>
    <w:p w14:paraId="3925C726">
      <w:pPr>
        <w:pStyle w:val="17"/>
        <w:spacing w:beforeAutospacing="0" w:afterAutospacing="0" w:line="0" w:lineRule="atLeast"/>
        <w:ind w:firstLine="480"/>
        <w:jc w:val="both"/>
      </w:pPr>
    </w:p>
    <w:p w14:paraId="6D0D49B3">
      <w:pPr>
        <w:pStyle w:val="17"/>
        <w:spacing w:beforeAutospacing="0" w:afterAutospacing="0" w:line="0" w:lineRule="atLeast"/>
        <w:ind w:firstLine="480"/>
        <w:jc w:val="both"/>
      </w:pPr>
    </w:p>
    <w:p w14:paraId="11B5EECE">
      <w:pPr>
        <w:pStyle w:val="17"/>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27925E81">
      <w:pPr>
        <w:pStyle w:val="17"/>
        <w:spacing w:beforeAutospacing="0" w:afterAutospacing="0" w:line="0" w:lineRule="atLeast"/>
        <w:ind w:firstLine="480"/>
        <w:jc w:val="both"/>
      </w:pPr>
      <w:r>
        <w:t> </w:t>
      </w:r>
    </w:p>
    <w:p w14:paraId="370AAF14">
      <w:pPr>
        <w:pStyle w:val="17"/>
        <w:spacing w:beforeAutospacing="0" w:afterAutospacing="0"/>
        <w:jc w:val="both"/>
        <w:rPr>
          <w:rFonts w:hint="eastAsia" w:eastAsia="黑体"/>
          <w:highlight w:val="none"/>
          <w:lang w:eastAsia="zh-CN"/>
        </w:rPr>
      </w:pPr>
      <w:r>
        <w:rPr>
          <w:rFonts w:hint="eastAsia" w:ascii="黑体" w:hAnsi="宋体" w:eastAsia="黑体" w:cs="黑体"/>
          <w:i/>
          <w:color w:val="000000"/>
          <w:sz w:val="32"/>
          <w:szCs w:val="32"/>
          <w:u w:val="single"/>
        </w:rPr>
        <w:t>二、上一年度的财务状况</w:t>
      </w:r>
      <w:r>
        <w:rPr>
          <w:rFonts w:hint="eastAsia" w:ascii="黑体" w:hAnsi="宋体" w:eastAsia="黑体" w:cs="黑体"/>
          <w:i/>
          <w:color w:val="000000"/>
          <w:sz w:val="32"/>
          <w:szCs w:val="32"/>
          <w:highlight w:val="none"/>
          <w:u w:val="single"/>
        </w:rPr>
        <w:t>报</w:t>
      </w:r>
      <w:r>
        <w:rPr>
          <w:rFonts w:hint="eastAsia" w:ascii="黑体" w:hAnsi="宋体" w:eastAsia="黑体" w:cs="黑体"/>
          <w:i/>
          <w:color w:val="000000"/>
          <w:sz w:val="32"/>
          <w:szCs w:val="32"/>
          <w:highlight w:val="none"/>
          <w:u w:val="single"/>
          <w:lang w:eastAsia="zh-CN"/>
        </w:rPr>
        <w:t>告</w:t>
      </w:r>
    </w:p>
    <w:p w14:paraId="7D30B087">
      <w:pPr>
        <w:keepNext w:val="0"/>
        <w:keepLines w:val="0"/>
        <w:pageBreakBefore w:val="0"/>
        <w:widowControl w:val="0"/>
        <w:kinsoku/>
        <w:wordWrap/>
        <w:overflowPunct/>
        <w:topLinePunct w:val="0"/>
        <w:autoSpaceDE/>
        <w:autoSpaceDN/>
        <w:bidi w:val="0"/>
        <w:adjustRightInd/>
        <w:snapToGrid/>
        <w:spacing w:line="440" w:lineRule="exact"/>
        <w:ind w:firstLine="210" w:firstLineChars="100"/>
        <w:textAlignment w:val="auto"/>
        <w:rPr>
          <w:rFonts w:hint="eastAsia" w:ascii="宋体" w:hAnsi="宋体" w:eastAsia="宋体" w:cs="宋体"/>
          <w:i w:val="0"/>
          <w:iCs/>
          <w:color w:val="000000"/>
          <w:sz w:val="24"/>
          <w:u w:val="none"/>
          <w:lang w:eastAsia="zh-CN"/>
        </w:rPr>
      </w:pPr>
      <w:r>
        <w:t> </w:t>
      </w:r>
      <w:r>
        <w:rPr>
          <w:rFonts w:hint="eastAsia" w:ascii="宋体" w:hAnsi="宋体" w:eastAsia="宋体" w:cs="宋体"/>
          <w:i w:val="0"/>
          <w:iCs/>
          <w:color w:val="000000"/>
          <w:sz w:val="24"/>
          <w:u w:val="none"/>
          <w:lang w:eastAsia="zh-CN"/>
        </w:rPr>
        <w:t>2025年度的财务状况报告（财务状况报告至少应包括资产负债表、利润表；距投标截止之日止，成立不足一年的供应商，可不提供财务状况报告。）</w:t>
      </w:r>
    </w:p>
    <w:p w14:paraId="53FC3586">
      <w:pPr>
        <w:pStyle w:val="17"/>
        <w:keepNext w:val="0"/>
        <w:keepLines w:val="0"/>
        <w:pageBreakBefore w:val="0"/>
        <w:widowControl w:val="0"/>
        <w:kinsoku/>
        <w:wordWrap/>
        <w:overflowPunct/>
        <w:topLinePunct w:val="0"/>
        <w:autoSpaceDE/>
        <w:autoSpaceDN/>
        <w:bidi w:val="0"/>
        <w:adjustRightInd/>
        <w:snapToGrid/>
        <w:spacing w:before="157" w:beforeLines="50" w:beforeAutospacing="0" w:afterAutospacing="0"/>
        <w:jc w:val="both"/>
        <w:textAlignment w:val="auto"/>
      </w:pPr>
      <w:r>
        <w:rPr>
          <w:rFonts w:hint="eastAsia" w:ascii="黑体" w:hAnsi="宋体" w:eastAsia="黑体" w:cs="黑体"/>
          <w:i/>
          <w:color w:val="000000"/>
          <w:sz w:val="32"/>
          <w:szCs w:val="32"/>
          <w:u w:val="single"/>
          <w:lang w:val="en-US" w:eastAsia="zh-CN"/>
        </w:rPr>
        <w:t>三</w:t>
      </w:r>
      <w:r>
        <w:rPr>
          <w:rFonts w:hint="eastAsia" w:ascii="黑体" w:hAnsi="宋体" w:eastAsia="黑体" w:cs="黑体"/>
          <w:i/>
          <w:color w:val="000000"/>
          <w:sz w:val="32"/>
          <w:szCs w:val="32"/>
          <w:u w:val="single"/>
        </w:rPr>
        <w:t>、具备履行合同所必需的设备和专业技术能力的书面声明</w:t>
      </w:r>
    </w:p>
    <w:p w14:paraId="44B3E98C">
      <w:pPr>
        <w:pStyle w:val="1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92"/>
        <w:jc w:val="both"/>
        <w:textAlignment w:val="auto"/>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716CD550">
      <w:pPr>
        <w:pStyle w:val="1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92"/>
        <w:jc w:val="both"/>
        <w:textAlignment w:val="auto"/>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15938F3B">
      <w:pPr>
        <w:pStyle w:val="17"/>
        <w:keepNext w:val="0"/>
        <w:keepLines w:val="0"/>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2046BCFC">
      <w:pPr>
        <w:keepNext w:val="0"/>
        <w:keepLines w:val="0"/>
        <w:pageBreakBefore w:val="0"/>
        <w:widowControl w:val="0"/>
        <w:tabs>
          <w:tab w:val="left" w:pos="4860"/>
        </w:tabs>
        <w:kinsoku/>
        <w:wordWrap/>
        <w:overflowPunct/>
        <w:topLinePunct w:val="0"/>
        <w:autoSpaceDE/>
        <w:autoSpaceDN/>
        <w:bidi w:val="0"/>
        <w:adjustRightInd/>
        <w:snapToGrid/>
        <w:spacing w:line="500" w:lineRule="exact"/>
        <w:ind w:right="1559" w:firstLine="480" w:firstLineChars="200"/>
        <w:jc w:val="center"/>
        <w:textAlignment w:val="auto"/>
        <w:rPr>
          <w:rFonts w:hint="eastAsia" w:ascii="宋体" w:hAnsi="宋体"/>
          <w:sz w:val="24"/>
          <w:szCs w:val="24"/>
        </w:rPr>
      </w:pPr>
    </w:p>
    <w:p w14:paraId="714E5683">
      <w:pPr>
        <w:keepNext w:val="0"/>
        <w:keepLines w:val="0"/>
        <w:pageBreakBefore w:val="0"/>
        <w:widowControl w:val="0"/>
        <w:tabs>
          <w:tab w:val="left" w:pos="4860"/>
        </w:tabs>
        <w:kinsoku/>
        <w:wordWrap/>
        <w:overflowPunct/>
        <w:topLinePunct w:val="0"/>
        <w:autoSpaceDE/>
        <w:autoSpaceDN/>
        <w:bidi w:val="0"/>
        <w:adjustRightInd/>
        <w:snapToGrid/>
        <w:spacing w:line="500" w:lineRule="exact"/>
        <w:ind w:right="1559" w:firstLine="480" w:firstLineChars="200"/>
        <w:jc w:val="center"/>
        <w:textAlignment w:val="auto"/>
        <w:rPr>
          <w:rFonts w:hint="eastAsia" w:ascii="宋体" w:hAnsi="宋体"/>
          <w:sz w:val="24"/>
          <w:szCs w:val="24"/>
        </w:rPr>
      </w:pPr>
      <w:r>
        <w:rPr>
          <w:rFonts w:hint="eastAsia" w:ascii="宋体" w:hAnsi="宋体"/>
          <w:sz w:val="24"/>
          <w:szCs w:val="24"/>
        </w:rPr>
        <w:t>单位名称（加盖CA电子公章）：</w:t>
      </w:r>
    </w:p>
    <w:p w14:paraId="045629D9">
      <w:pPr>
        <w:spacing w:line="480" w:lineRule="exact"/>
        <w:ind w:firstLine="560" w:firstLineChars="200"/>
        <w:jc w:val="center"/>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p>
    <w:p w14:paraId="4CE292BE">
      <w:pPr>
        <w:pStyle w:val="17"/>
        <w:spacing w:beforeAutospacing="0" w:afterAutospacing="0"/>
        <w:jc w:val="both"/>
        <w:rPr>
          <w:rFonts w:hint="eastAsia" w:ascii="黑体" w:hAnsi="宋体" w:eastAsia="黑体" w:cs="黑体"/>
          <w:i/>
          <w:color w:val="000000"/>
          <w:sz w:val="32"/>
          <w:szCs w:val="32"/>
          <w:u w:val="single"/>
          <w:lang w:val="en-US" w:eastAsia="zh-CN"/>
        </w:rPr>
      </w:pPr>
    </w:p>
    <w:p w14:paraId="487AD6B6">
      <w:pPr>
        <w:pStyle w:val="17"/>
        <w:spacing w:beforeAutospacing="0" w:afterAutospacing="0"/>
        <w:jc w:val="both"/>
      </w:pPr>
      <w:r>
        <w:rPr>
          <w:rFonts w:hint="eastAsia" w:ascii="黑体" w:hAnsi="宋体" w:eastAsia="黑体" w:cs="黑体"/>
          <w:i/>
          <w:color w:val="000000"/>
          <w:sz w:val="32"/>
          <w:szCs w:val="32"/>
          <w:u w:val="single"/>
          <w:lang w:val="en-US" w:eastAsia="zh-CN"/>
        </w:rPr>
        <w:t>四</w:t>
      </w:r>
      <w:r>
        <w:rPr>
          <w:rFonts w:hint="eastAsia" w:ascii="黑体" w:hAnsi="宋体" w:eastAsia="黑体" w:cs="黑体"/>
          <w:i/>
          <w:color w:val="000000"/>
          <w:sz w:val="32"/>
          <w:szCs w:val="32"/>
          <w:u w:val="single"/>
        </w:rPr>
        <w:t>、依法缴纳税收和社会保障资金的相关材料</w:t>
      </w:r>
    </w:p>
    <w:p w14:paraId="77F019BB">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pPr>
      <w:bookmarkStart w:id="184" w:name="_Toc120614284"/>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bookmarkEnd w:id="184"/>
    </w:p>
    <w:p w14:paraId="6A56002B">
      <w:pPr>
        <w:pStyle w:val="17"/>
        <w:spacing w:beforeAutospacing="0" w:afterAutospacing="0"/>
        <w:jc w:val="both"/>
        <w:rPr>
          <w:rFonts w:hint="eastAsia" w:ascii="黑体" w:hAnsi="宋体" w:eastAsia="黑体" w:cs="黑体"/>
          <w:i/>
          <w:color w:val="000000"/>
          <w:sz w:val="32"/>
          <w:szCs w:val="32"/>
          <w:u w:val="single"/>
        </w:rPr>
      </w:pPr>
    </w:p>
    <w:p w14:paraId="007BC947">
      <w:pPr>
        <w:pStyle w:val="17"/>
        <w:spacing w:beforeAutospacing="0" w:afterAutospacing="0"/>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0D9A1CB6">
      <w:pPr>
        <w:pStyle w:val="17"/>
        <w:spacing w:beforeAutospacing="0" w:afterAutospacing="0" w:line="0" w:lineRule="atLeast"/>
        <w:jc w:val="both"/>
      </w:pPr>
      <w:r>
        <w:rPr>
          <w:rFonts w:hint="eastAsia" w:ascii="宋体" w:hAnsi="宋体" w:eastAsia="宋体" w:cs="宋体"/>
          <w:b/>
          <w:color w:val="000000"/>
          <w:sz w:val="44"/>
          <w:szCs w:val="44"/>
        </w:rPr>
        <w:t>       </w:t>
      </w:r>
      <w:r>
        <w:rPr>
          <w:rFonts w:hint="eastAsia" w:ascii="宋体" w:hAnsi="宋体" w:eastAsia="宋体" w:cs="宋体"/>
          <w:b/>
          <w:color w:val="000000"/>
          <w:sz w:val="44"/>
          <w:szCs w:val="44"/>
          <w:lang w:val="en-US" w:eastAsia="zh-CN"/>
        </w:rPr>
        <w:t xml:space="preserve">   </w:t>
      </w:r>
      <w:r>
        <w:rPr>
          <w:rFonts w:hint="eastAsia" w:ascii="宋体" w:hAnsi="宋体" w:eastAsia="宋体" w:cs="宋体"/>
          <w:b/>
          <w:color w:val="000000"/>
          <w:sz w:val="44"/>
          <w:szCs w:val="44"/>
        </w:rPr>
        <w:t>声  明</w:t>
      </w:r>
    </w:p>
    <w:p w14:paraId="5A3D7C1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pPr>
      <w:r>
        <w:rPr>
          <w:rFonts w:hint="eastAsia" w:ascii="宋体" w:hAnsi="宋体" w:eastAsia="宋体" w:cs="宋体"/>
          <w:b/>
          <w:color w:val="000000"/>
        </w:rPr>
        <w:t>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0CF52C8E">
      <w:pPr>
        <w:pStyle w:val="17"/>
        <w:spacing w:beforeAutospacing="0" w:afterAutospacing="0"/>
        <w:jc w:val="both"/>
      </w:pPr>
      <w:r>
        <w:t> </w:t>
      </w:r>
    </w:p>
    <w:p w14:paraId="3A97A6D3">
      <w:pPr>
        <w:pStyle w:val="17"/>
        <w:spacing w:beforeAutospacing="0" w:afterAutospacing="0" w:line="0" w:lineRule="atLeast"/>
        <w:jc w:val="both"/>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宋体" w:hAnsi="宋体"/>
          <w:sz w:val="24"/>
          <w:szCs w:val="24"/>
        </w:rPr>
        <w:t>单位名称（加盖CA电子公章）：</w:t>
      </w:r>
    </w:p>
    <w:p w14:paraId="6550D1B0">
      <w:pPr>
        <w:spacing w:line="480" w:lineRule="exact"/>
        <w:ind w:firstLine="560" w:firstLineChars="200"/>
        <w:jc w:val="center"/>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p>
    <w:p w14:paraId="31D51711">
      <w:pPr>
        <w:pStyle w:val="17"/>
        <w:spacing w:beforeAutospacing="0" w:afterAutospacing="0"/>
        <w:jc w:val="both"/>
      </w:pPr>
    </w:p>
    <w:p w14:paraId="002EF339">
      <w:pPr>
        <w:pStyle w:val="17"/>
        <w:keepNext w:val="0"/>
        <w:keepLines w:val="0"/>
        <w:pageBreakBefore w:val="0"/>
        <w:widowControl w:val="0"/>
        <w:kinsoku/>
        <w:wordWrap/>
        <w:overflowPunct/>
        <w:topLinePunct w:val="0"/>
        <w:autoSpaceDE/>
        <w:autoSpaceDN/>
        <w:bidi w:val="0"/>
        <w:adjustRightInd/>
        <w:snapToGrid/>
        <w:spacing w:before="157" w:beforeLines="50" w:beforeAutospacing="0" w:afterAutospacing="0"/>
        <w:jc w:val="both"/>
        <w:textAlignment w:val="auto"/>
        <w:rPr>
          <w:rFonts w:hint="eastAsia" w:ascii="黑体" w:hAnsi="宋体" w:eastAsia="黑体" w:cs="黑体"/>
          <w:i/>
          <w:color w:val="000000"/>
          <w:sz w:val="32"/>
          <w:szCs w:val="32"/>
          <w:u w:val="single"/>
        </w:rPr>
      </w:pPr>
    </w:p>
    <w:p w14:paraId="090EEDC2">
      <w:pPr>
        <w:pStyle w:val="17"/>
        <w:keepNext w:val="0"/>
        <w:keepLines w:val="0"/>
        <w:pageBreakBefore w:val="0"/>
        <w:widowControl w:val="0"/>
        <w:kinsoku/>
        <w:wordWrap/>
        <w:overflowPunct/>
        <w:topLinePunct w:val="0"/>
        <w:autoSpaceDE/>
        <w:autoSpaceDN/>
        <w:bidi w:val="0"/>
        <w:adjustRightInd/>
        <w:snapToGrid/>
        <w:spacing w:before="157" w:beforeLines="50" w:beforeAutospacing="0" w:afterAutospacing="0"/>
        <w:jc w:val="both"/>
        <w:textAlignment w:val="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六、特定资格要求的证明文件</w:t>
      </w:r>
    </w:p>
    <w:p w14:paraId="12F85523">
      <w:pPr>
        <w:numPr>
          <w:ilvl w:val="0"/>
          <w:numId w:val="0"/>
        </w:numPr>
        <w:spacing w:line="440" w:lineRule="exact"/>
        <w:ind w:left="422" w:leftChars="0"/>
        <w:rPr>
          <w:rFonts w:hint="eastAsia" w:ascii="宋体" w:hAnsi="宋体" w:cs="宋体"/>
          <w:b/>
          <w:bCs/>
          <w:sz w:val="24"/>
          <w:highlight w:val="none"/>
        </w:rPr>
      </w:pPr>
      <w:r>
        <w:rPr>
          <w:rFonts w:hint="eastAsia" w:ascii="宋体" w:hAnsi="宋体" w:cs="宋体"/>
          <w:color w:val="auto"/>
          <w:sz w:val="24"/>
          <w:szCs w:val="24"/>
          <w:highlight w:val="none"/>
          <w:shd w:val="clear" w:color="auto" w:fill="FFFFFF"/>
          <w:lang w:eastAsia="zh-CN"/>
        </w:rPr>
        <w:t>投标人必须在中国境内注册，</w:t>
      </w:r>
      <w:r>
        <w:rPr>
          <w:rFonts w:hint="eastAsia" w:ascii="宋体" w:hAnsi="宋体" w:cs="宋体"/>
          <w:color w:val="0000FF"/>
          <w:sz w:val="24"/>
          <w:szCs w:val="24"/>
          <w:highlight w:val="none"/>
          <w:shd w:val="clear" w:color="auto" w:fill="FFFFFF"/>
          <w:lang w:eastAsia="zh-CN"/>
        </w:rPr>
        <w:t>且</w:t>
      </w:r>
      <w:r>
        <w:rPr>
          <w:rFonts w:hint="eastAsia" w:ascii="宋体" w:hAnsi="宋体" w:cs="宋体"/>
          <w:color w:val="auto"/>
          <w:sz w:val="24"/>
          <w:szCs w:val="24"/>
          <w:highlight w:val="none"/>
          <w:shd w:val="clear" w:color="auto" w:fill="FFFFFF"/>
          <w:lang w:eastAsia="zh-CN"/>
        </w:rPr>
        <w:t>具有国家工信部颁发的《中华人民共和国基础电信业务经营许可证》或其分(支)公司；或具有省级及以上的广电主管部门颁发的《广播电视节目传送业务经营许可证》或其分(支)公司</w:t>
      </w:r>
      <w:r>
        <w:rPr>
          <w:rFonts w:hint="eastAsia" w:ascii="宋体" w:hAnsi="宋体" w:cs="宋体"/>
          <w:b/>
          <w:bCs/>
          <w:sz w:val="24"/>
          <w:highlight w:val="none"/>
          <w:lang w:eastAsia="zh-CN"/>
        </w:rPr>
        <w:t>。</w:t>
      </w:r>
      <w:r>
        <w:rPr>
          <w:rFonts w:hint="eastAsia" w:ascii="宋体" w:hAnsi="宋体" w:cs="宋体"/>
          <w:b/>
          <w:bCs/>
          <w:sz w:val="24"/>
          <w:highlight w:val="none"/>
        </w:rPr>
        <w:t>（若分公司投标的，应出具相应具有独立法人资格的上级公司的授权，授权单位应承担该项目授权内容的一切连带责任。）</w:t>
      </w:r>
    </w:p>
    <w:p w14:paraId="5EEDEEC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000000"/>
          <w:lang w:eastAsia="zh-CN"/>
        </w:rPr>
      </w:pPr>
    </w:p>
    <w:p w14:paraId="47AEFF7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000000"/>
          <w:lang w:eastAsia="zh-CN"/>
        </w:rPr>
      </w:pPr>
    </w:p>
    <w:p w14:paraId="3073F7E8">
      <w:pPr>
        <w:pStyle w:val="17"/>
        <w:spacing w:beforeAutospacing="0" w:afterAutospacing="0" w:line="0" w:lineRule="atLeast"/>
        <w:jc w:val="both"/>
      </w:pPr>
      <w:r>
        <w:t> </w:t>
      </w:r>
    </w:p>
    <w:p w14:paraId="4001F380">
      <w:pPr>
        <w:pStyle w:val="17"/>
        <w:spacing w:beforeAutospacing="0" w:afterAutospacing="0"/>
        <w:jc w:val="center"/>
        <w:rPr>
          <w:rFonts w:ascii="黑体" w:hAnsi="宋体" w:eastAsia="黑体" w:cs="黑体"/>
          <w:i/>
          <w:color w:val="000000"/>
          <w:sz w:val="32"/>
          <w:szCs w:val="32"/>
          <w:u w:val="single"/>
        </w:rPr>
      </w:pPr>
    </w:p>
    <w:p w14:paraId="773C1EFF">
      <w:pPr>
        <w:pStyle w:val="17"/>
        <w:spacing w:beforeAutospacing="0" w:afterAutospacing="0"/>
        <w:jc w:val="center"/>
        <w:rPr>
          <w:rFonts w:ascii="黑体" w:hAnsi="宋体" w:eastAsia="黑体" w:cs="黑体"/>
          <w:i/>
          <w:color w:val="000000"/>
          <w:sz w:val="32"/>
          <w:szCs w:val="32"/>
          <w:u w:val="single"/>
        </w:rPr>
      </w:pPr>
    </w:p>
    <w:p w14:paraId="57623E30">
      <w:pPr>
        <w:pStyle w:val="17"/>
        <w:spacing w:beforeAutospacing="0" w:afterAutospacing="0"/>
        <w:jc w:val="center"/>
        <w:rPr>
          <w:rFonts w:ascii="黑体" w:hAnsi="宋体" w:eastAsia="黑体" w:cs="黑体"/>
          <w:i/>
          <w:color w:val="000000"/>
          <w:sz w:val="32"/>
          <w:szCs w:val="32"/>
          <w:u w:val="single"/>
        </w:rPr>
      </w:pPr>
    </w:p>
    <w:p w14:paraId="19449817">
      <w:pPr>
        <w:pStyle w:val="17"/>
        <w:spacing w:beforeAutospacing="0" w:afterAutospacing="0"/>
        <w:jc w:val="center"/>
        <w:rPr>
          <w:rFonts w:ascii="黑体" w:hAnsi="宋体" w:eastAsia="黑体" w:cs="黑体"/>
          <w:i/>
          <w:color w:val="000000"/>
          <w:sz w:val="32"/>
          <w:szCs w:val="32"/>
          <w:u w:val="single"/>
        </w:rPr>
      </w:pPr>
    </w:p>
    <w:p w14:paraId="3BC427EE">
      <w:pPr>
        <w:pStyle w:val="17"/>
        <w:spacing w:beforeAutospacing="0" w:afterAutospacing="0"/>
        <w:jc w:val="center"/>
        <w:rPr>
          <w:rFonts w:ascii="黑体" w:hAnsi="宋体" w:eastAsia="黑体" w:cs="黑体"/>
          <w:i/>
          <w:color w:val="000000"/>
          <w:sz w:val="32"/>
          <w:szCs w:val="32"/>
          <w:u w:val="single"/>
        </w:rPr>
      </w:pPr>
    </w:p>
    <w:p w14:paraId="387C09DC">
      <w:pPr>
        <w:pStyle w:val="17"/>
        <w:spacing w:beforeAutospacing="0" w:afterAutospacing="0"/>
        <w:jc w:val="center"/>
        <w:rPr>
          <w:rFonts w:ascii="黑体" w:hAnsi="宋体" w:eastAsia="黑体" w:cs="黑体"/>
          <w:i/>
          <w:color w:val="000000"/>
          <w:sz w:val="32"/>
          <w:szCs w:val="32"/>
          <w:u w:val="single"/>
        </w:rPr>
      </w:pPr>
    </w:p>
    <w:p w14:paraId="7316CBD4">
      <w:pPr>
        <w:pStyle w:val="17"/>
        <w:spacing w:beforeAutospacing="0" w:afterAutospacing="0"/>
        <w:jc w:val="center"/>
        <w:rPr>
          <w:rFonts w:ascii="黑体" w:hAnsi="宋体" w:eastAsia="黑体" w:cs="黑体"/>
          <w:i/>
          <w:color w:val="000000"/>
          <w:sz w:val="32"/>
          <w:szCs w:val="32"/>
          <w:u w:val="single"/>
        </w:rPr>
      </w:pPr>
    </w:p>
    <w:p w14:paraId="4AD75FD3">
      <w:pPr>
        <w:pStyle w:val="17"/>
        <w:spacing w:beforeAutospacing="0" w:afterAutospacing="0"/>
        <w:jc w:val="center"/>
        <w:rPr>
          <w:rFonts w:ascii="黑体" w:hAnsi="宋体" w:eastAsia="黑体" w:cs="黑体"/>
          <w:i/>
          <w:color w:val="000000"/>
          <w:sz w:val="32"/>
          <w:szCs w:val="32"/>
          <w:u w:val="single"/>
        </w:rPr>
      </w:pPr>
    </w:p>
    <w:p w14:paraId="00ED152E">
      <w:pPr>
        <w:pStyle w:val="17"/>
        <w:spacing w:beforeAutospacing="0" w:afterAutospacing="0"/>
        <w:jc w:val="center"/>
        <w:rPr>
          <w:rFonts w:ascii="黑体" w:hAnsi="宋体" w:eastAsia="黑体" w:cs="黑体"/>
          <w:i/>
          <w:color w:val="000000"/>
          <w:sz w:val="32"/>
          <w:szCs w:val="32"/>
          <w:u w:val="single"/>
        </w:rPr>
      </w:pPr>
    </w:p>
    <w:p w14:paraId="67E9F6B2">
      <w:pPr>
        <w:pStyle w:val="17"/>
        <w:spacing w:beforeAutospacing="0" w:afterAutospacing="0"/>
        <w:jc w:val="center"/>
        <w:rPr>
          <w:rFonts w:ascii="黑体" w:hAnsi="宋体" w:eastAsia="黑体" w:cs="黑体"/>
          <w:i/>
          <w:color w:val="000000"/>
          <w:sz w:val="32"/>
          <w:szCs w:val="32"/>
          <w:u w:val="single"/>
        </w:rPr>
      </w:pPr>
    </w:p>
    <w:p w14:paraId="18343DE4">
      <w:pPr>
        <w:pStyle w:val="17"/>
        <w:spacing w:beforeAutospacing="0" w:afterAutospacing="0"/>
        <w:jc w:val="center"/>
        <w:rPr>
          <w:rFonts w:ascii="黑体" w:hAnsi="宋体" w:eastAsia="黑体" w:cs="黑体"/>
          <w:i/>
          <w:color w:val="000000"/>
          <w:sz w:val="32"/>
          <w:szCs w:val="32"/>
          <w:u w:val="single"/>
        </w:rPr>
      </w:pPr>
    </w:p>
    <w:p w14:paraId="1620895C">
      <w:pPr>
        <w:pStyle w:val="17"/>
        <w:spacing w:beforeAutospacing="0" w:afterAutospacing="0"/>
        <w:jc w:val="center"/>
        <w:rPr>
          <w:rFonts w:ascii="黑体" w:hAnsi="宋体" w:eastAsia="黑体" w:cs="黑体"/>
          <w:i/>
          <w:color w:val="000000"/>
          <w:sz w:val="32"/>
          <w:szCs w:val="32"/>
          <w:u w:val="single"/>
        </w:rPr>
      </w:pPr>
    </w:p>
    <w:p w14:paraId="06837BE8">
      <w:pPr>
        <w:pStyle w:val="17"/>
        <w:spacing w:beforeAutospacing="0" w:afterAutospacing="0"/>
        <w:jc w:val="center"/>
        <w:rPr>
          <w:rFonts w:ascii="黑体" w:hAnsi="宋体" w:eastAsia="黑体" w:cs="黑体"/>
          <w:i/>
          <w:color w:val="000000"/>
          <w:sz w:val="32"/>
          <w:szCs w:val="32"/>
          <w:u w:val="single"/>
        </w:rPr>
      </w:pPr>
    </w:p>
    <w:p w14:paraId="29165629">
      <w:pPr>
        <w:pStyle w:val="17"/>
        <w:spacing w:beforeAutospacing="0" w:afterAutospacing="0"/>
        <w:jc w:val="center"/>
        <w:rPr>
          <w:rFonts w:ascii="黑体" w:hAnsi="宋体" w:eastAsia="黑体" w:cs="黑体"/>
          <w:i/>
          <w:color w:val="000000"/>
          <w:sz w:val="32"/>
          <w:szCs w:val="32"/>
          <w:u w:val="single"/>
        </w:rPr>
      </w:pPr>
    </w:p>
    <w:p w14:paraId="0320C0DD">
      <w:pPr>
        <w:pStyle w:val="17"/>
        <w:spacing w:beforeAutospacing="0" w:afterAutospacing="0"/>
        <w:jc w:val="center"/>
        <w:rPr>
          <w:rFonts w:ascii="黑体" w:hAnsi="宋体" w:eastAsia="黑体" w:cs="黑体"/>
          <w:i/>
          <w:color w:val="000000"/>
          <w:sz w:val="32"/>
          <w:szCs w:val="32"/>
          <w:u w:val="single"/>
        </w:rPr>
      </w:pPr>
    </w:p>
    <w:p w14:paraId="745E1470">
      <w:pPr>
        <w:pStyle w:val="17"/>
        <w:spacing w:beforeAutospacing="0" w:afterAutospacing="0"/>
        <w:jc w:val="center"/>
        <w:rPr>
          <w:rFonts w:ascii="黑体" w:hAnsi="宋体" w:eastAsia="黑体" w:cs="黑体"/>
          <w:i/>
          <w:color w:val="000000"/>
          <w:sz w:val="32"/>
          <w:szCs w:val="32"/>
          <w:u w:val="single"/>
        </w:rPr>
      </w:pPr>
    </w:p>
    <w:p w14:paraId="29A7CF4C">
      <w:pPr>
        <w:pStyle w:val="17"/>
        <w:spacing w:beforeAutospacing="0" w:afterAutospacing="0"/>
        <w:jc w:val="center"/>
        <w:rPr>
          <w:rFonts w:ascii="黑体" w:hAnsi="宋体" w:eastAsia="黑体" w:cs="黑体"/>
          <w:i/>
          <w:color w:val="000000"/>
          <w:sz w:val="32"/>
          <w:szCs w:val="32"/>
          <w:u w:val="single"/>
        </w:rPr>
      </w:pPr>
    </w:p>
    <w:p w14:paraId="3802C844">
      <w:pPr>
        <w:pStyle w:val="17"/>
        <w:keepNext w:val="0"/>
        <w:keepLines w:val="0"/>
        <w:pageBreakBefore w:val="0"/>
        <w:widowControl w:val="0"/>
        <w:kinsoku/>
        <w:wordWrap/>
        <w:overflowPunct/>
        <w:topLinePunct w:val="0"/>
        <w:autoSpaceDE/>
        <w:autoSpaceDN/>
        <w:bidi w:val="0"/>
        <w:adjustRightInd/>
        <w:snapToGrid/>
        <w:spacing w:beforeAutospacing="0" w:after="157" w:afterLines="50" w:afterAutospacing="0" w:line="600" w:lineRule="exact"/>
        <w:jc w:val="center"/>
        <w:textAlignment w:val="auto"/>
        <w:rPr>
          <w:rFonts w:ascii="Times New Roman" w:hAnsi="Times New Roman"/>
          <w:color w:val="000000"/>
        </w:rPr>
      </w:pPr>
      <w:r>
        <w:rPr>
          <w:rFonts w:hint="eastAsia" w:ascii="黑体" w:hAnsi="宋体" w:eastAsia="黑体" w:cs="黑体"/>
          <w:i/>
          <w:color w:val="000000"/>
          <w:sz w:val="32"/>
          <w:szCs w:val="32"/>
          <w:u w:val="single"/>
        </w:rPr>
        <w:t>七、法人授权书</w:t>
      </w:r>
    </w:p>
    <w:p w14:paraId="439F1778">
      <w:pPr>
        <w:pStyle w:val="1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60" w:lineRule="exact"/>
        <w:ind w:firstLine="480"/>
        <w:jc w:val="both"/>
        <w:textAlignment w:val="auto"/>
      </w:pPr>
      <w:r>
        <w:rPr>
          <w:rFonts w:ascii="Times New Roman" w:hAnsi="Times New Roman"/>
          <w:color w:val="000000"/>
        </w:rPr>
        <w:t>本授权书声明：____________（投标人名称）授权________________（被授权人的姓名）为我方就</w:t>
      </w:r>
      <w:r>
        <w:rPr>
          <w:rFonts w:hint="eastAsia" w:ascii="宋体" w:hAnsi="宋体"/>
          <w:color w:val="auto"/>
          <w:sz w:val="24"/>
          <w:szCs w:val="24"/>
          <w:u w:val="single"/>
          <w:lang w:eastAsia="zh-CN"/>
        </w:rPr>
        <w:t>JSZC-320923-JSTC-G2026-0002</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72698985">
      <w:pPr>
        <w:pStyle w:val="1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60" w:lineRule="exact"/>
        <w:ind w:firstLine="480"/>
        <w:jc w:val="both"/>
        <w:textAlignment w:val="auto"/>
      </w:pPr>
      <w:r>
        <w:rPr>
          <w:rFonts w:ascii="Times New Roman" w:hAnsi="Times New Roman"/>
          <w:color w:val="000000"/>
        </w:rPr>
        <w:t>本授权书于______年____月____日起生效，特此声明。</w:t>
      </w:r>
    </w:p>
    <w:p w14:paraId="42465D71">
      <w:pPr>
        <w:pStyle w:val="1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60" w:lineRule="exact"/>
        <w:jc w:val="both"/>
        <w:textAlignment w:val="auto"/>
      </w:pPr>
      <w:r>
        <w:rPr>
          <w:rFonts w:ascii="Times New Roman" w:hAnsi="Times New Roman"/>
          <w:color w:val="000000"/>
        </w:rPr>
        <w:t>          被授权人身份证号码：</w:t>
      </w:r>
      <w:r>
        <w:rPr>
          <w:rFonts w:ascii="Times New Roman" w:hAnsi="Times New Roman"/>
          <w:color w:val="000000"/>
          <w:u w:val="single"/>
        </w:rPr>
        <w:t xml:space="preserve">                              </w:t>
      </w:r>
    </w:p>
    <w:p w14:paraId="077FC7CB">
      <w:pPr>
        <w:pStyle w:val="1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60" w:lineRule="exact"/>
        <w:jc w:val="both"/>
        <w:textAlignment w:val="auto"/>
      </w:pPr>
      <w:r>
        <w:rPr>
          <w:rFonts w:ascii="Times New Roman" w:hAnsi="Times New Roman"/>
          <w:color w:val="000000"/>
        </w:rPr>
        <w:t>          被授权人联系电话：（手机）</w:t>
      </w:r>
      <w:r>
        <w:rPr>
          <w:rFonts w:ascii="Times New Roman" w:hAnsi="Times New Roman"/>
          <w:color w:val="000000"/>
          <w:u w:val="single"/>
        </w:rPr>
        <w:t xml:space="preserve">                          </w:t>
      </w:r>
    </w:p>
    <w:p w14:paraId="25D1DC49">
      <w:pPr>
        <w:pStyle w:val="1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60" w:lineRule="exact"/>
        <w:ind w:firstLine="1200"/>
        <w:jc w:val="both"/>
        <w:textAlignment w:val="auto"/>
      </w:pPr>
      <w:r>
        <w:rPr>
          <w:rFonts w:ascii="Times New Roman" w:hAnsi="Times New Roman"/>
          <w:color w:val="000000"/>
        </w:rPr>
        <w:t>授权单位名称：</w:t>
      </w:r>
      <w:r>
        <w:rPr>
          <w:rFonts w:ascii="Times New Roman" w:hAnsi="Times New Roman"/>
          <w:color w:val="000000"/>
          <w:u w:val="single"/>
        </w:rPr>
        <w:t>（加盖CA电子公章）</w:t>
      </w:r>
    </w:p>
    <w:p w14:paraId="2CDFB569">
      <w:pPr>
        <w:pStyle w:val="1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60" w:lineRule="exact"/>
        <w:ind w:firstLine="480"/>
        <w:jc w:val="both"/>
        <w:textAlignment w:val="auto"/>
      </w:pPr>
      <w:r>
        <w:rPr>
          <w:rFonts w:ascii="Times New Roman" w:hAnsi="Times New Roman"/>
          <w:color w:val="000000"/>
        </w:rPr>
        <w:t>      单位地址：</w:t>
      </w:r>
      <w:r>
        <w:rPr>
          <w:rFonts w:ascii="Times New Roman" w:hAnsi="Times New Roman"/>
          <w:color w:val="000000"/>
          <w:u w:val="single"/>
        </w:rPr>
        <w:t xml:space="preserve">                                         </w:t>
      </w:r>
    </w:p>
    <w:p w14:paraId="11911538">
      <w:pPr>
        <w:pStyle w:val="1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60" w:lineRule="exact"/>
        <w:ind w:firstLine="480"/>
        <w:jc w:val="both"/>
        <w:textAlignment w:val="auto"/>
      </w:pPr>
      <w:r>
        <w:rPr>
          <w:rFonts w:ascii="Times New Roman" w:hAnsi="Times New Roman"/>
          <w:color w:val="000000"/>
        </w:rPr>
        <w:t>      日期：</w:t>
      </w:r>
      <w:bookmarkStart w:id="185" w:name="_格式3__银行出具的资信证明"/>
      <w:bookmarkStart w:id="186" w:name="_Hlt26955070"/>
      <w:bookmarkStart w:id="187" w:name="_Hlt26671380"/>
      <w:r>
        <w:rPr>
          <w:rFonts w:ascii="Times New Roman" w:hAnsi="Times New Roman"/>
          <w:color w:val="000000"/>
          <w:u w:val="single"/>
        </w:rPr>
        <w:t xml:space="preserve">                                         </w:t>
      </w:r>
    </w:p>
    <w:p w14:paraId="4A3C33D6">
      <w:pPr>
        <w:pStyle w:val="17"/>
        <w:spacing w:beforeAutospacing="0" w:afterAutospacing="0"/>
        <w:ind w:firstLine="420"/>
        <w:jc w:val="both"/>
      </w:pPr>
      <w:r>
        <w:t> </w:t>
      </w:r>
    </w:p>
    <w:p w14:paraId="7B9A72D0">
      <w:pPr>
        <w:pStyle w:val="17"/>
        <w:spacing w:beforeAutospacing="0" w:afterAutospacing="0"/>
        <w:jc w:val="both"/>
      </w:pPr>
      <w:r>
        <w:t> </w:t>
      </w:r>
    </w:p>
    <w:p w14:paraId="27E27A61">
      <w:pPr>
        <w:pStyle w:val="17"/>
        <w:spacing w:beforeAutospacing="0" w:afterAutospacing="0" w:line="0" w:lineRule="atLeast"/>
        <w:jc w:val="both"/>
      </w:pPr>
      <w:r>
        <w:t> </w:t>
      </w:r>
    </w:p>
    <w:p w14:paraId="1DA3DA7F">
      <w:pPr>
        <w:pStyle w:val="17"/>
        <w:spacing w:beforeAutospacing="0" w:afterAutospacing="0" w:line="0" w:lineRule="atLeast"/>
        <w:jc w:val="both"/>
      </w:pPr>
      <w:r>
        <w:t> </w:t>
      </w:r>
    </w:p>
    <w:p w14:paraId="7F1DD6D7">
      <w:pPr>
        <w:pStyle w:val="17"/>
        <w:keepNext/>
        <w:keepLines/>
        <w:spacing w:before="260" w:beforeAutospacing="0" w:after="260" w:afterAutospacing="0" w:line="415" w:lineRule="auto"/>
        <w:ind w:firstLine="3390"/>
        <w:jc w:val="both"/>
        <w:rPr>
          <w:rFonts w:hint="eastAsia" w:ascii="宋体" w:hAnsi="宋体" w:eastAsia="宋体" w:cs="宋体"/>
          <w:b/>
          <w:color w:val="000000"/>
        </w:rPr>
      </w:pPr>
      <w:r>
        <w:rPr>
          <w:rFonts w:hint="eastAsia" w:ascii="宋体" w:hAnsi="宋体" w:eastAsia="宋体" w:cs="宋体"/>
          <w:b/>
          <w:color w:val="000000"/>
        </w:rPr>
        <w:br w:type="page"/>
      </w:r>
    </w:p>
    <w:p w14:paraId="72073D82">
      <w:pPr>
        <w:pStyle w:val="17"/>
        <w:keepNext/>
        <w:keepLines/>
        <w:spacing w:before="260" w:beforeAutospacing="0" w:after="260" w:afterAutospacing="0" w:line="415" w:lineRule="auto"/>
        <w:ind w:firstLine="3390"/>
        <w:jc w:val="both"/>
        <w:rPr>
          <w:rFonts w:ascii="黑体" w:hAnsi="宋体" w:eastAsia="黑体" w:cs="黑体"/>
          <w:b/>
          <w:color w:val="000000"/>
          <w:sz w:val="32"/>
          <w:szCs w:val="32"/>
        </w:rPr>
      </w:pPr>
      <w:r>
        <w:rPr>
          <w:rFonts w:hint="eastAsia" w:ascii="宋体" w:hAnsi="宋体" w:eastAsia="宋体" w:cs="宋体"/>
          <w:b/>
          <w:color w:val="000000"/>
        </w:rPr>
        <w:t> </w:t>
      </w:r>
      <w:r>
        <w:rPr>
          <w:rFonts w:hint="eastAsia" w:ascii="黑体" w:hAnsi="宋体" w:eastAsia="黑体" w:cs="黑体"/>
          <w:b/>
          <w:color w:val="000000"/>
          <w:sz w:val="32"/>
          <w:szCs w:val="32"/>
        </w:rPr>
        <w:t>八、投标函</w:t>
      </w:r>
    </w:p>
    <w:p w14:paraId="0D79A5C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textAlignment w:val="auto"/>
        <w:rPr>
          <w:rFonts w:hint="eastAsia" w:eastAsia="宋体"/>
          <w:color w:val="auto"/>
          <w:lang w:eastAsia="zh-CN"/>
        </w:rPr>
      </w:pPr>
      <w:r>
        <w:rPr>
          <w:rFonts w:hint="eastAsia" w:ascii="宋体" w:hAnsi="宋体" w:eastAsia="宋体" w:cs="宋体"/>
          <w:color w:val="000000"/>
        </w:rPr>
        <w:t>致：</w:t>
      </w:r>
      <w:r>
        <w:rPr>
          <w:rFonts w:hint="eastAsia" w:ascii="宋体" w:hAnsi="宋体" w:eastAsia="宋体" w:cs="宋体"/>
          <w:color w:val="auto"/>
          <w:lang w:eastAsia="zh-CN"/>
        </w:rPr>
        <w:t>阜宁县住房和城乡建设局</w:t>
      </w:r>
    </w:p>
    <w:p w14:paraId="721630A3">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textAlignment w:val="auto"/>
      </w:pPr>
      <w:r>
        <w:rPr>
          <w:rFonts w:hint="eastAsia" w:ascii="宋体" w:hAnsi="宋体" w:eastAsia="宋体" w:cs="宋体"/>
          <w:color w:val="000000"/>
        </w:rPr>
        <w:t>根据贵方的</w:t>
      </w:r>
      <w:r>
        <w:rPr>
          <w:rFonts w:hint="eastAsia" w:ascii="宋体" w:hAnsi="宋体"/>
          <w:color w:val="auto"/>
          <w:sz w:val="24"/>
          <w:szCs w:val="24"/>
          <w:u w:val="single"/>
          <w:lang w:eastAsia="zh-CN"/>
        </w:rPr>
        <w:t>JSZC-320923-JSTC-G2026-0002</w:t>
      </w:r>
      <w:r>
        <w:rPr>
          <w:rFonts w:hint="eastAsia" w:ascii="宋体" w:hAnsi="宋体" w:eastAsia="宋体" w:cs="宋体"/>
          <w:color w:val="000000"/>
        </w:rPr>
        <w:t>号招标文件，正式授权下述签字人______</w:t>
      </w:r>
      <w:r>
        <w:rPr>
          <w:rFonts w:hint="eastAsia" w:ascii="宋体" w:hAnsi="宋体" w:eastAsia="宋体" w:cs="宋体"/>
          <w:color w:val="000000"/>
          <w:lang w:eastAsia="zh-CN"/>
        </w:rPr>
        <w:t>（</w:t>
      </w:r>
      <w:r>
        <w:rPr>
          <w:rFonts w:hint="eastAsia" w:ascii="宋体" w:hAnsi="宋体" w:eastAsia="宋体" w:cs="宋体"/>
          <w:color w:val="000000"/>
        </w:rPr>
        <w:t>姓名</w:t>
      </w:r>
      <w:r>
        <w:rPr>
          <w:rFonts w:hint="eastAsia" w:ascii="宋体" w:hAnsi="宋体" w:eastAsia="宋体" w:cs="宋体"/>
          <w:color w:val="000000"/>
          <w:lang w:eastAsia="zh-CN"/>
        </w:rPr>
        <w:t>）</w:t>
      </w:r>
      <w:r>
        <w:rPr>
          <w:rFonts w:hint="eastAsia" w:ascii="宋体" w:hAnsi="宋体" w:eastAsia="宋体" w:cs="宋体"/>
          <w:color w:val="000000"/>
        </w:rPr>
        <w:t>代表我方______________（投标人的名称），全权处理本次项目投标的有关事宜。</w:t>
      </w:r>
    </w:p>
    <w:p w14:paraId="7D9F7294">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textAlignment w:val="auto"/>
      </w:pPr>
      <w:r>
        <w:rPr>
          <w:rFonts w:hint="eastAsia" w:ascii="宋体" w:hAnsi="宋体" w:eastAsia="宋体" w:cs="宋体"/>
          <w:color w:val="000000"/>
        </w:rPr>
        <w:t>据此函，签字人兹宣布同意如下：</w:t>
      </w:r>
    </w:p>
    <w:p w14:paraId="05CC07E2">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textAlignment w:val="auto"/>
      </w:pPr>
      <w:r>
        <w:rPr>
          <w:rFonts w:hint="eastAsia" w:ascii="宋体" w:hAnsi="宋体" w:eastAsia="宋体" w:cs="宋体"/>
          <w:color w:val="000000"/>
        </w:rPr>
        <w:t>1.按招标文件规定的各项要求，向买方提供所需服务（包含与服务相关的货物）。</w:t>
      </w:r>
    </w:p>
    <w:p w14:paraId="48898913">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textAlignment w:val="auto"/>
      </w:pPr>
      <w:r>
        <w:rPr>
          <w:rFonts w:hint="eastAsia" w:ascii="宋体" w:hAnsi="宋体" w:eastAsia="宋体" w:cs="宋体"/>
          <w:color w:val="000000"/>
        </w:rPr>
        <w:t>2.我们完全理解贵方不一定将合同授予最低报价的投标人。</w:t>
      </w:r>
    </w:p>
    <w:p w14:paraId="01F4F229">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textAlignment w:val="auto"/>
      </w:pPr>
      <w:r>
        <w:rPr>
          <w:rFonts w:hint="eastAsia" w:ascii="宋体" w:hAnsi="宋体" w:eastAsia="宋体" w:cs="宋体"/>
          <w:color w:val="000000"/>
        </w:rPr>
        <w:t>3.我们已详细审核全部招标文件及其有效补充文件，我们知道必须放弃提出含糊不清或误解问题的权利。</w:t>
      </w:r>
    </w:p>
    <w:p w14:paraId="07B1C390">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textAlignment w:val="auto"/>
      </w:pPr>
      <w:r>
        <w:rPr>
          <w:rFonts w:hint="eastAsia" w:ascii="宋体" w:hAnsi="宋体" w:eastAsia="宋体" w:cs="宋体"/>
          <w:color w:val="000000"/>
        </w:rPr>
        <w:t>4.我们同意从规定的开标日期起遵循本投标文件，并在规定的投标有效期期满之前均具有约束力。</w:t>
      </w:r>
    </w:p>
    <w:p w14:paraId="6B0127B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textAlignment w:val="auto"/>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526428BD">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textAlignment w:val="auto"/>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2DB9C31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firstLine="480"/>
        <w:textAlignment w:val="auto"/>
      </w:pPr>
      <w:r>
        <w:rPr>
          <w:rFonts w:hint="eastAsia" w:ascii="宋体" w:hAnsi="宋体" w:eastAsia="宋体" w:cs="宋体"/>
          <w:color w:val="000000"/>
        </w:rPr>
        <w:t>7.与本投标有关的正式通讯地址为：</w:t>
      </w:r>
    </w:p>
    <w:p w14:paraId="4F950E1E">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left="420" w:firstLine="480"/>
        <w:textAlignment w:val="auto"/>
      </w:pPr>
      <w:r>
        <w:rPr>
          <w:rFonts w:hint="eastAsia" w:ascii="宋体" w:hAnsi="宋体" w:eastAsia="宋体" w:cs="宋体"/>
          <w:color w:val="000000"/>
        </w:rPr>
        <w:t>地          址：</w:t>
      </w:r>
    </w:p>
    <w:p w14:paraId="00C3C0EB">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left="420" w:firstLine="480"/>
        <w:textAlignment w:val="auto"/>
      </w:pPr>
      <w:r>
        <w:rPr>
          <w:rFonts w:hint="eastAsia" w:ascii="宋体" w:hAnsi="宋体" w:eastAsia="宋体" w:cs="宋体"/>
          <w:color w:val="000000"/>
        </w:rPr>
        <w:t>邮          编：</w:t>
      </w:r>
    </w:p>
    <w:p w14:paraId="618DC580">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left="420" w:firstLine="480"/>
        <w:textAlignment w:val="auto"/>
      </w:pPr>
      <w:r>
        <w:rPr>
          <w:rFonts w:hint="eastAsia" w:ascii="宋体" w:hAnsi="宋体" w:eastAsia="宋体" w:cs="宋体"/>
          <w:color w:val="000000"/>
        </w:rPr>
        <w:t>电          话：</w:t>
      </w:r>
    </w:p>
    <w:p w14:paraId="7DDF793C">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left="420" w:firstLine="480"/>
        <w:textAlignment w:val="auto"/>
      </w:pPr>
      <w:r>
        <w:rPr>
          <w:rFonts w:hint="eastAsia" w:ascii="宋体" w:hAnsi="宋体" w:eastAsia="宋体" w:cs="宋体"/>
          <w:color w:val="000000"/>
        </w:rPr>
        <w:t>传          真：</w:t>
      </w:r>
    </w:p>
    <w:p w14:paraId="7B546541">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left="420" w:firstLine="480"/>
        <w:textAlignment w:val="auto"/>
      </w:pPr>
      <w:r>
        <w:rPr>
          <w:rFonts w:hint="eastAsia" w:ascii="宋体" w:hAnsi="宋体" w:eastAsia="宋体" w:cs="宋体"/>
          <w:color w:val="000000"/>
        </w:rPr>
        <w:t>投标人开户行：</w:t>
      </w:r>
    </w:p>
    <w:p w14:paraId="683702ED">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left="420" w:firstLine="480"/>
        <w:textAlignment w:val="auto"/>
      </w:pPr>
      <w:r>
        <w:rPr>
          <w:rFonts w:hint="eastAsia" w:ascii="宋体" w:hAnsi="宋体" w:eastAsia="宋体" w:cs="宋体"/>
          <w:color w:val="000000"/>
        </w:rPr>
        <w:t xml:space="preserve">账          号： </w:t>
      </w:r>
    </w:p>
    <w:p w14:paraId="7CC70421">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left="420" w:firstLine="480"/>
        <w:textAlignment w:val="auto"/>
        <w:rPr>
          <w:rFonts w:hint="eastAsia" w:ascii="宋体" w:hAnsi="宋体" w:eastAsia="宋体" w:cs="宋体"/>
          <w:color w:val="000000"/>
        </w:rPr>
      </w:pPr>
      <w:r>
        <w:rPr>
          <w:rFonts w:hint="eastAsia" w:ascii="宋体" w:hAnsi="宋体"/>
          <w:sz w:val="24"/>
          <w:szCs w:val="24"/>
          <w:lang w:eastAsia="zh-CN"/>
        </w:rPr>
        <w:t>单位</w:t>
      </w:r>
      <w:r>
        <w:rPr>
          <w:rFonts w:hint="eastAsia" w:ascii="宋体" w:hAnsi="宋体"/>
          <w:sz w:val="24"/>
          <w:szCs w:val="24"/>
        </w:rPr>
        <w:t>名称（加盖CA电子公章）：</w:t>
      </w:r>
    </w:p>
    <w:p w14:paraId="0BC84777">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atLeast"/>
        <w:ind w:left="420" w:firstLine="480"/>
        <w:textAlignment w:val="auto"/>
      </w:pPr>
      <w:r>
        <w:rPr>
          <w:rFonts w:hint="eastAsia" w:ascii="宋体" w:hAnsi="宋体" w:eastAsia="宋体" w:cs="宋体"/>
          <w:color w:val="000000"/>
        </w:rPr>
        <w:t>日           期：________年____月____日</w:t>
      </w:r>
    </w:p>
    <w:p w14:paraId="167FA48B">
      <w:pPr>
        <w:pStyle w:val="17"/>
        <w:spacing w:beforeAutospacing="0" w:afterAutospacing="0" w:line="0" w:lineRule="atLeast"/>
        <w:ind w:firstLine="240"/>
        <w:jc w:val="center"/>
      </w:pPr>
      <w:r>
        <w:t> </w:t>
      </w:r>
    </w:p>
    <w:p w14:paraId="30962DAD">
      <w:pPr>
        <w:pStyle w:val="17"/>
        <w:spacing w:beforeAutospacing="0" w:afterAutospacing="0" w:line="0" w:lineRule="atLeast"/>
        <w:ind w:firstLine="240"/>
        <w:jc w:val="center"/>
      </w:pPr>
      <w:r>
        <w:t> </w:t>
      </w:r>
    </w:p>
    <w:p w14:paraId="53BDA5AB">
      <w:pPr>
        <w:pStyle w:val="17"/>
        <w:spacing w:beforeAutospacing="0" w:afterAutospacing="0" w:line="0" w:lineRule="atLeast"/>
        <w:ind w:firstLine="240"/>
        <w:jc w:val="center"/>
      </w:pPr>
      <w:r>
        <w:t> </w:t>
      </w:r>
    </w:p>
    <w:p w14:paraId="4C154D4E">
      <w:pPr>
        <w:pStyle w:val="17"/>
        <w:spacing w:beforeAutospacing="0" w:afterAutospacing="0" w:line="0" w:lineRule="atLeast"/>
        <w:ind w:firstLine="240"/>
        <w:jc w:val="center"/>
      </w:pPr>
      <w:r>
        <w:t> </w:t>
      </w:r>
    </w:p>
    <w:p w14:paraId="08826126">
      <w:pPr>
        <w:pStyle w:val="17"/>
        <w:spacing w:beforeAutospacing="0" w:afterAutospacing="0" w:line="0" w:lineRule="atLeast"/>
        <w:ind w:firstLine="240"/>
        <w:jc w:val="center"/>
      </w:pPr>
      <w:r>
        <w:t> </w:t>
      </w:r>
    </w:p>
    <w:p w14:paraId="0214D7F0">
      <w:pPr>
        <w:pStyle w:val="17"/>
        <w:spacing w:beforeAutospacing="0" w:afterAutospacing="0" w:line="0" w:lineRule="atLeast"/>
        <w:ind w:firstLine="240"/>
        <w:jc w:val="center"/>
      </w:pPr>
    </w:p>
    <w:p w14:paraId="3A823597">
      <w:pPr>
        <w:pStyle w:val="17"/>
        <w:spacing w:beforeAutospacing="0" w:afterAutospacing="0" w:line="0" w:lineRule="atLeast"/>
        <w:ind w:firstLine="240"/>
        <w:jc w:val="center"/>
      </w:pPr>
    </w:p>
    <w:p w14:paraId="65A6981B">
      <w:pPr>
        <w:pStyle w:val="17"/>
        <w:spacing w:beforeAutospacing="0" w:afterAutospacing="0" w:line="0" w:lineRule="atLeast"/>
        <w:ind w:firstLine="240"/>
        <w:jc w:val="center"/>
      </w:pPr>
    </w:p>
    <w:p w14:paraId="7A6C057B">
      <w:pPr>
        <w:pStyle w:val="17"/>
        <w:spacing w:beforeAutospacing="0" w:afterAutospacing="0" w:line="0" w:lineRule="atLeast"/>
        <w:ind w:firstLine="240"/>
        <w:jc w:val="center"/>
      </w:pPr>
    </w:p>
    <w:p w14:paraId="0A580809">
      <w:pPr>
        <w:pStyle w:val="17"/>
        <w:spacing w:beforeAutospacing="0" w:afterAutospacing="0" w:line="0" w:lineRule="atLeast"/>
        <w:ind w:firstLine="240"/>
        <w:jc w:val="center"/>
      </w:pPr>
    </w:p>
    <w:p w14:paraId="585CB79E">
      <w:pPr>
        <w:pStyle w:val="10"/>
        <w:rPr>
          <w:rFonts w:hint="eastAsia"/>
        </w:rPr>
      </w:pPr>
    </w:p>
    <w:p w14:paraId="18D259B0">
      <w:pPr>
        <w:spacing w:line="420" w:lineRule="exact"/>
        <w:ind w:firstLine="803"/>
        <w:jc w:val="center"/>
        <w:rPr>
          <w:rFonts w:hint="eastAsia" w:ascii="黑体" w:hAnsi="宋体" w:eastAsia="黑体" w:cs="Times New Roman"/>
          <w:i/>
          <w:iCs/>
          <w:color w:val="auto"/>
          <w:sz w:val="32"/>
          <w:szCs w:val="32"/>
          <w:u w:val="single"/>
          <w:lang w:eastAsia="zh-CN"/>
        </w:rPr>
      </w:pPr>
      <w:r>
        <w:rPr>
          <w:rFonts w:hint="eastAsia" w:ascii="黑体" w:hAnsi="宋体" w:eastAsia="黑体"/>
          <w:color w:val="auto"/>
          <w:sz w:val="32"/>
          <w:szCs w:val="32"/>
          <w:lang w:eastAsia="zh-CN"/>
        </w:rPr>
        <w:t>九、</w:t>
      </w:r>
      <w:r>
        <w:rPr>
          <w:rFonts w:hint="eastAsia" w:ascii="黑体" w:hAnsi="宋体" w:eastAsia="黑体"/>
          <w:i/>
          <w:iCs/>
          <w:color w:val="auto"/>
          <w:sz w:val="32"/>
          <w:szCs w:val="32"/>
          <w:u w:val="single"/>
          <w:lang w:eastAsia="zh-CN"/>
        </w:rPr>
        <w:t>小微</w:t>
      </w:r>
      <w:r>
        <w:rPr>
          <w:rFonts w:hint="eastAsia" w:ascii="黑体" w:hAnsi="宋体" w:eastAsia="黑体"/>
          <w:i/>
          <w:iCs/>
          <w:color w:val="auto"/>
          <w:sz w:val="32"/>
          <w:szCs w:val="32"/>
          <w:u w:val="single"/>
        </w:rPr>
        <w:t>企业声明函</w:t>
      </w:r>
      <w:r>
        <w:rPr>
          <w:rFonts w:hint="eastAsia" w:ascii="黑体" w:hAnsi="宋体" w:eastAsia="黑体"/>
          <w:i/>
          <w:iCs/>
          <w:color w:val="auto"/>
          <w:sz w:val="32"/>
          <w:szCs w:val="32"/>
          <w:u w:val="single"/>
          <w:lang w:eastAsia="zh-CN"/>
        </w:rPr>
        <w:t>（如有）</w:t>
      </w:r>
    </w:p>
    <w:p w14:paraId="079EEA83">
      <w:pPr>
        <w:spacing w:line="440" w:lineRule="exact"/>
        <w:ind w:firstLine="560"/>
        <w:rPr>
          <w:rFonts w:hint="eastAsia"/>
          <w:color w:val="auto"/>
          <w:sz w:val="28"/>
          <w:szCs w:val="28"/>
        </w:rPr>
      </w:pPr>
    </w:p>
    <w:p w14:paraId="66DF5970">
      <w:pPr>
        <w:spacing w:line="500" w:lineRule="exact"/>
        <w:ind w:firstLine="432"/>
        <w:rPr>
          <w:rFonts w:hint="eastAsia"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 号）的规定，本公司（联合体）参加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w:t>
      </w:r>
      <w:r>
        <w:rPr>
          <w:rFonts w:hint="eastAsia" w:ascii="宋体" w:hAnsi="宋体"/>
          <w:color w:val="000000"/>
          <w:sz w:val="24"/>
          <w:szCs w:val="24"/>
        </w:rPr>
        <w:t>采购编号为</w:t>
      </w:r>
      <w:r>
        <w:rPr>
          <w:rFonts w:hint="eastAsia" w:ascii="宋体" w:hAnsi="宋体"/>
          <w:color w:val="auto"/>
          <w:sz w:val="24"/>
          <w:szCs w:val="24"/>
          <w:u w:val="single"/>
          <w:lang w:eastAsia="zh-CN"/>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eastAsia="zh-CN"/>
        </w:rPr>
        <w:t>，</w:t>
      </w:r>
      <w:r>
        <w:rPr>
          <w:rFonts w:hint="eastAsia" w:ascii="宋体" w:hAnsi="宋体" w:eastAsia="宋体" w:cs="宋体"/>
          <w:color w:val="auto"/>
          <w:sz w:val="24"/>
          <w:szCs w:val="24"/>
          <w:u w:val="single"/>
          <w:lang w:val="en-US" w:eastAsia="zh-CN"/>
        </w:rPr>
        <w:t xml:space="preserve">         的</w:t>
      </w:r>
      <w:r>
        <w:rPr>
          <w:rFonts w:hint="eastAsia" w:ascii="宋体" w:hAnsi="宋体" w:eastAsia="宋体" w:cs="宋体"/>
          <w:color w:val="auto"/>
          <w:sz w:val="24"/>
          <w:szCs w:val="24"/>
        </w:rPr>
        <w:t>采购活动，服务全部由符合政策要求的中小企业承接。</w:t>
      </w:r>
      <w:r>
        <w:rPr>
          <w:rFonts w:hint="eastAsia" w:ascii="宋体" w:hAnsi="宋体"/>
          <w:sz w:val="24"/>
          <w:szCs w:val="24"/>
        </w:rPr>
        <w:t>根据《工业和信息化部、国家统计局、国家发展和改革委员会、财政部关于印发中小企业划型标准规定的通知》(工信部联企业[2011]300号)的规定，</w:t>
      </w:r>
      <w:r>
        <w:rPr>
          <w:rFonts w:hint="eastAsia" w:ascii="宋体" w:hAnsi="宋体" w:eastAsia="宋体" w:cs="宋体"/>
          <w:color w:val="auto"/>
          <w:sz w:val="24"/>
          <w:szCs w:val="24"/>
        </w:rPr>
        <w:t>相关企业（含联合体中的中小企业、签订分包意向协议的中小企业）的具体情况如下：</w:t>
      </w:r>
    </w:p>
    <w:p w14:paraId="1620A66F">
      <w:pPr>
        <w:spacing w:line="500" w:lineRule="exact"/>
        <w:ind w:firstLine="432"/>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 xml:space="preserve">（采购文件中明确的所属行业）    </w:t>
      </w:r>
      <w:r>
        <w:rPr>
          <w:rFonts w:hint="eastAsia" w:ascii="宋体" w:hAnsi="宋体" w:eastAsia="宋体" w:cs="宋体"/>
          <w:color w:val="auto"/>
          <w:sz w:val="24"/>
          <w:szCs w:val="24"/>
        </w:rPr>
        <w:t>行业；承建（承接）企业为</w:t>
      </w:r>
      <w:r>
        <w:rPr>
          <w:rFonts w:hint="eastAsia" w:ascii="宋体" w:hAnsi="宋体" w:eastAsia="宋体" w:cs="宋体"/>
          <w:color w:val="auto"/>
          <w:sz w:val="24"/>
          <w:szCs w:val="24"/>
          <w:u w:val="single"/>
        </w:rPr>
        <w:t xml:space="preserve">（企业名称）      </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（小型企业、微型企业）；</w:t>
      </w:r>
    </w:p>
    <w:p w14:paraId="50D7BB47">
      <w:pPr>
        <w:spacing w:line="500" w:lineRule="exact"/>
        <w:ind w:firstLine="432"/>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 xml:space="preserve">（采购文件中明确的所属行业）    </w:t>
      </w:r>
      <w:r>
        <w:rPr>
          <w:rFonts w:hint="eastAsia" w:ascii="宋体" w:hAnsi="宋体" w:eastAsia="宋体" w:cs="宋体"/>
          <w:color w:val="auto"/>
          <w:sz w:val="24"/>
          <w:szCs w:val="24"/>
        </w:rPr>
        <w:t>行业；承建（承接）企业为</w:t>
      </w:r>
      <w:r>
        <w:rPr>
          <w:rFonts w:hint="eastAsia" w:ascii="宋体" w:hAnsi="宋体" w:eastAsia="宋体" w:cs="宋体"/>
          <w:color w:val="auto"/>
          <w:sz w:val="24"/>
          <w:szCs w:val="24"/>
          <w:u w:val="single"/>
        </w:rPr>
        <w:t xml:space="preserve">（企业名称）     </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（小型企业、微型企业）；</w:t>
      </w:r>
    </w:p>
    <w:p w14:paraId="4D9205E7">
      <w:pPr>
        <w:spacing w:line="500" w:lineRule="exact"/>
        <w:ind w:firstLine="432"/>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74B60378">
      <w:pPr>
        <w:spacing w:line="500" w:lineRule="exact"/>
        <w:ind w:firstLine="432"/>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2DC79E8E">
      <w:pPr>
        <w:spacing w:line="500" w:lineRule="exact"/>
        <w:ind w:firstLine="432"/>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本企业对上述声明的真实性负责。如有虚假，将依法承担相应责任。</w:t>
      </w:r>
    </w:p>
    <w:p w14:paraId="0549ECA4">
      <w:pPr>
        <w:spacing w:line="440" w:lineRule="exact"/>
        <w:rPr>
          <w:rFonts w:hint="eastAsia" w:ascii="宋体" w:hAnsi="宋体"/>
          <w:color w:val="auto"/>
          <w:sz w:val="28"/>
          <w:szCs w:val="28"/>
        </w:rPr>
      </w:pPr>
    </w:p>
    <w:p w14:paraId="1BC33762">
      <w:pPr>
        <w:spacing w:line="560" w:lineRule="exact"/>
        <w:ind w:right="180" w:firstLine="360"/>
        <w:jc w:val="right"/>
        <w:rPr>
          <w:rFonts w:hint="eastAsia" w:ascii="宋体" w:hAnsi="宋体"/>
          <w:sz w:val="24"/>
          <w:szCs w:val="24"/>
        </w:rPr>
      </w:pPr>
      <w:r>
        <w:rPr>
          <w:rFonts w:hint="eastAsia" w:ascii="宋体" w:hAnsi="宋体"/>
          <w:sz w:val="24"/>
          <w:szCs w:val="24"/>
        </w:rPr>
        <w:t>企业名称（加盖CA电子公章）：</w:t>
      </w:r>
    </w:p>
    <w:p w14:paraId="62BC8796">
      <w:pPr>
        <w:spacing w:line="560" w:lineRule="exact"/>
        <w:ind w:right="480" w:firstLine="5880"/>
        <w:rPr>
          <w:rFonts w:hint="eastAsia" w:ascii="宋体" w:hAnsi="宋体"/>
          <w:sz w:val="24"/>
          <w:szCs w:val="24"/>
        </w:rPr>
      </w:pPr>
      <w:r>
        <w:rPr>
          <w:rFonts w:hint="eastAsia" w:ascii="宋体" w:hAnsi="宋体"/>
          <w:sz w:val="24"/>
          <w:szCs w:val="24"/>
        </w:rPr>
        <w:t>日  期：</w:t>
      </w:r>
    </w:p>
    <w:p w14:paraId="55F08F33">
      <w:pPr>
        <w:spacing w:line="560" w:lineRule="exact"/>
        <w:ind w:firstLine="240"/>
        <w:rPr>
          <w:rFonts w:hint="eastAsia" w:ascii="宋体" w:hAnsi="宋体"/>
          <w:sz w:val="24"/>
          <w:szCs w:val="24"/>
        </w:rPr>
      </w:pPr>
    </w:p>
    <w:p w14:paraId="5B6211E4">
      <w:pPr>
        <w:spacing w:line="440" w:lineRule="exact"/>
        <w:ind w:firstLine="432" w:firstLineChars="180"/>
        <w:rPr>
          <w:rFonts w:hint="eastAsia" w:ascii="宋体" w:hAnsi="宋体"/>
          <w:color w:val="auto"/>
          <w:sz w:val="28"/>
          <w:szCs w:val="28"/>
          <w:lang w:eastAsia="zh-CN"/>
        </w:rPr>
      </w:pPr>
      <w:r>
        <w:rPr>
          <w:rFonts w:hint="eastAsia" w:ascii="宋体" w:hAnsi="宋体" w:eastAsia="宋体" w:cs="宋体"/>
          <w:color w:val="auto"/>
          <w:sz w:val="24"/>
          <w:szCs w:val="24"/>
        </w:rPr>
        <w:t> 备注：</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从业人员、营业收入、资产总额填报上一年度数据，无上一年度数据的新成立企业可不填报</w:t>
      </w:r>
      <w:r>
        <w:rPr>
          <w:rFonts w:hint="eastAsia" w:ascii="宋体" w:hAnsi="宋体" w:eastAsia="宋体" w:cs="宋体"/>
          <w:color w:val="auto"/>
          <w:sz w:val="24"/>
          <w:szCs w:val="24"/>
          <w:lang w:eastAsia="zh-CN"/>
        </w:rPr>
        <w:t>。</w:t>
      </w:r>
    </w:p>
    <w:p w14:paraId="5DD62D05">
      <w:pPr>
        <w:pStyle w:val="34"/>
        <w:rPr>
          <w:rFonts w:hint="eastAsia"/>
          <w:color w:val="auto"/>
        </w:rPr>
      </w:pPr>
    </w:p>
    <w:p w14:paraId="1DBF112C">
      <w:pPr>
        <w:pStyle w:val="34"/>
        <w:rPr>
          <w:rFonts w:hint="eastAsia" w:ascii="宋体" w:hAnsi="宋体"/>
          <w:color w:val="auto"/>
          <w:sz w:val="28"/>
          <w:szCs w:val="28"/>
        </w:rPr>
      </w:pPr>
    </w:p>
    <w:p w14:paraId="1C2415F3">
      <w:pPr>
        <w:pStyle w:val="34"/>
        <w:rPr>
          <w:rFonts w:hint="eastAsia" w:ascii="宋体" w:hAnsi="宋体"/>
          <w:color w:val="auto"/>
          <w:sz w:val="28"/>
          <w:szCs w:val="28"/>
        </w:rPr>
      </w:pPr>
    </w:p>
    <w:p w14:paraId="1ECD9F8D">
      <w:pPr>
        <w:pStyle w:val="34"/>
        <w:rPr>
          <w:rFonts w:hint="eastAsia" w:ascii="宋体" w:hAnsi="宋体"/>
          <w:color w:val="auto"/>
          <w:sz w:val="28"/>
          <w:szCs w:val="28"/>
        </w:rPr>
      </w:pPr>
    </w:p>
    <w:p w14:paraId="04CD1810">
      <w:pPr>
        <w:pStyle w:val="34"/>
        <w:rPr>
          <w:rFonts w:hint="eastAsia" w:ascii="宋体" w:hAnsi="宋体"/>
          <w:color w:val="00B050"/>
          <w:sz w:val="28"/>
          <w:szCs w:val="28"/>
        </w:rPr>
      </w:pPr>
    </w:p>
    <w:p w14:paraId="2B4DD007">
      <w:pPr>
        <w:spacing w:line="588" w:lineRule="exact"/>
        <w:ind w:firstLine="624" w:firstLineChars="200"/>
        <w:rPr>
          <w:rFonts w:hint="eastAsia" w:eastAsia="仿宋_GB2312"/>
          <w:spacing w:val="6"/>
          <w:sz w:val="30"/>
          <w:szCs w:val="30"/>
        </w:rPr>
      </w:pPr>
    </w:p>
    <w:p w14:paraId="60152A38">
      <w:pPr>
        <w:spacing w:line="588" w:lineRule="exact"/>
        <w:ind w:firstLine="624" w:firstLineChars="200"/>
        <w:rPr>
          <w:rFonts w:eastAsia="仿宋_GB2312"/>
          <w:spacing w:val="6"/>
          <w:sz w:val="30"/>
          <w:szCs w:val="30"/>
        </w:rPr>
      </w:pPr>
      <w:r>
        <w:rPr>
          <w:rFonts w:hint="eastAsia" w:eastAsia="仿宋_GB2312"/>
          <w:spacing w:val="6"/>
          <w:sz w:val="30"/>
          <w:szCs w:val="30"/>
        </w:rPr>
        <w:t>附件</w:t>
      </w:r>
    </w:p>
    <w:p w14:paraId="3F213354">
      <w:pPr>
        <w:spacing w:line="588" w:lineRule="exact"/>
        <w:jc w:val="center"/>
        <w:rPr>
          <w:rFonts w:ascii="仿宋_GB2312" w:eastAsia="仿宋_GB2312"/>
          <w:b/>
          <w:spacing w:val="6"/>
          <w:sz w:val="32"/>
          <w:szCs w:val="32"/>
        </w:rPr>
      </w:pPr>
      <w:bookmarkStart w:id="188" w:name="OLE_LINK13"/>
      <w:r>
        <w:rPr>
          <w:rFonts w:hint="eastAsia" w:ascii="仿宋_GB2312" w:eastAsia="仿宋_GB2312"/>
          <w:b/>
          <w:spacing w:val="6"/>
          <w:sz w:val="32"/>
          <w:szCs w:val="32"/>
        </w:rPr>
        <w:t>残疾人福利性单位声明函</w:t>
      </w:r>
    </w:p>
    <w:bookmarkEnd w:id="188"/>
    <w:p w14:paraId="4AC54C73">
      <w:pPr>
        <w:spacing w:line="588" w:lineRule="exact"/>
        <w:rPr>
          <w:rFonts w:ascii="仿宋_GB2312" w:eastAsia="仿宋_GB2312"/>
          <w:b/>
          <w:spacing w:val="6"/>
          <w:sz w:val="30"/>
          <w:szCs w:val="30"/>
        </w:rPr>
      </w:pPr>
    </w:p>
    <w:p w14:paraId="5D446D9C">
      <w:pPr>
        <w:spacing w:line="588" w:lineRule="exact"/>
        <w:ind w:firstLine="624" w:firstLineChars="200"/>
        <w:rPr>
          <w:rFonts w:ascii="仿宋_GB2312" w:eastAsia="仿宋_GB2312"/>
          <w:spacing w:val="6"/>
          <w:sz w:val="30"/>
          <w:szCs w:val="30"/>
        </w:rPr>
      </w:pPr>
      <w:r>
        <w:rPr>
          <w:rFonts w:hint="eastAsia" w:ascii="仿宋_GB2312" w:eastAsia="仿宋_GB2312"/>
          <w:spacing w:val="6"/>
          <w:sz w:val="30"/>
          <w:szCs w:val="30"/>
        </w:rPr>
        <w:t>本单位郑重声明，根据《财政部 民政部 中国残疾人联合会关于促进残疾人就业政府采购政策的通知》（财库</w:t>
      </w:r>
      <w:r>
        <w:rPr>
          <w:rFonts w:hint="eastAsia" w:ascii="仿宋_GB2312" w:eastAsia="仿宋_GB2312"/>
          <w:sz w:val="32"/>
          <w:szCs w:val="32"/>
        </w:rPr>
        <w:t>〔2017〕 141</w:t>
      </w:r>
      <w:r>
        <w:rPr>
          <w:rFonts w:hint="eastAsia" w:ascii="仿宋_GB2312" w:eastAsia="仿宋_GB2312"/>
          <w:spacing w:val="6"/>
          <w:sz w:val="30"/>
          <w:szCs w:val="30"/>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0E67D9">
      <w:pPr>
        <w:spacing w:line="588" w:lineRule="exact"/>
        <w:ind w:firstLine="624" w:firstLineChars="200"/>
        <w:rPr>
          <w:rFonts w:ascii="仿宋_GB2312" w:eastAsia="仿宋_GB2312"/>
          <w:spacing w:val="6"/>
          <w:sz w:val="30"/>
          <w:szCs w:val="30"/>
        </w:rPr>
      </w:pPr>
      <w:r>
        <w:rPr>
          <w:rFonts w:hint="eastAsia" w:ascii="仿宋_GB2312" w:eastAsia="仿宋_GB2312"/>
          <w:spacing w:val="6"/>
          <w:sz w:val="30"/>
          <w:szCs w:val="30"/>
        </w:rPr>
        <w:t>本单位对上述声明的真实性负责。如有虚假，将依法承担相应责任。</w:t>
      </w:r>
    </w:p>
    <w:p w14:paraId="5DFFC3D2">
      <w:pPr>
        <w:spacing w:line="588" w:lineRule="exact"/>
        <w:ind w:firstLine="624" w:firstLineChars="200"/>
        <w:rPr>
          <w:rFonts w:ascii="仿宋_GB2312" w:eastAsia="仿宋_GB2312"/>
          <w:spacing w:val="6"/>
          <w:sz w:val="30"/>
          <w:szCs w:val="30"/>
        </w:rPr>
      </w:pPr>
    </w:p>
    <w:p w14:paraId="55B09EEF">
      <w:pPr>
        <w:spacing w:line="588" w:lineRule="exact"/>
        <w:ind w:firstLine="624" w:firstLineChars="200"/>
        <w:rPr>
          <w:rFonts w:ascii="仿宋_GB2312" w:eastAsia="仿宋_GB2312"/>
          <w:spacing w:val="6"/>
          <w:sz w:val="30"/>
          <w:szCs w:val="30"/>
        </w:rPr>
      </w:pPr>
    </w:p>
    <w:p w14:paraId="14988A17">
      <w:pPr>
        <w:tabs>
          <w:tab w:val="left" w:pos="4860"/>
        </w:tabs>
        <w:spacing w:line="588" w:lineRule="exact"/>
        <w:ind w:right="1560" w:firstLine="624" w:firstLineChars="200"/>
        <w:jc w:val="center"/>
        <w:rPr>
          <w:rFonts w:ascii="仿宋_GB2312" w:eastAsia="仿宋_GB2312"/>
          <w:spacing w:val="6"/>
          <w:sz w:val="30"/>
          <w:szCs w:val="30"/>
        </w:rPr>
      </w:pPr>
      <w:r>
        <w:rPr>
          <w:rFonts w:hint="eastAsia" w:ascii="仿宋_GB2312" w:eastAsia="仿宋_GB2312"/>
          <w:spacing w:val="6"/>
          <w:sz w:val="30"/>
          <w:szCs w:val="30"/>
        </w:rPr>
        <w:t xml:space="preserve">               单位名称（盖章）：</w:t>
      </w:r>
    </w:p>
    <w:p w14:paraId="2D863A8A">
      <w:pPr>
        <w:tabs>
          <w:tab w:val="left" w:pos="4860"/>
        </w:tabs>
        <w:spacing w:line="588" w:lineRule="exact"/>
        <w:ind w:right="1560" w:firstLine="624" w:firstLineChars="200"/>
        <w:jc w:val="center"/>
        <w:rPr>
          <w:rFonts w:ascii="仿宋_GB2312" w:eastAsia="仿宋_GB2312"/>
          <w:spacing w:val="6"/>
          <w:sz w:val="30"/>
          <w:szCs w:val="30"/>
        </w:rPr>
      </w:pPr>
      <w:r>
        <w:rPr>
          <w:rFonts w:hint="eastAsia" w:ascii="仿宋_GB2312" w:eastAsia="仿宋_GB2312"/>
          <w:spacing w:val="6"/>
          <w:sz w:val="30"/>
          <w:szCs w:val="30"/>
        </w:rPr>
        <w:t xml:space="preserve">       日  期：</w:t>
      </w:r>
    </w:p>
    <w:p w14:paraId="081CF9DB">
      <w:pPr>
        <w:spacing w:line="360" w:lineRule="auto"/>
        <w:ind w:firstLine="2880" w:firstLineChars="900"/>
        <w:rPr>
          <w:rFonts w:ascii="黑体" w:hAnsi="宋体" w:eastAsia="黑体"/>
          <w:sz w:val="32"/>
          <w:szCs w:val="32"/>
        </w:rPr>
      </w:pPr>
    </w:p>
    <w:p w14:paraId="391D2B8D">
      <w:pPr>
        <w:pStyle w:val="5"/>
        <w:numPr>
          <w:ilvl w:val="0"/>
          <w:numId w:val="0"/>
        </w:numPr>
        <w:ind w:leftChars="0"/>
        <w:rPr>
          <w:rFonts w:hint="eastAsia"/>
        </w:rPr>
      </w:pPr>
    </w:p>
    <w:p w14:paraId="37A70297">
      <w:pPr>
        <w:rPr>
          <w:rFonts w:hint="eastAsia"/>
        </w:rPr>
      </w:pPr>
    </w:p>
    <w:p w14:paraId="505965EB">
      <w:pPr>
        <w:spacing w:line="360" w:lineRule="auto"/>
        <w:ind w:firstLine="2880" w:firstLineChars="900"/>
        <w:rPr>
          <w:rFonts w:hint="eastAsia" w:ascii="黑体" w:hAnsi="宋体" w:eastAsia="黑体" w:cs="Times New Roman"/>
          <w:sz w:val="32"/>
          <w:szCs w:val="32"/>
        </w:rPr>
      </w:pPr>
    </w:p>
    <w:p w14:paraId="002DC2DD">
      <w:pPr>
        <w:spacing w:line="360" w:lineRule="auto"/>
        <w:ind w:firstLine="2880" w:firstLineChars="900"/>
        <w:rPr>
          <w:rFonts w:hint="eastAsia" w:ascii="黑体" w:hAnsi="宋体" w:eastAsia="黑体" w:cs="Times New Roman"/>
          <w:sz w:val="32"/>
          <w:szCs w:val="32"/>
        </w:rPr>
      </w:pPr>
    </w:p>
    <w:p w14:paraId="4F49E91F">
      <w:pPr>
        <w:spacing w:line="440" w:lineRule="exact"/>
        <w:ind w:firstLine="504" w:firstLineChars="180"/>
        <w:rPr>
          <w:rFonts w:hint="eastAsia" w:ascii="宋体" w:hAnsi="宋体" w:eastAsia="宋体"/>
          <w:color w:val="auto"/>
          <w:sz w:val="28"/>
          <w:szCs w:val="28"/>
          <w:lang w:eastAsia="zh-CN"/>
        </w:rPr>
      </w:pPr>
      <w:r>
        <w:rPr>
          <w:rFonts w:hint="eastAsia" w:ascii="宋体" w:hAnsi="宋体"/>
          <w:color w:val="auto"/>
          <w:sz w:val="28"/>
          <w:szCs w:val="28"/>
        </w:rPr>
        <w:t> </w:t>
      </w:r>
      <w:r>
        <w:rPr>
          <w:rFonts w:hint="eastAsia" w:ascii="宋体" w:hAnsi="宋体"/>
          <w:color w:val="FF0000"/>
          <w:sz w:val="28"/>
          <w:szCs w:val="28"/>
        </w:rPr>
        <w:t>备注：</w:t>
      </w:r>
      <w:r>
        <w:rPr>
          <w:rFonts w:hint="eastAsia" w:ascii="宋体" w:hAnsi="宋体" w:eastAsia="宋体" w:cs="Times New Roman"/>
          <w:color w:val="auto"/>
          <w:sz w:val="28"/>
          <w:szCs w:val="28"/>
          <w:lang w:eastAsia="zh-CN"/>
        </w:rPr>
        <w:t>如是</w:t>
      </w:r>
      <w:r>
        <w:rPr>
          <w:rFonts w:hint="eastAsia" w:ascii="宋体" w:hAnsi="宋体" w:eastAsia="宋体" w:cs="Times New Roman"/>
          <w:color w:val="auto"/>
          <w:sz w:val="28"/>
          <w:szCs w:val="28"/>
        </w:rPr>
        <w:t>残疾人福利性单位</w:t>
      </w:r>
      <w:r>
        <w:rPr>
          <w:rFonts w:hint="eastAsia" w:ascii="宋体" w:hAnsi="宋体" w:eastAsia="宋体" w:cs="Times New Roman"/>
          <w:color w:val="auto"/>
          <w:sz w:val="28"/>
          <w:szCs w:val="28"/>
          <w:lang w:eastAsia="zh-CN"/>
        </w:rPr>
        <w:t>需提供</w:t>
      </w:r>
      <w:r>
        <w:rPr>
          <w:rFonts w:hint="eastAsia" w:ascii="宋体" w:hAnsi="宋体"/>
          <w:color w:val="auto"/>
          <w:sz w:val="28"/>
          <w:szCs w:val="28"/>
          <w:lang w:eastAsia="zh-CN"/>
        </w:rPr>
        <w:t>。</w:t>
      </w:r>
    </w:p>
    <w:p w14:paraId="116B607D">
      <w:pPr>
        <w:spacing w:line="360" w:lineRule="auto"/>
        <w:ind w:firstLine="2880" w:firstLineChars="900"/>
        <w:rPr>
          <w:rFonts w:hint="eastAsia" w:ascii="黑体" w:hAnsi="宋体" w:eastAsia="黑体" w:cs="Times New Roman"/>
          <w:sz w:val="32"/>
          <w:szCs w:val="32"/>
        </w:rPr>
      </w:pPr>
    </w:p>
    <w:p w14:paraId="65374442">
      <w:pPr>
        <w:pStyle w:val="34"/>
        <w:rPr>
          <w:rFonts w:hint="eastAsia" w:ascii="黑体" w:hAnsi="宋体" w:eastAsia="黑体" w:cs="Times New Roman"/>
          <w:sz w:val="32"/>
          <w:szCs w:val="32"/>
        </w:rPr>
      </w:pPr>
    </w:p>
    <w:p w14:paraId="45D75445">
      <w:pPr>
        <w:pStyle w:val="34"/>
        <w:rPr>
          <w:rFonts w:hint="eastAsia" w:ascii="黑体" w:hAnsi="宋体" w:eastAsia="黑体" w:cs="Times New Roman"/>
          <w:sz w:val="32"/>
          <w:szCs w:val="32"/>
        </w:rPr>
      </w:pPr>
    </w:p>
    <w:p w14:paraId="0103F167">
      <w:pPr>
        <w:pStyle w:val="34"/>
        <w:rPr>
          <w:rFonts w:hint="eastAsia" w:ascii="黑体" w:hAnsi="宋体" w:eastAsia="黑体" w:cs="Times New Roman"/>
          <w:sz w:val="32"/>
          <w:szCs w:val="32"/>
        </w:rPr>
      </w:pPr>
    </w:p>
    <w:p w14:paraId="3A1C0217">
      <w:pPr>
        <w:pStyle w:val="34"/>
        <w:rPr>
          <w:rFonts w:hint="eastAsia" w:ascii="黑体" w:hAnsi="宋体" w:eastAsia="黑体" w:cs="Times New Roman"/>
          <w:sz w:val="32"/>
          <w:szCs w:val="32"/>
        </w:rPr>
      </w:pPr>
    </w:p>
    <w:p w14:paraId="1BA8A438">
      <w:pPr>
        <w:spacing w:line="360" w:lineRule="auto"/>
        <w:ind w:firstLine="2880" w:firstLineChars="900"/>
        <w:rPr>
          <w:rFonts w:hint="eastAsia" w:ascii="黑体" w:hAnsi="宋体" w:eastAsia="黑体" w:cs="Times New Roman"/>
          <w:sz w:val="32"/>
          <w:szCs w:val="32"/>
        </w:rPr>
      </w:pPr>
      <w:r>
        <w:rPr>
          <w:rFonts w:hint="eastAsia" w:ascii="黑体" w:hAnsi="宋体" w:eastAsia="黑体" w:cs="Times New Roman"/>
          <w:sz w:val="32"/>
          <w:szCs w:val="32"/>
        </w:rPr>
        <w:t>属于监狱企业的证明文件</w:t>
      </w:r>
    </w:p>
    <w:p w14:paraId="1DBD59E8">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baseline"/>
        <w:rPr>
          <w:rFonts w:ascii="宋体" w:hAnsi="宋体" w:eastAsia="宋体" w:cs="Arial"/>
          <w:kern w:val="0"/>
          <w:sz w:val="28"/>
          <w:szCs w:val="28"/>
        </w:rPr>
      </w:pPr>
      <w:r>
        <w:rPr>
          <w:rFonts w:ascii="宋体" w:hAnsi="宋体" w:eastAsia="宋体" w:cs="Arial"/>
          <w:kern w:val="0"/>
          <w:sz w:val="28"/>
          <w:szCs w:val="28"/>
        </w:rPr>
        <w:t>（提供由省级以上监狱管理局、戒毒管理局(含新疆生产建设兵团)出具的属于监狱企业的证明文件）</w:t>
      </w:r>
    </w:p>
    <w:p w14:paraId="644B2323">
      <w:pPr>
        <w:widowControl/>
        <w:spacing w:line="440" w:lineRule="exact"/>
        <w:ind w:firstLine="560" w:firstLineChars="200"/>
        <w:jc w:val="left"/>
        <w:textAlignment w:val="baseline"/>
        <w:rPr>
          <w:rFonts w:ascii="宋体" w:hAnsi="宋体" w:eastAsia="宋体" w:cs="Arial"/>
          <w:kern w:val="0"/>
          <w:sz w:val="28"/>
          <w:szCs w:val="28"/>
        </w:rPr>
      </w:pPr>
    </w:p>
    <w:p w14:paraId="3AC307CE">
      <w:pPr>
        <w:rPr>
          <w:rFonts w:hint="eastAsia"/>
        </w:rPr>
      </w:pPr>
    </w:p>
    <w:p w14:paraId="16D3E17A">
      <w:pPr>
        <w:rPr>
          <w:rFonts w:hint="eastAsia"/>
        </w:rPr>
      </w:pPr>
    </w:p>
    <w:p w14:paraId="0109BCF1">
      <w:pPr>
        <w:pStyle w:val="34"/>
        <w:rPr>
          <w:rFonts w:hint="eastAsia" w:ascii="宋体" w:hAnsi="宋体"/>
          <w:sz w:val="28"/>
          <w:szCs w:val="28"/>
        </w:rPr>
      </w:pPr>
    </w:p>
    <w:p w14:paraId="0B440133">
      <w:pPr>
        <w:pStyle w:val="34"/>
        <w:rPr>
          <w:rFonts w:hint="eastAsia" w:ascii="宋体" w:hAnsi="宋体"/>
          <w:sz w:val="24"/>
        </w:rPr>
      </w:pPr>
    </w:p>
    <w:p w14:paraId="1451260C">
      <w:pPr>
        <w:spacing w:line="440" w:lineRule="exact"/>
        <w:ind w:firstLine="2240" w:firstLineChars="700"/>
        <w:rPr>
          <w:rFonts w:hint="eastAsia" w:ascii="黑体" w:hAnsi="宋体" w:eastAsia="黑体"/>
          <w:sz w:val="32"/>
          <w:szCs w:val="32"/>
        </w:rPr>
      </w:pPr>
    </w:p>
    <w:p w14:paraId="0DAE194F">
      <w:pPr>
        <w:spacing w:line="440" w:lineRule="exact"/>
        <w:ind w:firstLine="2240" w:firstLineChars="700"/>
        <w:rPr>
          <w:rFonts w:hint="eastAsia" w:ascii="黑体" w:hAnsi="宋体" w:eastAsia="黑体"/>
          <w:sz w:val="32"/>
          <w:szCs w:val="32"/>
        </w:rPr>
      </w:pPr>
    </w:p>
    <w:p w14:paraId="336D42D4">
      <w:pPr>
        <w:spacing w:line="440" w:lineRule="exact"/>
        <w:ind w:firstLine="2240" w:firstLineChars="700"/>
        <w:rPr>
          <w:rFonts w:hint="eastAsia" w:ascii="黑体" w:hAnsi="宋体" w:eastAsia="黑体"/>
          <w:sz w:val="32"/>
          <w:szCs w:val="32"/>
        </w:rPr>
      </w:pPr>
    </w:p>
    <w:p w14:paraId="42BCEDBF">
      <w:pPr>
        <w:spacing w:line="440" w:lineRule="exact"/>
        <w:ind w:firstLine="2240" w:firstLineChars="700"/>
        <w:rPr>
          <w:rFonts w:hint="eastAsia" w:ascii="黑体" w:hAnsi="宋体" w:eastAsia="黑体"/>
          <w:sz w:val="32"/>
          <w:szCs w:val="32"/>
        </w:rPr>
      </w:pPr>
    </w:p>
    <w:p w14:paraId="091DC375">
      <w:pPr>
        <w:spacing w:line="440" w:lineRule="exact"/>
        <w:ind w:firstLine="2240" w:firstLineChars="700"/>
        <w:rPr>
          <w:rFonts w:hint="eastAsia" w:ascii="黑体" w:hAnsi="宋体" w:eastAsia="黑体"/>
          <w:sz w:val="32"/>
          <w:szCs w:val="32"/>
        </w:rPr>
      </w:pPr>
    </w:p>
    <w:p w14:paraId="6326F4A4">
      <w:pPr>
        <w:spacing w:line="440" w:lineRule="exact"/>
        <w:ind w:firstLine="2240" w:firstLineChars="700"/>
        <w:rPr>
          <w:rFonts w:hint="eastAsia" w:ascii="黑体" w:hAnsi="宋体" w:eastAsia="黑体"/>
          <w:sz w:val="32"/>
          <w:szCs w:val="32"/>
        </w:rPr>
      </w:pPr>
    </w:p>
    <w:p w14:paraId="1D7FCC97">
      <w:pPr>
        <w:spacing w:line="440" w:lineRule="exact"/>
        <w:ind w:firstLine="2240" w:firstLineChars="700"/>
        <w:rPr>
          <w:rFonts w:hint="eastAsia" w:ascii="黑体" w:hAnsi="宋体" w:eastAsia="黑体"/>
          <w:sz w:val="32"/>
          <w:szCs w:val="32"/>
        </w:rPr>
      </w:pPr>
    </w:p>
    <w:p w14:paraId="35ACD63D">
      <w:pPr>
        <w:spacing w:line="440" w:lineRule="exact"/>
        <w:ind w:firstLine="2240" w:firstLineChars="700"/>
        <w:rPr>
          <w:rFonts w:hint="eastAsia" w:ascii="黑体" w:hAnsi="宋体" w:eastAsia="黑体"/>
          <w:sz w:val="32"/>
          <w:szCs w:val="32"/>
        </w:rPr>
      </w:pPr>
    </w:p>
    <w:p w14:paraId="38F7053B">
      <w:pPr>
        <w:spacing w:line="440" w:lineRule="exact"/>
        <w:ind w:firstLine="2240" w:firstLineChars="700"/>
        <w:rPr>
          <w:rFonts w:hint="eastAsia" w:ascii="黑体" w:hAnsi="宋体" w:eastAsia="黑体"/>
          <w:sz w:val="32"/>
          <w:szCs w:val="32"/>
        </w:rPr>
      </w:pPr>
    </w:p>
    <w:p w14:paraId="596F9B7E">
      <w:pPr>
        <w:spacing w:line="440" w:lineRule="exact"/>
        <w:ind w:firstLine="2240" w:firstLineChars="700"/>
        <w:rPr>
          <w:rFonts w:hint="eastAsia" w:ascii="黑体" w:hAnsi="宋体" w:eastAsia="黑体"/>
          <w:sz w:val="32"/>
          <w:szCs w:val="32"/>
        </w:rPr>
      </w:pPr>
    </w:p>
    <w:p w14:paraId="18EBF4AB">
      <w:pPr>
        <w:spacing w:line="440" w:lineRule="exact"/>
        <w:ind w:firstLine="2240" w:firstLineChars="700"/>
        <w:rPr>
          <w:rFonts w:hint="eastAsia" w:ascii="黑体" w:hAnsi="宋体" w:eastAsia="黑体"/>
          <w:sz w:val="32"/>
          <w:szCs w:val="32"/>
        </w:rPr>
      </w:pPr>
    </w:p>
    <w:p w14:paraId="693D80B3">
      <w:pPr>
        <w:spacing w:line="440" w:lineRule="exact"/>
        <w:ind w:firstLine="2240" w:firstLineChars="700"/>
        <w:rPr>
          <w:rFonts w:hint="eastAsia" w:ascii="黑体" w:hAnsi="宋体" w:eastAsia="黑体"/>
          <w:sz w:val="32"/>
          <w:szCs w:val="32"/>
        </w:rPr>
      </w:pPr>
    </w:p>
    <w:p w14:paraId="709DC26D">
      <w:pPr>
        <w:spacing w:line="440" w:lineRule="exact"/>
        <w:ind w:firstLine="2240" w:firstLineChars="700"/>
        <w:rPr>
          <w:rFonts w:hint="eastAsia" w:ascii="黑体" w:hAnsi="宋体" w:eastAsia="黑体"/>
          <w:sz w:val="32"/>
          <w:szCs w:val="32"/>
        </w:rPr>
      </w:pPr>
    </w:p>
    <w:p w14:paraId="5687994C">
      <w:pPr>
        <w:spacing w:line="440" w:lineRule="exact"/>
        <w:ind w:firstLine="2240" w:firstLineChars="700"/>
        <w:rPr>
          <w:rFonts w:hint="eastAsia" w:ascii="黑体" w:hAnsi="宋体" w:eastAsia="黑体"/>
          <w:sz w:val="32"/>
          <w:szCs w:val="32"/>
        </w:rPr>
      </w:pPr>
    </w:p>
    <w:p w14:paraId="4B2D0965">
      <w:pPr>
        <w:spacing w:line="440" w:lineRule="exact"/>
        <w:ind w:firstLine="2240" w:firstLineChars="700"/>
        <w:rPr>
          <w:rFonts w:hint="eastAsia" w:ascii="黑体" w:hAnsi="宋体" w:eastAsia="黑体"/>
          <w:sz w:val="32"/>
          <w:szCs w:val="32"/>
        </w:rPr>
      </w:pPr>
    </w:p>
    <w:p w14:paraId="49D5EB5E">
      <w:pPr>
        <w:spacing w:line="440" w:lineRule="exact"/>
        <w:ind w:firstLine="2240" w:firstLineChars="700"/>
        <w:rPr>
          <w:rFonts w:hint="eastAsia" w:ascii="黑体" w:hAnsi="宋体" w:eastAsia="黑体"/>
          <w:sz w:val="32"/>
          <w:szCs w:val="32"/>
        </w:rPr>
      </w:pPr>
    </w:p>
    <w:p w14:paraId="787D2A83">
      <w:pPr>
        <w:spacing w:line="440" w:lineRule="exact"/>
        <w:ind w:firstLine="2240" w:firstLineChars="700"/>
        <w:rPr>
          <w:rFonts w:hint="eastAsia" w:ascii="黑体" w:hAnsi="宋体" w:eastAsia="黑体"/>
          <w:sz w:val="32"/>
          <w:szCs w:val="32"/>
        </w:rPr>
      </w:pPr>
    </w:p>
    <w:p w14:paraId="21FAB907">
      <w:pPr>
        <w:spacing w:line="440" w:lineRule="exact"/>
        <w:ind w:firstLine="2240" w:firstLineChars="700"/>
        <w:rPr>
          <w:rFonts w:hint="eastAsia" w:ascii="黑体" w:hAnsi="宋体" w:eastAsia="黑体"/>
          <w:sz w:val="32"/>
          <w:szCs w:val="32"/>
        </w:rPr>
      </w:pPr>
    </w:p>
    <w:p w14:paraId="1343E1CD">
      <w:pPr>
        <w:spacing w:line="440" w:lineRule="exact"/>
        <w:ind w:firstLine="2240" w:firstLineChars="700"/>
        <w:rPr>
          <w:rFonts w:hint="eastAsia" w:ascii="黑体" w:hAnsi="宋体" w:eastAsia="黑体"/>
          <w:sz w:val="32"/>
          <w:szCs w:val="32"/>
        </w:rPr>
      </w:pPr>
    </w:p>
    <w:p w14:paraId="52BE31F3">
      <w:pPr>
        <w:spacing w:line="440" w:lineRule="exact"/>
        <w:ind w:firstLine="1960" w:firstLineChars="700"/>
        <w:rPr>
          <w:rFonts w:hint="eastAsia" w:ascii="仿宋_GB2312" w:hAnsi="宋体" w:eastAsia="仿宋_GB2312"/>
          <w:b/>
          <w:bCs/>
          <w:color w:val="auto"/>
          <w:szCs w:val="21"/>
        </w:rPr>
      </w:pPr>
      <w:r>
        <w:rPr>
          <w:rFonts w:hint="eastAsia" w:ascii="宋体" w:hAnsi="宋体"/>
          <w:color w:val="auto"/>
          <w:sz w:val="28"/>
          <w:szCs w:val="28"/>
        </w:rPr>
        <w:t> </w:t>
      </w:r>
      <w:r>
        <w:rPr>
          <w:rFonts w:hint="eastAsia" w:ascii="宋体" w:hAnsi="宋体"/>
          <w:color w:val="FF0000"/>
          <w:sz w:val="28"/>
          <w:szCs w:val="28"/>
        </w:rPr>
        <w:t>备注：</w:t>
      </w:r>
      <w:r>
        <w:rPr>
          <w:rFonts w:hint="eastAsia" w:ascii="宋体" w:hAnsi="宋体" w:eastAsia="宋体" w:cs="Times New Roman"/>
          <w:color w:val="auto"/>
          <w:sz w:val="28"/>
          <w:szCs w:val="28"/>
          <w:lang w:eastAsia="zh-CN"/>
        </w:rPr>
        <w:t>如是监狱企业需提供</w:t>
      </w:r>
      <w:r>
        <w:rPr>
          <w:rFonts w:hint="eastAsia" w:ascii="宋体" w:hAnsi="宋体"/>
          <w:color w:val="auto"/>
          <w:sz w:val="28"/>
          <w:szCs w:val="28"/>
          <w:lang w:eastAsia="zh-CN"/>
        </w:rPr>
        <w:t>。</w:t>
      </w:r>
    </w:p>
    <w:p w14:paraId="6BC9EA1D">
      <w:pPr>
        <w:pStyle w:val="12"/>
        <w:rPr>
          <w:rFonts w:hint="eastAsia" w:ascii="宋体" w:hAnsi="宋体"/>
          <w:sz w:val="24"/>
        </w:rPr>
      </w:pPr>
      <w:r>
        <w:rPr>
          <w:rFonts w:hint="eastAsia" w:ascii="仿宋_GB2312" w:hAnsi="宋体" w:eastAsia="仿宋_GB2312"/>
          <w:b/>
          <w:bCs/>
          <w:color w:val="auto"/>
          <w:szCs w:val="21"/>
        </w:rPr>
        <w:t xml:space="preserve">   </w:t>
      </w:r>
      <w:r>
        <w:rPr>
          <w:rFonts w:hint="eastAsia" w:ascii="仿宋_GB2312" w:hAnsi="宋体" w:eastAsia="仿宋_GB2312"/>
          <w:b/>
          <w:bCs/>
          <w:color w:val="auto"/>
          <w:szCs w:val="21"/>
          <w:lang w:val="en-US" w:eastAsia="zh-CN"/>
        </w:rPr>
        <w:t xml:space="preserve">                    </w:t>
      </w:r>
    </w:p>
    <w:p w14:paraId="4848271A">
      <w:pPr>
        <w:pStyle w:val="17"/>
        <w:spacing w:beforeAutospacing="0" w:afterAutospacing="0" w:line="0" w:lineRule="atLeast"/>
        <w:jc w:val="center"/>
        <w:rPr>
          <w:rFonts w:hint="eastAsia" w:ascii="黑体" w:hAnsi="宋体" w:eastAsia="黑体" w:cs="黑体"/>
          <w:b/>
          <w:color w:val="000000"/>
          <w:sz w:val="32"/>
          <w:szCs w:val="32"/>
        </w:rPr>
      </w:pPr>
    </w:p>
    <w:p w14:paraId="71C338B0">
      <w:pPr>
        <w:pStyle w:val="17"/>
        <w:spacing w:beforeAutospacing="0" w:afterAutospacing="0" w:line="0" w:lineRule="atLeast"/>
        <w:jc w:val="center"/>
      </w:pPr>
    </w:p>
    <w:p w14:paraId="4437066F">
      <w:pPr>
        <w:pStyle w:val="17"/>
        <w:spacing w:beforeAutospacing="0" w:afterAutospacing="0" w:line="0" w:lineRule="atLeast"/>
        <w:jc w:val="center"/>
      </w:pPr>
    </w:p>
    <w:p w14:paraId="4D819452">
      <w:pPr>
        <w:keepNext w:val="0"/>
        <w:keepLines w:val="0"/>
        <w:pageBreakBefore w:val="0"/>
        <w:widowControl w:val="0"/>
        <w:kinsoku/>
        <w:wordWrap/>
        <w:overflowPunct/>
        <w:topLinePunct w:val="0"/>
        <w:autoSpaceDE/>
        <w:autoSpaceDN/>
        <w:bidi w:val="0"/>
        <w:adjustRightInd/>
        <w:snapToGrid/>
        <w:spacing w:after="146" w:afterLines="50" w:line="460" w:lineRule="exact"/>
        <w:jc w:val="center"/>
        <w:textAlignment w:val="auto"/>
        <w:rPr>
          <w:rFonts w:hint="eastAsia" w:ascii="黑体" w:hAnsi="黑体" w:eastAsia="黑体" w:cs="Times New Roman"/>
          <w:b/>
          <w:i w:val="0"/>
          <w:iCs w:val="0"/>
          <w:sz w:val="32"/>
          <w:szCs w:val="32"/>
          <w:u w:val="single"/>
          <w:lang w:eastAsia="zh-CN"/>
        </w:rPr>
      </w:pPr>
      <w:r>
        <w:rPr>
          <w:rFonts w:hint="eastAsia" w:ascii="黑体" w:hAnsi="黑体" w:eastAsia="黑体"/>
          <w:b/>
          <w:color w:val="000000"/>
          <w:sz w:val="32"/>
          <w:szCs w:val="32"/>
          <w:lang w:val="en-US" w:eastAsia="zh-CN"/>
        </w:rPr>
        <w:t xml:space="preserve"> </w:t>
      </w:r>
      <w:r>
        <w:rPr>
          <w:rFonts w:hint="eastAsia" w:ascii="黑体" w:hAnsi="黑体" w:eastAsia="黑体"/>
          <w:b/>
          <w:color w:val="000000"/>
          <w:sz w:val="32"/>
          <w:szCs w:val="32"/>
          <w:lang w:eastAsia="zh-CN"/>
        </w:rPr>
        <w:t>十</w:t>
      </w:r>
      <w:r>
        <w:rPr>
          <w:rFonts w:hint="eastAsia" w:ascii="黑体" w:hAnsi="黑体" w:eastAsia="黑体"/>
          <w:b/>
          <w:color w:val="000000"/>
          <w:sz w:val="32"/>
          <w:szCs w:val="32"/>
          <w:lang w:val="en-US" w:eastAsia="zh-CN"/>
        </w:rPr>
        <w:t>、</w:t>
      </w:r>
      <w:r>
        <w:rPr>
          <w:rFonts w:hint="eastAsia" w:ascii="黑体" w:hAnsi="黑体" w:eastAsia="黑体"/>
          <w:b/>
          <w:color w:val="000000"/>
          <w:sz w:val="32"/>
          <w:szCs w:val="32"/>
        </w:rPr>
        <w:t>投标分项报价表</w:t>
      </w:r>
    </w:p>
    <w:p w14:paraId="1C09BCD8">
      <w:pPr>
        <w:pStyle w:val="42"/>
        <w:numPr>
          <w:ilvl w:val="0"/>
          <w:numId w:val="0"/>
        </w:numPr>
        <w:ind w:firstLine="6720" w:firstLineChars="28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货币单位：人民币元</w:t>
      </w:r>
    </w:p>
    <w:p w14:paraId="39A57382">
      <w:pPr>
        <w:pStyle w:val="41"/>
        <w:ind w:firstLine="0" w:firstLineChars="0"/>
        <w:jc w:val="center"/>
        <w:rPr>
          <w:rFonts w:hint="eastAsia" w:eastAsia="宋体" w:cs="宋体"/>
          <w:color w:val="auto"/>
          <w:sz w:val="24"/>
          <w:szCs w:val="24"/>
          <w:lang w:val="en-US" w:eastAsia="zh-CN"/>
        </w:rPr>
      </w:pPr>
    </w:p>
    <w:tbl>
      <w:tblPr>
        <w:tblStyle w:val="24"/>
        <w:tblpPr w:leftFromText="180" w:rightFromText="180" w:vertAnchor="text" w:horzAnchor="page" w:tblpX="1019" w:tblpY="43"/>
        <w:tblOverlap w:val="never"/>
        <w:tblW w:w="104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5"/>
        <w:gridCol w:w="1260"/>
        <w:gridCol w:w="1110"/>
        <w:gridCol w:w="960"/>
        <w:gridCol w:w="765"/>
        <w:gridCol w:w="720"/>
        <w:gridCol w:w="855"/>
        <w:gridCol w:w="1350"/>
        <w:gridCol w:w="1230"/>
        <w:gridCol w:w="750"/>
        <w:gridCol w:w="675"/>
      </w:tblGrid>
      <w:tr w14:paraId="74AD9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735" w:type="dxa"/>
            <w:tcBorders>
              <w:top w:val="single" w:color="000000" w:sz="4" w:space="0"/>
              <w:left w:val="single" w:color="000000" w:sz="4" w:space="0"/>
              <w:bottom w:val="single" w:color="000000" w:sz="4" w:space="0"/>
              <w:right w:val="single" w:color="000000" w:sz="4" w:space="0"/>
            </w:tcBorders>
            <w:noWrap/>
            <w:vAlign w:val="center"/>
          </w:tcPr>
          <w:p w14:paraId="4DBE3C7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序号</w:t>
            </w:r>
          </w:p>
        </w:tc>
        <w:tc>
          <w:tcPr>
            <w:tcW w:w="1260" w:type="dxa"/>
            <w:tcBorders>
              <w:top w:val="single" w:color="000000" w:sz="4" w:space="0"/>
              <w:left w:val="single" w:color="000000" w:sz="4" w:space="0"/>
              <w:bottom w:val="single" w:color="000000" w:sz="4" w:space="0"/>
              <w:right w:val="single" w:color="auto" w:sz="4" w:space="0"/>
            </w:tcBorders>
            <w:noWrap w:val="0"/>
            <w:vAlign w:val="center"/>
          </w:tcPr>
          <w:p w14:paraId="49896AE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小区名称</w:t>
            </w:r>
          </w:p>
        </w:tc>
        <w:tc>
          <w:tcPr>
            <w:tcW w:w="1110" w:type="dxa"/>
            <w:tcBorders>
              <w:top w:val="single" w:color="000000" w:sz="4" w:space="0"/>
              <w:left w:val="single" w:color="auto" w:sz="4" w:space="0"/>
              <w:bottom w:val="single" w:color="000000" w:sz="4" w:space="0"/>
              <w:right w:val="single" w:color="auto" w:sz="4" w:space="0"/>
            </w:tcBorders>
            <w:noWrap w:val="0"/>
            <w:vAlign w:val="center"/>
          </w:tcPr>
          <w:p w14:paraId="1A4FD71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房屋主体面积</w:t>
            </w:r>
          </w:p>
        </w:tc>
        <w:tc>
          <w:tcPr>
            <w:tcW w:w="960" w:type="dxa"/>
            <w:tcBorders>
              <w:top w:val="single" w:color="000000" w:sz="4" w:space="0"/>
              <w:left w:val="single" w:color="auto" w:sz="4" w:space="0"/>
              <w:bottom w:val="single" w:color="000000" w:sz="4" w:space="0"/>
              <w:right w:val="single" w:color="auto" w:sz="4" w:space="0"/>
            </w:tcBorders>
            <w:noWrap w:val="0"/>
            <w:vAlign w:val="center"/>
          </w:tcPr>
          <w:p w14:paraId="43DA205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阳台面积（半）</w:t>
            </w:r>
          </w:p>
        </w:tc>
        <w:tc>
          <w:tcPr>
            <w:tcW w:w="765" w:type="dxa"/>
            <w:tcBorders>
              <w:top w:val="single" w:color="000000" w:sz="4" w:space="0"/>
              <w:left w:val="single" w:color="auto" w:sz="4" w:space="0"/>
              <w:bottom w:val="single" w:color="000000" w:sz="4" w:space="0"/>
              <w:right w:val="single" w:color="auto" w:sz="4" w:space="0"/>
            </w:tcBorders>
            <w:noWrap w:val="0"/>
            <w:vAlign w:val="center"/>
          </w:tcPr>
          <w:p w14:paraId="5DC21B5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门市面积</w:t>
            </w:r>
          </w:p>
        </w:tc>
        <w:tc>
          <w:tcPr>
            <w:tcW w:w="720" w:type="dxa"/>
            <w:tcBorders>
              <w:top w:val="single" w:color="000000" w:sz="4" w:space="0"/>
              <w:left w:val="single" w:color="auto" w:sz="4" w:space="0"/>
              <w:bottom w:val="single" w:color="000000" w:sz="4" w:space="0"/>
              <w:right w:val="single" w:color="auto" w:sz="4" w:space="0"/>
            </w:tcBorders>
            <w:noWrap w:val="0"/>
            <w:vAlign w:val="center"/>
          </w:tcPr>
          <w:p w14:paraId="4EE16B9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车库面积</w:t>
            </w:r>
          </w:p>
        </w:tc>
        <w:tc>
          <w:tcPr>
            <w:tcW w:w="855" w:type="dxa"/>
            <w:tcBorders>
              <w:top w:val="single" w:color="000000" w:sz="4" w:space="0"/>
              <w:left w:val="single" w:color="auto" w:sz="4" w:space="0"/>
              <w:bottom w:val="single" w:color="000000" w:sz="4" w:space="0"/>
              <w:right w:val="single" w:color="auto" w:sz="4" w:space="0"/>
            </w:tcBorders>
            <w:noWrap w:val="0"/>
            <w:vAlign w:val="center"/>
          </w:tcPr>
          <w:p w14:paraId="5B2A669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减去采光井</w:t>
            </w:r>
          </w:p>
        </w:tc>
        <w:tc>
          <w:tcPr>
            <w:tcW w:w="1350" w:type="dxa"/>
            <w:tcBorders>
              <w:top w:val="single" w:color="000000" w:sz="4" w:space="0"/>
              <w:left w:val="single" w:color="auto" w:sz="4" w:space="0"/>
              <w:bottom w:val="single" w:color="000000" w:sz="4" w:space="0"/>
              <w:right w:val="single" w:color="auto" w:sz="4" w:space="0"/>
            </w:tcBorders>
            <w:noWrap w:val="0"/>
            <w:vAlign w:val="center"/>
          </w:tcPr>
          <w:p w14:paraId="26675CD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小区实际合计建筑总面积</w:t>
            </w:r>
          </w:p>
        </w:tc>
        <w:tc>
          <w:tcPr>
            <w:tcW w:w="1230" w:type="dxa"/>
            <w:tcBorders>
              <w:top w:val="single" w:color="000000" w:sz="4" w:space="0"/>
              <w:left w:val="single" w:color="auto" w:sz="4" w:space="0"/>
              <w:bottom w:val="single" w:color="000000" w:sz="4" w:space="0"/>
              <w:right w:val="single" w:color="000000" w:sz="4" w:space="0"/>
            </w:tcBorders>
            <w:noWrap w:val="0"/>
            <w:vAlign w:val="center"/>
          </w:tcPr>
          <w:p w14:paraId="5375582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全费用综合单价（元）</w:t>
            </w:r>
          </w:p>
        </w:tc>
        <w:tc>
          <w:tcPr>
            <w:tcW w:w="750" w:type="dxa"/>
            <w:tcBorders>
              <w:top w:val="single" w:color="000000" w:sz="4" w:space="0"/>
              <w:left w:val="single" w:color="000000" w:sz="4" w:space="0"/>
              <w:bottom w:val="single" w:color="000000" w:sz="4" w:space="0"/>
              <w:right w:val="single" w:color="auto" w:sz="4" w:space="0"/>
            </w:tcBorders>
            <w:noWrap/>
            <w:vAlign w:val="center"/>
          </w:tcPr>
          <w:p w14:paraId="086B441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总价（元）</w:t>
            </w:r>
          </w:p>
        </w:tc>
        <w:tc>
          <w:tcPr>
            <w:tcW w:w="675" w:type="dxa"/>
            <w:tcBorders>
              <w:top w:val="single" w:color="000000" w:sz="4" w:space="0"/>
              <w:left w:val="single" w:color="auto" w:sz="4" w:space="0"/>
              <w:bottom w:val="single" w:color="000000" w:sz="4" w:space="0"/>
              <w:right w:val="single" w:color="000000" w:sz="4" w:space="0"/>
            </w:tcBorders>
            <w:noWrap/>
            <w:vAlign w:val="center"/>
          </w:tcPr>
          <w:p w14:paraId="1C3F0AE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备注</w:t>
            </w:r>
          </w:p>
        </w:tc>
      </w:tr>
      <w:tr w14:paraId="01481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35" w:type="dxa"/>
            <w:tcBorders>
              <w:top w:val="single" w:color="000000" w:sz="4" w:space="0"/>
              <w:left w:val="single" w:color="000000" w:sz="4" w:space="0"/>
              <w:bottom w:val="single" w:color="000000" w:sz="4" w:space="0"/>
              <w:right w:val="single" w:color="000000" w:sz="4" w:space="0"/>
            </w:tcBorders>
            <w:noWrap/>
            <w:vAlign w:val="center"/>
          </w:tcPr>
          <w:p w14:paraId="302F13EF">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1260" w:type="dxa"/>
            <w:tcBorders>
              <w:top w:val="single" w:color="000000" w:sz="4" w:space="0"/>
              <w:left w:val="single" w:color="000000" w:sz="4" w:space="0"/>
              <w:bottom w:val="single" w:color="000000" w:sz="4" w:space="0"/>
              <w:right w:val="single" w:color="auto" w:sz="4" w:space="0"/>
            </w:tcBorders>
            <w:noWrap w:val="0"/>
            <w:vAlign w:val="center"/>
          </w:tcPr>
          <w:p w14:paraId="13942244">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0"/>
                <w:szCs w:val="20"/>
                <w:u w:val="none"/>
                <w:lang w:val="en-US" w:eastAsia="zh-CN" w:bidi="ar"/>
              </w:rPr>
              <w:t>都市家园</w:t>
            </w:r>
          </w:p>
        </w:tc>
        <w:tc>
          <w:tcPr>
            <w:tcW w:w="1110" w:type="dxa"/>
            <w:tcBorders>
              <w:top w:val="single" w:color="000000" w:sz="4" w:space="0"/>
              <w:left w:val="single" w:color="auto" w:sz="4" w:space="0"/>
              <w:bottom w:val="single" w:color="000000" w:sz="4" w:space="0"/>
              <w:right w:val="single" w:color="auto" w:sz="4" w:space="0"/>
            </w:tcBorders>
            <w:noWrap w:val="0"/>
            <w:vAlign w:val="center"/>
          </w:tcPr>
          <w:p w14:paraId="53C6C69D">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25132.25 </w:t>
            </w:r>
          </w:p>
        </w:tc>
        <w:tc>
          <w:tcPr>
            <w:tcW w:w="960" w:type="dxa"/>
            <w:tcBorders>
              <w:top w:val="single" w:color="000000" w:sz="4" w:space="0"/>
              <w:left w:val="single" w:color="auto" w:sz="4" w:space="0"/>
              <w:bottom w:val="single" w:color="000000" w:sz="4" w:space="0"/>
              <w:right w:val="single" w:color="auto" w:sz="4" w:space="0"/>
            </w:tcBorders>
            <w:noWrap w:val="0"/>
            <w:vAlign w:val="center"/>
          </w:tcPr>
          <w:p w14:paraId="2573EBB7">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2"/>
                <w:szCs w:val="22"/>
                <w:u w:val="none"/>
                <w:lang w:val="en-US" w:eastAsia="zh-CN" w:bidi="ar"/>
              </w:rPr>
              <w:t xml:space="preserve">3641.33 </w:t>
            </w:r>
          </w:p>
        </w:tc>
        <w:tc>
          <w:tcPr>
            <w:tcW w:w="765" w:type="dxa"/>
            <w:tcBorders>
              <w:top w:val="single" w:color="000000" w:sz="4" w:space="0"/>
              <w:left w:val="single" w:color="auto" w:sz="4" w:space="0"/>
              <w:bottom w:val="single" w:color="000000" w:sz="4" w:space="0"/>
              <w:right w:val="single" w:color="auto" w:sz="4" w:space="0"/>
            </w:tcBorders>
            <w:noWrap w:val="0"/>
            <w:vAlign w:val="center"/>
          </w:tcPr>
          <w:p w14:paraId="19F67537">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2"/>
                <w:szCs w:val="22"/>
                <w:u w:val="none"/>
                <w:lang w:val="en-US" w:eastAsia="zh-CN" w:bidi="ar"/>
              </w:rPr>
              <w:t xml:space="preserve">4894.25 </w:t>
            </w:r>
          </w:p>
        </w:tc>
        <w:tc>
          <w:tcPr>
            <w:tcW w:w="720" w:type="dxa"/>
            <w:tcBorders>
              <w:top w:val="single" w:color="000000" w:sz="4" w:space="0"/>
              <w:left w:val="single" w:color="auto" w:sz="4" w:space="0"/>
              <w:bottom w:val="single" w:color="000000" w:sz="4" w:space="0"/>
              <w:right w:val="single" w:color="auto" w:sz="4" w:space="0"/>
            </w:tcBorders>
            <w:noWrap w:val="0"/>
            <w:vAlign w:val="center"/>
          </w:tcPr>
          <w:p w14:paraId="3BD96C71">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1618.40 </w:t>
            </w:r>
          </w:p>
        </w:tc>
        <w:tc>
          <w:tcPr>
            <w:tcW w:w="855" w:type="dxa"/>
            <w:tcBorders>
              <w:top w:val="single" w:color="000000" w:sz="4" w:space="0"/>
              <w:left w:val="single" w:color="auto" w:sz="4" w:space="0"/>
              <w:bottom w:val="single" w:color="000000" w:sz="4" w:space="0"/>
              <w:right w:val="single" w:color="auto" w:sz="4" w:space="0"/>
            </w:tcBorders>
            <w:noWrap w:val="0"/>
            <w:vAlign w:val="center"/>
          </w:tcPr>
          <w:p w14:paraId="4A775B51">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1154.05 </w:t>
            </w:r>
          </w:p>
        </w:tc>
        <w:tc>
          <w:tcPr>
            <w:tcW w:w="1350" w:type="dxa"/>
            <w:tcBorders>
              <w:top w:val="single" w:color="000000" w:sz="4" w:space="0"/>
              <w:left w:val="single" w:color="auto" w:sz="4" w:space="0"/>
              <w:bottom w:val="single" w:color="000000" w:sz="4" w:space="0"/>
              <w:right w:val="single" w:color="auto" w:sz="4" w:space="0"/>
            </w:tcBorders>
            <w:noWrap w:val="0"/>
            <w:vAlign w:val="center"/>
          </w:tcPr>
          <w:p w14:paraId="314CF737">
            <w:pPr>
              <w:keepNext w:val="0"/>
              <w:keepLines w:val="0"/>
              <w:widowControl/>
              <w:suppressLineNumbers w:val="0"/>
              <w:jc w:val="center"/>
              <w:textAlignment w:val="center"/>
              <w:rPr>
                <w:rFonts w:hint="default" w:ascii="宋体" w:hAnsi="宋体" w:cs="宋体" w:eastAsiaTheme="minorEastAsia"/>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34132.18 </w:t>
            </w:r>
          </w:p>
        </w:tc>
        <w:tc>
          <w:tcPr>
            <w:tcW w:w="1230" w:type="dxa"/>
            <w:tcBorders>
              <w:top w:val="single" w:color="000000" w:sz="4" w:space="0"/>
              <w:left w:val="single" w:color="auto" w:sz="4" w:space="0"/>
              <w:bottom w:val="single" w:color="000000" w:sz="4" w:space="0"/>
              <w:right w:val="single" w:color="000000" w:sz="4" w:space="0"/>
            </w:tcBorders>
            <w:noWrap w:val="0"/>
            <w:vAlign w:val="center"/>
          </w:tcPr>
          <w:p w14:paraId="5EE51743">
            <w:pPr>
              <w:widowControl/>
              <w:jc w:val="center"/>
              <w:textAlignment w:val="center"/>
              <w:rPr>
                <w:rFonts w:hint="eastAsia" w:ascii="宋体" w:hAnsi="宋体" w:cs="宋体"/>
                <w:color w:val="000000"/>
                <w:kern w:val="0"/>
                <w:sz w:val="24"/>
                <w:highlight w:val="none"/>
                <w:lang w:val="en-US" w:eastAsia="zh-CN" w:bidi="ar"/>
              </w:rPr>
            </w:pPr>
          </w:p>
        </w:tc>
        <w:tc>
          <w:tcPr>
            <w:tcW w:w="750" w:type="dxa"/>
            <w:tcBorders>
              <w:top w:val="single" w:color="000000" w:sz="4" w:space="0"/>
              <w:left w:val="single" w:color="000000" w:sz="4" w:space="0"/>
              <w:bottom w:val="single" w:color="000000" w:sz="4" w:space="0"/>
              <w:right w:val="single" w:color="auto" w:sz="4" w:space="0"/>
            </w:tcBorders>
            <w:noWrap/>
            <w:vAlign w:val="center"/>
          </w:tcPr>
          <w:p w14:paraId="142C0666">
            <w:pPr>
              <w:widowControl/>
              <w:jc w:val="center"/>
              <w:textAlignment w:val="center"/>
              <w:rPr>
                <w:rFonts w:hint="eastAsia" w:ascii="宋体" w:hAnsi="宋体" w:cs="宋体"/>
                <w:color w:val="000000"/>
                <w:kern w:val="0"/>
                <w:sz w:val="24"/>
                <w:highlight w:val="none"/>
                <w:lang w:bidi="ar"/>
              </w:rPr>
            </w:pPr>
          </w:p>
        </w:tc>
        <w:tc>
          <w:tcPr>
            <w:tcW w:w="675" w:type="dxa"/>
            <w:tcBorders>
              <w:top w:val="single" w:color="000000" w:sz="4" w:space="0"/>
              <w:left w:val="single" w:color="auto" w:sz="4" w:space="0"/>
              <w:bottom w:val="single" w:color="000000" w:sz="4" w:space="0"/>
              <w:right w:val="single" w:color="000000" w:sz="4" w:space="0"/>
            </w:tcBorders>
            <w:noWrap/>
            <w:vAlign w:val="center"/>
          </w:tcPr>
          <w:p w14:paraId="0B176DC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3C0AD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35" w:type="dxa"/>
            <w:tcBorders>
              <w:top w:val="single" w:color="000000" w:sz="4" w:space="0"/>
              <w:left w:val="single" w:color="000000" w:sz="4" w:space="0"/>
              <w:bottom w:val="single" w:color="000000" w:sz="4" w:space="0"/>
              <w:right w:val="single" w:color="000000" w:sz="4" w:space="0"/>
            </w:tcBorders>
            <w:noWrap/>
            <w:vAlign w:val="center"/>
          </w:tcPr>
          <w:p w14:paraId="65935A6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260" w:type="dxa"/>
            <w:tcBorders>
              <w:top w:val="single" w:color="000000" w:sz="4" w:space="0"/>
              <w:left w:val="single" w:color="000000" w:sz="4" w:space="0"/>
              <w:bottom w:val="single" w:color="000000" w:sz="4" w:space="0"/>
              <w:right w:val="single" w:color="auto" w:sz="4" w:space="0"/>
            </w:tcBorders>
            <w:noWrap w:val="0"/>
            <w:vAlign w:val="center"/>
          </w:tcPr>
          <w:p w14:paraId="7895CC9D">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0"/>
                <w:szCs w:val="20"/>
                <w:u w:val="none"/>
                <w:lang w:val="en-US" w:eastAsia="zh-CN" w:bidi="ar"/>
              </w:rPr>
              <w:t>县院宿舍楼</w:t>
            </w:r>
          </w:p>
        </w:tc>
        <w:tc>
          <w:tcPr>
            <w:tcW w:w="1110" w:type="dxa"/>
            <w:tcBorders>
              <w:top w:val="single" w:color="000000" w:sz="4" w:space="0"/>
              <w:left w:val="single" w:color="auto" w:sz="4" w:space="0"/>
              <w:bottom w:val="single" w:color="000000" w:sz="4" w:space="0"/>
              <w:right w:val="single" w:color="auto" w:sz="4" w:space="0"/>
            </w:tcBorders>
            <w:noWrap w:val="0"/>
            <w:vAlign w:val="center"/>
          </w:tcPr>
          <w:p w14:paraId="7DDF61C5">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25257.00 </w:t>
            </w:r>
          </w:p>
        </w:tc>
        <w:tc>
          <w:tcPr>
            <w:tcW w:w="960" w:type="dxa"/>
            <w:tcBorders>
              <w:top w:val="single" w:color="000000" w:sz="4" w:space="0"/>
              <w:left w:val="single" w:color="auto" w:sz="4" w:space="0"/>
              <w:bottom w:val="single" w:color="000000" w:sz="4" w:space="0"/>
              <w:right w:val="single" w:color="auto" w:sz="4" w:space="0"/>
            </w:tcBorders>
            <w:noWrap w:val="0"/>
            <w:vAlign w:val="center"/>
          </w:tcPr>
          <w:p w14:paraId="1269EC07">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5788.81 </w:t>
            </w:r>
          </w:p>
        </w:tc>
        <w:tc>
          <w:tcPr>
            <w:tcW w:w="765" w:type="dxa"/>
            <w:tcBorders>
              <w:top w:val="single" w:color="000000" w:sz="4" w:space="0"/>
              <w:left w:val="single" w:color="auto" w:sz="4" w:space="0"/>
              <w:bottom w:val="single" w:color="000000" w:sz="4" w:space="0"/>
              <w:right w:val="single" w:color="auto" w:sz="4" w:space="0"/>
            </w:tcBorders>
            <w:noWrap w:val="0"/>
            <w:vAlign w:val="center"/>
          </w:tcPr>
          <w:p w14:paraId="1A57A5AD">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1280.70 </w:t>
            </w:r>
          </w:p>
        </w:tc>
        <w:tc>
          <w:tcPr>
            <w:tcW w:w="720" w:type="dxa"/>
            <w:tcBorders>
              <w:top w:val="single" w:color="000000" w:sz="4" w:space="0"/>
              <w:left w:val="single" w:color="auto" w:sz="4" w:space="0"/>
              <w:bottom w:val="single" w:color="000000" w:sz="4" w:space="0"/>
              <w:right w:val="single" w:color="auto" w:sz="4" w:space="0"/>
            </w:tcBorders>
            <w:noWrap w:val="0"/>
            <w:vAlign w:val="center"/>
          </w:tcPr>
          <w:p w14:paraId="4A3E4161">
            <w:pPr>
              <w:keepNext w:val="0"/>
              <w:keepLines w:val="0"/>
              <w:widowControl/>
              <w:suppressLineNumbers w:val="0"/>
              <w:jc w:val="center"/>
              <w:textAlignment w:val="center"/>
              <w:rPr>
                <w:rFonts w:hint="default"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0.00 </w:t>
            </w:r>
          </w:p>
        </w:tc>
        <w:tc>
          <w:tcPr>
            <w:tcW w:w="855" w:type="dxa"/>
            <w:tcBorders>
              <w:top w:val="single" w:color="000000" w:sz="4" w:space="0"/>
              <w:left w:val="single" w:color="auto" w:sz="4" w:space="0"/>
              <w:bottom w:val="single" w:color="000000" w:sz="4" w:space="0"/>
              <w:right w:val="single" w:color="auto" w:sz="4" w:space="0"/>
            </w:tcBorders>
            <w:noWrap w:val="0"/>
            <w:vAlign w:val="center"/>
          </w:tcPr>
          <w:p w14:paraId="34C6041C">
            <w:pPr>
              <w:keepNext w:val="0"/>
              <w:keepLines w:val="0"/>
              <w:widowControl/>
              <w:suppressLineNumbers w:val="0"/>
              <w:jc w:val="center"/>
              <w:textAlignment w:val="center"/>
              <w:rPr>
                <w:rFonts w:hint="default"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1518.67</w:t>
            </w:r>
          </w:p>
        </w:tc>
        <w:tc>
          <w:tcPr>
            <w:tcW w:w="1350" w:type="dxa"/>
            <w:tcBorders>
              <w:top w:val="single" w:color="000000" w:sz="4" w:space="0"/>
              <w:left w:val="single" w:color="auto" w:sz="4" w:space="0"/>
              <w:bottom w:val="single" w:color="000000" w:sz="4" w:space="0"/>
              <w:right w:val="single" w:color="auto" w:sz="4" w:space="0"/>
            </w:tcBorders>
            <w:noWrap w:val="0"/>
            <w:vAlign w:val="center"/>
          </w:tcPr>
          <w:p w14:paraId="3DF792F9">
            <w:pPr>
              <w:keepNext w:val="0"/>
              <w:keepLines w:val="0"/>
              <w:widowControl/>
              <w:suppressLineNumbers w:val="0"/>
              <w:jc w:val="center"/>
              <w:textAlignment w:val="center"/>
              <w:rPr>
                <w:rFonts w:hint="default" w:ascii="宋体" w:hAnsi="宋体" w:cs="宋体" w:eastAsiaTheme="minorEastAsia"/>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30807.84 </w:t>
            </w:r>
          </w:p>
        </w:tc>
        <w:tc>
          <w:tcPr>
            <w:tcW w:w="1230" w:type="dxa"/>
            <w:tcBorders>
              <w:top w:val="single" w:color="000000" w:sz="4" w:space="0"/>
              <w:left w:val="single" w:color="auto" w:sz="4" w:space="0"/>
              <w:bottom w:val="single" w:color="000000" w:sz="4" w:space="0"/>
              <w:right w:val="single" w:color="000000" w:sz="4" w:space="0"/>
            </w:tcBorders>
            <w:noWrap w:val="0"/>
            <w:vAlign w:val="center"/>
          </w:tcPr>
          <w:p w14:paraId="4BD2C8BA">
            <w:pPr>
              <w:widowControl/>
              <w:jc w:val="center"/>
              <w:textAlignment w:val="center"/>
              <w:rPr>
                <w:rFonts w:hint="eastAsia" w:ascii="宋体" w:hAnsi="宋体" w:cs="宋体"/>
                <w:color w:val="000000"/>
                <w:kern w:val="0"/>
                <w:sz w:val="24"/>
                <w:highlight w:val="none"/>
                <w:lang w:val="en-US" w:eastAsia="zh-CN" w:bidi="ar"/>
              </w:rPr>
            </w:pPr>
          </w:p>
        </w:tc>
        <w:tc>
          <w:tcPr>
            <w:tcW w:w="750" w:type="dxa"/>
            <w:tcBorders>
              <w:top w:val="single" w:color="000000" w:sz="4" w:space="0"/>
              <w:left w:val="single" w:color="000000" w:sz="4" w:space="0"/>
              <w:bottom w:val="single" w:color="000000" w:sz="4" w:space="0"/>
              <w:right w:val="single" w:color="auto" w:sz="4" w:space="0"/>
            </w:tcBorders>
            <w:noWrap/>
            <w:vAlign w:val="center"/>
          </w:tcPr>
          <w:p w14:paraId="558E5B88">
            <w:pPr>
              <w:widowControl/>
              <w:jc w:val="center"/>
              <w:textAlignment w:val="center"/>
              <w:rPr>
                <w:rFonts w:hint="eastAsia" w:ascii="宋体" w:hAnsi="宋体" w:cs="宋体"/>
                <w:color w:val="000000"/>
                <w:kern w:val="0"/>
                <w:sz w:val="24"/>
                <w:highlight w:val="none"/>
                <w:lang w:bidi="ar"/>
              </w:rPr>
            </w:pPr>
          </w:p>
        </w:tc>
        <w:tc>
          <w:tcPr>
            <w:tcW w:w="675" w:type="dxa"/>
            <w:tcBorders>
              <w:top w:val="single" w:color="000000" w:sz="4" w:space="0"/>
              <w:left w:val="single" w:color="auto" w:sz="4" w:space="0"/>
              <w:bottom w:val="single" w:color="000000" w:sz="4" w:space="0"/>
              <w:right w:val="single" w:color="000000" w:sz="4" w:space="0"/>
            </w:tcBorders>
            <w:noWrap/>
            <w:vAlign w:val="center"/>
          </w:tcPr>
          <w:p w14:paraId="7390A2B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4A37C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35" w:type="dxa"/>
            <w:tcBorders>
              <w:top w:val="single" w:color="000000" w:sz="4" w:space="0"/>
              <w:left w:val="single" w:color="000000" w:sz="4" w:space="0"/>
              <w:bottom w:val="single" w:color="000000" w:sz="4" w:space="0"/>
              <w:right w:val="single" w:color="000000" w:sz="4" w:space="0"/>
            </w:tcBorders>
            <w:noWrap/>
            <w:vAlign w:val="center"/>
          </w:tcPr>
          <w:p w14:paraId="7496DF3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260" w:type="dxa"/>
            <w:tcBorders>
              <w:top w:val="single" w:color="000000" w:sz="4" w:space="0"/>
              <w:left w:val="single" w:color="000000" w:sz="4" w:space="0"/>
              <w:bottom w:val="single" w:color="000000" w:sz="4" w:space="0"/>
              <w:right w:val="single" w:color="auto" w:sz="4" w:space="0"/>
            </w:tcBorders>
            <w:noWrap w:val="0"/>
            <w:vAlign w:val="center"/>
          </w:tcPr>
          <w:p w14:paraId="1E309B1F">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0"/>
                <w:szCs w:val="20"/>
                <w:u w:val="none"/>
                <w:lang w:val="en-US" w:eastAsia="zh-CN" w:bidi="ar"/>
              </w:rPr>
              <w:t>工行、水厂宿舍</w:t>
            </w:r>
          </w:p>
        </w:tc>
        <w:tc>
          <w:tcPr>
            <w:tcW w:w="1110" w:type="dxa"/>
            <w:tcBorders>
              <w:top w:val="single" w:color="000000" w:sz="4" w:space="0"/>
              <w:left w:val="single" w:color="auto" w:sz="4" w:space="0"/>
              <w:bottom w:val="single" w:color="000000" w:sz="4" w:space="0"/>
              <w:right w:val="single" w:color="auto" w:sz="4" w:space="0"/>
            </w:tcBorders>
            <w:noWrap w:val="0"/>
            <w:vAlign w:val="center"/>
          </w:tcPr>
          <w:p w14:paraId="0DCCA481">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9894.15 </w:t>
            </w:r>
          </w:p>
        </w:tc>
        <w:tc>
          <w:tcPr>
            <w:tcW w:w="960" w:type="dxa"/>
            <w:tcBorders>
              <w:top w:val="single" w:color="000000" w:sz="4" w:space="0"/>
              <w:left w:val="single" w:color="auto" w:sz="4" w:space="0"/>
              <w:bottom w:val="single" w:color="000000" w:sz="4" w:space="0"/>
              <w:right w:val="single" w:color="auto" w:sz="4" w:space="0"/>
            </w:tcBorders>
            <w:noWrap w:val="0"/>
            <w:vAlign w:val="center"/>
          </w:tcPr>
          <w:p w14:paraId="0373D8B6">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2058.07 </w:t>
            </w:r>
          </w:p>
        </w:tc>
        <w:tc>
          <w:tcPr>
            <w:tcW w:w="765" w:type="dxa"/>
            <w:tcBorders>
              <w:top w:val="single" w:color="000000" w:sz="4" w:space="0"/>
              <w:left w:val="single" w:color="auto" w:sz="4" w:space="0"/>
              <w:bottom w:val="single" w:color="000000" w:sz="4" w:space="0"/>
              <w:right w:val="single" w:color="auto" w:sz="4" w:space="0"/>
            </w:tcBorders>
            <w:noWrap w:val="0"/>
            <w:vAlign w:val="center"/>
          </w:tcPr>
          <w:p w14:paraId="2023D05A">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0.00 </w:t>
            </w:r>
          </w:p>
        </w:tc>
        <w:tc>
          <w:tcPr>
            <w:tcW w:w="720" w:type="dxa"/>
            <w:tcBorders>
              <w:top w:val="single" w:color="000000" w:sz="4" w:space="0"/>
              <w:left w:val="single" w:color="auto" w:sz="4" w:space="0"/>
              <w:bottom w:val="single" w:color="000000" w:sz="4" w:space="0"/>
              <w:right w:val="single" w:color="auto" w:sz="4" w:space="0"/>
            </w:tcBorders>
            <w:noWrap w:val="0"/>
            <w:vAlign w:val="center"/>
          </w:tcPr>
          <w:p w14:paraId="11A57B82">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0.00 </w:t>
            </w:r>
          </w:p>
        </w:tc>
        <w:tc>
          <w:tcPr>
            <w:tcW w:w="855" w:type="dxa"/>
            <w:tcBorders>
              <w:top w:val="single" w:color="000000" w:sz="4" w:space="0"/>
              <w:left w:val="single" w:color="auto" w:sz="4" w:space="0"/>
              <w:bottom w:val="single" w:color="000000" w:sz="4" w:space="0"/>
              <w:right w:val="single" w:color="auto" w:sz="4" w:space="0"/>
            </w:tcBorders>
            <w:noWrap w:val="0"/>
            <w:vAlign w:val="center"/>
          </w:tcPr>
          <w:p w14:paraId="168A8C6F">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623.25</w:t>
            </w:r>
          </w:p>
        </w:tc>
        <w:tc>
          <w:tcPr>
            <w:tcW w:w="1350" w:type="dxa"/>
            <w:tcBorders>
              <w:top w:val="single" w:color="000000" w:sz="4" w:space="0"/>
              <w:left w:val="single" w:color="auto" w:sz="4" w:space="0"/>
              <w:bottom w:val="single" w:color="000000" w:sz="4" w:space="0"/>
              <w:right w:val="single" w:color="auto" w:sz="4" w:space="0"/>
            </w:tcBorders>
            <w:noWrap w:val="0"/>
            <w:vAlign w:val="center"/>
          </w:tcPr>
          <w:p w14:paraId="6D2F384B">
            <w:pPr>
              <w:keepNext w:val="0"/>
              <w:keepLines w:val="0"/>
              <w:widowControl/>
              <w:suppressLineNumbers w:val="0"/>
              <w:jc w:val="center"/>
              <w:textAlignment w:val="center"/>
              <w:rPr>
                <w:rFonts w:hint="default" w:ascii="宋体" w:hAnsi="宋体" w:cs="宋体" w:eastAsiaTheme="minorEastAsia"/>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11328.97 </w:t>
            </w:r>
          </w:p>
        </w:tc>
        <w:tc>
          <w:tcPr>
            <w:tcW w:w="1230" w:type="dxa"/>
            <w:tcBorders>
              <w:top w:val="single" w:color="000000" w:sz="4" w:space="0"/>
              <w:left w:val="single" w:color="auto" w:sz="4" w:space="0"/>
              <w:bottom w:val="single" w:color="000000" w:sz="4" w:space="0"/>
              <w:right w:val="single" w:color="000000" w:sz="4" w:space="0"/>
            </w:tcBorders>
            <w:noWrap w:val="0"/>
            <w:vAlign w:val="center"/>
          </w:tcPr>
          <w:p w14:paraId="1DA35F56">
            <w:pPr>
              <w:widowControl/>
              <w:jc w:val="center"/>
              <w:textAlignment w:val="center"/>
              <w:rPr>
                <w:rFonts w:hint="eastAsia" w:ascii="宋体" w:hAnsi="宋体" w:cs="宋体"/>
                <w:color w:val="000000"/>
                <w:kern w:val="0"/>
                <w:sz w:val="24"/>
                <w:highlight w:val="none"/>
                <w:lang w:val="en-US" w:eastAsia="zh-CN" w:bidi="ar"/>
              </w:rPr>
            </w:pPr>
          </w:p>
        </w:tc>
        <w:tc>
          <w:tcPr>
            <w:tcW w:w="750" w:type="dxa"/>
            <w:tcBorders>
              <w:top w:val="single" w:color="000000" w:sz="4" w:space="0"/>
              <w:left w:val="single" w:color="000000" w:sz="4" w:space="0"/>
              <w:bottom w:val="single" w:color="000000" w:sz="4" w:space="0"/>
              <w:right w:val="single" w:color="auto" w:sz="4" w:space="0"/>
            </w:tcBorders>
            <w:noWrap/>
            <w:vAlign w:val="center"/>
          </w:tcPr>
          <w:p w14:paraId="72860A93">
            <w:pPr>
              <w:widowControl/>
              <w:jc w:val="center"/>
              <w:textAlignment w:val="center"/>
              <w:rPr>
                <w:rFonts w:hint="eastAsia" w:ascii="宋体" w:hAnsi="宋体" w:cs="宋体"/>
                <w:color w:val="000000"/>
                <w:kern w:val="0"/>
                <w:sz w:val="24"/>
                <w:highlight w:val="none"/>
                <w:lang w:bidi="ar"/>
              </w:rPr>
            </w:pPr>
          </w:p>
        </w:tc>
        <w:tc>
          <w:tcPr>
            <w:tcW w:w="675" w:type="dxa"/>
            <w:tcBorders>
              <w:top w:val="single" w:color="000000" w:sz="4" w:space="0"/>
              <w:left w:val="single" w:color="auto" w:sz="4" w:space="0"/>
              <w:bottom w:val="single" w:color="000000" w:sz="4" w:space="0"/>
              <w:right w:val="single" w:color="000000" w:sz="4" w:space="0"/>
            </w:tcBorders>
            <w:noWrap/>
            <w:vAlign w:val="center"/>
          </w:tcPr>
          <w:p w14:paraId="7FFF1AF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6BC32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35" w:type="dxa"/>
            <w:tcBorders>
              <w:top w:val="single" w:color="000000" w:sz="4" w:space="0"/>
              <w:left w:val="single" w:color="000000" w:sz="4" w:space="0"/>
              <w:bottom w:val="single" w:color="000000" w:sz="4" w:space="0"/>
              <w:right w:val="single" w:color="000000" w:sz="4" w:space="0"/>
            </w:tcBorders>
            <w:noWrap/>
            <w:vAlign w:val="center"/>
          </w:tcPr>
          <w:p w14:paraId="30C881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260" w:type="dxa"/>
            <w:tcBorders>
              <w:top w:val="single" w:color="000000" w:sz="4" w:space="0"/>
              <w:left w:val="single" w:color="000000" w:sz="4" w:space="0"/>
              <w:bottom w:val="single" w:color="000000" w:sz="4" w:space="0"/>
              <w:right w:val="single" w:color="auto" w:sz="4" w:space="0"/>
            </w:tcBorders>
            <w:noWrap w:val="0"/>
            <w:vAlign w:val="center"/>
          </w:tcPr>
          <w:p w14:paraId="1C975395">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0"/>
                <w:szCs w:val="20"/>
                <w:u w:val="none"/>
                <w:lang w:val="en-US" w:eastAsia="zh-CN" w:bidi="ar"/>
              </w:rPr>
              <w:t>食品公司</w:t>
            </w:r>
          </w:p>
        </w:tc>
        <w:tc>
          <w:tcPr>
            <w:tcW w:w="1110" w:type="dxa"/>
            <w:tcBorders>
              <w:top w:val="single" w:color="000000" w:sz="4" w:space="0"/>
              <w:left w:val="single" w:color="auto" w:sz="4" w:space="0"/>
              <w:bottom w:val="single" w:color="000000" w:sz="4" w:space="0"/>
              <w:right w:val="single" w:color="auto" w:sz="4" w:space="0"/>
            </w:tcBorders>
            <w:noWrap w:val="0"/>
            <w:vAlign w:val="center"/>
          </w:tcPr>
          <w:p w14:paraId="7E157600">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9908.60 </w:t>
            </w:r>
          </w:p>
        </w:tc>
        <w:tc>
          <w:tcPr>
            <w:tcW w:w="960" w:type="dxa"/>
            <w:tcBorders>
              <w:top w:val="single" w:color="000000" w:sz="4" w:space="0"/>
              <w:left w:val="single" w:color="auto" w:sz="4" w:space="0"/>
              <w:bottom w:val="single" w:color="000000" w:sz="4" w:space="0"/>
              <w:right w:val="single" w:color="auto" w:sz="4" w:space="0"/>
            </w:tcBorders>
            <w:noWrap w:val="0"/>
            <w:vAlign w:val="center"/>
          </w:tcPr>
          <w:p w14:paraId="215704EB">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2289.55 </w:t>
            </w:r>
          </w:p>
        </w:tc>
        <w:tc>
          <w:tcPr>
            <w:tcW w:w="765" w:type="dxa"/>
            <w:tcBorders>
              <w:top w:val="single" w:color="000000" w:sz="4" w:space="0"/>
              <w:left w:val="single" w:color="auto" w:sz="4" w:space="0"/>
              <w:bottom w:val="single" w:color="000000" w:sz="4" w:space="0"/>
              <w:right w:val="single" w:color="auto" w:sz="4" w:space="0"/>
            </w:tcBorders>
            <w:noWrap w:val="0"/>
            <w:vAlign w:val="center"/>
          </w:tcPr>
          <w:p w14:paraId="49770975">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1507.05 </w:t>
            </w:r>
          </w:p>
        </w:tc>
        <w:tc>
          <w:tcPr>
            <w:tcW w:w="720" w:type="dxa"/>
            <w:tcBorders>
              <w:top w:val="single" w:color="000000" w:sz="4" w:space="0"/>
              <w:left w:val="single" w:color="auto" w:sz="4" w:space="0"/>
              <w:bottom w:val="single" w:color="000000" w:sz="4" w:space="0"/>
              <w:right w:val="single" w:color="auto" w:sz="4" w:space="0"/>
            </w:tcBorders>
            <w:noWrap w:val="0"/>
            <w:vAlign w:val="center"/>
          </w:tcPr>
          <w:p w14:paraId="0BC05099">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0.00 </w:t>
            </w:r>
          </w:p>
        </w:tc>
        <w:tc>
          <w:tcPr>
            <w:tcW w:w="855" w:type="dxa"/>
            <w:tcBorders>
              <w:top w:val="single" w:color="000000" w:sz="4" w:space="0"/>
              <w:left w:val="single" w:color="auto" w:sz="4" w:space="0"/>
              <w:bottom w:val="single" w:color="000000" w:sz="4" w:space="0"/>
              <w:right w:val="single" w:color="auto" w:sz="4" w:space="0"/>
            </w:tcBorders>
            <w:noWrap w:val="0"/>
            <w:vAlign w:val="center"/>
          </w:tcPr>
          <w:p w14:paraId="2A7D9AFF">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268.91</w:t>
            </w:r>
          </w:p>
        </w:tc>
        <w:tc>
          <w:tcPr>
            <w:tcW w:w="1350" w:type="dxa"/>
            <w:tcBorders>
              <w:top w:val="single" w:color="000000" w:sz="4" w:space="0"/>
              <w:left w:val="single" w:color="auto" w:sz="4" w:space="0"/>
              <w:bottom w:val="single" w:color="000000" w:sz="4" w:space="0"/>
              <w:right w:val="single" w:color="auto" w:sz="4" w:space="0"/>
            </w:tcBorders>
            <w:noWrap w:val="0"/>
            <w:vAlign w:val="center"/>
          </w:tcPr>
          <w:p w14:paraId="254A9CA3">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13436.29 </w:t>
            </w:r>
          </w:p>
        </w:tc>
        <w:tc>
          <w:tcPr>
            <w:tcW w:w="1230" w:type="dxa"/>
            <w:tcBorders>
              <w:top w:val="single" w:color="000000" w:sz="4" w:space="0"/>
              <w:left w:val="single" w:color="auto" w:sz="4" w:space="0"/>
              <w:bottom w:val="single" w:color="000000" w:sz="4" w:space="0"/>
              <w:right w:val="single" w:color="000000" w:sz="4" w:space="0"/>
            </w:tcBorders>
            <w:noWrap w:val="0"/>
            <w:vAlign w:val="center"/>
          </w:tcPr>
          <w:p w14:paraId="5B7B7718">
            <w:pPr>
              <w:widowControl/>
              <w:jc w:val="center"/>
              <w:textAlignment w:val="center"/>
              <w:rPr>
                <w:rFonts w:hint="eastAsia" w:ascii="宋体" w:hAnsi="宋体" w:cs="宋体"/>
                <w:color w:val="000000"/>
                <w:kern w:val="0"/>
                <w:sz w:val="24"/>
                <w:highlight w:val="none"/>
                <w:lang w:val="en-US" w:eastAsia="zh-CN" w:bidi="ar"/>
              </w:rPr>
            </w:pPr>
          </w:p>
        </w:tc>
        <w:tc>
          <w:tcPr>
            <w:tcW w:w="750" w:type="dxa"/>
            <w:tcBorders>
              <w:top w:val="single" w:color="000000" w:sz="4" w:space="0"/>
              <w:left w:val="single" w:color="000000" w:sz="4" w:space="0"/>
              <w:bottom w:val="single" w:color="000000" w:sz="4" w:space="0"/>
              <w:right w:val="single" w:color="auto" w:sz="4" w:space="0"/>
            </w:tcBorders>
            <w:noWrap/>
            <w:vAlign w:val="center"/>
          </w:tcPr>
          <w:p w14:paraId="6778A527">
            <w:pPr>
              <w:widowControl/>
              <w:jc w:val="center"/>
              <w:textAlignment w:val="center"/>
              <w:rPr>
                <w:rFonts w:hint="eastAsia" w:ascii="宋体" w:hAnsi="宋体" w:cs="宋体"/>
                <w:color w:val="000000"/>
                <w:kern w:val="0"/>
                <w:sz w:val="24"/>
                <w:highlight w:val="none"/>
                <w:lang w:bidi="ar"/>
              </w:rPr>
            </w:pPr>
          </w:p>
        </w:tc>
        <w:tc>
          <w:tcPr>
            <w:tcW w:w="675" w:type="dxa"/>
            <w:tcBorders>
              <w:top w:val="single" w:color="000000" w:sz="4" w:space="0"/>
              <w:left w:val="single" w:color="auto" w:sz="4" w:space="0"/>
              <w:bottom w:val="single" w:color="000000" w:sz="4" w:space="0"/>
              <w:right w:val="single" w:color="000000" w:sz="4" w:space="0"/>
            </w:tcBorders>
            <w:noWrap/>
            <w:vAlign w:val="center"/>
          </w:tcPr>
          <w:p w14:paraId="2388EE9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5EBCB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35" w:type="dxa"/>
            <w:tcBorders>
              <w:top w:val="single" w:color="000000" w:sz="4" w:space="0"/>
              <w:left w:val="single" w:color="000000" w:sz="4" w:space="0"/>
              <w:bottom w:val="single" w:color="000000" w:sz="4" w:space="0"/>
              <w:right w:val="single" w:color="000000" w:sz="4" w:space="0"/>
            </w:tcBorders>
            <w:noWrap/>
            <w:vAlign w:val="center"/>
          </w:tcPr>
          <w:p w14:paraId="350889D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260" w:type="dxa"/>
            <w:tcBorders>
              <w:top w:val="single" w:color="000000" w:sz="4" w:space="0"/>
              <w:left w:val="single" w:color="000000" w:sz="4" w:space="0"/>
              <w:bottom w:val="single" w:color="000000" w:sz="4" w:space="0"/>
              <w:right w:val="single" w:color="auto" w:sz="4" w:space="0"/>
            </w:tcBorders>
            <w:noWrap w:val="0"/>
            <w:vAlign w:val="center"/>
          </w:tcPr>
          <w:p w14:paraId="047E82DC">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0"/>
                <w:szCs w:val="20"/>
                <w:u w:val="none"/>
                <w:lang w:val="en-US" w:eastAsia="zh-CN" w:bidi="ar"/>
              </w:rPr>
              <w:t>建筑公司</w:t>
            </w:r>
          </w:p>
        </w:tc>
        <w:tc>
          <w:tcPr>
            <w:tcW w:w="1110" w:type="dxa"/>
            <w:tcBorders>
              <w:top w:val="single" w:color="000000" w:sz="4" w:space="0"/>
              <w:left w:val="single" w:color="auto" w:sz="4" w:space="0"/>
              <w:bottom w:val="single" w:color="000000" w:sz="4" w:space="0"/>
              <w:right w:val="single" w:color="auto" w:sz="4" w:space="0"/>
            </w:tcBorders>
            <w:noWrap w:val="0"/>
            <w:vAlign w:val="center"/>
          </w:tcPr>
          <w:p w14:paraId="6720490E">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5712.30 </w:t>
            </w:r>
          </w:p>
        </w:tc>
        <w:tc>
          <w:tcPr>
            <w:tcW w:w="960" w:type="dxa"/>
            <w:tcBorders>
              <w:top w:val="single" w:color="000000" w:sz="4" w:space="0"/>
              <w:left w:val="single" w:color="auto" w:sz="4" w:space="0"/>
              <w:bottom w:val="single" w:color="000000" w:sz="4" w:space="0"/>
              <w:right w:val="single" w:color="auto" w:sz="4" w:space="0"/>
            </w:tcBorders>
            <w:noWrap w:val="0"/>
            <w:vAlign w:val="center"/>
          </w:tcPr>
          <w:p w14:paraId="1F2BCE7C">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876.00 </w:t>
            </w:r>
          </w:p>
        </w:tc>
        <w:tc>
          <w:tcPr>
            <w:tcW w:w="765" w:type="dxa"/>
            <w:tcBorders>
              <w:top w:val="single" w:color="000000" w:sz="4" w:space="0"/>
              <w:left w:val="single" w:color="auto" w:sz="4" w:space="0"/>
              <w:bottom w:val="single" w:color="000000" w:sz="4" w:space="0"/>
              <w:right w:val="single" w:color="auto" w:sz="4" w:space="0"/>
            </w:tcBorders>
            <w:noWrap w:val="0"/>
            <w:vAlign w:val="center"/>
          </w:tcPr>
          <w:p w14:paraId="62A62014">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1142.46 </w:t>
            </w:r>
          </w:p>
        </w:tc>
        <w:tc>
          <w:tcPr>
            <w:tcW w:w="720" w:type="dxa"/>
            <w:tcBorders>
              <w:top w:val="single" w:color="000000" w:sz="4" w:space="0"/>
              <w:left w:val="single" w:color="auto" w:sz="4" w:space="0"/>
              <w:bottom w:val="single" w:color="000000" w:sz="4" w:space="0"/>
              <w:right w:val="single" w:color="auto" w:sz="4" w:space="0"/>
            </w:tcBorders>
            <w:noWrap w:val="0"/>
            <w:vAlign w:val="center"/>
          </w:tcPr>
          <w:p w14:paraId="7B6525B4">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0.00 </w:t>
            </w:r>
          </w:p>
        </w:tc>
        <w:tc>
          <w:tcPr>
            <w:tcW w:w="855" w:type="dxa"/>
            <w:tcBorders>
              <w:top w:val="single" w:color="000000" w:sz="4" w:space="0"/>
              <w:left w:val="single" w:color="auto" w:sz="4" w:space="0"/>
              <w:bottom w:val="single" w:color="000000" w:sz="4" w:space="0"/>
              <w:right w:val="single" w:color="auto" w:sz="4" w:space="0"/>
            </w:tcBorders>
            <w:noWrap w:val="0"/>
            <w:vAlign w:val="center"/>
          </w:tcPr>
          <w:p w14:paraId="365304DE">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59.4</w:t>
            </w:r>
          </w:p>
        </w:tc>
        <w:tc>
          <w:tcPr>
            <w:tcW w:w="1350" w:type="dxa"/>
            <w:tcBorders>
              <w:top w:val="single" w:color="000000" w:sz="4" w:space="0"/>
              <w:left w:val="single" w:color="auto" w:sz="4" w:space="0"/>
              <w:bottom w:val="single" w:color="000000" w:sz="4" w:space="0"/>
              <w:right w:val="single" w:color="auto" w:sz="4" w:space="0"/>
            </w:tcBorders>
            <w:noWrap w:val="0"/>
            <w:vAlign w:val="center"/>
          </w:tcPr>
          <w:p w14:paraId="5121F603">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7671.36 </w:t>
            </w:r>
          </w:p>
        </w:tc>
        <w:tc>
          <w:tcPr>
            <w:tcW w:w="1230" w:type="dxa"/>
            <w:tcBorders>
              <w:top w:val="single" w:color="000000" w:sz="4" w:space="0"/>
              <w:left w:val="single" w:color="auto" w:sz="4" w:space="0"/>
              <w:bottom w:val="single" w:color="000000" w:sz="4" w:space="0"/>
              <w:right w:val="single" w:color="000000" w:sz="4" w:space="0"/>
            </w:tcBorders>
            <w:noWrap w:val="0"/>
            <w:vAlign w:val="center"/>
          </w:tcPr>
          <w:p w14:paraId="339EF214">
            <w:pPr>
              <w:widowControl/>
              <w:jc w:val="center"/>
              <w:textAlignment w:val="center"/>
              <w:rPr>
                <w:rFonts w:hint="eastAsia" w:ascii="宋体" w:hAnsi="宋体" w:cs="宋体"/>
                <w:color w:val="000000"/>
                <w:kern w:val="0"/>
                <w:sz w:val="24"/>
                <w:highlight w:val="none"/>
                <w:lang w:val="en-US" w:eastAsia="zh-CN" w:bidi="ar"/>
              </w:rPr>
            </w:pPr>
          </w:p>
        </w:tc>
        <w:tc>
          <w:tcPr>
            <w:tcW w:w="750" w:type="dxa"/>
            <w:tcBorders>
              <w:top w:val="single" w:color="000000" w:sz="4" w:space="0"/>
              <w:left w:val="single" w:color="000000" w:sz="4" w:space="0"/>
              <w:bottom w:val="single" w:color="000000" w:sz="4" w:space="0"/>
              <w:right w:val="single" w:color="auto" w:sz="4" w:space="0"/>
            </w:tcBorders>
            <w:noWrap/>
            <w:vAlign w:val="center"/>
          </w:tcPr>
          <w:p w14:paraId="4DBFDCC5">
            <w:pPr>
              <w:widowControl/>
              <w:jc w:val="center"/>
              <w:textAlignment w:val="center"/>
              <w:rPr>
                <w:rFonts w:hint="eastAsia" w:ascii="宋体" w:hAnsi="宋体" w:cs="宋体"/>
                <w:color w:val="000000"/>
                <w:kern w:val="0"/>
                <w:sz w:val="24"/>
                <w:highlight w:val="none"/>
                <w:lang w:bidi="ar"/>
              </w:rPr>
            </w:pPr>
          </w:p>
        </w:tc>
        <w:tc>
          <w:tcPr>
            <w:tcW w:w="675" w:type="dxa"/>
            <w:tcBorders>
              <w:top w:val="single" w:color="000000" w:sz="4" w:space="0"/>
              <w:left w:val="single" w:color="auto" w:sz="4" w:space="0"/>
              <w:bottom w:val="single" w:color="000000" w:sz="4" w:space="0"/>
              <w:right w:val="single" w:color="000000" w:sz="4" w:space="0"/>
            </w:tcBorders>
            <w:noWrap/>
            <w:vAlign w:val="center"/>
          </w:tcPr>
          <w:p w14:paraId="041FC6A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79017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35" w:type="dxa"/>
            <w:tcBorders>
              <w:top w:val="single" w:color="000000" w:sz="4" w:space="0"/>
              <w:left w:val="single" w:color="000000" w:sz="4" w:space="0"/>
              <w:bottom w:val="single" w:color="000000" w:sz="4" w:space="0"/>
              <w:right w:val="single" w:color="000000" w:sz="4" w:space="0"/>
            </w:tcBorders>
            <w:noWrap/>
            <w:vAlign w:val="center"/>
          </w:tcPr>
          <w:p w14:paraId="615DA4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260" w:type="dxa"/>
            <w:tcBorders>
              <w:top w:val="single" w:color="000000" w:sz="4" w:space="0"/>
              <w:left w:val="single" w:color="000000" w:sz="4" w:space="0"/>
              <w:bottom w:val="single" w:color="000000" w:sz="4" w:space="0"/>
              <w:right w:val="single" w:color="auto" w:sz="4" w:space="0"/>
            </w:tcBorders>
            <w:noWrap w:val="0"/>
            <w:vAlign w:val="center"/>
          </w:tcPr>
          <w:p w14:paraId="6750A4BA">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0"/>
                <w:szCs w:val="20"/>
                <w:u w:val="none"/>
                <w:lang w:val="en-US" w:eastAsia="zh-CN" w:bidi="ar"/>
              </w:rPr>
              <w:t>公安局宿舍</w:t>
            </w:r>
          </w:p>
        </w:tc>
        <w:tc>
          <w:tcPr>
            <w:tcW w:w="1110" w:type="dxa"/>
            <w:tcBorders>
              <w:top w:val="single" w:color="000000" w:sz="4" w:space="0"/>
              <w:left w:val="single" w:color="auto" w:sz="4" w:space="0"/>
              <w:bottom w:val="single" w:color="000000" w:sz="4" w:space="0"/>
              <w:right w:val="single" w:color="auto" w:sz="4" w:space="0"/>
            </w:tcBorders>
            <w:noWrap w:val="0"/>
            <w:vAlign w:val="center"/>
          </w:tcPr>
          <w:p w14:paraId="4C8DF727">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5096.50 </w:t>
            </w:r>
          </w:p>
        </w:tc>
        <w:tc>
          <w:tcPr>
            <w:tcW w:w="960" w:type="dxa"/>
            <w:tcBorders>
              <w:top w:val="single" w:color="000000" w:sz="4" w:space="0"/>
              <w:left w:val="single" w:color="auto" w:sz="4" w:space="0"/>
              <w:bottom w:val="single" w:color="000000" w:sz="4" w:space="0"/>
              <w:right w:val="single" w:color="auto" w:sz="4" w:space="0"/>
            </w:tcBorders>
            <w:noWrap w:val="0"/>
            <w:vAlign w:val="center"/>
          </w:tcPr>
          <w:p w14:paraId="5BAEA5DE">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2"/>
                <w:szCs w:val="22"/>
                <w:u w:val="none"/>
                <w:lang w:val="en-US" w:eastAsia="zh-CN" w:bidi="ar"/>
              </w:rPr>
              <w:t xml:space="preserve">539.37 </w:t>
            </w:r>
          </w:p>
        </w:tc>
        <w:tc>
          <w:tcPr>
            <w:tcW w:w="765" w:type="dxa"/>
            <w:tcBorders>
              <w:top w:val="single" w:color="000000" w:sz="4" w:space="0"/>
              <w:left w:val="single" w:color="auto" w:sz="4" w:space="0"/>
              <w:bottom w:val="single" w:color="000000" w:sz="4" w:space="0"/>
              <w:right w:val="single" w:color="auto" w:sz="4" w:space="0"/>
            </w:tcBorders>
            <w:noWrap w:val="0"/>
            <w:vAlign w:val="center"/>
          </w:tcPr>
          <w:p w14:paraId="516BBF45">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564.07 </w:t>
            </w:r>
          </w:p>
        </w:tc>
        <w:tc>
          <w:tcPr>
            <w:tcW w:w="720" w:type="dxa"/>
            <w:tcBorders>
              <w:top w:val="single" w:color="000000" w:sz="4" w:space="0"/>
              <w:left w:val="single" w:color="auto" w:sz="4" w:space="0"/>
              <w:bottom w:val="single" w:color="000000" w:sz="4" w:space="0"/>
              <w:right w:val="single" w:color="auto" w:sz="4" w:space="0"/>
            </w:tcBorders>
            <w:noWrap w:val="0"/>
            <w:vAlign w:val="center"/>
          </w:tcPr>
          <w:p w14:paraId="44A8B1EE">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0.00 </w:t>
            </w:r>
          </w:p>
        </w:tc>
        <w:tc>
          <w:tcPr>
            <w:tcW w:w="855" w:type="dxa"/>
            <w:tcBorders>
              <w:top w:val="single" w:color="000000" w:sz="4" w:space="0"/>
              <w:left w:val="single" w:color="auto" w:sz="4" w:space="0"/>
              <w:bottom w:val="single" w:color="000000" w:sz="4" w:space="0"/>
              <w:right w:val="single" w:color="auto" w:sz="4" w:space="0"/>
            </w:tcBorders>
            <w:noWrap w:val="0"/>
            <w:vAlign w:val="center"/>
          </w:tcPr>
          <w:p w14:paraId="2CC8E33D">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225.6</w:t>
            </w:r>
          </w:p>
        </w:tc>
        <w:tc>
          <w:tcPr>
            <w:tcW w:w="1350" w:type="dxa"/>
            <w:tcBorders>
              <w:top w:val="single" w:color="000000" w:sz="4" w:space="0"/>
              <w:left w:val="single" w:color="auto" w:sz="4" w:space="0"/>
              <w:bottom w:val="single" w:color="000000" w:sz="4" w:space="0"/>
              <w:right w:val="single" w:color="auto" w:sz="4" w:space="0"/>
            </w:tcBorders>
            <w:noWrap w:val="0"/>
            <w:vAlign w:val="center"/>
          </w:tcPr>
          <w:p w14:paraId="4122F496">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5974.34 </w:t>
            </w:r>
          </w:p>
        </w:tc>
        <w:tc>
          <w:tcPr>
            <w:tcW w:w="1230" w:type="dxa"/>
            <w:tcBorders>
              <w:top w:val="single" w:color="000000" w:sz="4" w:space="0"/>
              <w:left w:val="single" w:color="auto" w:sz="4" w:space="0"/>
              <w:bottom w:val="single" w:color="000000" w:sz="4" w:space="0"/>
              <w:right w:val="single" w:color="000000" w:sz="4" w:space="0"/>
            </w:tcBorders>
            <w:noWrap w:val="0"/>
            <w:vAlign w:val="center"/>
          </w:tcPr>
          <w:p w14:paraId="06A0BE63">
            <w:pPr>
              <w:widowControl/>
              <w:jc w:val="center"/>
              <w:textAlignment w:val="center"/>
              <w:rPr>
                <w:rFonts w:hint="eastAsia" w:ascii="宋体" w:hAnsi="宋体" w:cs="宋体"/>
                <w:color w:val="000000"/>
                <w:kern w:val="0"/>
                <w:sz w:val="24"/>
                <w:highlight w:val="none"/>
                <w:lang w:val="en-US" w:eastAsia="zh-CN" w:bidi="ar"/>
              </w:rPr>
            </w:pPr>
          </w:p>
        </w:tc>
        <w:tc>
          <w:tcPr>
            <w:tcW w:w="750" w:type="dxa"/>
            <w:tcBorders>
              <w:top w:val="single" w:color="000000" w:sz="4" w:space="0"/>
              <w:left w:val="single" w:color="000000" w:sz="4" w:space="0"/>
              <w:bottom w:val="single" w:color="000000" w:sz="4" w:space="0"/>
              <w:right w:val="single" w:color="auto" w:sz="4" w:space="0"/>
            </w:tcBorders>
            <w:noWrap/>
            <w:vAlign w:val="center"/>
          </w:tcPr>
          <w:p w14:paraId="10504427">
            <w:pPr>
              <w:widowControl/>
              <w:jc w:val="center"/>
              <w:textAlignment w:val="center"/>
              <w:rPr>
                <w:rFonts w:hint="eastAsia" w:ascii="宋体" w:hAnsi="宋体" w:cs="宋体"/>
                <w:color w:val="000000"/>
                <w:kern w:val="0"/>
                <w:sz w:val="24"/>
                <w:highlight w:val="none"/>
                <w:lang w:bidi="ar"/>
              </w:rPr>
            </w:pPr>
          </w:p>
        </w:tc>
        <w:tc>
          <w:tcPr>
            <w:tcW w:w="675" w:type="dxa"/>
            <w:tcBorders>
              <w:top w:val="single" w:color="000000" w:sz="4" w:space="0"/>
              <w:left w:val="single" w:color="auto" w:sz="4" w:space="0"/>
              <w:bottom w:val="single" w:color="000000" w:sz="4" w:space="0"/>
              <w:right w:val="single" w:color="000000" w:sz="4" w:space="0"/>
            </w:tcBorders>
            <w:noWrap/>
            <w:vAlign w:val="center"/>
          </w:tcPr>
          <w:p w14:paraId="15F1C44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511B2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35" w:type="dxa"/>
            <w:tcBorders>
              <w:top w:val="single" w:color="000000" w:sz="4" w:space="0"/>
              <w:left w:val="single" w:color="000000" w:sz="4" w:space="0"/>
              <w:bottom w:val="single" w:color="000000" w:sz="4" w:space="0"/>
              <w:right w:val="single" w:color="000000" w:sz="4" w:space="0"/>
            </w:tcBorders>
            <w:noWrap/>
            <w:vAlign w:val="center"/>
          </w:tcPr>
          <w:p w14:paraId="039A91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260" w:type="dxa"/>
            <w:tcBorders>
              <w:top w:val="single" w:color="000000" w:sz="4" w:space="0"/>
              <w:left w:val="single" w:color="000000" w:sz="4" w:space="0"/>
              <w:bottom w:val="single" w:color="000000" w:sz="4" w:space="0"/>
              <w:right w:val="single" w:color="auto" w:sz="4" w:space="0"/>
            </w:tcBorders>
            <w:noWrap w:val="0"/>
            <w:vAlign w:val="center"/>
          </w:tcPr>
          <w:p w14:paraId="5BF7FEB9">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0"/>
                <w:szCs w:val="20"/>
                <w:u w:val="none"/>
                <w:lang w:val="en-US" w:eastAsia="zh-CN" w:bidi="ar"/>
              </w:rPr>
              <w:t>航运公司宿舍楼</w:t>
            </w:r>
          </w:p>
        </w:tc>
        <w:tc>
          <w:tcPr>
            <w:tcW w:w="1110" w:type="dxa"/>
            <w:tcBorders>
              <w:top w:val="single" w:color="000000" w:sz="4" w:space="0"/>
              <w:left w:val="single" w:color="auto" w:sz="4" w:space="0"/>
              <w:bottom w:val="single" w:color="000000" w:sz="4" w:space="0"/>
              <w:right w:val="single" w:color="auto" w:sz="4" w:space="0"/>
            </w:tcBorders>
            <w:noWrap w:val="0"/>
            <w:vAlign w:val="center"/>
          </w:tcPr>
          <w:p w14:paraId="5432934A">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5056.87</w:t>
            </w:r>
          </w:p>
        </w:tc>
        <w:tc>
          <w:tcPr>
            <w:tcW w:w="960" w:type="dxa"/>
            <w:tcBorders>
              <w:top w:val="single" w:color="000000" w:sz="4" w:space="0"/>
              <w:left w:val="single" w:color="auto" w:sz="4" w:space="0"/>
              <w:bottom w:val="single" w:color="000000" w:sz="4" w:space="0"/>
              <w:right w:val="single" w:color="auto" w:sz="4" w:space="0"/>
            </w:tcBorders>
            <w:noWrap w:val="0"/>
            <w:vAlign w:val="center"/>
          </w:tcPr>
          <w:p w14:paraId="31778DF6">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489.85 </w:t>
            </w:r>
          </w:p>
        </w:tc>
        <w:tc>
          <w:tcPr>
            <w:tcW w:w="765" w:type="dxa"/>
            <w:tcBorders>
              <w:top w:val="single" w:color="000000" w:sz="4" w:space="0"/>
              <w:left w:val="single" w:color="auto" w:sz="4" w:space="0"/>
              <w:bottom w:val="single" w:color="000000" w:sz="4" w:space="0"/>
              <w:right w:val="single" w:color="auto" w:sz="4" w:space="0"/>
            </w:tcBorders>
            <w:noWrap w:val="0"/>
            <w:vAlign w:val="center"/>
          </w:tcPr>
          <w:p w14:paraId="0C176236">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0.00 </w:t>
            </w:r>
          </w:p>
        </w:tc>
        <w:tc>
          <w:tcPr>
            <w:tcW w:w="720" w:type="dxa"/>
            <w:tcBorders>
              <w:top w:val="single" w:color="000000" w:sz="4" w:space="0"/>
              <w:left w:val="single" w:color="auto" w:sz="4" w:space="0"/>
              <w:bottom w:val="single" w:color="000000" w:sz="4" w:space="0"/>
              <w:right w:val="single" w:color="auto" w:sz="4" w:space="0"/>
            </w:tcBorders>
            <w:noWrap w:val="0"/>
            <w:vAlign w:val="center"/>
          </w:tcPr>
          <w:p w14:paraId="133D6A04">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0.00 </w:t>
            </w:r>
          </w:p>
        </w:tc>
        <w:tc>
          <w:tcPr>
            <w:tcW w:w="855" w:type="dxa"/>
            <w:tcBorders>
              <w:top w:val="single" w:color="000000" w:sz="4" w:space="0"/>
              <w:left w:val="single" w:color="auto" w:sz="4" w:space="0"/>
              <w:bottom w:val="single" w:color="000000" w:sz="4" w:space="0"/>
              <w:right w:val="single" w:color="auto" w:sz="4" w:space="0"/>
            </w:tcBorders>
            <w:noWrap w:val="0"/>
            <w:vAlign w:val="center"/>
          </w:tcPr>
          <w:p w14:paraId="49CF7C71">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67.5</w:t>
            </w:r>
          </w:p>
        </w:tc>
        <w:tc>
          <w:tcPr>
            <w:tcW w:w="1350" w:type="dxa"/>
            <w:tcBorders>
              <w:top w:val="single" w:color="000000" w:sz="4" w:space="0"/>
              <w:left w:val="single" w:color="auto" w:sz="4" w:space="0"/>
              <w:bottom w:val="single" w:color="000000" w:sz="4" w:space="0"/>
              <w:right w:val="single" w:color="auto" w:sz="4" w:space="0"/>
            </w:tcBorders>
            <w:noWrap w:val="0"/>
            <w:vAlign w:val="center"/>
          </w:tcPr>
          <w:p w14:paraId="678B7AE8">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5479.22 </w:t>
            </w:r>
          </w:p>
        </w:tc>
        <w:tc>
          <w:tcPr>
            <w:tcW w:w="1230" w:type="dxa"/>
            <w:tcBorders>
              <w:top w:val="single" w:color="000000" w:sz="4" w:space="0"/>
              <w:left w:val="single" w:color="auto" w:sz="4" w:space="0"/>
              <w:bottom w:val="single" w:color="000000" w:sz="4" w:space="0"/>
              <w:right w:val="single" w:color="000000" w:sz="4" w:space="0"/>
            </w:tcBorders>
            <w:noWrap w:val="0"/>
            <w:vAlign w:val="center"/>
          </w:tcPr>
          <w:p w14:paraId="5B03B4E7">
            <w:pPr>
              <w:widowControl/>
              <w:jc w:val="center"/>
              <w:textAlignment w:val="center"/>
              <w:rPr>
                <w:rFonts w:hint="eastAsia" w:ascii="宋体" w:hAnsi="宋体" w:cs="宋体"/>
                <w:color w:val="000000"/>
                <w:kern w:val="0"/>
                <w:sz w:val="24"/>
                <w:highlight w:val="none"/>
                <w:lang w:val="en-US" w:eastAsia="zh-CN" w:bidi="ar"/>
              </w:rPr>
            </w:pPr>
          </w:p>
        </w:tc>
        <w:tc>
          <w:tcPr>
            <w:tcW w:w="750" w:type="dxa"/>
            <w:tcBorders>
              <w:top w:val="single" w:color="000000" w:sz="4" w:space="0"/>
              <w:left w:val="single" w:color="000000" w:sz="4" w:space="0"/>
              <w:bottom w:val="single" w:color="000000" w:sz="4" w:space="0"/>
              <w:right w:val="single" w:color="auto" w:sz="4" w:space="0"/>
            </w:tcBorders>
            <w:noWrap/>
            <w:vAlign w:val="center"/>
          </w:tcPr>
          <w:p w14:paraId="1FA14E96">
            <w:pPr>
              <w:widowControl/>
              <w:jc w:val="center"/>
              <w:textAlignment w:val="center"/>
              <w:rPr>
                <w:rFonts w:hint="eastAsia" w:ascii="宋体" w:hAnsi="宋体" w:cs="宋体"/>
                <w:color w:val="000000"/>
                <w:kern w:val="0"/>
                <w:sz w:val="24"/>
                <w:highlight w:val="none"/>
                <w:lang w:bidi="ar"/>
              </w:rPr>
            </w:pPr>
          </w:p>
        </w:tc>
        <w:tc>
          <w:tcPr>
            <w:tcW w:w="675" w:type="dxa"/>
            <w:tcBorders>
              <w:top w:val="single" w:color="000000" w:sz="4" w:space="0"/>
              <w:left w:val="single" w:color="auto" w:sz="4" w:space="0"/>
              <w:bottom w:val="single" w:color="000000" w:sz="4" w:space="0"/>
              <w:right w:val="single" w:color="000000" w:sz="4" w:space="0"/>
            </w:tcBorders>
            <w:noWrap/>
            <w:vAlign w:val="center"/>
          </w:tcPr>
          <w:p w14:paraId="0BE227E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53095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735" w:type="dxa"/>
            <w:tcBorders>
              <w:top w:val="single" w:color="000000" w:sz="4" w:space="0"/>
              <w:left w:val="single" w:color="000000" w:sz="4" w:space="0"/>
              <w:bottom w:val="single" w:color="000000" w:sz="4" w:space="0"/>
              <w:right w:val="single" w:color="000000" w:sz="4" w:space="0"/>
            </w:tcBorders>
            <w:noWrap/>
            <w:vAlign w:val="center"/>
          </w:tcPr>
          <w:p w14:paraId="0E727B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260" w:type="dxa"/>
            <w:tcBorders>
              <w:top w:val="single" w:color="000000" w:sz="4" w:space="0"/>
              <w:left w:val="single" w:color="000000" w:sz="4" w:space="0"/>
              <w:bottom w:val="single" w:color="000000" w:sz="4" w:space="0"/>
              <w:right w:val="single" w:color="auto" w:sz="4" w:space="0"/>
            </w:tcBorders>
            <w:noWrap w:val="0"/>
            <w:vAlign w:val="center"/>
          </w:tcPr>
          <w:p w14:paraId="02ACA914">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0"/>
                <w:szCs w:val="20"/>
                <w:u w:val="none"/>
                <w:lang w:val="en-US" w:eastAsia="zh-CN" w:bidi="ar"/>
              </w:rPr>
              <w:t>盐业公司东</w:t>
            </w:r>
          </w:p>
        </w:tc>
        <w:tc>
          <w:tcPr>
            <w:tcW w:w="1110" w:type="dxa"/>
            <w:tcBorders>
              <w:top w:val="single" w:color="000000" w:sz="4" w:space="0"/>
              <w:left w:val="single" w:color="auto" w:sz="4" w:space="0"/>
              <w:bottom w:val="single" w:color="000000" w:sz="4" w:space="0"/>
              <w:right w:val="single" w:color="auto" w:sz="4" w:space="0"/>
            </w:tcBorders>
            <w:noWrap w:val="0"/>
            <w:vAlign w:val="center"/>
          </w:tcPr>
          <w:p w14:paraId="49BF6064">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2128.00 </w:t>
            </w:r>
          </w:p>
        </w:tc>
        <w:tc>
          <w:tcPr>
            <w:tcW w:w="960" w:type="dxa"/>
            <w:tcBorders>
              <w:top w:val="single" w:color="000000" w:sz="4" w:space="0"/>
              <w:left w:val="single" w:color="auto" w:sz="4" w:space="0"/>
              <w:bottom w:val="single" w:color="000000" w:sz="4" w:space="0"/>
              <w:right w:val="single" w:color="auto" w:sz="4" w:space="0"/>
            </w:tcBorders>
            <w:noWrap w:val="0"/>
            <w:vAlign w:val="center"/>
          </w:tcPr>
          <w:p w14:paraId="75967D39">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490.00 </w:t>
            </w:r>
          </w:p>
        </w:tc>
        <w:tc>
          <w:tcPr>
            <w:tcW w:w="765" w:type="dxa"/>
            <w:tcBorders>
              <w:top w:val="single" w:color="000000" w:sz="4" w:space="0"/>
              <w:left w:val="single" w:color="auto" w:sz="4" w:space="0"/>
              <w:bottom w:val="single" w:color="000000" w:sz="4" w:space="0"/>
              <w:right w:val="single" w:color="auto" w:sz="4" w:space="0"/>
            </w:tcBorders>
            <w:noWrap w:val="0"/>
            <w:vAlign w:val="center"/>
          </w:tcPr>
          <w:p w14:paraId="25D9C1DF">
            <w:pPr>
              <w:keepNext w:val="0"/>
              <w:keepLines w:val="0"/>
              <w:widowControl/>
              <w:suppressLineNumbers w:val="0"/>
              <w:jc w:val="center"/>
              <w:textAlignment w:val="center"/>
              <w:rPr>
                <w:rFonts w:hint="eastAsia" w:ascii="宋体" w:hAnsi="宋体" w:cs="宋体"/>
                <w:color w:val="000000"/>
                <w:kern w:val="0"/>
                <w:sz w:val="24"/>
                <w:highlight w:val="none"/>
                <w:lang w:bidi="ar"/>
              </w:rPr>
            </w:pPr>
            <w:r>
              <w:rPr>
                <w:rFonts w:hint="eastAsia" w:ascii="宋体" w:hAnsi="宋体" w:eastAsia="宋体" w:cs="宋体"/>
                <w:i w:val="0"/>
                <w:iCs w:val="0"/>
                <w:color w:val="000000"/>
                <w:kern w:val="0"/>
                <w:sz w:val="24"/>
                <w:szCs w:val="24"/>
                <w:u w:val="none"/>
                <w:lang w:val="en-US" w:eastAsia="zh-CN" w:bidi="ar"/>
              </w:rPr>
              <w:t xml:space="preserve">425.60 </w:t>
            </w:r>
          </w:p>
        </w:tc>
        <w:tc>
          <w:tcPr>
            <w:tcW w:w="720" w:type="dxa"/>
            <w:tcBorders>
              <w:top w:val="single" w:color="000000" w:sz="4" w:space="0"/>
              <w:left w:val="single" w:color="auto" w:sz="4" w:space="0"/>
              <w:bottom w:val="single" w:color="000000" w:sz="4" w:space="0"/>
              <w:right w:val="single" w:color="auto" w:sz="4" w:space="0"/>
            </w:tcBorders>
            <w:noWrap w:val="0"/>
            <w:vAlign w:val="center"/>
          </w:tcPr>
          <w:p w14:paraId="2B05EB61">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0.00 </w:t>
            </w:r>
          </w:p>
        </w:tc>
        <w:tc>
          <w:tcPr>
            <w:tcW w:w="855" w:type="dxa"/>
            <w:tcBorders>
              <w:top w:val="single" w:color="000000" w:sz="4" w:space="0"/>
              <w:left w:val="single" w:color="auto" w:sz="4" w:space="0"/>
              <w:bottom w:val="single" w:color="000000" w:sz="4" w:space="0"/>
              <w:right w:val="single" w:color="auto" w:sz="4" w:space="0"/>
            </w:tcBorders>
            <w:noWrap w:val="0"/>
            <w:vAlign w:val="center"/>
          </w:tcPr>
          <w:p w14:paraId="5EACE280">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45.5</w:t>
            </w:r>
          </w:p>
        </w:tc>
        <w:tc>
          <w:tcPr>
            <w:tcW w:w="1350" w:type="dxa"/>
            <w:tcBorders>
              <w:top w:val="single" w:color="000000" w:sz="4" w:space="0"/>
              <w:left w:val="single" w:color="auto" w:sz="4" w:space="0"/>
              <w:bottom w:val="single" w:color="000000" w:sz="4" w:space="0"/>
              <w:right w:val="single" w:color="auto" w:sz="4" w:space="0"/>
            </w:tcBorders>
            <w:noWrap w:val="0"/>
            <w:vAlign w:val="center"/>
          </w:tcPr>
          <w:p w14:paraId="24BBD848">
            <w:pPr>
              <w:keepNext w:val="0"/>
              <w:keepLines w:val="0"/>
              <w:widowControl/>
              <w:suppressLineNumbers w:val="0"/>
              <w:jc w:val="center"/>
              <w:textAlignment w:val="center"/>
              <w:rPr>
                <w:rFonts w:hint="eastAsia" w:ascii="宋体" w:hAnsi="宋体" w:cs="宋体"/>
                <w:color w:val="000000"/>
                <w:kern w:val="0"/>
                <w:sz w:val="24"/>
                <w:highlight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2998.10 </w:t>
            </w:r>
          </w:p>
        </w:tc>
        <w:tc>
          <w:tcPr>
            <w:tcW w:w="1230" w:type="dxa"/>
            <w:tcBorders>
              <w:top w:val="single" w:color="000000" w:sz="4" w:space="0"/>
              <w:left w:val="single" w:color="auto" w:sz="4" w:space="0"/>
              <w:bottom w:val="single" w:color="000000" w:sz="4" w:space="0"/>
              <w:right w:val="single" w:color="000000" w:sz="4" w:space="0"/>
            </w:tcBorders>
            <w:noWrap w:val="0"/>
            <w:vAlign w:val="center"/>
          </w:tcPr>
          <w:p w14:paraId="3B8EB9A1">
            <w:pPr>
              <w:widowControl/>
              <w:jc w:val="center"/>
              <w:textAlignment w:val="center"/>
              <w:rPr>
                <w:rFonts w:hint="eastAsia" w:ascii="宋体" w:hAnsi="宋体" w:cs="宋体"/>
                <w:color w:val="000000"/>
                <w:kern w:val="0"/>
                <w:sz w:val="24"/>
                <w:highlight w:val="none"/>
                <w:lang w:val="en-US" w:eastAsia="zh-CN" w:bidi="ar"/>
              </w:rPr>
            </w:pPr>
          </w:p>
        </w:tc>
        <w:tc>
          <w:tcPr>
            <w:tcW w:w="750" w:type="dxa"/>
            <w:tcBorders>
              <w:top w:val="single" w:color="000000" w:sz="4" w:space="0"/>
              <w:left w:val="single" w:color="000000" w:sz="4" w:space="0"/>
              <w:bottom w:val="single" w:color="000000" w:sz="4" w:space="0"/>
              <w:right w:val="single" w:color="auto" w:sz="4" w:space="0"/>
            </w:tcBorders>
            <w:noWrap/>
            <w:vAlign w:val="center"/>
          </w:tcPr>
          <w:p w14:paraId="0EEAE971">
            <w:pPr>
              <w:widowControl/>
              <w:jc w:val="center"/>
              <w:textAlignment w:val="center"/>
              <w:rPr>
                <w:rFonts w:hint="eastAsia" w:ascii="宋体" w:hAnsi="宋体" w:cs="宋体"/>
                <w:color w:val="000000"/>
                <w:kern w:val="0"/>
                <w:sz w:val="24"/>
                <w:highlight w:val="none"/>
                <w:lang w:bidi="ar"/>
              </w:rPr>
            </w:pPr>
          </w:p>
        </w:tc>
        <w:tc>
          <w:tcPr>
            <w:tcW w:w="675" w:type="dxa"/>
            <w:tcBorders>
              <w:top w:val="single" w:color="000000" w:sz="4" w:space="0"/>
              <w:left w:val="single" w:color="auto" w:sz="4" w:space="0"/>
              <w:bottom w:val="single" w:color="000000" w:sz="4" w:space="0"/>
              <w:right w:val="single" w:color="000000" w:sz="4" w:space="0"/>
            </w:tcBorders>
            <w:noWrap/>
            <w:vAlign w:val="center"/>
          </w:tcPr>
          <w:p w14:paraId="3DFDE22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0246A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0410" w:type="dxa"/>
            <w:gridSpan w:val="11"/>
            <w:tcBorders>
              <w:top w:val="single" w:color="000000" w:sz="4" w:space="0"/>
              <w:left w:val="single" w:color="000000" w:sz="4" w:space="0"/>
              <w:bottom w:val="single" w:color="000000" w:sz="4" w:space="0"/>
              <w:right w:val="single" w:color="000000" w:sz="4" w:space="0"/>
            </w:tcBorders>
            <w:noWrap/>
            <w:vAlign w:val="center"/>
          </w:tcPr>
          <w:p w14:paraId="3CC5995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合计（大写）：                  小写：</w:t>
            </w:r>
          </w:p>
        </w:tc>
      </w:tr>
    </w:tbl>
    <w:p w14:paraId="6ADDFD0A">
      <w:pPr>
        <w:jc w:val="both"/>
        <w:rPr>
          <w:rFonts w:hint="eastAsia" w:ascii="宋体" w:hAnsi="宋体"/>
          <w:b/>
          <w:bCs/>
          <w:sz w:val="24"/>
          <w:szCs w:val="24"/>
        </w:rPr>
      </w:pPr>
    </w:p>
    <w:p w14:paraId="798D3C17">
      <w:pPr>
        <w:jc w:val="right"/>
        <w:rPr>
          <w:rFonts w:hint="eastAsia" w:ascii="宋体" w:hAnsi="宋体"/>
          <w:b/>
          <w:bCs/>
          <w:sz w:val="24"/>
          <w:szCs w:val="24"/>
        </w:rPr>
      </w:pPr>
    </w:p>
    <w:p w14:paraId="7254323B">
      <w:pPr>
        <w:jc w:val="right"/>
        <w:rPr>
          <w:rFonts w:hint="eastAsia" w:ascii="宋体" w:hAnsi="宋体"/>
          <w:sz w:val="24"/>
          <w:szCs w:val="24"/>
        </w:rPr>
      </w:pPr>
      <w:r>
        <w:rPr>
          <w:rFonts w:hint="eastAsia" w:ascii="宋体" w:hAnsi="宋体"/>
          <w:b/>
          <w:bCs/>
          <w:sz w:val="24"/>
          <w:szCs w:val="24"/>
        </w:rPr>
        <w:t>投标人全称（</w:t>
      </w:r>
      <w:r>
        <w:rPr>
          <w:rFonts w:hint="eastAsia" w:ascii="宋体" w:hAnsi="宋体"/>
          <w:b/>
          <w:bCs/>
          <w:color w:val="000000"/>
          <w:sz w:val="24"/>
          <w:szCs w:val="24"/>
        </w:rPr>
        <w:t>加盖CA电子签章</w:t>
      </w:r>
      <w:r>
        <w:rPr>
          <w:rFonts w:hint="eastAsia" w:ascii="宋体" w:hAnsi="宋体"/>
          <w:b/>
          <w:bCs/>
          <w:sz w:val="24"/>
          <w:szCs w:val="24"/>
        </w:rPr>
        <w:t>）：</w:t>
      </w:r>
    </w:p>
    <w:p w14:paraId="3BDC9458">
      <w:pPr>
        <w:pStyle w:val="42"/>
        <w:numPr>
          <w:ilvl w:val="0"/>
          <w:numId w:val="0"/>
        </w:numPr>
        <w:jc w:val="center"/>
        <w:rPr>
          <w:rFonts w:hint="eastAsia" w:ascii="宋体" w:hAnsi="宋体" w:cs="宋体"/>
          <w:color w:val="auto"/>
          <w:sz w:val="28"/>
          <w:szCs w:val="28"/>
          <w:highlight w:val="none"/>
          <w:lang w:val="en-US" w:eastAsia="zh-CN"/>
        </w:rPr>
      </w:pPr>
    </w:p>
    <w:p w14:paraId="12A00626">
      <w:pPr>
        <w:pStyle w:val="41"/>
        <w:ind w:firstLine="0" w:firstLineChars="0"/>
        <w:jc w:val="center"/>
        <w:rPr>
          <w:rFonts w:hint="eastAsia" w:ascii="宋体" w:hAnsi="宋体" w:eastAsia="宋体" w:cs="宋体"/>
          <w:b w:val="0"/>
          <w:bCs w:val="0"/>
          <w:color w:val="auto"/>
          <w:sz w:val="21"/>
          <w:szCs w:val="21"/>
          <w:lang w:val="en-US" w:eastAsia="zh-CN"/>
        </w:rPr>
      </w:pPr>
    </w:p>
    <w:p w14:paraId="5034BAD8">
      <w:pPr>
        <w:spacing w:line="300" w:lineRule="exact"/>
        <w:ind w:firstLine="420" w:firstLineChars="200"/>
        <w:rPr>
          <w:rFonts w:hint="eastAsia" w:ascii="宋体" w:hAnsi="宋体"/>
          <w:szCs w:val="21"/>
          <w:highlight w:val="none"/>
        </w:rPr>
      </w:pPr>
      <w:r>
        <w:rPr>
          <w:rFonts w:hint="eastAsia" w:ascii="宋体" w:hAnsi="宋体"/>
          <w:szCs w:val="21"/>
          <w:highlight w:val="none"/>
        </w:rPr>
        <w:t>注：1、 本次采购按全费用</w:t>
      </w:r>
      <w:r>
        <w:rPr>
          <w:rFonts w:hint="eastAsia" w:ascii="宋体" w:hAnsi="宋体"/>
          <w:szCs w:val="21"/>
          <w:highlight w:val="none"/>
          <w:lang w:eastAsia="zh-CN"/>
        </w:rPr>
        <w:t>固定综合单价</w:t>
      </w:r>
      <w:r>
        <w:rPr>
          <w:rFonts w:hint="eastAsia" w:ascii="宋体" w:hAnsi="宋体"/>
          <w:szCs w:val="21"/>
          <w:highlight w:val="none"/>
        </w:rPr>
        <w:t>报价方式报价（投标</w:t>
      </w:r>
      <w:r>
        <w:rPr>
          <w:rFonts w:hint="eastAsia" w:ascii="宋体" w:hAnsi="宋体"/>
          <w:szCs w:val="21"/>
          <w:highlight w:val="none"/>
          <w:lang w:eastAsia="zh-CN"/>
        </w:rPr>
        <w:t>总价</w:t>
      </w:r>
      <w:r>
        <w:rPr>
          <w:rFonts w:hint="eastAsia" w:ascii="宋体" w:hAnsi="宋体"/>
          <w:szCs w:val="21"/>
          <w:highlight w:val="none"/>
        </w:rPr>
        <w:t>不随市场和国家政策性文件调整而调整）；</w:t>
      </w:r>
    </w:p>
    <w:p w14:paraId="0CFDD845">
      <w:pPr>
        <w:spacing w:line="300" w:lineRule="exact"/>
        <w:ind w:firstLine="420" w:firstLineChars="200"/>
        <w:rPr>
          <w:rFonts w:hint="eastAsia" w:ascii="宋体" w:hAnsi="宋体"/>
          <w:szCs w:val="21"/>
          <w:highlight w:val="none"/>
        </w:rPr>
      </w:pPr>
      <w:r>
        <w:rPr>
          <w:rFonts w:hint="eastAsia" w:ascii="宋体" w:hAnsi="宋体"/>
          <w:szCs w:val="21"/>
          <w:highlight w:val="none"/>
        </w:rPr>
        <w:t>2、 报价中要求包括本次采购的所有费用。报价应包括投标人为完成本次招标文件所确定的招标内容，以及投标人为完成上述内容所必须的技术支持以及劳务、机械投入、仪器设备投入、运输、维护、保险、利润、税金、代理费、管理费、政策性文件规定的各项所需的全部费用、不可预见费及其它一切相关费用。</w:t>
      </w:r>
    </w:p>
    <w:p w14:paraId="044B904F">
      <w:pPr>
        <w:spacing w:line="300" w:lineRule="exact"/>
        <w:ind w:firstLine="420" w:firstLineChars="200"/>
        <w:rPr>
          <w:rFonts w:hint="eastAsia" w:ascii="宋体" w:hAnsi="宋体"/>
          <w:szCs w:val="21"/>
          <w:highlight w:val="none"/>
        </w:rPr>
      </w:pPr>
      <w:r>
        <w:rPr>
          <w:rFonts w:hint="eastAsia" w:ascii="宋体" w:hAnsi="宋体"/>
          <w:szCs w:val="21"/>
          <w:highlight w:val="none"/>
        </w:rPr>
        <w:t>投标人按招标文件要求的服务范围，结合自身实力并充分考虑实际所需进行自主报价。</w:t>
      </w:r>
    </w:p>
    <w:p w14:paraId="1FA3DE2D">
      <w:pPr>
        <w:spacing w:line="360" w:lineRule="exact"/>
        <w:ind w:firstLine="420" w:firstLineChars="200"/>
        <w:rPr>
          <w:rFonts w:hint="eastAsia" w:ascii="宋体" w:hAnsi="宋体"/>
          <w:szCs w:val="21"/>
          <w:highlight w:val="none"/>
        </w:rPr>
      </w:pPr>
      <w:r>
        <w:rPr>
          <w:rFonts w:hint="eastAsia" w:ascii="宋体" w:hAnsi="宋体"/>
          <w:szCs w:val="21"/>
          <w:highlight w:val="none"/>
        </w:rPr>
        <w:t>3、资金结算以结算时核定的实际服务数量为准。</w:t>
      </w:r>
    </w:p>
    <w:p w14:paraId="2F0BB6FF">
      <w:pPr>
        <w:pStyle w:val="17"/>
        <w:spacing w:beforeAutospacing="0" w:afterAutospacing="0"/>
        <w:jc w:val="center"/>
        <w:rPr>
          <w:rFonts w:hint="eastAsia" w:ascii="黑体" w:hAnsi="黑体" w:eastAsia="黑体"/>
          <w:b/>
          <w:color w:val="000000"/>
          <w:sz w:val="32"/>
          <w:szCs w:val="32"/>
          <w:lang w:val="en-US" w:eastAsia="zh-CN"/>
        </w:rPr>
      </w:pPr>
    </w:p>
    <w:p w14:paraId="56AE6FAA">
      <w:pPr>
        <w:pStyle w:val="17"/>
        <w:spacing w:beforeAutospacing="0" w:afterAutospacing="0"/>
        <w:jc w:val="center"/>
        <w:rPr>
          <w:rFonts w:hint="eastAsia" w:ascii="黑体" w:hAnsi="黑体" w:eastAsia="黑体"/>
          <w:b/>
          <w:color w:val="000000"/>
          <w:sz w:val="32"/>
          <w:szCs w:val="32"/>
          <w:lang w:val="en-US" w:eastAsia="zh-CN"/>
        </w:rPr>
      </w:pPr>
    </w:p>
    <w:p w14:paraId="01FA6582">
      <w:pPr>
        <w:pStyle w:val="17"/>
        <w:spacing w:beforeAutospacing="0" w:afterAutospacing="0"/>
        <w:jc w:val="center"/>
        <w:rPr>
          <w:rFonts w:hint="eastAsia" w:ascii="黑体" w:hAnsi="黑体" w:eastAsia="黑体"/>
          <w:b/>
          <w:color w:val="000000"/>
          <w:sz w:val="32"/>
          <w:szCs w:val="32"/>
          <w:lang w:val="en-US" w:eastAsia="zh-CN"/>
        </w:rPr>
      </w:pPr>
    </w:p>
    <w:p w14:paraId="379BDA4F">
      <w:pPr>
        <w:pStyle w:val="17"/>
        <w:spacing w:beforeAutospacing="0" w:afterAutospacing="0"/>
        <w:jc w:val="center"/>
        <w:rPr>
          <w:rFonts w:hint="eastAsia" w:ascii="黑体" w:hAnsi="黑体" w:eastAsia="黑体"/>
          <w:b/>
          <w:color w:val="000000"/>
          <w:sz w:val="32"/>
          <w:szCs w:val="32"/>
          <w:lang w:val="en-US" w:eastAsia="zh-CN"/>
        </w:rPr>
      </w:pPr>
    </w:p>
    <w:p w14:paraId="335BE7B7">
      <w:pPr>
        <w:pStyle w:val="17"/>
        <w:spacing w:beforeAutospacing="0" w:afterAutospacing="0"/>
        <w:jc w:val="center"/>
        <w:rPr>
          <w:rFonts w:hint="eastAsia" w:ascii="黑体" w:hAnsi="黑体" w:eastAsia="黑体"/>
          <w:b/>
          <w:color w:val="000000"/>
          <w:sz w:val="32"/>
          <w:szCs w:val="32"/>
          <w:lang w:val="en-US" w:eastAsia="zh-CN"/>
        </w:rPr>
      </w:pPr>
    </w:p>
    <w:p w14:paraId="00120BF4">
      <w:pPr>
        <w:pStyle w:val="17"/>
        <w:spacing w:beforeAutospacing="0" w:afterAutospacing="0"/>
        <w:jc w:val="center"/>
        <w:rPr>
          <w:rFonts w:hint="eastAsia" w:ascii="黑体" w:hAnsi="黑体" w:eastAsia="黑体"/>
          <w:b/>
          <w:color w:val="000000"/>
          <w:sz w:val="32"/>
          <w:szCs w:val="32"/>
          <w:lang w:val="en-US" w:eastAsia="zh-CN"/>
        </w:rPr>
      </w:pPr>
    </w:p>
    <w:p w14:paraId="5CD0F979">
      <w:pPr>
        <w:pStyle w:val="17"/>
        <w:spacing w:beforeAutospacing="0" w:afterAutospacing="0"/>
        <w:jc w:val="center"/>
        <w:rPr>
          <w:rFonts w:hint="eastAsia" w:ascii="黑体" w:hAnsi="黑体" w:eastAsia="黑体"/>
          <w:b/>
          <w:color w:val="000000"/>
          <w:sz w:val="32"/>
          <w:szCs w:val="32"/>
          <w:lang w:val="en-US" w:eastAsia="zh-CN"/>
        </w:rPr>
      </w:pPr>
    </w:p>
    <w:p w14:paraId="4AACAAB7">
      <w:pPr>
        <w:pStyle w:val="17"/>
        <w:spacing w:beforeAutospacing="0" w:afterAutospacing="0"/>
        <w:jc w:val="center"/>
        <w:rPr>
          <w:rFonts w:hint="eastAsia" w:ascii="黑体" w:hAnsi="黑体" w:eastAsia="黑体"/>
          <w:b/>
          <w:color w:val="000000"/>
          <w:sz w:val="32"/>
          <w:szCs w:val="32"/>
          <w:lang w:val="en-US" w:eastAsia="zh-CN"/>
        </w:rPr>
      </w:pPr>
    </w:p>
    <w:p w14:paraId="76B7BC5C">
      <w:pPr>
        <w:pStyle w:val="17"/>
        <w:spacing w:beforeAutospacing="0" w:afterAutospacing="0"/>
        <w:jc w:val="center"/>
        <w:rPr>
          <w:rFonts w:hint="eastAsia" w:ascii="黑体" w:hAnsi="黑体" w:eastAsia="黑体"/>
          <w:b/>
          <w:color w:val="000000"/>
          <w:sz w:val="32"/>
          <w:szCs w:val="32"/>
          <w:lang w:val="en-US" w:eastAsia="zh-CN"/>
        </w:rPr>
      </w:pPr>
    </w:p>
    <w:p w14:paraId="0E998973">
      <w:pPr>
        <w:pStyle w:val="17"/>
        <w:spacing w:beforeAutospacing="0" w:afterAutospacing="0"/>
        <w:jc w:val="center"/>
        <w:rPr>
          <w:rFonts w:hint="eastAsia" w:ascii="黑体" w:hAnsi="黑体" w:eastAsia="黑体"/>
          <w:b/>
          <w:color w:val="000000"/>
          <w:sz w:val="32"/>
          <w:szCs w:val="32"/>
          <w:lang w:val="en-US" w:eastAsia="zh-CN"/>
        </w:rPr>
      </w:pPr>
    </w:p>
    <w:p w14:paraId="3EB2926D">
      <w:pPr>
        <w:pStyle w:val="17"/>
        <w:spacing w:beforeAutospacing="0" w:afterAutospacing="0"/>
        <w:jc w:val="center"/>
        <w:rPr>
          <w:rFonts w:hint="eastAsia" w:ascii="黑体" w:hAnsi="黑体" w:eastAsia="黑体"/>
          <w:b/>
          <w:color w:val="000000"/>
          <w:sz w:val="32"/>
          <w:szCs w:val="32"/>
          <w:lang w:val="en-US" w:eastAsia="zh-CN"/>
        </w:rPr>
      </w:pPr>
    </w:p>
    <w:p w14:paraId="4A14C920">
      <w:pPr>
        <w:pStyle w:val="17"/>
        <w:spacing w:beforeAutospacing="0" w:afterAutospacing="0"/>
        <w:jc w:val="center"/>
        <w:rPr>
          <w:rFonts w:hint="eastAsia" w:ascii="黑体" w:hAnsi="黑体" w:eastAsia="黑体"/>
          <w:b/>
          <w:color w:val="000000"/>
          <w:sz w:val="32"/>
          <w:szCs w:val="32"/>
          <w:lang w:val="en-US" w:eastAsia="zh-CN"/>
        </w:rPr>
      </w:pPr>
    </w:p>
    <w:p w14:paraId="1F40B5CB">
      <w:pPr>
        <w:pStyle w:val="17"/>
        <w:spacing w:beforeAutospacing="0" w:afterAutospacing="0"/>
        <w:jc w:val="center"/>
        <w:rPr>
          <w:rFonts w:hint="eastAsia" w:ascii="黑体" w:hAnsi="黑体" w:eastAsia="黑体"/>
          <w:b/>
          <w:color w:val="000000"/>
          <w:sz w:val="32"/>
          <w:szCs w:val="32"/>
          <w:lang w:val="en-US" w:eastAsia="zh-CN"/>
        </w:rPr>
      </w:pPr>
    </w:p>
    <w:p w14:paraId="453B339E">
      <w:pPr>
        <w:pStyle w:val="17"/>
        <w:spacing w:beforeAutospacing="0" w:afterAutospacing="0"/>
        <w:jc w:val="center"/>
        <w:rPr>
          <w:rFonts w:hint="eastAsia" w:ascii="黑体" w:hAnsi="黑体" w:eastAsia="黑体"/>
          <w:b/>
          <w:color w:val="000000"/>
          <w:sz w:val="32"/>
          <w:szCs w:val="32"/>
          <w:lang w:val="en-US" w:eastAsia="zh-CN"/>
        </w:rPr>
      </w:pPr>
    </w:p>
    <w:p w14:paraId="786F0EBA">
      <w:pPr>
        <w:pStyle w:val="17"/>
        <w:spacing w:beforeAutospacing="0" w:afterAutospacing="0"/>
        <w:jc w:val="center"/>
        <w:rPr>
          <w:rFonts w:hint="eastAsia" w:ascii="黑体" w:hAnsi="黑体" w:eastAsia="黑体"/>
          <w:b/>
          <w:color w:val="000000"/>
          <w:sz w:val="32"/>
          <w:szCs w:val="32"/>
          <w:lang w:val="en-US" w:eastAsia="zh-CN"/>
        </w:rPr>
      </w:pPr>
    </w:p>
    <w:p w14:paraId="4E005370">
      <w:pPr>
        <w:pStyle w:val="17"/>
        <w:spacing w:beforeAutospacing="0" w:afterAutospacing="0"/>
        <w:jc w:val="center"/>
        <w:rPr>
          <w:rFonts w:hint="eastAsia" w:ascii="黑体" w:hAnsi="黑体" w:eastAsia="黑体"/>
          <w:b/>
          <w:color w:val="000000"/>
          <w:sz w:val="32"/>
          <w:szCs w:val="32"/>
          <w:lang w:val="en-US" w:eastAsia="zh-CN"/>
        </w:rPr>
      </w:pPr>
    </w:p>
    <w:p w14:paraId="0193B2F2">
      <w:pPr>
        <w:pStyle w:val="17"/>
        <w:spacing w:beforeAutospacing="0" w:afterAutospacing="0"/>
        <w:jc w:val="center"/>
        <w:rPr>
          <w:rFonts w:hint="eastAsia" w:ascii="黑体" w:hAnsi="黑体" w:eastAsia="黑体"/>
          <w:b/>
          <w:color w:val="000000"/>
          <w:sz w:val="32"/>
          <w:szCs w:val="32"/>
          <w:lang w:val="en-US" w:eastAsia="zh-CN"/>
        </w:rPr>
      </w:pPr>
    </w:p>
    <w:p w14:paraId="77630021">
      <w:pPr>
        <w:pStyle w:val="17"/>
        <w:spacing w:beforeAutospacing="0" w:afterAutospacing="0"/>
        <w:jc w:val="center"/>
        <w:rPr>
          <w:rFonts w:hint="eastAsia" w:ascii="黑体" w:hAnsi="黑体" w:eastAsia="黑体"/>
          <w:b/>
          <w:color w:val="000000"/>
          <w:sz w:val="32"/>
          <w:szCs w:val="32"/>
          <w:lang w:val="en-US" w:eastAsia="zh-CN"/>
        </w:rPr>
      </w:pPr>
    </w:p>
    <w:p w14:paraId="3E8EC316">
      <w:pPr>
        <w:pStyle w:val="17"/>
        <w:spacing w:beforeAutospacing="0" w:afterAutospacing="0"/>
        <w:jc w:val="center"/>
        <w:rPr>
          <w:rFonts w:hint="eastAsia" w:ascii="黑体" w:hAnsi="黑体" w:eastAsia="黑体"/>
          <w:b/>
          <w:color w:val="000000"/>
          <w:sz w:val="32"/>
          <w:szCs w:val="32"/>
          <w:lang w:val="en-US" w:eastAsia="zh-CN"/>
        </w:rPr>
      </w:pPr>
    </w:p>
    <w:p w14:paraId="2BD5D785">
      <w:pPr>
        <w:pStyle w:val="17"/>
        <w:spacing w:beforeAutospacing="0" w:afterAutospacing="0"/>
        <w:jc w:val="center"/>
        <w:rPr>
          <w:rFonts w:hint="eastAsia" w:ascii="黑体" w:hAnsi="黑体" w:eastAsia="黑体"/>
          <w:b/>
          <w:color w:val="000000"/>
          <w:sz w:val="32"/>
          <w:szCs w:val="32"/>
          <w:lang w:val="en-US" w:eastAsia="zh-CN"/>
        </w:rPr>
      </w:pPr>
    </w:p>
    <w:p w14:paraId="1A1626C0">
      <w:pPr>
        <w:pStyle w:val="17"/>
        <w:spacing w:beforeAutospacing="0" w:afterAutospacing="0"/>
        <w:jc w:val="center"/>
        <w:rPr>
          <w:rFonts w:hint="eastAsia" w:ascii="黑体" w:hAnsi="黑体" w:eastAsia="黑体"/>
          <w:b/>
          <w:color w:val="000000"/>
          <w:sz w:val="32"/>
          <w:szCs w:val="32"/>
          <w:lang w:val="en-US" w:eastAsia="zh-CN"/>
        </w:rPr>
      </w:pPr>
    </w:p>
    <w:p w14:paraId="4E8BEE14">
      <w:pPr>
        <w:pStyle w:val="17"/>
        <w:spacing w:beforeAutospacing="0" w:afterAutospacing="0"/>
        <w:jc w:val="center"/>
      </w:pPr>
      <w:r>
        <w:rPr>
          <w:rFonts w:hint="eastAsia" w:ascii="黑体" w:hAnsi="宋体" w:eastAsia="黑体" w:cs="黑体"/>
          <w:b/>
          <w:color w:val="000000"/>
          <w:sz w:val="32"/>
          <w:szCs w:val="32"/>
        </w:rPr>
        <w:t>十一、 </w:t>
      </w:r>
      <w:bookmarkStart w:id="189" w:name="_Hlt26955054"/>
      <w:r>
        <w:rPr>
          <w:rFonts w:hint="eastAsia" w:ascii="黑体" w:hAnsi="宋体" w:eastAsia="黑体" w:cs="黑体"/>
          <w:b/>
          <w:color w:val="000000"/>
          <w:sz w:val="32"/>
          <w:szCs w:val="32"/>
        </w:rPr>
        <w:t>商务要求响应及偏离表</w:t>
      </w:r>
    </w:p>
    <w:tbl>
      <w:tblPr>
        <w:tblStyle w:val="24"/>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F7CEEBA">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4BC62">
            <w:pPr>
              <w:pStyle w:val="17"/>
              <w:spacing w:beforeAutospacing="0" w:afterAutospacing="0"/>
              <w:jc w:val="center"/>
            </w:pPr>
            <w:bookmarkStart w:id="190" w:name="_Hlt26955056"/>
            <w:bookmarkStart w:id="191" w:name="_Hlt24879081"/>
            <w:bookmarkStart w:id="192" w:name="_Hlt26609391"/>
            <w:bookmarkStart w:id="193" w:name="_Hlt26671343"/>
            <w:bookmarkStart w:id="194" w:name="_Hlt26782999"/>
            <w:bookmarkStart w:id="195" w:name="_Hlt26671372"/>
            <w:bookmarkStart w:id="196" w:name="_Hlt26955064"/>
            <w:bookmarkStart w:id="197" w:name="_Hlt26580838"/>
            <w:r>
              <w:rPr>
                <w:rFonts w:hint="eastAsia" w:ascii="宋体" w:hAnsi="宋体" w:eastAsia="宋体" w:cs="宋体"/>
                <w:color w:val="000000"/>
              </w:rPr>
              <w:t>序号</w:t>
            </w:r>
          </w:p>
          <w:bookmarkEnd w:id="190"/>
          <w:bookmarkEnd w:id="191"/>
          <w:bookmarkEnd w:id="192"/>
          <w:bookmarkEnd w:id="193"/>
          <w:bookmarkEnd w:id="194"/>
          <w:bookmarkEnd w:id="195"/>
          <w:bookmarkEnd w:id="196"/>
          <w:bookmarkEnd w:id="197"/>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98324">
            <w:pPr>
              <w:pStyle w:val="17"/>
              <w:spacing w:beforeAutospacing="0" w:afterAutospacing="0"/>
              <w:jc w:val="center"/>
            </w:pPr>
            <w:r>
              <w:rPr>
                <w:rFonts w:hint="eastAsia" w:ascii="宋体" w:hAnsi="宋体" w:eastAsia="宋体"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246E0">
            <w:pPr>
              <w:pStyle w:val="17"/>
              <w:spacing w:beforeAutospacing="0" w:afterAutospacing="0"/>
              <w:jc w:val="center"/>
            </w:pPr>
            <w:r>
              <w:rPr>
                <w:rFonts w:hint="eastAsia" w:ascii="宋体" w:hAnsi="宋体" w:eastAsia="宋体"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C7759">
            <w:pPr>
              <w:pStyle w:val="17"/>
              <w:spacing w:beforeAutospacing="0" w:afterAutospacing="0"/>
              <w:jc w:val="center"/>
            </w:pPr>
            <w:r>
              <w:rPr>
                <w:rFonts w:hint="eastAsia" w:ascii="宋体" w:hAnsi="宋体" w:eastAsia="宋体"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161B7">
            <w:pPr>
              <w:pStyle w:val="17"/>
              <w:spacing w:beforeAutospacing="0" w:afterAutospacing="0"/>
              <w:jc w:val="center"/>
            </w:pPr>
            <w:r>
              <w:rPr>
                <w:rFonts w:hint="eastAsia" w:ascii="宋体" w:hAnsi="宋体" w:eastAsia="宋体" w:cs="宋体"/>
                <w:color w:val="000000"/>
              </w:rPr>
              <w:t>证明</w:t>
            </w:r>
          </w:p>
          <w:p w14:paraId="519431F7">
            <w:pPr>
              <w:pStyle w:val="17"/>
              <w:spacing w:beforeAutospacing="0" w:afterAutospacing="0"/>
              <w:jc w:val="center"/>
            </w:pPr>
            <w:r>
              <w:rPr>
                <w:rFonts w:hint="eastAsia" w:ascii="宋体" w:hAnsi="宋体" w:eastAsia="宋体" w:cs="宋体"/>
                <w:color w:val="000000"/>
              </w:rPr>
              <w:t>材料</w:t>
            </w:r>
          </w:p>
        </w:tc>
      </w:tr>
      <w:tr w14:paraId="2D49D5F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1723A">
            <w:pPr>
              <w:pStyle w:val="17"/>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0F69D">
            <w:pPr>
              <w:pStyle w:val="17"/>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CFDC3">
            <w:pPr>
              <w:pStyle w:val="17"/>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CDC82">
            <w:pPr>
              <w:pStyle w:val="17"/>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B94D7">
            <w:pPr>
              <w:pStyle w:val="17"/>
              <w:spacing w:beforeAutospacing="0" w:afterAutospacing="0"/>
              <w:jc w:val="center"/>
            </w:pPr>
            <w:r>
              <w:t> </w:t>
            </w:r>
          </w:p>
        </w:tc>
      </w:tr>
      <w:tr w14:paraId="0D13ABA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BBFD4">
            <w:pPr>
              <w:pStyle w:val="17"/>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F0B2">
            <w:pPr>
              <w:pStyle w:val="17"/>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66D3">
            <w:pPr>
              <w:pStyle w:val="17"/>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52E9">
            <w:pPr>
              <w:pStyle w:val="17"/>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31A99">
            <w:pPr>
              <w:pStyle w:val="17"/>
              <w:spacing w:beforeAutospacing="0" w:afterAutospacing="0"/>
              <w:jc w:val="center"/>
            </w:pPr>
            <w:r>
              <w:t> </w:t>
            </w:r>
          </w:p>
        </w:tc>
      </w:tr>
      <w:tr w14:paraId="2E367B7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9468">
            <w:pPr>
              <w:pStyle w:val="17"/>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59517">
            <w:pPr>
              <w:pStyle w:val="17"/>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C58F2">
            <w:pPr>
              <w:pStyle w:val="17"/>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54F62">
            <w:pPr>
              <w:pStyle w:val="17"/>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10A05">
            <w:pPr>
              <w:pStyle w:val="17"/>
              <w:spacing w:beforeAutospacing="0" w:afterAutospacing="0"/>
              <w:jc w:val="center"/>
            </w:pPr>
            <w:r>
              <w:t> </w:t>
            </w:r>
          </w:p>
        </w:tc>
      </w:tr>
      <w:tr w14:paraId="3EABF8E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C9B29">
            <w:pPr>
              <w:pStyle w:val="17"/>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19B3A">
            <w:pPr>
              <w:pStyle w:val="17"/>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01F33">
            <w:pPr>
              <w:pStyle w:val="17"/>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928C2">
            <w:pPr>
              <w:pStyle w:val="17"/>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89220">
            <w:pPr>
              <w:pStyle w:val="17"/>
              <w:spacing w:beforeAutospacing="0" w:afterAutospacing="0"/>
              <w:jc w:val="center"/>
            </w:pPr>
            <w:r>
              <w:t> </w:t>
            </w:r>
          </w:p>
        </w:tc>
      </w:tr>
      <w:tr w14:paraId="7F7E88A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D2890">
            <w:pPr>
              <w:pStyle w:val="17"/>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C3743">
            <w:pPr>
              <w:pStyle w:val="17"/>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8EAC5">
            <w:pPr>
              <w:pStyle w:val="17"/>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19497">
            <w:pPr>
              <w:pStyle w:val="17"/>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5547C">
            <w:pPr>
              <w:pStyle w:val="17"/>
              <w:spacing w:beforeAutospacing="0" w:afterAutospacing="0"/>
              <w:jc w:val="center"/>
            </w:pPr>
            <w:r>
              <w:t> </w:t>
            </w:r>
          </w:p>
        </w:tc>
      </w:tr>
      <w:tr w14:paraId="05090AD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72650">
            <w:pPr>
              <w:pStyle w:val="17"/>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4227F">
            <w:pPr>
              <w:pStyle w:val="17"/>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6B164">
            <w:pPr>
              <w:pStyle w:val="17"/>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AB02D">
            <w:pPr>
              <w:pStyle w:val="17"/>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A2DBE">
            <w:pPr>
              <w:pStyle w:val="17"/>
              <w:spacing w:beforeAutospacing="0" w:afterAutospacing="0"/>
              <w:jc w:val="center"/>
            </w:pPr>
            <w:r>
              <w:t> </w:t>
            </w:r>
          </w:p>
        </w:tc>
      </w:tr>
      <w:tr w14:paraId="0C81D15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280C3">
            <w:pPr>
              <w:pStyle w:val="17"/>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14112">
            <w:pPr>
              <w:pStyle w:val="17"/>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C49FD">
            <w:pPr>
              <w:pStyle w:val="17"/>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F4594">
            <w:pPr>
              <w:pStyle w:val="17"/>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0F1B3">
            <w:pPr>
              <w:pStyle w:val="17"/>
              <w:spacing w:beforeAutospacing="0" w:afterAutospacing="0"/>
              <w:jc w:val="center"/>
            </w:pPr>
            <w:r>
              <w:t> </w:t>
            </w:r>
          </w:p>
        </w:tc>
      </w:tr>
      <w:tr w14:paraId="4BCD4F3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5CE3C">
            <w:pPr>
              <w:pStyle w:val="17"/>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6E6DA">
            <w:pPr>
              <w:pStyle w:val="17"/>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00A98">
            <w:pPr>
              <w:pStyle w:val="17"/>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BDEB1">
            <w:pPr>
              <w:pStyle w:val="17"/>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88F94">
            <w:pPr>
              <w:pStyle w:val="17"/>
              <w:spacing w:beforeAutospacing="0" w:afterAutospacing="0"/>
              <w:jc w:val="center"/>
            </w:pPr>
            <w:r>
              <w:t> </w:t>
            </w:r>
          </w:p>
        </w:tc>
      </w:tr>
    </w:tbl>
    <w:p w14:paraId="5DAA73DE">
      <w:pPr>
        <w:pStyle w:val="17"/>
        <w:spacing w:beforeAutospacing="0" w:afterAutospacing="0"/>
        <w:jc w:val="both"/>
      </w:pPr>
      <w:r>
        <w:rPr>
          <w:rFonts w:hint="eastAsia" w:ascii="宋体" w:hAnsi="宋体" w:eastAsia="宋体" w:cs="宋体"/>
          <w:color w:val="000000"/>
        </w:rPr>
        <w:t>注： 行数不够，可自行添加。</w:t>
      </w:r>
    </w:p>
    <w:p w14:paraId="1150EAE0">
      <w:pPr>
        <w:pStyle w:val="17"/>
        <w:spacing w:beforeAutospacing="0" w:afterAutospacing="0" w:line="480" w:lineRule="auto"/>
        <w:jc w:val="both"/>
      </w:pPr>
      <w:r>
        <w:t> </w:t>
      </w:r>
    </w:p>
    <w:p w14:paraId="52260E24">
      <w:pPr>
        <w:pStyle w:val="17"/>
        <w:spacing w:beforeAutospacing="0" w:afterAutospacing="0" w:line="480" w:lineRule="auto"/>
        <w:jc w:val="both"/>
      </w:pPr>
      <w:r>
        <w:t> </w:t>
      </w:r>
    </w:p>
    <w:p w14:paraId="5CDFB44A">
      <w:pPr>
        <w:rPr>
          <w:rFonts w:hint="eastAsia" w:ascii="宋体" w:hAnsi="宋体"/>
          <w:sz w:val="28"/>
          <w:szCs w:val="28"/>
        </w:rPr>
      </w:pPr>
      <w:bookmarkStart w:id="198" w:name="_Toc462564146"/>
      <w:bookmarkStart w:id="199" w:name="_Hlt26671374"/>
      <w:bookmarkStart w:id="200" w:name="_Hlt26609389"/>
      <w:bookmarkStart w:id="201" w:name="_Hlt26955066"/>
      <w:bookmarkStart w:id="202" w:name="_格式2__法定代表人授权书"/>
      <w:r>
        <w:rPr>
          <w:rFonts w:hint="eastAsia" w:ascii="宋体" w:hAnsi="宋体"/>
          <w:sz w:val="28"/>
          <w:szCs w:val="28"/>
        </w:rPr>
        <w:t>我方承诺，除上表中的偏离外，完全响应招标文件的其他条款。</w:t>
      </w:r>
    </w:p>
    <w:p w14:paraId="4681D13E">
      <w:pPr>
        <w:rPr>
          <w:rFonts w:hint="eastAsia" w:ascii="宋体" w:hAnsi="宋体"/>
          <w:sz w:val="28"/>
          <w:szCs w:val="28"/>
        </w:rPr>
      </w:pPr>
    </w:p>
    <w:p w14:paraId="63356159">
      <w:pPr>
        <w:rPr>
          <w:rFonts w:hint="eastAsia" w:ascii="黑体" w:hAnsi="Arial" w:eastAsia="黑体"/>
          <w:sz w:val="32"/>
        </w:rPr>
      </w:pPr>
    </w:p>
    <w:p w14:paraId="4CEAB4A1">
      <w:pPr>
        <w:tabs>
          <w:tab w:val="left" w:pos="4860"/>
        </w:tabs>
        <w:spacing w:line="588" w:lineRule="exact"/>
        <w:ind w:right="1560" w:firstLine="624" w:firstLineChars="200"/>
        <w:jc w:val="center"/>
        <w:rPr>
          <w:rFonts w:ascii="仿宋_GB2312" w:eastAsia="仿宋_GB2312"/>
          <w:spacing w:val="6"/>
          <w:sz w:val="30"/>
          <w:szCs w:val="30"/>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单位名称（</w:t>
      </w:r>
      <w:r>
        <w:rPr>
          <w:rFonts w:hint="eastAsia" w:ascii="宋体" w:hAnsi="宋体"/>
          <w:sz w:val="24"/>
          <w:szCs w:val="24"/>
        </w:rPr>
        <w:t>加盖CA电子公章</w:t>
      </w:r>
      <w:r>
        <w:rPr>
          <w:rFonts w:hint="eastAsia" w:ascii="仿宋_GB2312" w:eastAsia="仿宋_GB2312"/>
          <w:spacing w:val="6"/>
          <w:sz w:val="30"/>
          <w:szCs w:val="30"/>
        </w:rPr>
        <w:t>）：</w:t>
      </w:r>
    </w:p>
    <w:p w14:paraId="49A4D4B1">
      <w:pPr>
        <w:adjustRightInd w:val="0"/>
        <w:snapToGrid w:val="0"/>
        <w:spacing w:line="460" w:lineRule="exact"/>
        <w:rPr>
          <w:rFonts w:hint="eastAsia" w:ascii="仿宋_GB2312"/>
          <w:sz w:val="28"/>
          <w:szCs w:val="28"/>
          <w:u w:val="single"/>
        </w:rPr>
      </w:pPr>
    </w:p>
    <w:p w14:paraId="2CCDD50F">
      <w:pPr>
        <w:spacing w:line="480" w:lineRule="exact"/>
        <w:ind w:firstLine="560" w:firstLineChars="200"/>
        <w:jc w:val="center"/>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p>
    <w:p w14:paraId="4C46523E">
      <w:pPr>
        <w:pStyle w:val="17"/>
        <w:spacing w:beforeAutospacing="0" w:afterAutospacing="0"/>
        <w:jc w:val="center"/>
      </w:pPr>
      <w:r>
        <w:t> </w:t>
      </w:r>
    </w:p>
    <w:p w14:paraId="7ADC4C49">
      <w:pPr>
        <w:pStyle w:val="17"/>
        <w:spacing w:beforeAutospacing="0" w:afterAutospacing="0"/>
        <w:jc w:val="both"/>
      </w:pPr>
      <w:r>
        <w:t> </w:t>
      </w:r>
    </w:p>
    <w:p w14:paraId="6D0AC44B">
      <w:pPr>
        <w:pStyle w:val="17"/>
        <w:spacing w:beforeAutospacing="0" w:afterAutospacing="0"/>
        <w:jc w:val="both"/>
      </w:pPr>
      <w:r>
        <w:t> </w:t>
      </w:r>
    </w:p>
    <w:p w14:paraId="61C6AAA9">
      <w:pPr>
        <w:pStyle w:val="17"/>
        <w:spacing w:beforeAutospacing="0" w:afterAutospacing="0"/>
        <w:jc w:val="both"/>
      </w:pPr>
    </w:p>
    <w:p w14:paraId="3ECEE22B">
      <w:pPr>
        <w:pStyle w:val="17"/>
        <w:spacing w:beforeAutospacing="0" w:afterAutospacing="0"/>
        <w:jc w:val="both"/>
      </w:pPr>
    </w:p>
    <w:p w14:paraId="736F78C2">
      <w:pPr>
        <w:pStyle w:val="17"/>
        <w:spacing w:beforeAutospacing="0" w:afterAutospacing="0"/>
        <w:jc w:val="both"/>
      </w:pPr>
    </w:p>
    <w:p w14:paraId="7FE85D0B">
      <w:pPr>
        <w:pStyle w:val="17"/>
        <w:spacing w:beforeAutospacing="0" w:afterAutospacing="0"/>
        <w:jc w:val="both"/>
      </w:pPr>
    </w:p>
    <w:p w14:paraId="16DD3959">
      <w:pPr>
        <w:pStyle w:val="17"/>
        <w:spacing w:beforeAutospacing="0" w:afterAutospacing="0"/>
        <w:jc w:val="both"/>
      </w:pPr>
    </w:p>
    <w:p w14:paraId="07CA13FD">
      <w:pPr>
        <w:pStyle w:val="17"/>
        <w:spacing w:beforeAutospacing="0" w:afterAutospacing="0"/>
        <w:jc w:val="both"/>
      </w:pPr>
    </w:p>
    <w:p w14:paraId="6E57BA2F">
      <w:pPr>
        <w:pStyle w:val="17"/>
        <w:spacing w:beforeAutospacing="0" w:afterAutospacing="0"/>
        <w:ind w:firstLine="964" w:firstLineChars="300"/>
        <w:jc w:val="both"/>
      </w:pPr>
      <w:r>
        <w:rPr>
          <w:rFonts w:hint="eastAsia" w:ascii="黑体" w:hAnsi="宋体" w:eastAsia="黑体" w:cs="黑体"/>
          <w:b/>
          <w:i/>
          <w:color w:val="000000"/>
          <w:sz w:val="32"/>
          <w:szCs w:val="32"/>
          <w:u w:val="single"/>
        </w:rPr>
        <w:t>十</w:t>
      </w:r>
      <w:r>
        <w:rPr>
          <w:rFonts w:hint="eastAsia" w:ascii="黑体" w:hAnsi="宋体" w:eastAsia="黑体" w:cs="黑体"/>
          <w:b/>
          <w:i/>
          <w:color w:val="000000"/>
          <w:sz w:val="32"/>
          <w:szCs w:val="32"/>
          <w:u w:val="single"/>
          <w:lang w:eastAsia="zh-CN"/>
        </w:rPr>
        <w:t>二</w:t>
      </w:r>
      <w:r>
        <w:rPr>
          <w:rFonts w:hint="eastAsia" w:ascii="黑体" w:hAnsi="宋体" w:eastAsia="黑体" w:cs="黑体"/>
          <w:b/>
          <w:i/>
          <w:color w:val="000000"/>
          <w:sz w:val="32"/>
          <w:szCs w:val="32"/>
          <w:u w:val="single"/>
        </w:rPr>
        <w:t>、开标一览表</w:t>
      </w:r>
    </w:p>
    <w:p w14:paraId="2F05644C">
      <w:pPr>
        <w:ind w:firstLine="480"/>
        <w:jc w:val="left"/>
        <w:rPr>
          <w:rFonts w:hint="eastAsia" w:ascii="宋体" w:hAnsi="宋体" w:eastAsia="宋体" w:cs="Times New Roman"/>
          <w:color w:val="000000"/>
          <w:sz w:val="24"/>
          <w:szCs w:val="24"/>
          <w:u w:val="none"/>
          <w:lang w:eastAsia="zh-CN"/>
        </w:rPr>
      </w:pPr>
    </w:p>
    <w:p w14:paraId="13FCC70D">
      <w:pPr>
        <w:ind w:firstLine="480"/>
        <w:jc w:val="left"/>
        <w:rPr>
          <w:rFonts w:ascii="宋体" w:hAnsi="宋体"/>
          <w:sz w:val="24"/>
          <w:szCs w:val="24"/>
        </w:rPr>
      </w:pPr>
      <w:r>
        <w:rPr>
          <w:rFonts w:hint="eastAsia" w:ascii="宋体" w:hAnsi="宋体" w:eastAsia="宋体" w:cs="Times New Roman"/>
          <w:color w:val="000000"/>
          <w:sz w:val="24"/>
          <w:szCs w:val="24"/>
          <w:u w:val="none"/>
          <w:lang w:eastAsia="zh-CN"/>
        </w:rPr>
        <w:t xml:space="preserve">项目编号：JSZC-320923-JSTC-G2026-0002   </w:t>
      </w:r>
      <w:r>
        <w:rPr>
          <w:rFonts w:hint="eastAsia" w:ascii="宋体" w:hAnsi="宋体"/>
          <w:sz w:val="24"/>
          <w:szCs w:val="24"/>
        </w:rPr>
        <w:t xml:space="preserve">     </w:t>
      </w:r>
    </w:p>
    <w:p w14:paraId="1B5830F6">
      <w:pPr>
        <w:ind w:firstLine="480"/>
        <w:rPr>
          <w:rFonts w:hint="eastAsia" w:ascii="宋体" w:hAnsi="宋体"/>
          <w:sz w:val="24"/>
          <w:szCs w:val="24"/>
          <w:lang w:eastAsia="zh-CN"/>
        </w:rPr>
      </w:pPr>
    </w:p>
    <w:p w14:paraId="25BDDC55">
      <w:pPr>
        <w:ind w:firstLine="480"/>
        <w:rPr>
          <w:rFonts w:hint="eastAsia" w:ascii="宋体" w:hAnsi="宋体"/>
          <w:sz w:val="24"/>
          <w:szCs w:val="24"/>
          <w:lang w:eastAsia="zh-CN"/>
        </w:rPr>
      </w:pPr>
      <w:r>
        <w:rPr>
          <w:rFonts w:hint="eastAsia" w:ascii="宋体" w:hAnsi="宋体"/>
          <w:sz w:val="24"/>
          <w:szCs w:val="24"/>
          <w:lang w:eastAsia="zh-CN"/>
        </w:rPr>
        <w:t>货币单位：人民币元</w:t>
      </w:r>
    </w:p>
    <w:p w14:paraId="08C004D3">
      <w:pPr>
        <w:pStyle w:val="19"/>
        <w:rPr>
          <w:rFonts w:hint="default"/>
          <w:lang w:val="en-US" w:eastAsia="zh-CN"/>
        </w:rPr>
      </w:pPr>
      <w:r>
        <w:rPr>
          <w:rFonts w:hint="eastAsia"/>
          <w:sz w:val="24"/>
          <w:szCs w:val="24"/>
          <w:lang w:val="en-US" w:eastAsia="zh-CN"/>
        </w:rPr>
        <w:t xml:space="preserve">                                   </w:t>
      </w:r>
    </w:p>
    <w:p w14:paraId="607418DB">
      <w:pPr>
        <w:ind w:firstLine="480"/>
        <w:rPr>
          <w:sz w:val="24"/>
          <w:szCs w:val="24"/>
          <w:u w:val="none"/>
        </w:rPr>
      </w:pP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35"/>
        <w:gridCol w:w="2735"/>
        <w:gridCol w:w="2736"/>
      </w:tblGrid>
      <w:tr w14:paraId="2C34F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trPr>
        <w:tc>
          <w:tcPr>
            <w:tcW w:w="2735" w:type="dxa"/>
            <w:noWrap w:val="0"/>
            <w:vAlign w:val="center"/>
          </w:tcPr>
          <w:p w14:paraId="42AF7366">
            <w:pPr>
              <w:jc w:val="left"/>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项目名称</w:t>
            </w:r>
          </w:p>
        </w:tc>
        <w:tc>
          <w:tcPr>
            <w:tcW w:w="2735" w:type="dxa"/>
            <w:noWrap w:val="0"/>
            <w:vAlign w:val="center"/>
          </w:tcPr>
          <w:p w14:paraId="2B7DB716">
            <w:pPr>
              <w:ind w:firstLine="720" w:firstLineChars="300"/>
              <w:rPr>
                <w:rFonts w:hint="eastAsia" w:ascii="宋体" w:hAnsi="宋体" w:eastAsia="宋体" w:cs="宋体"/>
                <w:sz w:val="24"/>
                <w:szCs w:val="24"/>
                <w:lang w:eastAsia="zh-CN"/>
              </w:rPr>
            </w:pPr>
            <w:r>
              <w:rPr>
                <w:rFonts w:hint="eastAsia" w:ascii="宋体" w:hAnsi="宋体" w:eastAsia="宋体" w:cs="Times New Roman"/>
                <w:sz w:val="24"/>
                <w:szCs w:val="24"/>
                <w:lang w:eastAsia="zh-CN"/>
              </w:rPr>
              <w:t>项目内容</w:t>
            </w:r>
          </w:p>
        </w:tc>
        <w:tc>
          <w:tcPr>
            <w:tcW w:w="2736" w:type="dxa"/>
            <w:noWrap w:val="0"/>
            <w:vAlign w:val="center"/>
          </w:tcPr>
          <w:p w14:paraId="589191B2">
            <w:pPr>
              <w:ind w:firstLine="480" w:firstLineChars="200"/>
              <w:rPr>
                <w:rFonts w:hint="eastAsia" w:ascii="宋体" w:hAnsi="宋体" w:eastAsia="宋体" w:cs="宋体"/>
                <w:sz w:val="24"/>
                <w:szCs w:val="24"/>
                <w:lang w:eastAsia="zh-CN"/>
              </w:rPr>
            </w:pPr>
            <w:r>
              <w:rPr>
                <w:rFonts w:hint="eastAsia" w:ascii="宋体" w:hAnsi="宋体" w:cs="宋体"/>
                <w:sz w:val="24"/>
                <w:szCs w:val="24"/>
                <w:lang w:eastAsia="zh-CN"/>
              </w:rPr>
              <w:t>总价（小写）</w:t>
            </w:r>
          </w:p>
        </w:tc>
      </w:tr>
      <w:tr w14:paraId="630A3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5" w:hRule="atLeast"/>
        </w:trPr>
        <w:tc>
          <w:tcPr>
            <w:tcW w:w="2735" w:type="dxa"/>
            <w:noWrap w:val="0"/>
            <w:vAlign w:val="center"/>
          </w:tcPr>
          <w:p w14:paraId="7089F04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sz w:val="24"/>
                <w:szCs w:val="24"/>
              </w:rPr>
            </w:pPr>
            <w:r>
              <w:rPr>
                <w:rFonts w:hint="eastAsia" w:ascii="宋体" w:hAnsi="宋体"/>
                <w:sz w:val="24"/>
                <w:szCs w:val="24"/>
              </w:rPr>
              <w:t>项目名称</w:t>
            </w:r>
          </w:p>
        </w:tc>
        <w:tc>
          <w:tcPr>
            <w:tcW w:w="2735" w:type="dxa"/>
            <w:noWrap w:val="0"/>
            <w:vAlign w:val="center"/>
          </w:tcPr>
          <w:p w14:paraId="0A04B5DD">
            <w:pPr>
              <w:rPr>
                <w:rFonts w:hint="eastAsia" w:ascii="宋体" w:hAnsi="宋体" w:eastAsia="宋体" w:cs="宋体"/>
                <w:sz w:val="24"/>
                <w:szCs w:val="24"/>
                <w:lang w:eastAsia="zh-CN"/>
              </w:rPr>
            </w:pPr>
            <w:r>
              <w:rPr>
                <w:rFonts w:hint="eastAsia" w:ascii="宋体" w:hAnsi="宋体" w:cs="宋体"/>
                <w:sz w:val="24"/>
                <w:szCs w:val="24"/>
                <w:lang w:eastAsia="zh-CN"/>
              </w:rPr>
              <w:t>详见投标文件</w:t>
            </w:r>
          </w:p>
        </w:tc>
        <w:tc>
          <w:tcPr>
            <w:tcW w:w="2736" w:type="dxa"/>
            <w:noWrap w:val="0"/>
            <w:vAlign w:val="center"/>
          </w:tcPr>
          <w:p w14:paraId="1E4621F3">
            <w:pPr>
              <w:rPr>
                <w:rFonts w:hint="default" w:ascii="宋体" w:hAnsi="宋体" w:cs="宋体" w:eastAsiaTheme="minorEastAsia"/>
                <w:sz w:val="24"/>
                <w:szCs w:val="24"/>
                <w:lang w:val="en-US" w:eastAsia="zh-CN"/>
              </w:rPr>
            </w:pPr>
            <w:r>
              <w:rPr>
                <w:rFonts w:hint="eastAsia" w:ascii="宋体" w:hAnsi="宋体" w:cs="宋体"/>
                <w:sz w:val="24"/>
                <w:szCs w:val="24"/>
                <w:lang w:val="en-US" w:eastAsia="zh-CN"/>
              </w:rPr>
              <w:t xml:space="preserve">               元</w:t>
            </w:r>
          </w:p>
        </w:tc>
      </w:tr>
      <w:tr w14:paraId="702B8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7" w:hRule="atLeast"/>
        </w:trPr>
        <w:tc>
          <w:tcPr>
            <w:tcW w:w="2735" w:type="dxa"/>
            <w:noWrap w:val="0"/>
            <w:vAlign w:val="center"/>
          </w:tcPr>
          <w:p w14:paraId="141E0821">
            <w:pPr>
              <w:pStyle w:val="33"/>
              <w:spacing w:before="0" w:after="0" w:line="500" w:lineRule="exact"/>
              <w:ind w:firstLine="0"/>
              <w:rPr>
                <w:rFonts w:hint="eastAsia" w:ascii="宋体" w:hAnsi="宋体"/>
                <w:kern w:val="2"/>
                <w:szCs w:val="21"/>
              </w:rPr>
            </w:pPr>
            <w:r>
              <w:rPr>
                <w:rFonts w:hint="eastAsia" w:ascii="宋体" w:hAnsi="宋体" w:cs="宋体"/>
                <w:lang w:eastAsia="zh-CN"/>
              </w:rPr>
              <w:t>总价（大写）：</w:t>
            </w:r>
            <w:r>
              <w:rPr>
                <w:rFonts w:hint="eastAsia" w:ascii="宋体" w:hAnsi="宋体" w:cs="宋体"/>
              </w:rPr>
              <w:t xml:space="preserve">                    </w:t>
            </w:r>
          </w:p>
        </w:tc>
        <w:tc>
          <w:tcPr>
            <w:tcW w:w="5471" w:type="dxa"/>
            <w:gridSpan w:val="2"/>
            <w:noWrap w:val="0"/>
            <w:vAlign w:val="center"/>
          </w:tcPr>
          <w:p w14:paraId="1430949E">
            <w:pPr>
              <w:pStyle w:val="33"/>
              <w:spacing w:before="0" w:after="0" w:line="500" w:lineRule="exact"/>
              <w:ind w:firstLine="0"/>
              <w:rPr>
                <w:rFonts w:hint="eastAsia" w:ascii="宋体" w:hAnsi="宋体" w:eastAsia="宋体" w:cs="宋体"/>
                <w:lang w:val="en-US" w:eastAsia="zh-CN"/>
              </w:rPr>
            </w:pPr>
            <w:r>
              <w:rPr>
                <w:rFonts w:hint="eastAsia" w:ascii="宋体" w:hAnsi="宋体" w:cs="宋体"/>
                <w:lang w:val="en-US" w:eastAsia="zh-CN"/>
              </w:rPr>
              <w:t>金额大写</w:t>
            </w:r>
          </w:p>
        </w:tc>
      </w:tr>
    </w:tbl>
    <w:p w14:paraId="75B5E0FF">
      <w:pPr>
        <w:rPr>
          <w:rFonts w:ascii="宋体" w:hAnsi="宋体"/>
          <w:sz w:val="24"/>
          <w:szCs w:val="24"/>
        </w:rPr>
      </w:pPr>
    </w:p>
    <w:p w14:paraId="67C4519E">
      <w:pPr>
        <w:ind w:firstLine="480"/>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 投标人</w:t>
      </w:r>
      <w:r>
        <w:rPr>
          <w:rFonts w:hint="eastAsia" w:ascii="宋体" w:hAnsi="宋体"/>
          <w:sz w:val="24"/>
          <w:szCs w:val="24"/>
          <w:lang w:eastAsia="zh-CN"/>
        </w:rPr>
        <w:t>公章</w:t>
      </w:r>
      <w:r>
        <w:rPr>
          <w:rFonts w:hint="eastAsia" w:ascii="宋体" w:hAnsi="宋体"/>
          <w:sz w:val="24"/>
          <w:szCs w:val="24"/>
          <w:lang w:val="en-US" w:eastAsia="zh-CN"/>
        </w:rPr>
        <w:t xml:space="preserve"> ：          </w:t>
      </w:r>
      <w:r>
        <w:rPr>
          <w:rFonts w:hint="eastAsia" w:ascii="宋体" w:hAnsi="宋体"/>
          <w:sz w:val="24"/>
          <w:szCs w:val="24"/>
        </w:rPr>
        <w:t>（电子签章）</w:t>
      </w:r>
    </w:p>
    <w:p w14:paraId="4CA337ED">
      <w:pPr>
        <w:ind w:firstLine="480"/>
        <w:rPr>
          <w:rFonts w:hint="eastAsia" w:ascii="宋体" w:hAnsi="宋体"/>
          <w:sz w:val="24"/>
          <w:szCs w:val="24"/>
        </w:rPr>
      </w:pPr>
      <w:r>
        <w:rPr>
          <w:rFonts w:hint="eastAsia" w:ascii="宋体" w:hAnsi="宋体"/>
          <w:sz w:val="24"/>
          <w:szCs w:val="24"/>
        </w:rPr>
        <w:t xml:space="preserve">                                         </w:t>
      </w:r>
    </w:p>
    <w:p w14:paraId="44AF312E">
      <w:pPr>
        <w:pStyle w:val="10"/>
        <w:rPr>
          <w:rFonts w:hint="eastAsia"/>
          <w:lang w:val="en-US" w:eastAsia="zh-CN"/>
        </w:rPr>
      </w:pPr>
    </w:p>
    <w:p w14:paraId="6CACE0C1">
      <w:pPr>
        <w:rPr>
          <w:rFonts w:hint="eastAsia"/>
          <w:lang w:val="en-US" w:eastAsia="zh-CN"/>
        </w:rPr>
      </w:pPr>
    </w:p>
    <w:p w14:paraId="69136C70">
      <w:pPr>
        <w:pStyle w:val="10"/>
        <w:rPr>
          <w:rFonts w:hint="eastAsia"/>
          <w:lang w:val="en-US" w:eastAsia="zh-CN"/>
        </w:rPr>
      </w:pPr>
    </w:p>
    <w:p w14:paraId="000B4505">
      <w:pPr>
        <w:spacing w:line="480" w:lineRule="exact"/>
        <w:ind w:firstLine="480" w:firstLineChars="200"/>
        <w:jc w:val="center"/>
        <w:rPr>
          <w:rFonts w:hint="eastAsia" w:ascii="黑体" w:hAnsi="宋体" w:eastAsia="黑体"/>
          <w:bCs/>
          <w:sz w:val="24"/>
          <w:szCs w:val="24"/>
        </w:rPr>
      </w:pPr>
      <w:r>
        <w:rPr>
          <w:rFonts w:hint="eastAsia" w:ascii="宋体" w:hAnsi="宋体"/>
          <w:sz w:val="24"/>
          <w:szCs w:val="24"/>
        </w:rPr>
        <w:t>日  期：</w:t>
      </w:r>
      <w:r>
        <w:rPr>
          <w:rFonts w:hint="eastAsia" w:ascii="仿宋_GB2312"/>
          <w:sz w:val="24"/>
          <w:szCs w:val="24"/>
          <w:u w:val="single"/>
        </w:rPr>
        <w:t xml:space="preserve"> </w:t>
      </w:r>
      <w:r>
        <w:rPr>
          <w:rFonts w:hint="eastAsia" w:ascii="仿宋_GB2312"/>
          <w:sz w:val="24"/>
          <w:szCs w:val="24"/>
          <w:u w:val="single"/>
          <w:lang w:val="en-US" w:eastAsia="zh-CN"/>
        </w:rPr>
        <w:t xml:space="preserve">  </w:t>
      </w:r>
      <w:r>
        <w:rPr>
          <w:rFonts w:hint="eastAsia" w:ascii="仿宋_GB2312"/>
          <w:sz w:val="24"/>
          <w:szCs w:val="24"/>
          <w:u w:val="single"/>
        </w:rPr>
        <w:t xml:space="preserve">  </w:t>
      </w:r>
      <w:r>
        <w:rPr>
          <w:rFonts w:hint="eastAsia" w:ascii="宋体" w:hAnsi="宋体"/>
          <w:sz w:val="24"/>
          <w:szCs w:val="24"/>
        </w:rPr>
        <w:t>年</w:t>
      </w:r>
      <w:r>
        <w:rPr>
          <w:rFonts w:hint="eastAsia" w:ascii="仿宋_GB2312"/>
          <w:sz w:val="24"/>
          <w:szCs w:val="24"/>
          <w:u w:val="single"/>
        </w:rPr>
        <w:t xml:space="preserve">    </w:t>
      </w:r>
      <w:r>
        <w:rPr>
          <w:rFonts w:hint="eastAsia" w:ascii="仿宋_GB2312"/>
          <w:sz w:val="24"/>
          <w:szCs w:val="24"/>
        </w:rPr>
        <w:t xml:space="preserve"> </w:t>
      </w:r>
      <w:r>
        <w:rPr>
          <w:rFonts w:hint="eastAsia" w:ascii="仿宋_GB2312"/>
          <w:sz w:val="24"/>
          <w:szCs w:val="24"/>
          <w:u w:val="single"/>
        </w:rPr>
        <w:t xml:space="preserve">月   </w:t>
      </w:r>
      <w:r>
        <w:rPr>
          <w:rFonts w:hint="eastAsia" w:ascii="仿宋_GB2312"/>
          <w:sz w:val="24"/>
          <w:szCs w:val="24"/>
        </w:rPr>
        <w:t xml:space="preserve"> 日</w:t>
      </w:r>
    </w:p>
    <w:p w14:paraId="221A4C6D">
      <w:pPr>
        <w:spacing w:line="560" w:lineRule="exact"/>
        <w:ind w:right="480" w:firstLine="1440" w:firstLineChars="600"/>
        <w:rPr>
          <w:rFonts w:hint="eastAsia" w:ascii="宋体" w:hAnsi="宋体"/>
          <w:sz w:val="24"/>
          <w:szCs w:val="24"/>
        </w:rPr>
      </w:pPr>
    </w:p>
    <w:p w14:paraId="1E9B0A2C">
      <w:pPr>
        <w:rPr>
          <w:rFonts w:hint="eastAsia"/>
          <w:lang w:val="en-US" w:eastAsia="zh-CN"/>
        </w:rPr>
      </w:pPr>
    </w:p>
    <w:p w14:paraId="2F7DAB28">
      <w:pPr>
        <w:pStyle w:val="10"/>
        <w:rPr>
          <w:rFonts w:hint="default"/>
          <w:lang w:val="en-US" w:eastAsia="zh-CN"/>
        </w:rPr>
      </w:pPr>
      <w:r>
        <w:rPr>
          <w:rFonts w:hint="eastAsia"/>
          <w:lang w:val="en-US" w:eastAsia="zh-CN"/>
        </w:rPr>
        <w:t xml:space="preserve">                        </w:t>
      </w:r>
    </w:p>
    <w:p w14:paraId="315F38FF">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left"/>
        <w:textAlignment w:val="auto"/>
        <w:rPr>
          <w:rFonts w:hint="eastAsia" w:ascii="宋体" w:hAnsi="宋体" w:eastAsia="宋体" w:cs="宋体"/>
          <w:color w:val="000000"/>
          <w:lang w:val="en-US" w:eastAsia="zh-CN"/>
        </w:rPr>
      </w:pPr>
    </w:p>
    <w:p w14:paraId="32DD60B6">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left"/>
        <w:textAlignment w:val="auto"/>
        <w:rPr>
          <w:rFonts w:hint="eastAsia" w:ascii="宋体" w:hAnsi="宋体" w:eastAsia="宋体" w:cs="宋体"/>
          <w:color w:val="000000"/>
          <w:lang w:val="en-US" w:eastAsia="zh-CN"/>
        </w:rPr>
      </w:pPr>
    </w:p>
    <w:p w14:paraId="31CBD0BA">
      <w:pPr>
        <w:pStyle w:val="17"/>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left"/>
        <w:textAlignment w:val="auto"/>
        <w:rPr>
          <w:rFonts w:hint="eastAsia" w:ascii="宋体" w:hAnsi="宋体" w:eastAsia="宋体" w:cs="宋体"/>
          <w:color w:val="000000"/>
          <w:lang w:val="en-US" w:eastAsia="zh-CN"/>
        </w:rPr>
      </w:pPr>
    </w:p>
    <w:p w14:paraId="0F5B34F6">
      <w:pPr>
        <w:pStyle w:val="17"/>
        <w:spacing w:beforeAutospacing="0" w:afterAutospacing="0"/>
        <w:ind w:firstLine="480"/>
        <w:jc w:val="both"/>
      </w:pPr>
      <w:r>
        <w:t> </w:t>
      </w:r>
    </w:p>
    <w:p w14:paraId="4FD15AC5">
      <w:pPr>
        <w:widowControl/>
        <w:spacing w:before="50" w:after="50"/>
        <w:jc w:val="center"/>
      </w:pPr>
    </w:p>
    <w:p w14:paraId="715229F3">
      <w:pPr>
        <w:pStyle w:val="10"/>
      </w:pPr>
    </w:p>
    <w:p w14:paraId="74BDFFF5"/>
    <w:p w14:paraId="3448B72D">
      <w:pPr>
        <w:pStyle w:val="10"/>
      </w:pPr>
    </w:p>
    <w:p w14:paraId="67B4A495"/>
    <w:p w14:paraId="292E1948">
      <w:pPr>
        <w:pStyle w:val="10"/>
      </w:pPr>
    </w:p>
    <w:p w14:paraId="4F39946B"/>
    <w:p w14:paraId="5A0C893B">
      <w:pPr>
        <w:pStyle w:val="10"/>
      </w:pPr>
    </w:p>
    <w:p w14:paraId="3218CF5E"/>
    <w:p w14:paraId="6B130AE0">
      <w:pPr>
        <w:widowControl/>
        <w:spacing w:before="50" w:after="50"/>
        <w:jc w:val="center"/>
      </w:pPr>
    </w:p>
    <w:p w14:paraId="5DC3858F">
      <w:pPr>
        <w:widowControl/>
        <w:spacing w:line="499" w:lineRule="atLeast"/>
        <w:ind w:firstLine="1600"/>
        <w:rPr>
          <w:rFonts w:ascii="宋体" w:hAnsi="宋体" w:eastAsia="宋体" w:cs="宋体"/>
          <w:sz w:val="24"/>
        </w:rPr>
      </w:pPr>
      <w:r>
        <w:rPr>
          <w:rFonts w:hint="eastAsia" w:ascii="宋体" w:hAnsi="宋体" w:eastAsia="宋体" w:cs="宋体"/>
          <w:color w:val="000000"/>
          <w:sz w:val="32"/>
          <w:szCs w:val="32"/>
        </w:rPr>
        <w:t>十</w:t>
      </w:r>
      <w:r>
        <w:rPr>
          <w:rFonts w:hint="eastAsia" w:ascii="宋体" w:hAnsi="宋体" w:eastAsia="宋体" w:cs="宋体"/>
          <w:color w:val="000000"/>
          <w:sz w:val="32"/>
          <w:szCs w:val="32"/>
          <w:lang w:eastAsia="zh-CN"/>
        </w:rPr>
        <w:t>三</w:t>
      </w:r>
      <w:r>
        <w:rPr>
          <w:rFonts w:hint="eastAsia" w:ascii="宋体" w:hAnsi="宋体" w:eastAsia="宋体" w:cs="宋体"/>
          <w:color w:val="000000"/>
          <w:sz w:val="32"/>
          <w:szCs w:val="32"/>
        </w:rPr>
        <w:t>、盐城市政府采购事前信用承诺书</w:t>
      </w:r>
    </w:p>
    <w:p w14:paraId="792D9FA6">
      <w:pPr>
        <w:widowControl/>
        <w:spacing w:line="499" w:lineRule="atLeast"/>
        <w:ind w:firstLine="640"/>
        <w:jc w:val="left"/>
        <w:rPr>
          <w:rFonts w:ascii="宋体" w:hAnsi="宋体" w:eastAsia="宋体" w:cs="宋体"/>
          <w:sz w:val="24"/>
        </w:rPr>
      </w:pPr>
      <w:r>
        <w:rPr>
          <w:rFonts w:hint="eastAsia" w:ascii="宋体" w:hAnsi="宋体" w:eastAsia="宋体" w:cs="宋体"/>
          <w:color w:val="000000"/>
          <w:sz w:val="32"/>
          <w:szCs w:val="32"/>
        </w:rPr>
        <w:t> </w:t>
      </w:r>
    </w:p>
    <w:p w14:paraId="0CAAFB0C">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46137AFB">
      <w:pPr>
        <w:widowControl/>
        <w:spacing w:line="499" w:lineRule="atLeast"/>
        <w:jc w:val="left"/>
        <w:rPr>
          <w:rFonts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lang w:eastAsia="zh-CN"/>
        </w:rPr>
        <w:t>虚假成分</w:t>
      </w:r>
      <w:r>
        <w:rPr>
          <w:rFonts w:hint="eastAsia" w:ascii="宋体" w:hAnsi="宋体" w:eastAsia="宋体" w:cs="宋体"/>
          <w:color w:val="000000"/>
          <w:sz w:val="24"/>
        </w:rPr>
        <w:t>，并对所提供资料的真实性负责；</w:t>
      </w:r>
    </w:p>
    <w:p w14:paraId="47180AE5">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61A5170">
      <w:pPr>
        <w:widowControl/>
        <w:spacing w:line="499" w:lineRule="atLeast"/>
        <w:jc w:val="left"/>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7BC96E74">
      <w:pPr>
        <w:widowControl/>
        <w:spacing w:line="499" w:lineRule="atLeast"/>
        <w:jc w:val="left"/>
        <w:rPr>
          <w:rFonts w:ascii="宋体" w:hAnsi="宋体" w:eastAsia="宋体" w:cs="宋体"/>
          <w:sz w:val="24"/>
        </w:rPr>
      </w:pPr>
      <w:r>
        <w:rPr>
          <w:rFonts w:hint="eastAsia" w:ascii="宋体" w:hAnsi="宋体" w:eastAsia="宋体" w:cs="宋体"/>
          <w:color w:val="000000"/>
          <w:sz w:val="24"/>
        </w:rPr>
        <w:t>   （四）严格遵守即时信息公示规定，及时</w:t>
      </w:r>
      <w:r>
        <w:rPr>
          <w:rFonts w:hint="eastAsia" w:ascii="宋体" w:hAnsi="宋体" w:eastAsia="宋体" w:cs="宋体"/>
          <w:color w:val="000000"/>
          <w:sz w:val="24"/>
          <w:lang w:eastAsia="zh-CN"/>
        </w:rPr>
        <w:t>维护和更新</w:t>
      </w:r>
      <w:r>
        <w:rPr>
          <w:rFonts w:hint="eastAsia" w:ascii="宋体" w:hAnsi="宋体" w:eastAsia="宋体" w:cs="宋体"/>
          <w:color w:val="000000"/>
          <w:sz w:val="24"/>
        </w:rPr>
        <w:t>盐城市政府采购网中与本单位相关的信息；</w:t>
      </w:r>
    </w:p>
    <w:p w14:paraId="397826CA">
      <w:pPr>
        <w:widowControl/>
        <w:spacing w:line="499" w:lineRule="atLeast"/>
        <w:jc w:val="left"/>
        <w:rPr>
          <w:rFonts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584B699">
      <w:pPr>
        <w:widowControl/>
        <w:spacing w:line="499" w:lineRule="atLeast"/>
        <w:jc w:val="left"/>
        <w:rPr>
          <w:rFonts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36EC6ECD">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58FCE54">
      <w:pPr>
        <w:widowControl/>
        <w:spacing w:line="499" w:lineRule="atLeast"/>
        <w:jc w:val="left"/>
        <w:rPr>
          <w:rFonts w:ascii="宋体" w:hAnsi="宋体" w:eastAsia="宋体" w:cs="宋体"/>
          <w:sz w:val="24"/>
        </w:rPr>
      </w:pPr>
      <w:r>
        <w:rPr>
          <w:rFonts w:hint="eastAsia" w:ascii="宋体" w:hAnsi="宋体" w:eastAsia="宋体" w:cs="宋体"/>
          <w:color w:val="000000"/>
          <w:sz w:val="24"/>
        </w:rPr>
        <w:t>   （八）本人已认真阅读了上述承诺，并向本单位员工</w:t>
      </w:r>
      <w:r>
        <w:rPr>
          <w:rFonts w:hint="eastAsia" w:ascii="宋体" w:hAnsi="宋体" w:eastAsia="宋体" w:cs="宋体"/>
          <w:color w:val="000000"/>
          <w:sz w:val="24"/>
          <w:lang w:eastAsia="zh-CN"/>
        </w:rPr>
        <w:t>做</w:t>
      </w:r>
      <w:r>
        <w:rPr>
          <w:rFonts w:hint="eastAsia" w:ascii="宋体" w:hAnsi="宋体" w:eastAsia="宋体" w:cs="宋体"/>
          <w:color w:val="000000"/>
          <w:sz w:val="24"/>
        </w:rPr>
        <w:t>了宣传教育。</w:t>
      </w:r>
    </w:p>
    <w:p w14:paraId="2E71DE0C">
      <w:pPr>
        <w:widowControl/>
        <w:spacing w:line="500" w:lineRule="exact"/>
        <w:jc w:val="center"/>
        <w:rPr>
          <w:rFonts w:hint="eastAsia" w:ascii="宋体" w:hAnsi="宋体"/>
          <w:sz w:val="24"/>
          <w:szCs w:val="24"/>
        </w:rPr>
      </w:pPr>
      <w:r>
        <w:rPr>
          <w:rFonts w:hint="eastAsia" w:ascii="宋体" w:hAnsi="宋体" w:eastAsia="宋体" w:cs="宋体"/>
          <w:color w:val="000000"/>
          <w:sz w:val="24"/>
        </w:rPr>
        <w:t>            </w:t>
      </w:r>
      <w:r>
        <w:rPr>
          <w:rFonts w:hint="eastAsia" w:ascii="宋体" w:hAnsi="宋体"/>
          <w:sz w:val="24"/>
          <w:szCs w:val="24"/>
        </w:rPr>
        <w:t xml:space="preserve"> 法定代表人签名</w:t>
      </w:r>
      <w:r>
        <w:rPr>
          <w:rFonts w:hint="eastAsia" w:ascii="宋体" w:hAnsi="宋体"/>
          <w:sz w:val="24"/>
          <w:szCs w:val="24"/>
          <w:lang w:eastAsia="zh-CN"/>
        </w:rPr>
        <w:t>或盖章</w:t>
      </w:r>
      <w:r>
        <w:rPr>
          <w:rFonts w:hint="eastAsia" w:ascii="宋体" w:hAnsi="宋体"/>
          <w:sz w:val="24"/>
          <w:szCs w:val="24"/>
        </w:rPr>
        <w:t>：</w:t>
      </w:r>
    </w:p>
    <w:p w14:paraId="5E188DC5">
      <w:pPr>
        <w:widowControl/>
        <w:spacing w:line="500" w:lineRule="exact"/>
        <w:jc w:val="center"/>
        <w:rPr>
          <w:rFonts w:hint="eastAsia" w:ascii="宋体" w:hAnsi="宋体"/>
          <w:sz w:val="24"/>
          <w:szCs w:val="24"/>
        </w:rPr>
      </w:pPr>
      <w:r>
        <w:rPr>
          <w:rFonts w:hint="eastAsia" w:ascii="宋体" w:hAnsi="宋体"/>
          <w:sz w:val="24"/>
          <w:szCs w:val="24"/>
        </w:rPr>
        <w:t xml:space="preserve">                   单位名称（盖章）：</w:t>
      </w:r>
    </w:p>
    <w:p w14:paraId="4757A605">
      <w:pPr>
        <w:pStyle w:val="19"/>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年    月    日</w:t>
      </w:r>
    </w:p>
    <w:p w14:paraId="15055E6E">
      <w:pPr>
        <w:widowControl/>
        <w:spacing w:line="499" w:lineRule="atLeast"/>
        <w:jc w:val="center"/>
        <w:rPr>
          <w:rFonts w:ascii="宋体" w:hAnsi="宋体" w:eastAsia="宋体" w:cs="宋体"/>
          <w:sz w:val="24"/>
        </w:rPr>
      </w:pPr>
    </w:p>
    <w:p w14:paraId="79C0DDA2">
      <w:pPr>
        <w:pStyle w:val="17"/>
        <w:spacing w:beforeAutospacing="0" w:afterAutospacing="0"/>
        <w:jc w:val="center"/>
      </w:pPr>
    </w:p>
    <w:bookmarkEnd w:id="26"/>
    <w:bookmarkEnd w:id="43"/>
    <w:bookmarkEnd w:id="89"/>
    <w:bookmarkEnd w:id="90"/>
    <w:bookmarkEnd w:id="91"/>
    <w:bookmarkEnd w:id="94"/>
    <w:bookmarkEnd w:id="95"/>
    <w:bookmarkEnd w:id="96"/>
    <w:bookmarkEnd w:id="97"/>
    <w:bookmarkEnd w:id="98"/>
    <w:bookmarkEnd w:id="99"/>
    <w:bookmarkEnd w:id="100"/>
    <w:bookmarkEnd w:id="101"/>
    <w:bookmarkEnd w:id="102"/>
    <w:bookmarkEnd w:id="103"/>
    <w:bookmarkEnd w:id="104"/>
    <w:bookmarkEnd w:id="105"/>
    <w:bookmarkEnd w:id="106"/>
    <w:bookmarkEnd w:id="111"/>
    <w:bookmarkEnd w:id="112"/>
    <w:bookmarkEnd w:id="113"/>
    <w:bookmarkEnd w:id="118"/>
    <w:bookmarkEnd w:id="119"/>
    <w:bookmarkEnd w:id="126"/>
    <w:bookmarkEnd w:id="172"/>
    <w:bookmarkEnd w:id="178"/>
    <w:bookmarkEnd w:id="182"/>
    <w:bookmarkEnd w:id="183"/>
    <w:bookmarkEnd w:id="185"/>
    <w:bookmarkEnd w:id="186"/>
    <w:bookmarkEnd w:id="187"/>
    <w:bookmarkEnd w:id="189"/>
    <w:bookmarkEnd w:id="198"/>
    <w:bookmarkEnd w:id="199"/>
    <w:bookmarkEnd w:id="200"/>
    <w:bookmarkEnd w:id="201"/>
    <w:bookmarkEnd w:id="202"/>
    <w:p w14:paraId="4599C2B5"/>
    <w:p w14:paraId="449B027F">
      <w:pPr>
        <w:pStyle w:val="10"/>
      </w:pPr>
    </w:p>
    <w:p w14:paraId="2C87BD13">
      <w:pPr>
        <w:pStyle w:val="17"/>
        <w:spacing w:beforeAutospacing="0" w:afterAutospacing="0"/>
        <w:jc w:val="center"/>
        <w:rPr>
          <w:rFonts w:ascii="宋体" w:hAnsi="宋体" w:eastAsia="宋体" w:cs="宋体"/>
          <w:b/>
          <w:color w:val="000000"/>
          <w:sz w:val="32"/>
          <w:szCs w:val="32"/>
        </w:rPr>
      </w:pPr>
      <w:r>
        <w:rPr>
          <w:rFonts w:hint="eastAsia" w:ascii="宋体" w:hAnsi="宋体" w:eastAsia="宋体" w:cs="宋体"/>
          <w:b/>
          <w:color w:val="000000"/>
          <w:sz w:val="32"/>
          <w:szCs w:val="32"/>
        </w:rPr>
        <w:t>质疑函范本</w:t>
      </w:r>
    </w:p>
    <w:p w14:paraId="31B47DAC">
      <w:pPr>
        <w:pStyle w:val="17"/>
        <w:spacing w:before="290" w:beforeAutospacing="0" w:afterAutospacing="0" w:line="360" w:lineRule="auto"/>
        <w:jc w:val="both"/>
        <w:rPr>
          <w:rFonts w:ascii="宋体" w:hAnsi="宋体" w:eastAsia="宋体" w:cs="宋体"/>
        </w:rPr>
      </w:pPr>
      <w:r>
        <w:rPr>
          <w:rFonts w:hint="eastAsia" w:ascii="宋体" w:hAnsi="宋体" w:eastAsia="宋体" w:cs="宋体"/>
          <w:color w:val="000000"/>
        </w:rPr>
        <w:t>一、质疑供应商基本信息</w:t>
      </w:r>
    </w:p>
    <w:p w14:paraId="4F5E8576">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CB46554">
      <w:pPr>
        <w:pStyle w:val="17"/>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43666F22">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1CC19AC">
      <w:pPr>
        <w:pStyle w:val="17"/>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5317875">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160BD500">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5D41BB3">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F3D48B1">
      <w:pPr>
        <w:pStyle w:val="17"/>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2679F65">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4799DA21">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二、质疑项目基本情况</w:t>
      </w:r>
    </w:p>
    <w:p w14:paraId="35535537">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4A62C5E9">
      <w:pPr>
        <w:pStyle w:val="17"/>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48054E49">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B26E302">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183BFEAA">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08A90FB4">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三、质疑事项具体内容</w:t>
      </w:r>
    </w:p>
    <w:p w14:paraId="1D308EC1">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108794D2">
      <w:pPr>
        <w:pStyle w:val="17"/>
        <w:spacing w:beforeAutospacing="0" w:afterAutospacing="0" w:line="360" w:lineRule="auto"/>
        <w:rPr>
          <w:rFonts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5F1D2351">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2951A4E4">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质疑事项2</w:t>
      </w:r>
    </w:p>
    <w:p w14:paraId="75A5D293">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w:t>
      </w:r>
    </w:p>
    <w:p w14:paraId="5B8A4A5D">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四、与质疑事项相关的质疑请求</w:t>
      </w:r>
    </w:p>
    <w:p w14:paraId="130F19C5">
      <w:pPr>
        <w:pStyle w:val="17"/>
        <w:spacing w:beforeAutospacing="0" w:afterAutospacing="0" w:line="360" w:lineRule="auto"/>
        <w:jc w:val="both"/>
        <w:rPr>
          <w:rFonts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1EBE8EE6">
      <w:pPr>
        <w:pStyle w:val="17"/>
        <w:spacing w:beforeAutospacing="0" w:afterAutospacing="0"/>
        <w:jc w:val="both"/>
        <w:rPr>
          <w:rFonts w:ascii="宋体" w:hAnsi="宋体" w:eastAsia="宋体" w:cs="宋体"/>
        </w:rPr>
      </w:pPr>
      <w:r>
        <w:rPr>
          <w:rFonts w:hint="eastAsia" w:ascii="宋体" w:hAnsi="宋体" w:eastAsia="宋体" w:cs="宋体"/>
          <w:color w:val="000000"/>
        </w:rPr>
        <w:t xml:space="preserve">签字(签章)：                 公章：               日期：    </w:t>
      </w:r>
    </w:p>
    <w:p w14:paraId="1567E654">
      <w:pPr>
        <w:pStyle w:val="17"/>
        <w:spacing w:beforeAutospacing="0" w:afterAutospacing="0" w:line="0" w:lineRule="atLeast"/>
        <w:jc w:val="both"/>
        <w:rPr>
          <w:rFonts w:ascii="宋体" w:hAnsi="宋体" w:eastAsia="宋体" w:cs="宋体"/>
        </w:rPr>
      </w:pPr>
      <w:r>
        <w:rPr>
          <w:rFonts w:hint="eastAsia" w:ascii="宋体" w:hAnsi="宋体" w:eastAsia="宋体" w:cs="宋体"/>
          <w:b/>
          <w:color w:val="000000"/>
        </w:rPr>
        <w:t>质疑函制作说明：</w:t>
      </w:r>
    </w:p>
    <w:p w14:paraId="5EA6DEFF">
      <w:pPr>
        <w:pStyle w:val="17"/>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1.供应商提出质疑时，应提交质疑函和必要的证明材料。</w:t>
      </w:r>
    </w:p>
    <w:p w14:paraId="6D307359">
      <w:pPr>
        <w:pStyle w:val="17"/>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2D748DB">
      <w:pPr>
        <w:pStyle w:val="17"/>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43585CA3">
      <w:pPr>
        <w:pStyle w:val="17"/>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4.质疑函的质疑事项应具体、明确，并有必要的事实依据和法律依据。</w:t>
      </w:r>
    </w:p>
    <w:p w14:paraId="0D58DB82">
      <w:pPr>
        <w:pStyle w:val="17"/>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5.质疑函的质疑请求应与质疑事项相关。</w:t>
      </w:r>
    </w:p>
    <w:p w14:paraId="479BFA4D">
      <w:pPr>
        <w:pStyle w:val="17"/>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17834DB1">
      <w:pPr>
        <w:pStyle w:val="17"/>
        <w:spacing w:beforeAutospacing="0" w:afterAutospacing="0"/>
        <w:ind w:firstLine="420"/>
        <w:jc w:val="both"/>
        <w:rPr>
          <w:rFonts w:ascii="宋体" w:hAnsi="宋体" w:eastAsia="宋体" w:cs="宋体"/>
        </w:rPr>
      </w:pPr>
      <w:r>
        <w:rPr>
          <w:rFonts w:hint="eastAsia" w:ascii="宋体" w:hAnsi="宋体" w:eastAsia="宋体" w:cs="宋体"/>
        </w:rPr>
        <w:t> </w:t>
      </w:r>
    </w:p>
    <w:p w14:paraId="54A8E648"/>
    <w:sectPr>
      <w:footerReference r:id="rId4" w:type="default"/>
      <w:pgSz w:w="11906" w:h="16838"/>
      <w:pgMar w:top="1157" w:right="1236" w:bottom="1157" w:left="134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0C1DE">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DE60A5">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49DE60A5">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E2BC4">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5F86A3E">
                          <w:pPr>
                            <w:pStyle w:val="13"/>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35F86A3E">
                    <w:pPr>
                      <w:pStyle w:val="13"/>
                    </w:pPr>
                    <w:r>
                      <w:fldChar w:fldCharType="begin"/>
                    </w:r>
                    <w:r>
                      <w:instrText xml:space="preserve"> PAGE  \* MERGEFORMAT </w:instrText>
                    </w:r>
                    <w:r>
                      <w:fldChar w:fldCharType="separate"/>
                    </w:r>
                    <w:r>
                      <w:t>29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9A9199"/>
    <w:multiLevelType w:val="singleLevel"/>
    <w:tmpl w:val="839A9199"/>
    <w:lvl w:ilvl="0" w:tentative="0">
      <w:start w:val="6"/>
      <w:numFmt w:val="chineseCounting"/>
      <w:suff w:val="nothing"/>
      <w:lvlText w:val="%1、"/>
      <w:lvlJc w:val="left"/>
      <w:rPr>
        <w:rFonts w:hint="eastAsia"/>
      </w:rPr>
    </w:lvl>
  </w:abstractNum>
  <w:abstractNum w:abstractNumId="1">
    <w:nsid w:val="AD917861"/>
    <w:multiLevelType w:val="multilevel"/>
    <w:tmpl w:val="AD917861"/>
    <w:lvl w:ilvl="0" w:tentative="0">
      <w:start w:val="3"/>
      <w:numFmt w:val="decimal"/>
      <w:suff w:val="nothing"/>
      <w:lvlText w:val="%1　"/>
      <w:lvlJc w:val="left"/>
      <w:pPr>
        <w:ind w:left="0" w:firstLine="0"/>
      </w:pPr>
      <w:rPr>
        <w:rFonts w:hint="eastAsia" w:ascii="黑体" w:hAnsi="Times New Roman" w:eastAsia="黑体"/>
        <w:b w:val="0"/>
        <w:i w:val="0"/>
        <w:sz w:val="32"/>
        <w:szCs w:val="21"/>
      </w:rPr>
    </w:lvl>
    <w:lvl w:ilvl="1" w:tentative="0">
      <w:start w:val="1"/>
      <w:numFmt w:val="decimal"/>
      <w:suff w:val="nothing"/>
      <w:lvlText w:val="%1.%2　"/>
      <w:lvlJc w:val="left"/>
      <w:pPr>
        <w:ind w:left="284" w:hanging="284"/>
      </w:pPr>
      <w:rPr>
        <w:rFonts w:hint="eastAsia" w:ascii="黑体" w:hAnsi="宋体" w:eastAsia="黑体" w:cs="宋体"/>
        <w:b w:val="0"/>
        <w:bCs w:val="0"/>
        <w:i w:val="0"/>
        <w:iCs w:val="0"/>
        <w:caps w:val="0"/>
        <w:strike w:val="0"/>
        <w:dstrike w:val="0"/>
        <w:vanish w:val="0"/>
        <w:color w:val="000000"/>
        <w:spacing w:val="0"/>
        <w:kern w:val="0"/>
        <w:position w:val="0"/>
        <w:sz w:val="30"/>
        <w:szCs w:val="21"/>
        <w:u w:val="none"/>
        <w:vertAlign w:val="baseline"/>
      </w:rPr>
    </w:lvl>
    <w:lvl w:ilvl="2" w:tentative="0">
      <w:start w:val="1"/>
      <w:numFmt w:val="decimal"/>
      <w:suff w:val="nothing"/>
      <w:lvlText w:val="%1.%2.%3　"/>
      <w:lvlJc w:val="left"/>
      <w:pPr>
        <w:ind w:left="1278" w:hanging="1278"/>
      </w:pPr>
      <w:rPr>
        <w:rFonts w:hint="eastAsia"/>
        <w:b w:val="0"/>
        <w:bCs w:val="0"/>
        <w:i w:val="0"/>
        <w:iCs w:val="0"/>
        <w:caps w:val="0"/>
        <w:smallCaps w:val="0"/>
        <w:strike w:val="0"/>
        <w:dstrike w:val="0"/>
        <w:vanish w:val="0"/>
        <w:color w:val="000000"/>
        <w:spacing w:val="0"/>
        <w:position w:val="0"/>
        <w:u w:val="none"/>
        <w:vertAlign w:val="baseline"/>
      </w:rPr>
    </w:lvl>
    <w:lvl w:ilvl="3" w:tentative="0">
      <w:start w:val="1"/>
      <w:numFmt w:val="decimal"/>
      <w:pStyle w:val="5"/>
      <w:suff w:val="nothing"/>
      <w:lvlText w:val="%1.%2.%3.%4　"/>
      <w:lvlJc w:val="left"/>
      <w:pPr>
        <w:ind w:left="4821" w:hanging="4821"/>
      </w:pPr>
      <w:rPr>
        <w:rFonts w:hint="eastAsia"/>
        <w:b w:val="0"/>
        <w:bCs w:val="0"/>
        <w:i w:val="0"/>
        <w:iCs w:val="0"/>
        <w:caps w:val="0"/>
        <w:smallCaps w:val="0"/>
        <w:strike w:val="0"/>
        <w:dstrike w:val="0"/>
        <w:vanish w:val="0"/>
        <w:color w:val="000000"/>
        <w:spacing w:val="0"/>
        <w:position w:val="0"/>
        <w:u w:val="none"/>
        <w:vertAlign w:val="baseline"/>
      </w:rPr>
    </w:lvl>
    <w:lvl w:ilvl="4" w:tentative="0">
      <w:start w:val="1"/>
      <w:numFmt w:val="decimal"/>
      <w:suff w:val="nothing"/>
      <w:lvlText w:val="%1.%2.%3.%4.%5　"/>
      <w:lvlJc w:val="left"/>
      <w:pPr>
        <w:ind w:left="0" w:firstLine="0"/>
      </w:pPr>
      <w:rPr>
        <w:rFonts w:hint="eastAsia" w:ascii="黑体" w:hAnsi="黑体" w:eastAsia="黑体" w:cs="宋体"/>
        <w:b w:val="0"/>
        <w:i w:val="0"/>
        <w:sz w:val="24"/>
      </w:rPr>
    </w:lvl>
    <w:lvl w:ilvl="5" w:tentative="0">
      <w:start w:val="1"/>
      <w:numFmt w:val="decimal"/>
      <w:suff w:val="nothing"/>
      <w:lvlText w:val="%1.%2.%3.%4.%5.%6　"/>
      <w:lvlJc w:val="left"/>
      <w:pPr>
        <w:ind w:left="2552" w:firstLine="0"/>
      </w:pPr>
      <w:rPr>
        <w:rFonts w:hint="eastAsia"/>
        <w:b w:val="0"/>
        <w:bCs w:val="0"/>
        <w:i w:val="0"/>
        <w:iCs w:val="0"/>
        <w:caps w:val="0"/>
        <w:smallCaps w:val="0"/>
        <w:strike w:val="0"/>
        <w:dstrike w:val="0"/>
        <w:vanish w:val="0"/>
        <w:color w:val="000000"/>
        <w:spacing w:val="0"/>
        <w:position w:val="0"/>
        <w:u w:val="none"/>
        <w:vertAlign w:val="baseline"/>
      </w:rPr>
    </w:lvl>
    <w:lvl w:ilvl="6" w:tentative="0">
      <w:start w:val="1"/>
      <w:numFmt w:val="decimal"/>
      <w:suff w:val="nothing"/>
      <w:lvlText w:val="%1.%2.%3.%4.%5.%6.%7　"/>
      <w:lvlJc w:val="left"/>
      <w:pPr>
        <w:ind w:left="0" w:firstLine="0"/>
      </w:pPr>
      <w:rPr>
        <w:rFonts w:hint="eastAsia" w:ascii="黑体" w:hAnsi="黑体" w:eastAsia="黑体" w:cs="宋体"/>
        <w:b w:val="0"/>
        <w:i w:val="0"/>
        <w:sz w:val="24"/>
      </w:rPr>
    </w:lvl>
    <w:lvl w:ilvl="7" w:tentative="0">
      <w:start w:val="1"/>
      <w:numFmt w:val="decimal"/>
      <w:suff w:val="nothing"/>
      <w:lvlText w:val="%1.%2.%3.%4.%5.%6.%7.%8　"/>
      <w:lvlJc w:val="left"/>
      <w:pPr>
        <w:ind w:left="0" w:firstLine="0"/>
      </w:pPr>
      <w:rPr>
        <w:rFonts w:hint="eastAsia" w:ascii="黑体" w:hAnsi="黑体" w:eastAsia="黑体" w:cs="宋体"/>
        <w:b w:val="0"/>
        <w:i w:val="0"/>
        <w:sz w:val="24"/>
      </w:rPr>
    </w:lvl>
    <w:lvl w:ilvl="8" w:tentative="0">
      <w:start w:val="1"/>
      <w:numFmt w:val="decimal"/>
      <w:suff w:val="nothing"/>
      <w:lvlText w:val="%1.%2.%3.%4.%5.%6.%7.%8.%9　"/>
      <w:lvlJc w:val="left"/>
      <w:pPr>
        <w:ind w:left="4677" w:hanging="4677"/>
      </w:pPr>
      <w:rPr>
        <w:rFonts w:hint="eastAsia" w:ascii="黑体" w:hAnsi="黑体" w:eastAsia="黑体" w:cs="宋体"/>
        <w:b w:val="0"/>
        <w:i w:val="0"/>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2Y2MwZDk2Nzk0NDZkMzlkN2FmNGVmYTE0YzNjZWEifQ=="/>
  </w:docVars>
  <w:rsids>
    <w:rsidRoot w:val="00172A27"/>
    <w:rsid w:val="00075369"/>
    <w:rsid w:val="00077137"/>
    <w:rsid w:val="00093DD2"/>
    <w:rsid w:val="00100CC0"/>
    <w:rsid w:val="00131CB1"/>
    <w:rsid w:val="001570FF"/>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50B26"/>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4036E0"/>
    <w:rsid w:val="01416DF2"/>
    <w:rsid w:val="015C3D17"/>
    <w:rsid w:val="01891B53"/>
    <w:rsid w:val="018E28DB"/>
    <w:rsid w:val="01C012ED"/>
    <w:rsid w:val="01C209CB"/>
    <w:rsid w:val="01DF79C5"/>
    <w:rsid w:val="020016E9"/>
    <w:rsid w:val="021D673F"/>
    <w:rsid w:val="024324D8"/>
    <w:rsid w:val="02851591"/>
    <w:rsid w:val="02BD5381"/>
    <w:rsid w:val="02D505AD"/>
    <w:rsid w:val="03365B5E"/>
    <w:rsid w:val="034E4AD1"/>
    <w:rsid w:val="037E0789"/>
    <w:rsid w:val="03913FFC"/>
    <w:rsid w:val="043D4E77"/>
    <w:rsid w:val="049D3B67"/>
    <w:rsid w:val="04CF1FA6"/>
    <w:rsid w:val="04E470A0"/>
    <w:rsid w:val="04E83035"/>
    <w:rsid w:val="05104339"/>
    <w:rsid w:val="05191440"/>
    <w:rsid w:val="056E5657"/>
    <w:rsid w:val="05AD05DE"/>
    <w:rsid w:val="05BD3D79"/>
    <w:rsid w:val="061040B3"/>
    <w:rsid w:val="061F2A86"/>
    <w:rsid w:val="0621639E"/>
    <w:rsid w:val="062C42CE"/>
    <w:rsid w:val="06867FD2"/>
    <w:rsid w:val="068A6E34"/>
    <w:rsid w:val="06B12B65"/>
    <w:rsid w:val="06BD3726"/>
    <w:rsid w:val="06E12843"/>
    <w:rsid w:val="06F07F7E"/>
    <w:rsid w:val="06F227AF"/>
    <w:rsid w:val="07887E6F"/>
    <w:rsid w:val="07994E3B"/>
    <w:rsid w:val="07A02A3F"/>
    <w:rsid w:val="07A40F48"/>
    <w:rsid w:val="07A80859"/>
    <w:rsid w:val="07B54181"/>
    <w:rsid w:val="07F651C7"/>
    <w:rsid w:val="080A468F"/>
    <w:rsid w:val="0854758E"/>
    <w:rsid w:val="08685E71"/>
    <w:rsid w:val="08992D34"/>
    <w:rsid w:val="08C86899"/>
    <w:rsid w:val="08E95736"/>
    <w:rsid w:val="09132265"/>
    <w:rsid w:val="092E4D8E"/>
    <w:rsid w:val="098064E2"/>
    <w:rsid w:val="09D92A42"/>
    <w:rsid w:val="09FE79EC"/>
    <w:rsid w:val="0A747118"/>
    <w:rsid w:val="0AB319EF"/>
    <w:rsid w:val="0ABC363A"/>
    <w:rsid w:val="0ACD1C23"/>
    <w:rsid w:val="0AD8294B"/>
    <w:rsid w:val="0AF81AF7"/>
    <w:rsid w:val="0B4B3B00"/>
    <w:rsid w:val="0B5807E8"/>
    <w:rsid w:val="0B8A23C1"/>
    <w:rsid w:val="0BAD0294"/>
    <w:rsid w:val="0BAD643E"/>
    <w:rsid w:val="0BAE3813"/>
    <w:rsid w:val="0BD065D0"/>
    <w:rsid w:val="0BFF003E"/>
    <w:rsid w:val="0C48085D"/>
    <w:rsid w:val="0C9413AC"/>
    <w:rsid w:val="0CF454F3"/>
    <w:rsid w:val="0CFF0F1B"/>
    <w:rsid w:val="0D4D2FC1"/>
    <w:rsid w:val="0E0362D5"/>
    <w:rsid w:val="0E2F3A82"/>
    <w:rsid w:val="0E317F73"/>
    <w:rsid w:val="0E8536A2"/>
    <w:rsid w:val="0E966A8C"/>
    <w:rsid w:val="0EB36461"/>
    <w:rsid w:val="0EE61CD2"/>
    <w:rsid w:val="0F0A004B"/>
    <w:rsid w:val="0F2B20F7"/>
    <w:rsid w:val="0F655282"/>
    <w:rsid w:val="0F6D24BC"/>
    <w:rsid w:val="0F6E4136"/>
    <w:rsid w:val="0F7D537E"/>
    <w:rsid w:val="0FE97C61"/>
    <w:rsid w:val="0FFE195E"/>
    <w:rsid w:val="10007707"/>
    <w:rsid w:val="106A0DA2"/>
    <w:rsid w:val="107F4121"/>
    <w:rsid w:val="108C51BC"/>
    <w:rsid w:val="10D26947"/>
    <w:rsid w:val="10E21699"/>
    <w:rsid w:val="10E83D21"/>
    <w:rsid w:val="10FA0A8C"/>
    <w:rsid w:val="10FB5E9E"/>
    <w:rsid w:val="11072A94"/>
    <w:rsid w:val="11AB711C"/>
    <w:rsid w:val="11EB7CC0"/>
    <w:rsid w:val="12443874"/>
    <w:rsid w:val="12C14EC5"/>
    <w:rsid w:val="12C81DAF"/>
    <w:rsid w:val="12E221D7"/>
    <w:rsid w:val="12F015A0"/>
    <w:rsid w:val="132711CC"/>
    <w:rsid w:val="133E6515"/>
    <w:rsid w:val="13675C85"/>
    <w:rsid w:val="13D157F4"/>
    <w:rsid w:val="13FB7F63"/>
    <w:rsid w:val="143E4A1F"/>
    <w:rsid w:val="14477BA7"/>
    <w:rsid w:val="14C111AC"/>
    <w:rsid w:val="150F31D3"/>
    <w:rsid w:val="156D6C3E"/>
    <w:rsid w:val="157923E7"/>
    <w:rsid w:val="15AC2596"/>
    <w:rsid w:val="15FD4466"/>
    <w:rsid w:val="160E21CF"/>
    <w:rsid w:val="16287735"/>
    <w:rsid w:val="162C6AF9"/>
    <w:rsid w:val="169263C8"/>
    <w:rsid w:val="16A61788"/>
    <w:rsid w:val="16AF4856"/>
    <w:rsid w:val="16ED0036"/>
    <w:rsid w:val="16FC471D"/>
    <w:rsid w:val="170045BA"/>
    <w:rsid w:val="17397720"/>
    <w:rsid w:val="174D6D27"/>
    <w:rsid w:val="17666D47"/>
    <w:rsid w:val="176F0FD8"/>
    <w:rsid w:val="17732C32"/>
    <w:rsid w:val="17E04774"/>
    <w:rsid w:val="18784278"/>
    <w:rsid w:val="18AF5EEB"/>
    <w:rsid w:val="18BC4109"/>
    <w:rsid w:val="18D23988"/>
    <w:rsid w:val="19212219"/>
    <w:rsid w:val="193260E4"/>
    <w:rsid w:val="19835197"/>
    <w:rsid w:val="198A240C"/>
    <w:rsid w:val="199005F8"/>
    <w:rsid w:val="199C5D44"/>
    <w:rsid w:val="199C7AF2"/>
    <w:rsid w:val="1A023DF9"/>
    <w:rsid w:val="1A1C3150"/>
    <w:rsid w:val="1A361CF4"/>
    <w:rsid w:val="1A4F2C83"/>
    <w:rsid w:val="1A82318C"/>
    <w:rsid w:val="1AB8095B"/>
    <w:rsid w:val="1AB842CC"/>
    <w:rsid w:val="1AC224E5"/>
    <w:rsid w:val="1AD2708F"/>
    <w:rsid w:val="1AD75285"/>
    <w:rsid w:val="1AE6196C"/>
    <w:rsid w:val="1AE7683B"/>
    <w:rsid w:val="1B193AF0"/>
    <w:rsid w:val="1B2D4DAF"/>
    <w:rsid w:val="1B5508A0"/>
    <w:rsid w:val="1B5F5046"/>
    <w:rsid w:val="1B9509DF"/>
    <w:rsid w:val="1BA002D8"/>
    <w:rsid w:val="1BB017A9"/>
    <w:rsid w:val="1C493F61"/>
    <w:rsid w:val="1C8C02F2"/>
    <w:rsid w:val="1CAC4347"/>
    <w:rsid w:val="1D1341EA"/>
    <w:rsid w:val="1D1C1092"/>
    <w:rsid w:val="1D500C4B"/>
    <w:rsid w:val="1D605A5A"/>
    <w:rsid w:val="1D77695E"/>
    <w:rsid w:val="1D812873"/>
    <w:rsid w:val="1D8D60CF"/>
    <w:rsid w:val="1DA425CB"/>
    <w:rsid w:val="1DA87142"/>
    <w:rsid w:val="1DE2466D"/>
    <w:rsid w:val="1DF04200"/>
    <w:rsid w:val="1DFD1285"/>
    <w:rsid w:val="1E28404A"/>
    <w:rsid w:val="1E4E1D03"/>
    <w:rsid w:val="1E7554E1"/>
    <w:rsid w:val="1EC70509"/>
    <w:rsid w:val="1ED86FF2"/>
    <w:rsid w:val="1EE6018D"/>
    <w:rsid w:val="1F1B42AE"/>
    <w:rsid w:val="1F4A0271"/>
    <w:rsid w:val="1F5F1CED"/>
    <w:rsid w:val="1FAD0CAB"/>
    <w:rsid w:val="1FB016C4"/>
    <w:rsid w:val="1FC7762D"/>
    <w:rsid w:val="1FD46237"/>
    <w:rsid w:val="2000702C"/>
    <w:rsid w:val="202F346E"/>
    <w:rsid w:val="204333BD"/>
    <w:rsid w:val="205C376D"/>
    <w:rsid w:val="20677E3C"/>
    <w:rsid w:val="20733730"/>
    <w:rsid w:val="208F6602"/>
    <w:rsid w:val="209429D0"/>
    <w:rsid w:val="20A83FAF"/>
    <w:rsid w:val="20A976C4"/>
    <w:rsid w:val="20CE42A1"/>
    <w:rsid w:val="20E039A6"/>
    <w:rsid w:val="21130FE1"/>
    <w:rsid w:val="215025DE"/>
    <w:rsid w:val="217038B5"/>
    <w:rsid w:val="21CC717D"/>
    <w:rsid w:val="222114DC"/>
    <w:rsid w:val="222C3C2F"/>
    <w:rsid w:val="22424AA4"/>
    <w:rsid w:val="228C104B"/>
    <w:rsid w:val="22934188"/>
    <w:rsid w:val="22F62B8A"/>
    <w:rsid w:val="23151041"/>
    <w:rsid w:val="231B4766"/>
    <w:rsid w:val="23254D08"/>
    <w:rsid w:val="23534E2B"/>
    <w:rsid w:val="23983A20"/>
    <w:rsid w:val="23C2284B"/>
    <w:rsid w:val="242C02D7"/>
    <w:rsid w:val="24533DC2"/>
    <w:rsid w:val="2453507C"/>
    <w:rsid w:val="24857B00"/>
    <w:rsid w:val="24916C4C"/>
    <w:rsid w:val="24F44C86"/>
    <w:rsid w:val="251672D8"/>
    <w:rsid w:val="2532334D"/>
    <w:rsid w:val="25561215"/>
    <w:rsid w:val="25873D4C"/>
    <w:rsid w:val="259E4496"/>
    <w:rsid w:val="25F61EC3"/>
    <w:rsid w:val="26105AEF"/>
    <w:rsid w:val="262C365F"/>
    <w:rsid w:val="26527EB6"/>
    <w:rsid w:val="26750FF7"/>
    <w:rsid w:val="26CA2142"/>
    <w:rsid w:val="27194423"/>
    <w:rsid w:val="27206206"/>
    <w:rsid w:val="27290FC5"/>
    <w:rsid w:val="280C3DFF"/>
    <w:rsid w:val="280F2F92"/>
    <w:rsid w:val="28EC707D"/>
    <w:rsid w:val="28FE41FC"/>
    <w:rsid w:val="29345C52"/>
    <w:rsid w:val="29385A89"/>
    <w:rsid w:val="2996274E"/>
    <w:rsid w:val="29A24CB1"/>
    <w:rsid w:val="29BD364D"/>
    <w:rsid w:val="29BD7D3C"/>
    <w:rsid w:val="29DF7CB3"/>
    <w:rsid w:val="2A175A2C"/>
    <w:rsid w:val="2A297180"/>
    <w:rsid w:val="2A4648B7"/>
    <w:rsid w:val="2A622692"/>
    <w:rsid w:val="2A9A62D0"/>
    <w:rsid w:val="2AAB5DE7"/>
    <w:rsid w:val="2AF459E0"/>
    <w:rsid w:val="2B005440"/>
    <w:rsid w:val="2B724B56"/>
    <w:rsid w:val="2B8723B0"/>
    <w:rsid w:val="2BC3591B"/>
    <w:rsid w:val="2BCA6741"/>
    <w:rsid w:val="2BEA68D0"/>
    <w:rsid w:val="2C03574A"/>
    <w:rsid w:val="2C0A4EA8"/>
    <w:rsid w:val="2C143267"/>
    <w:rsid w:val="2C1D4AC2"/>
    <w:rsid w:val="2C7B3B05"/>
    <w:rsid w:val="2C93357F"/>
    <w:rsid w:val="2CA43435"/>
    <w:rsid w:val="2CC277F5"/>
    <w:rsid w:val="2CEA709A"/>
    <w:rsid w:val="2D0F4D53"/>
    <w:rsid w:val="2D39592C"/>
    <w:rsid w:val="2DCD42C6"/>
    <w:rsid w:val="2E5E7AF7"/>
    <w:rsid w:val="2E7D7A9A"/>
    <w:rsid w:val="2E9F2106"/>
    <w:rsid w:val="2EA66FF1"/>
    <w:rsid w:val="2EE73822"/>
    <w:rsid w:val="2F880DEC"/>
    <w:rsid w:val="2FA80D19"/>
    <w:rsid w:val="2FAD4FD9"/>
    <w:rsid w:val="2FB346FB"/>
    <w:rsid w:val="2FFA5778"/>
    <w:rsid w:val="30495C84"/>
    <w:rsid w:val="30650005"/>
    <w:rsid w:val="30CE282F"/>
    <w:rsid w:val="310333AD"/>
    <w:rsid w:val="31201F20"/>
    <w:rsid w:val="3126266B"/>
    <w:rsid w:val="31344D88"/>
    <w:rsid w:val="31522189"/>
    <w:rsid w:val="3152520E"/>
    <w:rsid w:val="318E0F10"/>
    <w:rsid w:val="31DB0550"/>
    <w:rsid w:val="322F2A2C"/>
    <w:rsid w:val="32531113"/>
    <w:rsid w:val="329E6CD8"/>
    <w:rsid w:val="32A93A25"/>
    <w:rsid w:val="32AE0B6A"/>
    <w:rsid w:val="333A7770"/>
    <w:rsid w:val="33440753"/>
    <w:rsid w:val="334B4AB3"/>
    <w:rsid w:val="3355548A"/>
    <w:rsid w:val="33773E42"/>
    <w:rsid w:val="33E67E90"/>
    <w:rsid w:val="34490807"/>
    <w:rsid w:val="34A15F56"/>
    <w:rsid w:val="34AE4E51"/>
    <w:rsid w:val="34E14EA2"/>
    <w:rsid w:val="34E346A0"/>
    <w:rsid w:val="34F12F90"/>
    <w:rsid w:val="350E769E"/>
    <w:rsid w:val="351A24E7"/>
    <w:rsid w:val="358C6B08"/>
    <w:rsid w:val="359B1151"/>
    <w:rsid w:val="35AD49A2"/>
    <w:rsid w:val="35BC534C"/>
    <w:rsid w:val="35BE5D5B"/>
    <w:rsid w:val="36172BC3"/>
    <w:rsid w:val="36721EAF"/>
    <w:rsid w:val="36A66851"/>
    <w:rsid w:val="36AC5D00"/>
    <w:rsid w:val="36B92B07"/>
    <w:rsid w:val="36CC7C95"/>
    <w:rsid w:val="36EB650A"/>
    <w:rsid w:val="378133A9"/>
    <w:rsid w:val="378D0ECB"/>
    <w:rsid w:val="37A239BE"/>
    <w:rsid w:val="38255F76"/>
    <w:rsid w:val="383A233E"/>
    <w:rsid w:val="384A6C3F"/>
    <w:rsid w:val="39101F1B"/>
    <w:rsid w:val="391536F1"/>
    <w:rsid w:val="39242408"/>
    <w:rsid w:val="392D7EB3"/>
    <w:rsid w:val="39521E2F"/>
    <w:rsid w:val="39720FC7"/>
    <w:rsid w:val="39987E7E"/>
    <w:rsid w:val="39A84137"/>
    <w:rsid w:val="39CD52E9"/>
    <w:rsid w:val="3A1C0AAF"/>
    <w:rsid w:val="3A1F7430"/>
    <w:rsid w:val="3A64388F"/>
    <w:rsid w:val="3AB02FA5"/>
    <w:rsid w:val="3AB605BC"/>
    <w:rsid w:val="3AE10EB8"/>
    <w:rsid w:val="3B0B043D"/>
    <w:rsid w:val="3B392F9B"/>
    <w:rsid w:val="3B702E61"/>
    <w:rsid w:val="3BD50B7B"/>
    <w:rsid w:val="3BDF2457"/>
    <w:rsid w:val="3BDF7FE6"/>
    <w:rsid w:val="3CB446BE"/>
    <w:rsid w:val="3CC36DCD"/>
    <w:rsid w:val="3D0A1E32"/>
    <w:rsid w:val="3D23372C"/>
    <w:rsid w:val="3D6A4AAA"/>
    <w:rsid w:val="3DB01C3A"/>
    <w:rsid w:val="3DC9411E"/>
    <w:rsid w:val="3DEC2546"/>
    <w:rsid w:val="3DF80C94"/>
    <w:rsid w:val="3DFD4754"/>
    <w:rsid w:val="3E064F5A"/>
    <w:rsid w:val="3E161B6B"/>
    <w:rsid w:val="3E442382"/>
    <w:rsid w:val="3E496B6B"/>
    <w:rsid w:val="3E7F5998"/>
    <w:rsid w:val="3F0056DB"/>
    <w:rsid w:val="3F0156C1"/>
    <w:rsid w:val="3F1A3023"/>
    <w:rsid w:val="3F243A9D"/>
    <w:rsid w:val="3F373C95"/>
    <w:rsid w:val="3F7D72F7"/>
    <w:rsid w:val="3FC26720"/>
    <w:rsid w:val="40131A0D"/>
    <w:rsid w:val="40260F22"/>
    <w:rsid w:val="40350295"/>
    <w:rsid w:val="406E1D8D"/>
    <w:rsid w:val="40B23CE3"/>
    <w:rsid w:val="413151CD"/>
    <w:rsid w:val="41943621"/>
    <w:rsid w:val="41AA19BC"/>
    <w:rsid w:val="42053C57"/>
    <w:rsid w:val="42214BD9"/>
    <w:rsid w:val="42324DFA"/>
    <w:rsid w:val="424E557E"/>
    <w:rsid w:val="42847518"/>
    <w:rsid w:val="42AF59D8"/>
    <w:rsid w:val="42D36040"/>
    <w:rsid w:val="42DA1507"/>
    <w:rsid w:val="42EF4A42"/>
    <w:rsid w:val="4309135B"/>
    <w:rsid w:val="43104F29"/>
    <w:rsid w:val="431353F3"/>
    <w:rsid w:val="43455446"/>
    <w:rsid w:val="434D6B15"/>
    <w:rsid w:val="43526A49"/>
    <w:rsid w:val="43B03184"/>
    <w:rsid w:val="43FD3D53"/>
    <w:rsid w:val="44321320"/>
    <w:rsid w:val="4450382F"/>
    <w:rsid w:val="44DA072F"/>
    <w:rsid w:val="44E93C84"/>
    <w:rsid w:val="452112EB"/>
    <w:rsid w:val="454D0F8E"/>
    <w:rsid w:val="45AB6A3A"/>
    <w:rsid w:val="45FC0A54"/>
    <w:rsid w:val="461D469A"/>
    <w:rsid w:val="466976E6"/>
    <w:rsid w:val="46EA0CE7"/>
    <w:rsid w:val="470D4256"/>
    <w:rsid w:val="471C7CEB"/>
    <w:rsid w:val="472208AE"/>
    <w:rsid w:val="47704C41"/>
    <w:rsid w:val="477F6C5D"/>
    <w:rsid w:val="47B925F3"/>
    <w:rsid w:val="480F1C3B"/>
    <w:rsid w:val="48496F13"/>
    <w:rsid w:val="48771F96"/>
    <w:rsid w:val="48910AEC"/>
    <w:rsid w:val="489D725F"/>
    <w:rsid w:val="48B3170D"/>
    <w:rsid w:val="48B8194D"/>
    <w:rsid w:val="48D62351"/>
    <w:rsid w:val="493C7DE9"/>
    <w:rsid w:val="493D365F"/>
    <w:rsid w:val="493F1C9A"/>
    <w:rsid w:val="49415E3C"/>
    <w:rsid w:val="495711BC"/>
    <w:rsid w:val="497A134E"/>
    <w:rsid w:val="49830203"/>
    <w:rsid w:val="49D62B33"/>
    <w:rsid w:val="4A170DA0"/>
    <w:rsid w:val="4A1E13B4"/>
    <w:rsid w:val="4A2C49B0"/>
    <w:rsid w:val="4A2F2139"/>
    <w:rsid w:val="4A7638C4"/>
    <w:rsid w:val="4A7D1B0F"/>
    <w:rsid w:val="4AAC50D1"/>
    <w:rsid w:val="4AE17E71"/>
    <w:rsid w:val="4AFA44F5"/>
    <w:rsid w:val="4B0C37B9"/>
    <w:rsid w:val="4B2B0B52"/>
    <w:rsid w:val="4B944949"/>
    <w:rsid w:val="4B971E20"/>
    <w:rsid w:val="4BC33B49"/>
    <w:rsid w:val="4BC93EC7"/>
    <w:rsid w:val="4BD12EAB"/>
    <w:rsid w:val="4C092FAD"/>
    <w:rsid w:val="4C2C6D73"/>
    <w:rsid w:val="4C5A2B74"/>
    <w:rsid w:val="4D1A2C2C"/>
    <w:rsid w:val="4D2D20D9"/>
    <w:rsid w:val="4D317F76"/>
    <w:rsid w:val="4D3C69F8"/>
    <w:rsid w:val="4D692DF7"/>
    <w:rsid w:val="4D784E5B"/>
    <w:rsid w:val="4DA074F7"/>
    <w:rsid w:val="4DA33F07"/>
    <w:rsid w:val="4DCD4142"/>
    <w:rsid w:val="4DD31E7C"/>
    <w:rsid w:val="4DDE52C0"/>
    <w:rsid w:val="4DEE1B0F"/>
    <w:rsid w:val="4E791BD4"/>
    <w:rsid w:val="4EDD03B5"/>
    <w:rsid w:val="4F0516BA"/>
    <w:rsid w:val="4F337FD5"/>
    <w:rsid w:val="4FA96212"/>
    <w:rsid w:val="4FC2427A"/>
    <w:rsid w:val="4FFC754F"/>
    <w:rsid w:val="50267B3A"/>
    <w:rsid w:val="50A0169A"/>
    <w:rsid w:val="50A1397F"/>
    <w:rsid w:val="51C75DFE"/>
    <w:rsid w:val="51F6353C"/>
    <w:rsid w:val="522E2CD6"/>
    <w:rsid w:val="52741FCB"/>
    <w:rsid w:val="527D33C3"/>
    <w:rsid w:val="52A03BD4"/>
    <w:rsid w:val="52C16E55"/>
    <w:rsid w:val="52D06B10"/>
    <w:rsid w:val="52D52291"/>
    <w:rsid w:val="52D668C8"/>
    <w:rsid w:val="52F061DD"/>
    <w:rsid w:val="53112879"/>
    <w:rsid w:val="533D58C6"/>
    <w:rsid w:val="53536515"/>
    <w:rsid w:val="536B21BA"/>
    <w:rsid w:val="536F6285"/>
    <w:rsid w:val="539179C0"/>
    <w:rsid w:val="53A862CC"/>
    <w:rsid w:val="540006A2"/>
    <w:rsid w:val="541F052E"/>
    <w:rsid w:val="542237F5"/>
    <w:rsid w:val="542645AC"/>
    <w:rsid w:val="542919A7"/>
    <w:rsid w:val="542A0FDA"/>
    <w:rsid w:val="54505185"/>
    <w:rsid w:val="54572AF0"/>
    <w:rsid w:val="54631B76"/>
    <w:rsid w:val="546C11F4"/>
    <w:rsid w:val="546E1AAF"/>
    <w:rsid w:val="54857525"/>
    <w:rsid w:val="549B108D"/>
    <w:rsid w:val="54B1453D"/>
    <w:rsid w:val="54ED53D0"/>
    <w:rsid w:val="55091CCC"/>
    <w:rsid w:val="55A82D9F"/>
    <w:rsid w:val="55C67DF5"/>
    <w:rsid w:val="55FA184D"/>
    <w:rsid w:val="56307253"/>
    <w:rsid w:val="56453199"/>
    <w:rsid w:val="5654769C"/>
    <w:rsid w:val="56E97E02"/>
    <w:rsid w:val="572F455A"/>
    <w:rsid w:val="574A2360"/>
    <w:rsid w:val="576D7AC6"/>
    <w:rsid w:val="57723665"/>
    <w:rsid w:val="579877F8"/>
    <w:rsid w:val="57A416BA"/>
    <w:rsid w:val="57CA16F3"/>
    <w:rsid w:val="582F6DAB"/>
    <w:rsid w:val="58366D88"/>
    <w:rsid w:val="585359F7"/>
    <w:rsid w:val="58977827"/>
    <w:rsid w:val="58AD45AF"/>
    <w:rsid w:val="58D4718C"/>
    <w:rsid w:val="59034EBC"/>
    <w:rsid w:val="590D3A4A"/>
    <w:rsid w:val="591168D4"/>
    <w:rsid w:val="59274DA4"/>
    <w:rsid w:val="595A1FCA"/>
    <w:rsid w:val="59722042"/>
    <w:rsid w:val="599211F9"/>
    <w:rsid w:val="59A82CA5"/>
    <w:rsid w:val="5ABD109B"/>
    <w:rsid w:val="5AD514E8"/>
    <w:rsid w:val="5AD536B4"/>
    <w:rsid w:val="5AEA4CCC"/>
    <w:rsid w:val="5B031B11"/>
    <w:rsid w:val="5B18486E"/>
    <w:rsid w:val="5B2C4517"/>
    <w:rsid w:val="5B96574B"/>
    <w:rsid w:val="5C2A4141"/>
    <w:rsid w:val="5C533A65"/>
    <w:rsid w:val="5C5A652B"/>
    <w:rsid w:val="5C834903"/>
    <w:rsid w:val="5CD014EC"/>
    <w:rsid w:val="5D3E5EBD"/>
    <w:rsid w:val="5D722610"/>
    <w:rsid w:val="5DA13BFB"/>
    <w:rsid w:val="5DDD75C3"/>
    <w:rsid w:val="5DE138D8"/>
    <w:rsid w:val="5DFB0858"/>
    <w:rsid w:val="5E1921ED"/>
    <w:rsid w:val="5F577043"/>
    <w:rsid w:val="5F7D5E8E"/>
    <w:rsid w:val="5F7F522A"/>
    <w:rsid w:val="5F824661"/>
    <w:rsid w:val="5FD07782"/>
    <w:rsid w:val="5FD72BFF"/>
    <w:rsid w:val="5FEA2932"/>
    <w:rsid w:val="601337BB"/>
    <w:rsid w:val="60367925"/>
    <w:rsid w:val="604D2EC1"/>
    <w:rsid w:val="60AA6AD9"/>
    <w:rsid w:val="60D51B2B"/>
    <w:rsid w:val="615A3F0D"/>
    <w:rsid w:val="6171498D"/>
    <w:rsid w:val="617F2D1C"/>
    <w:rsid w:val="61C3343B"/>
    <w:rsid w:val="61E909C7"/>
    <w:rsid w:val="61F22D14"/>
    <w:rsid w:val="62312A9A"/>
    <w:rsid w:val="6283706E"/>
    <w:rsid w:val="629E17B2"/>
    <w:rsid w:val="62A87E16"/>
    <w:rsid w:val="62B40FD5"/>
    <w:rsid w:val="62CA561A"/>
    <w:rsid w:val="62D32A59"/>
    <w:rsid w:val="6313315F"/>
    <w:rsid w:val="63343EC4"/>
    <w:rsid w:val="637172BE"/>
    <w:rsid w:val="639D284D"/>
    <w:rsid w:val="63CD6C1F"/>
    <w:rsid w:val="64947310"/>
    <w:rsid w:val="64A56430"/>
    <w:rsid w:val="64BF422D"/>
    <w:rsid w:val="64D23995"/>
    <w:rsid w:val="65BB2793"/>
    <w:rsid w:val="662D17CA"/>
    <w:rsid w:val="66456B14"/>
    <w:rsid w:val="667027CF"/>
    <w:rsid w:val="6688694C"/>
    <w:rsid w:val="668F1B3D"/>
    <w:rsid w:val="66D41C46"/>
    <w:rsid w:val="670D4A21"/>
    <w:rsid w:val="67397CFB"/>
    <w:rsid w:val="677368FE"/>
    <w:rsid w:val="67B6759E"/>
    <w:rsid w:val="68245589"/>
    <w:rsid w:val="683D381B"/>
    <w:rsid w:val="686F17D4"/>
    <w:rsid w:val="68777DD2"/>
    <w:rsid w:val="68EA39A3"/>
    <w:rsid w:val="69362744"/>
    <w:rsid w:val="69821E2D"/>
    <w:rsid w:val="698E432E"/>
    <w:rsid w:val="69983CE0"/>
    <w:rsid w:val="69C16AED"/>
    <w:rsid w:val="69E54079"/>
    <w:rsid w:val="6A1C1694"/>
    <w:rsid w:val="6A751DB0"/>
    <w:rsid w:val="6A753740"/>
    <w:rsid w:val="6A827B04"/>
    <w:rsid w:val="6AB95533"/>
    <w:rsid w:val="6ABA55F7"/>
    <w:rsid w:val="6B037E0E"/>
    <w:rsid w:val="6B460CAD"/>
    <w:rsid w:val="6B4D1601"/>
    <w:rsid w:val="6BDD2B0A"/>
    <w:rsid w:val="6BDE41BB"/>
    <w:rsid w:val="6BF40AC7"/>
    <w:rsid w:val="6C205044"/>
    <w:rsid w:val="6C3F7B62"/>
    <w:rsid w:val="6C5462A8"/>
    <w:rsid w:val="6C7041BF"/>
    <w:rsid w:val="6C7D4B2E"/>
    <w:rsid w:val="6C917FD7"/>
    <w:rsid w:val="6CF27418"/>
    <w:rsid w:val="6D130626"/>
    <w:rsid w:val="6D3B6D6B"/>
    <w:rsid w:val="6DA93E2C"/>
    <w:rsid w:val="6DC87525"/>
    <w:rsid w:val="6DCA3DA3"/>
    <w:rsid w:val="6DEE183F"/>
    <w:rsid w:val="6E6604D4"/>
    <w:rsid w:val="6ED739D4"/>
    <w:rsid w:val="6F3574FF"/>
    <w:rsid w:val="6F6F7A6D"/>
    <w:rsid w:val="6F9401C4"/>
    <w:rsid w:val="6F9B597D"/>
    <w:rsid w:val="6FBB0862"/>
    <w:rsid w:val="6FD1766A"/>
    <w:rsid w:val="702A61EB"/>
    <w:rsid w:val="708A7EDF"/>
    <w:rsid w:val="708F6BDE"/>
    <w:rsid w:val="7148061D"/>
    <w:rsid w:val="71494FDF"/>
    <w:rsid w:val="71902C0D"/>
    <w:rsid w:val="71AC1ECE"/>
    <w:rsid w:val="71BB7860"/>
    <w:rsid w:val="71C1726B"/>
    <w:rsid w:val="71F418A2"/>
    <w:rsid w:val="72440385"/>
    <w:rsid w:val="72CC236B"/>
    <w:rsid w:val="72E6342D"/>
    <w:rsid w:val="73086DE5"/>
    <w:rsid w:val="73761484"/>
    <w:rsid w:val="738847A8"/>
    <w:rsid w:val="73B9644B"/>
    <w:rsid w:val="743F3C99"/>
    <w:rsid w:val="74835482"/>
    <w:rsid w:val="74845889"/>
    <w:rsid w:val="74877DC7"/>
    <w:rsid w:val="74B84955"/>
    <w:rsid w:val="74DB35C2"/>
    <w:rsid w:val="74F02341"/>
    <w:rsid w:val="751D21C1"/>
    <w:rsid w:val="75556648"/>
    <w:rsid w:val="75890D8F"/>
    <w:rsid w:val="759035E8"/>
    <w:rsid w:val="75B043EA"/>
    <w:rsid w:val="75E33D48"/>
    <w:rsid w:val="76B86E8E"/>
    <w:rsid w:val="76C540E0"/>
    <w:rsid w:val="76D90F68"/>
    <w:rsid w:val="77280C7C"/>
    <w:rsid w:val="773225AC"/>
    <w:rsid w:val="7750356B"/>
    <w:rsid w:val="77660E93"/>
    <w:rsid w:val="77A22EEA"/>
    <w:rsid w:val="77A613DD"/>
    <w:rsid w:val="77C1540B"/>
    <w:rsid w:val="780E2ADE"/>
    <w:rsid w:val="783E7320"/>
    <w:rsid w:val="78544995"/>
    <w:rsid w:val="78C43643"/>
    <w:rsid w:val="78CB19C0"/>
    <w:rsid w:val="78EF290F"/>
    <w:rsid w:val="78F35EFE"/>
    <w:rsid w:val="78FF5669"/>
    <w:rsid w:val="79285642"/>
    <w:rsid w:val="793275BA"/>
    <w:rsid w:val="79A724F1"/>
    <w:rsid w:val="79B53B59"/>
    <w:rsid w:val="79C1605A"/>
    <w:rsid w:val="7A401675"/>
    <w:rsid w:val="7A4B7878"/>
    <w:rsid w:val="7A6D100D"/>
    <w:rsid w:val="7ACE2023"/>
    <w:rsid w:val="7B0501C8"/>
    <w:rsid w:val="7B4231CA"/>
    <w:rsid w:val="7B5D1DB2"/>
    <w:rsid w:val="7B685ACE"/>
    <w:rsid w:val="7B946370"/>
    <w:rsid w:val="7BAF00FE"/>
    <w:rsid w:val="7C5F16F8"/>
    <w:rsid w:val="7C6929D9"/>
    <w:rsid w:val="7C943EFA"/>
    <w:rsid w:val="7C9C4DE1"/>
    <w:rsid w:val="7C9D3E10"/>
    <w:rsid w:val="7CAB19E0"/>
    <w:rsid w:val="7CAF2E48"/>
    <w:rsid w:val="7CB122FF"/>
    <w:rsid w:val="7CBA7632"/>
    <w:rsid w:val="7D2B148D"/>
    <w:rsid w:val="7DBA67DE"/>
    <w:rsid w:val="7DE60785"/>
    <w:rsid w:val="7DF53ACA"/>
    <w:rsid w:val="7DF7159A"/>
    <w:rsid w:val="7EB048EF"/>
    <w:rsid w:val="7EB45263"/>
    <w:rsid w:val="7ECE0ABA"/>
    <w:rsid w:val="7F037115"/>
    <w:rsid w:val="7F0E4C61"/>
    <w:rsid w:val="7F7F4C0B"/>
    <w:rsid w:val="7FA51F7A"/>
    <w:rsid w:val="7FE003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keepNext/>
      <w:keepLines/>
      <w:spacing w:before="260" w:after="260" w:line="416" w:lineRule="auto"/>
      <w:outlineLvl w:val="2"/>
    </w:pPr>
    <w:rPr>
      <w:b/>
      <w:sz w:val="32"/>
      <w:szCs w:val="20"/>
    </w:rPr>
  </w:style>
  <w:style w:type="paragraph" w:styleId="5">
    <w:name w:val="heading 4"/>
    <w:basedOn w:val="1"/>
    <w:next w:val="1"/>
    <w:qFormat/>
    <w:uiPriority w:val="9"/>
    <w:pPr>
      <w:keepNext/>
      <w:keepLines/>
      <w:numPr>
        <w:ilvl w:val="3"/>
        <w:numId w:val="1"/>
      </w:numPr>
      <w:spacing w:before="280" w:after="290" w:line="376" w:lineRule="auto"/>
      <w:outlineLvl w:val="3"/>
    </w:pPr>
    <w:rPr>
      <w:rFonts w:ascii="Cambria" w:hAnsi="Cambria"/>
      <w:b/>
      <w:bCs/>
      <w:sz w:val="28"/>
      <w:szCs w:val="28"/>
    </w:rPr>
  </w:style>
  <w:style w:type="character" w:default="1" w:styleId="25">
    <w:name w:val="Default Paragraph Font"/>
    <w:autoRedefine/>
    <w:semiHidden/>
    <w:unhideWhenUsed/>
    <w:qFormat/>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qFormat/>
    <w:uiPriority w:val="0"/>
    <w:pPr>
      <w:jc w:val="center"/>
    </w:pPr>
    <w:rPr>
      <w:rFonts w:eastAsia="幼圆"/>
      <w:b/>
      <w:bCs/>
      <w:sz w:val="44"/>
    </w:rPr>
  </w:style>
  <w:style w:type="paragraph" w:styleId="8">
    <w:name w:val="Body Text Indent"/>
    <w:basedOn w:val="1"/>
    <w:next w:val="9"/>
    <w:qFormat/>
    <w:uiPriority w:val="0"/>
    <w:pPr>
      <w:adjustRightInd w:val="0"/>
      <w:spacing w:line="312" w:lineRule="atLeast"/>
      <w:jc w:val="center"/>
      <w:textAlignment w:val="baseline"/>
    </w:pPr>
    <w:rPr>
      <w:rFonts w:ascii="宋体"/>
      <w:kern w:val="0"/>
      <w:sz w:val="28"/>
    </w:rPr>
  </w:style>
  <w:style w:type="paragraph" w:styleId="9">
    <w:name w:val="envelope return"/>
    <w:basedOn w:val="1"/>
    <w:qFormat/>
    <w:uiPriority w:val="0"/>
    <w:pPr>
      <w:snapToGrid w:val="0"/>
    </w:pPr>
    <w:rPr>
      <w:rFonts w:ascii="Arial" w:hAnsi="Arial" w:eastAsia="宋体" w:cs="Times New Roman"/>
    </w:rPr>
  </w:style>
  <w:style w:type="paragraph" w:styleId="10">
    <w:name w:val="index 4"/>
    <w:basedOn w:val="1"/>
    <w:next w:val="1"/>
    <w:qFormat/>
    <w:uiPriority w:val="99"/>
    <w:pPr>
      <w:ind w:left="600" w:leftChars="600"/>
    </w:pPr>
    <w:rPr>
      <w:rFonts w:ascii="Calibri" w:hAnsi="Calibri"/>
    </w:rPr>
  </w:style>
  <w:style w:type="paragraph" w:styleId="11">
    <w:name w:val="Plain Text"/>
    <w:basedOn w:val="1"/>
    <w:qFormat/>
    <w:uiPriority w:val="0"/>
    <w:rPr>
      <w:rFonts w:ascii="宋体" w:hAnsi="Courier New" w:cs="Courier New"/>
    </w:rPr>
  </w:style>
  <w:style w:type="paragraph" w:styleId="12">
    <w:name w:val="Body Text Indent 2"/>
    <w:basedOn w:val="1"/>
    <w:qFormat/>
    <w:uiPriority w:val="0"/>
    <w:pPr>
      <w:spacing w:after="120" w:afterLines="0" w:line="480" w:lineRule="auto"/>
      <w:ind w:left="420" w:leftChars="200"/>
    </w:pPr>
    <w:rPr>
      <w:rFonts w:eastAsia="仿宋_GB2312"/>
      <w:sz w:val="28"/>
      <w:szCs w:val="20"/>
    </w:rPr>
  </w:style>
  <w:style w:type="paragraph" w:styleId="13">
    <w:name w:val="footer"/>
    <w:basedOn w:val="1"/>
    <w:link w:val="32"/>
    <w:autoRedefine/>
    <w:qFormat/>
    <w:uiPriority w:val="0"/>
    <w:pPr>
      <w:tabs>
        <w:tab w:val="center" w:pos="4153"/>
        <w:tab w:val="right" w:pos="8306"/>
      </w:tabs>
      <w:snapToGrid w:val="0"/>
      <w:jc w:val="left"/>
    </w:pPr>
    <w:rPr>
      <w:sz w:val="18"/>
      <w:szCs w:val="18"/>
    </w:rPr>
  </w:style>
  <w:style w:type="paragraph" w:styleId="14">
    <w:name w:val="header"/>
    <w:basedOn w:val="1"/>
    <w:link w:val="31"/>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toc 6"/>
    <w:basedOn w:val="1"/>
    <w:next w:val="1"/>
    <w:unhideWhenUsed/>
    <w:qFormat/>
    <w:uiPriority w:val="39"/>
    <w:pPr>
      <w:ind w:left="2100" w:leftChars="1000"/>
    </w:pPr>
    <w:rPr>
      <w:rFonts w:ascii="Calibri" w:hAnsi="Calibri" w:eastAsia="宋体" w:cs="Times New Roman"/>
      <w:szCs w:val="22"/>
    </w:rPr>
  </w:style>
  <w:style w:type="paragraph" w:styleId="16">
    <w:name w:val="Body Text Indent 3"/>
    <w:basedOn w:val="1"/>
    <w:qFormat/>
    <w:uiPriority w:val="0"/>
    <w:pPr>
      <w:spacing w:after="120" w:afterLines="0"/>
      <w:ind w:left="420" w:leftChars="200"/>
    </w:pPr>
    <w:rPr>
      <w:sz w:val="16"/>
      <w:szCs w:val="16"/>
    </w:rPr>
  </w:style>
  <w:style w:type="paragraph" w:styleId="17">
    <w:name w:val="Normal (Web)"/>
    <w:basedOn w:val="1"/>
    <w:autoRedefine/>
    <w:qFormat/>
    <w:uiPriority w:val="0"/>
    <w:pPr>
      <w:spacing w:beforeAutospacing="1" w:afterAutospacing="1"/>
      <w:jc w:val="left"/>
    </w:pPr>
    <w:rPr>
      <w:rFonts w:cs="Times New Roman"/>
      <w:kern w:val="0"/>
      <w:sz w:val="24"/>
    </w:rPr>
  </w:style>
  <w:style w:type="paragraph" w:styleId="18">
    <w:name w:val="Body Text First Indent"/>
    <w:basedOn w:val="1"/>
    <w:next w:val="15"/>
    <w:unhideWhenUsed/>
    <w:qFormat/>
    <w:uiPriority w:val="0"/>
    <w:pPr>
      <w:spacing w:after="120" w:line="360" w:lineRule="auto"/>
      <w:ind w:firstLine="420" w:firstLineChars="100"/>
    </w:pPr>
    <w:rPr>
      <w:rFonts w:ascii="Times New Roman" w:hAnsi="Times New Roman" w:eastAsia="仿宋"/>
      <w:kern w:val="0"/>
      <w:sz w:val="28"/>
      <w:szCs w:val="20"/>
    </w:rPr>
  </w:style>
  <w:style w:type="paragraph" w:styleId="19">
    <w:name w:val="Body Text First Indent 2"/>
    <w:basedOn w:val="8"/>
    <w:next w:val="20"/>
    <w:qFormat/>
    <w:uiPriority w:val="0"/>
    <w:pPr>
      <w:spacing w:line="360" w:lineRule="auto"/>
      <w:ind w:firstLine="420" w:firstLineChars="200"/>
    </w:pPr>
    <w:rPr>
      <w:rFonts w:ascii="宋体" w:hAnsi="宋体" w:eastAsia="宋体"/>
      <w:sz w:val="21"/>
      <w:szCs w:val="20"/>
    </w:rPr>
  </w:style>
  <w:style w:type="paragraph" w:customStyle="1" w:styleId="20">
    <w:name w:val="样式 标题 3 + (中文) 黑体 小四 非加粗 段前: 7.8 磅 段后: 0 磅 行距: 固定值 20 磅_0"/>
    <w:basedOn w:val="21"/>
    <w:autoRedefine/>
    <w:qFormat/>
    <w:uiPriority w:val="0"/>
    <w:pPr>
      <w:spacing w:before="0" w:after="0" w:line="400" w:lineRule="exact"/>
    </w:pPr>
    <w:rPr>
      <w:rFonts w:ascii="Times New Roman" w:hAnsi="Times New Roman" w:eastAsia="黑体" w:cs="宋体"/>
      <w:b w:val="0"/>
      <w:bCs w:val="0"/>
      <w:sz w:val="21"/>
      <w:szCs w:val="20"/>
    </w:rPr>
  </w:style>
  <w:style w:type="paragraph" w:customStyle="1" w:styleId="21">
    <w:name w:val="标题 3_0"/>
    <w:basedOn w:val="22"/>
    <w:next w:val="23"/>
    <w:autoRedefine/>
    <w:qFormat/>
    <w:uiPriority w:val="0"/>
    <w:pPr>
      <w:keepNext/>
      <w:keepLines/>
      <w:spacing w:before="260" w:after="260" w:line="416" w:lineRule="auto"/>
      <w:outlineLvl w:val="2"/>
    </w:pPr>
    <w:rPr>
      <w:rFonts w:ascii="Calibri" w:hAnsi="Calibri" w:eastAsia="宋体"/>
      <w:b/>
      <w:bCs/>
      <w:sz w:val="32"/>
      <w:szCs w:val="32"/>
    </w:rPr>
  </w:style>
  <w:style w:type="paragraph" w:customStyle="1" w:styleId="22">
    <w:name w:val="正文_0"/>
    <w:next w:val="19"/>
    <w:autoRedefine/>
    <w:qFormat/>
    <w:uiPriority w:val="0"/>
    <w:pPr>
      <w:widowControl w:val="0"/>
      <w:jc w:val="both"/>
    </w:pPr>
    <w:rPr>
      <w:rFonts w:ascii="Calibri" w:hAnsi="Calibri" w:eastAsia="仿宋_GB2312" w:cs="Times New Roman"/>
      <w:kern w:val="2"/>
      <w:sz w:val="21"/>
      <w:szCs w:val="22"/>
      <w:lang w:val="en-US" w:eastAsia="zh-CN" w:bidi="ar-SA"/>
    </w:rPr>
  </w:style>
  <w:style w:type="paragraph" w:customStyle="1" w:styleId="23">
    <w:name w:val="正文_1"/>
    <w:next w:val="19"/>
    <w:autoRedefine/>
    <w:qFormat/>
    <w:uiPriority w:val="0"/>
    <w:pPr>
      <w:widowControl w:val="0"/>
      <w:jc w:val="both"/>
    </w:pPr>
    <w:rPr>
      <w:rFonts w:ascii="Calibri" w:hAnsi="Calibri" w:eastAsia="仿宋_GB2312" w:cs="Times New Roman"/>
      <w:kern w:val="2"/>
      <w:sz w:val="21"/>
      <w:szCs w:val="22"/>
      <w:lang w:val="en-US" w:eastAsia="zh-CN" w:bidi="ar-SA"/>
    </w:rPr>
  </w:style>
  <w:style w:type="character" w:styleId="26">
    <w:name w:val="Strong"/>
    <w:basedOn w:val="25"/>
    <w:qFormat/>
    <w:uiPriority w:val="0"/>
    <w:rPr>
      <w:b/>
    </w:rPr>
  </w:style>
  <w:style w:type="character" w:styleId="27">
    <w:name w:val="Hyperlink"/>
    <w:basedOn w:val="25"/>
    <w:qFormat/>
    <w:uiPriority w:val="0"/>
    <w:rPr>
      <w:color w:val="FFFFFF"/>
      <w:u w:val="none"/>
    </w:rPr>
  </w:style>
  <w:style w:type="paragraph" w:customStyle="1" w:styleId="28">
    <w:name w:val="一级条标题"/>
    <w:basedOn w:val="29"/>
    <w:next w:val="3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9">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30">
    <w:name w:val="段"/>
    <w:basedOn w:val="1"/>
    <w:next w:val="1"/>
    <w:qFormat/>
    <w:uiPriority w:val="0"/>
    <w:pPr>
      <w:widowControl/>
      <w:ind w:firstLine="200"/>
    </w:pPr>
    <w:rPr>
      <w:rFonts w:hint="eastAsia" w:ascii="宋体"/>
      <w:szCs w:val="20"/>
    </w:rPr>
  </w:style>
  <w:style w:type="character" w:customStyle="1" w:styleId="31">
    <w:name w:val="页眉 Char"/>
    <w:basedOn w:val="25"/>
    <w:link w:val="14"/>
    <w:autoRedefine/>
    <w:qFormat/>
    <w:uiPriority w:val="0"/>
    <w:rPr>
      <w:rFonts w:asciiTheme="minorHAnsi" w:hAnsiTheme="minorHAnsi" w:eastAsiaTheme="minorEastAsia" w:cstheme="minorBidi"/>
      <w:kern w:val="2"/>
      <w:sz w:val="18"/>
      <w:szCs w:val="18"/>
    </w:rPr>
  </w:style>
  <w:style w:type="character" w:customStyle="1" w:styleId="32">
    <w:name w:val="页脚 Char"/>
    <w:basedOn w:val="25"/>
    <w:link w:val="13"/>
    <w:autoRedefine/>
    <w:qFormat/>
    <w:uiPriority w:val="0"/>
    <w:rPr>
      <w:rFonts w:asciiTheme="minorHAnsi" w:hAnsiTheme="minorHAnsi" w:eastAsiaTheme="minorEastAsia" w:cstheme="minorBidi"/>
      <w:kern w:val="2"/>
      <w:sz w:val="18"/>
      <w:szCs w:val="18"/>
    </w:rPr>
  </w:style>
  <w:style w:type="paragraph" w:customStyle="1" w:styleId="33">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34">
    <w:name w:val="正文1"/>
    <w:basedOn w:val="1"/>
    <w:qFormat/>
    <w:uiPriority w:val="0"/>
    <w:pPr>
      <w:spacing w:line="400" w:lineRule="exact"/>
      <w:ind w:firstLine="420" w:firstLineChars="200"/>
    </w:pPr>
    <w:rPr>
      <w:rFonts w:ascii="宋体" w:hAnsi="宋体"/>
      <w:szCs w:val="21"/>
    </w:rPr>
  </w:style>
  <w:style w:type="paragraph" w:customStyle="1" w:styleId="35">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36">
    <w:name w:val="NormalCharacter"/>
    <w:qFormat/>
    <w:uiPriority w:val="0"/>
  </w:style>
  <w:style w:type="character" w:customStyle="1" w:styleId="37">
    <w:name w:val="mini-outputtext1"/>
    <w:basedOn w:val="25"/>
    <w:qFormat/>
    <w:uiPriority w:val="0"/>
  </w:style>
  <w:style w:type="character" w:customStyle="1" w:styleId="38">
    <w:name w:val="fc01294d3e-4153-482a-aea1-4b54892b7913-0"/>
    <w:basedOn w:val="25"/>
    <w:qFormat/>
    <w:uiPriority w:val="0"/>
  </w:style>
  <w:style w:type="paragraph" w:customStyle="1" w:styleId="39">
    <w:name w:val="p0"/>
    <w:basedOn w:val="1"/>
    <w:qFormat/>
    <w:uiPriority w:val="0"/>
    <w:pPr>
      <w:widowControl/>
    </w:pPr>
    <w:rPr>
      <w:kern w:val="0"/>
      <w:szCs w:val="20"/>
    </w:rPr>
  </w:style>
  <w:style w:type="character" w:customStyle="1" w:styleId="40">
    <w:name w:val="fc01294d3e-4153-482a-aea1-4b54892b7913-1"/>
    <w:basedOn w:val="25"/>
    <w:qFormat/>
    <w:uiPriority w:val="0"/>
  </w:style>
  <w:style w:type="paragraph" w:customStyle="1" w:styleId="41">
    <w:name w:val="列出段落2"/>
    <w:basedOn w:val="1"/>
    <w:qFormat/>
    <w:uiPriority w:val="34"/>
    <w:pPr>
      <w:ind w:firstLine="420" w:firstLineChars="200"/>
    </w:pPr>
    <w:rPr>
      <w:rFonts w:ascii="Calibri" w:hAnsi="Calibri"/>
      <w:szCs w:val="22"/>
    </w:rPr>
  </w:style>
  <w:style w:type="paragraph" w:customStyle="1" w:styleId="42">
    <w:name w:val="首行缩进"/>
    <w:basedOn w:val="1"/>
    <w:qFormat/>
    <w:uiPriority w:val="0"/>
    <w:pPr>
      <w:ind w:firstLine="480" w:firstLineChars="200"/>
    </w:pPr>
    <w:rPr>
      <w:lang w:val="zh-CN"/>
    </w:rPr>
  </w:style>
  <w:style w:type="character" w:customStyle="1" w:styleId="43">
    <w:name w:val="font11"/>
    <w:basedOn w:val="25"/>
    <w:qFormat/>
    <w:uiPriority w:val="0"/>
    <w:rPr>
      <w:rFonts w:hint="eastAsia" w:ascii="宋体" w:hAnsi="宋体" w:eastAsia="宋体" w:cs="宋体"/>
      <w:color w:val="000000"/>
      <w:sz w:val="24"/>
      <w:szCs w:val="24"/>
      <w:u w:val="none"/>
    </w:rPr>
  </w:style>
  <w:style w:type="character" w:customStyle="1" w:styleId="44">
    <w:name w:val="font61"/>
    <w:basedOn w:val="25"/>
    <w:qFormat/>
    <w:uiPriority w:val="0"/>
    <w:rPr>
      <w:rFonts w:hint="eastAsia" w:ascii="宋体" w:hAnsi="宋体" w:eastAsia="宋体" w:cs="宋体"/>
      <w:color w:val="000000"/>
      <w:sz w:val="24"/>
      <w:szCs w:val="24"/>
      <w:u w:val="none"/>
      <w:vertAlign w:val="superscript"/>
    </w:rPr>
  </w:style>
  <w:style w:type="paragraph" w:customStyle="1" w:styleId="45">
    <w:name w:val="普通(网站)1"/>
    <w:basedOn w:val="1"/>
    <w:qFormat/>
    <w:uiPriority w:val="0"/>
    <w:pPr>
      <w:spacing w:before="100" w:beforeAutospacing="1" w:after="100" w:afterAutospacing="1"/>
      <w:ind w:left="0" w:right="0"/>
      <w:jc w:val="left"/>
    </w:pPr>
    <w:rPr>
      <w:sz w:val="24"/>
      <w:lang w:val="en-US" w:eastAsia="zh-CN" w:bidi="ar"/>
    </w:rPr>
  </w:style>
  <w:style w:type="paragraph" w:customStyle="1" w:styleId="46">
    <w:name w:val="正文首行缩进 21"/>
    <w:basedOn w:val="47"/>
    <w:qFormat/>
    <w:uiPriority w:val="0"/>
    <w:pPr>
      <w:ind w:firstLine="420"/>
    </w:pPr>
  </w:style>
  <w:style w:type="paragraph" w:customStyle="1" w:styleId="47">
    <w:name w:val="正文文本缩进1"/>
    <w:basedOn w:val="1"/>
    <w:qFormat/>
    <w:uiPriority w:val="0"/>
    <w:pPr>
      <w:spacing w:after="120"/>
      <w:ind w:left="420"/>
    </w:pPr>
  </w:style>
  <w:style w:type="paragraph" w:customStyle="1" w:styleId="48">
    <w:name w:val="纯文本1"/>
    <w:basedOn w:val="1"/>
    <w:autoRedefine/>
    <w:qFormat/>
    <w:uiPriority w:val="0"/>
    <w:rPr>
      <w:rFonts w:ascii="宋体" w:hAnsi="Courier New" w:eastAsia="宋体" w:cs="Courier New"/>
      <w:szCs w:val="21"/>
    </w:rPr>
  </w:style>
  <w:style w:type="paragraph" w:customStyle="1" w:styleId="49">
    <w:name w:val="正文 A"/>
    <w:autoRedefine/>
    <w:qFormat/>
    <w:uiPriority w:val="0"/>
    <w:pPr>
      <w:widowControl w:val="0"/>
      <w:jc w:val="both"/>
    </w:pPr>
    <w:rPr>
      <w:rFonts w:ascii="Arial Unicode MS" w:hAnsi="Arial Unicode MS" w:eastAsia="Arial Unicode MS" w:cs="Arial Unicode MS"/>
      <w:color w:val="000000"/>
      <w:kern w:val="2"/>
      <w:sz w:val="21"/>
      <w:szCs w:val="21"/>
      <w:u w:val="none" w:color="00000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42</Pages>
  <Words>18853</Words>
  <Characters>20150</Characters>
  <Lines>167</Lines>
  <Paragraphs>47</Paragraphs>
  <TotalTime>220</TotalTime>
  <ScaleCrop>false</ScaleCrop>
  <LinksUpToDate>false</LinksUpToDate>
  <CharactersWithSpaces>20715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Y_Cccy</cp:lastModifiedBy>
  <cp:lastPrinted>2026-07-20T01:35:00Z</cp:lastPrinted>
  <dcterms:modified xsi:type="dcterms:W3CDTF">2026-07-23T07:48:05Z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00DB6A36967448E2AF3CBBB6F5B662C2_13</vt:lpwstr>
  </property>
  <property fmtid="{D5CDD505-2E9C-101B-9397-08002B2CF9AE}" pid="4" name="KSOTemplateDocerSaveRecord">
    <vt:lpwstr>eyJoZGlkIjoiZWVjOWM0MjRjNDViNWQ4OWM2YjRiZTBmZTIzZmRmNWEiLCJ1c2VySWQiOiI5NjY1NDUxODMifQ==</vt:lpwstr>
  </property>
</Properties>
</file>