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8"/>
          <w:szCs w:val="52"/>
        </w:rPr>
      </w:pPr>
      <w:r>
        <w:rPr>
          <w:rFonts w:ascii="宋体" w:hAnsi="宋体" w:eastAsia="宋体"/>
          <w:sz w:val="48"/>
          <w:szCs w:val="52"/>
        </w:rPr>
      </w:r>
      <w:r/>
    </w:p>
    <w:p>
      <w:pPr>
        <w:jc w:val="center"/>
        <w:rPr>
          <w:rFonts w:ascii="宋体" w:hAnsi="宋体" w:eastAsia="宋体"/>
          <w:b/>
          <w:bCs/>
          <w:sz w:val="96"/>
          <w:szCs w:val="96"/>
        </w:rPr>
      </w:pPr>
      <w:r>
        <w:rPr>
          <w:rFonts w:hint="eastAsia" w:ascii="宋体" w:hAnsi="宋体" w:eastAsia="宋体"/>
          <w:b/>
          <w:bCs/>
          <w:sz w:val="96"/>
          <w:szCs w:val="96"/>
        </w:rPr>
        <w:t xml:space="preserve">招</w:t>
      </w:r>
      <w:r>
        <w:rPr>
          <w:rFonts w:hint="eastAsia" w:ascii="宋体" w:hAnsi="宋体" w:eastAsia="宋体"/>
          <w:b/>
          <w:bCs/>
          <w:sz w:val="96"/>
          <w:szCs w:val="96"/>
          <w:lang w:val="en-US" w:eastAsia="zh-CN"/>
        </w:rPr>
        <w:t xml:space="preserve"> </w:t>
      </w:r>
      <w:r>
        <w:rPr>
          <w:rFonts w:hint="eastAsia" w:ascii="宋体" w:hAnsi="宋体" w:eastAsia="宋体"/>
          <w:b/>
          <w:bCs/>
          <w:sz w:val="96"/>
          <w:szCs w:val="96"/>
        </w:rPr>
        <w:t xml:space="preserve">标</w:t>
      </w:r>
      <w:r>
        <w:rPr>
          <w:rFonts w:hint="eastAsia" w:ascii="宋体" w:hAnsi="宋体" w:eastAsia="宋体"/>
          <w:b/>
          <w:bCs/>
          <w:sz w:val="96"/>
          <w:szCs w:val="96"/>
          <w:lang w:val="en-US" w:eastAsia="zh-CN"/>
        </w:rPr>
        <w:t xml:space="preserve"> </w:t>
      </w:r>
      <w:r>
        <w:rPr>
          <w:rFonts w:hint="eastAsia" w:ascii="宋体" w:hAnsi="宋体" w:eastAsia="宋体"/>
          <w:b/>
          <w:bCs/>
          <w:sz w:val="96"/>
          <w:szCs w:val="96"/>
        </w:rPr>
        <w:t xml:space="preserve">文</w:t>
      </w:r>
      <w:r>
        <w:rPr>
          <w:rFonts w:hint="eastAsia" w:ascii="宋体" w:hAnsi="宋体" w:eastAsia="宋体"/>
          <w:b/>
          <w:bCs/>
          <w:sz w:val="96"/>
          <w:szCs w:val="96"/>
          <w:lang w:val="en-US" w:eastAsia="zh-CN"/>
        </w:rPr>
        <w:t xml:space="preserve"> </w:t>
      </w:r>
      <w:r>
        <w:rPr>
          <w:rFonts w:hint="eastAsia" w:ascii="宋体" w:hAnsi="宋体" w:eastAsia="宋体"/>
          <w:b/>
          <w:bCs/>
          <w:sz w:val="96"/>
          <w:szCs w:val="96"/>
        </w:rPr>
        <w:t xml:space="preserve">件</w:t>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ind w:left="1807" w:hanging="1807"/>
        <w:jc w:val="center"/>
        <w:spacing w:line="900" w:lineRule="exact"/>
        <w:rPr>
          <w:rFonts w:ascii="宋体" w:hAnsi="宋体" w:eastAsia="宋体"/>
          <w:b/>
          <w:sz w:val="36"/>
          <w:szCs w:val="36"/>
        </w:rPr>
      </w:pPr>
      <w:r>
        <w:rPr>
          <w:rFonts w:hint="eastAsia" w:ascii="宋体" w:hAnsi="宋体" w:eastAsia="宋体"/>
          <w:b/>
          <w:sz w:val="36"/>
          <w:szCs w:val="36"/>
        </w:rPr>
        <w:t xml:space="preserve">项目名称：盐城市亭湖生态环境基层协同治理</w:t>
      </w:r>
      <w:r/>
    </w:p>
    <w:p>
      <w:pPr>
        <w:ind w:left="1807" w:hanging="1807"/>
        <w:jc w:val="center"/>
        <w:spacing w:line="900" w:lineRule="exact"/>
        <w:rPr>
          <w:rFonts w:ascii="宋体" w:hAnsi="宋体" w:eastAsia="宋体"/>
          <w:sz w:val="36"/>
          <w:szCs w:val="36"/>
        </w:rPr>
      </w:pPr>
      <w:r>
        <w:rPr>
          <w:rFonts w:hint="eastAsia" w:ascii="宋体" w:hAnsi="宋体" w:eastAsia="宋体"/>
          <w:b/>
          <w:sz w:val="36"/>
          <w:szCs w:val="36"/>
        </w:rPr>
        <w:t xml:space="preserve">（省市区三级共建试点）平台建设项目</w:t>
      </w:r>
      <w:r/>
    </w:p>
    <w:p>
      <w:pPr>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900" w:lineRule="exact"/>
        <w:rPr>
          <w:rFonts w:ascii="宋体" w:hAnsi="宋体" w:eastAsia="宋体"/>
          <w:b/>
          <w:bCs/>
          <w:sz w:val="36"/>
          <w:szCs w:val="40"/>
        </w:rPr>
      </w:pPr>
      <w:r>
        <w:rPr>
          <w:rFonts w:hint="eastAsia" w:ascii="宋体" w:hAnsi="宋体" w:eastAsia="宋体"/>
          <w:b/>
          <w:bCs/>
          <w:sz w:val="36"/>
          <w:szCs w:val="40"/>
        </w:rPr>
        <w:t xml:space="preserve">盐城市亭湖生态环境局</w:t>
      </w:r>
      <w:r/>
    </w:p>
    <w:p>
      <w:pPr>
        <w:jc w:val="center"/>
        <w:spacing w:line="900" w:lineRule="exact"/>
        <w:rPr>
          <w:rFonts w:ascii="宋体" w:hAnsi="宋体" w:eastAsia="宋体"/>
          <w:b/>
          <w:bCs/>
          <w:sz w:val="36"/>
          <w:szCs w:val="40"/>
        </w:rPr>
      </w:pPr>
      <w:r>
        <w:rPr>
          <w:rFonts w:hint="eastAsia" w:ascii="宋体" w:hAnsi="宋体" w:eastAsia="宋体"/>
          <w:b/>
          <w:bCs/>
          <w:sz w:val="36"/>
          <w:szCs w:val="40"/>
        </w:rPr>
        <w:t xml:space="preserve">2026年</w:t>
      </w:r>
      <w:r>
        <w:rPr>
          <w:rFonts w:hint="eastAsia" w:ascii="宋体" w:hAnsi="宋体" w:eastAsia="宋体"/>
          <w:b/>
          <w:bCs/>
          <w:sz w:val="36"/>
          <w:szCs w:val="40"/>
          <w:lang w:val="en-US" w:eastAsia="zh-CN"/>
        </w:rPr>
        <w:t xml:space="preserve">7</w:t>
      </w:r>
      <w:r>
        <w:rPr>
          <w:rFonts w:hint="eastAsia" w:ascii="宋体" w:hAnsi="宋体" w:eastAsia="宋体"/>
          <w:b/>
          <w:bCs/>
          <w:sz w:val="36"/>
          <w:szCs w:val="40"/>
        </w:rPr>
        <w:t xml:space="preserve">月</w:t>
      </w:r>
      <w:r/>
    </w:p>
    <w:p>
      <w:pPr>
        <w:rPr>
          <w:rFonts w:ascii="宋体" w:hAnsi="宋体" w:eastAsia="宋体"/>
        </w:rPr>
      </w:pPr>
      <w:r>
        <w:rPr>
          <w:rFonts w:ascii="宋体" w:hAnsi="宋体" w:eastAsia="宋体"/>
        </w:rPr>
      </w:r>
      <w:r/>
    </w:p>
    <w:p>
      <w:pPr>
        <w:pStyle w:val="918"/>
        <w:jc w:val="center"/>
        <w:rPr>
          <w:rFonts w:ascii="宋体" w:hAnsi="宋体" w:eastAsia="宋体" w:cstheme="minorBidi"/>
          <w:color w:val="auto"/>
          <w:sz w:val="21"/>
          <w:szCs w:val="22"/>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lang w:val="zh-CN"/>
        </w:rPr>
      </w:r>
      <w:r/>
    </w:p>
    <w:sdt>
      <w:sdtPr>
        <w15:appearance w15:val="boundingBox"/>
        <w:id w:val="330504054"/>
        <w:rPr>
          <w:rFonts w:ascii="宋体" w:hAnsi="宋体" w:eastAsia="宋体" w:cstheme="minorBidi"/>
          <w:color w:val="auto"/>
          <w:sz w:val="21"/>
          <w:szCs w:val="22"/>
          <w:lang w:val="zh-CN"/>
        </w:rPr>
      </w:sdtPr>
      <w:sdtContent>
        <w:p>
          <w:pPr>
            <w:pStyle w:val="918"/>
            <w:jc w:val="center"/>
            <w:rPr>
              <w:rFonts w:ascii="宋体" w:hAnsi="宋体" w:eastAsia="宋体" w:cs="宋体"/>
              <w:b/>
              <w:bCs/>
              <w:color w:val="auto"/>
              <w:sz w:val="36"/>
              <w:szCs w:val="36"/>
            </w:rPr>
            <w:outlineLvl w:val="0"/>
          </w:pPr>
          <w:r>
            <w:rPr>
              <w:rFonts w:hint="eastAsia" w:ascii="宋体" w:hAnsi="宋体" w:eastAsia="宋体" w:cs="宋体"/>
              <w:b/>
              <w:bCs/>
              <w:color w:val="auto"/>
              <w:sz w:val="36"/>
              <w:szCs w:val="36"/>
              <w:lang w:val="zh-CN"/>
            </w:rPr>
            <w:t xml:space="preserve">目  录</w:t>
          </w:r>
          <w:r/>
        </w:p>
        <w:p>
          <w:pPr>
            <w:pStyle w:val="740"/>
            <w:tabs>
              <w:tab w:val="left" w:pos="1320" w:leader="none"/>
              <w:tab w:val="right" w:pos="8296" w:leader="dot"/>
            </w:tabs>
            <w:rPr>
              <w:rFonts w:ascii="宋体" w:hAnsi="宋体" w:eastAsia="宋体" w:cs="宋体"/>
            </w:rPr>
          </w:pPr>
          <w:r>
            <w:rPr>
              <w:rFonts w:ascii="宋体" w:hAnsi="宋体" w:eastAsia="宋体" w:cs="宋体"/>
            </w:rPr>
          </w:r>
          <w:r/>
        </w:p>
        <w:p>
          <w:pPr>
            <w:pStyle w:val="740"/>
            <w:tabs>
              <w:tab w:val="left" w:pos="1320" w:leader="none"/>
              <w:tab w:val="right" w:pos="8296" w:leader="dot"/>
            </w:tabs>
            <w:rPr>
              <w:rFonts w:ascii="宋体" w:hAnsi="宋体" w:eastAsia="宋体" w:cs="宋体"/>
            </w:rPr>
          </w:pPr>
          <w:r>
            <w:rPr>
              <w:rFonts w:ascii="宋体" w:hAnsi="宋体" w:eastAsia="宋体" w:cs="宋体"/>
            </w:rPr>
          </w:r>
          <w:r/>
        </w:p>
        <w:p>
          <w:pPr>
            <w:pStyle w:val="740"/>
            <w:tabs>
              <w:tab w:val="left" w:pos="1320" w:leader="none"/>
              <w:tab w:val="right" w:pos="8296" w:leader="dot"/>
            </w:tabs>
            <w:rPr>
              <w:rFonts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TOC \o "1-4" \h \z \u </w:instrText>
          </w:r>
          <w:r>
            <w:rPr>
              <w:rFonts w:hint="eastAsia" w:ascii="宋体" w:hAnsi="宋体" w:eastAsia="宋体" w:cs="宋体"/>
            </w:rPr>
            <w:fldChar w:fldCharType="separate"/>
          </w:r>
          <w:r>
            <w:fldChar w:fldCharType="begin"/>
          </w:r>
          <w:r>
            <w:instrText xml:space="preserve"> HYPERLINK \l "_Toc197644519" \o "#_Toc197644519" </w:instrText>
          </w:r>
          <w:r>
            <w:fldChar w:fldCharType="separate"/>
          </w:r>
          <w:r>
            <w:rPr>
              <w:rStyle w:val="747"/>
              <w:rFonts w:hint="eastAsia" w:ascii="宋体" w:hAnsi="宋体" w:eastAsia="宋体" w:cs="宋体"/>
              <w:b/>
              <w:bCs/>
              <w:color w:val="auto"/>
              <w:sz w:val="28"/>
              <w:szCs w:val="28"/>
              <w14:ligatures w14:val="none"/>
            </w:rPr>
            <w:t xml:space="preserve">第一章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招标公告</w:t>
          </w:r>
          <w:r>
            <w:rPr>
              <w:rFonts w:hint="eastAsia" w:ascii="宋体" w:hAnsi="宋体" w:eastAsia="宋体" w:cs="宋体"/>
              <w:b/>
              <w:bCs/>
              <w:sz w:val="28"/>
              <w:szCs w:val="28"/>
            </w:rPr>
            <w:fldChar w:fldCharType="end"/>
          </w:r>
          <w:r/>
        </w:p>
        <w:p>
          <w:pPr>
            <w:pStyle w:val="728"/>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40"/>
            <w:tabs>
              <w:tab w:val="left" w:pos="1320" w:leader="none"/>
              <w:tab w:val="right" w:pos="8296" w:leader="dot"/>
            </w:tabs>
            <w:rPr>
              <w:rFonts w:ascii="宋体" w:hAnsi="宋体" w:eastAsia="宋体" w:cs="宋体"/>
              <w:b/>
              <w:bCs/>
              <w:sz w:val="28"/>
              <w:szCs w:val="28"/>
            </w:rPr>
          </w:pPr>
          <w:r>
            <w:fldChar w:fldCharType="begin"/>
          </w:r>
          <w:r>
            <w:instrText xml:space="preserve"> HYPERLINK \l "_Toc197644527" \o "#_Toc197644527" </w:instrText>
          </w:r>
          <w:r>
            <w:fldChar w:fldCharType="separate"/>
          </w:r>
          <w:r>
            <w:rPr>
              <w:rStyle w:val="747"/>
              <w:rFonts w:hint="eastAsia" w:ascii="宋体" w:hAnsi="宋体" w:eastAsia="宋体" w:cs="宋体"/>
              <w:b/>
              <w:bCs/>
              <w:color w:val="auto"/>
              <w:sz w:val="28"/>
              <w:szCs w:val="28"/>
              <w14:ligatures w14:val="none"/>
            </w:rPr>
            <w:t xml:space="preserve">第二章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供应商须知</w:t>
          </w:r>
          <w:r>
            <w:rPr>
              <w:rFonts w:hint="eastAsia" w:ascii="宋体" w:hAnsi="宋体" w:eastAsia="宋体" w:cs="宋体"/>
              <w:b/>
              <w:bCs/>
              <w:sz w:val="28"/>
              <w:szCs w:val="28"/>
            </w:rPr>
            <w:fldChar w:fldCharType="end"/>
          </w:r>
          <w:r/>
        </w:p>
        <w:p>
          <w:pPr>
            <w:pStyle w:val="735"/>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40"/>
            <w:tabs>
              <w:tab w:val="left" w:pos="1320" w:leader="none"/>
              <w:tab w:val="right" w:pos="8296" w:leader="dot"/>
            </w:tabs>
            <w:rPr>
              <w:rFonts w:ascii="宋体" w:hAnsi="宋体" w:eastAsia="宋体" w:cs="宋体"/>
              <w:b/>
              <w:bCs/>
              <w:sz w:val="28"/>
              <w:szCs w:val="28"/>
            </w:rPr>
          </w:pPr>
          <w:r>
            <w:fldChar w:fldCharType="begin"/>
          </w:r>
          <w:r>
            <w:instrText xml:space="preserve"> HYPERLINK \l "_Toc197644568" \o "#_Toc197644568" </w:instrText>
          </w:r>
          <w:r>
            <w:fldChar w:fldCharType="separate"/>
          </w:r>
          <w:r>
            <w:rPr>
              <w:rStyle w:val="747"/>
              <w:rFonts w:hint="eastAsia" w:ascii="宋体" w:hAnsi="宋体" w:eastAsia="宋体" w:cs="宋体"/>
              <w:b/>
              <w:bCs/>
              <w:color w:val="auto"/>
              <w:sz w:val="28"/>
              <w:szCs w:val="28"/>
              <w14:ligatures w14:val="none"/>
            </w:rPr>
            <w:t xml:space="preserve">第三章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合同文本</w:t>
          </w:r>
          <w:r>
            <w:rPr>
              <w:rFonts w:hint="eastAsia" w:ascii="宋体" w:hAnsi="宋体" w:eastAsia="宋体" w:cs="宋体"/>
              <w:b/>
              <w:bCs/>
              <w:sz w:val="28"/>
              <w:szCs w:val="28"/>
            </w:rPr>
            <w:fldChar w:fldCharType="end"/>
          </w:r>
          <w:r/>
        </w:p>
        <w:p>
          <w:pPr>
            <w:pStyle w:val="740"/>
            <w:tabs>
              <w:tab w:val="left" w:pos="1320" w:leader="none"/>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40"/>
            <w:tabs>
              <w:tab w:val="left" w:pos="1320" w:leader="none"/>
              <w:tab w:val="right" w:pos="8296" w:leader="dot"/>
            </w:tabs>
            <w:rPr>
              <w:rFonts w:ascii="宋体" w:hAnsi="宋体" w:eastAsia="宋体" w:cs="宋体"/>
              <w:b/>
              <w:bCs/>
              <w:sz w:val="28"/>
              <w:szCs w:val="28"/>
            </w:rPr>
          </w:pPr>
          <w:r>
            <w:fldChar w:fldCharType="begin"/>
          </w:r>
          <w:r>
            <w:instrText xml:space="preserve"> HYPERLINK \l "_Toc197644569" \o "#_Toc197644569" </w:instrText>
          </w:r>
          <w:r>
            <w:fldChar w:fldCharType="separate"/>
          </w:r>
          <w:r>
            <w:rPr>
              <w:rStyle w:val="747"/>
              <w:rFonts w:hint="eastAsia" w:ascii="宋体" w:hAnsi="宋体" w:eastAsia="宋体" w:cs="宋体"/>
              <w:b/>
              <w:bCs/>
              <w:color w:val="auto"/>
              <w:sz w:val="28"/>
              <w:szCs w:val="28"/>
              <w14:ligatures w14:val="none"/>
            </w:rPr>
            <w:t xml:space="preserve">第四章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采购需求</w:t>
          </w:r>
          <w:r>
            <w:rPr>
              <w:rFonts w:hint="eastAsia" w:ascii="宋体" w:hAnsi="宋体" w:eastAsia="宋体" w:cs="宋体"/>
              <w:b/>
              <w:bCs/>
              <w:sz w:val="28"/>
              <w:szCs w:val="28"/>
            </w:rPr>
            <w:fldChar w:fldCharType="end"/>
          </w:r>
          <w:r/>
        </w:p>
        <w:p>
          <w:pPr>
            <w:pStyle w:val="728"/>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40"/>
            <w:tabs>
              <w:tab w:val="left" w:pos="1320" w:leader="none"/>
              <w:tab w:val="right" w:pos="8296" w:leader="dot"/>
            </w:tabs>
            <w:rPr>
              <w:rFonts w:ascii="宋体" w:hAnsi="宋体" w:eastAsia="宋体" w:cs="宋体"/>
              <w:b/>
              <w:bCs/>
              <w:sz w:val="28"/>
              <w:szCs w:val="28"/>
            </w:rPr>
          </w:pPr>
          <w:r>
            <w:fldChar w:fldCharType="begin"/>
          </w:r>
          <w:r>
            <w:instrText xml:space="preserve"> HYPERLINK \l "_Toc197644575" \o "#_Toc197644575" </w:instrText>
          </w:r>
          <w:r>
            <w:fldChar w:fldCharType="separate"/>
          </w:r>
          <w:r>
            <w:rPr>
              <w:rStyle w:val="747"/>
              <w:rFonts w:hint="eastAsia" w:ascii="宋体" w:hAnsi="宋体" w:eastAsia="宋体" w:cs="宋体"/>
              <w:b/>
              <w:bCs/>
              <w:color w:val="auto"/>
              <w:sz w:val="28"/>
              <w:szCs w:val="28"/>
              <w14:ligatures w14:val="none"/>
            </w:rPr>
            <w:t xml:space="preserve">第五章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评标方法与评标标准</w:t>
          </w:r>
          <w:r>
            <w:rPr>
              <w:rFonts w:hint="eastAsia" w:ascii="宋体" w:hAnsi="宋体" w:eastAsia="宋体" w:cs="宋体"/>
              <w:b/>
              <w:bCs/>
              <w:sz w:val="28"/>
              <w:szCs w:val="28"/>
            </w:rPr>
            <w:fldChar w:fldCharType="end"/>
          </w:r>
          <w:r/>
        </w:p>
        <w:p>
          <w:pPr>
            <w:pStyle w:val="728"/>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40"/>
            <w:tabs>
              <w:tab w:val="left" w:pos="1320" w:leader="none"/>
              <w:tab w:val="right" w:pos="8296" w:leader="dot"/>
            </w:tabs>
            <w:rPr>
              <w:rFonts w:hint="eastAsia" w:ascii="宋体" w:hAnsi="宋体" w:eastAsia="宋体" w:cs="宋体"/>
              <w:b/>
              <w:bCs/>
              <w:sz w:val="22"/>
              <w:szCs w:val="24"/>
              <w:lang w:eastAsia="zh-CN"/>
            </w:rPr>
          </w:pPr>
          <w:r>
            <w:fldChar w:fldCharType="begin"/>
          </w:r>
          <w:r>
            <w:instrText xml:space="preserve"> HYPERLINK \l "_Toc197644579" \o "#_Toc197644579" </w:instrText>
          </w:r>
          <w:r>
            <w:fldChar w:fldCharType="separate"/>
          </w:r>
          <w:r>
            <w:rPr>
              <w:rStyle w:val="747"/>
              <w:rFonts w:hint="eastAsia" w:ascii="宋体" w:hAnsi="宋体" w:eastAsia="宋体" w:cs="宋体"/>
              <w:b/>
              <w:bCs/>
              <w:color w:val="auto"/>
              <w:sz w:val="28"/>
              <w:szCs w:val="28"/>
              <w14:ligatures w14:val="none"/>
            </w:rPr>
            <w:t xml:space="preserve">第六章</w:t>
          </w:r>
          <w:r>
            <w:rPr>
              <w:rFonts w:hint="eastAsia" w:ascii="宋体" w:hAnsi="宋体" w:eastAsia="宋体" w:cs="宋体"/>
              <w:b/>
              <w:bCs/>
              <w:sz w:val="28"/>
              <w:szCs w:val="28"/>
            </w:rPr>
            <w:tab/>
          </w:r>
          <w:r>
            <w:rPr>
              <w:rStyle w:val="747"/>
              <w:rFonts w:hint="eastAsia" w:ascii="宋体" w:hAnsi="宋体" w:eastAsia="宋体" w:cs="宋体"/>
              <w:b/>
              <w:bCs/>
              <w:color w:val="auto"/>
              <w:sz w:val="28"/>
              <w:szCs w:val="28"/>
              <w14:ligatures w14:val="none"/>
            </w:rPr>
            <w:t xml:space="preserve">投标文件格式</w:t>
          </w:r>
          <w:r>
            <w:rPr>
              <w:rFonts w:hint="eastAsia" w:ascii="宋体" w:hAnsi="宋体" w:eastAsia="宋体" w:cs="宋体"/>
              <w:b/>
              <w:bCs/>
              <w:sz w:val="28"/>
              <w:szCs w:val="28"/>
            </w:rPr>
            <w:fldChar w:fldCharType="end"/>
          </w:r>
          <w:r/>
        </w:p>
        <w:p>
          <w:pPr>
            <w:pStyle w:val="740"/>
            <w:tabs>
              <w:tab w:val="right" w:pos="8296" w:leader="dot"/>
            </w:tabs>
            <w:rPr>
              <w:rFonts w:ascii="宋体" w:hAnsi="宋体" w:eastAsia="宋体" w:cs="宋体"/>
              <w:sz w:val="22"/>
              <w:szCs w:val="24"/>
            </w:rPr>
          </w:pPr>
          <w:r>
            <w:rPr>
              <w:rFonts w:ascii="宋体" w:hAnsi="宋体" w:eastAsia="宋体" w:cs="宋体"/>
              <w:sz w:val="22"/>
              <w:szCs w:val="24"/>
            </w:rPr>
          </w:r>
          <w:r/>
        </w:p>
        <w:p>
          <w:pPr>
            <w:rPr>
              <w:rFonts w:ascii="宋体" w:hAnsi="宋体" w:eastAsia="宋体"/>
            </w:rPr>
          </w:pPr>
          <w:r>
            <w:rPr>
              <w:rFonts w:hint="eastAsia" w:ascii="宋体" w:hAnsi="宋体" w:eastAsia="宋体" w:cs="宋体"/>
            </w:rPr>
            <w:fldChar w:fldCharType="end"/>
          </w:r>
          <w:r/>
        </w:p>
      </w:sdtContent>
    </w:sdt>
    <w:p>
      <w:pPr>
        <w:jc w:val="left"/>
        <w:widowControl/>
        <w:rPr>
          <w:rFonts w:ascii="宋体" w:hAnsi="宋体" w:eastAsia="宋体"/>
        </w:rPr>
      </w:pPr>
      <w:r>
        <w:rPr>
          <w:rFonts w:hint="eastAsia" w:ascii="宋体" w:hAnsi="宋体" w:eastAsia="宋体"/>
        </w:rPr>
        <w:br w:type="page" w:clear="all"/>
      </w:r>
      <w:r/>
    </w:p>
    <w:p>
      <w:pPr>
        <w:pStyle w:val="710"/>
        <w:numPr>
          <w:ilvl w:val="0"/>
          <w:numId w:val="1"/>
        </w:numPr>
        <w:ind w:left="0" w:firstLine="0"/>
        <w:jc w:val="center"/>
        <w:keepLines w:val="0"/>
        <w:keepNext w:val="0"/>
        <w:spacing w:before="100" w:beforeAutospacing="1" w:after="100" w:afterAutospacing="1" w:line="360" w:lineRule="auto"/>
        <w:rPr>
          <w:rFonts w:ascii="宋体" w:hAnsi="宋体" w:eastAsia="宋体" w:cs="Times New Roman"/>
          <w:b/>
          <w:bCs/>
          <w:color w:val="auto"/>
          <w:sz w:val="32"/>
          <w:szCs w:val="32"/>
          <w14:ligatures w14:val="none"/>
        </w:rPr>
        <w:outlineLvl w:val="0"/>
      </w:pPr>
      <w:r/>
      <w:bookmarkStart w:id="0" w:name="_Toc197644519"/>
      <w:r>
        <w:rPr>
          <w:rFonts w:hint="eastAsia" w:ascii="宋体" w:hAnsi="宋体" w:eastAsia="宋体" w:cs="Times New Roman"/>
          <w:b/>
          <w:bCs/>
          <w:color w:val="auto"/>
          <w:sz w:val="32"/>
          <w:szCs w:val="32"/>
          <w14:ligatures w14:val="none"/>
        </w:rPr>
        <w:t xml:space="preserve">招标公告</w:t>
      </w:r>
      <w:bookmarkEnd w:id="0"/>
      <w:r/>
      <w:r/>
    </w:p>
    <w:p>
      <w:pPr>
        <w:ind w:firstLine="422"/>
        <w:jc w:val="left"/>
        <w:spacing w:line="500" w:lineRule="exact"/>
        <w:rPr>
          <w:rFonts w:ascii="宋体" w:hAnsi="宋体" w:eastAsia="宋体"/>
          <w:b/>
          <w:bCs/>
          <w:sz w:val="24"/>
          <w:szCs w:val="28"/>
        </w:rPr>
        <w:pBdr>
          <w:top w:val="single" w:color="auto" w:sz="4" w:space="1"/>
          <w:left w:val="single" w:color="auto" w:sz="4" w:space="4"/>
          <w:bottom w:val="single" w:color="auto" w:sz="4" w:space="1"/>
          <w:right w:val="single" w:color="auto" w:sz="4" w:space="4"/>
        </w:pBdr>
      </w:pPr>
      <w:r>
        <w:rPr>
          <w:rFonts w:hint="eastAsia" w:ascii="宋体" w:hAnsi="宋体" w:eastAsia="宋体"/>
          <w:b/>
          <w:bCs/>
          <w:sz w:val="24"/>
          <w:szCs w:val="28"/>
        </w:rPr>
        <w:t xml:space="preserve">项目概况</w:t>
      </w:r>
      <w:r/>
    </w:p>
    <w:p>
      <w:pPr>
        <w:ind w:firstLine="424"/>
        <w:spacing w:line="500" w:lineRule="exact"/>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盐城市亭湖生态环境基层协同治理（省市区三级共建试点）平台建设项目</w:t>
      </w:r>
      <w:r>
        <w:rPr>
          <w:rFonts w:hint="eastAsia" w:ascii="宋体" w:hAnsi="宋体" w:eastAsia="宋体" w:cs="宋体"/>
          <w:sz w:val="24"/>
          <w:szCs w:val="24"/>
        </w:rPr>
        <w:t xml:space="preserve">的潜在供应商可在</w:t>
      </w:r>
      <w:r>
        <w:rPr>
          <w:rFonts w:hint="eastAsia" w:ascii="宋体" w:hAnsi="宋体" w:eastAsia="宋体" w:cs="宋体"/>
          <w:sz w:val="24"/>
          <w:szCs w:val="24"/>
          <w:shd w:val="clear" w:color="auto" w:fill="ffffff"/>
        </w:rPr>
        <w:t xml:space="preserve">“苏采云”系统内免费下载（供应商必须在苏采云系统中获取采购文件，方能参与政府采购项目）</w:t>
      </w:r>
      <w:r>
        <w:rPr>
          <w:rFonts w:hint="eastAsia" w:ascii="宋体" w:hAnsi="宋体" w:eastAsia="宋体" w:cs="宋体"/>
          <w:sz w:val="24"/>
          <w:szCs w:val="24"/>
        </w:rPr>
        <w:t xml:space="preserve">，并于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点00分</w:t>
      </w:r>
      <w:r>
        <w:rPr>
          <w:rFonts w:hint="eastAsia" w:ascii="宋体" w:hAnsi="宋体" w:eastAsia="宋体" w:cs="宋体"/>
          <w:sz w:val="24"/>
          <w:szCs w:val="24"/>
        </w:rPr>
        <w:t xml:space="preserve">（北京时间）前递交投标文件。</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1" w:name="_Toc197644520"/>
      <w:r>
        <w:rPr>
          <w:rFonts w:hint="eastAsia" w:ascii="宋体" w:hAnsi="宋体" w:eastAsia="宋体" w:cs="宋体"/>
          <w:b/>
          <w:bCs/>
          <w:sz w:val="24"/>
          <w:szCs w:val="24"/>
        </w:rPr>
        <w:t xml:space="preserve">项目基本情况</w:t>
      </w:r>
      <w:bookmarkEnd w:id="1"/>
      <w:r/>
      <w:r/>
    </w:p>
    <w:p>
      <w:pPr>
        <w:pStyle w:val="910"/>
        <w:numPr>
          <w:ilvl w:val="0"/>
          <w:numId w:val="3"/>
        </w:numPr>
        <w:ind w:left="0" w:firstLine="426"/>
        <w:spacing w:line="500" w:lineRule="exact"/>
        <w:rPr>
          <w:rFonts w:ascii="宋体" w:hAnsi="宋体" w:eastAsia="宋体" w:cs="宋体"/>
          <w:sz w:val="24"/>
          <w:szCs w:val="24"/>
        </w:rPr>
      </w:pPr>
      <w:r/>
      <w:bookmarkStart w:id="2" w:name="_Hlk195780407"/>
      <w:r>
        <w:rPr>
          <w:rFonts w:hint="eastAsia" w:ascii="宋体" w:hAnsi="宋体" w:eastAsia="宋体" w:cs="宋体"/>
          <w:sz w:val="24"/>
          <w:szCs w:val="24"/>
        </w:rPr>
        <w:t xml:space="preserve">项目编号</w:t>
      </w:r>
      <w:bookmarkEnd w:id="2"/>
      <w:r>
        <w:rPr>
          <w:rFonts w:hint="eastAsia" w:ascii="宋体" w:hAnsi="宋体" w:eastAsia="宋体" w:cs="宋体"/>
          <w:sz w:val="24"/>
          <w:szCs w:val="24"/>
        </w:rPr>
        <w:t xml:space="preserve">：JSZC-320902-JZCG-G2026-0023</w:t>
      </w:r>
      <w:bookmarkStart w:id="146" w:name="_GoBack"/>
      <w:r/>
      <w:bookmarkEnd w:id="146"/>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项目名称：盐城市亭湖生态环境基层协同治理（省市区三级共建试点）平台建设项目</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采购方式：公开招标</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374</w:t>
      </w:r>
      <w:r>
        <w:rPr>
          <w:rFonts w:hint="eastAsia" w:ascii="宋体" w:hAnsi="宋体" w:eastAsia="宋体" w:cs="宋体"/>
          <w:sz w:val="24"/>
          <w:szCs w:val="24"/>
        </w:rPr>
        <w:t xml:space="preserve">万元</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sz w:val="24"/>
        </w:rPr>
        <w:t xml:space="preserve">：</w:t>
      </w:r>
      <w:r>
        <w:rPr>
          <w:rFonts w:hint="eastAsia" w:ascii="宋体" w:hAnsi="宋体" w:eastAsia="宋体" w:cs="宋体"/>
          <w:sz w:val="24"/>
          <w:szCs w:val="24"/>
          <w:lang w:val="en-US" w:eastAsia="zh-CN"/>
        </w:rPr>
        <w:t xml:space="preserve">374</w:t>
      </w:r>
      <w:r>
        <w:rPr>
          <w:rFonts w:hint="eastAsia" w:ascii="宋体" w:hAnsi="宋体" w:eastAsia="宋体" w:cs="宋体"/>
          <w:sz w:val="24"/>
          <w:szCs w:val="24"/>
        </w:rPr>
        <w:t xml:space="preserve">万元，投标报价高于最高限价的，视为无效标书。</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采购需求：为进一步提升亭湖区生态环境监管能力，争做省市区融合应用试点第一城，拟开展盐城市亭湖生态环境基层协同治理（省市区三级共建试点）平台建设，实现亭湖区生态环境业务全流程在省市统一框架下运行，推动全区生态环境数据自动共享、预警自动派发、任务自动流转，显著提升省市区三级监管协同效率。详见采购文件第四章项目需求。采用综合评分法评标。</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合同履行期限：签订合同之日起，6个月内完成合同中所要求的项目设计、软件开发与部署等建设工作，其中试运行期1个月。在试运行期间完成对使用该系统的相关人员培训，并达到验收标准。</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运维期：3年。</w:t>
      </w:r>
      <w:r/>
    </w:p>
    <w:p>
      <w:pPr>
        <w:pStyle w:val="910"/>
        <w:numPr>
          <w:ilvl w:val="0"/>
          <w:numId w:val="3"/>
        </w:numPr>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本项目不接受联合体参与投标，不允许分包及转包。</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3" w:name="_Toc197644521"/>
      <w:r>
        <w:rPr>
          <w:rFonts w:hint="eastAsia" w:ascii="宋体" w:hAnsi="宋体" w:eastAsia="宋体" w:cs="宋体"/>
          <w:b/>
          <w:bCs/>
          <w:sz w:val="24"/>
          <w:szCs w:val="24"/>
        </w:rPr>
        <w:t xml:space="preserve">申请人的资格要求</w:t>
      </w:r>
      <w:bookmarkEnd w:id="3"/>
      <w:r/>
      <w:r/>
    </w:p>
    <w:p>
      <w:pPr>
        <w:pStyle w:val="910"/>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pStyle w:val="910"/>
        <w:numPr>
          <w:ilvl w:val="1"/>
          <w:numId w:val="0"/>
        </w:numPr>
        <w:ind w:left="844" w:hanging="420"/>
        <w:spacing w:line="50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法人或者其他组织的营业执照等证明文件</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自然人的身份证明；</w:t>
      </w:r>
      <w:r/>
    </w:p>
    <w:p>
      <w:pPr>
        <w:pStyle w:val="910"/>
        <w:numPr>
          <w:ilvl w:val="1"/>
          <w:numId w:val="0"/>
        </w:numPr>
        <w:ind w:left="479"/>
        <w:spacing w:line="500" w:lineRule="exact"/>
        <w:rPr>
          <w:rFonts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 2024年或2025年度的财务状况报告（至少提供资产负债表、利润表、现</w:t>
      </w:r>
      <w:r/>
    </w:p>
    <w:p>
      <w:pPr>
        <w:pStyle w:val="910"/>
        <w:ind w:left="0"/>
        <w:spacing w:line="500" w:lineRule="exact"/>
        <w:rPr>
          <w:rFonts w:ascii="宋体" w:hAnsi="宋体" w:eastAsia="宋体" w:cs="宋体"/>
          <w:sz w:val="24"/>
          <w:szCs w:val="24"/>
        </w:rPr>
      </w:pPr>
      <w:r>
        <w:rPr>
          <w:rFonts w:hint="eastAsia" w:ascii="宋体" w:hAnsi="宋体" w:eastAsia="宋体" w:cs="宋体"/>
          <w:sz w:val="24"/>
          <w:szCs w:val="24"/>
        </w:rPr>
        <w:t xml:space="preserve">金流量表，供应商成立不满一年无需提供）；</w:t>
      </w:r>
      <w:r/>
    </w:p>
    <w:p>
      <w:pPr>
        <w:pStyle w:val="910"/>
        <w:numPr>
          <w:ilvl w:val="1"/>
          <w:numId w:val="0"/>
        </w:numPr>
        <w:ind w:left="844" w:hanging="420"/>
        <w:spacing w:line="500" w:lineRule="exact"/>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具备履行合同所必需的设备和专业技术能力的书面声明；</w:t>
      </w:r>
      <w:r/>
    </w:p>
    <w:p>
      <w:pPr>
        <w:pStyle w:val="910"/>
        <w:numPr>
          <w:ilvl w:val="1"/>
          <w:numId w:val="0"/>
        </w:numPr>
        <w:ind w:firstLine="426"/>
        <w:spacing w:line="500" w:lineRule="exact"/>
        <w:rPr>
          <w:rFonts w:ascii="宋体" w:hAnsi="宋体" w:eastAsia="宋体" w:cs="宋体"/>
          <w:sz w:val="24"/>
          <w:szCs w:val="24"/>
        </w:rPr>
      </w:pPr>
      <w:r>
        <w:rPr>
          <w:rFonts w:ascii="宋体" w:hAnsi="宋体" w:eastAsia="宋体" w:cs="宋体"/>
          <w:sz w:val="24"/>
          <w:szCs w:val="24"/>
        </w:rPr>
        <w:t xml:space="preserve">1.4</w:t>
      </w: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10"/>
        <w:numPr>
          <w:ilvl w:val="1"/>
          <w:numId w:val="0"/>
        </w:numPr>
        <w:ind w:firstLine="426"/>
        <w:spacing w:line="500" w:lineRule="exact"/>
        <w:rPr>
          <w:rFonts w:ascii="宋体" w:hAnsi="宋体" w:eastAsia="宋体" w:cs="宋体"/>
          <w:sz w:val="24"/>
          <w:szCs w:val="24"/>
        </w:rPr>
      </w:pPr>
      <w:r>
        <w:rPr>
          <w:rFonts w:ascii="宋体" w:hAnsi="宋体" w:eastAsia="宋体" w:cs="宋体"/>
          <w:sz w:val="24"/>
          <w:szCs w:val="24"/>
        </w:rPr>
        <w:t xml:space="preserve">1.5</w:t>
      </w:r>
      <w:r>
        <w:rPr>
          <w:rFonts w:hint="eastAsia" w:ascii="宋体" w:hAnsi="宋体" w:eastAsia="宋体" w:cs="宋体"/>
          <w:sz w:val="24"/>
          <w:szCs w:val="24"/>
        </w:rPr>
        <w:t xml:space="preserve">参加政府采购活动前3年内在经营活动中没有重大违法记录的书面声明；</w:t>
      </w:r>
      <w:r/>
    </w:p>
    <w:p>
      <w:pPr>
        <w:pStyle w:val="910"/>
        <w:numPr>
          <w:ilvl w:val="1"/>
          <w:numId w:val="0"/>
        </w:numPr>
        <w:ind w:firstLine="426"/>
        <w:spacing w:line="500" w:lineRule="exact"/>
        <w:rPr>
          <w:rFonts w:ascii="宋体" w:hAnsi="宋体" w:eastAsia="宋体" w:cs="宋体"/>
          <w:sz w:val="24"/>
          <w:szCs w:val="24"/>
        </w:rPr>
      </w:pPr>
      <w:r>
        <w:rPr>
          <w:rFonts w:ascii="宋体" w:hAnsi="宋体" w:eastAsia="宋体" w:cs="宋体"/>
          <w:sz w:val="24"/>
          <w:szCs w:val="24"/>
        </w:rPr>
        <w:t xml:space="preserve">1.6</w:t>
      </w:r>
      <w:r>
        <w:rPr>
          <w:rFonts w:hint="eastAsia" w:ascii="宋体" w:hAnsi="宋体" w:eastAsia="宋体" w:cs="宋体"/>
          <w:sz w:val="24"/>
          <w:szCs w:val="24"/>
        </w:rPr>
        <w:t xml:space="preserve">法律、行政法规规定的其他条件。</w:t>
      </w:r>
      <w:r/>
    </w:p>
    <w:p>
      <w:pPr>
        <w:pStyle w:val="910"/>
        <w:numPr>
          <w:ilvl w:val="1"/>
          <w:numId w:val="0"/>
        </w:numPr>
        <w:ind w:firstLine="426"/>
        <w:spacing w:line="500" w:lineRule="exact"/>
        <w:rPr>
          <w:rFonts w:ascii="宋体" w:hAnsi="宋体" w:eastAsia="宋体" w:cs="宋体"/>
          <w:sz w:val="24"/>
          <w:szCs w:val="24"/>
        </w:rPr>
      </w:pPr>
      <w:r>
        <w:rPr>
          <w:rFonts w:ascii="宋体" w:hAnsi="宋体" w:eastAsia="宋体" w:cs="宋体"/>
          <w:sz w:val="24"/>
          <w:szCs w:val="24"/>
        </w:rPr>
        <w:t xml:space="preserve">1.7</w:t>
      </w:r>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10"/>
        <w:numPr>
          <w:ilvl w:val="1"/>
          <w:numId w:val="0"/>
        </w:numPr>
        <w:ind w:firstLine="426"/>
        <w:spacing w:line="500" w:lineRule="exact"/>
        <w:rPr>
          <w:rFonts w:ascii="宋体" w:hAnsi="宋体" w:eastAsia="宋体" w:cs="宋体"/>
          <w:sz w:val="24"/>
          <w:szCs w:val="24"/>
        </w:rPr>
      </w:pPr>
      <w:r>
        <w:rPr>
          <w:rFonts w:ascii="宋体" w:hAnsi="宋体" w:eastAsia="宋体" w:cs="宋体"/>
          <w:sz w:val="24"/>
          <w:szCs w:val="24"/>
        </w:rPr>
        <w:t xml:space="preserve">1.8</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ind w:firstLine="420"/>
        <w:spacing w:line="500" w:lineRule="exact"/>
        <w:rPr>
          <w:rFonts w:ascii="宋体" w:hAnsi="宋体"/>
          <w:b/>
          <w:bCs/>
          <w:sz w:val="24"/>
        </w:rPr>
      </w:pPr>
      <w:r>
        <w:rPr>
          <w:rFonts w:hint="eastAsia" w:ascii="宋体" w:hAnsi="宋体" w:eastAsia="宋体" w:cs="宋体"/>
          <w:sz w:val="24"/>
          <w:szCs w:val="24"/>
        </w:rPr>
        <w:t xml:space="preserve">2.落实政府采购政策需满足的资格要求：</w:t>
      </w:r>
      <w:r>
        <w:rPr>
          <w:rFonts w:hint="eastAsia" w:ascii="宋体" w:hAnsi="宋体"/>
          <w:b/>
          <w:bCs/>
          <w:color w:val="000000"/>
          <w:sz w:val="24"/>
        </w:rPr>
        <w:t xml:space="preserve">本项目为服务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r/>
    </w:p>
    <w:p>
      <w:pPr>
        <w:pStyle w:val="910"/>
        <w:ind w:left="0" w:firstLine="426"/>
        <w:spacing w:line="500" w:lineRule="exact"/>
        <w:rPr>
          <w:rFonts w:ascii="宋体" w:hAnsi="宋体" w:eastAsia="宋体" w:cs="宋体"/>
          <w:sz w:val="24"/>
          <w:szCs w:val="24"/>
        </w:rPr>
      </w:pPr>
      <w:r>
        <w:rPr>
          <w:rFonts w:hint="eastAsia" w:ascii="宋体" w:hAnsi="宋体" w:eastAsia="宋体" w:cs="宋体"/>
          <w:sz w:val="24"/>
          <w:szCs w:val="24"/>
        </w:rPr>
        <w:t xml:space="preserve">3.本项目的特定资格要求：无</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4" w:name="_Toc197644522"/>
      <w:r>
        <w:rPr>
          <w:rFonts w:hint="eastAsia" w:ascii="宋体" w:hAnsi="宋体" w:eastAsia="宋体" w:cs="宋体"/>
          <w:b/>
          <w:bCs/>
          <w:sz w:val="24"/>
          <w:szCs w:val="24"/>
        </w:rPr>
        <w:t xml:space="preserve">获取招标文件</w:t>
      </w:r>
      <w:bookmarkEnd w:id="4"/>
      <w:r/>
      <w:r/>
    </w:p>
    <w:p>
      <w:pPr>
        <w:pStyle w:val="910"/>
        <w:numPr>
          <w:ilvl w:val="0"/>
          <w:numId w:val="4"/>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时间：自招标公告发布之日起5个工作日</w:t>
      </w:r>
      <w:r/>
    </w:p>
    <w:p>
      <w:pPr>
        <w:pStyle w:val="910"/>
        <w:numPr>
          <w:ilvl w:val="0"/>
          <w:numId w:val="4"/>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地点：“苏采云”系统内免费下载（供应商必须在“苏采云”系统中获取采购文件，方能参与政府采购项目）</w:t>
      </w:r>
      <w:r/>
    </w:p>
    <w:p>
      <w:pPr>
        <w:pStyle w:val="910"/>
        <w:numPr>
          <w:ilvl w:val="0"/>
          <w:numId w:val="4"/>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方式：本项目采用网上注册登记方式</w:t>
      </w:r>
      <w:r/>
    </w:p>
    <w:p>
      <w:pPr>
        <w:pStyle w:val="910"/>
        <w:numPr>
          <w:ilvl w:val="0"/>
          <w:numId w:val="4"/>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售价：0元</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5" w:name="_Toc197644523"/>
      <w:r>
        <w:rPr>
          <w:rFonts w:hint="eastAsia" w:ascii="宋体" w:hAnsi="宋体" w:eastAsia="宋体" w:cs="宋体"/>
          <w:b/>
          <w:bCs/>
          <w:sz w:val="24"/>
          <w:szCs w:val="24"/>
        </w:rPr>
        <w:t xml:space="preserve">提交投标文件截止时间、开标时间和地点</w:t>
      </w:r>
      <w:bookmarkEnd w:id="5"/>
      <w:r/>
      <w:r/>
    </w:p>
    <w:p>
      <w:pPr>
        <w:pStyle w:val="910"/>
        <w:numPr>
          <w:ilvl w:val="0"/>
          <w:numId w:val="5"/>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时间：2026年</w:t>
      </w:r>
      <w:r>
        <w:rPr>
          <w:rFonts w:hint="eastAsia" w:ascii="宋体" w:hAnsi="宋体" w:eastAsia="宋体" w:cs="宋体"/>
          <w:sz w:val="24"/>
          <w:szCs w:val="24"/>
          <w:shd w:val="clear" w:color="auto" w:fill="ffffff"/>
          <w:lang w:val="en-US" w:eastAsia="zh-CN"/>
          <w14:ligatures w14:val="none"/>
        </w:rPr>
        <w:t xml:space="preserve">8</w:t>
      </w:r>
      <w:r>
        <w:rPr>
          <w:rFonts w:hint="eastAsia" w:ascii="宋体" w:hAnsi="宋体" w:eastAsia="宋体" w:cs="宋体"/>
          <w:sz w:val="24"/>
          <w:szCs w:val="24"/>
          <w:shd w:val="clear" w:color="auto" w:fill="ffffff"/>
          <w14:ligatures w14:val="none"/>
        </w:rPr>
        <w:t xml:space="preserve">月</w:t>
      </w:r>
      <w:r>
        <w:rPr>
          <w:rFonts w:hint="eastAsia" w:ascii="宋体" w:hAnsi="宋体" w:eastAsia="宋体" w:cs="宋体"/>
          <w:sz w:val="24"/>
          <w:szCs w:val="24"/>
          <w:shd w:val="clear" w:color="auto" w:fill="ffffff"/>
          <w:lang w:val="en-US" w:eastAsia="zh-CN"/>
          <w14:ligatures w14:val="none"/>
        </w:rPr>
        <w:t xml:space="preserve">5</w:t>
      </w:r>
      <w:r>
        <w:rPr>
          <w:rFonts w:hint="eastAsia" w:ascii="宋体" w:hAnsi="宋体" w:eastAsia="宋体" w:cs="宋体"/>
          <w:sz w:val="24"/>
          <w:szCs w:val="24"/>
          <w:shd w:val="clear" w:color="auto" w:fill="ffffff"/>
          <w14:ligatures w14:val="none"/>
        </w:rPr>
        <w:t xml:space="preserve">日</w:t>
      </w:r>
      <w:r>
        <w:rPr>
          <w:rFonts w:hint="eastAsia" w:ascii="宋体" w:hAnsi="宋体" w:eastAsia="宋体" w:cs="宋体"/>
          <w:sz w:val="24"/>
          <w:szCs w:val="24"/>
          <w:shd w:val="clear" w:color="auto" w:fill="ffffff"/>
          <w:lang w:val="en-US" w:eastAsia="zh-CN"/>
          <w14:ligatures w14:val="none"/>
        </w:rPr>
        <w:t xml:space="preserve">9</w:t>
      </w:r>
      <w:r>
        <w:rPr>
          <w:rFonts w:hint="eastAsia" w:ascii="宋体" w:hAnsi="宋体" w:eastAsia="宋体" w:cs="宋体"/>
          <w:sz w:val="24"/>
          <w:szCs w:val="24"/>
          <w:shd w:val="clear" w:color="auto" w:fill="ffffff"/>
          <w14:ligatures w14:val="none"/>
        </w:rPr>
        <w:t xml:space="preserve">点00分（北京时间）</w:t>
      </w:r>
      <w:r/>
    </w:p>
    <w:p>
      <w:pPr>
        <w:pStyle w:val="910"/>
        <w:numPr>
          <w:ilvl w:val="0"/>
          <w:numId w:val="5"/>
        </w:numPr>
        <w:ind w:left="0" w:firstLine="426"/>
        <w:spacing w:line="500" w:lineRule="exact"/>
        <w:rPr>
          <w:rFonts w:ascii="宋体" w:hAnsi="宋体" w:eastAsia="宋体" w:cs="宋体"/>
          <w:sz w:val="24"/>
          <w:szCs w:val="24"/>
          <w:shd w:val="clear" w:color="auto" w:fill="ffffff"/>
          <w14:ligatures w14:val="none"/>
        </w:rPr>
      </w:pPr>
      <w:r>
        <w:rPr>
          <w:rFonts w:hint="eastAsia" w:ascii="宋体" w:hAnsi="宋体" w:eastAsia="宋体" w:cs="宋体"/>
          <w:sz w:val="24"/>
          <w:szCs w:val="24"/>
          <w:shd w:val="clear" w:color="auto" w:fill="ffffff"/>
          <w14:ligatures w14:val="none"/>
        </w:rPr>
        <w:t xml:space="preserve">地点：苏采云“不见面”开标大厅 </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6" w:name="_Toc197644524"/>
      <w:r>
        <w:rPr>
          <w:rFonts w:hint="eastAsia" w:ascii="宋体" w:hAnsi="宋体" w:eastAsia="宋体" w:cs="宋体"/>
          <w:b/>
          <w:bCs/>
          <w:sz w:val="24"/>
          <w:szCs w:val="24"/>
        </w:rPr>
        <w:t xml:space="preserve">公告期限</w:t>
      </w:r>
      <w:bookmarkEnd w:id="6"/>
      <w:r/>
      <w:r/>
    </w:p>
    <w:p>
      <w:pPr>
        <w:ind w:firstLine="424"/>
        <w:spacing w:line="500" w:lineRule="exact"/>
        <w:rPr>
          <w:rFonts w:ascii="宋体" w:hAnsi="宋体" w:eastAsia="宋体" w:cs="宋体"/>
          <w:sz w:val="24"/>
          <w:szCs w:val="24"/>
        </w:rPr>
      </w:pPr>
      <w:r/>
      <w:bookmarkStart w:id="7" w:name="_Toc35393626"/>
      <w:r/>
      <w:bookmarkStart w:id="8" w:name="_Toc35393795"/>
      <w:r/>
      <w:bookmarkStart w:id="9" w:name="_Toc38985268"/>
      <w:r>
        <w:rPr>
          <w:rFonts w:hint="eastAsia" w:ascii="宋体" w:hAnsi="宋体" w:eastAsia="宋体" w:cs="宋体"/>
          <w:sz w:val="24"/>
          <w:szCs w:val="24"/>
          <w:shd w:val="clear" w:color="auto" w:fill="ffffff"/>
        </w:rPr>
        <w:t xml:space="preserve">自本公告发布之日起5个工作日。</w:t>
      </w:r>
      <w:bookmarkEnd w:id="7"/>
      <w:r/>
      <w:bookmarkEnd w:id="8"/>
      <w:r/>
      <w:bookmarkEnd w:id="9"/>
      <w:r/>
      <w:r/>
    </w:p>
    <w:p>
      <w:pPr>
        <w:pStyle w:val="910"/>
        <w:numPr>
          <w:ilvl w:val="0"/>
          <w:numId w:val="2"/>
        </w:numPr>
        <w:ind w:left="442" w:hanging="442"/>
        <w:spacing w:line="500" w:lineRule="exact"/>
        <w:rPr>
          <w:rFonts w:ascii="宋体" w:hAnsi="宋体" w:eastAsia="宋体" w:cs="宋体"/>
          <w:b/>
          <w:bCs/>
          <w:sz w:val="24"/>
          <w:szCs w:val="24"/>
        </w:rPr>
        <w:outlineLvl w:val="1"/>
      </w:pPr>
      <w:r/>
      <w:bookmarkStart w:id="10" w:name="_Toc197644525"/>
      <w:r>
        <w:rPr>
          <w:rFonts w:hint="eastAsia" w:ascii="宋体" w:hAnsi="宋体" w:eastAsia="宋体" w:cs="宋体"/>
          <w:b/>
          <w:bCs/>
          <w:sz w:val="24"/>
          <w:szCs w:val="24"/>
        </w:rPr>
        <w:t xml:space="preserve">其他补充事宜</w:t>
      </w:r>
      <w:bookmarkEnd w:id="10"/>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742"/>
        <w:ind w:firstLine="561"/>
        <w:jc w:val="both"/>
        <w:spacing w:line="500" w:lineRule="exact"/>
        <w:shd w:val="clear" w:color="auto" w:fill="ffffff"/>
        <w:rPr>
          <w:rFonts w:hint="eastAsia"/>
          <w:color w:val="auto"/>
          <w:sz w:val="24"/>
          <w:szCs w:val="24"/>
          <w:shd w:val="clear" w:color="auto" w:fill="ffffff"/>
          <w14:ligatures w14:val="none"/>
        </w:rPr>
      </w:pPr>
      <w:r>
        <w:rPr>
          <w:rFonts w:hint="eastAsia"/>
          <w:color w:val="auto"/>
          <w:sz w:val="24"/>
          <w:szCs w:val="24"/>
          <w:shd w:val="clear" w:color="auto" w:fill="ffffff"/>
          <w14:ligatures w14:val="none"/>
        </w:rPr>
        <w:t xml:space="preserve">领取CA和办理电子签章请至盐城市府西路1号盐城市公共资源交易中心四楼大厅10号，11号窗口办理，联系电话：15051556883，办理邮箱：</w:t>
      </w:r>
      <w:r/>
    </w:p>
    <w:p>
      <w:pPr>
        <w:pStyle w:val="742"/>
        <w:jc w:val="both"/>
        <w:spacing w:line="500" w:lineRule="exact"/>
        <w:shd w:val="clear" w:color="auto" w:fill="ffffff"/>
        <w:rPr>
          <w:color w:val="auto"/>
          <w:sz w:val="24"/>
          <w:szCs w:val="24"/>
          <w:shd w:val="clear" w:color="auto" w:fill="ffffff"/>
          <w14:ligatures w14:val="none"/>
        </w:rPr>
      </w:pPr>
      <w:r>
        <w:rPr>
          <w:rFonts w:hint="eastAsia"/>
          <w:color w:val="auto"/>
          <w:sz w:val="24"/>
          <w:szCs w:val="24"/>
          <w:shd w:val="clear" w:color="auto" w:fill="ffffff"/>
          <w14:ligatures w14:val="none"/>
        </w:rPr>
        <w:t xml:space="preserve">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 潜在供应商访问电子招标响应交易平台的网络地址和方法：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2.2 潜在供应商访问“苏采云”系统方法：江苏省政府采购网首页-“苏采云”链接。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2.3 采购文件（后缀名为“.kedt”）、供应商操作手册及政府采购客户端 工具可通过“苏采云”系统相应链接进行下载。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2.4 采购中心将数据电文形式的采购文件加载至“苏采云”系统，供潜在供应商下载或者查阅。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2.5 请潜在投标单位提前安装相应的控件（详见《“苏采云”系统供应商操作手册》）并使用谷歌浏览器登录“苏采云”系统参与不见面开评标。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如潜在供应商未按上述要求操作，将自行承担所产生的风险。</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3.有关本次招标的事项若存在变动或修改，敬请及时关注“中国政府采购网”、“江苏政府采购网”、“盐城市政府采购网”发布的更正公告。</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4.本次招标不收取投标保证金，不收取质量保证金。</w:t>
      </w:r>
      <w:r/>
    </w:p>
    <w:p>
      <w:pPr>
        <w:pStyle w:val="910"/>
        <w:numPr>
          <w:ilvl w:val="0"/>
          <w:numId w:val="2"/>
        </w:numPr>
        <w:ind w:left="442" w:hanging="442"/>
        <w:spacing w:line="500" w:lineRule="exact"/>
        <w:rPr>
          <w:rFonts w:ascii="宋体" w:hAnsi="宋体" w:eastAsia="宋体" w:cs="宋体"/>
          <w:b/>
          <w:bCs/>
          <w:sz w:val="24"/>
          <w:szCs w:val="24"/>
        </w:rPr>
        <w:outlineLvl w:val="1"/>
      </w:pPr>
      <w:r/>
      <w:bookmarkStart w:id="11" w:name="_Toc197644526"/>
      <w:r>
        <w:rPr>
          <w:rFonts w:hint="eastAsia" w:ascii="宋体" w:hAnsi="宋体" w:eastAsia="宋体" w:cs="宋体"/>
          <w:b/>
          <w:bCs/>
          <w:sz w:val="24"/>
          <w:szCs w:val="24"/>
        </w:rPr>
        <w:t xml:space="preserve">对本次招标提出询问，请按以下方式联系</w:t>
      </w:r>
      <w:bookmarkEnd w:id="11"/>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1.采购人信息</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名 称：盐城市亭湖生态环境局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地 址：盐城市亭湖区青年东路55号</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联系人：黄先生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联系方式：0515-66690359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2.采购代理机构信息</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名 称：</w:t>
      </w:r>
      <w:r>
        <w:rPr>
          <w:rFonts w:hint="eastAsia" w:eastAsia="Arial"/>
          <w:color w:val="auto"/>
          <w:sz w:val="24"/>
          <w:szCs w:val="20"/>
        </w:rPr>
        <w:t xml:space="preserve">盐城市亭湖区公共资源交易中心</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地 址：盐城市亭湖区希望大道中路18号</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联系人：纪先生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联系方式：</w:t>
      </w:r>
      <w:bookmarkStart w:id="12" w:name="_Toc28359010"/>
      <w:r/>
      <w:bookmarkStart w:id="13" w:name="_Toc28359087"/>
      <w:r>
        <w:rPr>
          <w:rFonts w:hint="eastAsia"/>
          <w:color w:val="auto"/>
          <w:sz w:val="24"/>
          <w:szCs w:val="24"/>
          <w:shd w:val="clear" w:color="auto" w:fill="ffffff"/>
          <w14:ligatures w14:val="none"/>
        </w:rPr>
        <w:t xml:space="preserve">0515-89802019       </w:t>
      </w:r>
      <w:bookmarkEnd w:id="12"/>
      <w:r/>
      <w:bookmarkEnd w:id="13"/>
      <w:r>
        <w:rPr>
          <w:rFonts w:hint="eastAsia"/>
          <w:color w:val="auto"/>
          <w:sz w:val="24"/>
          <w:szCs w:val="24"/>
          <w:shd w:val="clear" w:color="auto" w:fill="ffffff"/>
          <w14:ligatures w14:val="none"/>
        </w:rPr>
        <w:t xml:space="preserve">            </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3.项目联系方式</w:t>
      </w:r>
      <w:r/>
    </w:p>
    <w:p>
      <w:pPr>
        <w:pStyle w:val="742"/>
        <w:ind w:firstLine="560"/>
        <w:jc w:val="both"/>
        <w:spacing w:line="500" w:lineRule="exact"/>
        <w:shd w:val="clear" w:color="auto" w:fill="ffffff"/>
        <w:widowControl/>
        <w:rPr>
          <w:color w:val="auto"/>
          <w:sz w:val="24"/>
          <w:szCs w:val="24"/>
          <w:shd w:val="clear" w:color="auto" w:fill="ffffff"/>
          <w14:ligatures w14:val="none"/>
        </w:rPr>
      </w:pPr>
      <w:r>
        <w:rPr>
          <w:rFonts w:hint="eastAsia"/>
          <w:color w:val="auto"/>
          <w:sz w:val="24"/>
          <w:szCs w:val="24"/>
          <w:shd w:val="clear" w:color="auto" w:fill="ffffff"/>
          <w14:ligatures w14:val="none"/>
        </w:rPr>
        <w:t xml:space="preserve">项目联系人：纪先生</w:t>
      </w:r>
      <w:r/>
    </w:p>
    <w:p>
      <w:pPr>
        <w:pStyle w:val="742"/>
        <w:ind w:firstLine="560"/>
        <w:jc w:val="both"/>
        <w:spacing w:line="500" w:lineRule="exact"/>
        <w:shd w:val="clear" w:color="auto" w:fill="ffffff"/>
        <w:widowControl/>
        <w:rPr>
          <w:color w:val="auto"/>
          <w:shd w:val="clear" w:color="auto" w:fill="ffffff"/>
        </w:rPr>
      </w:pPr>
      <w:r>
        <w:rPr>
          <w:rFonts w:hint="eastAsia"/>
          <w:color w:val="auto"/>
          <w:sz w:val="24"/>
          <w:szCs w:val="24"/>
          <w:shd w:val="clear" w:color="auto" w:fill="ffffff"/>
          <w14:ligatures w14:val="none"/>
        </w:rPr>
        <w:t xml:space="preserve">电　  话：0515-89802019　</w:t>
      </w:r>
      <w:r>
        <w:rPr>
          <w:rFonts w:hint="eastAsia"/>
          <w:color w:val="auto"/>
          <w:shd w:val="clear" w:color="auto" w:fill="ffffff"/>
        </w:rPr>
        <w:br w:type="page" w:clear="all"/>
      </w:r>
      <w:r/>
    </w:p>
    <w:p>
      <w:pPr>
        <w:pStyle w:val="710"/>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14:ligatures w14:val="none"/>
        </w:rPr>
        <w:outlineLvl w:val="0"/>
      </w:pPr>
      <w:r/>
      <w:bookmarkStart w:id="14" w:name="_Toc197644527"/>
      <w:r/>
      <w:bookmarkStart w:id="15" w:name="_Toc120614213"/>
      <w:r/>
      <w:bookmarkStart w:id="16" w:name="_Toc20823274"/>
      <w:r/>
      <w:bookmarkStart w:id="17" w:name="_Toc16938518"/>
      <w:r/>
      <w:bookmarkStart w:id="18" w:name="_Toc513029202"/>
      <w:r>
        <w:rPr>
          <w:rFonts w:hint="eastAsia" w:ascii="宋体" w:hAnsi="宋体" w:eastAsia="宋体" w:cs="Times New Roman"/>
          <w:b/>
          <w:bCs/>
          <w:color w:val="auto"/>
          <w:sz w:val="32"/>
          <w:szCs w:val="32"/>
          <w14:ligatures w14:val="none"/>
        </w:rPr>
        <w:t xml:space="preserve">供应商须知</w:t>
      </w:r>
      <w:bookmarkEnd w:id="14"/>
      <w:r/>
      <w:bookmarkEnd w:id="15"/>
      <w:r/>
      <w:bookmarkEnd w:id="16"/>
      <w:r/>
      <w:bookmarkEnd w:id="17"/>
      <w:r/>
      <w:bookmarkEnd w:id="18"/>
      <w:r/>
      <w:r/>
    </w:p>
    <w:p>
      <w:pPr>
        <w:pStyle w:val="910"/>
        <w:numPr>
          <w:ilvl w:val="0"/>
          <w:numId w:val="6"/>
        </w:numPr>
        <w:jc w:val="left"/>
        <w:spacing w:line="480" w:lineRule="auto"/>
        <w:rPr>
          <w:rFonts w:ascii="宋体" w:hAnsi="宋体" w:eastAsia="宋体"/>
          <w:b/>
          <w:bCs/>
          <w:sz w:val="24"/>
          <w:szCs w:val="24"/>
        </w:rPr>
        <w:outlineLvl w:val="1"/>
      </w:pPr>
      <w:r/>
      <w:bookmarkStart w:id="19" w:name="_Toc197644528"/>
      <w:r/>
      <w:bookmarkStart w:id="20" w:name="OLE_LINK21"/>
      <w:r>
        <w:rPr>
          <w:rFonts w:hint="eastAsia" w:ascii="宋体" w:hAnsi="宋体" w:eastAsia="宋体"/>
          <w:b/>
          <w:bCs/>
          <w:sz w:val="24"/>
          <w:szCs w:val="24"/>
        </w:rPr>
        <w:t xml:space="preserve">总则</w:t>
      </w:r>
      <w:bookmarkEnd w:id="19"/>
      <w:r/>
      <w:r/>
    </w:p>
    <w:p>
      <w:pPr>
        <w:pStyle w:val="910"/>
        <w:ind w:left="0" w:firstLine="425"/>
        <w:spacing w:line="360" w:lineRule="auto"/>
        <w:rPr>
          <w:rFonts w:ascii="宋体" w:hAnsi="宋体" w:eastAsia="宋体" w:cs="宋体"/>
          <w:sz w:val="24"/>
          <w:szCs w:val="24"/>
        </w:rPr>
        <w:outlineLvl w:val="2"/>
      </w:pPr>
      <w:r/>
      <w:bookmarkStart w:id="21" w:name="_Toc197644529"/>
      <w:r>
        <w:rPr>
          <w:rFonts w:hint="eastAsia" w:ascii="宋体" w:hAnsi="宋体" w:eastAsia="宋体" w:cs="宋体"/>
          <w:sz w:val="24"/>
          <w:szCs w:val="24"/>
        </w:rPr>
        <w:t xml:space="preserve">1、招标方式</w:t>
      </w:r>
      <w:bookmarkEnd w:id="21"/>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本次招标采取公开招标方式，本招标文件仅适用于招标公告中所述项目。</w:t>
      </w:r>
      <w:r/>
    </w:p>
    <w:p>
      <w:pPr>
        <w:pStyle w:val="910"/>
        <w:ind w:left="0" w:firstLine="425"/>
        <w:spacing w:line="360" w:lineRule="auto"/>
        <w:rPr>
          <w:rFonts w:ascii="宋体" w:hAnsi="宋体" w:eastAsia="宋体" w:cs="宋体"/>
          <w:sz w:val="24"/>
          <w:szCs w:val="24"/>
        </w:rPr>
        <w:outlineLvl w:val="2"/>
      </w:pPr>
      <w:r/>
      <w:bookmarkStart w:id="22" w:name="_Toc197644530"/>
      <w:r>
        <w:rPr>
          <w:rFonts w:hint="eastAsia" w:ascii="宋体" w:hAnsi="宋体" w:eastAsia="宋体" w:cs="宋体"/>
          <w:sz w:val="24"/>
          <w:szCs w:val="24"/>
        </w:rPr>
        <w:t xml:space="preserve">2、合格的</w:t>
      </w:r>
      <w:bookmarkEnd w:id="22"/>
      <w:r>
        <w:rPr>
          <w:rFonts w:hint="eastAsia" w:ascii="宋体" w:hAnsi="宋体" w:eastAsia="宋体" w:cs="宋体"/>
          <w:sz w:val="24"/>
          <w:szCs w:val="24"/>
        </w:rPr>
        <w:t xml:space="preserve">供应商</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满足招标公告中供应商的资格要求的规定。</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2.2</w:t>
      </w:r>
      <w:r>
        <w:rPr>
          <w:rFonts w:hint="eastAsia" w:ascii="宋体" w:hAnsi="宋体" w:eastAsia="宋体" w:cs="宋体"/>
          <w:sz w:val="24"/>
          <w:szCs w:val="24"/>
        </w:rPr>
        <w:t xml:space="preserve">满足本文件实质性要求和条件的规定。</w:t>
      </w:r>
      <w:r/>
    </w:p>
    <w:p>
      <w:pPr>
        <w:pStyle w:val="910"/>
        <w:ind w:left="0" w:firstLine="425"/>
        <w:spacing w:line="360" w:lineRule="auto"/>
        <w:rPr>
          <w:rFonts w:ascii="宋体" w:hAnsi="宋体" w:eastAsia="宋体" w:cs="宋体"/>
          <w:sz w:val="24"/>
          <w:szCs w:val="24"/>
        </w:rPr>
        <w:outlineLvl w:val="2"/>
      </w:pPr>
      <w:r/>
      <w:bookmarkStart w:id="23" w:name="_Toc197644532"/>
      <w:r>
        <w:rPr>
          <w:rFonts w:hint="eastAsia" w:ascii="宋体" w:hAnsi="宋体" w:eastAsia="宋体" w:cs="宋体"/>
          <w:sz w:val="24"/>
          <w:szCs w:val="24"/>
        </w:rPr>
        <w:t xml:space="preserve">3、适用法律和标准</w:t>
      </w:r>
      <w:r/>
    </w:p>
    <w:p>
      <w:pPr>
        <w:pStyle w:val="910"/>
        <w:ind w:left="425"/>
        <w:spacing w:line="360" w:lineRule="auto"/>
        <w:rPr>
          <w:rFonts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w:t>
      </w:r>
      <w:r/>
    </w:p>
    <w:p>
      <w:pPr>
        <w:pStyle w:val="910"/>
        <w:ind w:left="0"/>
        <w:spacing w:line="360" w:lineRule="auto"/>
        <w:rPr>
          <w:rFonts w:ascii="宋体" w:hAnsi="宋体" w:eastAsia="宋体" w:cs="宋体"/>
          <w:sz w:val="24"/>
          <w:szCs w:val="24"/>
        </w:rPr>
      </w:pPr>
      <w:r>
        <w:rPr>
          <w:rFonts w:hint="eastAsia" w:ascii="宋体" w:hAnsi="宋体" w:eastAsia="宋体" w:cs="宋体"/>
          <w:sz w:val="24"/>
          <w:szCs w:val="24"/>
        </w:rPr>
        <w:t xml:space="preserve">护。</w:t>
      </w:r>
      <w:r/>
    </w:p>
    <w:p>
      <w:pPr>
        <w:pStyle w:val="910"/>
        <w:ind w:left="425"/>
        <w:spacing w:line="360" w:lineRule="auto"/>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w:t>
      </w:r>
      <w:r/>
    </w:p>
    <w:p>
      <w:pPr>
        <w:pStyle w:val="910"/>
        <w:ind w:left="0"/>
        <w:spacing w:line="360" w:lineRule="auto"/>
        <w:rPr>
          <w:rFonts w:ascii="宋体" w:hAnsi="宋体" w:eastAsia="宋体" w:cs="宋体"/>
          <w:sz w:val="24"/>
          <w:szCs w:val="24"/>
        </w:rPr>
      </w:pPr>
      <w:r>
        <w:rPr>
          <w:rFonts w:hint="eastAsia" w:ascii="宋体" w:hAnsi="宋体" w:eastAsia="宋体" w:cs="宋体"/>
          <w:sz w:val="24"/>
          <w:szCs w:val="24"/>
        </w:rPr>
        <w:t xml:space="preserve">标准执行。</w:t>
      </w:r>
      <w:r/>
    </w:p>
    <w:p>
      <w:pPr>
        <w:pStyle w:val="910"/>
        <w:ind w:left="0" w:firstLine="425"/>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4、投标费用</w:t>
      </w:r>
      <w:bookmarkEnd w:id="23"/>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4.1</w:t>
      </w:r>
      <w:r>
        <w:rPr>
          <w:rFonts w:hint="eastAsia" w:ascii="宋体" w:hAnsi="宋体" w:eastAsia="宋体" w:cs="宋体"/>
          <w:sz w:val="24"/>
          <w:szCs w:val="24"/>
        </w:rPr>
        <w:t xml:space="preserve">供应商应自行承担所有与参加投标有关的费用，无论投标过程中的做法和结果如何，</w:t>
      </w:r>
      <w:r>
        <w:rPr>
          <w:rFonts w:hint="eastAsia" w:ascii="宋体" w:hAnsi="宋体" w:eastAsia="宋体" w:cs="宋体"/>
          <w:b/>
          <w:bCs/>
          <w:sz w:val="24"/>
          <w:szCs w:val="24"/>
        </w:rPr>
        <w:t xml:space="preserve">盐城市亭湖区公共资源交易中心</w:t>
      </w:r>
      <w:r>
        <w:rPr>
          <w:rFonts w:hint="eastAsia" w:ascii="宋体" w:hAnsi="宋体" w:eastAsia="宋体" w:cs="宋体"/>
          <w:sz w:val="24"/>
          <w:szCs w:val="24"/>
        </w:rPr>
        <w:t xml:space="preserve">（以下简称采购中心）在任何情况下均无义务和责任承担这些费用。</w:t>
      </w:r>
      <w:r/>
    </w:p>
    <w:p>
      <w:pPr>
        <w:pStyle w:val="910"/>
        <w:ind w:left="0" w:firstLine="480"/>
        <w:spacing w:line="360" w:lineRule="auto"/>
        <w:rPr>
          <w:rFonts w:ascii="宋体" w:hAnsi="宋体" w:eastAsia="宋体" w:cs="宋体"/>
          <w:sz w:val="24"/>
          <w:szCs w:val="24"/>
        </w:rPr>
      </w:pPr>
      <w:r/>
      <w:bookmarkStart w:id="24" w:name="_Toc197644533"/>
      <w:r>
        <w:rPr>
          <w:rFonts w:hint="eastAsia" w:ascii="宋体" w:hAnsi="宋体" w:eastAsia="宋体" w:cs="宋体"/>
          <w:sz w:val="24"/>
          <w:szCs w:val="24"/>
        </w:rPr>
        <w:t xml:space="preserve">4.2本次招标采购中心和采购人不收取标书工本费与中标服务费。</w:t>
      </w:r>
      <w:r/>
    </w:p>
    <w:p>
      <w:pPr>
        <w:pStyle w:val="910"/>
        <w:ind w:left="0" w:firstLine="425"/>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5、招标文件的约束力</w:t>
      </w:r>
      <w:bookmarkEnd w:id="24"/>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5.1</w:t>
      </w:r>
      <w:r>
        <w:rPr>
          <w:rFonts w:hint="eastAsia" w:ascii="宋体" w:hAnsi="宋体" w:eastAsia="宋体" w:cs="宋体"/>
          <w:sz w:val="24"/>
          <w:szCs w:val="24"/>
        </w:rPr>
        <w:t xml:space="preserve">供应商一旦参加本项目采购活动，即被认为接受了本招标文件的规定和约束。</w:t>
      </w:r>
      <w:r/>
    </w:p>
    <w:p>
      <w:pPr>
        <w:pStyle w:val="910"/>
        <w:numPr>
          <w:ilvl w:val="0"/>
          <w:numId w:val="6"/>
        </w:numPr>
        <w:jc w:val="left"/>
        <w:spacing w:line="480" w:lineRule="auto"/>
        <w:rPr>
          <w:rFonts w:ascii="宋体" w:hAnsi="宋体" w:eastAsia="宋体"/>
          <w:b/>
          <w:bCs/>
          <w:sz w:val="24"/>
          <w:szCs w:val="24"/>
        </w:rPr>
        <w:outlineLvl w:val="1"/>
      </w:pPr>
      <w:r/>
      <w:bookmarkStart w:id="25" w:name="_Toc197644534"/>
      <w:r>
        <w:rPr>
          <w:rFonts w:hint="eastAsia" w:ascii="宋体" w:hAnsi="宋体" w:eastAsia="宋体"/>
          <w:b/>
          <w:bCs/>
          <w:sz w:val="24"/>
          <w:szCs w:val="24"/>
        </w:rPr>
        <w:t xml:space="preserve">招标文件</w:t>
      </w:r>
      <w:bookmarkEnd w:id="25"/>
      <w:r/>
      <w:r/>
    </w:p>
    <w:p>
      <w:pPr>
        <w:pStyle w:val="910"/>
        <w:ind w:left="0" w:firstLine="425"/>
        <w:spacing w:line="360" w:lineRule="auto"/>
        <w:rPr>
          <w:rFonts w:ascii="宋体" w:hAnsi="宋体" w:eastAsia="宋体" w:cs="宋体"/>
          <w:sz w:val="24"/>
          <w:szCs w:val="24"/>
        </w:rPr>
        <w:outlineLvl w:val="2"/>
      </w:pPr>
      <w:r/>
      <w:bookmarkStart w:id="26" w:name="_Toc197644535"/>
      <w:r>
        <w:rPr>
          <w:rFonts w:hint="eastAsia" w:ascii="宋体" w:hAnsi="宋体" w:eastAsia="宋体" w:cs="宋体"/>
          <w:sz w:val="24"/>
          <w:szCs w:val="24"/>
        </w:rPr>
        <w:t xml:space="preserve">6、招标文件构成</w:t>
      </w:r>
      <w:bookmarkEnd w:id="26"/>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6.1</w:t>
      </w:r>
      <w:r>
        <w:rPr>
          <w:rFonts w:hint="eastAsia" w:ascii="宋体" w:hAnsi="宋体" w:eastAsia="宋体" w:cs="宋体"/>
          <w:sz w:val="24"/>
          <w:szCs w:val="24"/>
        </w:rPr>
        <w:t xml:space="preserve">招标文件由以下部分组成：</w:t>
      </w:r>
      <w:r/>
    </w:p>
    <w:p>
      <w:pPr>
        <w:pStyle w:val="910"/>
        <w:numPr>
          <w:ilvl w:val="0"/>
          <w:numId w:val="7"/>
        </w:numPr>
        <w:spacing w:line="360" w:lineRule="auto"/>
        <w:rPr>
          <w:rFonts w:ascii="宋体" w:hAnsi="宋体" w:eastAsia="宋体" w:cs="宋体"/>
          <w:sz w:val="24"/>
          <w:szCs w:val="24"/>
        </w:rPr>
      </w:pPr>
      <w:r>
        <w:rPr>
          <w:rFonts w:hint="eastAsia" w:ascii="宋体" w:hAnsi="宋体" w:eastAsia="宋体" w:cs="宋体"/>
          <w:sz w:val="24"/>
          <w:szCs w:val="24"/>
        </w:rPr>
        <w:t xml:space="preserve">招标公告</w:t>
      </w:r>
      <w:r/>
    </w:p>
    <w:p>
      <w:pPr>
        <w:pStyle w:val="910"/>
        <w:numPr>
          <w:ilvl w:val="0"/>
          <w:numId w:val="7"/>
        </w:numPr>
        <w:spacing w:line="360" w:lineRule="auto"/>
        <w:rPr>
          <w:rFonts w:ascii="宋体" w:hAnsi="宋体" w:eastAsia="宋体" w:cs="宋体"/>
          <w:sz w:val="24"/>
          <w:szCs w:val="24"/>
        </w:rPr>
      </w:pPr>
      <w:r>
        <w:rPr>
          <w:rFonts w:hint="eastAsia" w:ascii="宋体" w:hAnsi="宋体" w:eastAsia="宋体" w:cs="宋体"/>
          <w:sz w:val="24"/>
          <w:szCs w:val="24"/>
        </w:rPr>
        <w:t xml:space="preserve">供应商须知</w:t>
      </w:r>
      <w:r/>
    </w:p>
    <w:p>
      <w:pPr>
        <w:pStyle w:val="910"/>
        <w:numPr>
          <w:ilvl w:val="0"/>
          <w:numId w:val="7"/>
        </w:numPr>
        <w:spacing w:line="360" w:lineRule="auto"/>
        <w:rPr>
          <w:rFonts w:ascii="宋体" w:hAnsi="宋体" w:eastAsia="宋体" w:cs="宋体"/>
          <w:sz w:val="24"/>
          <w:szCs w:val="24"/>
        </w:rPr>
      </w:pPr>
      <w:r>
        <w:rPr>
          <w:rFonts w:hint="eastAsia" w:ascii="宋体" w:hAnsi="宋体" w:eastAsia="宋体" w:cs="宋体"/>
          <w:sz w:val="24"/>
          <w:szCs w:val="24"/>
        </w:rPr>
        <w:t xml:space="preserve">合同文本</w:t>
      </w:r>
      <w:r/>
    </w:p>
    <w:p>
      <w:pPr>
        <w:pStyle w:val="910"/>
        <w:numPr>
          <w:ilvl w:val="0"/>
          <w:numId w:val="7"/>
        </w:numPr>
        <w:spacing w:line="360" w:lineRule="auto"/>
        <w:rPr>
          <w:rFonts w:ascii="宋体" w:hAnsi="宋体" w:eastAsia="宋体" w:cs="宋体"/>
          <w:sz w:val="24"/>
          <w:szCs w:val="24"/>
        </w:rPr>
      </w:pPr>
      <w:r>
        <w:rPr>
          <w:rFonts w:hint="eastAsia" w:ascii="宋体" w:hAnsi="宋体" w:eastAsia="宋体" w:cs="宋体"/>
          <w:sz w:val="24"/>
          <w:szCs w:val="24"/>
        </w:rPr>
        <w:t xml:space="preserve">采购需求</w:t>
      </w:r>
      <w:r/>
    </w:p>
    <w:p>
      <w:pPr>
        <w:pStyle w:val="910"/>
        <w:numPr>
          <w:ilvl w:val="0"/>
          <w:numId w:val="7"/>
        </w:numPr>
        <w:spacing w:line="360" w:lineRule="auto"/>
        <w:rPr>
          <w:rFonts w:ascii="宋体" w:hAnsi="宋体" w:eastAsia="宋体" w:cs="宋体"/>
          <w:sz w:val="24"/>
          <w:szCs w:val="24"/>
        </w:rPr>
      </w:pPr>
      <w:r>
        <w:rPr>
          <w:rFonts w:hint="eastAsia" w:ascii="宋体" w:hAnsi="宋体" w:eastAsia="宋体" w:cs="宋体"/>
          <w:sz w:val="24"/>
          <w:szCs w:val="24"/>
        </w:rPr>
        <w:t xml:space="preserve">评标方法与评标标准</w:t>
      </w:r>
      <w:r/>
    </w:p>
    <w:p>
      <w:pPr>
        <w:pStyle w:val="910"/>
        <w:numPr>
          <w:ilvl w:val="0"/>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投标文件格式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请仔细检查招标文件是否齐全，如有缺漏请立即与采购中心联系解决。</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6.2</w:t>
      </w:r>
      <w:r>
        <w:rPr>
          <w:rFonts w:hint="eastAsia" w:ascii="宋体" w:hAnsi="宋体" w:eastAsia="宋体" w:cs="宋体"/>
          <w:sz w:val="24"/>
          <w:szCs w:val="24"/>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10"/>
        <w:ind w:left="0" w:firstLine="425"/>
        <w:spacing w:line="360" w:lineRule="auto"/>
        <w:rPr>
          <w:rFonts w:ascii="宋体" w:hAnsi="宋体" w:eastAsia="宋体" w:cs="宋体"/>
          <w:sz w:val="24"/>
          <w:szCs w:val="24"/>
        </w:rPr>
        <w:outlineLvl w:val="2"/>
      </w:pPr>
      <w:r/>
      <w:bookmarkStart w:id="27" w:name="_Toc197644536"/>
      <w:r>
        <w:rPr>
          <w:rFonts w:hint="eastAsia" w:ascii="宋体" w:hAnsi="宋体" w:eastAsia="宋体" w:cs="宋体"/>
          <w:sz w:val="24"/>
          <w:szCs w:val="24"/>
        </w:rPr>
        <w:t xml:space="preserve">7、招标文件的澄清</w:t>
      </w:r>
      <w:bookmarkEnd w:id="27"/>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7.1</w:t>
      </w:r>
      <w:r>
        <w:rPr>
          <w:rFonts w:hint="eastAsia" w:ascii="宋体" w:hAnsi="宋体" w:eastAsia="宋体" w:cs="宋体"/>
          <w:sz w:val="24"/>
          <w:szCs w:val="24"/>
        </w:rPr>
        <w:t xml:space="preserve">任何要求对招标文件进行澄清的供应商，应在投标截止期十日前按招标公告中的通讯地址，以书面形式通知采购中心。</w:t>
      </w:r>
      <w:r/>
    </w:p>
    <w:p>
      <w:pPr>
        <w:pStyle w:val="910"/>
        <w:ind w:left="0" w:firstLine="425"/>
        <w:spacing w:line="360" w:lineRule="auto"/>
        <w:rPr>
          <w:rFonts w:ascii="宋体" w:hAnsi="宋体" w:eastAsia="宋体" w:cs="宋体"/>
          <w:sz w:val="24"/>
          <w:szCs w:val="24"/>
        </w:rPr>
        <w:outlineLvl w:val="2"/>
      </w:pPr>
      <w:r/>
      <w:bookmarkStart w:id="28" w:name="_Toc197644537"/>
      <w:r>
        <w:rPr>
          <w:rFonts w:hint="eastAsia" w:ascii="宋体" w:hAnsi="宋体" w:eastAsia="宋体" w:cs="宋体"/>
          <w:sz w:val="24"/>
          <w:szCs w:val="24"/>
        </w:rPr>
        <w:t xml:space="preserve">8、招标文件的修改</w:t>
      </w:r>
      <w:bookmarkEnd w:id="28"/>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8.1</w:t>
      </w:r>
      <w:r>
        <w:rPr>
          <w:rFonts w:hint="eastAsia" w:ascii="宋体" w:hAnsi="宋体" w:eastAsia="宋体" w:cs="宋体"/>
          <w:sz w:val="24"/>
          <w:szCs w:val="24"/>
        </w:rPr>
        <w:t xml:space="preserve">在投标截止时间前，采购中心可以对招标文件进行修改。</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8.2</w:t>
      </w:r>
      <w:r>
        <w:rPr>
          <w:rFonts w:hint="eastAsia" w:ascii="宋体" w:hAnsi="宋体" w:eastAsia="宋体" w:cs="宋体"/>
          <w:sz w:val="24"/>
          <w:szCs w:val="24"/>
        </w:rPr>
        <w:t xml:space="preserve">采购中心有权按照法定的要求推迟投标截止日期和开标日期。</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8.3</w:t>
      </w:r>
      <w:r>
        <w:rPr>
          <w:rFonts w:hint="eastAsia" w:ascii="宋体" w:hAnsi="宋体" w:eastAsia="宋体" w:cs="宋体"/>
          <w:sz w:val="24"/>
          <w:szCs w:val="24"/>
        </w:rPr>
        <w:t xml:space="preserve">招标文件的修改将在“中国政府采购网</w:t>
      </w:r>
      <w:r>
        <w:rPr>
          <w:rFonts w:ascii="宋体" w:hAnsi="宋体" w:eastAsia="宋体" w:cs="宋体"/>
          <w:sz w:val="24"/>
          <w:szCs w:val="24"/>
        </w:rPr>
        <w:t xml:space="preserve">”</w:t>
      </w:r>
      <w:r>
        <w:rPr>
          <w:rFonts w:hint="eastAsia" w:ascii="宋体" w:hAnsi="宋体" w:eastAsia="宋体" w:cs="宋体"/>
          <w:sz w:val="24"/>
          <w:szCs w:val="24"/>
        </w:rPr>
        <w:t xml:space="preserve">、“江苏政府采购网”、“盐城市政府采购网”公布，补充文件将作为招标文件的组成部分，并对供应商具有约束力。</w:t>
      </w:r>
      <w:r/>
    </w:p>
    <w:p>
      <w:pPr>
        <w:pStyle w:val="910"/>
        <w:numPr>
          <w:ilvl w:val="0"/>
          <w:numId w:val="6"/>
        </w:numPr>
        <w:jc w:val="left"/>
        <w:spacing w:line="480" w:lineRule="auto"/>
        <w:rPr>
          <w:rFonts w:ascii="宋体" w:hAnsi="宋体" w:eastAsia="宋体"/>
          <w:b/>
          <w:bCs/>
          <w:sz w:val="24"/>
          <w:szCs w:val="24"/>
        </w:rPr>
        <w:outlineLvl w:val="1"/>
      </w:pPr>
      <w:r/>
      <w:bookmarkStart w:id="29" w:name="_Toc197644538"/>
      <w:r>
        <w:rPr>
          <w:rFonts w:hint="eastAsia" w:ascii="宋体" w:hAnsi="宋体" w:eastAsia="宋体" w:cs="宋体"/>
          <w:b/>
          <w:sz w:val="24"/>
          <w:szCs w:val="24"/>
        </w:rPr>
        <w:t xml:space="preserve">投标文件的编制</w:t>
      </w:r>
      <w:bookmarkEnd w:id="29"/>
      <w:r/>
      <w:r/>
    </w:p>
    <w:p>
      <w:pPr>
        <w:pStyle w:val="910"/>
        <w:ind w:left="0" w:firstLine="425"/>
        <w:spacing w:line="360" w:lineRule="auto"/>
        <w:rPr>
          <w:rFonts w:ascii="宋体" w:hAnsi="宋体" w:eastAsia="宋体" w:cs="宋体"/>
          <w:sz w:val="24"/>
          <w:szCs w:val="24"/>
        </w:rPr>
        <w:outlineLvl w:val="2"/>
      </w:pPr>
      <w:r/>
      <w:bookmarkStart w:id="30" w:name="_Toc197644539"/>
      <w:r>
        <w:rPr>
          <w:rFonts w:hint="eastAsia" w:ascii="宋体" w:hAnsi="宋体" w:eastAsia="宋体" w:cs="宋体"/>
          <w:sz w:val="24"/>
          <w:szCs w:val="24"/>
        </w:rPr>
        <w:t xml:space="preserve">9、投标文件的语言及度量衡单位</w:t>
      </w:r>
      <w:bookmarkEnd w:id="30"/>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9.1</w:t>
      </w:r>
      <w:r>
        <w:rPr>
          <w:rFonts w:hint="eastAsia" w:ascii="宋体" w:hAnsi="宋体" w:eastAsia="宋体" w:cs="宋体"/>
          <w:sz w:val="24"/>
          <w:szCs w:val="24"/>
        </w:rPr>
        <w:t xml:space="preserve">供应商提交的投标文件以及供应商与采购中心就有关投标的所有来往通知、函件和文件均应使用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910"/>
        <w:ind w:left="0" w:firstLine="425"/>
        <w:spacing w:line="360" w:lineRule="auto"/>
        <w:rPr>
          <w:rFonts w:ascii="宋体" w:hAnsi="宋体" w:eastAsia="宋体" w:cs="宋体"/>
          <w:sz w:val="24"/>
          <w:szCs w:val="24"/>
        </w:rPr>
        <w:outlineLvl w:val="2"/>
      </w:pPr>
      <w:r/>
      <w:bookmarkStart w:id="31" w:name="_Toc197644540"/>
      <w:r>
        <w:rPr>
          <w:rFonts w:hint="eastAsia" w:ascii="宋体" w:hAnsi="宋体" w:eastAsia="宋体" w:cs="宋体"/>
          <w:sz w:val="24"/>
          <w:szCs w:val="24"/>
        </w:rPr>
        <w:t xml:space="preserve">10、投标文件构成</w:t>
      </w:r>
      <w:bookmarkEnd w:id="31"/>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10.1</w:t>
      </w:r>
      <w:r>
        <w:rPr>
          <w:rFonts w:hint="eastAsia" w:ascii="宋体" w:hAnsi="宋体" w:eastAsia="宋体" w:cs="宋体"/>
          <w:sz w:val="24"/>
          <w:szCs w:val="24"/>
        </w:rPr>
        <w:t xml:space="preserve">供应商编写的投标文件应包括资格证明文件、符合性证明文件、投标分项报价表、技术要求响应及偏离表、商务要求响应及偏离表、其他证明文件、投标函、开标一览表等部分</w:t>
      </w:r>
      <w:r>
        <w:rPr>
          <w:rFonts w:hint="eastAsia" w:ascii="宋体" w:hAnsi="宋体"/>
          <w:sz w:val="24"/>
          <w:szCs w:val="24"/>
          <w:lang w:val="zh-CN"/>
        </w:rPr>
        <w:t xml:space="preserve">（</w:t>
      </w:r>
      <w:r>
        <w:rPr>
          <w:rFonts w:hint="eastAsia" w:ascii="宋体" w:hAnsi="宋体"/>
          <w:b/>
          <w:bCs/>
          <w:sz w:val="24"/>
          <w:szCs w:val="24"/>
          <w:lang w:val="zh-CN"/>
        </w:rPr>
        <w:t xml:space="preserve">格式详见招标文件“第六章  投标文件格式”</w:t>
      </w:r>
      <w:r>
        <w:rPr>
          <w:rFonts w:hint="eastAsia" w:ascii="宋体" w:hAnsi="宋体"/>
          <w:sz w:val="24"/>
          <w:szCs w:val="24"/>
          <w:lang w:val="zh-CN"/>
        </w:rPr>
        <w:t xml:space="preserve">）</w:t>
      </w:r>
      <w:r>
        <w:rPr>
          <w:rFonts w:hint="eastAsia" w:ascii="宋体" w:hAnsi="宋体" w:eastAsia="宋体" w:cs="宋体"/>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10.2</w:t>
      </w:r>
      <w:r>
        <w:rPr>
          <w:rFonts w:hint="eastAsia" w:ascii="宋体" w:hAnsi="宋体" w:eastAsia="宋体" w:cs="宋体"/>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910"/>
        <w:ind w:left="0" w:firstLine="425"/>
        <w:spacing w:line="360" w:lineRule="auto"/>
        <w:rPr>
          <w:rFonts w:ascii="宋体" w:hAnsi="宋体" w:eastAsia="宋体" w:cs="宋体"/>
          <w:sz w:val="24"/>
          <w:szCs w:val="24"/>
        </w:rPr>
        <w:outlineLvl w:val="2"/>
      </w:pPr>
      <w:r/>
      <w:bookmarkStart w:id="32" w:name="_Toc197644541"/>
      <w:r>
        <w:rPr>
          <w:rFonts w:hint="eastAsia" w:ascii="宋体" w:hAnsi="宋体" w:eastAsia="宋体" w:cs="宋体"/>
          <w:sz w:val="24"/>
          <w:szCs w:val="24"/>
        </w:rPr>
        <w:t xml:space="preserve">11、证明供应商及投标标的符合招标文件规定的文件</w:t>
      </w:r>
      <w:bookmarkEnd w:id="32"/>
      <w:r/>
      <w:r/>
    </w:p>
    <w:p>
      <w:pPr>
        <w:pStyle w:val="910"/>
        <w:numPr>
          <w:ilvl w:val="1"/>
          <w:numId w:val="0"/>
        </w:numPr>
        <w:ind w:firstLine="426"/>
        <w:spacing w:line="360" w:lineRule="auto"/>
        <w:rPr>
          <w:rFonts w:ascii="宋体" w:hAnsi="宋体" w:eastAsia="宋体" w:cs="宋体"/>
          <w:sz w:val="24"/>
          <w:szCs w:val="24"/>
        </w:rPr>
      </w:pPr>
      <w:r/>
      <w:bookmarkStart w:id="33" w:name="_Toc49090508"/>
      <w:r/>
      <w:bookmarkStart w:id="34" w:name="_Toc14577355"/>
      <w:r>
        <w:rPr>
          <w:rFonts w:ascii="宋体" w:hAnsi="宋体" w:eastAsia="宋体" w:cs="宋体"/>
          <w:sz w:val="24"/>
          <w:szCs w:val="24"/>
        </w:rPr>
        <w:t xml:space="preserve">11.1</w:t>
      </w:r>
      <w:r>
        <w:rPr>
          <w:rFonts w:hint="eastAsia" w:ascii="宋体" w:hAnsi="宋体" w:eastAsia="宋体" w:cs="宋体"/>
          <w:sz w:val="24"/>
          <w:szCs w:val="24"/>
        </w:rPr>
        <w:t xml:space="preserve">供应商应按照法律、法规、规章和规范性文件以及招标文件要求提交证明文件，证明其及投标标的符合招标文件规定。</w:t>
      </w:r>
      <w:bookmarkEnd w:id="33"/>
      <w:r/>
      <w:bookmarkEnd w:id="34"/>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11.2</w:t>
      </w:r>
      <w:r>
        <w:rPr>
          <w:rFonts w:hint="eastAsia" w:ascii="宋体" w:hAnsi="宋体" w:eastAsia="宋体" w:cs="宋体"/>
          <w:sz w:val="24"/>
          <w:szCs w:val="24"/>
        </w:rPr>
        <w:t xml:space="preserve">招标文件对证明文件无明确形式要求的，证明文件可以以文字资料、图纸和数据等形式提交。</w:t>
      </w:r>
      <w:r/>
    </w:p>
    <w:p>
      <w:pPr>
        <w:pStyle w:val="910"/>
        <w:ind w:left="0" w:firstLine="425"/>
        <w:spacing w:line="360" w:lineRule="auto"/>
        <w:rPr>
          <w:rFonts w:ascii="宋体" w:hAnsi="宋体" w:eastAsia="宋体" w:cs="宋体"/>
          <w:sz w:val="24"/>
          <w:szCs w:val="24"/>
        </w:rPr>
        <w:outlineLvl w:val="2"/>
      </w:pPr>
      <w:r/>
      <w:bookmarkStart w:id="35" w:name="_Toc197644542"/>
      <w:r>
        <w:rPr>
          <w:rFonts w:hint="eastAsia" w:ascii="宋体" w:hAnsi="宋体" w:eastAsia="宋体" w:cs="宋体"/>
          <w:sz w:val="24"/>
          <w:szCs w:val="24"/>
        </w:rPr>
        <w:t xml:space="preserve">12、投标分项报价表</w:t>
      </w:r>
      <w:bookmarkEnd w:id="35"/>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12.1</w:t>
      </w:r>
      <w:r>
        <w:rPr>
          <w:rFonts w:hint="eastAsia" w:ascii="宋体" w:hAnsi="宋体" w:eastAsia="宋体" w:cs="宋体"/>
          <w:sz w:val="24"/>
          <w:szCs w:val="24"/>
        </w:rPr>
        <w:t xml:space="preserve">供应商应按照招标文件规定格式填报投标分项报价表。</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12.2</w:t>
      </w:r>
      <w:r>
        <w:rPr>
          <w:rFonts w:hint="eastAsia" w:ascii="宋体" w:hAnsi="宋体" w:eastAsia="宋体" w:cs="宋体"/>
          <w:sz w:val="24"/>
          <w:szCs w:val="24"/>
        </w:rPr>
        <w:t xml:space="preserve">投标货币。投标文件中的单价和总价无特殊规定的采用人民币报价，以元为单位标注。招标文件中另有规定的按规定执行。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12.3</w:t>
      </w:r>
      <w:r>
        <w:rPr>
          <w:rFonts w:hint="eastAsia" w:ascii="宋体" w:hAnsi="宋体" w:eastAsia="宋体" w:cs="宋体"/>
          <w:sz w:val="24"/>
          <w:szCs w:val="24"/>
        </w:rPr>
        <w:t xml:space="preserve">有关费用处理的约定</w:t>
      </w:r>
      <w:r/>
    </w:p>
    <w:p>
      <w:pPr>
        <w:pStyle w:val="910"/>
        <w:numPr>
          <w:ilvl w:val="1"/>
          <w:numId w:val="0"/>
        </w:num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供应商根据现场实际情况、采购人提供的项目需求、自身实力、结合市场行情报价，此报价应包括为完成招标文件中的所有内容。供应商应充分考虑为完成上述内容所必须的全部服务所需的所有费用，即主要包括（但不限于）所有人员的工资、法定节假日加班费、保险费、公积金、福利费，还应包括：管理、劳务、培训、</w:t>
      </w:r>
      <w:r>
        <w:rPr>
          <w:rFonts w:hint="eastAsia" w:hAnsi="宋体" w:eastAsia="宋体"/>
          <w:sz w:val="24"/>
        </w:rPr>
        <w:t xml:space="preserve">运维</w:t>
      </w:r>
      <w:r>
        <w:rPr>
          <w:rFonts w:hint="eastAsia" w:hAnsi="宋体"/>
          <w:sz w:val="24"/>
        </w:rPr>
        <w:t xml:space="preserve">服务费</w:t>
      </w:r>
      <w:r>
        <w:rPr>
          <w:rFonts w:hint="eastAsia" w:hAnsi="宋体" w:eastAsia="宋体"/>
          <w:sz w:val="24"/>
        </w:rPr>
        <w:t xml:space="preserve">、</w:t>
      </w:r>
      <w:r>
        <w:rPr>
          <w:rFonts w:hint="eastAsia" w:ascii="宋体" w:hAnsi="宋体" w:eastAsia="宋体" w:cs="宋体"/>
          <w:sz w:val="24"/>
          <w:szCs w:val="24"/>
        </w:rPr>
        <w:t xml:space="preserve">风险、税金、合理利润、政策性文件规定等各项应有费用及合同包含的所有风险、责任等一切费用。</w:t>
      </w:r>
      <w:r/>
    </w:p>
    <w:p>
      <w:pPr>
        <w:pStyle w:val="910"/>
        <w:ind w:left="0" w:firstLine="425"/>
        <w:spacing w:line="360" w:lineRule="auto"/>
        <w:rPr>
          <w:rFonts w:ascii="宋体" w:hAnsi="宋体" w:eastAsia="宋体" w:cs="宋体"/>
          <w:sz w:val="24"/>
          <w:szCs w:val="24"/>
        </w:rPr>
        <w:outlineLvl w:val="2"/>
      </w:pPr>
      <w:r/>
      <w:bookmarkStart w:id="36" w:name="_Toc197644543"/>
      <w:r>
        <w:rPr>
          <w:rFonts w:hint="eastAsia" w:ascii="宋体" w:hAnsi="宋体" w:eastAsia="宋体" w:cs="宋体"/>
          <w:sz w:val="24"/>
          <w:szCs w:val="24"/>
        </w:rPr>
        <w:t xml:space="preserve">13、技术要求响应及偏离表、商务要求响应及偏离表</w:t>
      </w:r>
      <w:bookmarkEnd w:id="36"/>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13.1</w:t>
      </w:r>
      <w:r>
        <w:rPr>
          <w:rFonts w:hint="eastAsia" w:ascii="宋体" w:hAnsi="宋体" w:eastAsia="宋体" w:cs="宋体"/>
          <w:sz w:val="24"/>
          <w:szCs w:val="24"/>
        </w:rPr>
        <w:t xml:space="preserve">供应商需对招标文件中的技术要求与商务要求逐项作出响应或偏离，并说明原因。</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13.2</w:t>
      </w:r>
      <w:r>
        <w:rPr>
          <w:rFonts w:hint="eastAsia" w:ascii="宋体" w:hAnsi="宋体" w:eastAsia="宋体" w:cs="宋体"/>
          <w:sz w:val="24"/>
          <w:szCs w:val="24"/>
        </w:rPr>
        <w:t xml:space="preserve">供应商可在投标文件中提供认为需要的其他技术文件或说明。</w:t>
      </w:r>
      <w:r/>
    </w:p>
    <w:p>
      <w:pPr>
        <w:pStyle w:val="910"/>
        <w:ind w:left="0" w:firstLine="425"/>
        <w:spacing w:line="360" w:lineRule="auto"/>
        <w:rPr>
          <w:rFonts w:ascii="宋体" w:hAnsi="宋体" w:eastAsia="宋体" w:cs="宋体"/>
          <w:sz w:val="24"/>
          <w:szCs w:val="24"/>
        </w:rPr>
        <w:outlineLvl w:val="2"/>
      </w:pPr>
      <w:r/>
      <w:bookmarkStart w:id="37" w:name="_Toc197644544"/>
      <w:r>
        <w:rPr>
          <w:rFonts w:hint="eastAsia" w:ascii="宋体" w:hAnsi="宋体" w:eastAsia="宋体" w:cs="宋体"/>
          <w:sz w:val="24"/>
          <w:szCs w:val="24"/>
        </w:rPr>
        <w:t xml:space="preserve">14、投标函和开标一览表</w:t>
      </w:r>
      <w:bookmarkEnd w:id="37"/>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14.1</w:t>
      </w:r>
      <w:r>
        <w:rPr>
          <w:rFonts w:hint="eastAsia" w:ascii="宋体" w:hAnsi="宋体" w:eastAsia="宋体" w:cs="宋体"/>
          <w:sz w:val="24"/>
          <w:szCs w:val="24"/>
        </w:rPr>
        <w:t xml:space="preserve">供应商应按照招标文件中提供的格式完整、正确填写投标函、开标一览表。</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14.2</w:t>
      </w:r>
      <w:r>
        <w:rPr>
          <w:rFonts w:hint="eastAsia" w:ascii="宋体" w:hAnsi="宋体" w:eastAsia="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p>
    <w:p>
      <w:pPr>
        <w:pStyle w:val="910"/>
        <w:ind w:left="0" w:firstLine="425"/>
        <w:spacing w:line="360" w:lineRule="auto"/>
        <w:rPr>
          <w:rFonts w:ascii="宋体" w:hAnsi="宋体" w:eastAsia="宋体" w:cs="宋体"/>
          <w:sz w:val="24"/>
          <w:szCs w:val="24"/>
        </w:rPr>
        <w:outlineLvl w:val="2"/>
      </w:pPr>
      <w:r/>
      <w:bookmarkStart w:id="38" w:name="_Toc197644545"/>
      <w:r>
        <w:rPr>
          <w:rFonts w:hint="eastAsia" w:ascii="宋体" w:hAnsi="宋体" w:eastAsia="宋体" w:cs="宋体"/>
          <w:sz w:val="24"/>
          <w:szCs w:val="24"/>
        </w:rPr>
        <w:t xml:space="preserve">15、投标有效期</w:t>
      </w:r>
      <w:bookmarkEnd w:id="38"/>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15.1</w:t>
      </w:r>
      <w:r>
        <w:rPr>
          <w:rFonts w:hint="eastAsia" w:ascii="宋体" w:hAnsi="宋体" w:eastAsia="宋体" w:cs="宋体"/>
          <w:sz w:val="24"/>
          <w:szCs w:val="24"/>
        </w:rPr>
        <w:t xml:space="preserve">投标有效期为采购中心规定的开标之日后</w:t>
      </w:r>
      <w:r>
        <w:rPr>
          <w:rFonts w:hint="eastAsia" w:ascii="宋体" w:hAnsi="宋体" w:eastAsia="宋体" w:cs="宋体"/>
          <w:b/>
          <w:bCs/>
          <w:sz w:val="24"/>
          <w:szCs w:val="24"/>
          <w:u w:val="single"/>
        </w:rPr>
        <w:t xml:space="preserve">九十（90）天</w:t>
      </w:r>
      <w:r>
        <w:rPr>
          <w:rFonts w:hint="eastAsia" w:ascii="宋体" w:hAnsi="宋体" w:eastAsia="宋体" w:cs="宋体"/>
          <w:sz w:val="24"/>
          <w:szCs w:val="24"/>
        </w:rPr>
        <w:t xml:space="preserve">。投标有效期比规定短的将被视为未实质性响应招标文件而予以拒绝。</w:t>
      </w:r>
      <w:r/>
    </w:p>
    <w:p>
      <w:pPr>
        <w:pStyle w:val="910"/>
        <w:ind w:left="0" w:firstLine="425"/>
        <w:spacing w:line="360" w:lineRule="auto"/>
        <w:rPr>
          <w:rFonts w:ascii="宋体" w:hAnsi="宋体" w:eastAsia="宋体" w:cs="宋体"/>
          <w:sz w:val="24"/>
          <w:szCs w:val="24"/>
        </w:rPr>
        <w:outlineLvl w:val="2"/>
      </w:pPr>
      <w:r/>
      <w:bookmarkStart w:id="39" w:name="_Toc197644546"/>
      <w:r>
        <w:rPr>
          <w:rFonts w:hint="eastAsia" w:ascii="宋体" w:hAnsi="宋体" w:eastAsia="宋体" w:cs="宋体"/>
          <w:sz w:val="24"/>
          <w:szCs w:val="24"/>
        </w:rPr>
        <w:t xml:space="preserve">16、投标有效期的延长</w:t>
      </w:r>
      <w:bookmarkEnd w:id="39"/>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16.1</w:t>
      </w:r>
      <w:r>
        <w:rPr>
          <w:rFonts w:hint="eastAsia" w:ascii="宋体" w:hAnsi="宋体" w:eastAsia="宋体" w:cs="宋体"/>
          <w:sz w:val="24"/>
          <w:szCs w:val="24"/>
        </w:rPr>
        <w:t xml:space="preserve">在特殊情况下，采购中心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p>
    <w:p>
      <w:pPr>
        <w:pStyle w:val="910"/>
        <w:numPr>
          <w:ilvl w:val="0"/>
          <w:numId w:val="6"/>
        </w:numPr>
        <w:jc w:val="left"/>
        <w:spacing w:line="480" w:lineRule="auto"/>
        <w:rPr>
          <w:rFonts w:ascii="宋体" w:hAnsi="宋体" w:eastAsia="宋体"/>
          <w:b/>
          <w:bCs/>
          <w:sz w:val="24"/>
          <w:szCs w:val="24"/>
        </w:rPr>
        <w:outlineLvl w:val="1"/>
      </w:pPr>
      <w:r/>
      <w:bookmarkStart w:id="40" w:name="_Toc197644547"/>
      <w:r>
        <w:rPr>
          <w:rFonts w:hint="eastAsia" w:ascii="宋体" w:hAnsi="宋体" w:eastAsia="宋体" w:cs="宋体"/>
          <w:b/>
          <w:sz w:val="24"/>
          <w:szCs w:val="24"/>
        </w:rPr>
        <w:t xml:space="preserve">投标文件的递交</w:t>
      </w:r>
      <w:bookmarkEnd w:id="40"/>
      <w:r/>
      <w:r/>
    </w:p>
    <w:p>
      <w:pPr>
        <w:pStyle w:val="910"/>
        <w:ind w:left="0" w:firstLine="425"/>
        <w:spacing w:line="360" w:lineRule="auto"/>
        <w:rPr>
          <w:rFonts w:ascii="宋体" w:hAnsi="宋体" w:eastAsia="宋体" w:cs="宋体"/>
          <w:sz w:val="24"/>
          <w:szCs w:val="24"/>
        </w:rPr>
        <w:outlineLvl w:val="2"/>
      </w:pPr>
      <w:r/>
      <w:bookmarkStart w:id="41" w:name="_Toc197644548"/>
      <w:r>
        <w:rPr>
          <w:rFonts w:hint="eastAsia" w:ascii="宋体" w:hAnsi="宋体" w:eastAsia="宋体" w:cs="宋体"/>
          <w:sz w:val="24"/>
          <w:szCs w:val="24"/>
        </w:rPr>
        <w:t xml:space="preserve">17、投标文件的递交</w:t>
      </w:r>
      <w:bookmarkEnd w:id="41"/>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17.1</w:t>
      </w:r>
      <w:r>
        <w:rPr>
          <w:rFonts w:hint="eastAsia" w:ascii="宋体" w:hAnsi="宋体" w:eastAsia="宋体" w:cs="宋体"/>
          <w:sz w:val="24"/>
          <w:szCs w:val="24"/>
        </w:rPr>
        <w:t xml:space="preserve">电子投标文件的递交</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供应商应当按照《操作手册》规定，在投标截止时间前制作并上传电子投标文件。</w:t>
      </w:r>
      <w:r/>
    </w:p>
    <w:p>
      <w:pPr>
        <w:pStyle w:val="910"/>
        <w:ind w:left="0" w:firstLine="425"/>
        <w:spacing w:line="360" w:lineRule="auto"/>
        <w:rPr>
          <w:rFonts w:ascii="宋体" w:hAnsi="宋体" w:eastAsia="宋体" w:cs="宋体"/>
          <w:sz w:val="24"/>
          <w:szCs w:val="24"/>
        </w:rPr>
        <w:outlineLvl w:val="2"/>
      </w:pPr>
      <w:r/>
      <w:bookmarkStart w:id="42" w:name="_Toc197644549"/>
      <w:r>
        <w:rPr>
          <w:rFonts w:hint="eastAsia" w:ascii="宋体" w:hAnsi="宋体" w:eastAsia="宋体" w:cs="宋体"/>
          <w:sz w:val="24"/>
          <w:szCs w:val="24"/>
        </w:rPr>
        <w:t xml:space="preserve">18、投标截止时间</w:t>
      </w:r>
      <w:bookmarkEnd w:id="42"/>
      <w:r/>
      <w:r/>
    </w:p>
    <w:p>
      <w:pPr>
        <w:pStyle w:val="742"/>
        <w:ind w:firstLine="482"/>
        <w:spacing w:line="360" w:lineRule="auto"/>
        <w:rPr>
          <w:b/>
          <w:bCs/>
          <w:i/>
          <w:iCs/>
          <w:color w:val="auto"/>
          <w:sz w:val="24"/>
          <w:szCs w:val="24"/>
          <w:u w:val="single"/>
        </w:rPr>
      </w:pPr>
      <w:r>
        <w:rPr>
          <w:b/>
          <w:bCs/>
          <w:i/>
          <w:iCs/>
          <w:color w:val="auto"/>
          <w:sz w:val="24"/>
          <w:szCs w:val="24"/>
          <w:u w:val="single"/>
        </w:rPr>
        <w:t xml:space="preserve">18.1</w:t>
      </w:r>
      <w:r>
        <w:rPr>
          <w:rFonts w:hint="eastAsia"/>
          <w:b/>
          <w:bCs/>
          <w:i/>
          <w:iCs/>
          <w:color w:val="auto"/>
          <w:sz w:val="24"/>
          <w:szCs w:val="24"/>
          <w:u w:val="single"/>
        </w:rPr>
        <w:t xml:space="preserve">供应商上传电子投标文件的时间不得迟于招标公告中规定的投标截止时间。</w:t>
      </w:r>
      <w:r/>
    </w:p>
    <w:p>
      <w:pPr>
        <w:pStyle w:val="910"/>
        <w:ind w:left="0" w:firstLine="424"/>
        <w:spacing w:line="360" w:lineRule="auto"/>
        <w:rPr>
          <w:rFonts w:ascii="宋体" w:hAnsi="宋体" w:eastAsia="宋体" w:cs="宋体"/>
          <w:i/>
          <w:iCs/>
          <w:sz w:val="24"/>
          <w:szCs w:val="24"/>
          <w:u w:val="single"/>
        </w:rPr>
      </w:pPr>
      <w:r>
        <w:rPr>
          <w:rFonts w:hint="eastAsia" w:ascii="宋体" w:hAnsi="宋体" w:eastAsia="宋体" w:cs="宋体"/>
          <w:sz w:val="24"/>
          <w:szCs w:val="24"/>
        </w:rPr>
        <w:t xml:space="preserve">供应商应充分考虑到网络环境、网络带宽等风险因素，如因供应商自身原因造成的电子投标文件上传不成功的按照本招标文件第二章第26.1.2条规定做无效投标处理。</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18.2</w:t>
      </w:r>
      <w:r>
        <w:rPr>
          <w:rFonts w:hint="eastAsia" w:ascii="宋体" w:hAnsi="宋体" w:eastAsia="宋体" w:cs="宋体"/>
          <w:sz w:val="24"/>
          <w:szCs w:val="24"/>
        </w:rPr>
        <w:t xml:space="preserve">采购中心可以按照规定，通过修改招标文件酌情延长投标截止时间，在此情况下，供应商的所有权利和义务以及供应商受制的截止时间均应以延长后新的截止时间为准。</w:t>
      </w:r>
      <w:r/>
    </w:p>
    <w:p>
      <w:pPr>
        <w:pStyle w:val="910"/>
        <w:ind w:left="0" w:firstLine="425"/>
        <w:spacing w:line="360" w:lineRule="auto"/>
        <w:rPr>
          <w:rFonts w:ascii="宋体" w:hAnsi="宋体" w:eastAsia="宋体" w:cs="宋体"/>
          <w:sz w:val="24"/>
          <w:szCs w:val="24"/>
        </w:rPr>
        <w:outlineLvl w:val="2"/>
      </w:pPr>
      <w:r/>
      <w:bookmarkStart w:id="43" w:name="_Toc16938543"/>
      <w:r/>
      <w:bookmarkStart w:id="44" w:name="_Toc513029227"/>
      <w:r/>
      <w:bookmarkStart w:id="45" w:name="_Toc20823299"/>
      <w:r/>
      <w:bookmarkStart w:id="46" w:name="_Toc197644550"/>
      <w:r>
        <w:rPr>
          <w:rFonts w:hint="eastAsia" w:ascii="宋体" w:hAnsi="宋体" w:eastAsia="宋体" w:cs="宋体"/>
          <w:sz w:val="24"/>
          <w:szCs w:val="24"/>
        </w:rPr>
        <w:t xml:space="preserve">19、投标文件</w:t>
      </w:r>
      <w:bookmarkEnd w:id="43"/>
      <w:r/>
      <w:bookmarkEnd w:id="44"/>
      <w:r/>
      <w:bookmarkEnd w:id="45"/>
      <w:r>
        <w:rPr>
          <w:rFonts w:hint="eastAsia" w:ascii="宋体" w:hAnsi="宋体" w:eastAsia="宋体" w:cs="宋体"/>
          <w:sz w:val="24"/>
          <w:szCs w:val="24"/>
        </w:rPr>
        <w:t xml:space="preserve">的拒收</w:t>
      </w:r>
      <w:bookmarkEnd w:id="46"/>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19.1</w:t>
      </w:r>
      <w:r>
        <w:rPr>
          <w:rFonts w:hint="eastAsia" w:ascii="宋体" w:hAnsi="宋体" w:eastAsia="宋体" w:cs="宋体"/>
          <w:sz w:val="24"/>
          <w:szCs w:val="24"/>
        </w:rPr>
        <w:t xml:space="preserve">采购中心拒绝接收在其规定的投标截止时间后上传的任何投标文件。</w:t>
      </w:r>
      <w:r/>
    </w:p>
    <w:p>
      <w:pPr>
        <w:pStyle w:val="910"/>
        <w:ind w:left="0" w:firstLine="425"/>
        <w:spacing w:line="360" w:lineRule="auto"/>
        <w:rPr>
          <w:rFonts w:ascii="宋体" w:hAnsi="宋体" w:eastAsia="宋体" w:cs="宋体"/>
          <w:sz w:val="24"/>
          <w:szCs w:val="24"/>
        </w:rPr>
        <w:outlineLvl w:val="2"/>
      </w:pPr>
      <w:r/>
      <w:bookmarkStart w:id="47" w:name="_Toc513029228"/>
      <w:r/>
      <w:bookmarkStart w:id="48" w:name="_Toc20823300"/>
      <w:r/>
      <w:bookmarkStart w:id="49" w:name="_Toc197644551"/>
      <w:r/>
      <w:bookmarkStart w:id="50" w:name="_Toc16938544"/>
      <w:r>
        <w:rPr>
          <w:rFonts w:hint="eastAsia" w:ascii="宋体" w:hAnsi="宋体" w:eastAsia="宋体" w:cs="宋体"/>
          <w:sz w:val="24"/>
          <w:szCs w:val="24"/>
        </w:rPr>
        <w:t xml:space="preserve">20、投标文件的撤回和修改</w:t>
      </w:r>
      <w:bookmarkEnd w:id="47"/>
      <w:r/>
      <w:bookmarkEnd w:id="48"/>
      <w:r/>
      <w:bookmarkEnd w:id="49"/>
      <w:r/>
      <w:bookmarkEnd w:id="50"/>
      <w:r/>
      <w:r/>
    </w:p>
    <w:p>
      <w:pPr>
        <w:pStyle w:val="910"/>
        <w:numPr>
          <w:ilvl w:val="1"/>
          <w:numId w:val="0"/>
        </w:numPr>
        <w:ind w:firstLine="426"/>
        <w:spacing w:line="360" w:lineRule="auto"/>
        <w:rPr>
          <w:rFonts w:ascii="宋体" w:hAnsi="宋体" w:eastAsia="宋体" w:cs="宋体"/>
          <w:sz w:val="24"/>
          <w:szCs w:val="24"/>
        </w:rPr>
        <w:outlineLvl w:val="3"/>
      </w:pPr>
      <w:r>
        <w:rPr>
          <w:rFonts w:ascii="宋体" w:hAnsi="宋体" w:eastAsia="宋体" w:cs="宋体"/>
          <w:sz w:val="24"/>
          <w:szCs w:val="24"/>
        </w:rPr>
        <w:t xml:space="preserve">20.1</w:t>
      </w:r>
      <w:r>
        <w:rPr>
          <w:rFonts w:hint="eastAsia" w:ascii="宋体" w:hAnsi="宋体" w:eastAsia="宋体" w:cs="宋体"/>
          <w:sz w:val="24"/>
          <w:szCs w:val="24"/>
        </w:rPr>
        <w:t xml:space="preserve">投标文件的撤回</w:t>
      </w:r>
      <w:r/>
    </w:p>
    <w:p>
      <w:pPr>
        <w:pStyle w:val="910"/>
        <w:numPr>
          <w:ilvl w:val="2"/>
          <w:numId w:val="0"/>
        </w:numPr>
        <w:ind w:left="1568" w:hanging="1142"/>
        <w:spacing w:line="360" w:lineRule="auto"/>
        <w:rPr>
          <w:rFonts w:ascii="宋体" w:hAnsi="宋体" w:eastAsia="宋体" w:cs="宋体"/>
          <w:sz w:val="24"/>
          <w:szCs w:val="24"/>
        </w:rPr>
      </w:pPr>
      <w:r>
        <w:rPr>
          <w:rFonts w:ascii="宋体" w:hAnsi="宋体" w:eastAsia="宋体" w:cs="宋体"/>
          <w:sz w:val="24"/>
          <w:szCs w:val="24"/>
        </w:rPr>
        <w:t xml:space="preserve">20.1.1</w:t>
      </w:r>
      <w:r>
        <w:rPr>
          <w:rFonts w:hint="eastAsia" w:ascii="宋体" w:hAnsi="宋体" w:eastAsia="宋体" w:cs="宋体"/>
          <w:sz w:val="24"/>
          <w:szCs w:val="24"/>
        </w:rPr>
        <w:t xml:space="preserve">电子投标文件的撤回</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供应商可在投标截止时间前，撤回其电子投标文件，具体操作方法见《操作手册》。</w:t>
      </w:r>
      <w:r/>
    </w:p>
    <w:p>
      <w:pPr>
        <w:pStyle w:val="910"/>
        <w:numPr>
          <w:ilvl w:val="2"/>
          <w:numId w:val="0"/>
        </w:numPr>
        <w:ind w:left="1568" w:hanging="1142"/>
        <w:spacing w:line="360" w:lineRule="auto"/>
        <w:rPr>
          <w:rFonts w:ascii="宋体" w:hAnsi="宋体" w:eastAsia="宋体" w:cs="宋体"/>
          <w:sz w:val="24"/>
          <w:szCs w:val="24"/>
        </w:rPr>
      </w:pPr>
      <w:r>
        <w:rPr>
          <w:rFonts w:ascii="宋体" w:hAnsi="宋体" w:eastAsia="宋体" w:cs="宋体"/>
          <w:sz w:val="24"/>
          <w:szCs w:val="24"/>
        </w:rPr>
        <w:t xml:space="preserve">20.1.2</w:t>
      </w:r>
      <w:r>
        <w:rPr>
          <w:rFonts w:hint="eastAsia" w:ascii="宋体" w:hAnsi="宋体" w:eastAsia="宋体" w:cs="宋体"/>
          <w:sz w:val="24"/>
          <w:szCs w:val="24"/>
        </w:rPr>
        <w:t xml:space="preserve">供应商撤回电子投标文件，则认为其不再参与本项目投标活动。</w:t>
      </w:r>
      <w:r/>
    </w:p>
    <w:p>
      <w:pPr>
        <w:pStyle w:val="910"/>
        <w:numPr>
          <w:ilvl w:val="1"/>
          <w:numId w:val="0"/>
        </w:numPr>
        <w:ind w:firstLine="426"/>
        <w:spacing w:line="360" w:lineRule="auto"/>
        <w:rPr>
          <w:rFonts w:ascii="宋体" w:hAnsi="宋体" w:eastAsia="宋体" w:cs="宋体"/>
          <w:sz w:val="24"/>
          <w:szCs w:val="24"/>
        </w:rPr>
        <w:outlineLvl w:val="3"/>
      </w:pPr>
      <w:r>
        <w:rPr>
          <w:rFonts w:ascii="宋体" w:hAnsi="宋体" w:eastAsia="宋体" w:cs="宋体"/>
          <w:sz w:val="24"/>
          <w:szCs w:val="24"/>
        </w:rPr>
        <w:t xml:space="preserve">20.2</w:t>
      </w:r>
      <w:r>
        <w:rPr>
          <w:rFonts w:hint="eastAsia" w:ascii="宋体" w:hAnsi="宋体" w:eastAsia="宋体" w:cs="宋体"/>
          <w:sz w:val="24"/>
          <w:szCs w:val="24"/>
        </w:rPr>
        <w:t xml:space="preserve">投标文件的修改</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20.2.1</w:t>
      </w:r>
      <w:r>
        <w:rPr>
          <w:rFonts w:hint="eastAsia" w:ascii="宋体" w:hAnsi="宋体" w:eastAsia="宋体" w:cs="宋体"/>
          <w:sz w:val="24"/>
          <w:szCs w:val="24"/>
        </w:rPr>
        <w:t xml:space="preserve">供应商可在投标截止时间前，对其电子投标文件进行修改，具体操作方法见《操作手册》。</w:t>
      </w:r>
      <w:r/>
    </w:p>
    <w:p>
      <w:pPr>
        <w:pStyle w:val="910"/>
        <w:numPr>
          <w:ilvl w:val="2"/>
          <w:numId w:val="0"/>
        </w:numPr>
        <w:ind w:left="1568" w:hanging="1142"/>
        <w:spacing w:line="360" w:lineRule="auto"/>
        <w:rPr>
          <w:rFonts w:ascii="宋体" w:hAnsi="宋体" w:eastAsia="宋体" w:cs="宋体"/>
          <w:sz w:val="24"/>
          <w:szCs w:val="24"/>
        </w:rPr>
      </w:pPr>
      <w:r>
        <w:rPr>
          <w:rFonts w:ascii="宋体" w:hAnsi="宋体" w:eastAsia="宋体" w:cs="宋体"/>
          <w:sz w:val="24"/>
          <w:szCs w:val="24"/>
        </w:rPr>
        <w:t xml:space="preserve">20.2.2</w:t>
      </w:r>
      <w:r>
        <w:rPr>
          <w:rFonts w:hint="eastAsia" w:ascii="宋体" w:hAnsi="宋体" w:eastAsia="宋体" w:cs="宋体"/>
          <w:sz w:val="24"/>
          <w:szCs w:val="24"/>
        </w:rPr>
        <w:t xml:space="preserve">在投标截止时间之后，供应商不得对其电子投标文件作任何修改。</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20.3</w:t>
      </w:r>
      <w:r>
        <w:rPr>
          <w:rFonts w:hint="eastAsia" w:ascii="宋体" w:hAnsi="宋体" w:eastAsia="宋体" w:cs="宋体"/>
          <w:sz w:val="24"/>
          <w:szCs w:val="24"/>
        </w:rPr>
        <w:t xml:space="preserve">在投标截止时间至招标文件中规定的投标有效期满之间的这段时间内，供应商不得撤回其投标。</w:t>
      </w:r>
      <w:r/>
    </w:p>
    <w:p>
      <w:pPr>
        <w:pStyle w:val="910"/>
        <w:numPr>
          <w:ilvl w:val="0"/>
          <w:numId w:val="6"/>
        </w:numPr>
        <w:jc w:val="left"/>
        <w:spacing w:line="480" w:lineRule="auto"/>
        <w:rPr>
          <w:rFonts w:ascii="宋体" w:hAnsi="宋体" w:eastAsia="宋体"/>
          <w:b/>
          <w:bCs/>
          <w:sz w:val="24"/>
          <w:szCs w:val="24"/>
        </w:rPr>
        <w:outlineLvl w:val="1"/>
      </w:pPr>
      <w:r/>
      <w:bookmarkStart w:id="51" w:name="_Toc197644552"/>
      <w:r>
        <w:rPr>
          <w:rFonts w:hint="eastAsia" w:ascii="宋体" w:hAnsi="宋体" w:eastAsia="宋体" w:cs="宋体"/>
          <w:b/>
          <w:sz w:val="24"/>
          <w:szCs w:val="24"/>
        </w:rPr>
        <w:t xml:space="preserve">开标与评标</w:t>
      </w:r>
      <w:bookmarkEnd w:id="51"/>
      <w:r/>
      <w:r/>
    </w:p>
    <w:p>
      <w:pPr>
        <w:pStyle w:val="910"/>
        <w:ind w:left="0" w:firstLine="425"/>
        <w:spacing w:line="360" w:lineRule="auto"/>
        <w:rPr>
          <w:rFonts w:ascii="宋体" w:hAnsi="宋体" w:eastAsia="宋体" w:cs="宋体"/>
          <w:sz w:val="24"/>
          <w:szCs w:val="24"/>
        </w:rPr>
        <w:outlineLvl w:val="2"/>
      </w:pPr>
      <w:r/>
      <w:bookmarkStart w:id="52" w:name="_Toc16938546"/>
      <w:r/>
      <w:bookmarkStart w:id="53" w:name="_Toc20823302"/>
      <w:r/>
      <w:bookmarkStart w:id="54" w:name="_Toc513029230"/>
      <w:r/>
      <w:bookmarkStart w:id="55" w:name="_Toc197644553"/>
      <w:r>
        <w:rPr>
          <w:rFonts w:hint="eastAsia" w:ascii="宋体" w:hAnsi="宋体" w:eastAsia="宋体" w:cs="宋体"/>
          <w:sz w:val="24"/>
          <w:szCs w:val="24"/>
        </w:rPr>
        <w:t xml:space="preserve">21、开标</w:t>
      </w:r>
      <w:bookmarkEnd w:id="52"/>
      <w:r/>
      <w:bookmarkEnd w:id="53"/>
      <w:r/>
      <w:bookmarkEnd w:id="54"/>
      <w:r/>
      <w:bookmarkEnd w:id="55"/>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21.1</w:t>
      </w:r>
      <w:r>
        <w:rPr>
          <w:rFonts w:hint="eastAsia" w:ascii="宋体" w:hAnsi="宋体" w:eastAsia="宋体" w:cs="宋体"/>
          <w:sz w:val="24"/>
          <w:szCs w:val="24"/>
        </w:rPr>
        <w:t xml:space="preserve">采购中心将在招标公告中规定的时间和地点组织公开开标。供应商应当按照《操作手册》规定，参加开标活动和在“苏采云”系统规定的时间内对投标文件进行解密。</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21.2</w:t>
      </w:r>
      <w:r>
        <w:rPr>
          <w:rFonts w:hint="eastAsia" w:ascii="宋体" w:hAnsi="宋体" w:eastAsia="宋体" w:cs="宋体"/>
          <w:sz w:val="24"/>
          <w:szCs w:val="24"/>
        </w:rPr>
        <w:t xml:space="preserve">开标仪式由采购中心组织。“苏采云”系统将自动对项目进行开标，并宣布各供应商名称和投标价格。</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21.3</w:t>
      </w:r>
      <w:r>
        <w:rPr>
          <w:rFonts w:hint="eastAsia" w:ascii="宋体" w:hAnsi="宋体" w:eastAsia="宋体" w:cs="宋体"/>
          <w:sz w:val="24"/>
          <w:szCs w:val="24"/>
        </w:rPr>
        <w:t xml:space="preserve">供应商在开标过程中涉及到的投标文件解密、开标结果确认等工作，应按照《操作手册》规定执行。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21.4</w:t>
      </w:r>
      <w:r>
        <w:rPr>
          <w:rFonts w:hint="eastAsia" w:ascii="宋体" w:hAnsi="宋体" w:eastAsia="宋体" w:cs="宋体"/>
          <w:sz w:val="24"/>
          <w:szCs w:val="24"/>
        </w:rPr>
        <w:t xml:space="preserve">供应商如果对开标过程和开标记录有疑义，应当根据《操作手册》规定提出，如“苏采云”系统中《开标记录表》宣布后5分钟内未提出的，视同认可开标结果。</w:t>
      </w:r>
      <w:r/>
    </w:p>
    <w:p>
      <w:pPr>
        <w:pStyle w:val="910"/>
        <w:ind w:left="0" w:firstLine="425"/>
        <w:spacing w:line="360" w:lineRule="auto"/>
        <w:rPr>
          <w:rFonts w:ascii="宋体" w:hAnsi="宋体" w:eastAsia="宋体" w:cs="宋体"/>
          <w:sz w:val="24"/>
          <w:szCs w:val="24"/>
        </w:rPr>
        <w:outlineLvl w:val="2"/>
      </w:pPr>
      <w:r/>
      <w:bookmarkStart w:id="56" w:name="_Toc20823303"/>
      <w:r/>
      <w:bookmarkStart w:id="57" w:name="_Toc16938547"/>
      <w:r/>
      <w:bookmarkStart w:id="58" w:name="_Toc197644554"/>
      <w:r/>
      <w:bookmarkStart w:id="59" w:name="_Toc513029231"/>
      <w:r>
        <w:rPr>
          <w:rFonts w:hint="eastAsia" w:ascii="宋体" w:hAnsi="宋体" w:eastAsia="宋体" w:cs="宋体"/>
          <w:sz w:val="24"/>
          <w:szCs w:val="24"/>
        </w:rPr>
        <w:t xml:space="preserve">22、评标委员会</w:t>
      </w:r>
      <w:bookmarkEnd w:id="56"/>
      <w:r/>
      <w:bookmarkEnd w:id="57"/>
      <w:r/>
      <w:bookmarkEnd w:id="58"/>
      <w:r/>
      <w:bookmarkEnd w:id="59"/>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22.1</w:t>
      </w:r>
      <w:r>
        <w:rPr>
          <w:rFonts w:hint="eastAsia" w:ascii="宋体" w:hAnsi="宋体" w:eastAsia="宋体" w:cs="宋体"/>
          <w:sz w:val="24"/>
          <w:szCs w:val="24"/>
        </w:rPr>
        <w:t xml:space="preserve">开标后，采购中心将立即组织评标委员会（以下简称评委会）进行评标。</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22.2</w:t>
      </w:r>
      <w:r>
        <w:rPr>
          <w:rFonts w:ascii="宋体" w:hAnsi="宋体" w:eastAsia="宋体" w:cs="宋体"/>
          <w:sz w:val="24"/>
          <w:szCs w:val="24"/>
          <w:lang w:val="zh-CN"/>
        </w:rPr>
        <w:t xml:space="preserve">评委会由采购人代表和有关技术、经济等方面的专家组成，且人员构成符合政府采购有关规定</w:t>
      </w:r>
      <w:r>
        <w:rPr>
          <w:rFonts w:hint="eastAsia" w:ascii="宋体" w:hAnsi="宋体" w:eastAsia="宋体" w:cs="宋体"/>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22.3</w:t>
      </w:r>
      <w:r>
        <w:rPr>
          <w:rFonts w:hint="eastAsia" w:ascii="宋体" w:hAnsi="宋体" w:eastAsia="宋体" w:cs="宋体"/>
          <w:sz w:val="24"/>
          <w:szCs w:val="24"/>
        </w:rPr>
        <w:t xml:space="preserve">评委会独立工作，负责评审所有投标文件并确定中标候选人。</w:t>
      </w:r>
      <w:r/>
    </w:p>
    <w:p>
      <w:pPr>
        <w:pStyle w:val="910"/>
        <w:ind w:left="0" w:firstLine="425"/>
        <w:spacing w:line="360" w:lineRule="auto"/>
        <w:rPr>
          <w:rFonts w:ascii="宋体" w:hAnsi="宋体" w:eastAsia="宋体" w:cs="宋体"/>
          <w:sz w:val="24"/>
          <w:szCs w:val="24"/>
        </w:rPr>
        <w:outlineLvl w:val="2"/>
      </w:pPr>
      <w:r/>
      <w:bookmarkStart w:id="60" w:name="_Toc197644555"/>
      <w:r>
        <w:rPr>
          <w:rFonts w:hint="eastAsia" w:ascii="宋体" w:hAnsi="宋体" w:eastAsia="宋体" w:cs="宋体"/>
          <w:sz w:val="24"/>
          <w:szCs w:val="24"/>
        </w:rPr>
        <w:t xml:space="preserve">23、评标过程的保密与公正</w:t>
      </w:r>
      <w:bookmarkEnd w:id="60"/>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23.1</w:t>
      </w:r>
      <w:r>
        <w:rPr>
          <w:rFonts w:hint="eastAsia" w:ascii="宋体" w:hAnsi="宋体" w:eastAsia="宋体" w:cs="宋体"/>
          <w:sz w:val="24"/>
          <w:szCs w:val="24"/>
        </w:rPr>
        <w:t xml:space="preserve">凡是与审查、澄清、评价和比较投标的有关资料以及授标建议等，采购人、评委、采购中心均不得向供应商或与评标无关的其他人员透露。</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23.2</w:t>
      </w:r>
      <w:r>
        <w:rPr>
          <w:rFonts w:hint="eastAsia" w:ascii="宋体" w:hAnsi="宋体" w:eastAsia="宋体" w:cs="宋体"/>
          <w:sz w:val="24"/>
          <w:szCs w:val="24"/>
        </w:rPr>
        <w:t xml:space="preserve">在评标过程中，供应商不得以任何行为影响评标过程，否则其投标文件将被作为无效投标文件。</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23.3</w:t>
      </w:r>
      <w:r>
        <w:rPr>
          <w:rFonts w:hint="eastAsia" w:ascii="宋体" w:hAnsi="宋体" w:eastAsia="宋体" w:cs="宋体"/>
          <w:sz w:val="24"/>
          <w:szCs w:val="24"/>
        </w:rPr>
        <w:t xml:space="preserve">采购人、中心和评标委员会不向未中标的供应商解释未中标原因，也不公布评标过程中的相关细节。</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23.4</w:t>
      </w:r>
      <w:r>
        <w:rPr>
          <w:rFonts w:hint="eastAsia" w:ascii="宋体" w:hAnsi="宋体" w:eastAsia="宋体" w:cs="宋体"/>
          <w:sz w:val="24"/>
          <w:szCs w:val="24"/>
        </w:rPr>
        <w:t xml:space="preserve">采用综合评分法的项目，未中标的供应商可于中标结果公告期限届满之日起通过“苏采云”系统查看自己的评审得分及排序情况。</w:t>
      </w:r>
      <w:r/>
    </w:p>
    <w:p>
      <w:pPr>
        <w:pStyle w:val="910"/>
        <w:ind w:left="0" w:firstLine="425"/>
        <w:spacing w:line="360" w:lineRule="auto"/>
        <w:rPr>
          <w:rFonts w:ascii="宋体" w:hAnsi="宋体" w:eastAsia="宋体" w:cs="宋体"/>
          <w:sz w:val="24"/>
          <w:szCs w:val="24"/>
        </w:rPr>
        <w:outlineLvl w:val="2"/>
      </w:pPr>
      <w:r/>
      <w:bookmarkStart w:id="61" w:name="_Toc513029232"/>
      <w:r/>
      <w:bookmarkStart w:id="62" w:name="_Toc197644556"/>
      <w:r/>
      <w:bookmarkStart w:id="63" w:name="_Toc20823304"/>
      <w:r/>
      <w:bookmarkStart w:id="64" w:name="_Toc16938548"/>
      <w:r>
        <w:rPr>
          <w:rFonts w:hint="eastAsia" w:ascii="宋体" w:hAnsi="宋体" w:eastAsia="宋体" w:cs="宋体"/>
          <w:sz w:val="24"/>
          <w:szCs w:val="24"/>
        </w:rPr>
        <w:t xml:space="preserve">24、投标文件的澄清</w:t>
      </w:r>
      <w:bookmarkEnd w:id="61"/>
      <w:r/>
      <w:bookmarkEnd w:id="62"/>
      <w:r/>
      <w:bookmarkEnd w:id="63"/>
      <w:r/>
      <w:bookmarkEnd w:id="64"/>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24.1</w:t>
      </w:r>
      <w:r>
        <w:rPr>
          <w:rFonts w:hint="eastAsia" w:ascii="宋体" w:hAnsi="宋体" w:eastAsia="宋体" w:cs="宋体"/>
          <w:sz w:val="24"/>
          <w:szCs w:val="24"/>
        </w:rPr>
        <w:t xml:space="preserve">评标期间，评委会对投标文件中含义不明确、同类问题表述不一致或者有明显文字和计算错误的内容，有权要求供应商作出必要的澄清、说明或者补正。</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供应商的澄清、说明或者补正不得超出投标文件的范围或者改变投标文件的实质性内容。</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评委会并非对每个供应商都做澄清要求。</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24.2</w:t>
      </w:r>
      <w:r>
        <w:rPr>
          <w:rFonts w:hint="eastAsia" w:ascii="宋体" w:hAnsi="宋体" w:eastAsia="宋体" w:cs="宋体"/>
          <w:sz w:val="24"/>
          <w:szCs w:val="24"/>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24.3</w:t>
      </w:r>
      <w:r>
        <w:rPr>
          <w:rFonts w:hint="eastAsia" w:ascii="宋体" w:hAnsi="宋体" w:eastAsia="宋体" w:cs="宋体"/>
          <w:sz w:val="24"/>
          <w:szCs w:val="24"/>
        </w:rPr>
        <w:t xml:space="preserve">接到评委会澄清、说明和补正要求的供应商如未按规定做出澄清、说明和补正，其风险由供应商自行承担。</w:t>
      </w:r>
      <w:r/>
    </w:p>
    <w:p>
      <w:pPr>
        <w:pStyle w:val="910"/>
        <w:ind w:left="0" w:firstLine="425"/>
        <w:spacing w:line="360" w:lineRule="auto"/>
        <w:rPr>
          <w:rFonts w:ascii="宋体" w:hAnsi="宋体" w:eastAsia="宋体" w:cs="宋体"/>
          <w:sz w:val="24"/>
          <w:szCs w:val="24"/>
        </w:rPr>
        <w:outlineLvl w:val="2"/>
      </w:pPr>
      <w:r/>
      <w:bookmarkStart w:id="65" w:name="_Toc197644557"/>
      <w:r/>
      <w:bookmarkStart w:id="66" w:name="_Toc513029233"/>
      <w:r/>
      <w:bookmarkStart w:id="67" w:name="_Toc20823305"/>
      <w:r/>
      <w:bookmarkStart w:id="68" w:name="_Toc16938549"/>
      <w:r>
        <w:rPr>
          <w:rFonts w:hint="eastAsia" w:ascii="宋体" w:hAnsi="宋体" w:eastAsia="宋体" w:cs="宋体"/>
          <w:sz w:val="24"/>
          <w:szCs w:val="24"/>
        </w:rPr>
        <w:t xml:space="preserve">25、对投标文件的初审</w:t>
      </w:r>
      <w:bookmarkEnd w:id="65"/>
      <w:r/>
      <w:bookmarkEnd w:id="66"/>
      <w:r/>
      <w:bookmarkEnd w:id="67"/>
      <w:r/>
      <w:bookmarkEnd w:id="68"/>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25.1</w:t>
      </w:r>
      <w:r>
        <w:rPr>
          <w:rFonts w:hint="eastAsia" w:ascii="宋体" w:hAnsi="宋体" w:eastAsia="宋体" w:cs="宋体"/>
          <w:sz w:val="24"/>
          <w:szCs w:val="24"/>
        </w:rPr>
        <w:t xml:space="preserve">投标文件初审分为资格审查和符合性审查。</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25.1.1</w:t>
      </w:r>
      <w:r>
        <w:rPr>
          <w:rFonts w:hint="eastAsia" w:ascii="宋体" w:hAnsi="宋体" w:eastAsia="宋体" w:cs="宋体"/>
          <w:sz w:val="24"/>
          <w:szCs w:val="24"/>
        </w:rPr>
        <w:t xml:space="preserve">资格审查：依据法律法规和招标文件的规定，由采购人对投标文件中的资格证明文件进行审查。资格审查的结论，采购人以书面形式向评委会进行反馈。</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采购人在进行资格性审查的同时，将在“信用中国”网站（www.creditchina.gov.cn）查询供应商的信用记录，以确定供应商是否具备投标资格，查询结果留存并归档。</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25.1.2</w:t>
      </w:r>
      <w:r>
        <w:rPr>
          <w:rFonts w:hint="eastAsia" w:ascii="宋体" w:hAnsi="宋体" w:eastAsia="宋体" w:cs="宋体"/>
          <w:sz w:val="24"/>
          <w:szCs w:val="24"/>
        </w:rPr>
        <w:t xml:space="preserve">符合性审查：依据招标文件的规定，由评委会从投标文件的有效性、完整性和对招标文件的响应程度进行审查，以确定是否对招标文件的实质性要求作出响应。</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25.1.3</w:t>
      </w:r>
      <w:r>
        <w:rPr>
          <w:rFonts w:hint="eastAsia" w:ascii="宋体" w:hAnsi="宋体" w:eastAsia="宋体" w:cs="宋体"/>
          <w:sz w:val="24"/>
          <w:szCs w:val="24"/>
        </w:rPr>
        <w:t xml:space="preserve">未通过资格审查或符合性审查的供应商，采购中心将在“苏采云”系统中告知未通过资格审查或符合性审查的原因，评标结束后，采购中心将不再告知未通过资格审查和符合性审查的原因。</w:t>
      </w:r>
      <w:r/>
    </w:p>
    <w:p>
      <w:pPr>
        <w:pStyle w:val="910"/>
        <w:numPr>
          <w:ilvl w:val="1"/>
          <w:numId w:val="0"/>
        </w:numPr>
        <w:ind w:firstLine="426"/>
        <w:spacing w:line="360" w:lineRule="auto"/>
        <w:rPr>
          <w:rFonts w:ascii="宋体" w:hAnsi="宋体" w:eastAsia="宋体" w:cs="宋体"/>
          <w:sz w:val="24"/>
          <w:szCs w:val="24"/>
        </w:rPr>
      </w:pPr>
      <w:r/>
      <w:bookmarkStart w:id="69" w:name="OLE_LINK2"/>
      <w:r>
        <w:rPr>
          <w:rFonts w:ascii="宋体" w:hAnsi="宋体" w:eastAsia="宋体" w:cs="宋体"/>
          <w:sz w:val="24"/>
          <w:szCs w:val="24"/>
        </w:rPr>
        <w:t xml:space="preserve">25.2</w:t>
      </w:r>
      <w:r>
        <w:rPr>
          <w:rFonts w:hint="eastAsia" w:ascii="宋体" w:hAnsi="宋体" w:eastAsia="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69"/>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中心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25.3</w:t>
      </w:r>
      <w:r>
        <w:rPr>
          <w:rFonts w:hint="eastAsia" w:ascii="宋体" w:hAnsi="宋体" w:eastAsia="宋体" w:cs="宋体"/>
          <w:sz w:val="24"/>
          <w:szCs w:val="24"/>
        </w:rPr>
        <w:t xml:space="preserve">如果投标文件实质上没有响应招标文件的要求，评委会将予以拒绝，供应商不得通过修改或撤销不合要求的偏离或保留而使其投标成为实质性响应的投标。</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25.4</w:t>
      </w:r>
      <w:r>
        <w:rPr>
          <w:rFonts w:hint="eastAsia" w:ascii="宋体" w:hAnsi="宋体" w:eastAsia="宋体" w:cs="宋体"/>
          <w:sz w:val="24"/>
          <w:szCs w:val="24"/>
        </w:rPr>
        <w:t xml:space="preserve">评委会将对确定为实质性响应的投标进行进一步审核，确定其是否有计算上或累加上的算术错误，修正错误的原则如下：</w:t>
      </w:r>
      <w:r/>
    </w:p>
    <w:p>
      <w:pPr>
        <w:pStyle w:val="910"/>
        <w:numPr>
          <w:ilvl w:val="0"/>
          <w:numId w:val="8"/>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投标文件中开标一览表内容与投标文件中相应内容不一致的，以开标一览表为准。</w:t>
      </w:r>
      <w:r/>
    </w:p>
    <w:p>
      <w:pPr>
        <w:pStyle w:val="910"/>
        <w:numPr>
          <w:ilvl w:val="0"/>
          <w:numId w:val="8"/>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大写金额和小写金额不一致的，以大写金额为准。</w:t>
      </w:r>
      <w:r/>
    </w:p>
    <w:p>
      <w:pPr>
        <w:pStyle w:val="910"/>
        <w:numPr>
          <w:ilvl w:val="0"/>
          <w:numId w:val="8"/>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单价金额小数点或者百分比有明显错位的，以开标一览表的总价为准，并修改单价。</w:t>
      </w:r>
      <w:r/>
    </w:p>
    <w:p>
      <w:pPr>
        <w:pStyle w:val="910"/>
        <w:numPr>
          <w:ilvl w:val="0"/>
          <w:numId w:val="8"/>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总价金额与按单价汇总金额不一致的，以单价金额计算结果为准。</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25.5</w:t>
      </w:r>
      <w:r>
        <w:rPr>
          <w:rFonts w:hint="eastAsia" w:ascii="宋体" w:hAnsi="宋体" w:eastAsia="宋体" w:cs="宋体"/>
          <w:sz w:val="24"/>
          <w:szCs w:val="24"/>
        </w:rPr>
        <w:t xml:space="preserve">评委会将按上述修正错误的方法调整投标文件中的投标报价，并通过“苏采云”系统告知供应商，调整后的价格应对供应商具有约束力。如果供应商不接受修正后的价格，则其投标将被拒绝。</w:t>
      </w:r>
      <w:r/>
    </w:p>
    <w:p>
      <w:pPr>
        <w:pStyle w:val="910"/>
        <w:numPr>
          <w:ilvl w:val="1"/>
          <w:numId w:val="0"/>
        </w:numPr>
        <w:ind w:firstLine="426"/>
        <w:spacing w:line="360" w:lineRule="auto"/>
        <w:rPr>
          <w:rFonts w:ascii="宋体" w:hAnsi="宋体" w:eastAsia="宋体" w:cs="宋体"/>
          <w:sz w:val="24"/>
          <w:szCs w:val="24"/>
        </w:rPr>
      </w:pPr>
      <w:r/>
      <w:bookmarkStart w:id="70" w:name="_Toc513029234"/>
      <w:r/>
      <w:bookmarkStart w:id="71" w:name="_Toc20823306"/>
      <w:r/>
      <w:bookmarkStart w:id="72" w:name="_Toc16938550"/>
      <w:r>
        <w:rPr>
          <w:rFonts w:ascii="宋体" w:hAnsi="宋体" w:eastAsia="宋体" w:cs="宋体"/>
          <w:sz w:val="24"/>
          <w:szCs w:val="24"/>
        </w:rPr>
        <w:t xml:space="preserve">25.6</w:t>
      </w:r>
      <w:r>
        <w:rPr>
          <w:rFonts w:hint="eastAsia" w:ascii="宋体" w:hAnsi="宋体" w:eastAsia="宋体" w:cs="宋体"/>
          <w:sz w:val="24"/>
          <w:szCs w:val="24"/>
        </w:rPr>
        <w:t xml:space="preserve">供应商在开、评标全过程中应保持通讯畅通，及时登录“苏采云”系统查阅、答复相关信息，并安排专人与采购中心及评委会联系。</w:t>
      </w:r>
      <w:bookmarkEnd w:id="70"/>
      <w:r/>
      <w:bookmarkEnd w:id="71"/>
      <w:r/>
      <w:bookmarkEnd w:id="72"/>
      <w:r/>
      <w:r/>
    </w:p>
    <w:p>
      <w:pPr>
        <w:pStyle w:val="910"/>
        <w:ind w:left="0" w:firstLine="425"/>
        <w:spacing w:line="360" w:lineRule="auto"/>
        <w:rPr>
          <w:rFonts w:ascii="宋体" w:hAnsi="宋体" w:eastAsia="宋体" w:cs="宋体"/>
          <w:sz w:val="24"/>
          <w:szCs w:val="24"/>
        </w:rPr>
        <w:outlineLvl w:val="2"/>
      </w:pPr>
      <w:r/>
      <w:bookmarkStart w:id="73" w:name="_Toc197644558"/>
      <w:r>
        <w:rPr>
          <w:rFonts w:hint="eastAsia" w:ascii="宋体" w:hAnsi="宋体" w:eastAsia="宋体" w:cs="宋体"/>
          <w:sz w:val="24"/>
          <w:szCs w:val="24"/>
        </w:rPr>
        <w:t xml:space="preserve">26、无效投标条款和废标条款</w:t>
      </w:r>
      <w:bookmarkEnd w:id="73"/>
      <w:r/>
      <w:r/>
    </w:p>
    <w:p>
      <w:pPr>
        <w:pStyle w:val="910"/>
        <w:numPr>
          <w:ilvl w:val="1"/>
          <w:numId w:val="0"/>
        </w:numPr>
        <w:ind w:firstLine="426"/>
        <w:spacing w:line="360" w:lineRule="auto"/>
        <w:rPr>
          <w:rFonts w:ascii="宋体" w:hAnsi="宋体" w:eastAsia="宋体" w:cs="宋体"/>
          <w:sz w:val="24"/>
          <w:szCs w:val="24"/>
        </w:rPr>
      </w:pPr>
      <w:r/>
      <w:bookmarkStart w:id="74" w:name="_Toc513029235"/>
      <w:r/>
      <w:bookmarkStart w:id="75" w:name="_Toc16938551"/>
      <w:r/>
      <w:bookmarkStart w:id="76" w:name="_Toc20823307"/>
      <w:r>
        <w:rPr>
          <w:rFonts w:ascii="宋体" w:hAnsi="宋体" w:eastAsia="宋体" w:cs="宋体"/>
          <w:sz w:val="24"/>
          <w:szCs w:val="24"/>
        </w:rPr>
        <w:t xml:space="preserve">26.1</w:t>
      </w:r>
      <w:r>
        <w:rPr>
          <w:rFonts w:hint="eastAsia" w:ascii="宋体" w:hAnsi="宋体" w:eastAsia="宋体" w:cs="宋体"/>
          <w:sz w:val="24"/>
          <w:szCs w:val="24"/>
        </w:rPr>
        <w:t xml:space="preserve">无效投标条款</w:t>
      </w:r>
      <w:bookmarkEnd w:id="74"/>
      <w:r/>
      <w:bookmarkEnd w:id="75"/>
      <w:r/>
      <w:bookmarkEnd w:id="76"/>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26.1.1</w:t>
      </w:r>
      <w:r>
        <w:rPr>
          <w:rFonts w:hint="eastAsia" w:ascii="宋体" w:hAnsi="宋体" w:eastAsia="宋体" w:cs="宋体"/>
          <w:sz w:val="24"/>
          <w:szCs w:val="24"/>
        </w:rPr>
        <w:t xml:space="preserve">供应商在“苏采云”系统规定的时间内未成功解密电子投标文件的。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26.1.2</w:t>
      </w:r>
      <w:r>
        <w:rPr>
          <w:rFonts w:hint="eastAsia" w:ascii="宋体" w:hAnsi="宋体" w:eastAsia="宋体" w:cs="宋体"/>
          <w:sz w:val="24"/>
          <w:szCs w:val="24"/>
        </w:rPr>
        <w:t xml:space="preserve">供应商未按照招标文件要求上传电子投标文件的。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26.1.3</w:t>
      </w:r>
      <w:r>
        <w:rPr>
          <w:rFonts w:hint="eastAsia" w:ascii="宋体" w:hAnsi="宋体" w:eastAsia="宋体" w:cs="宋体"/>
          <w:sz w:val="24"/>
          <w:szCs w:val="24"/>
        </w:rPr>
        <w:t xml:space="preserve">同一供应商提交两个（含两个）以上不同的投标报价的。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26.1.4</w:t>
      </w:r>
      <w:r>
        <w:rPr>
          <w:rFonts w:hint="eastAsia" w:ascii="宋体" w:hAnsi="宋体" w:eastAsia="宋体" w:cs="宋体"/>
          <w:sz w:val="24"/>
          <w:szCs w:val="24"/>
        </w:rPr>
        <w:t xml:space="preserve">供应商不具备招标文件中规定资格要求的。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26.1.5</w:t>
      </w:r>
      <w:r>
        <w:rPr>
          <w:rFonts w:hint="eastAsia" w:ascii="宋体" w:hAnsi="宋体" w:eastAsia="宋体" w:cs="宋体"/>
          <w:sz w:val="24"/>
          <w:szCs w:val="24"/>
        </w:rPr>
        <w:t xml:space="preserve">供应商的报价超过了采购预算或最高限价的。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26.1.6</w:t>
      </w:r>
      <w:r>
        <w:rPr>
          <w:rFonts w:hint="eastAsia" w:ascii="宋体" w:hAnsi="宋体" w:eastAsia="宋体" w:cs="宋体"/>
          <w:sz w:val="24"/>
          <w:szCs w:val="24"/>
        </w:rPr>
        <w:t xml:space="preserve">未通过符合性审查的。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26.1.7</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b/>
          <w:bCs/>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26.1.8</w:t>
      </w:r>
      <w:r>
        <w:rPr>
          <w:rFonts w:hint="eastAsia" w:ascii="宋体" w:hAnsi="宋体" w:eastAsia="宋体" w:cs="宋体"/>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0"/>
        <w:numPr>
          <w:ilvl w:val="2"/>
          <w:numId w:val="0"/>
        </w:numPr>
        <w:ind w:firstLine="425"/>
        <w:spacing w:line="360" w:lineRule="auto"/>
        <w:rPr>
          <w:rFonts w:ascii="宋体" w:hAnsi="宋体" w:eastAsia="宋体" w:cs="宋体"/>
          <w:sz w:val="24"/>
          <w:szCs w:val="24"/>
        </w:rPr>
      </w:pPr>
      <w:r>
        <w:rPr>
          <w:rFonts w:ascii="宋体" w:hAnsi="宋体" w:eastAsia="宋体" w:cs="宋体"/>
          <w:sz w:val="24"/>
          <w:szCs w:val="24"/>
        </w:rPr>
        <w:t xml:space="preserve">26.1.9</w:t>
      </w:r>
      <w:r>
        <w:rPr>
          <w:rFonts w:hint="eastAsia" w:ascii="宋体" w:hAnsi="宋体" w:eastAsia="宋体" w:cs="宋体"/>
          <w:sz w:val="24"/>
          <w:szCs w:val="24"/>
        </w:rPr>
        <w:t xml:space="preserve">投标文件含有采购人不能接受的附加条件的。</w:t>
      </w:r>
      <w:r/>
    </w:p>
    <w:p>
      <w:pPr>
        <w:pStyle w:val="742"/>
        <w:ind w:firstLine="425"/>
        <w:jc w:val="both"/>
        <w:spacing w:line="360" w:lineRule="auto"/>
        <w:rPr>
          <w:color w:val="auto"/>
          <w:sz w:val="24"/>
          <w:szCs w:val="24"/>
        </w:rPr>
      </w:pPr>
      <w:r>
        <w:rPr>
          <w:rFonts w:hint="eastAsia"/>
          <w:color w:val="auto"/>
          <w:sz w:val="24"/>
          <w:szCs w:val="24"/>
        </w:rPr>
        <w:t xml:space="preserve">26.1.10投标人不能证明其报价合理性的，评标委员会应当将其作为无效投标处理。</w:t>
      </w:r>
      <w:r/>
    </w:p>
    <w:p>
      <w:pPr>
        <w:pStyle w:val="742"/>
        <w:ind w:firstLine="425"/>
        <w:jc w:val="both"/>
        <w:spacing w:line="360" w:lineRule="auto"/>
        <w:rPr>
          <w:b/>
          <w:bCs/>
          <w:color w:val="auto"/>
          <w:sz w:val="24"/>
          <w:szCs w:val="24"/>
        </w:rPr>
      </w:pPr>
      <w:r>
        <w:rPr>
          <w:rFonts w:hint="eastAsia"/>
          <w:b/>
          <w:bCs/>
          <w:color w:val="auto"/>
          <w:sz w:val="24"/>
          <w:szCs w:val="24"/>
        </w:rPr>
        <w:t xml:space="preserve">（一）评审过程中出现下列情形之一的，评标委员会应当启动异常低价投标审查程序：</w:t>
      </w:r>
      <w:r/>
    </w:p>
    <w:p>
      <w:pPr>
        <w:pStyle w:val="742"/>
        <w:ind w:firstLine="425"/>
        <w:jc w:val="both"/>
        <w:spacing w:line="360" w:lineRule="auto"/>
        <w:rPr>
          <w:color w:val="auto"/>
          <w:sz w:val="24"/>
          <w:szCs w:val="24"/>
        </w:rPr>
      </w:pPr>
      <w:r>
        <w:rPr>
          <w:rFonts w:hint="eastAsia"/>
          <w:color w:val="auto"/>
          <w:sz w:val="24"/>
          <w:szCs w:val="24"/>
        </w:rPr>
        <w:t xml:space="preserve">1.投标（响应）报价低于全部通过符合性审查供应商投标（响应）报价平均值50%的，即投标（响应）报价&lt;全部通过符合性审查供应商投标（响应）报价平均值×50%；</w:t>
      </w:r>
      <w:r/>
    </w:p>
    <w:p>
      <w:pPr>
        <w:pStyle w:val="742"/>
        <w:ind w:firstLine="425"/>
        <w:jc w:val="both"/>
        <w:spacing w:line="360" w:lineRule="auto"/>
        <w:rPr>
          <w:color w:val="auto"/>
          <w:sz w:val="24"/>
          <w:szCs w:val="24"/>
        </w:rPr>
      </w:pPr>
      <w:r>
        <w:rPr>
          <w:rFonts w:hint="eastAsia"/>
          <w:color w:val="auto"/>
          <w:sz w:val="24"/>
          <w:szCs w:val="24"/>
        </w:rPr>
        <w:t xml:space="preserve">2.投标（响应）报价低于通过符合性审查的次低报价供应商投标（响应）报价50%的，即投标（响应）报价&lt;通过符合性审查的次低报价供应商投标（响应）报价×50%；</w:t>
      </w:r>
      <w:r/>
    </w:p>
    <w:p>
      <w:pPr>
        <w:pStyle w:val="742"/>
        <w:ind w:firstLine="425"/>
        <w:jc w:val="both"/>
        <w:spacing w:line="360" w:lineRule="auto"/>
        <w:rPr>
          <w:color w:val="auto"/>
          <w:sz w:val="24"/>
          <w:szCs w:val="24"/>
        </w:rPr>
      </w:pPr>
      <w:r>
        <w:rPr>
          <w:rFonts w:hint="eastAsia"/>
          <w:color w:val="auto"/>
          <w:sz w:val="24"/>
          <w:szCs w:val="24"/>
        </w:rPr>
        <w:t xml:space="preserve">3.投标（响应）报价低于采购项目最高限价45%的，即投标（响应）报价&lt;采购项目最高限价×45%；</w:t>
      </w:r>
      <w:r/>
    </w:p>
    <w:p>
      <w:pPr>
        <w:pStyle w:val="742"/>
        <w:ind w:firstLine="425"/>
        <w:jc w:val="both"/>
        <w:spacing w:line="360" w:lineRule="auto"/>
        <w:rPr>
          <w:color w:val="auto"/>
          <w:sz w:val="24"/>
          <w:szCs w:val="24"/>
        </w:rPr>
      </w:pPr>
      <w:r>
        <w:rPr>
          <w:rFonts w:hint="eastAsia"/>
          <w:color w:val="auto"/>
          <w:sz w:val="24"/>
          <w:szCs w:val="24"/>
        </w:rPr>
        <w:t xml:space="preserve">4.评审委员会基于专业判断，认为供应商报价过低，有可能影响产品质量或者不能诚信履约的其他情形。</w:t>
      </w:r>
      <w:r/>
    </w:p>
    <w:p>
      <w:pPr>
        <w:pStyle w:val="742"/>
        <w:ind w:firstLine="425"/>
        <w:jc w:val="both"/>
        <w:spacing w:line="360" w:lineRule="auto"/>
        <w:rPr>
          <w:color w:val="auto"/>
          <w:sz w:val="24"/>
          <w:szCs w:val="24"/>
        </w:rPr>
      </w:pPr>
      <w:r>
        <w:rPr>
          <w:rFonts w:hint="eastAsia"/>
          <w:color w:val="auto"/>
          <w:sz w:val="24"/>
          <w:szCs w:val="24"/>
        </w:rPr>
        <w:t xml:space="preserve">相关法律法规对供应商报价有规定的，从其规定。</w:t>
      </w:r>
      <w:r/>
    </w:p>
    <w:p>
      <w:pPr>
        <w:pStyle w:val="742"/>
        <w:ind w:firstLine="425"/>
        <w:jc w:val="both"/>
        <w:spacing w:line="360" w:lineRule="auto"/>
        <w:rPr>
          <w:color w:val="auto"/>
          <w:sz w:val="24"/>
          <w:szCs w:val="24"/>
        </w:rPr>
      </w:pPr>
      <w:r>
        <w:rPr>
          <w:rFonts w:hint="eastAsia"/>
          <w:color w:val="auto"/>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2"/>
        <w:ind w:firstLine="425"/>
        <w:jc w:val="both"/>
        <w:spacing w:line="360" w:lineRule="auto"/>
        <w:rPr>
          <w:color w:val="auto"/>
          <w:sz w:val="24"/>
          <w:szCs w:val="24"/>
        </w:rPr>
      </w:pPr>
      <w:r>
        <w:rPr>
          <w:rFonts w:hint="eastAsia"/>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2"/>
        <w:ind w:firstLine="425"/>
        <w:jc w:val="both"/>
        <w:spacing w:line="360" w:lineRule="auto"/>
        <w:rPr>
          <w:color w:val="auto"/>
          <w:sz w:val="24"/>
          <w:szCs w:val="24"/>
        </w:rPr>
      </w:pPr>
      <w:r>
        <w:rPr>
          <w:rFonts w:hint="eastAsia"/>
          <w:color w:val="auto"/>
          <w:sz w:val="24"/>
          <w:szCs w:val="24"/>
        </w:rPr>
        <w:t xml:space="preserve">  采购人、采购中心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10"/>
        <w:numPr>
          <w:ilvl w:val="2"/>
          <w:numId w:val="0"/>
        </w:numPr>
        <w:ind w:firstLine="425"/>
        <w:spacing w:line="360" w:lineRule="auto"/>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26.1.11</w:t>
      </w:r>
      <w:r>
        <w:rPr>
          <w:rFonts w:hint="eastAsia" w:ascii="宋体" w:hAnsi="宋体" w:eastAsia="宋体" w:cs="宋体"/>
          <w:sz w:val="24"/>
          <w:szCs w:val="24"/>
        </w:rPr>
        <w:t xml:space="preserve">投标文件未按照招标文件要求加盖CA电子公章的。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26.1.12</w:t>
      </w:r>
      <w:r>
        <w:rPr>
          <w:rFonts w:hint="eastAsia" w:ascii="宋体" w:hAnsi="宋体" w:eastAsia="宋体" w:cs="宋体"/>
          <w:sz w:val="24"/>
          <w:szCs w:val="24"/>
        </w:rPr>
        <w:t xml:space="preserve">其他法律、法规及本招标文件规定的属无效投标的情形。</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2废标条款</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符合专业条件的供应商或者对招标文件作实质响应的供应商不足三家的。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出现影响采购公正的违法、违规行为的。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因重大变故，采购任务取消的。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评委会认定招标文件存在歧义、重大缺陷导致评审工作无法进行。</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因“苏采云”系统故障原因造成开标不成功的。</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3投标截止时间结束后参加投标的供应商不足三家的处理：</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26.</w:t>
      </w: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如出现投标截止时间结束后参加投标的供应商或者在评标期间对招标文件做出实质响应的供应商不足三家情况，按政府采购相关规定执行。</w:t>
      </w:r>
      <w:r/>
    </w:p>
    <w:p>
      <w:pPr>
        <w:pStyle w:val="910"/>
        <w:numPr>
          <w:ilvl w:val="0"/>
          <w:numId w:val="6"/>
        </w:numPr>
        <w:jc w:val="left"/>
        <w:spacing w:line="480" w:lineRule="auto"/>
        <w:rPr>
          <w:rFonts w:ascii="宋体" w:hAnsi="宋体" w:eastAsia="宋体"/>
          <w:b/>
          <w:bCs/>
          <w:sz w:val="24"/>
          <w:szCs w:val="24"/>
        </w:rPr>
        <w:outlineLvl w:val="1"/>
      </w:pPr>
      <w:r/>
      <w:bookmarkStart w:id="77" w:name="_Toc197644559"/>
      <w:r>
        <w:rPr>
          <w:rFonts w:hint="eastAsia" w:ascii="宋体" w:hAnsi="宋体" w:eastAsia="宋体" w:cs="宋体"/>
          <w:b/>
          <w:sz w:val="24"/>
          <w:szCs w:val="24"/>
        </w:rPr>
        <w:t xml:space="preserve">定标</w:t>
      </w:r>
      <w:bookmarkEnd w:id="77"/>
      <w:r/>
      <w:r/>
    </w:p>
    <w:p>
      <w:pPr>
        <w:pStyle w:val="910"/>
        <w:ind w:left="0" w:firstLine="425"/>
        <w:spacing w:line="360" w:lineRule="auto"/>
        <w:rPr>
          <w:rFonts w:ascii="宋体" w:hAnsi="宋体" w:eastAsia="宋体" w:cs="宋体"/>
          <w:sz w:val="24"/>
          <w:szCs w:val="24"/>
        </w:rPr>
        <w:outlineLvl w:val="2"/>
      </w:pPr>
      <w:r/>
      <w:bookmarkStart w:id="78" w:name="_Toc513029238"/>
      <w:r/>
      <w:bookmarkStart w:id="79" w:name="_Toc16938554"/>
      <w:r/>
      <w:bookmarkStart w:id="80" w:name="_Toc197644560"/>
      <w:r>
        <w:rPr>
          <w:rFonts w:hint="eastAsia" w:ascii="宋体" w:hAnsi="宋体" w:eastAsia="宋体" w:cs="宋体"/>
          <w:sz w:val="24"/>
          <w:szCs w:val="24"/>
        </w:rPr>
        <w:t xml:space="preserve">27、确定</w:t>
      </w:r>
      <w:bookmarkEnd w:id="78"/>
      <w:r/>
      <w:bookmarkEnd w:id="79"/>
      <w:r>
        <w:rPr>
          <w:rFonts w:hint="eastAsia" w:ascii="宋体" w:hAnsi="宋体" w:eastAsia="宋体" w:cs="宋体"/>
          <w:sz w:val="24"/>
          <w:szCs w:val="24"/>
        </w:rPr>
        <w:t xml:space="preserve">中标单位</w:t>
      </w:r>
      <w:bookmarkEnd w:id="80"/>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27.1</w:t>
      </w:r>
      <w:r>
        <w:rPr>
          <w:rFonts w:hint="eastAsia" w:ascii="宋体" w:hAnsi="宋体" w:eastAsia="宋体" w:cs="宋体"/>
          <w:sz w:val="24"/>
          <w:szCs w:val="24"/>
        </w:rPr>
        <w:t xml:space="preserve">中标候选人的选取原则和数量见招标文件第五章规定。</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27.2</w:t>
      </w:r>
      <w:r>
        <w:rPr>
          <w:rFonts w:ascii="宋体" w:hAnsi="宋体" w:eastAsia="宋体" w:cs="宋体"/>
          <w:sz w:val="24"/>
          <w:szCs w:val="24"/>
          <w:lang w:val="zh-CN"/>
        </w:rPr>
        <w:t xml:space="preserve">购人应根据评委会推荐的中标候选人确定中标人</w:t>
      </w:r>
      <w:r>
        <w:rPr>
          <w:rFonts w:ascii="宋体" w:hAnsi="宋体" w:eastAsia="宋体" w:cs="宋体"/>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27.3</w:t>
      </w:r>
      <w:r>
        <w:rPr>
          <w:rFonts w:hint="eastAsia" w:ascii="宋体" w:hAnsi="宋体" w:eastAsia="宋体" w:cs="宋体"/>
          <w:sz w:val="24"/>
          <w:szCs w:val="24"/>
        </w:rPr>
        <w:t xml:space="preserve">采购中心将在“中国政府采购网”、“江苏政府采购网”、“盐城市政府采购网”发布中标公告，公告期限为1个工作日。</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w:t>
      </w:r>
      <w:r>
        <w:rPr>
          <w:rFonts w:hint="eastAsia" w:ascii="宋体" w:hAnsi="宋体" w:eastAsia="宋体" w:cs="宋体"/>
          <w:sz w:val="24"/>
          <w:szCs w:val="24"/>
        </w:rPr>
        <w:t xml:space="preserve">若有充分证据证明，中标人出现下列情况之一的，一经查实，将被取消中标资格：</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27.4.1</w:t>
      </w:r>
      <w:r>
        <w:rPr>
          <w:rFonts w:hint="eastAsia" w:ascii="宋体" w:hAnsi="宋体" w:eastAsia="宋体" w:cs="宋体"/>
          <w:sz w:val="24"/>
          <w:szCs w:val="24"/>
        </w:rPr>
        <w:t xml:space="preserve">提供虚假材料谋取中标的。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27.4.2</w:t>
      </w:r>
      <w:r>
        <w:rPr>
          <w:rFonts w:hint="eastAsia" w:ascii="宋体" w:hAnsi="宋体" w:eastAsia="宋体" w:cs="宋体"/>
          <w:sz w:val="24"/>
          <w:szCs w:val="24"/>
        </w:rPr>
        <w:t xml:space="preserve">向采购人、采购中心行贿或者提供其他不正当利益的。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27.4.3</w:t>
      </w:r>
      <w:r>
        <w:rPr>
          <w:rFonts w:hint="eastAsia" w:ascii="宋体" w:hAnsi="宋体" w:eastAsia="宋体" w:cs="宋体"/>
          <w:sz w:val="24"/>
          <w:szCs w:val="24"/>
        </w:rPr>
        <w:t xml:space="preserve">属于本文件规定的无效条件，但在评标过程中又未被评委会发现的。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27.4.4</w:t>
      </w:r>
      <w:r>
        <w:rPr>
          <w:rFonts w:hint="eastAsia" w:ascii="宋体" w:hAnsi="宋体" w:eastAsia="宋体" w:cs="宋体"/>
          <w:sz w:val="24"/>
          <w:szCs w:val="24"/>
        </w:rPr>
        <w:t xml:space="preserve">与采购人或者其他供应商恶意串通的。</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27.4.5</w:t>
      </w:r>
      <w:r>
        <w:rPr>
          <w:rFonts w:hint="eastAsia" w:ascii="宋体" w:hAnsi="宋体" w:eastAsia="宋体" w:cs="宋体"/>
          <w:sz w:val="24"/>
          <w:szCs w:val="24"/>
        </w:rPr>
        <w:t xml:space="preserve">采取不正当手段诋毁、排挤其他供应商的。</w:t>
      </w:r>
      <w:r/>
    </w:p>
    <w:p>
      <w:pPr>
        <w:pStyle w:val="910"/>
        <w:numPr>
          <w:ilvl w:val="1"/>
          <w:numId w:val="0"/>
        </w:numPr>
        <w:ind w:firstLine="426"/>
        <w:spacing w:line="360" w:lineRule="auto"/>
        <w:rPr>
          <w:rFonts w:ascii="宋体" w:hAnsi="宋体" w:eastAsia="宋体" w:cs="宋体"/>
          <w:sz w:val="24"/>
          <w:szCs w:val="24"/>
        </w:rPr>
      </w:pPr>
      <w:r/>
      <w:bookmarkStart w:id="81" w:name="_Toc200451960"/>
      <w:r>
        <w:rPr>
          <w:rFonts w:ascii="宋体" w:hAnsi="宋体" w:eastAsia="宋体" w:cs="宋体"/>
          <w:sz w:val="24"/>
          <w:szCs w:val="24"/>
        </w:rPr>
        <w:t xml:space="preserve">27.5</w:t>
      </w:r>
      <w:r>
        <w:rPr>
          <w:rFonts w:hint="eastAsia" w:ascii="宋体" w:hAnsi="宋体" w:eastAsia="宋体" w:cs="宋体"/>
          <w:sz w:val="24"/>
          <w:szCs w:val="24"/>
        </w:rPr>
        <w:t xml:space="preserve">有下列情形之一的，视为供应商串通投标，投标无效：</w:t>
      </w:r>
      <w:bookmarkEnd w:id="81"/>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27.5.1</w:t>
      </w:r>
      <w:r>
        <w:rPr>
          <w:rFonts w:hint="eastAsia" w:ascii="宋体" w:hAnsi="宋体" w:eastAsia="宋体" w:cs="宋体"/>
          <w:sz w:val="24"/>
          <w:szCs w:val="24"/>
        </w:rPr>
        <w:t xml:space="preserve">不同供应商的投标文件由同一单位或者个人编制。</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27.5.2</w:t>
      </w:r>
      <w:r>
        <w:rPr>
          <w:rFonts w:hint="eastAsia" w:ascii="宋体" w:hAnsi="宋体" w:eastAsia="宋体" w:cs="宋体"/>
          <w:sz w:val="24"/>
          <w:szCs w:val="24"/>
        </w:rPr>
        <w:t xml:space="preserve">不同供应商委托同一单位或者个人办理投标事宜。</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27.5.3</w:t>
      </w:r>
      <w:r>
        <w:rPr>
          <w:rFonts w:hint="eastAsia" w:ascii="宋体" w:hAnsi="宋体" w:eastAsia="宋体" w:cs="宋体"/>
          <w:sz w:val="24"/>
          <w:szCs w:val="24"/>
        </w:rPr>
        <w:t xml:space="preserve">不同供应商的投标文件载明的项目管理成员或者联系人员为同一人。</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27.5.4</w:t>
      </w:r>
      <w:r>
        <w:rPr>
          <w:rFonts w:hint="eastAsia" w:ascii="宋体" w:hAnsi="宋体" w:eastAsia="宋体" w:cs="宋体"/>
          <w:sz w:val="24"/>
          <w:szCs w:val="24"/>
        </w:rPr>
        <w:t xml:space="preserve">不同供应商的投标文件异常一致或者投标报价呈规律性差异。</w:t>
      </w:r>
      <w:r/>
    </w:p>
    <w:p>
      <w:pPr>
        <w:pStyle w:val="910"/>
        <w:ind w:left="0" w:firstLine="425"/>
        <w:spacing w:line="360" w:lineRule="auto"/>
        <w:rPr>
          <w:rFonts w:ascii="宋体" w:hAnsi="宋体" w:eastAsia="宋体" w:cs="宋体"/>
          <w:sz w:val="24"/>
          <w:szCs w:val="24"/>
        </w:rPr>
        <w:outlineLvl w:val="2"/>
      </w:pPr>
      <w:r/>
      <w:bookmarkStart w:id="82" w:name="_Toc197644561"/>
      <w:r>
        <w:rPr>
          <w:rFonts w:hint="eastAsia" w:ascii="宋体" w:hAnsi="宋体" w:eastAsia="宋体" w:cs="宋体"/>
          <w:sz w:val="24"/>
          <w:szCs w:val="24"/>
        </w:rPr>
        <w:t xml:space="preserve">28、质疑处理</w:t>
      </w:r>
      <w:bookmarkEnd w:id="82"/>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28.1</w:t>
      </w:r>
      <w:r>
        <w:rPr>
          <w:rFonts w:hint="eastAsia" w:ascii="宋体" w:hAnsi="宋体" w:eastAsia="宋体" w:cs="宋体"/>
          <w:sz w:val="24"/>
          <w:szCs w:val="24"/>
        </w:rPr>
        <w:t xml:space="preserve">提出质疑的供应商应当是参与所质疑项目采购活动的供应商。潜在供应商依法获取其可质疑的采购文件的，可以对采购文件提出质疑。</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28.2</w:t>
      </w:r>
      <w:r>
        <w:rPr>
          <w:rFonts w:hint="eastAsia" w:ascii="宋体" w:hAnsi="宋体" w:eastAsia="宋体" w:cs="宋体"/>
          <w:sz w:val="24"/>
          <w:szCs w:val="24"/>
        </w:rPr>
        <w:t xml:space="preserve">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28.2.1</w:t>
      </w:r>
      <w:r>
        <w:rPr>
          <w:rFonts w:hint="eastAsia" w:ascii="宋体" w:hAnsi="宋体" w:eastAsia="宋体" w:cs="宋体"/>
          <w:sz w:val="24"/>
          <w:szCs w:val="24"/>
        </w:rPr>
        <w:t xml:space="preserve">对可以质疑的采购文件提出质疑的，为收到采购文件之日或者采购文件公告期限届满之日；</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28.2.2</w:t>
      </w:r>
      <w:r>
        <w:rPr>
          <w:rFonts w:hint="eastAsia" w:ascii="宋体" w:hAnsi="宋体" w:eastAsia="宋体" w:cs="宋体"/>
          <w:sz w:val="24"/>
          <w:szCs w:val="24"/>
        </w:rPr>
        <w:t xml:space="preserve">对采购过程提出质疑的，为各采购程序环节结束之日；</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28.2.3</w:t>
      </w:r>
      <w:r>
        <w:rPr>
          <w:rFonts w:hint="eastAsia" w:ascii="宋体" w:hAnsi="宋体" w:eastAsia="宋体" w:cs="宋体"/>
          <w:sz w:val="24"/>
          <w:szCs w:val="24"/>
        </w:rPr>
        <w:t xml:space="preserve">对中标或者成交结果提出质疑的，为中标或者成交结果公告期限届满之日。</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28.3</w:t>
      </w:r>
      <w:r>
        <w:rPr>
          <w:rFonts w:hint="eastAsia" w:ascii="宋体" w:hAnsi="宋体" w:eastAsia="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28.4</w:t>
      </w:r>
      <w:r>
        <w:rPr>
          <w:rFonts w:hint="eastAsia" w:ascii="宋体" w:hAnsi="宋体"/>
          <w:b/>
          <w:bCs/>
          <w:sz w:val="24"/>
          <w:szCs w:val="24"/>
          <w:lang w:val="zh-CN"/>
        </w:rPr>
        <w:t xml:space="preserve">供应商（含潜在供应商）对采购</w:t>
      </w:r>
      <w:r>
        <w:rPr>
          <w:rFonts w:hint="eastAsia" w:ascii="宋体" w:hAnsi="宋体"/>
          <w:b/>
          <w:bCs/>
          <w:sz w:val="24"/>
          <w:szCs w:val="24"/>
        </w:rPr>
        <w:t xml:space="preserve">方</w:t>
      </w:r>
      <w:r>
        <w:rPr>
          <w:rFonts w:hint="eastAsia" w:ascii="宋体" w:hAnsi="宋体"/>
          <w:b/>
          <w:bCs/>
          <w:sz w:val="24"/>
          <w:szCs w:val="24"/>
          <w:lang w:val="zh-CN"/>
        </w:rPr>
        <w:t xml:space="preserve">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sz w:val="24"/>
          <w:szCs w:val="24"/>
        </w:rPr>
        <w:t xml:space="preserve">。</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采购中心及采购人只接收以纸质原件形式送达的质疑，采购中心不接受未填写快递运单的快件。</w:t>
      </w:r>
      <w:r>
        <w:rPr>
          <w:rFonts w:hint="eastAsia" w:ascii="宋体" w:hAnsi="宋体" w:eastAsia="宋体" w:cs="宋体"/>
          <w:b/>
          <w:bCs/>
          <w:sz w:val="24"/>
          <w:szCs w:val="24"/>
        </w:rPr>
        <w:t xml:space="preserve">质疑接收部门为盐城市亭湖区公共资源交易中心，联系地址：</w:t>
      </w:r>
      <w:r>
        <w:rPr>
          <w:rFonts w:hint="eastAsia" w:ascii="宋体" w:hAnsi="宋体" w:cs="宋体"/>
          <w:b/>
          <w:bCs/>
          <w:color w:val="000000" w:themeColor="text1"/>
          <w:sz w:val="24"/>
          <w:szCs w:val="24"/>
          <w14:textFill>
            <w14:solidFill>
              <w14:schemeClr w14:val="tx1"/>
            </w14:solidFill>
          </w14:textFill>
        </w:rPr>
        <w:t xml:space="preserve">盐城市亭湖区希望大道中路18号</w:t>
      </w:r>
      <w:r>
        <w:rPr>
          <w:rFonts w:hint="eastAsia" w:ascii="宋体" w:hAnsi="宋体" w:eastAsia="宋体" w:cs="宋体"/>
          <w:b/>
          <w:bCs/>
          <w:color w:val="000000" w:themeColor="text1"/>
          <w:sz w:val="24"/>
          <w:szCs w:val="24"/>
          <w14:textFill>
            <w14:solidFill>
              <w14:schemeClr w14:val="tx1"/>
            </w14:solidFill>
          </w14:textFill>
        </w:rPr>
        <w:t xml:space="preserve">，联系电话：</w:t>
      </w:r>
      <w:r>
        <w:rPr>
          <w:rFonts w:hint="eastAsia" w:ascii="宋体" w:hAnsi="宋体" w:cs="宋体"/>
          <w:b/>
          <w:bCs/>
          <w:color w:val="000000" w:themeColor="text1"/>
          <w:sz w:val="24"/>
          <w:szCs w:val="24"/>
          <w14:textFill>
            <w14:solidFill>
              <w14:schemeClr w14:val="tx1"/>
            </w14:solidFill>
          </w14:textFill>
        </w:rPr>
        <w:t xml:space="preserve">0515-89802019</w:t>
      </w:r>
      <w:r>
        <w:rPr>
          <w:rFonts w:hint="eastAsia" w:asciiTheme="majorEastAsia" w:hAnsiTheme="majorEastAsia" w:eastAsiaTheme="majorEastAsia" w:cstheme="majorEastAsia"/>
          <w:b/>
          <w:bCs/>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28.5</w:t>
      </w:r>
      <w:r>
        <w:rPr>
          <w:rFonts w:hint="eastAsia" w:ascii="宋体" w:hAnsi="宋体" w:eastAsia="宋体" w:cs="宋体"/>
          <w:sz w:val="24"/>
          <w:szCs w:val="24"/>
        </w:rPr>
        <w:t xml:space="preserve">以下情形的质疑不予受理</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28.5.1</w:t>
      </w:r>
      <w:r>
        <w:rPr>
          <w:rFonts w:hint="eastAsia" w:ascii="宋体" w:hAnsi="宋体" w:eastAsia="宋体" w:cs="宋体"/>
          <w:sz w:val="24"/>
          <w:szCs w:val="24"/>
        </w:rPr>
        <w:t xml:space="preserve">内容不符合《政府采购质疑和投诉办法》第十二条规定的质疑。</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28.5.2</w:t>
      </w:r>
      <w:r>
        <w:rPr>
          <w:rFonts w:hint="eastAsia" w:ascii="宋体" w:hAnsi="宋体" w:eastAsia="宋体" w:cs="宋体"/>
          <w:sz w:val="24"/>
          <w:szCs w:val="24"/>
        </w:rPr>
        <w:t xml:space="preserve">超出政府采购法定期限的质疑。</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28.5.3</w:t>
      </w:r>
      <w:r>
        <w:rPr>
          <w:rFonts w:hint="eastAsia" w:ascii="宋体" w:hAnsi="宋体" w:eastAsia="宋体" w:cs="宋体"/>
          <w:sz w:val="24"/>
          <w:szCs w:val="24"/>
        </w:rPr>
        <w:t xml:space="preserve">以传真、电子邮件等方式递交的非原件形式的质疑。</w:t>
      </w:r>
      <w:r/>
    </w:p>
    <w:p>
      <w:pPr>
        <w:ind w:firstLine="360"/>
        <w:spacing w:line="360" w:lineRule="auto"/>
        <w:rPr>
          <w:rFonts w:ascii="宋体" w:hAnsi="宋体" w:eastAsia="宋体" w:cs="宋体"/>
          <w:sz w:val="24"/>
          <w:szCs w:val="24"/>
        </w:rPr>
      </w:pPr>
      <w:r>
        <w:rPr>
          <w:rFonts w:ascii="宋体" w:hAnsi="宋体" w:eastAsia="宋体" w:cs="宋体"/>
          <w:sz w:val="24"/>
          <w:szCs w:val="24"/>
        </w:rPr>
        <w:t xml:space="preserve">28.5.4</w:t>
      </w:r>
      <w:r>
        <w:rPr>
          <w:rFonts w:hint="eastAsia" w:ascii="宋体" w:hAnsi="宋体" w:eastAsia="宋体" w:cs="宋体"/>
          <w:sz w:val="24"/>
          <w:szCs w:val="24"/>
        </w:rPr>
        <w:t xml:space="preserve">未参加投标活动的供应商或在投标活动中自身权益未受到损害的供应商所提出的质疑。</w:t>
      </w:r>
      <w:r/>
    </w:p>
    <w:p>
      <w:pPr>
        <w:ind w:firstLine="360"/>
        <w:spacing w:line="360" w:lineRule="auto"/>
        <w:rPr>
          <w:rFonts w:ascii="宋体" w:hAnsi="宋体" w:eastAsia="宋体" w:cs="宋体"/>
          <w:sz w:val="24"/>
          <w:szCs w:val="24"/>
        </w:rPr>
      </w:pPr>
      <w:r>
        <w:rPr>
          <w:rFonts w:hint="eastAsia" w:ascii="宋体" w:hAnsi="宋体"/>
          <w:sz w:val="24"/>
          <w:szCs w:val="24"/>
          <w:lang w:val="zh-CN"/>
        </w:rPr>
        <w:t xml:space="preserve">28.5.5供应商组成联合体参加投标，联合体中任何一方或多方未按要求签字、盖章、加盖公章的质疑。</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28.6</w:t>
      </w:r>
      <w:r>
        <w:rPr>
          <w:rFonts w:hint="eastAsia" w:ascii="宋体" w:hAnsi="宋体" w:eastAsia="宋体" w:cs="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0"/>
        <w:ind w:left="0" w:firstLine="425"/>
        <w:spacing w:line="360" w:lineRule="auto"/>
        <w:rPr>
          <w:rFonts w:ascii="宋体" w:hAnsi="宋体" w:eastAsia="宋体" w:cs="宋体"/>
          <w:sz w:val="24"/>
          <w:szCs w:val="24"/>
        </w:rPr>
        <w:outlineLvl w:val="2"/>
      </w:pPr>
      <w:r/>
      <w:bookmarkStart w:id="83" w:name="_Toc197644562"/>
      <w:r>
        <w:rPr>
          <w:rFonts w:hint="eastAsia" w:ascii="宋体" w:hAnsi="宋体" w:eastAsia="宋体" w:cs="宋体"/>
          <w:sz w:val="24"/>
          <w:szCs w:val="24"/>
        </w:rPr>
        <w:t xml:space="preserve">29、中标通知书</w:t>
      </w:r>
      <w:bookmarkEnd w:id="83"/>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29.1</w:t>
      </w:r>
      <w:r>
        <w:rPr>
          <w:rFonts w:hint="eastAsia" w:ascii="宋体" w:hAnsi="宋体" w:eastAsia="宋体" w:cs="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29.2</w:t>
      </w:r>
      <w:r>
        <w:rPr>
          <w:rFonts w:hint="eastAsia" w:ascii="宋体" w:hAnsi="宋体" w:eastAsia="宋体" w:cs="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numPr>
          <w:ilvl w:val="0"/>
          <w:numId w:val="6"/>
        </w:numPr>
        <w:jc w:val="left"/>
        <w:spacing w:line="480" w:lineRule="auto"/>
        <w:rPr>
          <w:rFonts w:ascii="宋体" w:hAnsi="宋体" w:eastAsia="宋体"/>
          <w:b/>
          <w:bCs/>
          <w:sz w:val="24"/>
          <w:szCs w:val="24"/>
        </w:rPr>
        <w:outlineLvl w:val="1"/>
      </w:pPr>
      <w:r/>
      <w:bookmarkStart w:id="84" w:name="_Toc197644563"/>
      <w:r>
        <w:rPr>
          <w:rFonts w:hint="eastAsia" w:ascii="宋体" w:hAnsi="宋体" w:eastAsia="宋体" w:cs="宋体"/>
          <w:b/>
          <w:sz w:val="24"/>
          <w:szCs w:val="24"/>
        </w:rPr>
        <w:t xml:space="preserve">授予合同</w:t>
      </w:r>
      <w:bookmarkEnd w:id="84"/>
      <w:r/>
      <w:r/>
    </w:p>
    <w:p>
      <w:pPr>
        <w:pStyle w:val="910"/>
        <w:ind w:left="0" w:firstLine="425"/>
        <w:spacing w:line="360" w:lineRule="auto"/>
        <w:rPr>
          <w:rFonts w:ascii="宋体" w:hAnsi="宋体" w:eastAsia="宋体" w:cs="宋体"/>
          <w:sz w:val="24"/>
          <w:szCs w:val="24"/>
        </w:rPr>
        <w:outlineLvl w:val="2"/>
      </w:pPr>
      <w:r/>
      <w:bookmarkStart w:id="85" w:name="_Toc20823309"/>
      <w:r/>
      <w:bookmarkStart w:id="86" w:name="_Toc16938553"/>
      <w:r/>
      <w:bookmarkStart w:id="87" w:name="_Toc513029237"/>
      <w:r/>
      <w:bookmarkStart w:id="88" w:name="_Toc197644564"/>
      <w:r>
        <w:rPr>
          <w:rFonts w:hint="eastAsia" w:ascii="宋体" w:hAnsi="宋体" w:eastAsia="宋体" w:cs="宋体"/>
          <w:sz w:val="24"/>
          <w:szCs w:val="24"/>
        </w:rPr>
        <w:t xml:space="preserve">30、签订合同</w:t>
      </w:r>
      <w:bookmarkEnd w:id="85"/>
      <w:r/>
      <w:bookmarkEnd w:id="86"/>
      <w:r/>
      <w:bookmarkEnd w:id="87"/>
      <w:r/>
      <w:bookmarkEnd w:id="88"/>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30.1</w:t>
      </w:r>
      <w:r>
        <w:rPr>
          <w:rFonts w:hint="eastAsia" w:ascii="宋体" w:hAnsi="宋体" w:eastAsia="宋体" w:cs="宋体"/>
          <w:sz w:val="24"/>
          <w:szCs w:val="24"/>
        </w:rPr>
        <w:t xml:space="preserve">中标人应当在中标通知书发出之日起三十日内，按照招标文件确定的事项与采购人签订政府采购合同。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30.2采购人应当自政府采购合同签订之日起2个工作日内，将政府采购合同在省级以上人民政府财政部门指定的媒体上公告，但政府采购合同中涉及国家秘密、商业秘密的内容除外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rPr>
        <w:t xml:space="preserve">。</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30.3</w:t>
      </w:r>
      <w:r>
        <w:rPr>
          <w:rFonts w:hint="eastAsia" w:ascii="宋体" w:hAnsi="宋体" w:eastAsia="宋体" w:cs="宋体"/>
          <w:sz w:val="24"/>
          <w:szCs w:val="24"/>
        </w:rPr>
        <w:t xml:space="preserve">招标文件、中标人的投标文件及招标过程中有关澄清、承诺文件均应作为合同附件。</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30.4</w:t>
      </w:r>
      <w:r>
        <w:rPr>
          <w:rFonts w:hint="eastAsia" w:ascii="宋体" w:hAnsi="宋体" w:eastAsia="宋体" w:cs="宋体"/>
          <w:sz w:val="24"/>
          <w:szCs w:val="24"/>
        </w:rPr>
        <w:t xml:space="preserve">签订合同后，</w:t>
      </w:r>
      <w:r>
        <w:rPr>
          <w:rFonts w:hint="eastAsia" w:ascii="宋体" w:hAnsi="宋体" w:eastAsia="宋体" w:cs="宋体"/>
          <w:b/>
          <w:bCs/>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pStyle w:val="910"/>
        <w:ind w:left="0" w:firstLine="425"/>
        <w:spacing w:line="360" w:lineRule="auto"/>
        <w:rPr>
          <w:rFonts w:ascii="宋体" w:hAnsi="宋体" w:eastAsia="宋体" w:cs="宋体"/>
          <w:sz w:val="24"/>
          <w:szCs w:val="24"/>
        </w:rPr>
        <w:outlineLvl w:val="2"/>
      </w:pPr>
      <w:r/>
      <w:bookmarkStart w:id="89" w:name="_Toc197644565"/>
      <w:r>
        <w:rPr>
          <w:rFonts w:hint="eastAsia" w:ascii="宋体" w:hAnsi="宋体" w:eastAsia="宋体" w:cs="宋体"/>
          <w:sz w:val="24"/>
          <w:szCs w:val="24"/>
        </w:rPr>
        <w:t xml:space="preserve">31、服务（包含与服务相关的货物）的追加</w:t>
      </w:r>
      <w:bookmarkEnd w:id="89"/>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31.1</w:t>
      </w:r>
      <w:r>
        <w:rPr>
          <w:rFonts w:hint="eastAsia" w:ascii="宋体" w:hAnsi="宋体" w:eastAsia="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0"/>
        <w:ind w:left="0" w:firstLine="425"/>
        <w:spacing w:line="360" w:lineRule="auto"/>
        <w:rPr>
          <w:rFonts w:ascii="宋体" w:hAnsi="宋体" w:eastAsia="宋体" w:cs="宋体"/>
          <w:sz w:val="24"/>
          <w:szCs w:val="24"/>
        </w:rPr>
        <w:outlineLvl w:val="2"/>
      </w:pPr>
      <w:r/>
      <w:bookmarkStart w:id="90" w:name="_Toc197644566"/>
      <w:r>
        <w:rPr>
          <w:rFonts w:hint="eastAsia" w:ascii="宋体" w:hAnsi="宋体" w:eastAsia="宋体" w:cs="宋体"/>
          <w:sz w:val="24"/>
          <w:szCs w:val="24"/>
        </w:rPr>
        <w:t xml:space="preserve">32、政府采购政策功能落实</w:t>
      </w:r>
      <w:bookmarkEnd w:id="90"/>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32.1</w:t>
      </w:r>
      <w:r>
        <w:rPr>
          <w:rFonts w:hint="eastAsia" w:ascii="宋体" w:hAnsi="宋体" w:eastAsia="宋体" w:cs="宋体"/>
          <w:sz w:val="24"/>
          <w:szCs w:val="24"/>
        </w:rPr>
        <w:t xml:space="preserve">政府采购线上合同信用融资政策</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32.2</w:t>
      </w:r>
      <w:r>
        <w:rPr>
          <w:rFonts w:hint="eastAsia" w:ascii="宋体" w:hAnsi="宋体" w:eastAsia="宋体" w:cs="宋体"/>
          <w:sz w:val="24"/>
          <w:szCs w:val="24"/>
        </w:rPr>
        <w:t xml:space="preserve">进口产品</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w:t>
      </w:r>
      <w:r>
        <w:rPr>
          <w:rFonts w:hint="eastAsia" w:ascii="宋体" w:hAnsi="宋体" w:eastAsia="宋体" w:cs="宋体"/>
          <w:sz w:val="24"/>
          <w:szCs w:val="24"/>
        </w:rPr>
        <w:t xml:space="preserve">中小企业、监狱企业及残疾人福利性单位</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32.3.1</w:t>
      </w:r>
      <w:r>
        <w:rPr>
          <w:rFonts w:hint="eastAsia" w:ascii="宋体" w:hAnsi="宋体" w:eastAsia="宋体" w:cs="宋体"/>
          <w:sz w:val="24"/>
          <w:szCs w:val="24"/>
        </w:rPr>
        <w:t xml:space="preserve">中小企业定义：</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32.3.2</w:t>
      </w:r>
      <w:r>
        <w:rPr>
          <w:rFonts w:hint="eastAsia" w:ascii="宋体" w:hAnsi="宋体" w:eastAsia="宋体" w:cs="宋体"/>
          <w:sz w:val="24"/>
          <w:szCs w:val="24"/>
        </w:rPr>
        <w:t xml:space="preserve">供应商提供的货物、工程或者服务符合下列情形的，享受中小企业扶持政策：</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32.3.2.1</w:t>
      </w:r>
      <w:r>
        <w:rPr>
          <w:rFonts w:hint="eastAsia" w:ascii="宋体" w:hAnsi="宋体" w:eastAsia="宋体" w:cs="宋体"/>
          <w:sz w:val="24"/>
          <w:szCs w:val="24"/>
        </w:rPr>
        <w:t xml:space="preserve">在货物采购项目中，货物由中小企业制造，即货物由中小企业生产且使用该中小企业商号或者注册商标；</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32.3.2.2</w:t>
      </w:r>
      <w:r>
        <w:rPr>
          <w:rFonts w:hint="eastAsia" w:ascii="宋体" w:hAnsi="宋体" w:eastAsia="宋体" w:cs="宋体"/>
          <w:sz w:val="24"/>
          <w:szCs w:val="24"/>
        </w:rPr>
        <w:t xml:space="preserve">在工程采购项目中，工程由中小企业承建，即工程施工单位为中小企业；</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32.3.2.3</w:t>
      </w:r>
      <w:r>
        <w:rPr>
          <w:rFonts w:hint="eastAsia" w:ascii="宋体" w:hAnsi="宋体" w:eastAsia="宋体" w:cs="宋体"/>
          <w:sz w:val="24"/>
          <w:szCs w:val="24"/>
        </w:rPr>
        <w:t xml:space="preserve">在服务采购项目中，服务由中小企业承接，即提供服务的人员为中小企业依照《中华人民共和国劳动合同法》订立劳动合同的从业人员。</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32.3.3</w:t>
      </w:r>
      <w:r>
        <w:rPr>
          <w:rFonts w:hint="eastAsia" w:ascii="宋体" w:hAnsi="宋体" w:eastAsia="宋体" w:cs="宋体"/>
          <w:sz w:val="24"/>
          <w:szCs w:val="24"/>
        </w:rPr>
        <w:t xml:space="preserve">在货物采购项目中，供应商提供的货物既有中小企业制造货物，也有大型企业制造货物的，不享受中小企业扶持政策。</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32.3.4</w:t>
      </w:r>
      <w:r>
        <w:rPr>
          <w:rFonts w:hint="eastAsia" w:ascii="宋体" w:hAnsi="宋体" w:eastAsia="宋体" w:cs="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w:t>
      </w:r>
      <w:r>
        <w:rPr>
          <w:rFonts w:hint="eastAsia" w:ascii="宋体" w:hAnsi="宋体" w:eastAsia="宋体" w:cs="宋体"/>
          <w:sz w:val="24"/>
          <w:szCs w:val="24"/>
        </w:rPr>
        <w:t xml:space="preserve">残疾人福利单位定义：享受政府采购支持政策的残疾人福利性单位应当同时满足以下条件：</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32.3.5.1</w:t>
      </w:r>
      <w:r>
        <w:rPr>
          <w:rFonts w:hint="eastAsia" w:ascii="宋体" w:hAnsi="宋体" w:eastAsia="宋体" w:cs="宋体"/>
          <w:sz w:val="24"/>
          <w:szCs w:val="24"/>
        </w:rPr>
        <w:t xml:space="preserve">安置的残疾人占本单位在职职工人数的比例不低于25%（含25%），并且安置的残疾人人数不少于10 人（含10 人）；</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32.3.5.2</w:t>
      </w:r>
      <w:r>
        <w:rPr>
          <w:rFonts w:hint="eastAsia" w:ascii="宋体" w:hAnsi="宋体" w:eastAsia="宋体" w:cs="宋体"/>
          <w:sz w:val="24"/>
          <w:szCs w:val="24"/>
        </w:rPr>
        <w:t xml:space="preserve">依法与安置的每位残疾人签订了一年以上（含一年）的劳动合同或服务协议；</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32.3.5.3</w:t>
      </w:r>
      <w:r>
        <w:rPr>
          <w:rFonts w:hint="eastAsia" w:ascii="宋体" w:hAnsi="宋体" w:eastAsia="宋体" w:cs="宋体"/>
          <w:sz w:val="24"/>
          <w:szCs w:val="24"/>
        </w:rPr>
        <w:t xml:space="preserve">为安置的每位残疾人按月足额缴纳了基本养老保险、基本医疗保险、失业保险、工伤保险和生育保险等社会保险费；</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32.3.5.4</w:t>
      </w:r>
      <w:r>
        <w:rPr>
          <w:rFonts w:hint="eastAsia" w:ascii="宋体" w:hAnsi="宋体" w:eastAsia="宋体" w:cs="宋体"/>
          <w:sz w:val="24"/>
          <w:szCs w:val="24"/>
        </w:rPr>
        <w:t xml:space="preserve">通过银行等金融机构向安置的每位残疾人，按月支付了不低于单位所在区县适用的经省级人民政府批准的月最低工资标准的工资；</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32.3.5.5</w:t>
      </w:r>
      <w:r>
        <w:rPr>
          <w:rFonts w:hint="eastAsia" w:ascii="宋体" w:hAnsi="宋体" w:eastAsia="宋体" w:cs="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0"/>
        <w:numPr>
          <w:ilvl w:val="3"/>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32.3.5.6</w:t>
      </w:r>
      <w:r>
        <w:rPr>
          <w:rFonts w:hint="eastAsia" w:ascii="宋体" w:hAnsi="宋体" w:eastAsia="宋体" w:cs="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32.3.6</w:t>
      </w:r>
      <w:r>
        <w:rPr>
          <w:rFonts w:hint="eastAsia" w:ascii="宋体" w:hAnsi="宋体" w:eastAsia="宋体" w:cs="宋体"/>
          <w:sz w:val="24"/>
          <w:szCs w:val="24"/>
        </w:rPr>
        <w:t xml:space="preserve">本项目是否专门面向中小企业预留采购份额见第一章《招标公告》。</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32.3.7</w:t>
      </w:r>
      <w:r>
        <w:rPr>
          <w:rFonts w:hint="eastAsia" w:ascii="宋体" w:hAnsi="宋体" w:eastAsia="宋体" w:cs="宋体"/>
          <w:sz w:val="24"/>
          <w:szCs w:val="24"/>
        </w:rPr>
        <w:t xml:space="preserve">采购标的对应的中小企业划分标准所属行业见第四章《采购需求》。</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32.3.8</w:t>
      </w:r>
      <w:r>
        <w:rPr>
          <w:rFonts w:hint="eastAsia" w:ascii="宋体" w:hAnsi="宋体" w:eastAsia="宋体" w:cs="宋体"/>
          <w:sz w:val="24"/>
          <w:szCs w:val="24"/>
        </w:rPr>
        <w:t xml:space="preserve">小微企业价格评审优惠的政策：见第五章《评标方法和评标标准》。</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32.4</w:t>
      </w:r>
      <w:r>
        <w:rPr>
          <w:rFonts w:hint="eastAsia" w:ascii="宋体" w:hAnsi="宋体" w:eastAsia="宋体" w:cs="宋体"/>
          <w:sz w:val="24"/>
          <w:szCs w:val="24"/>
        </w:rPr>
        <w:t xml:space="preserve">政府采购节能产品、环境标志产品</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32.4.1</w:t>
      </w:r>
      <w:r>
        <w:rPr>
          <w:rFonts w:hint="eastAsia" w:ascii="宋体" w:hAnsi="宋体" w:eastAsia="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w:t>
      </w:r>
      <w:r>
        <w:rPr>
          <w:rFonts w:hint="eastAsia" w:ascii="宋体" w:hAnsi="宋体" w:eastAsia="宋体" w:cs="宋体"/>
          <w:b/>
          <w:bCs/>
          <w:i/>
          <w:iCs/>
          <w:sz w:val="24"/>
          <w:szCs w:val="24"/>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910"/>
        <w:numPr>
          <w:ilvl w:val="2"/>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32.4.2</w:t>
      </w:r>
      <w:r>
        <w:rPr>
          <w:rFonts w:hint="eastAsia" w:ascii="宋体" w:hAnsi="宋体" w:eastAsia="宋体" w:cs="宋体"/>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32.5</w:t>
      </w:r>
      <w:r>
        <w:rPr>
          <w:rFonts w:hint="eastAsia" w:ascii="宋体" w:hAnsi="宋体" w:eastAsia="宋体" w:cs="宋体"/>
          <w:sz w:val="24"/>
          <w:szCs w:val="24"/>
        </w:rPr>
        <w:t xml:space="preserve">绿色包装</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10"/>
        <w:numPr>
          <w:ilvl w:val="1"/>
          <w:numId w:val="0"/>
        </w:numPr>
        <w:ind w:firstLine="426"/>
        <w:spacing w:line="360" w:lineRule="auto"/>
        <w:rPr>
          <w:rFonts w:ascii="宋体" w:hAnsi="宋体" w:eastAsia="宋体" w:cs="宋体"/>
          <w:sz w:val="24"/>
          <w:szCs w:val="24"/>
        </w:rPr>
      </w:pPr>
      <w:r>
        <w:rPr>
          <w:rFonts w:ascii="宋体" w:hAnsi="宋体" w:eastAsia="宋体" w:cs="宋体"/>
          <w:sz w:val="24"/>
          <w:szCs w:val="24"/>
        </w:rPr>
        <w:t xml:space="preserve">32.6</w:t>
      </w:r>
      <w:r>
        <w:rPr>
          <w:rFonts w:hint="eastAsia" w:ascii="宋体" w:hAnsi="宋体" w:eastAsia="宋体" w:cs="宋体"/>
          <w:sz w:val="24"/>
          <w:szCs w:val="24"/>
        </w:rPr>
        <w:t xml:space="preserve">政府采购创新产品</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采购人优先采购各级政府部门公开发布的有效期内的创新产品、创新服务、首台套、首购首用等《目录》的创新产品。</w:t>
      </w:r>
      <w:r/>
    </w:p>
    <w:p>
      <w:pPr>
        <w:pStyle w:val="910"/>
        <w:ind w:left="0"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32.7绿色数据中心政策 </w:t>
      </w:r>
      <w:r/>
    </w:p>
    <w:p>
      <w:pPr>
        <w:pStyle w:val="910"/>
        <w:ind w:left="0"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本文件中若涉及到数据中心采购，采购人应依据《绿色数据中心政府采购需求标准（试行）》（财办库〔2023〕7号）文件精神</w:t>
      </w:r>
      <w:r>
        <w:rPr>
          <w:rFonts w:hint="eastAsia" w:ascii="宋体" w:hAnsi="宋体" w:eastAsia="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0"/>
        <w:ind w:left="0" w:firstLine="4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32.8实施本国产品标准及相关政策</w:t>
      </w:r>
      <w:r/>
    </w:p>
    <w:p>
      <w:pPr>
        <w:pStyle w:val="910"/>
        <w:ind w:left="0" w:firstLine="4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32.8.1本项目对采购本国产品给予政策支持，具体内容见招标文件“第五章 评标方法与评标标准”。</w:t>
      </w:r>
      <w:r/>
    </w:p>
    <w:p>
      <w:pPr>
        <w:pStyle w:val="910"/>
        <w:ind w:left="0" w:firstLine="4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0"/>
        <w:ind w:left="0" w:firstLine="4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0"/>
        <w:ind w:left="0" w:firstLine="4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910"/>
        <w:ind w:left="0"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履约保证金政策</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确需收取履约保证金的，履约保证金的提交形式：</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如以履约保函（保险）形式提交履约保证金，供应商可通过政府采购电子履约保函（保险）平台（www.jsdzbh.com）在线申请履约保函（保险）。</w:t>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910"/>
        <w:ind w:left="0" w:firstLine="425"/>
        <w:spacing w:line="360" w:lineRule="auto"/>
        <w:rPr>
          <w:rFonts w:ascii="宋体" w:hAnsi="宋体" w:eastAsia="宋体" w:cs="宋体"/>
          <w:sz w:val="24"/>
          <w:szCs w:val="24"/>
        </w:rPr>
        <w:outlineLvl w:val="2"/>
      </w:pPr>
      <w:r/>
      <w:bookmarkStart w:id="91" w:name="_Toc197644567"/>
      <w:r>
        <w:rPr>
          <w:rFonts w:hint="eastAsia" w:ascii="宋体" w:hAnsi="宋体" w:eastAsia="宋体" w:cs="宋体"/>
          <w:sz w:val="24"/>
          <w:szCs w:val="24"/>
        </w:rPr>
        <w:t xml:space="preserve">33、预付款制度</w:t>
      </w:r>
      <w:bookmarkEnd w:id="91"/>
      <w:r/>
      <w:r/>
    </w:p>
    <w:p>
      <w:pPr>
        <w:pStyle w:val="910"/>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本项目落实预付款制度，预付款比例为</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%。在签订合同时，中标人明确书面表示无需预付款或者主动要求降低预付款比例的，采购人可就预付款比例作相应调整。</w:t>
      </w:r>
      <w:bookmarkEnd w:id="20"/>
      <w:r/>
      <w:r/>
    </w:p>
    <w:p>
      <w:pPr>
        <w:pStyle w:val="742"/>
        <w:keepLines/>
        <w:keepNext/>
        <w:spacing w:before="145" w:after="145" w:line="460" w:lineRule="exact"/>
        <w:rPr>
          <w:b/>
          <w:color w:val="auto"/>
          <w:sz w:val="24"/>
        </w:rPr>
        <w:outlineLvl w:val="1"/>
      </w:pPr>
      <w:r>
        <w:rPr>
          <w:rFonts w:hint="eastAsia"/>
          <w:b/>
          <w:color w:val="auto"/>
          <w:sz w:val="24"/>
        </w:rPr>
        <w:t xml:space="preserve">八、踏勘</w:t>
      </w:r>
      <w:r/>
    </w:p>
    <w:p>
      <w:pPr>
        <w:pStyle w:val="910"/>
        <w:ind w:left="0" w:firstLine="42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910"/>
        <w:ind w:left="0" w:firstLine="42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采购人在踏勘现场中介绍的项目情况，供应商在编制响应文件时参考，采购人不对供应商据此作出的判断和决策负责。</w:t>
      </w:r>
      <w:r/>
    </w:p>
    <w:p>
      <w:pPr>
        <w:pStyle w:val="910"/>
        <w:ind w:left="0" w:firstLine="42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供应商承担踏勘现场所发生的自身费用。</w:t>
      </w:r>
      <w:r/>
    </w:p>
    <w:p>
      <w:pPr>
        <w:pStyle w:val="910"/>
        <w:ind w:left="0" w:firstLine="424"/>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pStyle w:val="710"/>
        <w:numPr>
          <w:ilvl w:val="0"/>
          <w:numId w:val="1"/>
        </w:numPr>
        <w:ind w:left="0" w:firstLine="0"/>
        <w:jc w:val="center"/>
        <w:keepLines w:val="0"/>
        <w:keepNext w:val="0"/>
        <w:pageBreakBefore w:val="0"/>
        <w:spacing w:before="0" w:after="0" w:line="520" w:lineRule="exact"/>
        <w:widowControl w:val="off"/>
        <w:rPr>
          <w:rFonts w:ascii="宋体" w:hAnsi="宋体" w:eastAsia="宋体" w:cs="Times New Roman"/>
          <w:b/>
          <w:bCs/>
          <w:color w:val="auto"/>
          <w:sz w:val="32"/>
          <w:szCs w:val="32"/>
          <w14:ligatures w14:val="none"/>
        </w:rPr>
        <w:outlineLvl w:val="0"/>
      </w:pPr>
      <w:r/>
      <w:bookmarkStart w:id="92" w:name="_Toc197644568"/>
      <w:r>
        <w:rPr>
          <w:rFonts w:hint="eastAsia" w:ascii="宋体" w:hAnsi="宋体" w:eastAsia="宋体" w:cs="Times New Roman"/>
          <w:b/>
          <w:bCs/>
          <w:color w:val="auto"/>
          <w:sz w:val="32"/>
          <w:szCs w:val="32"/>
          <w14:ligatures w14:val="none"/>
        </w:rPr>
        <w:t xml:space="preserve">合同文本</w:t>
      </w:r>
      <w:bookmarkEnd w:id="92"/>
      <w:r/>
      <w:r/>
    </w:p>
    <w:p>
      <w:pPr>
        <w:pStyle w:val="742"/>
        <w:jc w:val="both"/>
        <w:keepLines w:val="0"/>
        <w:keepNext w:val="0"/>
        <w:pageBreakBefore w:val="0"/>
        <w:spacing w:line="520" w:lineRule="exact"/>
        <w:widowControl w:val="off"/>
        <w:rPr>
          <w:color w:val="auto"/>
          <w:sz w:val="24"/>
          <w:szCs w:val="24"/>
        </w:rPr>
      </w:pPr>
      <w:r>
        <w:rPr>
          <w:rFonts w:hint="eastAsia"/>
          <w:color w:val="auto"/>
          <w:sz w:val="24"/>
          <w:szCs w:val="24"/>
        </w:rPr>
        <w:t xml:space="preserve">以下为中标后签定本项目合同的通用条款，中标人不得提出实质性的修改。</w:t>
      </w:r>
      <w:r/>
    </w:p>
    <w:p>
      <w:pPr>
        <w:jc w:val="center"/>
        <w:keepLines w:val="0"/>
        <w:keepNext w:val="0"/>
        <w:pageBreakBefore w:val="0"/>
        <w:spacing w:line="520" w:lineRule="exact"/>
        <w:widowControl w:val="off"/>
        <w:rPr>
          <w:rFonts w:eastAsia="仿宋"/>
          <w:sz w:val="32"/>
          <w:szCs w:val="32"/>
        </w:rPr>
        <w:outlineLvl w:val="1"/>
      </w:pPr>
      <w:r>
        <w:rPr>
          <w:rFonts w:hint="eastAsia"/>
          <w:b/>
          <w:bCs/>
          <w:sz w:val="32"/>
          <w:szCs w:val="32"/>
        </w:rPr>
        <w:t xml:space="preserve">政府采购合同（服务）</w:t>
      </w:r>
      <w:r/>
    </w:p>
    <w:p>
      <w:pPr>
        <w:pStyle w:val="729"/>
        <w:ind w:firstLine="480"/>
        <w:keepLines w:val="0"/>
        <w:keepNext w:val="0"/>
        <w:pageBreakBefore w:val="0"/>
        <w:spacing w:line="520" w:lineRule="exact"/>
        <w:widowControl w:val="off"/>
        <w:tabs>
          <w:tab w:val="right" w:pos="8700" w:leader="none"/>
        </w:tabs>
        <w:rPr>
          <w:rFonts w:hint="default" w:ascii="宋体" w:hAnsi="宋体" w:cs="宋体"/>
          <w:sz w:val="24"/>
        </w:rPr>
      </w:pPr>
      <w:r/>
      <w:bookmarkStart w:id="93" w:name="_Toc30451"/>
      <w:r/>
      <w:bookmarkStart w:id="94" w:name="_Toc4438"/>
      <w:r/>
      <w:bookmarkStart w:id="95" w:name="_Toc893"/>
      <w:r/>
      <w:bookmarkStart w:id="96" w:name="_Toc513029243"/>
      <w:r/>
      <w:bookmarkStart w:id="97" w:name="_Toc20823315"/>
      <w:r/>
      <w:bookmarkStart w:id="98" w:name="_Toc16938559"/>
      <w:r>
        <w:rPr>
          <w:rFonts w:ascii="宋体" w:hAnsi="宋体" w:cs="宋体"/>
          <w:sz w:val="24"/>
        </w:rPr>
        <w:t xml:space="preserve">根据《中华人民共和国政府采购法》、《中华人民共和国民法典》及国家有关法规规定，经公开招标确定该项目供应商。为明确责任，协作配合，结合本项目的具体情况，确保项目供应商根据本项目响应文件及其它有关规定实施本项目的各项工作，并经协商一致，签订本合同，共同遵守。</w:t>
      </w:r>
      <w:bookmarkEnd w:id="93"/>
      <w:r/>
      <w:bookmarkEnd w:id="94"/>
      <w:r/>
      <w:bookmarkEnd w:id="95"/>
      <w:r/>
      <w:bookmarkEnd w:id="96"/>
      <w:r/>
      <w:bookmarkEnd w:id="97"/>
      <w:r/>
      <w:bookmarkEnd w:id="98"/>
      <w:r/>
      <w:r/>
    </w:p>
    <w:p>
      <w:pPr>
        <w:pStyle w:val="729"/>
        <w:ind w:firstLine="480"/>
        <w:keepLines w:val="0"/>
        <w:keepNext w:val="0"/>
        <w:pageBreakBefore w:val="0"/>
        <w:spacing w:line="520" w:lineRule="exact"/>
        <w:widowControl w:val="off"/>
        <w:rPr>
          <w:rFonts w:hint="default" w:ascii="宋体" w:hAnsi="宋体" w:cs="宋体"/>
          <w:sz w:val="24"/>
        </w:rPr>
      </w:pPr>
      <w:r>
        <w:rPr>
          <w:rFonts w:ascii="宋体" w:hAnsi="宋体" w:cs="宋体"/>
          <w:sz w:val="24"/>
        </w:rPr>
        <w:t xml:space="preserve">项目名称：</w:t>
      </w:r>
      <w:r>
        <w:rPr>
          <w:rFonts w:ascii="宋体" w:hAnsi="宋体" w:cs="宋体"/>
          <w:sz w:val="24"/>
          <w:u w:val="single"/>
        </w:rPr>
        <w:t xml:space="preserve">                          </w:t>
      </w:r>
      <w:r>
        <w:rPr>
          <w:rFonts w:ascii="宋体" w:hAnsi="宋体" w:cs="宋体"/>
          <w:sz w:val="24"/>
        </w:rPr>
        <w:t xml:space="preserve">  </w:t>
      </w:r>
      <w:r/>
    </w:p>
    <w:p>
      <w:pPr>
        <w:pStyle w:val="729"/>
        <w:ind w:firstLine="480"/>
        <w:keepLines w:val="0"/>
        <w:keepNext w:val="0"/>
        <w:pageBreakBefore w:val="0"/>
        <w:spacing w:line="520" w:lineRule="exact"/>
        <w:widowControl w:val="off"/>
        <w:rPr>
          <w:rFonts w:hint="default" w:ascii="宋体" w:hAnsi="宋体" w:cs="宋体"/>
          <w:sz w:val="24"/>
        </w:rPr>
      </w:pPr>
      <w:r>
        <w:rPr>
          <w:rFonts w:ascii="宋体" w:hAnsi="宋体" w:cs="宋体"/>
          <w:sz w:val="24"/>
        </w:rPr>
        <w:t xml:space="preserve">采购人：</w:t>
      </w:r>
      <w:r>
        <w:rPr>
          <w:rFonts w:ascii="宋体" w:hAnsi="宋体" w:cs="宋体"/>
          <w:sz w:val="24"/>
          <w:u w:val="single"/>
        </w:rPr>
        <w:t xml:space="preserve">                   </w:t>
      </w:r>
      <w:r>
        <w:rPr>
          <w:rFonts w:ascii="宋体" w:hAnsi="宋体" w:cs="宋体"/>
          <w:sz w:val="24"/>
        </w:rPr>
        <w:t xml:space="preserve">（简称甲方）</w:t>
      </w:r>
      <w:r/>
    </w:p>
    <w:p>
      <w:pPr>
        <w:pStyle w:val="729"/>
        <w:ind w:firstLine="480"/>
        <w:keepLines w:val="0"/>
        <w:keepNext w:val="0"/>
        <w:pageBreakBefore w:val="0"/>
        <w:spacing w:line="520" w:lineRule="exact"/>
        <w:widowControl w:val="off"/>
        <w:rPr>
          <w:rFonts w:hint="default" w:ascii="宋体" w:hAnsi="宋体" w:cs="宋体"/>
          <w:sz w:val="24"/>
        </w:rPr>
      </w:pPr>
      <w:r>
        <w:rPr>
          <w:rFonts w:ascii="宋体" w:hAnsi="宋体" w:cs="宋体"/>
          <w:sz w:val="24"/>
        </w:rPr>
        <w:t xml:space="preserve">中标人：</w:t>
      </w:r>
      <w:r>
        <w:rPr>
          <w:rFonts w:ascii="宋体" w:hAnsi="宋体" w:cs="宋体"/>
          <w:sz w:val="24"/>
          <w:u w:val="single"/>
        </w:rPr>
        <w:t xml:space="preserve">                   </w:t>
      </w:r>
      <w:r>
        <w:rPr>
          <w:rFonts w:ascii="宋体" w:hAnsi="宋体" w:cs="宋体"/>
          <w:sz w:val="24"/>
        </w:rPr>
        <w:t xml:space="preserve"> （简称乙方）</w:t>
      </w:r>
      <w:r/>
    </w:p>
    <w:p>
      <w:pPr>
        <w:pStyle w:val="729"/>
        <w:ind w:firstLine="480"/>
        <w:keepLines w:val="0"/>
        <w:keepNext w:val="0"/>
        <w:pageBreakBefore w:val="0"/>
        <w:spacing w:line="520" w:lineRule="exact"/>
        <w:widowControl w:val="off"/>
        <w:rPr>
          <w:rFonts w:hint="default" w:ascii="宋体" w:hAnsi="宋体" w:cs="宋体"/>
          <w:b/>
          <w:sz w:val="24"/>
        </w:rPr>
      </w:pPr>
      <w:r>
        <w:rPr>
          <w:rFonts w:ascii="宋体" w:hAnsi="宋体" w:cs="宋体"/>
          <w:sz w:val="24"/>
        </w:rPr>
        <w:t xml:space="preserve">甲、乙双方根据</w:t>
      </w:r>
      <w:r>
        <w:rPr>
          <w:rFonts w:ascii="宋体" w:hAnsi="宋体" w:cs="宋体"/>
          <w:sz w:val="24"/>
          <w:u w:val="single"/>
        </w:rPr>
        <w:t xml:space="preserve">                      </w:t>
      </w:r>
      <w:r>
        <w:rPr>
          <w:rFonts w:ascii="宋体" w:hAnsi="宋体" w:cs="宋体"/>
          <w:sz w:val="24"/>
        </w:rPr>
        <w:t xml:space="preserve">招标的结果，签署本合同。</w:t>
      </w:r>
      <w:r/>
    </w:p>
    <w:p>
      <w:pPr>
        <w:ind w:firstLine="482"/>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一、合同内容</w:t>
      </w:r>
      <w:r/>
    </w:p>
    <w:p>
      <w:pPr>
        <w:ind w:firstLine="480"/>
        <w:keepLines w:val="0"/>
        <w:keepNext w:val="0"/>
        <w:pageBreakBefore w:val="0"/>
        <w:spacing w:line="52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ind w:firstLine="480"/>
        <w:keepLines w:val="0"/>
        <w:keepNext w:val="0"/>
        <w:pageBreakBefore w:val="0"/>
        <w:spacing w:line="52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1.2 标的质量：满足采购文件要求的标准。</w:t>
      </w:r>
      <w:r/>
    </w:p>
    <w:p>
      <w:pPr>
        <w:ind w:firstLine="480"/>
        <w:keepLines w:val="0"/>
        <w:keepNext w:val="0"/>
        <w:pageBreakBefore w:val="0"/>
        <w:spacing w:line="52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1.3 标的数量（规模）：详见采购需求。</w:t>
      </w:r>
      <w:r/>
    </w:p>
    <w:p>
      <w:pPr>
        <w:ind w:firstLine="480"/>
        <w:keepLines w:val="0"/>
        <w:keepNext w:val="0"/>
        <w:pageBreakBefore w:val="0"/>
        <w:spacing w:line="52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1.4 履行时间（期限）：</w:t>
      </w:r>
      <w:r/>
    </w:p>
    <w:p>
      <w:pPr>
        <w:ind w:firstLine="480"/>
        <w:keepLines w:val="0"/>
        <w:keepNext w:val="0"/>
        <w:pageBreakBefore w:val="0"/>
        <w:spacing w:line="52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1.5 履行地点：</w:t>
      </w:r>
      <w:r/>
    </w:p>
    <w:p>
      <w:pPr>
        <w:ind w:firstLine="482"/>
        <w:keepLines w:val="0"/>
        <w:keepNext w:val="0"/>
        <w:pageBreakBefore w:val="0"/>
        <w:spacing w:line="520" w:lineRule="exact"/>
        <w:widowControl w:val="off"/>
        <w:rPr>
          <w:rFonts w:ascii="宋体" w:hAnsi="宋体"/>
          <w:b/>
          <w:bCs/>
          <w:sz w:val="24"/>
        </w:rPr>
      </w:pPr>
      <w:r>
        <w:rPr>
          <w:rFonts w:hint="eastAsia" w:ascii="宋体" w:hAnsi="宋体" w:eastAsia="宋体"/>
          <w:b/>
          <w:bCs/>
          <w:sz w:val="24"/>
        </w:rPr>
        <w:t xml:space="preserve">二、</w:t>
      </w:r>
      <w:r>
        <w:rPr>
          <w:rFonts w:hint="eastAsia" w:ascii="宋体" w:hAnsi="宋体"/>
          <w:b/>
          <w:bCs/>
          <w:sz w:val="24"/>
        </w:rPr>
        <w:t xml:space="preserve">合同价款</w:t>
      </w:r>
      <w:r/>
    </w:p>
    <w:p>
      <w:pPr>
        <w:pStyle w:val="742"/>
        <w:ind w:firstLine="480"/>
        <w:keepLines w:val="0"/>
        <w:keepNext w:val="0"/>
        <w:pageBreakBefore w:val="0"/>
        <w:spacing w:line="520" w:lineRule="exact"/>
        <w:widowControl w:val="off"/>
        <w:rPr>
          <w:sz w:val="24"/>
          <w:szCs w:val="24"/>
        </w:rPr>
      </w:pPr>
      <w:r>
        <w:rPr>
          <w:rFonts w:hint="eastAsia"/>
          <w:sz w:val="24"/>
          <w:szCs w:val="24"/>
        </w:rPr>
        <w:t xml:space="preserve">2.1本合同金额为人民币（大写）：</w:t>
      </w:r>
      <w:r>
        <w:rPr>
          <w:rFonts w:hint="eastAsia"/>
          <w:sz w:val="24"/>
          <w:szCs w:val="24"/>
          <w:u w:val="single"/>
        </w:rPr>
        <w:t xml:space="preserve">      </w:t>
      </w:r>
      <w:r>
        <w:rPr>
          <w:rFonts w:hint="eastAsia"/>
          <w:sz w:val="24"/>
          <w:szCs w:val="24"/>
        </w:rPr>
        <w:t xml:space="preserve">（小写：￥____元）。</w:t>
      </w:r>
      <w:r/>
    </w:p>
    <w:p>
      <w:pPr>
        <w:pStyle w:val="742"/>
        <w:ind w:firstLine="480"/>
        <w:keepLines w:val="0"/>
        <w:keepNext w:val="0"/>
        <w:pageBreakBefore w:val="0"/>
        <w:spacing w:line="520" w:lineRule="exact"/>
        <w:widowControl w:val="off"/>
        <w:rPr>
          <w:sz w:val="24"/>
          <w:szCs w:val="24"/>
        </w:rPr>
      </w:pPr>
      <w:r>
        <w:rPr>
          <w:rFonts w:hint="eastAsia"/>
          <w:sz w:val="24"/>
          <w:szCs w:val="24"/>
        </w:rPr>
        <w:t xml:space="preserve">此合同价应包括为完成招标文件中的所有内容，即主要包括（但不限于）所有人员的工资、法定节假日加班费、保险费、公积金、福利费，还应包括：管理、劳务、培训、运维服务费、风险、税金、合理利润、政策性文件规定等各项应有费用及合同包含的所有风险、责任等一切费用。</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3.1乙方应按招标文件规定的时间向甲方提供与合同标的有关的技术资料。</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5.1 乙方保证所交付的合同标的的所有权完全属于乙方且无任何抵押、查封等产权瑕疵。</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6.1乙方交纳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万元作为本合同的履约保证金。</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【备注：甲方对AA评级及以上政府采购供应商（需提供信用管理部门备案的第三方信用报告）免收履约保证金。】</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6.2确需收取履约保证金的，履约保证金的缴纳形式：</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6.2.2 如以履约保函（保险）形式缴纳履约保证金，乙方可通过政府采购电子履约保函（保险）平台（www.jsdzbh.com）在线申请履约保函（保险）。</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6.3合同履行结束后，甲方应及时退还交纳的履约保证金。</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6.4履约保证金的退还：</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6.4.1方式：退还至乙方缴纳履约保证金的账户。如为保函，在到期时自行失效。</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6.4.2时间：验收合格且甲方收到发票后30日内。</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6.4.3条件：按合同要求全部履约完成并经甲方验收合格，且甲方收到中标供应商出具的发票。</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6.4.4不予退还情形：</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（2）乙方不履行与甲方订立的合同的；</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（3）乙方所供货物或服务不符合招标文件规定要求的；</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（4）乙方采取欺骗、弄虚作假方式投标的或与其它供应商串通投标的；</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（5）乙方将合同内容转包、违法分包的；</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（6）乙方故意捏造事实或伪造证明材料，进行虚假恶意投诉或反映的。</w:t>
      </w:r>
      <w:r/>
    </w:p>
    <w:p>
      <w:pPr>
        <w:ind w:firstLine="480"/>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sz w:val="24"/>
          <w:szCs w:val="24"/>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八、合同款项支付 </w:t>
      </w:r>
      <w:r/>
    </w:p>
    <w:p>
      <w:pPr>
        <w:ind w:firstLine="480"/>
        <w:keepLines w:val="0"/>
        <w:keepNext w:val="0"/>
        <w:pageBreakBefore w:val="0"/>
        <w:spacing w:line="520" w:lineRule="exact"/>
        <w:widowControl w:val="off"/>
        <w:rPr>
          <w:rFonts w:ascii="宋体" w:hAnsi="宋体" w:eastAsia="宋体" w:cs="宋体"/>
          <w:color w:val="000000" w:themeColor="text1"/>
          <w:sz w:val="24"/>
          <w:szCs w:val="24"/>
        </w:rPr>
      </w:pPr>
      <w:r>
        <w:rPr>
          <w:color w:val="000000" w:themeColor="text1"/>
        </w:rPr>
      </w:r>
      <w:bookmarkStart w:id="99" w:name="_Hlk194570208"/>
      <w:r>
        <w:rPr>
          <w:rFonts w:hint="eastAsia" w:ascii="宋体" w:hAnsi="宋体" w:eastAsia="宋体" w:cs="宋体"/>
          <w:color w:val="000000" w:themeColor="text1"/>
          <w:sz w:val="24"/>
          <w:szCs w:val="24"/>
        </w:rPr>
        <w:t xml:space="preserve">8.1合同款项的支付方式及进度安排</w:t>
      </w:r>
      <w:r>
        <w:rPr>
          <w:color w:val="000000" w:themeColor="text1"/>
        </w:rPr>
      </w:r>
      <w:r/>
    </w:p>
    <w:p>
      <w:pPr>
        <w:ind w:firstLine="480"/>
        <w:keepLines w:val="0"/>
        <w:keepNext w:val="0"/>
        <w:pageBreakBefore w:val="0"/>
        <w:spacing w:line="520" w:lineRule="exact"/>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8.1.1预付款支付时间：合同签订后，甲方收到预付款发票后10个工作日内，预付款支付比例：合同金额的30%。</w:t>
      </w:r>
      <w:r>
        <w:rPr>
          <w:color w:val="000000" w:themeColor="text1"/>
        </w:rPr>
      </w:r>
      <w:r/>
    </w:p>
    <w:p>
      <w:pPr>
        <w:ind w:firstLine="480"/>
        <w:keepLines w:val="0"/>
        <w:keepNext w:val="0"/>
        <w:pageBreakBefore w:val="0"/>
        <w:spacing w:line="520" w:lineRule="exact"/>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8.1.2尾款支付时间：服务结束并验收合格,甲方收到发票后10个工作日内，尾款支付比例：合同金额的50%；运维服务期满后，甲方收到发票后10个工作日内，尾款支付比例：合同金额的20%。</w:t>
      </w:r>
      <w:bookmarkEnd w:id="99"/>
      <w:r>
        <w:rPr>
          <w:color w:val="000000" w:themeColor="text1"/>
        </w:rPr>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注：在签订合同时，中标人明确表示无需预付款或者主动要求降低预付款比例的金额，采购人可不适用预付款规定,但中标人需提供书面声明，采购人可就预付款比例</w:t>
      </w:r>
      <w:r>
        <w:rPr>
          <w:rFonts w:hint="eastAsia" w:ascii="宋体" w:hAnsi="宋体" w:eastAsia="宋体" w:cs="宋体"/>
          <w:color w:val="000000" w:themeColor="text1"/>
          <w:sz w:val="24"/>
          <w:szCs w:val="24"/>
          <w:lang w:val="zh-CN"/>
        </w:rPr>
        <w:t xml:space="preserve">作相应调整。</w:t>
      </w:r>
      <w:r>
        <w:rPr>
          <w:color w:val="000000" w:themeColor="text1"/>
        </w:rPr>
      </w:r>
      <w:r/>
    </w:p>
    <w:p>
      <w:pPr>
        <w:ind w:firstLine="480"/>
        <w:keepLines w:val="0"/>
        <w:keepNext w:val="0"/>
        <w:pageBreakBefore w:val="0"/>
        <w:spacing w:line="52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color w:val="000000" w:themeColor="text1"/>
          <w:sz w:val="24"/>
          <w:szCs w:val="24"/>
          <w:lang w:val="en-US" w:eastAsia="zh-CN"/>
        </w:rPr>
        <w:t xml:space="preserve">运维期间如乙方不能按合同相关要求提供运维服务和驻场人员，甲方有权利在履约保证金中扣除相关费用，如履约保证金无法补偿甲方损失，直至扣完合同价的20%为止。</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九、税费</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十、项目验收</w:t>
      </w:r>
      <w:r/>
    </w:p>
    <w:p>
      <w:pPr>
        <w:ind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10.1甲方依法组织履约验收工作。</w:t>
      </w:r>
      <w:r/>
    </w:p>
    <w:p>
      <w:pPr>
        <w:ind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10.3对于实际使用人和甲方分离的项目，甲方邀请实际使用人参与验收。</w:t>
      </w:r>
      <w:r/>
    </w:p>
    <w:p>
      <w:pPr>
        <w:ind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10.4如有必要，甲方邀请参加本项目的其他供应商或第三方专业机构及专家参与验收，相关意见将作为验收书的参考资料。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2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10.7在验收合格结束后，乙方提供不低于</w:t>
      </w:r>
      <w:r>
        <w:rPr>
          <w:rFonts w:hint="eastAsia" w:ascii="宋体" w:hAnsi="宋体" w:eastAsia="宋体" w:cs="宋体"/>
          <w:sz w:val="24"/>
          <w:szCs w:val="24"/>
          <w:u w:val="single"/>
          <w:lang w:val="en-US" w:eastAsia="zh-CN"/>
        </w:rPr>
        <w:t xml:space="preserve"> 3 </w:t>
      </w:r>
      <w:r>
        <w:rPr>
          <w:rFonts w:hint="eastAsia" w:ascii="宋体" w:hAnsi="宋体" w:eastAsia="宋体" w:cs="宋体"/>
          <w:sz w:val="24"/>
          <w:szCs w:val="24"/>
          <w:lang w:val="en-US" w:eastAsia="zh-CN"/>
        </w:rPr>
        <w:t xml:space="preserve">年免费运维服务（1人驻场服务，驻场服务人员需有软件行业相关经验和公司社保证明），免费运维期从验收合格之日起计算。如乙方不能按上述要求提供运维服务和驻场人员，甲方有权利在乙方费用中扣除相关费用，直至扣完合同价的20%为止。免费运维期内，若甲方对本次系统功能提出合理且必要的运行与维护相关的技术改进，乙方有义务按甲方要求提供相应的技术支持和改进。</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十一、违约责任</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11.1乙方不服从甲方管理,甲方有权终止合同,乙方所交纳的履约保证金作违约金不予退还，造成的损失另行按实赔偿。</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11.2乙方擅自转包和分包的,甲方有权终止合同，同时乙方交纳的履约保证金作合同违约金不予退还。</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11.3乙方在用工等方面如违反《劳动法》及相关规定, 甲方终止本合同,同时视乙方为违约，所交纳履约保证金作违约金不予退回。</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11.4自协议签订后，乙方要认真履约，必须确保达到标准和服务要求，否则甲方有权随时解除合同。</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11.5协议期间，双方均不得无故中止协议，否则违约方必须向守约方支付包干总额的20%的违约金。未尽事宜，由甲乙双方另行商定签补充协议，补充协议与本协议具有同等法律效应。</w:t>
      </w:r>
      <w:r/>
    </w:p>
    <w:p>
      <w:pPr>
        <w:ind w:firstLine="480"/>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sz w:val="24"/>
          <w:szCs w:val="24"/>
        </w:rPr>
        <w:t xml:space="preserve">十二、</w:t>
      </w:r>
      <w:r>
        <w:rPr>
          <w:rFonts w:hint="eastAsia" w:ascii="宋体" w:hAnsi="宋体" w:eastAsia="宋体" w:cs="宋体"/>
          <w:b/>
          <w:bCs/>
          <w:sz w:val="24"/>
          <w:szCs w:val="24"/>
        </w:rPr>
        <w:t xml:space="preserve">不可抗力事件处理</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十三、解决争议的方法</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13.1双方在签订、履行合同中所发生的一切争议，应通过友好协商解决。如协商不成，由甲方住所地人民法院管辖。</w:t>
      </w:r>
      <w:r/>
    </w:p>
    <w:p>
      <w:pPr>
        <w:ind w:firstLine="482"/>
        <w:keepLines w:val="0"/>
        <w:keepNext w:val="0"/>
        <w:pageBreakBefore w:val="0"/>
        <w:spacing w:line="52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十四、合同生效及其它</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14.1 合同经双方法定代表人或授权委托代表人签字并加盖单位公章后生效。</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14.2乙方在服务过程中必须确保安全，如造成各种人身伤害、财产损失或其他事故，均由乙方负责处理和经济赔偿，甲方不承担任何责任。</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14.3本合同中的未尽事宜，招标文件中有规定的，按招标文件中的规定处理；没有规定的，双方可协商后进行补充，以书面形式签订补充协议，补充协议与本合同具同等效力，其他的均遵照《中华人民共和国民法典》、《中华人民共和国政府采购法》有关条文执行。</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14.4 本项目招标文件、中标供应商的响应文件均属于合同的一部分。</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14.5本合同正本一式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份，具有同等法律效力，甲乙双方各执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p>
    <w:p>
      <w:pPr>
        <w:pStyle w:val="723"/>
        <w:ind w:firstLine="1446"/>
        <w:keepLines w:val="0"/>
        <w:keepNext w:val="0"/>
        <w:pageBreakBefore w:val="0"/>
        <w:spacing w:line="520" w:lineRule="exact"/>
        <w:widowControl w:val="off"/>
        <w:rPr>
          <w:rFonts w:ascii="宋体" w:hAnsi="宋体" w:eastAsia="宋体" w:cs="宋体"/>
          <w:b/>
          <w:bCs/>
          <w:sz w:val="24"/>
          <w:szCs w:val="24"/>
          <w:highlight w:val="green"/>
        </w:rPr>
      </w:pPr>
      <w:r>
        <w:rPr>
          <w:rFonts w:ascii="宋体" w:hAnsi="宋体" w:eastAsia="宋体" w:cs="宋体"/>
          <w:b/>
          <w:bCs/>
          <w:sz w:val="24"/>
          <w:szCs w:val="24"/>
          <w:highlight w:val="green"/>
        </w:rPr>
      </w:r>
      <w:r/>
    </w:p>
    <w:p>
      <w:pPr>
        <w:ind w:firstLine="480"/>
        <w:keepLines w:val="0"/>
        <w:keepNext w:val="0"/>
        <w:pageBreakBefore w:val="0"/>
        <w:spacing w:line="520" w:lineRule="exact"/>
        <w:widowControl w:val="off"/>
        <w:rPr>
          <w:rFonts w:ascii="宋体" w:hAnsi="宋体" w:eastAsia="宋体" w:cs="宋体"/>
          <w:sz w:val="24"/>
          <w:szCs w:val="24"/>
        </w:rPr>
      </w:pPr>
      <w:r>
        <w:rPr>
          <w:rFonts w:ascii="宋体" w:hAnsi="宋体" w:eastAsia="宋体" w:cs="宋体"/>
          <w:sz w:val="24"/>
          <w:szCs w:val="24"/>
        </w:rPr>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甲方：  </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地址：                </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法定代表人或授权代表：        </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联系电话：                    </w:t>
      </w:r>
      <w:r/>
    </w:p>
    <w:p>
      <w:pPr>
        <w:ind w:firstLine="480"/>
        <w:keepLines w:val="0"/>
        <w:keepNext w:val="0"/>
        <w:pageBreakBefore w:val="0"/>
        <w:spacing w:line="520" w:lineRule="exact"/>
        <w:widowControl w:val="off"/>
        <w:rPr>
          <w:rFonts w:ascii="宋体" w:hAnsi="宋体" w:eastAsia="宋体" w:cs="宋体"/>
          <w:sz w:val="24"/>
          <w:szCs w:val="24"/>
        </w:rPr>
      </w:pPr>
      <w:r>
        <w:rPr>
          <w:rFonts w:ascii="宋体" w:hAnsi="宋体" w:eastAsia="宋体" w:cs="宋体"/>
          <w:sz w:val="24"/>
          <w:szCs w:val="24"/>
        </w:rPr>
      </w:r>
      <w:r/>
    </w:p>
    <w:p>
      <w:pPr>
        <w:keepLines w:val="0"/>
        <w:keepNext w:val="0"/>
        <w:pageBreakBefore w:val="0"/>
        <w:spacing w:line="520" w:lineRule="exact"/>
        <w:widowControl w:val="off"/>
        <w:rPr>
          <w:rFonts w:ascii="宋体" w:hAnsi="宋体" w:eastAsia="宋体" w:cs="宋体"/>
          <w:sz w:val="24"/>
          <w:szCs w:val="24"/>
        </w:rPr>
      </w:pPr>
      <w:r>
        <w:rPr>
          <w:rFonts w:ascii="宋体" w:hAnsi="宋体" w:eastAsia="宋体" w:cs="宋体"/>
          <w:sz w:val="24"/>
          <w:szCs w:val="24"/>
        </w:rPr>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乙方：</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地址：</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法定代表人或授权代表：</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联系电话：          </w:t>
      </w:r>
      <w:r/>
    </w:p>
    <w:p>
      <w:pPr>
        <w:ind w:firstLine="480"/>
        <w:keepLines w:val="0"/>
        <w:keepNext w:val="0"/>
        <w:pageBreakBefore w:val="0"/>
        <w:spacing w:line="520" w:lineRule="exact"/>
        <w:widowControl w:val="off"/>
        <w:rPr>
          <w:rFonts w:ascii="宋体" w:hAnsi="宋体" w:eastAsia="宋体" w:cs="宋体"/>
          <w:sz w:val="24"/>
        </w:rPr>
      </w:pPr>
      <w:r>
        <w:rPr>
          <w:rFonts w:hint="eastAsia" w:ascii="宋体" w:hAnsi="宋体" w:eastAsia="宋体" w:cs="宋体"/>
          <w:sz w:val="24"/>
          <w:szCs w:val="24"/>
        </w:rPr>
        <w:t xml:space="preserve">                                   签订时间：  年    月   日</w:t>
      </w:r>
      <w:r/>
    </w:p>
    <w:p>
      <w:pPr>
        <w:jc w:val="left"/>
        <w:widowControl/>
        <w:rPr>
          <w:rFonts w:ascii="宋体" w:hAnsi="宋体" w:eastAsia="宋体"/>
        </w:rPr>
      </w:pPr>
      <w:r>
        <w:rPr>
          <w:rFonts w:hint="eastAsia" w:ascii="宋体" w:hAnsi="宋体" w:eastAsia="宋体"/>
        </w:rPr>
        <w:br w:type="page" w:clear="all"/>
      </w:r>
      <w:r/>
    </w:p>
    <w:p>
      <w:pPr>
        <w:pStyle w:val="710"/>
        <w:numPr>
          <w:ilvl w:val="0"/>
          <w:numId w:val="1"/>
        </w:numPr>
        <w:ind w:left="0" w:firstLine="0"/>
        <w:jc w:val="center"/>
        <w:keepLines w:val="0"/>
        <w:keepNext w:val="0"/>
        <w:spacing w:before="0" w:beforeAutospacing="1" w:after="0" w:afterAutospacing="1" w:line="600" w:lineRule="exact"/>
        <w:rPr>
          <w:rFonts w:ascii="宋体" w:hAnsi="宋体" w:eastAsia="宋体" w:cs="Times New Roman"/>
          <w:b/>
          <w:bCs/>
          <w:color w:val="auto"/>
          <w:sz w:val="32"/>
          <w:szCs w:val="32"/>
          <w14:ligatures w14:val="none"/>
        </w:rPr>
        <w:outlineLvl w:val="0"/>
      </w:pPr>
      <w:r/>
      <w:bookmarkStart w:id="100" w:name="_Toc197644569"/>
      <w:r>
        <w:rPr>
          <w:rFonts w:hint="eastAsia" w:ascii="宋体" w:hAnsi="宋体" w:eastAsia="宋体" w:cs="Times New Roman"/>
          <w:b/>
          <w:bCs/>
          <w:color w:val="auto"/>
          <w:sz w:val="32"/>
          <w:szCs w:val="32"/>
          <w14:ligatures w14:val="none"/>
        </w:rPr>
        <w:t xml:space="preserve">采购需求</w:t>
      </w:r>
      <w:bookmarkEnd w:id="100"/>
      <w:r/>
      <w:r/>
    </w:p>
    <w:p>
      <w:pPr>
        <w:ind w:firstLine="562"/>
        <w:pageBreakBefore w:val="0"/>
        <w:spacing w:line="480" w:lineRule="exact"/>
        <w:widowControl w:val="off"/>
        <w:rPr>
          <w:rFonts w:ascii="宋体" w:hAnsi="宋体" w:eastAsia="宋体" w:cs="宋体"/>
          <w:sz w:val="24"/>
          <w:szCs w:val="24"/>
        </w:rPr>
        <w:outlineLvl w:val="1"/>
      </w:pPr>
      <w:r>
        <w:rPr>
          <w:rFonts w:hint="eastAsia" w:ascii="宋体" w:hAnsi="宋体" w:eastAsia="宋体" w:cs="宋体"/>
          <w:b/>
          <w:bCs/>
          <w:sz w:val="28"/>
          <w:szCs w:val="28"/>
        </w:rPr>
        <w:t xml:space="preserve">项目属性:服务类项目</w:t>
      </w:r>
      <w:r/>
    </w:p>
    <w:p>
      <w:pPr>
        <w:pStyle w:val="710"/>
        <w:pageBreakBefore w:val="0"/>
        <w:spacing w:before="0" w:after="0" w:line="480" w:lineRule="exact"/>
        <w:widowControl w:val="off"/>
        <w:rPr>
          <w:rFonts w:ascii="宋体" w:hAnsi="宋体" w:eastAsia="宋体" w:cs="宋体"/>
          <w:b/>
          <w:bCs/>
          <w:color w:val="auto"/>
          <w:sz w:val="28"/>
          <w:szCs w:val="28"/>
        </w:rPr>
      </w:pPr>
      <w:r/>
      <w:bookmarkStart w:id="101" w:name="_Hlk191903056"/>
      <w:r>
        <w:rPr>
          <w:rFonts w:hint="eastAsia" w:ascii="宋体" w:hAnsi="宋体" w:eastAsia="宋体" w:cs="宋体"/>
          <w:b/>
          <w:bCs/>
          <w:color w:val="auto"/>
          <w:sz w:val="28"/>
          <w:szCs w:val="28"/>
        </w:rPr>
        <w:t xml:space="preserve">1   项目背景</w:t>
      </w:r>
      <w:r/>
    </w:p>
    <w:p>
      <w:pPr>
        <w:pStyle w:val="710"/>
        <w:ind w:firstLine="480"/>
        <w:pageBreakBefore w:val="0"/>
        <w:spacing w:before="0" w:after="0"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省生态环境厅关于加快推进全省生态环境信息化工作的通知》（苏环办〔2023〕121号）、《关于印发2024年全省生态环境数字化工作要点的通知》（苏环办〔2024〕93号）等文件明确提出，要加快推进省市平台融合运行，推动实现数据贯通、流程贯通、功能贯通，打造更加集约高效的生态环境智慧监管体系，全面提升非现场监管与智能化治理水平。亭湖区作为盐城市生态环境基层治理的重要单元，承担着大量污染源、风险源、重点区域和信</w:t>
      </w:r>
      <w:r>
        <w:rPr>
          <w:rFonts w:hint="eastAsia" w:ascii="宋体" w:hAnsi="宋体" w:eastAsia="宋体" w:cs="宋体"/>
          <w:color w:val="auto"/>
          <w:sz w:val="24"/>
          <w:szCs w:val="24"/>
        </w:rPr>
        <w:t xml:space="preserve">访案件的属地管理责任。当前，区级生态环境信息系统相对分散，基层网格的信息报送、任务流转、核查反馈仍存在依赖人工、受制于系统割裂等问题；同时，省市正在加快推进一体化监管体系建设，要求区县平台具备与省市系统的互联互通、数据共享及业务协同能力。为进一步提升亭湖区生态环境监管能力，争做省市区融合应用试点第一城，拟开展盐城市亭湖生态环境基层协同治理（省市区三级共建试点）平台建设，实现亭湖区生态环境业务全流程在省市统一框架下运行，推动全区生态环境数据自动共享、预警自动派发、任务自动流转，显著提升省市区三级监管协同效率。</w:t>
      </w:r>
      <w:r/>
    </w:p>
    <w:p>
      <w:pPr>
        <w:pStyle w:val="710"/>
        <w:pageBreakBefore w:val="0"/>
        <w:spacing w:before="0" w:after="0" w:line="480" w:lineRule="exact"/>
        <w:widowControl w:val="off"/>
        <w:rPr>
          <w:rFonts w:ascii="宋体" w:hAnsi="宋体" w:eastAsia="宋体" w:cs="宋体"/>
          <w:b/>
          <w:bCs/>
          <w:color w:val="auto"/>
          <w:sz w:val="28"/>
          <w:szCs w:val="28"/>
        </w:rPr>
      </w:pPr>
      <w:r>
        <w:rPr>
          <w:rFonts w:hint="eastAsia" w:ascii="宋体" w:hAnsi="宋体" w:eastAsia="宋体" w:cs="宋体"/>
          <w:b/>
          <w:bCs/>
          <w:color w:val="auto"/>
          <w:sz w:val="28"/>
          <w:szCs w:val="28"/>
        </w:rPr>
        <w:t xml:space="preserve">2   建设目标（技术要求）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盐城市亭湖生态环境基层协同治理（省市区三级共建试点）平台将按照“</w:t>
      </w:r>
      <w:r>
        <w:rPr>
          <w:rFonts w:hint="eastAsia" w:ascii="宋体" w:hAnsi="宋体" w:eastAsia="宋体" w:cs="宋体"/>
          <w:b/>
          <w:bCs/>
          <w:sz w:val="24"/>
          <w:szCs w:val="24"/>
        </w:rPr>
        <w:t xml:space="preserve">一屏全观、一网统管、一体指挥</w:t>
      </w:r>
      <w:r>
        <w:rPr>
          <w:rFonts w:hint="eastAsia" w:ascii="宋体" w:hAnsi="宋体" w:eastAsia="宋体" w:cs="宋体"/>
          <w:sz w:val="24"/>
          <w:szCs w:val="24"/>
        </w:rPr>
        <w:t xml:space="preserve">”的目标定位，围绕“能力共建共享+非现场监管能力提升”要求，按照大系统、大平台理念，推进各部门、各业务、各系统整合，构建全区纵横联动、五级协同的生态环境治理体系，建成技术先进、数据赋能、灵活开放、安全可靠的“1+3+7+N”架构，实现全区生态环境治理“可感、可视、可控、可治”，打造政府治理和社会调节、企业自治良性互动的生态环境治理新格局，真正做到主动发现问题、及时解决问题、厘清主体责任、压实各方责任，为生态环境科学执法、精准执法、合法处罚、督查问责提供服务，加快推动全区生态环境治理体系和治理能力现代化。</w:t>
      </w:r>
      <w:r/>
    </w:p>
    <w:p>
      <w:pPr>
        <w:pStyle w:val="710"/>
        <w:pageBreakBefore w:val="0"/>
        <w:spacing w:before="0" w:after="0" w:line="480" w:lineRule="exact"/>
        <w:widowControl w:val="off"/>
        <w:rPr>
          <w:rFonts w:ascii="宋体" w:hAnsi="宋体" w:eastAsia="宋体" w:cs="宋体"/>
          <w:b/>
          <w:bCs/>
          <w:color w:val="auto"/>
          <w:sz w:val="28"/>
          <w:szCs w:val="28"/>
        </w:rPr>
      </w:pPr>
      <w:r>
        <w:rPr>
          <w:rFonts w:hint="eastAsia" w:ascii="宋体" w:hAnsi="宋体" w:eastAsia="宋体" w:cs="宋体"/>
          <w:b/>
          <w:bCs/>
          <w:color w:val="auto"/>
          <w:sz w:val="28"/>
          <w:szCs w:val="28"/>
        </w:rPr>
        <w:t xml:space="preserve">3   总体要求（技术要求）</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平台的开发必须按软件工程的实施规范进行，保证系统选型先进、操作方便、维护简单、实施规范，具体要求如下：</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（1）平台应采用组件化的开发方式，各模块之间相互独立，模块接口开放、明确，任何一个应用模块的损坏和更换均不能影响其它模块的使用。</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（2）平台应具备良好的兼容性，客户端支持各种流行的软、硬件平台；服务器端可以无需修改、或者做小的调整就能在主流硬件平台和操作系统上运行，需按采购人需求进行国产化软硬件环境适配。</w:t>
      </w:r>
      <w:r/>
    </w:p>
    <w:p>
      <w:pPr>
        <w:pStyle w:val="710"/>
        <w:pageBreakBefore w:val="0"/>
        <w:spacing w:before="0" w:after="0" w:line="480" w:lineRule="exact"/>
        <w:widowControl w:val="off"/>
        <w:rPr>
          <w:rFonts w:ascii="宋体" w:hAnsi="宋体" w:eastAsia="宋体" w:cs="宋体"/>
          <w:b/>
          <w:bCs/>
          <w:color w:val="auto"/>
          <w:sz w:val="28"/>
          <w:szCs w:val="28"/>
        </w:rPr>
      </w:pPr>
      <w:r>
        <w:rPr>
          <w:rFonts w:hint="eastAsia" w:ascii="宋体" w:hAnsi="宋体" w:eastAsia="宋体" w:cs="宋体"/>
          <w:b/>
          <w:bCs/>
          <w:color w:val="auto"/>
          <w:sz w:val="28"/>
          <w:szCs w:val="28"/>
        </w:rPr>
        <w:t xml:space="preserve">4   建设内容（技术要求）</w:t>
      </w:r>
      <w:r/>
    </w:p>
    <w:p>
      <w:pPr>
        <w:pStyle w:val="711"/>
        <w:pageBreakBefore w:val="0"/>
        <w:spacing w:before="0" w:after="0" w:line="480" w:lineRule="exact"/>
        <w:widowControl w:val="off"/>
        <w:rPr>
          <w:rFonts w:ascii="宋体" w:hAnsi="宋体" w:eastAsia="宋体" w:cs="宋体"/>
          <w:b/>
          <w:bCs/>
          <w:color w:val="auto"/>
          <w:sz w:val="24"/>
          <w:szCs w:val="24"/>
        </w:rPr>
      </w:pPr>
      <w:r/>
      <w:bookmarkStart w:id="102" w:name="_Toc149641393"/>
      <w:r>
        <w:rPr>
          <w:rFonts w:hint="eastAsia" w:ascii="宋体" w:hAnsi="宋体" w:eastAsia="宋体" w:cs="宋体"/>
          <w:b/>
          <w:bCs/>
          <w:color w:val="auto"/>
          <w:sz w:val="24"/>
          <w:szCs w:val="24"/>
        </w:rPr>
        <w:t xml:space="preserve">4.1  “1”：一屏总览指标任务</w:t>
      </w:r>
      <w:bookmarkEnd w:id="102"/>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围绕生态环境部门核心业务工作，对水环境、大气环境、土壤环境、生态环境等环境要素运行情况，环境执法信息、环境信访投诉信息、污染源信息以及与企业生产运行相关的环保问题等关键业务运行数据进行统计分析，全方位动态监测亭湖区生态环境业务运行体征。并通过信息化手段，全面梳理亭湖区各类业务指标和年度重点工作进行展示。详细的技术需求见下，投标人需按照技术需求给出给出详见的设计方案：</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4.1.1核心业务指标管理</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（1）大气环境指标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抽取大气环境达标分析和排名分析相关的关键指标，实现指标信息可视化分析展示。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（2）水环境指标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抽取水环境达标分析和排名分析相关的关键指标，实现指标信息可视化分析展示。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（3）信访举报指标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抽取环境信访举报管理指标，包括信访总量、信访增量、重复信访、信访调处、投诉人员、投诉对象等，实现指标信息可视化分析展示。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（4）环境监察执法指标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抽取环境监察执法管理指标，包括执法案件总数、执法案件分布、执法人员出勤、现场执法时长、企业检查情况等，实现指标信息可视化分析展示。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（5）网格指标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抽取网格管理指标，包括网格人员分布、网格任务量、网格办理实效等，实现指标信息可视化分析展示。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（6）污染源监控指标</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抽取污染源监控指标，包括重点污染源监控企业数、联网情况、监控异常预警等，实现指标信息可视化分析展示。</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4.1.2年度重点工作管理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通过信息化手段，全面梳理亭湖区蓝天、碧水、净土保卫战等各类年度重点工作，系统实现对重点工作的任务下发、调度、执行、反馈协同全过程可视化展示。</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4.2  “3”：省市区三级联动模式</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基于省厅智慧监管平台，建设盐城市亭湖区生态环境统一管理门户体系，实现省-区（县）门户融合，同时搭建亭湖本地的个性化工作台，在复用省平台应用的同时，又满足了亭湖本地的个性化需求。建设网格划分管理、省-市-区-乡镇任务流转模式，以网格化管理为基础，建立问题发现-在线研判-任务调度-跟踪督办-考核评价的闭环指挥调度治理体系，实现环境问题精准识别、及时调度、快速处置。详细的技术需求见下，投标人需按照技术需求给出给出详见的设计方案：</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4.2.1门户融合</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（1）管理门户融合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基于省厅智慧监管平台，构建盐城市亭湖区生态环境统一管理门户体系，实现省-区门户融合，同时搭建亭湖本地的个性化工作台，在复用省平台应用的同时，又满足亭湖本地的个性化需求。</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1、统一用户体系</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提供组织机构服务，用于管理和维护生态环境智慧监管平台亭湖区业务应用涉及组织机构信息，包括政府部门、生态环境部门组织架构信息、人员信息、人员岗位等组织架构相关信息。</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建立角色及权限服务，通过“用户、角色、权限”的三层权限管理机制实现建立起囊括范围广泛的实际权限分配情况。权限与角色相关联，通过被赋予不同的角色而得到这些角色相应的权限。</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2、个性化工作台</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基于江苏省智慧监管框架搭建专属亭湖区的个性化工作台，为亭湖区生态环境局局内领导、各个业务处室量身定做专门的工作台，通过将用户个人工作密切相关的业务系统、常用功能、数据信息查询展示等集成到工作台应用门户桌面，主要包括待办事项、消息提醒、环保脸谱查看、常用业务导航、统计分析等功能，解决业务部门找应用、找数据、找任务困难的局面，提升管理人员工作效率同时加强平台的使用黏度。</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（2）移动门户</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搭建本地移动端应用，包括生态环境质量信息查看、预警推送等功能。</w:t>
      </w:r>
      <w:r/>
    </w:p>
    <w:p>
      <w:pPr>
        <w:pStyle w:val="712"/>
        <w:pageBreakBefore w:val="0"/>
        <w:spacing w:before="0" w:after="0" w:line="480" w:lineRule="exact"/>
        <w:widowControl w:val="off"/>
        <w:rPr>
          <w:rFonts w:ascii="宋体" w:hAnsi="宋体" w:eastAsia="宋体" w:cs="宋体"/>
          <w:color w:val="auto"/>
          <w:sz w:val="24"/>
          <w:szCs w:val="24"/>
        </w:rPr>
      </w:pPr>
      <w:r>
        <w:rPr>
          <w:rFonts w:hint="eastAsia" w:ascii="宋体" w:hAnsi="宋体" w:eastAsia="宋体" w:cs="宋体"/>
          <w:b/>
          <w:bCs/>
          <w:color w:val="auto"/>
          <w:sz w:val="24"/>
          <w:szCs w:val="24"/>
        </w:rPr>
        <w:t xml:space="preserve">4.2.2网格管理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基于建立区、乡镇、街道三级网格化环境监管体系，强化各级各有关部门单位对辖区环境监管执法工作的领导责任，按区域派驻监管执法人员，将监管责任落实到单位、到岗位，推进环境监管重心下移、力量下沉，实现环境监管全覆盖、无缝隙管理。</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（1）网格化环境监管概览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建立网格化环境监管概览应用，为领导进行任务调度提供实时、鲜活、直观的数据依据，需包括人员动态、网格化任务地图、污染源网格地图等模块。</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（2）空间网格管理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建立空间网格管理应用，支持全区网格划分、网格信息维护查看等管理应用。</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4.2.3省-市-区-乡镇四级任务流转</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实现省-市-区-乡镇四级任务流转，打通省级、市级、区县级、乡镇级的任务调度体系，实现上级平台下发任务接收，通过亭湖区通过本次建设的系统实现任务下发，并根据任务内容下发至乡镇网格。</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（1）工作事件分类总览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建立工作时间分类总览应用，实现全区各类任务事件信息汇总，包括任务总数、任务进展、任务预警等信息，并按任务类型进行分类汇总。</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（2）任务办理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提供任务办理应用，主要包括任务登记、任务核发、任务签收、任务办理登记等核心流程节点，其他还包括任务跟踪、现场查处等辅助功能贯穿整个任务办理全流程功能。</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（3）任务监控</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实现专项任务和日常任务（监控预警、环境信访、监察执法、许可审批）等各类任务全流程关键节点可看、可查、可溯。从而及时掌握各类任务办理进展和办理情况。</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同时通过任务源登记实现不同任务直接跨流程跟踪监控，比如针对环境信访案件，不仅可以追踪环境信访内容办理流程关键节点，同时还可以追踪至执法环节、处罚环节。</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（4）任务预警</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提供任务预警应用，用户可以设置全局或指定的任务预警规则和报警级别，不同级别可以设置不同接收用户和响应要求。</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（5）任务督办</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提供任务督办应用，如果任务未按期完成或未按要求完成,发起人可根据任务完成进展情况，进行任务催办，发起任务催办单。</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（6）任务销号</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提供任务销号应用，针对所有任务，办结完成后即可进行归档，并销号。并支持通过设置条件进行智能查询、智能排序、表单导出。</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4.3  “7”：七大特色专题应用</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针对大气环境管理应用、水环境管理应用、土壤环境管理应用、生态（生物多样性）管理应用、污染源管理应用、危险废物管理应用、环境信访管理应用等核心业务，打造一体化业务应用，确保相同业务流程统一，相邻业务流程打通，打通业务堵点、断点，确保工作无缝衔接、高效流转，打破应用烟囱，避免多套系统切换、数据多次录入。详细的技术需求见下，投标人需按照技术需求给出给出详见的设计方案：</w:t>
      </w:r>
      <w:r/>
    </w:p>
    <w:p>
      <w:pPr>
        <w:pStyle w:val="712"/>
        <w:pageBreakBefore w:val="0"/>
        <w:spacing w:before="0" w:after="0" w:line="480" w:lineRule="exact"/>
        <w:widowControl w:val="off"/>
        <w:rPr>
          <w:rFonts w:ascii="宋体" w:hAnsi="宋体" w:eastAsia="宋体" w:cs="宋体"/>
          <w:color w:val="auto"/>
          <w:sz w:val="24"/>
          <w:szCs w:val="24"/>
        </w:rPr>
      </w:pPr>
      <w:r/>
      <w:bookmarkStart w:id="103" w:name="_Toc149641401"/>
      <w:r>
        <w:rPr>
          <w:rFonts w:hint="eastAsia" w:ascii="宋体" w:hAnsi="宋体" w:eastAsia="宋体" w:cs="宋体"/>
          <w:b/>
          <w:bCs/>
          <w:color w:val="auto"/>
          <w:sz w:val="24"/>
          <w:szCs w:val="24"/>
        </w:rPr>
        <w:t xml:space="preserve">4.3.1大气环境管理专题</w:t>
      </w:r>
      <w:bookmarkEnd w:id="103"/>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亭湖区共有国控站2个、区控站2个、乡镇站9个。本次通过对接国家空气质量监测联网管理平台、盐城市生态环境监测监控大数据平台、亭湖区空气质量监控平台（微站）等系统，建设大气环境管理模块，实现对亭湖区大气环境的全面掌握，提升大气环境监测与预警、分析与监管考核能力。</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（1）大气环境综合概览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大气环境质量管理看板，支持用户进入大气环境管理模块查看当前大气环境综合概览，通过图表等形式展示当前监测站类型和数量、亭湖区空气质量、考核排名、空气质量站等级分布、首要污染物统计分析、空气质量趋势等，实现对当前亭湖区大气环境质量情况的总体掌握。</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（2）大气环境监测管理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建立统一大气环境监测管理应用，实现对亭湖区大气环境监测站的统一管理，建立一站一档、实时监测、异常报警、历史数据管理等应用。</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（3）大气污染分析研判</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建立大气污染分析研判应用，提供空气质量宏观态势分析、空气质量实时分析、重点分析空气质量趋势、优良天数情况、大气环境质量排名等分析研判应用。</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（4）大气环境质量分析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建立大气环境质量分析应用，包括空气站对比分析、污染日历分析、优良天气统计、达标分析、实时污染排名分析等。</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（5）大气环境一张图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建立大气环境一张图应用，采用指标+图层+地图联动的方式进行可视化展示，指标涵盖考核指标、质量排名等大气管控核心指标，图层包含各类监测站点、涉企污染源等，信息需与地图进行联动，支持时空搜索。</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4.3.2水环境管理专题</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亭湖区共有国考断面2个，省考断面5个，水质站5个。本次通过对接盐城市生态环境监测监控大数据平台、生态环境智慧监管平台等，建设水环境管理模块，实现对亭湖区水环境的全面掌握，提升水环境监测与预警、分析与监管考核能力。</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（1）水环境综合概览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水环境质量管理看板，支持用户进入水环境管理模块查看当前水环境综合概览，通过图表等形式展示全区监测断面数量、优Ⅲ劣Ⅴ比例、水质分析、预警信息等，实现对当前亭湖区水环境质量情况的总体掌握。</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（2）水质站监测管理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建立统一水质站监测管理应用，实现对亭湖区水环境监测站的统一管理，建立一站一档、实时监测、异常报警、历史数据管理等应用。</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（3）断面专项管理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建立断面专项管理应用，实现对亭湖区国考、省考断面信息进行统一管理，包括断面档案、断面监测、监测预警等。</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（4）饮用水源地专项管理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饮用水源地专项管理，实现水源地概况、水源地档案、水源地监测信息汇总分析。将饮用水源地周边与水源地关联水系水质监控数据接入，支持对干、支流监测断面、监测站点实时监测、水质监测历史数据以及超标数据进行查询分析。同时，可查看饮用水源地周边排污口的污染物排放情况以及历史变化趋势。</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（5）排口专项管理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建立排口专项管理，实现对全区入河/江排污口基础数据、在线监测等信息统一管理，包括排口档案管理、分类管理、排口整治管理等模块应用。</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（6）水体检测专项管理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亭湖生态环境局每季度对建成区36条水体进行检测。建设水体检测专项管理模块实现亭湖区水体档案式管理，包括水体基本信息、水质数据、监测站点与设备信息、水体检测报告与分析结果等。支持多条件查询，并实现查询结果导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（7）水污染分析研判</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建立水污染分析研判应用，当水质监测断面发生异常的时候，系统会根据水质断面异常情况，分析该河流的上游水系，并且可以根据异常的监测数据，关联到疑似排污单位。</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（8）水环境质量综合分析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建立水环境质量综合分析应用，包括超标断面分析、管理分析、达标分析、达标趋势分析、水质变化趋势分析、排名分析、水质日历分析等。</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（9）水环境一张图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建立水环境一张图应用，采用指标+图层+地图联动的方式进行可视化展示，指标涵盖考核指标、质量排名等水环境管控核心指标，图层包含各类监测站点、饮用水源地、排口等，信息需与地图进行联动</w:t>
      </w:r>
      <w:r>
        <w:rPr>
          <w:rFonts w:hint="eastAsia" w:ascii="宋体" w:hAnsi="宋体" w:cs="宋体"/>
          <w:sz w:val="24"/>
          <w:szCs w:val="24"/>
        </w:rPr>
        <w:t xml:space="preserve">，支持时空搜索</w:t>
      </w:r>
      <w:r>
        <w:rPr>
          <w:rFonts w:hint="eastAsia" w:ascii="宋体" w:hAnsi="宋体" w:eastAsia="宋体" w:cs="宋体"/>
          <w:sz w:val="24"/>
          <w:szCs w:val="24"/>
        </w:rPr>
        <w:t xml:space="preserve">。</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4.3.3土壤环境管理专题</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（1）土壤重点监管企业管理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依托污染源“一企一档”，建立土壤重点监管企业管理功能，应包括土壤污染重点监管企业名录管理、企业档案分类查询模块。</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（2）污染地块/疑似污染地块管理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提供污染地块线上管理功能，包括污染地块名录、污染地块信息管理、地块空间查询和周边监督性监测信息案例应用。</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（3）地下水监测监控</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提供地下水监测监控应用，实现对地下水监测信息统一管理，并按需输出年度统计分析结果。包括地下水监测信息管理、地图查询与展示、统计分析那个月。</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（4）土壤环境一张图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建立土壤环境一张图，采用指标+图层+地图联动的方式进行可视化展示，指标涵盖重点监管单位、污染地块、地下水监测等关键指标，图层包含监管单位、地块等，信息需与地图进行联动</w:t>
      </w:r>
      <w:r>
        <w:rPr>
          <w:rFonts w:hint="eastAsia" w:ascii="宋体" w:hAnsi="宋体" w:cs="宋体"/>
          <w:sz w:val="24"/>
          <w:szCs w:val="24"/>
        </w:rPr>
        <w:t xml:space="preserve">，支持时空搜索</w:t>
      </w:r>
      <w:r>
        <w:rPr>
          <w:rFonts w:hint="eastAsia" w:ascii="宋体" w:hAnsi="宋体" w:eastAsia="宋体" w:cs="宋体"/>
          <w:sz w:val="24"/>
          <w:szCs w:val="24"/>
        </w:rPr>
        <w:t xml:space="preserve">。</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4.3.4生态（生物多样性）管理专题</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（1）自然生态保护管理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建立自然生态保护管理应用，包括自然保护地管理、生态红线管理、生态空间管控管理模块。</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1、自然保护地管理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建立自然生态保护区基础信息档案，可基于地图展示自然生态保护区位置、空间信息，支持自然生态保护区空间查询，对自然生态保护区历年变化情况对比分析。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2、生态红线管理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建立生态红线基础信息档案，可基于地图展示生态红线位置、空间信息，支持生态红线空间查询，对生态红线历年变化情况对比分析。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3、生态空间管控管理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建立生态环境管控单元进行管理，可基于地图展示生态环境管控单元信息，支持生态环境管控单元空间查询。</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（2）生物多样性管理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将亭湖区生物物种多样性调查数据进行入库管理，整合各种生物多样性数据，建设可共享、可更新的生物多样性数据库，包括物种库、濒危物种库、入侵物种库等，并实现全区生物物种分布及数量等详细信息统计分析和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（3）自然生态一张图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bookmarkStart w:id="104" w:name="OLE_LINK22"/>
      <w:r/>
      <w:bookmarkStart w:id="105" w:name="OLE_LINK23"/>
      <w:r>
        <w:rPr>
          <w:rFonts w:hint="eastAsia" w:ascii="宋体" w:hAnsi="宋体" w:eastAsia="宋体" w:cs="宋体"/>
          <w:sz w:val="24"/>
          <w:szCs w:val="24"/>
        </w:rPr>
        <w:t xml:space="preserve">建立自然生态一张图，采用指标+地图联动的方式进行可视化展示，指标涵盖生物多样性、生态红线、自然保护地等关键指标，信息需与地图进行联动</w:t>
      </w:r>
      <w:r>
        <w:rPr>
          <w:rFonts w:hint="eastAsia" w:ascii="宋体" w:hAnsi="宋体" w:cs="宋体"/>
          <w:sz w:val="24"/>
          <w:szCs w:val="24"/>
        </w:rPr>
        <w:t xml:space="preserve">，支持时空搜索</w:t>
      </w:r>
      <w:r>
        <w:rPr>
          <w:rFonts w:hint="eastAsia" w:ascii="宋体" w:hAnsi="宋体" w:eastAsia="宋体" w:cs="宋体"/>
          <w:sz w:val="24"/>
          <w:szCs w:val="24"/>
        </w:rPr>
        <w:t xml:space="preserve">。</w:t>
      </w:r>
      <w:bookmarkEnd w:id="104"/>
      <w:r/>
      <w:bookmarkEnd w:id="105"/>
      <w:r/>
      <w:r/>
    </w:p>
    <w:p>
      <w:pPr>
        <w:pStyle w:val="712"/>
        <w:pageBreakBefore w:val="0"/>
        <w:spacing w:before="0" w:after="0" w:line="480" w:lineRule="exact"/>
        <w:widowControl w:val="off"/>
        <w:rPr>
          <w:rFonts w:ascii="宋体" w:hAnsi="宋体" w:eastAsia="宋体" w:cs="宋体"/>
          <w:b/>
          <w:bCs/>
          <w:color w:val="auto"/>
          <w:sz w:val="24"/>
          <w:szCs w:val="24"/>
        </w:rPr>
      </w:pPr>
      <w:r/>
      <w:bookmarkStart w:id="106" w:name="_Toc149641405"/>
      <w:r>
        <w:rPr>
          <w:rFonts w:hint="eastAsia" w:ascii="宋体" w:hAnsi="宋体" w:eastAsia="宋体" w:cs="宋体"/>
          <w:b/>
          <w:bCs/>
          <w:color w:val="auto"/>
          <w:sz w:val="24"/>
          <w:szCs w:val="24"/>
        </w:rPr>
        <w:t xml:space="preserve">4.3.5污染源管理专题</w:t>
      </w:r>
      <w:bookmarkEnd w:id="106"/>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本次通过对接江苏省污染源“一企一档”、固定污染源在线监控、排污许可证系统等信息，建设亭湖区污染源管理模块，实现对亭湖区污染源的全面掌握，深入打好污染防治攻坚战。</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（1）一企一档</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建立污染源“一企一档”应用，包括污染源名录管理、污染源全周期档案管理、企业分级分类管理等模块。</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1、污染源名录</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与亭湖区法人库、江苏省污染源“一企一档”动态信息管理系统实现对接，建立亭湖区污染源企业名录库，对污染源名录进行统一维护，同时提供手工录入、批量导入功能，实现企业名单批量入库。</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采用“统一社会信用代码”作为污染源企业唯一标识码，对已在省污染源名录库内的，需直接从污染源一企一档获取污染源企业基本信息、在线监测等全周期相关数据。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2、污染源全周期档案管理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工业污染源全周期档案管理，基于企业的全生命周期的变化，对全区重点污染源单位建立全周期档案数据，包括基础信息、排污许可信息、生产信息、污染排放信息、监察执法信息、行政处罚信息、信访投诉信息等内容。</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3、企业分级分类管理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对污染源企业进行分类管理，支持对企业赋予属性标签（如涉水污染源企业、土壤重点监管企业等），根据企业标签，对企业进行快速分类查询统计。</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（2）污染源自动监控</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建立污染源自动监控应用，涵盖综合概览、排放因子调整、数据标记信息查看等功能模块。</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1、综合概览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提供污染源管理看板，通过图表等形式展示亭湖区污染源总体情况，包括联网情况、报警情况、污染物排放量、数据质量情况、数据传输情况等信息。</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2、排放因子调整</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针对部分新联网的排污单位新增污染物排放因子时，控制新增污染物排放因子是否订阅接收，对新增排放因子在线监控。</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3、数据标记信息查看</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江苏省固定污染源在线监控系统已实现数据异常标记，与江苏省固定污染源在线监控系统对接，回流标记数据，支持对标记数据进行分类查看。</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4、统计分析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 提供污染源监控统计分析应用，包括污染源报表、数据传输率、数据传输有效率、报警记录、报警统计等分析维度。</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（3）污染源一张图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建立污染源一张图应用，采用指标+图层+地图联动的方式进行可视化展示，指标涵盖排污许可、监控预警、业务动态等，图层包含污染源点位、周边环境监测等，信息需与地图进行联动</w:t>
      </w:r>
      <w:r>
        <w:rPr>
          <w:rFonts w:hint="eastAsia" w:ascii="宋体" w:hAnsi="宋体" w:cs="宋体"/>
          <w:sz w:val="24"/>
          <w:szCs w:val="24"/>
        </w:rPr>
        <w:t xml:space="preserve">，支持时空搜索</w:t>
      </w:r>
      <w:r>
        <w:rPr>
          <w:rFonts w:hint="eastAsia" w:ascii="宋体" w:hAnsi="宋体" w:eastAsia="宋体" w:cs="宋体"/>
          <w:sz w:val="24"/>
          <w:szCs w:val="24"/>
        </w:rPr>
        <w:t xml:space="preserve">。</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4.3.6危险废物管理专题</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与省级危废平台对接，回流亭湖区危险废物全过程管理数据，在此基础上，结合本地需求，输出本地化分析服务。</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（1）区域危废总览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危险废物产生、贮存、转移、处置等信息，并实现汇总信息图表、一张图叠加展示，自动按照业务主题，抽取统计数据计算结果，自动生成统计表盘。</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（2）产生分析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开展危险废物产生专题分析，支持用户按需统计时间节点内全区各类危险废物产生情况分析，包括危险废物产生量、产废规模特点、危废去向、危险废物产/贮对比、危险废物类型分布等分析。</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（3）转移分析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开展危险废物转移专题分析，支持用户按需统计时间节点内全区各类危险废物转移情况分析，包括危险废物转移量、转移去向、省内外去向占比、危废转出/接收区域对比、各类废物转移分析等分析。</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（4）处置分析</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开展危险废物处置专题分析，支持用户按需统计时间节点内全区各类危险废物处置情况分析，包括危险废物处置量、处置去向、处置能力/处置量区域对比分析、集中利用处置分类分析等分析。</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（5）物联网监控</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建立物联网监控应用，实现全区每家已按照物联监控设备的企业监控信息进行集中展示。</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（6）监控预警</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建立监控预警应用，实现涉废相关的异常提醒、预警信息集中展现。包括管理计划逾期、申报异常、贮存超期超量等预警。</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（7）危险废物一张图</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建立危险废物一张图，采用指标+地图联动的方式进行可视化展示，指标涵盖产生单位、运输单位、经营处置单位、产废信息、运输信息、处置信息等关键指标，信息需与地图进行联动。</w:t>
      </w:r>
      <w:r/>
    </w:p>
    <w:p>
      <w:pPr>
        <w:pStyle w:val="712"/>
        <w:pageBreakBefore w:val="0"/>
        <w:spacing w:before="0" w:after="0" w:line="480" w:lineRule="exact"/>
        <w:widowControl w:val="off"/>
        <w:rPr>
          <w:rFonts w:ascii="宋体" w:hAnsi="宋体" w:eastAsia="宋体" w:cs="宋体"/>
          <w:b/>
          <w:bCs/>
          <w:color w:val="auto"/>
          <w:sz w:val="24"/>
          <w:szCs w:val="24"/>
        </w:rPr>
      </w:pPr>
      <w:r/>
      <w:bookmarkStart w:id="107" w:name="_Toc149641407"/>
      <w:r>
        <w:rPr>
          <w:rFonts w:hint="eastAsia" w:ascii="宋体" w:hAnsi="宋体" w:eastAsia="宋体" w:cs="宋体"/>
          <w:b/>
          <w:bCs/>
          <w:color w:val="auto"/>
          <w:sz w:val="24"/>
          <w:szCs w:val="24"/>
        </w:rPr>
        <w:t xml:space="preserve">4.3.7环境信访管理专题</w:t>
      </w:r>
      <w:bookmarkEnd w:id="107"/>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建立区级环境信访管理专题应用，实现信访受理登记、受理审核、案件办理、审核督办等过程全线上流转办理。</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（1）信访受理登记</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实现全区各类、各途径的生态环境相关信访案件登记受理，支持电话、短信、邮箱、网站、微信公众号、来信来访等统一受理登记。</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建立统一的信访登记单，同时满足省厅信访举报信息登记要求。</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（2）环境信访受理审核</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提供环境信访受理审核应用，包括信息核实、重复信访合并、领导签批等模块。</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（3）环境信访举报案件办理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针对已经受理的案件，可根据规则支持逐级办理。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可直接交办至对应乡镇网格员，网格员通过移动端进行现场核查调处并实现结果直接回传。</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实现与执法系统双向打通，可直接交办至相关部门人员或执法人员进行现场核查调处，现场核查调处结果通过执法系统可直接回传。</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（4）环境信访审核督办</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实现各类信访举报案件办理全过程信息审核，包括登记信息、办理意见、办理全过程信息、结案报告以及全部过程相关资料和附件等，并根据信访管理办法进行信访举报案件办理结果审核。</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（5）与省级环境信访联动</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完成与省级环境信访举报系统对接整合，满足省厅信访功能和数据采集要求，一是支持省级信访任务直接下发至本系统，二是支持本系统的信访调处数据按照省级要求及时上报省级环境信访系统。</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支持省级信访任务直接下发至本系统，与江苏省生态环境信访举报信息系统信访受理登记、受理审核、案件办理、审核督办等业务过程贯通。</w:t>
      </w:r>
      <w:r/>
    </w:p>
    <w:p>
      <w:pPr>
        <w:ind w:firstLine="482"/>
        <w:jc w:val="left"/>
        <w:pageBreakBefore w:val="0"/>
        <w:spacing w:line="480" w:lineRule="exact"/>
        <w:widowControl w:val="off"/>
        <w:tabs>
          <w:tab w:val="left" w:pos="6201" w:leader="none"/>
        </w:tabs>
        <w:rPr>
          <w:rFonts w:ascii="宋体" w:hAnsi="宋体" w:eastAsia="宋体" w:cs="宋体"/>
          <w:b/>
          <w:bCs/>
          <w:sz w:val="24"/>
          <w:szCs w:val="24"/>
        </w:rPr>
      </w:pPr>
      <w:r>
        <w:rPr>
          <w:rFonts w:hint="eastAsia" w:ascii="宋体" w:hAnsi="宋体" w:eastAsia="宋体" w:cs="宋体"/>
          <w:b/>
          <w:bCs/>
          <w:sz w:val="24"/>
          <w:szCs w:val="24"/>
        </w:rPr>
        <w:t xml:space="preserve">（6）执法信访一张图</w:t>
      </w:r>
      <w:r/>
    </w:p>
    <w:p>
      <w:pPr>
        <w:ind w:firstLine="480"/>
        <w:jc w:val="left"/>
        <w:pageBreakBefore w:val="0"/>
        <w:spacing w:line="480" w:lineRule="exact"/>
        <w:widowControl w:val="off"/>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基于一张图，可展示全区、各乡镇执法人员、执法监察企业、发现问题等信息。实现监测执法统计结果基于地图展示分析，包括污染源信息专题地图，执法任务、执法人员专题图等。</w:t>
      </w:r>
      <w:r/>
    </w:p>
    <w:p>
      <w:pPr>
        <w:pStyle w:val="712"/>
        <w:pageBreakBefore w:val="0"/>
        <w:spacing w:before="0" w:after="0"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4.3.8创新应用</w:t>
      </w:r>
      <w:r/>
    </w:p>
    <w:p>
      <w:pPr>
        <w:ind w:firstLine="480"/>
        <w:jc w:val="left"/>
        <w:pageBreakBefore w:val="0"/>
        <w:spacing w:line="480" w:lineRule="exact"/>
        <w:widowControl w:val="off"/>
        <w:tabs>
          <w:tab w:val="left" w:pos="6201"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AI辅助非现场监管应用：借助大语言模型等技术，融合污染源多维度数据融合与智能分析技术，结合企业日常环境管理及排放情况，开展污染源企业深度体检，通过深度挖掘污染源企业排放数据、历史合规情况及监管记录，动态捕捉污染源环境行为变化，实时识别异常情况，及时预警潜在环境风险，如利用时序算法捕捉反规律排放行为。</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4.4  “N”：多源数据融合</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在现有亭湖区生态环境数据归集整合基础上，进一步拓展生态环境数据归集共享范围，实现纵向生态环境各级部门数据、横向跨部门数据、企业数据和互联网数据一站式全面采集汇聚、融合应用，纵向上联市级、省级生态环境数据中心，横向与各区县生态环境数据中心贯通。详细的技术需求见下：</w:t>
      </w:r>
      <w:r/>
    </w:p>
    <w:p>
      <w:pPr>
        <w:pStyle w:val="712"/>
        <w:pageBreakBefore w:val="0"/>
        <w:spacing w:before="0" w:after="0" w:line="480" w:lineRule="exact"/>
        <w:widowControl w:val="off"/>
        <w:rPr>
          <w:rFonts w:ascii="宋体" w:hAnsi="宋体" w:eastAsia="宋体" w:cs="宋体"/>
          <w:color w:val="auto"/>
          <w:sz w:val="24"/>
          <w:szCs w:val="24"/>
        </w:rPr>
      </w:pPr>
      <w:r>
        <w:rPr>
          <w:rFonts w:hint="eastAsia" w:ascii="宋体" w:hAnsi="宋体" w:eastAsia="宋体" w:cs="宋体"/>
          <w:b/>
          <w:bCs/>
          <w:color w:val="auto"/>
          <w:sz w:val="24"/>
          <w:szCs w:val="24"/>
        </w:rPr>
        <w:t xml:space="preserve">4.4.1数据接入管理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本次将按照亭湖区环境数据标准，完成全区生态环境数据的接入、转换、去重、补全、关联、融合和管理等工作。所有汇聚至数据中心的源数据，均需与数据资源标准库进行自动比对修正，再通过一整套数据清洗整合流程完成数据治理和融合工作，最终汇入核心数据库，最终完成生态环境数据治理和融合工作。</w:t>
      </w:r>
      <w:r/>
    </w:p>
    <w:p>
      <w:pPr>
        <w:pStyle w:val="713"/>
        <w:pageBreakBefore w:val="0"/>
        <w:spacing w:before="0" w:after="0" w:line="480" w:lineRule="exact"/>
        <w:widowControl w:val="off"/>
        <w:rPr>
          <w:rFonts w:ascii="宋体" w:hAnsi="宋体" w:eastAsia="宋体" w:cs="宋体"/>
          <w:color w:val="auto"/>
          <w:sz w:val="24"/>
          <w:szCs w:val="24"/>
        </w:rPr>
      </w:pPr>
      <w:r>
        <w:rPr>
          <w:rFonts w:hint="eastAsia" w:ascii="宋体" w:hAnsi="宋体" w:eastAsia="宋体" w:cs="宋体"/>
          <w:b/>
          <w:bCs/>
          <w:color w:val="auto"/>
          <w:sz w:val="24"/>
          <w:szCs w:val="24"/>
        </w:rPr>
        <w:t xml:space="preserve">4.4.1.1数据接入</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接入数据项包括：</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（1）国家层面数据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包括环评、排污许可、地块数据。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（2）省级层面数据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包括“一企一档”数据、大气环境质量监测数据、水环境质量监测数据、污染源在线监控数据、执法监管数据、信访数据、危险废物全过程数据、环境应急数据等。</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（3）亭湖本地数据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亭湖本地已有的生态环境数据。</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投标人需按照接入数据要求，给出详细的数据接入项及接入方式。</w:t>
      </w:r>
      <w:r/>
    </w:p>
    <w:p>
      <w:pPr>
        <w:pStyle w:val="713"/>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4.4.1.2数据治理及入库</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参照江苏省生态环境厅、盐城市生态环境局现有的数据库分类方式，重构亭湖本地生态环境数据库，开展数据专项治理工作，对采集的数据进行多维度专项治理，一数一源、一源多用，实现治理后的数据按序入库，全面提高和改进数据质量。</w:t>
      </w:r>
      <w:r/>
    </w:p>
    <w:p>
      <w:pPr>
        <w:pStyle w:val="712"/>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4.4.2数据可视管理</w:t>
      </w:r>
      <w:r/>
    </w:p>
    <w:p>
      <w:pPr>
        <w:ind w:firstLine="480"/>
        <w:jc w:val="left"/>
        <w:pageBreakBefore w:val="0"/>
        <w:spacing w:line="480" w:lineRule="exact"/>
        <w:widowControl w:val="off"/>
        <w:tabs>
          <w:tab w:val="left" w:pos="6201" w:leader="none"/>
        </w:tabs>
        <w:rPr>
          <w:rFonts w:ascii="宋体" w:hAnsi="宋体" w:eastAsia="宋体" w:cs="宋体"/>
          <w:sz w:val="24"/>
          <w:szCs w:val="24"/>
        </w:rPr>
      </w:pPr>
      <w:r>
        <w:rPr>
          <w:rFonts w:hint="eastAsia" w:ascii="宋体" w:hAnsi="宋体" w:eastAsia="宋体" w:cs="宋体"/>
          <w:sz w:val="24"/>
          <w:szCs w:val="24"/>
        </w:rPr>
        <w:t xml:space="preserve">建立数据可视管理应用，将全区治理好的数据从原本抽象的后台数据形式转变为到前台以目录树和图层方式直观全景呈现。进入数据目录，用户可查看、搜索所需数据资源。</w:t>
      </w:r>
      <w:r/>
    </w:p>
    <w:p>
      <w:pPr>
        <w:pStyle w:val="710"/>
        <w:pageBreakBefore w:val="0"/>
        <w:spacing w:before="0" w:after="0" w:line="480" w:lineRule="exact"/>
        <w:widowControl w:val="off"/>
        <w:rPr>
          <w:rFonts w:ascii="宋体" w:hAnsi="宋体" w:eastAsia="宋体" w:cs="宋体"/>
          <w:b/>
          <w:bCs/>
          <w:color w:val="auto"/>
          <w:sz w:val="28"/>
          <w:szCs w:val="28"/>
        </w:rPr>
      </w:pPr>
      <w:r>
        <w:rPr>
          <w:rFonts w:hint="eastAsia" w:ascii="宋体" w:hAnsi="宋体" w:eastAsia="宋体" w:cs="宋体"/>
          <w:b/>
          <w:bCs/>
          <w:color w:val="auto"/>
          <w:sz w:val="28"/>
          <w:szCs w:val="28"/>
        </w:rPr>
        <w:t xml:space="preserve">5   商务要求</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5.1  项目实施要求</w:t>
      </w:r>
      <w:r/>
    </w:p>
    <w:p>
      <w:pPr>
        <w:ind w:firstLine="48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（1）投标人须安排足够的高素质专业技术人员参加本项目建设工作；参与此项目的技术人员必须具有强烈的服务意识和高度的责任感。</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color w:val="auto"/>
          <w:sz w:val="24"/>
          <w:szCs w:val="24"/>
        </w:rPr>
        <w:t xml:space="preserve">（2）</w:t>
      </w:r>
      <w:bookmarkStart w:id="108" w:name="OLE_LINK80"/>
      <w:r>
        <w:rPr>
          <w:rFonts w:hint="eastAsia" w:ascii="宋体" w:hAnsi="宋体" w:eastAsia="宋体" w:cs="宋体"/>
          <w:color w:val="auto"/>
          <w:sz w:val="24"/>
          <w:szCs w:val="24"/>
        </w:rPr>
        <w:t xml:space="preserve">系统的开发、测试、安装、调试过程中相关的技术文档必须</w:t>
      </w:r>
      <w:r>
        <w:rPr>
          <w:rFonts w:hint="eastAsia" w:ascii="宋体" w:hAnsi="宋体" w:eastAsia="宋体" w:cs="宋体"/>
          <w:sz w:val="24"/>
          <w:szCs w:val="24"/>
        </w:rPr>
        <w:t xml:space="preserve">按照采购人的要求，提交相应的规范文件和交付清单，提交给甲方统一管理。成果和文档资料必须符合软件工程及项目竣工验收的相关要求，所有交付的文档包括但不限于：实施方案、需求规格说明书、系统设计说明书、开发规范、自测报告、操作手册、安装部署手册、运维手册等。</w:t>
      </w:r>
      <w:bookmarkEnd w:id="108"/>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3）中标人应对项目技术文件以及由采购人提供的所有内部资料、技术文档、数据和信息予以保密；中标人应与采购人签订保密协议并严格遵守，未经采购人书面许可，中标人不得以任何形式向第三方透露本项目标书、技术方案等内容。</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5.2  项目进度要求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签订合同之日起，6个月内完成合同中所要求的项目设计、软件开发与部署等建设工作，其中试运行期1个月。在试运行期间完成对使用该系统的相关人员培训，并达到验收标准。</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5.3  质量控制要求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供应商需对项目全过程进行质量管理，并组织项目实施和文档编写，积极配合支持采购方的相关质量控制和质量管理监督活动。</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质量保证至少包括质量保证体系、质量保证文件、质量保证程序、质量保证措施。</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5.4  项目团队要求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（1）项目组织机构要求</w:t>
      </w:r>
      <w:r/>
    </w:p>
    <w:p>
      <w:pPr>
        <w:ind w:firstLine="480"/>
        <w:pageBreakBefore w:val="0"/>
        <w:spacing w:line="480" w:lineRule="exact"/>
        <w:widowControl w:val="off"/>
        <w:rPr>
          <w:rFonts w:ascii="宋体" w:hAnsi="宋体" w:eastAsia="宋体" w:cs="宋体"/>
          <w:sz w:val="24"/>
          <w:szCs w:val="24"/>
        </w:rPr>
      </w:pPr>
      <w:r/>
      <w:bookmarkStart w:id="109" w:name="OLE_LINK78"/>
      <w:r/>
      <w:bookmarkStart w:id="110" w:name="OLE_LINK79"/>
      <w:r/>
      <w:bookmarkStart w:id="111" w:name="OLE_LINK59"/>
      <w:r/>
      <w:bookmarkStart w:id="112" w:name="OLE_LINK58"/>
      <w:r>
        <w:rPr>
          <w:rFonts w:hint="eastAsia" w:ascii="宋体" w:hAnsi="宋体" w:eastAsia="宋体" w:cs="宋体"/>
          <w:sz w:val="24"/>
          <w:szCs w:val="24"/>
        </w:rPr>
        <w:t xml:space="preserve">投标人需建立健全保障项目顺利实施的各项管理制度和质量保证体系，按照招标要求安排好项目管理团队参加本项目的建设。项目团队至少应包含项目经理（1人）、技术负责人（1人）、应用开发、软件测试、系统集成、项目管理、用户培训、项目实施、运行维护等成员。</w:t>
      </w:r>
      <w:bookmarkEnd w:id="109"/>
      <w:r/>
      <w:bookmarkEnd w:id="110"/>
      <w:r/>
      <w:bookmarkEnd w:id="111"/>
      <w:r/>
      <w:bookmarkEnd w:id="112"/>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（2）对项目经理和技术负责人的要求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应明确项目经理和技术负责人在本项目中的岗位职责。根据项目工作建设工作的业务性质，投标人应分别配备经验丰富的项目经理、技术负责人承担本项目工作。项目经理全程负责本项目工作，不得无故更换，项目组成员一经确认，如需变更需征得采购人书面批准。</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5.5  项目验收要求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项目按照招标文件及采购人要求完成所有建设内容和接入相应的数据，并且连续稳定运行1个月，</w:t>
      </w:r>
      <w:bookmarkStart w:id="113" w:name="OLE_LINK42"/>
      <w:r/>
      <w:bookmarkStart w:id="114" w:name="OLE_LINK43"/>
      <w:r>
        <w:rPr>
          <w:rFonts w:hint="eastAsia" w:ascii="宋体" w:hAnsi="宋体" w:eastAsia="宋体" w:cs="宋体"/>
          <w:sz w:val="24"/>
          <w:szCs w:val="24"/>
        </w:rPr>
        <w:t xml:space="preserve">经</w:t>
      </w:r>
      <w:bookmarkStart w:id="115" w:name="OLE_LINK9"/>
      <w:r/>
      <w:bookmarkStart w:id="116" w:name="OLE_LINK8"/>
      <w:r>
        <w:rPr>
          <w:rFonts w:hint="eastAsia" w:ascii="宋体" w:hAnsi="宋体" w:eastAsia="宋体" w:cs="宋体"/>
          <w:sz w:val="24"/>
          <w:szCs w:val="24"/>
        </w:rPr>
        <w:t xml:space="preserve">采购人及监理方检查满足验收条件后</w:t>
      </w:r>
      <w:bookmarkEnd w:id="115"/>
      <w:r/>
      <w:bookmarkEnd w:id="116"/>
      <w:r>
        <w:rPr>
          <w:rFonts w:hint="eastAsia" w:ascii="宋体" w:hAnsi="宋体" w:eastAsia="宋体" w:cs="宋体"/>
          <w:sz w:val="24"/>
          <w:szCs w:val="24"/>
        </w:rPr>
        <w:t xml:space="preserve">组织专家对项目进行验收</w:t>
      </w:r>
      <w:bookmarkEnd w:id="113"/>
      <w:r/>
      <w:bookmarkEnd w:id="114"/>
      <w:r>
        <w:rPr>
          <w:rFonts w:hint="eastAsia" w:ascii="宋体" w:hAnsi="宋体" w:eastAsia="宋体" w:cs="宋体"/>
          <w:sz w:val="24"/>
          <w:szCs w:val="24"/>
        </w:rPr>
        <w:t xml:space="preserve">。若项目验收不合格时，中标人应负责修改系统，并在达到验收条件时，再次向采购人提出书面验收申请。</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5.6  培训要求</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需免费对采购人进行技术培训，使采购人技术人员及业务使用人员能独立进行系统管理、操作、故障处理、日常测试维护等工作，确保系统及设备能正常安全运行。投标人负责提供给培训人员实际的操作环境和培训资料、提供相应的师资。</w:t>
      </w:r>
      <w:r/>
    </w:p>
    <w:p>
      <w:pPr>
        <w:pStyle w:val="711"/>
        <w:pageBreakBefore w:val="0"/>
        <w:spacing w:before="0" w:after="0" w:line="48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5.7  项目服务要求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（1）在服务期内，针对采购人提出的合理意见，投标人需及时响应，并在承诺的服务时间内实施服务。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（2）投标人需具备良好的售后服务能力，需提供全年</w:t>
      </w:r>
      <w:r>
        <w:rPr>
          <w:rFonts w:ascii="SimSun" w:hAnsi="SimSun" w:eastAsia="SimSun" w:cs="SimSun"/>
          <w:b/>
          <w:color w:val="ff0000"/>
          <w:sz w:val="24"/>
        </w:rPr>
        <w:t xml:space="preserve">365</w:t>
      </w:r>
      <w:r>
        <w:rPr>
          <w:rFonts w:ascii="SimSun" w:hAnsi="SimSun" w:eastAsia="SimSun" w:cs="SimSun"/>
          <w:color w:val="000000"/>
          <w:sz w:val="24"/>
        </w:rPr>
        <w:t xml:space="preserve">天24小时服务（电话、远程或现场），并在接到采购人通知后2小时内进行处理、12小时内到达现场。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（3）供应商提供3年云资源服务（此项服务包含在投标报价中，不另行计算）。</w:t>
      </w:r>
      <w:r/>
    </w:p>
    <w:p>
      <w:pPr>
        <w:ind w:firstLine="480"/>
        <w:pageBreakBefore w:val="0"/>
        <w:spacing w:line="480" w:lineRule="exact"/>
        <w:widowControl w:val="off"/>
        <w:rPr>
          <w:rFonts w:ascii="宋体" w:hAnsi="宋体" w:eastAsia="宋体" w:cs="宋体"/>
          <w:sz w:val="24"/>
          <w:szCs w:val="24"/>
        </w:rPr>
      </w:pPr>
      <w:r>
        <w:rPr>
          <w:rFonts w:ascii="SimSun" w:hAnsi="SimSun" w:eastAsia="SimSun" w:cs="SimSun"/>
          <w:color w:val="000000"/>
          <w:sz w:val="24"/>
        </w:rPr>
        <w:t xml:space="preserve">（4）</w:t>
      </w:r>
      <w:r>
        <w:rPr>
          <w:rFonts w:ascii="SimSun" w:hAnsi="SimSun" w:eastAsia="SimSun" w:cs="SimSun"/>
          <w:b/>
          <w:color w:val="000000"/>
          <w:sz w:val="24"/>
        </w:rPr>
        <w:t xml:space="preserve">★★★在验收合格结束后，中标人提供不低于3年免费运维服务（</w:t>
      </w:r>
      <w:r>
        <w:rPr>
          <w:rFonts w:ascii="SimSun" w:hAnsi="SimSun" w:eastAsia="SimSun" w:cs="SimSun"/>
          <w:b/>
          <w:color w:val="ff0000"/>
          <w:sz w:val="24"/>
        </w:rPr>
        <w:t xml:space="preserve">1人驻场服务，驻场服务人员需有软件行业相关经验和公司社保证明</w:t>
      </w:r>
      <w:r>
        <w:rPr>
          <w:rFonts w:ascii="SimSun" w:hAnsi="SimSun" w:eastAsia="SimSun" w:cs="SimSun"/>
          <w:b/>
          <w:color w:val="000000"/>
          <w:sz w:val="24"/>
        </w:rPr>
        <w:t xml:space="preserve">），免费运维期从验收合格之日起计算。免费运维期内，若采购人对本次系统功能提出合理且必要的运行与维护相关的技术改进，中标人有义务按采购人要求提供相应的技术支持和改进。</w:t>
      </w:r>
      <w:r/>
      <w:r>
        <w:rPr>
          <w:rFonts w:ascii="宋体" w:hAnsi="宋体" w:eastAsia="宋体" w:cs="宋体"/>
          <w:sz w:val="24"/>
          <w:szCs w:val="24"/>
        </w:rPr>
      </w:r>
      <w:r/>
    </w:p>
    <w:p>
      <w:pPr>
        <w:pageBreakBefore w:val="0"/>
        <w:spacing w:line="480" w:lineRule="exact"/>
        <w:widowControl w:val="off"/>
        <w:rPr>
          <w:rFonts w:ascii="宋体" w:hAnsi="宋体" w:eastAsia="宋体" w:cs="宋体"/>
          <w:b/>
          <w:bCs/>
          <w:sz w:val="28"/>
          <w:szCs w:val="28"/>
        </w:rPr>
        <w:outlineLvl w:val="0"/>
      </w:pPr>
      <w:r>
        <w:rPr>
          <w:rFonts w:hint="eastAsia" w:ascii="宋体" w:hAnsi="宋体" w:eastAsia="宋体" w:cs="宋体"/>
          <w:b/>
          <w:bCs/>
          <w:sz w:val="28"/>
          <w:szCs w:val="28"/>
        </w:rPr>
        <w:t xml:space="preserve">6   供应商要求</w:t>
      </w:r>
      <w:r/>
    </w:p>
    <w:p>
      <w:pPr>
        <w:pageBreakBefore w:val="0"/>
        <w:spacing w:line="48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6.1  项目团队</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供应商应为本项目配备具有丰富经验的服务团队，提供的人员未经采购人认可，不可随意更换：</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6.1.1项目经理具备系统集成项目管理工程师资格证书和软件设计师证书的优先。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6.1.2技术负责人具备计算机类或环境类中级及以上职称证书和系统集成项目管理工程师资格证书的优先。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6.1.3团队成员（除项目经理及技术负责人外）具备信息系统项目管理师证书、软件设计师证书、网络工程师证书、系统集成项目管理工程师证书和数据库系统工程师证书的优先。</w:t>
      </w:r>
      <w:r/>
    </w:p>
    <w:p>
      <w:pPr>
        <w:pageBreakBefore w:val="0"/>
        <w:spacing w:line="48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6.2  供应商实力</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6.2.1供应商具有国家认监委认可的认证机构颁发的有效期内的IS09001质量管理体系认证证书、IS014001环境管理体系认证证书、IS045001职业健康安全管理体系认证证书的优先。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6.2.2供应商具有国家认监委认可的认证机构颁发的有效期内的知识产权管理体系认证证书、云服务信息安全管理体系认证证书、业务连续性管理体系认证证书的优先。</w:t>
      </w:r>
      <w:r/>
    </w:p>
    <w:p>
      <w:pPr>
        <w:pageBreakBefore w:val="0"/>
        <w:spacing w:line="48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6.3  业绩</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提供</w:t>
      </w:r>
      <w:r>
        <w:rPr>
          <w:rFonts w:hint="eastAsia" w:ascii="宋体" w:hAnsi="宋体" w:eastAsia="宋体" w:cs="宋体"/>
          <w:sz w:val="24"/>
          <w:szCs w:val="24"/>
        </w:rPr>
        <w:t xml:space="preserve">自</w:t>
      </w:r>
      <w:r>
        <w:rPr>
          <w:rFonts w:hint="eastAsia" w:ascii="宋体" w:hAnsi="宋体" w:eastAsia="宋体" w:cs="宋体"/>
          <w:sz w:val="24"/>
          <w:szCs w:val="24"/>
          <w:lang w:val="zh-CN"/>
        </w:rPr>
        <w:t xml:space="preserve">202</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年1月1日以来完成</w:t>
      </w:r>
      <w:r>
        <w:rPr>
          <w:rFonts w:hint="eastAsia" w:ascii="宋体" w:hAnsi="宋体" w:eastAsia="宋体" w:cs="宋体"/>
          <w:sz w:val="24"/>
          <w:szCs w:val="24"/>
        </w:rPr>
        <w:t xml:space="preserve">软件平台开发</w:t>
      </w:r>
      <w:r>
        <w:rPr>
          <w:rFonts w:hint="eastAsia" w:ascii="宋体" w:hAnsi="宋体" w:eastAsia="宋体" w:cs="宋体"/>
          <w:sz w:val="24"/>
          <w:szCs w:val="24"/>
          <w:lang w:val="zh-CN"/>
        </w:rPr>
        <w:t xml:space="preserve">等与本项目服务内容相</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lang w:val="zh-CN"/>
        </w:rPr>
        <w:t xml:space="preserve">的业绩</w:t>
      </w:r>
      <w:r>
        <w:rPr>
          <w:rFonts w:hint="eastAsia" w:ascii="宋体" w:hAnsi="宋体" w:eastAsia="宋体" w:cs="宋体"/>
          <w:sz w:val="24"/>
          <w:szCs w:val="24"/>
        </w:rPr>
        <w:t xml:space="preserve">的优先。</w:t>
      </w:r>
      <w:r/>
    </w:p>
    <w:p>
      <w:pPr>
        <w:pageBreakBefore w:val="0"/>
        <w:spacing w:line="480" w:lineRule="exact"/>
        <w:widowControl w:val="off"/>
        <w:rPr>
          <w:rFonts w:ascii="宋体" w:hAnsi="宋体" w:eastAsia="宋体" w:cs="宋体"/>
          <w:b/>
          <w:bCs/>
          <w:sz w:val="28"/>
          <w:szCs w:val="28"/>
        </w:rPr>
        <w:outlineLvl w:val="0"/>
      </w:pPr>
      <w:r>
        <w:rPr>
          <w:rFonts w:hint="eastAsia" w:ascii="宋体" w:hAnsi="宋体" w:eastAsia="宋体" w:cs="宋体"/>
          <w:b/>
          <w:bCs/>
          <w:sz w:val="28"/>
          <w:szCs w:val="28"/>
        </w:rPr>
        <w:t xml:space="preserve">7   项目要求</w:t>
      </w:r>
      <w:r/>
    </w:p>
    <w:p>
      <w:pPr>
        <w:ind w:firstLine="480"/>
        <w:pageBreakBefore w:val="0"/>
        <w:spacing w:line="480" w:lineRule="exact"/>
        <w:widowControl w:val="off"/>
        <w:rPr>
          <w:rFonts w:ascii="宋体" w:hAnsi="宋体" w:eastAsia="宋体" w:cs="宋体"/>
          <w:sz w:val="24"/>
          <w:szCs w:val="24"/>
          <w:lang w:val="zh-CN"/>
        </w:rPr>
      </w:pP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应按照</w:t>
      </w:r>
      <w:r>
        <w:rPr>
          <w:rFonts w:hint="eastAsia" w:ascii="宋体" w:hAnsi="宋体" w:eastAsia="宋体" w:cs="宋体"/>
          <w:sz w:val="24"/>
          <w:szCs w:val="24"/>
        </w:rPr>
        <w:t xml:space="preserve">项目需求</w:t>
      </w:r>
      <w:r>
        <w:rPr>
          <w:rFonts w:hint="eastAsia" w:ascii="宋体" w:hAnsi="宋体" w:eastAsia="宋体" w:cs="宋体"/>
          <w:sz w:val="24"/>
          <w:szCs w:val="24"/>
          <w:lang w:val="zh-CN"/>
        </w:rPr>
        <w:t xml:space="preserve">提交以下技术方案（包括但不限于以下各项）：</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7.1需求分析：供应商参照项目需求“</w:t>
      </w:r>
      <w:r>
        <w:rPr>
          <w:rFonts w:hint="eastAsia" w:ascii="宋体" w:hAnsi="宋体" w:eastAsia="宋体" w:cs="宋体"/>
          <w:b/>
          <w:bCs/>
          <w:sz w:val="24"/>
          <w:szCs w:val="24"/>
        </w:rPr>
        <w:t xml:space="preserve">2建设目标</w:t>
      </w:r>
      <w:r>
        <w:rPr>
          <w:rFonts w:hint="eastAsia" w:ascii="宋体" w:hAnsi="宋体" w:eastAsia="宋体" w:cs="宋体"/>
          <w:sz w:val="24"/>
          <w:szCs w:val="24"/>
        </w:rPr>
        <w:t xml:space="preserve">”编制需求分析。</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7.2总体设计：供应商参照项目需求“</w:t>
      </w:r>
      <w:r>
        <w:rPr>
          <w:rFonts w:hint="eastAsia" w:ascii="宋体" w:hAnsi="宋体" w:eastAsia="宋体" w:cs="宋体"/>
          <w:b/>
          <w:bCs/>
          <w:sz w:val="24"/>
          <w:szCs w:val="24"/>
        </w:rPr>
        <w:t xml:space="preserve">3总体要求</w:t>
      </w:r>
      <w:r>
        <w:rPr>
          <w:rFonts w:hint="eastAsia" w:ascii="宋体" w:hAnsi="宋体" w:eastAsia="宋体" w:cs="宋体"/>
          <w:sz w:val="24"/>
          <w:szCs w:val="24"/>
        </w:rPr>
        <w:t xml:space="preserve">”编制总体设计方案。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7.3“1”-一屏总览指标任务：供应商参照项目需求“</w:t>
      </w:r>
      <w:r>
        <w:rPr>
          <w:rFonts w:hint="eastAsia" w:ascii="宋体" w:hAnsi="宋体" w:eastAsia="宋体" w:cs="宋体"/>
          <w:b/>
          <w:bCs/>
          <w:sz w:val="24"/>
          <w:szCs w:val="24"/>
        </w:rPr>
        <w:t xml:space="preserve">4.1“1”：一屏总览指标任务</w:t>
      </w:r>
      <w:r>
        <w:rPr>
          <w:rFonts w:hint="eastAsia" w:ascii="宋体" w:hAnsi="宋体" w:eastAsia="宋体" w:cs="宋体"/>
          <w:sz w:val="24"/>
          <w:szCs w:val="24"/>
        </w:rPr>
        <w:t xml:space="preserve">”编制“1”-一屏总览指标任务方案。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7.4“3”-省市区三级联动：供应商参照项目需求</w:t>
      </w:r>
      <w:r>
        <w:rPr>
          <w:rFonts w:hint="eastAsia" w:ascii="宋体" w:hAnsi="宋体" w:eastAsia="宋体" w:cs="宋体"/>
          <w:b/>
          <w:bCs/>
          <w:sz w:val="24"/>
          <w:szCs w:val="24"/>
        </w:rPr>
        <w:t xml:space="preserve">“4.2“3”：省市区三级联动模式”</w:t>
      </w:r>
      <w:r>
        <w:rPr>
          <w:rFonts w:hint="eastAsia" w:ascii="宋体" w:hAnsi="宋体" w:eastAsia="宋体" w:cs="宋体"/>
          <w:sz w:val="24"/>
          <w:szCs w:val="24"/>
        </w:rPr>
        <w:t xml:space="preserve">编制“3”-省市区三级联动方案。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7.5“7”-七大特色专题应用：供应商参照项目需求</w:t>
      </w:r>
      <w:r>
        <w:rPr>
          <w:rFonts w:hint="eastAsia" w:ascii="宋体" w:hAnsi="宋体" w:eastAsia="宋体" w:cs="宋体"/>
          <w:b/>
          <w:bCs/>
          <w:sz w:val="24"/>
          <w:szCs w:val="24"/>
        </w:rPr>
        <w:t xml:space="preserve">“4.3“7”：七大特色专题应用”</w:t>
      </w:r>
      <w:r>
        <w:rPr>
          <w:rFonts w:hint="eastAsia" w:ascii="宋体" w:hAnsi="宋体" w:eastAsia="宋体" w:cs="宋体"/>
          <w:sz w:val="24"/>
          <w:szCs w:val="24"/>
        </w:rPr>
        <w:t xml:space="preserve">编制“7”-七大特色专题应用方案。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7.6“N”-多源数据融合：供应商参照项目需求</w:t>
      </w:r>
      <w:r>
        <w:rPr>
          <w:rFonts w:hint="eastAsia" w:ascii="宋体" w:hAnsi="宋体" w:eastAsia="宋体" w:cs="宋体"/>
          <w:b/>
          <w:bCs/>
          <w:sz w:val="24"/>
          <w:szCs w:val="24"/>
        </w:rPr>
        <w:t xml:space="preserve">“4.4“N”：多源数据融合”</w:t>
      </w:r>
      <w:r>
        <w:rPr>
          <w:rFonts w:hint="eastAsia" w:ascii="宋体" w:hAnsi="宋体" w:eastAsia="宋体" w:cs="宋体"/>
          <w:sz w:val="24"/>
          <w:szCs w:val="24"/>
        </w:rPr>
        <w:t xml:space="preserve">编制“N”-多源数据融合方案。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7.7实施方案：供应商按照本项目招标文件采购需求中的要求，编制实施方案，包括项目管理制度、进度计划安排、进度保障措施、质量保障措施、风险分析及应对措施等项目管理方案。</w:t>
      </w:r>
      <w:r/>
    </w:p>
    <w:p>
      <w:pPr>
        <w:ind w:firstLine="48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7.8服务方案：供应商按照本项目招标文件采购需求中的要求，编制服务方案。供应商具备非常完善的服务体系，全面的服务内容、可行的故障解决方案、可靠的专业技术人员保障和服务电话。</w:t>
      </w:r>
      <w:r/>
    </w:p>
    <w:p>
      <w:pPr>
        <w:spacing w:line="460" w:lineRule="exact"/>
        <w:rPr>
          <w:rFonts w:ascii="宋体" w:hAnsi="宋体" w:eastAsia="宋体" w:cs="宋体"/>
          <w:b/>
          <w:bCs/>
          <w:sz w:val="28"/>
          <w:szCs w:val="28"/>
        </w:rPr>
        <w:outlineLvl w:val="0"/>
      </w:pPr>
      <w:r>
        <w:rPr>
          <w:rFonts w:hint="eastAsia" w:ascii="宋体" w:hAnsi="宋体" w:eastAsia="宋体" w:cs="宋体"/>
          <w:b/>
          <w:bCs/>
          <w:sz w:val="28"/>
          <w:szCs w:val="28"/>
        </w:rPr>
        <w:t xml:space="preserve">8   采购标的对应的中小企业划分标准所属行业一览表</w:t>
      </w:r>
      <w:r/>
    </w:p>
    <w:p>
      <w:pPr>
        <w:ind w:firstLine="480"/>
        <w:spacing w:line="360" w:lineRule="auto"/>
        <w:rPr>
          <w:rFonts w:ascii="宋体" w:hAnsi="宋体" w:eastAsia="宋体" w:cs="宋体"/>
          <w:sz w:val="24"/>
          <w:szCs w:val="24"/>
        </w:rPr>
      </w:pPr>
      <w:r>
        <w:rPr>
          <w:rFonts w:ascii="宋体" w:hAnsi="宋体" w:eastAsia="宋体" w:cs="宋体"/>
          <w:sz w:val="24"/>
          <w:szCs w:val="24"/>
        </w:rPr>
      </w:r>
      <w:r/>
    </w:p>
    <w:tbl>
      <w:tblPr>
        <w:tblStyle w:val="720"/>
        <w:tblW w:w="8933" w:type="dxa"/>
        <w:jc w:val="center"/>
        <w:tblLayout w:type="fixed"/>
        <w:tblCellMar>
          <w:left w:w="108" w:type="dxa"/>
          <w:top w:w="0" w:type="dxa"/>
          <w:right w:w="108" w:type="dxa"/>
          <w:bottom w:w="0" w:type="dxa"/>
        </w:tblCellMar>
        <w:tblLook w:val="04A0" w:firstRow="1" w:lastRow="0" w:firstColumn="1" w:lastColumn="0" w:noHBand="0" w:noVBand="1"/>
      </w:tblPr>
      <w:tblGrid>
        <w:gridCol w:w="728"/>
        <w:gridCol w:w="4402"/>
        <w:gridCol w:w="3803"/>
      </w:tblGrid>
      <w:tr>
        <w:trPr>
          <w:jc w:val="center"/>
          <w:trHeight w:val="9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2"/>
              <w:jc w:val="both"/>
              <w:rPr>
                <w:b/>
                <w:sz w:val="24"/>
                <w:szCs w:val="24"/>
              </w:rPr>
            </w:pPr>
            <w:r>
              <w:rPr>
                <w:rFonts w:hint="eastAsia"/>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4402" w:type="dxa"/>
            <w:vAlign w:val="center"/>
            <w:textDirection w:val="lrTb"/>
            <w:noWrap w:val="false"/>
          </w:tcPr>
          <w:p>
            <w:pPr>
              <w:pStyle w:val="742"/>
              <w:jc w:val="center"/>
              <w:rPr>
                <w:b/>
                <w:sz w:val="24"/>
                <w:szCs w:val="24"/>
              </w:rPr>
            </w:pPr>
            <w:r>
              <w:rPr>
                <w:rFonts w:hint="eastAsia"/>
                <w:b/>
                <w:sz w:val="24"/>
                <w:szCs w:val="24"/>
              </w:rPr>
              <w:t xml:space="preserve">采购标的</w:t>
            </w:r>
            <w:r/>
          </w:p>
        </w:tc>
        <w:tc>
          <w:tcPr>
            <w:tcBorders>
              <w:top w:val="single" w:color="000000" w:sz="4" w:space="0"/>
              <w:left w:val="none" w:color="000000" w:sz="4" w:space="0"/>
              <w:bottom w:val="single" w:color="000000" w:sz="4" w:space="0"/>
              <w:right w:val="single" w:color="000000" w:sz="4" w:space="0"/>
            </w:tcBorders>
            <w:tcW w:w="3803" w:type="dxa"/>
            <w:vAlign w:val="center"/>
            <w:textDirection w:val="lrTb"/>
            <w:noWrap w:val="false"/>
          </w:tcPr>
          <w:p>
            <w:pPr>
              <w:pStyle w:val="742"/>
              <w:jc w:val="both"/>
              <w:rPr>
                <w:b/>
                <w:sz w:val="24"/>
                <w:szCs w:val="24"/>
              </w:rPr>
            </w:pPr>
            <w:r>
              <w:rPr>
                <w:rFonts w:hint="eastAsia"/>
                <w:b/>
                <w:sz w:val="24"/>
                <w:szCs w:val="24"/>
              </w:rPr>
              <w:t xml:space="preserve">对应中小企业划分标准所属行业</w:t>
            </w:r>
            <w:r/>
          </w:p>
        </w:tc>
      </w:tr>
      <w:tr>
        <w:trPr>
          <w:jc w:val="center"/>
          <w:trHeight w:val="118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2"/>
              <w:jc w:val="center"/>
              <w:rPr>
                <w:bCs/>
                <w:sz w:val="24"/>
                <w:szCs w:val="24"/>
              </w:rPr>
            </w:pPr>
            <w:r>
              <w:rPr>
                <w:rFonts w:hint="eastAsia"/>
                <w:bCs/>
                <w:sz w:val="24"/>
                <w:szCs w:val="24"/>
              </w:rPr>
              <w:t xml:space="preserve">1</w:t>
            </w:r>
            <w:r/>
          </w:p>
        </w:tc>
        <w:tc>
          <w:tcPr>
            <w:tcBorders>
              <w:top w:val="single" w:color="000000" w:sz="4" w:space="0"/>
              <w:left w:val="none" w:color="000000" w:sz="4" w:space="0"/>
              <w:bottom w:val="single" w:color="000000" w:sz="4" w:space="0"/>
              <w:right w:val="single" w:color="000000" w:sz="4" w:space="0"/>
            </w:tcBorders>
            <w:tcW w:w="4402" w:type="dxa"/>
            <w:vAlign w:val="center"/>
            <w:textDirection w:val="lrTb"/>
            <w:noWrap w:val="false"/>
          </w:tcPr>
          <w:p>
            <w:pPr>
              <w:pStyle w:val="742"/>
              <w:jc w:val="center"/>
              <w:rPr>
                <w:bCs/>
                <w:sz w:val="24"/>
                <w:szCs w:val="24"/>
              </w:rPr>
            </w:pPr>
            <w:r>
              <w:rPr>
                <w:rFonts w:hint="eastAsia"/>
                <w:bCs/>
                <w:sz w:val="24"/>
                <w:szCs w:val="24"/>
              </w:rPr>
              <w:t xml:space="preserve">盐城市亭湖生态环境基层协同治理（省市区三级共建试点）平台建设项目</w:t>
            </w:r>
            <w:r/>
          </w:p>
        </w:tc>
        <w:tc>
          <w:tcPr>
            <w:tcBorders>
              <w:top w:val="single" w:color="000000" w:sz="4" w:space="0"/>
              <w:left w:val="none" w:color="000000" w:sz="4" w:space="0"/>
              <w:bottom w:val="single" w:color="000000" w:sz="4" w:space="0"/>
              <w:right w:val="single" w:color="000000" w:sz="4" w:space="0"/>
            </w:tcBorders>
            <w:tcW w:w="3803" w:type="dxa"/>
            <w:vAlign w:val="center"/>
            <w:textDirection w:val="lrTb"/>
            <w:noWrap w:val="false"/>
          </w:tcPr>
          <w:p>
            <w:pPr>
              <w:pStyle w:val="742"/>
              <w:jc w:val="center"/>
              <w:rPr>
                <w:bCs/>
                <w:sz w:val="24"/>
                <w:szCs w:val="24"/>
              </w:rPr>
            </w:pPr>
            <w:r>
              <w:rPr>
                <w:rFonts w:hint="eastAsia"/>
                <w:bCs/>
                <w:sz w:val="24"/>
                <w:szCs w:val="24"/>
              </w:rPr>
              <w:t xml:space="preserve">软件和信息技术服务业</w:t>
            </w:r>
            <w:bookmarkEnd w:id="101"/>
            <w:r/>
            <w:r/>
          </w:p>
        </w:tc>
      </w:tr>
    </w:tbl>
    <w:p>
      <w:pPr>
        <w:jc w:val="left"/>
        <w:widowControl/>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pStyle w:val="710"/>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14:ligatures w14:val="none"/>
        </w:rPr>
        <w:outlineLvl w:val="0"/>
      </w:pPr>
      <w:r/>
      <w:bookmarkStart w:id="117" w:name="_Toc197644575"/>
      <w:r>
        <w:rPr>
          <w:rFonts w:hint="eastAsia" w:ascii="宋体" w:hAnsi="宋体" w:eastAsia="宋体" w:cs="Times New Roman"/>
          <w:b/>
          <w:bCs/>
          <w:color w:val="auto"/>
          <w:sz w:val="32"/>
          <w:szCs w:val="32"/>
          <w14:ligatures w14:val="none"/>
        </w:rPr>
        <w:t xml:space="preserve">评标方法与评标标准</w:t>
      </w:r>
      <w:bookmarkEnd w:id="117"/>
      <w:r/>
      <w:r/>
    </w:p>
    <w:p>
      <w:pPr>
        <w:pStyle w:val="910"/>
        <w:numPr>
          <w:ilvl w:val="0"/>
          <w:numId w:val="9"/>
        </w:numPr>
        <w:jc w:val="left"/>
        <w:spacing w:line="360" w:lineRule="auto"/>
        <w:rPr>
          <w:rFonts w:ascii="宋体" w:hAnsi="宋体" w:eastAsia="宋体" w:cs="宋体"/>
          <w:b/>
          <w:sz w:val="24"/>
          <w:szCs w:val="24"/>
        </w:rPr>
        <w:outlineLvl w:val="1"/>
      </w:pPr>
      <w:r>
        <w:rPr>
          <w:rFonts w:hint="eastAsia" w:ascii="宋体" w:hAnsi="宋体" w:eastAsia="宋体" w:cs="宋体"/>
          <w:b/>
          <w:bCs/>
          <w:sz w:val="24"/>
          <w:szCs w:val="20"/>
          <w:lang w:val="zh-CN"/>
        </w:rPr>
        <w:t xml:space="preserve">评标方法与定标原则</w:t>
      </w:r>
      <w:r/>
    </w:p>
    <w:p>
      <w:pPr>
        <w:ind w:firstLine="477"/>
        <w:spacing w:line="500" w:lineRule="exact"/>
        <w:tabs>
          <w:tab w:val="left" w:pos="900" w:leader="none"/>
        </w:tabs>
        <w:rPr>
          <w:rFonts w:ascii="宋体" w:hAnsi="宋体" w:eastAsia="宋体" w:cs="宋体"/>
          <w:sz w:val="24"/>
          <w:szCs w:val="24"/>
          <w14:ligatures w14:val="none"/>
        </w:rPr>
      </w:pPr>
      <w:r>
        <w:rPr>
          <w:rFonts w:hint="eastAsia" w:ascii="宋体" w:hAnsi="宋体" w:eastAsia="宋体" w:cs="宋体"/>
          <w:sz w:val="24"/>
          <w:szCs w:val="20"/>
          <w:lang w:val="zh-CN"/>
        </w:rPr>
        <w:t xml:space="preserve">本项目采用</w:t>
      </w:r>
      <w:r>
        <w:rPr>
          <w:rFonts w:hint="eastAsia" w:ascii="宋体" w:hAnsi="宋体" w:eastAsia="宋体" w:cs="宋体"/>
          <w:sz w:val="24"/>
          <w:szCs w:val="20"/>
          <w:u w:val="single"/>
          <w:lang w:val="zh-CN"/>
        </w:rPr>
        <w:t xml:space="preserve">综合评分</w:t>
      </w:r>
      <w:r>
        <w:rPr>
          <w:rFonts w:hint="eastAsia" w:ascii="宋体" w:hAnsi="宋体" w:eastAsia="宋体" w:cs="宋体"/>
          <w:sz w:val="24"/>
          <w:szCs w:val="20"/>
          <w:lang w:val="zh-CN"/>
        </w:rPr>
        <w:t xml:space="preserve">法。评标结果按评审后得分由高到低顺序排列。得分相同的，按投标报价由低到高顺序排列。</w:t>
      </w:r>
      <w:r>
        <w:rPr>
          <w:rFonts w:hint="eastAsia" w:ascii="宋体" w:hAnsi="宋体" w:eastAsia="宋体" w:cs="宋体"/>
          <w:sz w:val="24"/>
          <w:szCs w:val="20"/>
        </w:rPr>
        <w:t xml:space="preserve">得分且投标报价相同的并列</w:t>
      </w:r>
      <w:r>
        <w:rPr>
          <w:rFonts w:hint="eastAsia" w:ascii="宋体" w:hAnsi="宋体" w:eastAsia="宋体" w:cs="宋体"/>
          <w:sz w:val="24"/>
          <w:szCs w:val="20"/>
          <w:lang w:val="zh-CN"/>
        </w:rPr>
        <w:t xml:space="preserve">。投标文件满足招标文件全部实质性要求，且按照评审因素的量化指标评审得分最高的</w:t>
      </w:r>
      <w:r>
        <w:rPr>
          <w:rFonts w:hint="eastAsia" w:ascii="宋体" w:hAnsi="宋体" w:cs="宋体"/>
          <w:sz w:val="24"/>
          <w:szCs w:val="20"/>
          <w:lang w:val="zh-CN"/>
        </w:rPr>
        <w:t xml:space="preserve">供应商</w:t>
      </w:r>
      <w:r>
        <w:rPr>
          <w:rFonts w:hint="eastAsia" w:ascii="宋体" w:hAnsi="宋体" w:eastAsia="宋体" w:cs="宋体"/>
          <w:sz w:val="24"/>
          <w:szCs w:val="20"/>
          <w:lang w:val="zh-CN"/>
        </w:rPr>
        <w:t xml:space="preserve">为排名第一的中标候选人，本项目选取1名中标候选人</w:t>
      </w:r>
      <w:r>
        <w:rPr>
          <w:rFonts w:hint="eastAsia" w:ascii="宋体" w:hAnsi="宋体" w:eastAsia="宋体" w:cs="宋体"/>
          <w:sz w:val="24"/>
          <w:szCs w:val="24"/>
          <w14:ligatures w14:val="none"/>
        </w:rPr>
        <w:t xml:space="preserve">。</w:t>
      </w:r>
      <w:r/>
    </w:p>
    <w:p>
      <w:pPr>
        <w:pStyle w:val="910"/>
        <w:numPr>
          <w:ilvl w:val="0"/>
          <w:numId w:val="9"/>
        </w:numPr>
        <w:jc w:val="left"/>
        <w:spacing w:line="500" w:lineRule="exact"/>
        <w:rPr>
          <w:rFonts w:ascii="宋体" w:hAnsi="宋体" w:eastAsia="宋体" w:cs="宋体"/>
          <w:b/>
          <w:sz w:val="24"/>
          <w:szCs w:val="24"/>
        </w:rPr>
        <w:outlineLvl w:val="1"/>
      </w:pPr>
      <w:r/>
      <w:bookmarkStart w:id="118" w:name="_Toc197644577"/>
      <w:r>
        <w:rPr>
          <w:rFonts w:hint="eastAsia" w:ascii="宋体" w:hAnsi="宋体" w:eastAsia="宋体" w:cs="宋体"/>
          <w:b/>
          <w:sz w:val="24"/>
          <w:szCs w:val="24"/>
        </w:rPr>
        <w:t xml:space="preserve">政府采购政策功能落实</w:t>
      </w:r>
      <w:bookmarkEnd w:id="118"/>
      <w:r/>
      <w:r/>
    </w:p>
    <w:p>
      <w:pPr>
        <w:ind w:firstLine="477"/>
        <w:spacing w:line="500" w:lineRule="exact"/>
        <w:tabs>
          <w:tab w:val="left" w:pos="900" w:leader="none"/>
        </w:tabs>
        <w:rPr>
          <w:rFonts w:ascii="宋体" w:hAnsi="宋体" w:eastAsia="宋体" w:cs="宋体"/>
          <w:sz w:val="24"/>
        </w:rPr>
      </w:pPr>
      <w:r/>
      <w:bookmarkStart w:id="119" w:name="_Toc197644578"/>
      <w:r>
        <w:rPr>
          <w:rFonts w:hint="eastAsia" w:ascii="宋体" w:hAnsi="宋体" w:eastAsia="宋体" w:cs="宋体"/>
          <w:sz w:val="24"/>
        </w:rPr>
        <w:t xml:space="preserve">1、中小微型企业</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（1）本项目专门面向中小企业采购，不再对小型和微型企业服务给予价格扣除。</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（2）供应商需按照采购文件的要求提供相应的《中小微企业声明函》。</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2、残疾人福利单位</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（1）本项目对残疾人福利性单位视同小型、微型企业。</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3、监狱和戒毒企业</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77"/>
        <w:spacing w:line="500" w:lineRule="exact"/>
        <w:tabs>
          <w:tab w:val="left" w:pos="900" w:leader="none"/>
        </w:tabs>
        <w:rPr>
          <w:rFonts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pStyle w:val="742"/>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zh-CN" w:eastAsia="zh-CN" w:bidi="ar-SA"/>
          <w14:ligatures w14:val="none"/>
        </w:rPr>
        <w:t xml:space="preserve">5、严格执行政府采购关于支持</w:t>
      </w:r>
      <w:r>
        <w:rPr>
          <w:rFonts w:hint="eastAsia" w:ascii="宋体" w:hAnsi="宋体" w:eastAsia="宋体" w:cs="宋体"/>
          <w:color w:val="auto"/>
          <w:sz w:val="24"/>
          <w:szCs w:val="22"/>
          <w:lang w:val="zh-CN" w:eastAsia="zh-CN" w:bidi="ar-SA"/>
          <w14:ligatures w14: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、采购本国产品的支持政策</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.4 供应商需在《声明函》中逐一、准确填写产品名称、厂名、生产厂址三项信息（《声明函》中用</w:t>
      </w:r>
      <w:r>
        <w:rPr>
          <w:rFonts w:hint="eastAsia" w:ascii="宋体" w:hAnsi="宋体" w:eastAsia="宋体" w:cs="宋体"/>
          <w:color w:val="auto"/>
          <w:sz w:val="24"/>
          <w:szCs w:val="22"/>
          <w:lang w:val="en-US" w:eastAsia="zh-CN" w:bidi="ar-SA"/>
          <w14:ligatures w14:val="none"/>
        </w:rPr>
        <w:t xml:space="preserve">横</w:t>
      </w:r>
      <w:r>
        <w:rPr>
          <w:rFonts w:hint="eastAsia" w:ascii="宋体" w:hAnsi="宋体" w:eastAsia="宋体" w:cs="宋体"/>
          <w:color w:val="auto"/>
          <w:sz w:val="24"/>
          <w:szCs w:val="22"/>
          <w:lang w:val="zh-CN" w:eastAsia="zh-CN" w:bidi="ar-SA"/>
          <w14:ligatures w14:val="none"/>
        </w:rPr>
        <w:t xml:space="preserve">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2"/>
          <w:lang w:val="zh-CN" w:eastAsia="zh-CN" w:bidi="ar-SA"/>
          <w14:ligatures w14:val="none"/>
        </w:rPr>
      </w:pPr>
      <w:r>
        <w:rPr>
          <w:rFonts w:hint="eastAsia" w:ascii="宋体" w:hAnsi="宋体" w:eastAsia="宋体" w:cs="宋体"/>
          <w:color w:val="auto"/>
          <w:sz w:val="24"/>
          <w:szCs w:val="22"/>
          <w:lang w:val="en-US" w:eastAsia="zh-CN" w:bidi="ar-SA"/>
          <w14:ligatures w14:val="none"/>
        </w:rPr>
        <w:t xml:space="preserve">6</w:t>
      </w:r>
      <w:r>
        <w:rPr>
          <w:rFonts w:hint="eastAsia" w:ascii="宋体" w:hAnsi="宋体" w:eastAsia="宋体" w:cs="宋体"/>
          <w:color w:val="auto"/>
          <w:sz w:val="24"/>
          <w:szCs w:val="22"/>
          <w:lang w:val="zh-CN" w:eastAsia="zh-CN" w:bidi="ar-SA"/>
          <w14:ligatures w14: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2"/>
          <w:lang w:val="en-US" w:eastAsia="zh-CN" w:bidi="ar-SA"/>
          <w14:ligatures w14:val="none"/>
        </w:rPr>
        <w:t xml:space="preserve">在苏采云系统</w:t>
      </w:r>
      <w:r>
        <w:rPr>
          <w:rFonts w:hint="eastAsia" w:ascii="宋体" w:hAnsi="宋体" w:eastAsia="宋体" w:cs="宋体"/>
          <w:color w:val="auto"/>
          <w:sz w:val="24"/>
          <w:szCs w:val="22"/>
          <w:lang w:val="zh-CN" w:eastAsia="zh-CN" w:bidi="ar-SA"/>
          <w14:ligatures w14: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7"/>
        <w:spacing w:line="500" w:lineRule="exact"/>
        <w:tabs>
          <w:tab w:val="left" w:pos="900" w:leader="none"/>
        </w:tabs>
        <w:rPr>
          <w:rFonts w:ascii="宋体" w:hAnsi="宋体" w:cs="宋体"/>
          <w:sz w:val="24"/>
        </w:rPr>
      </w:pPr>
      <w:r>
        <w:rPr>
          <w:rFonts w:ascii="宋体" w:hAnsi="宋体" w:cs="宋体"/>
          <w:sz w:val="24"/>
        </w:rPr>
      </w:r>
      <w:r/>
    </w:p>
    <w:p>
      <w:pPr>
        <w:pStyle w:val="910"/>
        <w:numPr>
          <w:ilvl w:val="0"/>
          <w:numId w:val="9"/>
        </w:num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评标方法与评标标准</w:t>
      </w:r>
      <w:bookmarkEnd w:id="119"/>
      <w:r/>
      <w:r/>
    </w:p>
    <w:tbl>
      <w:tblPr>
        <w:tblStyle w:val="720"/>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1159"/>
        <w:gridCol w:w="1395"/>
        <w:gridCol w:w="7092"/>
      </w:tblGrid>
      <w:tr>
        <w:trPr>
          <w:jc w:val="center"/>
          <w:trHeight w:val="487"/>
          <w:tblHeader/>
        </w:trPr>
        <w:tc>
          <w:tcPr>
            <w:tcW w:w="1159" w:type="dxa"/>
            <w:vAlign w:val="center"/>
            <w:textDirection w:val="lrTb"/>
            <w:noWrap w:val="false"/>
          </w:tcPr>
          <w:p>
            <w:pPr>
              <w:jc w:val="center"/>
              <w:spacing w:line="460" w:lineRule="exact"/>
              <w:rPr>
                <w:rFonts w:ascii="宋体" w:hAnsi="宋体" w:eastAsia="宋体" w:cs="宋体"/>
                <w:b/>
                <w:bCs/>
                <w:color w:val="auto"/>
                <w:szCs w:val="21"/>
              </w:rPr>
            </w:pPr>
            <w:r>
              <w:rPr>
                <w:rFonts w:hint="eastAsia" w:ascii="宋体" w:hAnsi="宋体" w:eastAsia="宋体" w:cs="宋体"/>
                <w:b/>
                <w:bCs/>
                <w:color w:val="auto"/>
                <w:szCs w:val="21"/>
              </w:rPr>
              <w:t xml:space="preserve">评审内容</w:t>
            </w:r>
            <w:r/>
          </w:p>
        </w:tc>
        <w:tc>
          <w:tcPr>
            <w:tcW w:w="1395" w:type="dxa"/>
            <w:vAlign w:val="center"/>
            <w:textDirection w:val="lrTb"/>
            <w:noWrap w:val="false"/>
          </w:tcPr>
          <w:p>
            <w:pPr>
              <w:jc w:val="center"/>
              <w:spacing w:line="460" w:lineRule="exact"/>
              <w:rPr>
                <w:rFonts w:ascii="宋体" w:hAnsi="宋体" w:eastAsia="宋体" w:cs="宋体"/>
                <w:b/>
                <w:bCs/>
                <w:color w:val="auto"/>
                <w:szCs w:val="21"/>
              </w:rPr>
            </w:pPr>
            <w:r>
              <w:rPr>
                <w:rFonts w:hint="eastAsia" w:ascii="宋体" w:hAnsi="宋体" w:eastAsia="宋体" w:cs="宋体"/>
                <w:b/>
                <w:bCs/>
                <w:color w:val="auto"/>
                <w:szCs w:val="21"/>
              </w:rPr>
              <w:t xml:space="preserve">评审要素</w:t>
            </w:r>
            <w:r/>
          </w:p>
        </w:tc>
        <w:tc>
          <w:tcPr>
            <w:tcW w:w="7092" w:type="dxa"/>
            <w:vAlign w:val="center"/>
            <w:textDirection w:val="lrTb"/>
            <w:noWrap w:val="false"/>
          </w:tcPr>
          <w:p>
            <w:pPr>
              <w:jc w:val="center"/>
              <w:spacing w:line="460" w:lineRule="exact"/>
              <w:rPr>
                <w:rFonts w:ascii="宋体" w:hAnsi="宋体" w:eastAsia="宋体" w:cs="宋体"/>
                <w:b/>
                <w:bCs/>
                <w:color w:val="auto"/>
                <w:szCs w:val="21"/>
              </w:rPr>
            </w:pPr>
            <w:r>
              <w:rPr>
                <w:rFonts w:hint="eastAsia" w:ascii="宋体" w:hAnsi="宋体" w:eastAsia="宋体" w:cs="宋体"/>
                <w:b/>
                <w:bCs/>
                <w:color w:val="auto"/>
                <w:szCs w:val="21"/>
              </w:rPr>
              <w:t xml:space="preserve">评分标准</w:t>
            </w:r>
            <w:r/>
          </w:p>
        </w:tc>
      </w:tr>
      <w:tr>
        <w:trPr>
          <w:jc w:val="center"/>
        </w:trPr>
        <w:tc>
          <w:tcPr>
            <w:tcW w:w="1159" w:type="dxa"/>
            <w:vAlign w:val="center"/>
            <w:textDirection w:val="lrTb"/>
            <w:noWrap w:val="false"/>
          </w:tcPr>
          <w:p>
            <w:pPr>
              <w:jc w:val="center"/>
              <w:spacing w:line="460" w:lineRule="exact"/>
              <w:widowControl/>
              <w:rPr>
                <w:rFonts w:ascii="宋体" w:hAnsi="宋体" w:eastAsia="宋体"/>
                <w:b w:val="0"/>
                <w:bCs w:val="0"/>
                <w:color w:val="auto"/>
                <w:szCs w:val="21"/>
              </w:rPr>
            </w:pPr>
            <w:r>
              <w:rPr>
                <w:rFonts w:ascii="宋体" w:hAnsi="宋体" w:eastAsia="宋体" w:cs="宋体"/>
                <w:b w:val="0"/>
                <w:bCs w:val="0"/>
                <w:color w:val="auto"/>
                <w:szCs w:val="21"/>
                <w:lang w:eastAsia="en-US"/>
              </w:rPr>
              <w:t xml:space="preserve">投标报价</w:t>
            </w: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rPr>
              <w:t xml:space="preserve">分）</w:t>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价格</w:t>
            </w:r>
            <w:r/>
          </w:p>
          <w:p>
            <w:pPr>
              <w:jc w:val="center"/>
              <w:spacing w:line="460" w:lineRule="exact"/>
              <w:widowControl/>
              <w:rPr>
                <w:rFonts w:ascii="宋体" w:hAnsi="宋体" w:eastAsia="宋体"/>
                <w:b w:val="0"/>
                <w:bCs w:val="0"/>
                <w:color w:val="auto"/>
                <w:szCs w:val="21"/>
                <w:lang w:eastAsia="en-US"/>
              </w:rPr>
            </w:pP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lang w:val="zh-CN"/>
              </w:rPr>
              <w:t xml:space="preserve">。（四舍五入保留两位小数）</w:t>
            </w:r>
            <w:r/>
          </w:p>
        </w:tc>
      </w:tr>
      <w:tr>
        <w:trPr>
          <w:jc w:val="center"/>
        </w:trPr>
        <w:tc>
          <w:tcPr>
            <w:tcW w:w="1159" w:type="dxa"/>
            <w:vAlign w:val="center"/>
            <w:vMerge w:val="restart"/>
            <w:textDirection w:val="lrTb"/>
            <w:noWrap w:val="false"/>
          </w:tcPr>
          <w:p>
            <w:pPr>
              <w:pStyle w:val="744"/>
              <w:ind w:firstLine="0"/>
              <w:jc w:val="center"/>
              <w:spacing w:line="460" w:lineRule="exac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技术部分（</w:t>
            </w:r>
            <w:r>
              <w:rPr>
                <w:rFonts w:hint="eastAsia" w:ascii="宋体" w:hAnsi="宋体" w:eastAsia="宋体" w:cs="宋体"/>
                <w:b w:val="0"/>
                <w:bCs w:val="0"/>
                <w:color w:val="auto"/>
                <w:sz w:val="21"/>
                <w:szCs w:val="21"/>
                <w:lang w:val="en-US" w:eastAsia="zh-CN"/>
              </w:rPr>
              <w:t xml:space="preserve">65</w:t>
            </w:r>
            <w:r>
              <w:rPr>
                <w:rFonts w:hint="eastAsia" w:ascii="宋体" w:hAnsi="宋体" w:eastAsia="宋体" w:cs="宋体"/>
                <w:b w:val="0"/>
                <w:bCs w:val="0"/>
                <w:color w:val="auto"/>
                <w:sz w:val="21"/>
                <w:szCs w:val="21"/>
              </w:rPr>
              <w:t xml:space="preserve">分）</w:t>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需求分析</w:t>
            </w:r>
            <w:r/>
          </w:p>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widowControl/>
              <w:rPr>
                <w:rFonts w:ascii="宋体" w:eastAsia="宋体"/>
                <w:b w:val="0"/>
                <w:bCs w:val="0"/>
                <w:color w:val="auto"/>
                <w:szCs w:val="20"/>
                <w:lang w:val="zh-CN"/>
              </w:rPr>
            </w:pPr>
            <w:r>
              <w:rPr>
                <w:rFonts w:hint="eastAsia" w:ascii="宋体" w:eastAsia="宋体"/>
                <w:b w:val="0"/>
                <w:bCs w:val="0"/>
                <w:color w:val="auto"/>
                <w:szCs w:val="20"/>
                <w:lang w:val="zh-CN"/>
              </w:rPr>
              <w:t xml:space="preserve">供应商按照本项目招标文件采购需求中的要求，编制需求分析。需求理解分析准确、透彻，优于项目需求的得</w:t>
            </w:r>
            <w:r>
              <w:rPr>
                <w:rFonts w:hint="eastAsia" w:ascii="宋体" w:eastAsia="宋体"/>
                <w:b w:val="0"/>
                <w:bCs w:val="0"/>
                <w:color w:val="auto"/>
                <w:szCs w:val="20"/>
                <w:lang w:val="en-US" w:eastAsia="zh-CN"/>
              </w:rPr>
              <w:t xml:space="preserve">6</w:t>
            </w:r>
            <w:r>
              <w:rPr>
                <w:rFonts w:hint="eastAsia" w:ascii="宋体" w:eastAsia="宋体"/>
                <w:b w:val="0"/>
                <w:bCs w:val="0"/>
                <w:color w:val="auto"/>
                <w:szCs w:val="20"/>
                <w:lang w:val="zh-CN"/>
              </w:rPr>
              <w:t xml:space="preserve">分；符合项目需求的得</w:t>
            </w:r>
            <w:r>
              <w:rPr>
                <w:rFonts w:hint="eastAsia" w:ascii="宋体" w:eastAsia="宋体"/>
                <w:b w:val="0"/>
                <w:bCs w:val="0"/>
                <w:color w:val="auto"/>
                <w:szCs w:val="20"/>
                <w:lang w:val="en-US" w:eastAsia="zh-CN"/>
              </w:rPr>
              <w:t xml:space="preserve">5</w:t>
            </w:r>
            <w:r>
              <w:rPr>
                <w:rFonts w:hint="eastAsia" w:ascii="宋体" w:eastAsia="宋体"/>
                <w:b w:val="0"/>
                <w:bCs w:val="0"/>
                <w:color w:val="auto"/>
                <w:szCs w:val="20"/>
                <w:lang w:val="zh-CN"/>
              </w:rPr>
              <w:t xml:space="preserve">分；不符合本项目需求或未提供的不得分。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总体设计</w:t>
            </w:r>
            <w:r/>
          </w:p>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w:t>
            </w:r>
            <w:r>
              <w:rPr>
                <w:rFonts w:hint="eastAsia" w:ascii="宋体" w:hAnsi="宋体" w:eastAsia="宋体" w:cs="宋体"/>
                <w:b w:val="0"/>
                <w:bCs w:val="0"/>
                <w:color w:val="auto"/>
                <w:szCs w:val="21"/>
              </w:rPr>
              <w:t xml:space="preserve">总体设计方案</w:t>
            </w:r>
            <w:r>
              <w:rPr>
                <w:rFonts w:hint="eastAsia" w:ascii="宋体" w:hAnsi="宋体" w:eastAsia="宋体" w:cs="宋体"/>
                <w:b w:val="0"/>
                <w:bCs w:val="0"/>
                <w:color w:val="auto"/>
                <w:szCs w:val="21"/>
                <w:lang w:val="zh-CN"/>
              </w:rPr>
              <w:t xml:space="preserve">。设计方案完整、合理，优于项目需求的得</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5</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00" w:lineRule="exact"/>
              <w:widowControl/>
              <w:rPr>
                <w:rFonts w:ascii="宋体" w:hAnsi="宋体" w:eastAsia="宋体" w:cs="宋体"/>
                <w:b w:val="0"/>
                <w:bCs w:val="0"/>
                <w:color w:val="auto"/>
                <w:szCs w:val="21"/>
              </w:rPr>
            </w:pPr>
            <w:r>
              <w:rPr>
                <w:rFonts w:ascii="宋体" w:hAnsi="宋体" w:eastAsia="宋体" w:cs="宋体"/>
                <w:b w:val="0"/>
                <w:bCs w:val="0"/>
                <w:color w:val="auto"/>
                <w:szCs w:val="21"/>
              </w:rPr>
              <w:t xml:space="preserve">“1”-一屏总览指标任务</w:t>
            </w: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 “1”-一屏总览指标任务建设方案，从针对性、全面性、合理性进行综合评定。设计方案完整、合理，优于项目需求的得</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5</w:t>
            </w:r>
            <w:r>
              <w:rPr>
                <w:rFonts w:hint="eastAsia" w:ascii="宋体" w:hAnsi="宋体" w:eastAsia="宋体" w:cs="宋体"/>
                <w:b w:val="0"/>
                <w:bCs w:val="0"/>
                <w:color w:val="auto"/>
                <w:szCs w:val="21"/>
                <w:lang w:val="zh-CN"/>
              </w:rPr>
              <w:t xml:space="preserve">分；不符合项目需求或未提供的不得分。 </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t xml:space="preserve">“3”-省市区三级联动</w:t>
            </w:r>
            <w:r/>
          </w:p>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供应商按照本项目招标文件采购需求中的要求，编制“3”-省市区三级联动设计方案，从针对性、全面性、合理性进行综合评定。设计方案完整、合理，优于项目需求的得</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5</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t xml:space="preserve">“7”-七大特色专题应用</w:t>
            </w: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13</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供应商按照本项目招标文件采购需求中的要求，编制“7”-七大特色专题应用设计方案，从针对性、全面性、合理性进行综合评定。设计方案完整、合理，优于项目需求的得</w:t>
            </w:r>
            <w:r>
              <w:rPr>
                <w:rFonts w:hint="eastAsia" w:ascii="宋体" w:hAnsi="宋体" w:eastAsia="宋体" w:cs="宋体"/>
                <w:b w:val="0"/>
                <w:bCs w:val="0"/>
                <w:color w:val="auto"/>
                <w:szCs w:val="21"/>
                <w:lang w:val="en-US" w:eastAsia="zh-CN"/>
              </w:rPr>
              <w:t xml:space="preserve">13</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12</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t xml:space="preserve">“N”-多源数据融合</w:t>
            </w:r>
            <w:r/>
          </w:p>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8</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供应商按照本项目招标文件采购需求中的要求，编制“N”-多源数据融合设计方案，从针对性、全面性、合理性进行综合评定。设计方案完整、合理，优于项目需求的得</w:t>
            </w:r>
            <w:r>
              <w:rPr>
                <w:rFonts w:hint="eastAsia" w:ascii="宋体" w:hAnsi="宋体" w:eastAsia="宋体" w:cs="宋体"/>
                <w:b w:val="0"/>
                <w:bCs w:val="0"/>
                <w:color w:val="auto"/>
                <w:szCs w:val="21"/>
                <w:lang w:val="en-US" w:eastAsia="zh-CN"/>
              </w:rPr>
              <w:t xml:space="preserve">8</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7</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t xml:space="preserve">实施方案</w:t>
            </w:r>
            <w:r>
              <w:rPr>
                <w:rFonts w:hint="eastAsia" w:ascii="宋体" w:hAnsi="宋体" w:eastAsia="宋体" w:cs="宋体"/>
                <w:b w:val="0"/>
                <w:bCs w:val="0"/>
                <w:color w:val="auto"/>
                <w:szCs w:val="21"/>
              </w:rPr>
              <w:t xml:space="preserve">（</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供应商按照本项目招标文件采购需求中的要求，编制实施方案，包括项目管理制度、进度计划安排、进度保障措施、质量保障措施、风险分析及应对措施等项目管理方案。实施方案完整、合理，优于项目需求的得</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9</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服务方案（</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供应商按照本项目招标文件采购需求中的要求，编制服务方案。</w:t>
            </w:r>
            <w:r>
              <w:rPr>
                <w:rFonts w:hint="eastAsia" w:ascii="宋体" w:hAnsi="宋体" w:eastAsia="宋体" w:cs="宋体"/>
                <w:b w:val="0"/>
                <w:bCs w:val="0"/>
                <w:color w:val="auto"/>
                <w:szCs w:val="21"/>
              </w:rPr>
              <w:t xml:space="preserve">供应商</w:t>
            </w:r>
            <w:r>
              <w:rPr>
                <w:rFonts w:hint="eastAsia" w:ascii="宋体" w:hAnsi="宋体" w:eastAsia="宋体" w:cs="宋体"/>
                <w:b w:val="0"/>
                <w:bCs w:val="0"/>
                <w:color w:val="auto"/>
                <w:szCs w:val="21"/>
                <w:lang w:val="zh-CN"/>
              </w:rPr>
              <w:t xml:space="preserve">具备非常完善的服务体系，全面的服务内容、可行的故障解决方案、可靠的专业技术人员保障和服务电话，优于项目需求的得</w:t>
            </w:r>
            <w:r>
              <w:rPr>
                <w:rFonts w:hint="eastAsia" w:ascii="宋体" w:hAnsi="宋体" w:eastAsia="宋体" w:cs="宋体"/>
                <w:b w:val="0"/>
                <w:bCs w:val="0"/>
                <w:color w:val="auto"/>
                <w:szCs w:val="21"/>
                <w:lang w:val="en-US" w:eastAsia="zh-CN"/>
              </w:rPr>
              <w:t xml:space="preserve">10</w:t>
            </w:r>
            <w:r>
              <w:rPr>
                <w:rFonts w:hint="eastAsia" w:ascii="宋体" w:hAnsi="宋体" w:eastAsia="宋体" w:cs="宋体"/>
                <w:b w:val="0"/>
                <w:bCs w:val="0"/>
                <w:color w:val="auto"/>
                <w:szCs w:val="21"/>
                <w:lang w:val="zh-CN"/>
              </w:rPr>
              <w:t xml:space="preserve">分；符合项目需求的得</w:t>
            </w:r>
            <w:r>
              <w:rPr>
                <w:rFonts w:hint="eastAsia" w:ascii="宋体" w:hAnsi="宋体" w:eastAsia="宋体" w:cs="宋体"/>
                <w:b w:val="0"/>
                <w:bCs w:val="0"/>
                <w:color w:val="auto"/>
                <w:szCs w:val="21"/>
                <w:lang w:val="en-US" w:eastAsia="zh-CN"/>
              </w:rPr>
              <w:t xml:space="preserve">9</w:t>
            </w:r>
            <w:r>
              <w:rPr>
                <w:rFonts w:hint="eastAsia" w:ascii="宋体" w:hAnsi="宋体" w:eastAsia="宋体" w:cs="宋体"/>
                <w:b w:val="0"/>
                <w:bCs w:val="0"/>
                <w:color w:val="auto"/>
                <w:szCs w:val="21"/>
                <w:lang w:val="zh-CN"/>
              </w:rPr>
              <w:t xml:space="preserve">分；不符合项目需求或未提供的不得分。</w:t>
            </w:r>
            <w:r/>
          </w:p>
        </w:tc>
      </w:tr>
      <w:tr>
        <w:trPr>
          <w:jc w:val="center"/>
        </w:trPr>
        <w:tc>
          <w:tcPr>
            <w:tcW w:w="1159" w:type="dxa"/>
            <w:vAlign w:val="center"/>
            <w:vMerge w:val="restart"/>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商务部分（</w:t>
            </w:r>
            <w:r>
              <w:rPr>
                <w:rFonts w:hint="eastAsia" w:ascii="宋体" w:hAnsi="宋体" w:eastAsia="宋体" w:cs="宋体"/>
                <w:b w:val="0"/>
                <w:bCs w:val="0"/>
                <w:color w:val="auto"/>
                <w:szCs w:val="21"/>
                <w:lang w:val="en-US" w:eastAsia="zh-CN"/>
              </w:rPr>
              <w:t xml:space="preserve">25</w:t>
            </w:r>
            <w:r>
              <w:rPr>
                <w:rFonts w:hint="eastAsia" w:ascii="宋体" w:hAnsi="宋体" w:eastAsia="宋体" w:cs="宋体"/>
                <w:b w:val="0"/>
                <w:bCs w:val="0"/>
                <w:color w:val="auto"/>
                <w:szCs w:val="21"/>
              </w:rPr>
              <w:t xml:space="preserve">分）</w:t>
            </w:r>
            <w:r/>
          </w:p>
        </w:tc>
        <w:tc>
          <w:tcPr>
            <w:tcW w:w="1395" w:type="dxa"/>
            <w:vAlign w:val="center"/>
            <w:vMerge w:val="restart"/>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项目团队（11分）</w:t>
            </w:r>
            <w:r/>
          </w:p>
        </w:tc>
        <w:tc>
          <w:tcPr>
            <w:tcW w:w="7092" w:type="dxa"/>
            <w:vAlign w:val="center"/>
            <w:textDirection w:val="lrTb"/>
            <w:noWrap w:val="false"/>
          </w:tcPr>
          <w:p>
            <w:pPr>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供应商</w:t>
            </w:r>
            <w:r>
              <w:rPr>
                <w:rFonts w:hint="eastAsia" w:ascii="宋体" w:hAnsi="宋体" w:eastAsia="宋体" w:cs="宋体"/>
                <w:b w:val="0"/>
                <w:bCs w:val="0"/>
                <w:color w:val="auto"/>
                <w:szCs w:val="21"/>
                <w:lang w:val="zh-CN"/>
              </w:rPr>
              <w:t xml:space="preserve">拟委派本项目的项目经理具备：</w:t>
            </w:r>
            <w:r/>
          </w:p>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系统集成项目管理工程师资格证书，得1</w:t>
            </w:r>
            <w:r>
              <w:rPr>
                <w:rFonts w:hint="eastAsia" w:ascii="宋体" w:hAnsi="宋体" w:eastAsia="宋体" w:cs="宋体"/>
                <w:b w:val="0"/>
                <w:bCs w:val="0"/>
                <w:color w:val="auto"/>
                <w:szCs w:val="21"/>
              </w:rPr>
              <w:t xml:space="preserve">.5</w:t>
            </w:r>
            <w:r>
              <w:rPr>
                <w:rFonts w:hint="eastAsia" w:ascii="宋体" w:hAnsi="宋体" w:eastAsia="宋体" w:cs="宋体"/>
                <w:b w:val="0"/>
                <w:bCs w:val="0"/>
                <w:color w:val="auto"/>
                <w:szCs w:val="21"/>
                <w:lang w:val="zh-CN"/>
              </w:rPr>
              <w:t xml:space="preserve">分；软件设计师证书，得1</w:t>
            </w:r>
            <w:r>
              <w:rPr>
                <w:rFonts w:hint="eastAsia" w:ascii="宋体" w:hAnsi="宋体" w:eastAsia="宋体" w:cs="宋体"/>
                <w:b w:val="0"/>
                <w:bCs w:val="0"/>
                <w:color w:val="auto"/>
                <w:szCs w:val="21"/>
              </w:rPr>
              <w:t xml:space="preserve">.5</w:t>
            </w:r>
            <w:r>
              <w:rPr>
                <w:rFonts w:hint="eastAsia" w:ascii="宋体" w:hAnsi="宋体" w:eastAsia="宋体" w:cs="宋体"/>
                <w:b w:val="0"/>
                <w:bCs w:val="0"/>
                <w:color w:val="auto"/>
                <w:szCs w:val="21"/>
                <w:lang w:val="zh-CN"/>
              </w:rPr>
              <w:t xml:space="preserve">分，最高得</w:t>
            </w:r>
            <w:r>
              <w:rPr>
                <w:rFonts w:hint="eastAsia" w:ascii="宋体" w:hAnsi="宋体" w:eastAsia="宋体" w:cs="宋体"/>
                <w:b w:val="0"/>
                <w:bCs w:val="0"/>
                <w:color w:val="auto"/>
                <w:szCs w:val="21"/>
              </w:rPr>
              <w:t xml:space="preserve">3</w:t>
            </w:r>
            <w:r>
              <w:rPr>
                <w:rFonts w:hint="eastAsia" w:ascii="宋体" w:hAnsi="宋体" w:eastAsia="宋体" w:cs="宋体"/>
                <w:b w:val="0"/>
                <w:bCs w:val="0"/>
                <w:color w:val="auto"/>
                <w:szCs w:val="21"/>
                <w:lang w:val="zh-CN"/>
              </w:rPr>
              <w:t xml:space="preserve">分。（须提供相关证书</w:t>
            </w:r>
            <w:r>
              <w:rPr>
                <w:rFonts w:hint="eastAsia" w:ascii="宋体" w:hAnsi="宋体" w:eastAsia="宋体" w:cs="宋体"/>
                <w:b w:val="0"/>
                <w:bCs w:val="0"/>
                <w:color w:val="auto"/>
                <w:szCs w:val="21"/>
              </w:rPr>
              <w:t xml:space="preserve">原件的扫描件</w:t>
            </w:r>
            <w:r>
              <w:rPr>
                <w:rFonts w:hint="eastAsia" w:ascii="宋体" w:hAnsi="宋体" w:eastAsia="宋体" w:cs="宋体"/>
                <w:b w:val="0"/>
                <w:bCs w:val="0"/>
                <w:color w:val="auto"/>
                <w:szCs w:val="21"/>
                <w:lang w:val="zh-CN"/>
              </w:rPr>
              <w:t xml:space="preserve">及在本单位近6个月内任意</w:t>
            </w:r>
            <w:r>
              <w:rPr>
                <w:rFonts w:hint="eastAsia" w:ascii="宋体" w:hAnsi="宋体" w:eastAsia="宋体" w:cs="宋体"/>
                <w:b w:val="0"/>
                <w:bCs w:val="0"/>
                <w:color w:val="auto"/>
                <w:szCs w:val="21"/>
              </w:rPr>
              <w:t xml:space="preserve">1</w:t>
            </w:r>
            <w:r>
              <w:rPr>
                <w:rFonts w:hint="eastAsia" w:ascii="宋体" w:hAnsi="宋体" w:eastAsia="宋体" w:cs="宋体"/>
                <w:b w:val="0"/>
                <w:bCs w:val="0"/>
                <w:color w:val="auto"/>
                <w:szCs w:val="21"/>
                <w:lang w:val="zh-CN"/>
              </w:rPr>
              <w:t xml:space="preserve">个月缴纳社保凭证扫描件并加盖公章，未提供或提供资料不符合要求、模糊不清的不得分）。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7092" w:type="dxa"/>
            <w:vAlign w:val="center"/>
            <w:textDirection w:val="lrTb"/>
            <w:noWrap w:val="false"/>
          </w:tcPr>
          <w:p>
            <w:pPr>
              <w:jc w:val="left"/>
              <w:spacing w:line="420" w:lineRule="exact"/>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供应商拟委派本项目的技术负责人（除项目经理外）具备：</w:t>
            </w:r>
            <w:r/>
          </w:p>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计算机类或环境类中级及以上职称证书，得1.5分；系统集成项目管理工程师资格证书，得1.5分，最高得3分。（须提供相关证书原件的扫描件及在本单位近6个月内任意1个月缴纳社保凭证扫描件并加盖公章，未提供或提供资料不符合要求、模糊不清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7092" w:type="dxa"/>
            <w:vAlign w:val="center"/>
            <w:textDirection w:val="lrTb"/>
            <w:noWrap w:val="false"/>
          </w:tcPr>
          <w:p>
            <w:pPr>
              <w:jc w:val="left"/>
              <w:spacing w:line="420" w:lineRule="exact"/>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供应商拟委派本项目的团队成员（除项目经理及技术负责人外）具备：</w:t>
            </w:r>
            <w:r/>
          </w:p>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信息系统项目管理师证书，得1分；软件设计师证书，得1分；网络工程师证书，得1分；系统集成项目管理工程师证书，得1分；数据库系统工程师证书，得1分。不同人员具有同类证书或同一人员具有多项证书均不重复加分，最高得5分。（须提供相关证书原件的扫描件及在本单位近6个月内任意1个月缴纳社保凭证扫描件并加盖公章，未提供或提供资料不符合要求、模糊不清的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vMerge w:val="restart"/>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供应商实力（</w:t>
            </w:r>
            <w:r>
              <w:rPr>
                <w:rFonts w:hint="eastAsia" w:ascii="宋体" w:hAnsi="宋体" w:eastAsia="宋体" w:cs="宋体"/>
                <w:b w:val="0"/>
                <w:bCs w:val="0"/>
                <w:color w:val="auto"/>
                <w:szCs w:val="21"/>
                <w:lang w:val="en-US" w:eastAsia="zh-CN"/>
              </w:rPr>
              <w:t xml:space="preserve">6</w:t>
            </w:r>
            <w:r>
              <w:rPr>
                <w:rFonts w:hint="eastAsia" w:ascii="宋体" w:hAnsi="宋体" w:eastAsia="宋体" w:cs="宋体"/>
                <w:b w:val="0"/>
                <w:bCs w:val="0"/>
                <w:color w:val="auto"/>
                <w:szCs w:val="21"/>
              </w:rPr>
              <w:t xml:space="preserve">分）</w:t>
            </w:r>
            <w:r/>
          </w:p>
        </w:tc>
        <w:tc>
          <w:tcPr>
            <w:tcW w:w="7092" w:type="dxa"/>
            <w:vAlign w:val="center"/>
            <w:textDirection w:val="lrTb"/>
            <w:noWrap w:val="false"/>
          </w:tcPr>
          <w:p>
            <w:pPr>
              <w:ind w:firstLine="420"/>
              <w:spacing w:line="420" w:lineRule="exact"/>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供应商具有有效期内的IS09001质量管理体系认证证书、IS014001环境管理体系认证证书、IS045001职业健康安全管理体系认证证书，每提供1项得1分，最高得</w:t>
            </w:r>
            <w:r>
              <w:rPr>
                <w:rFonts w:hint="eastAsia" w:ascii="宋体" w:hAnsi="宋体" w:eastAsia="宋体" w:cs="宋体"/>
                <w:b w:val="0"/>
                <w:bCs w:val="0"/>
                <w:color w:val="auto"/>
                <w:szCs w:val="21"/>
                <w:lang w:val="en-US" w:eastAsia="zh-CN"/>
              </w:rPr>
              <w:t xml:space="preserve">3</w:t>
            </w:r>
            <w:r>
              <w:rPr>
                <w:rFonts w:hint="eastAsia" w:ascii="宋体" w:hAnsi="宋体" w:eastAsia="宋体" w:cs="宋体"/>
                <w:b w:val="0"/>
                <w:bCs w:val="0"/>
                <w:color w:val="auto"/>
                <w:szCs w:val="21"/>
              </w:rPr>
              <w:t xml:space="preserve">分。</w:t>
            </w:r>
            <w:r/>
          </w:p>
          <w:p>
            <w:pPr>
              <w:ind w:firstLine="420"/>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注：投标时以证书原件扫描件和上述证书在中国国家认证认可监督管理委员会网站查询页面完整截图加盖供应商公章（或在全国认证认可信息公共服务平台查询页面完整截图）为依据，否则不得分。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7092" w:type="dxa"/>
            <w:vAlign w:val="center"/>
            <w:textDirection w:val="lrTb"/>
            <w:noWrap w:val="false"/>
          </w:tcPr>
          <w:p>
            <w:pPr>
              <w:ind w:firstLine="420"/>
              <w:jc w:val="center"/>
              <w:spacing w:line="420" w:lineRule="exact"/>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供应商具有国家认监委认可的认证机构颁发的有效期内的知识产权管理体系认证证书、云服务信息安全管理体系认证证书、业务连续性管理体</w:t>
            </w:r>
            <w:r/>
          </w:p>
          <w:p>
            <w:pPr>
              <w:spacing w:line="420" w:lineRule="exact"/>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系认证证书，每提供1项证书得1分，最高3分。</w:t>
            </w:r>
            <w:r/>
          </w:p>
          <w:p>
            <w:pPr>
              <w:ind w:firstLine="420"/>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注：投标时以证书原件扫描件和上述证书在中国国家认证认可监督管理委员会网站查询页面完整截图加盖供应商公章（或在全国认证认可信息公共服务平台查询页面完整截图）为依据，否则不得分。</w:t>
            </w:r>
            <w:r/>
          </w:p>
        </w:tc>
      </w:tr>
      <w:tr>
        <w:trPr>
          <w:jc w:val="center"/>
        </w:trPr>
        <w:tc>
          <w:tcPr>
            <w:tcW w:w="1159" w:type="dxa"/>
            <w:vAlign w:val="center"/>
            <w:vMerge w:val="continue"/>
            <w:textDirection w:val="lrTb"/>
            <w:noWrap w:val="false"/>
          </w:tcPr>
          <w:p>
            <w:pPr>
              <w:jc w:val="center"/>
              <w:spacing w:line="460" w:lineRule="exact"/>
              <w:widowControl/>
              <w:rPr>
                <w:rFonts w:ascii="宋体" w:hAnsi="宋体" w:eastAsia="宋体" w:cs="宋体"/>
                <w:b w:val="0"/>
                <w:bCs w:val="0"/>
                <w:color w:val="auto"/>
                <w:szCs w:val="21"/>
              </w:rPr>
            </w:pPr>
            <w:r>
              <w:rPr>
                <w:rFonts w:ascii="宋体" w:hAnsi="宋体" w:eastAsia="宋体" w:cs="宋体"/>
                <w:b w:val="0"/>
                <w:bCs w:val="0"/>
                <w:color w:val="auto"/>
                <w:szCs w:val="21"/>
              </w:rPr>
            </w:r>
            <w:r/>
          </w:p>
        </w:tc>
        <w:tc>
          <w:tcPr>
            <w:tcW w:w="1395" w:type="dxa"/>
            <w:vAlign w:val="center"/>
            <w:textDirection w:val="lrTb"/>
            <w:noWrap w:val="false"/>
          </w:tcPr>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业绩</w:t>
            </w:r>
            <w:r/>
          </w:p>
          <w:p>
            <w:pPr>
              <w:jc w:val="center"/>
              <w:spacing w:line="460" w:lineRule="exact"/>
              <w:widowControl/>
              <w:rPr>
                <w:rFonts w:ascii="宋体" w:hAnsi="宋体" w:eastAsia="宋体" w:cs="宋体"/>
                <w:b w:val="0"/>
                <w:bCs w:val="0"/>
                <w:color w:val="auto"/>
                <w:szCs w:val="21"/>
              </w:rPr>
            </w:pPr>
            <w:r>
              <w:rPr>
                <w:rFonts w:hint="eastAsia" w:ascii="宋体" w:hAnsi="宋体" w:eastAsia="宋体" w:cs="宋体"/>
                <w:b w:val="0"/>
                <w:bCs w:val="0"/>
                <w:color w:val="auto"/>
                <w:szCs w:val="21"/>
              </w:rPr>
              <w:t xml:space="preserve">（8分）</w:t>
            </w:r>
            <w:r/>
          </w:p>
        </w:tc>
        <w:tc>
          <w:tcPr>
            <w:tcW w:w="7092" w:type="dxa"/>
            <w:vAlign w:val="center"/>
            <w:textDirection w:val="lrTb"/>
            <w:noWrap w:val="false"/>
          </w:tcPr>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rPr>
              <w:t xml:space="preserve">供应商</w:t>
            </w:r>
            <w:r>
              <w:rPr>
                <w:rFonts w:hint="eastAsia" w:ascii="宋体" w:hAnsi="宋体" w:eastAsia="宋体" w:cs="宋体"/>
                <w:b w:val="0"/>
                <w:bCs w:val="0"/>
                <w:color w:val="auto"/>
                <w:szCs w:val="21"/>
                <w:lang w:val="zh-CN"/>
              </w:rPr>
              <w:t xml:space="preserve">提供</w:t>
            </w:r>
            <w:bookmarkStart w:id="120" w:name="_Hlk122009247"/>
            <w:r>
              <w:rPr>
                <w:rFonts w:hint="eastAsia" w:ascii="宋体" w:hAnsi="宋体" w:eastAsia="宋体" w:cs="宋体"/>
                <w:b w:val="0"/>
                <w:bCs w:val="0"/>
                <w:color w:val="auto"/>
                <w:szCs w:val="21"/>
              </w:rPr>
              <w:t xml:space="preserve">自</w:t>
            </w:r>
            <w:r>
              <w:rPr>
                <w:rFonts w:hint="eastAsia" w:ascii="宋体" w:hAnsi="宋体" w:eastAsia="宋体" w:cs="宋体"/>
                <w:b w:val="0"/>
                <w:bCs w:val="0"/>
                <w:color w:val="auto"/>
                <w:szCs w:val="21"/>
                <w:lang w:val="zh-CN"/>
              </w:rPr>
              <w:t xml:space="preserve">202</w:t>
            </w:r>
            <w:r>
              <w:rPr>
                <w:rFonts w:hint="eastAsia" w:ascii="宋体" w:hAnsi="宋体" w:eastAsia="宋体" w:cs="宋体"/>
                <w:b w:val="0"/>
                <w:bCs w:val="0"/>
                <w:color w:val="auto"/>
                <w:szCs w:val="21"/>
              </w:rPr>
              <w:t xml:space="preserve">1</w:t>
            </w:r>
            <w:r>
              <w:rPr>
                <w:rFonts w:hint="eastAsia" w:ascii="宋体" w:hAnsi="宋体" w:eastAsia="宋体" w:cs="宋体"/>
                <w:b w:val="0"/>
                <w:bCs w:val="0"/>
                <w:color w:val="auto"/>
                <w:szCs w:val="21"/>
                <w:lang w:val="zh-CN"/>
              </w:rPr>
              <w:t xml:space="preserve">年1月1日以来完成</w:t>
            </w:r>
            <w:bookmarkEnd w:id="120"/>
            <w:r>
              <w:rPr>
                <w:rFonts w:hint="eastAsia" w:ascii="宋体" w:hAnsi="宋体" w:eastAsia="宋体" w:cs="宋体"/>
                <w:b w:val="0"/>
                <w:bCs w:val="0"/>
                <w:color w:val="auto"/>
                <w:szCs w:val="21"/>
              </w:rPr>
              <w:t xml:space="preserve">软件平台开发</w:t>
            </w:r>
            <w:r>
              <w:rPr>
                <w:rFonts w:hint="eastAsia" w:ascii="宋体" w:hAnsi="宋体" w:eastAsia="宋体" w:cs="宋体"/>
                <w:b w:val="0"/>
                <w:bCs w:val="0"/>
                <w:color w:val="auto"/>
                <w:szCs w:val="21"/>
                <w:lang w:val="zh-CN"/>
              </w:rPr>
              <w:t xml:space="preserve">等与本项目服务内容相</w:t>
            </w:r>
            <w:r>
              <w:rPr>
                <w:rFonts w:hint="eastAsia" w:ascii="宋体" w:hAnsi="宋体" w:eastAsia="宋体" w:cs="宋体"/>
                <w:b w:val="0"/>
                <w:bCs w:val="0"/>
                <w:color w:val="auto"/>
                <w:szCs w:val="21"/>
                <w:lang w:val="en-US" w:eastAsia="zh-CN"/>
              </w:rPr>
              <w:t xml:space="preserve">类似</w:t>
            </w:r>
            <w:r>
              <w:rPr>
                <w:rFonts w:hint="eastAsia" w:ascii="宋体" w:hAnsi="宋体" w:eastAsia="宋体" w:cs="宋体"/>
                <w:b w:val="0"/>
                <w:bCs w:val="0"/>
                <w:color w:val="auto"/>
                <w:szCs w:val="21"/>
                <w:lang w:val="zh-CN"/>
              </w:rPr>
              <w:t xml:space="preserve">的业绩，每提供1个得2分，最多得</w:t>
            </w:r>
            <w:r>
              <w:rPr>
                <w:rFonts w:hint="eastAsia" w:ascii="宋体" w:hAnsi="宋体" w:eastAsia="宋体" w:cs="宋体"/>
                <w:b w:val="0"/>
                <w:bCs w:val="0"/>
                <w:color w:val="auto"/>
                <w:szCs w:val="21"/>
              </w:rPr>
              <w:t xml:space="preserve">8</w:t>
            </w:r>
            <w:r>
              <w:rPr>
                <w:rFonts w:hint="eastAsia" w:ascii="宋体" w:hAnsi="宋体" w:eastAsia="宋体" w:cs="宋体"/>
                <w:b w:val="0"/>
                <w:bCs w:val="0"/>
                <w:color w:val="auto"/>
                <w:szCs w:val="21"/>
                <w:lang w:val="zh-CN"/>
              </w:rPr>
              <w:t xml:space="preserve">分。</w:t>
            </w:r>
            <w:r/>
          </w:p>
          <w:p>
            <w:pPr>
              <w:ind w:firstLine="420"/>
              <w:jc w:val="left"/>
              <w:spacing w:line="420" w:lineRule="exact"/>
              <w:rPr>
                <w:rFonts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注：以合同签订时间为准，提供合同原件扫描件</w:t>
            </w:r>
            <w:r>
              <w:rPr>
                <w:rFonts w:hint="eastAsia" w:ascii="宋体" w:hAnsi="宋体" w:eastAsia="宋体" w:cs="宋体"/>
                <w:b w:val="0"/>
                <w:bCs w:val="0"/>
                <w:color w:val="auto"/>
                <w:szCs w:val="21"/>
              </w:rPr>
              <w:t xml:space="preserve">和</w:t>
            </w:r>
            <w:r>
              <w:rPr>
                <w:rFonts w:hint="eastAsia" w:ascii="宋体" w:hAnsi="宋体" w:eastAsia="宋体" w:cs="宋体"/>
                <w:b w:val="0"/>
                <w:bCs w:val="0"/>
                <w:color w:val="auto"/>
                <w:szCs w:val="21"/>
                <w:lang w:val="zh-CN"/>
              </w:rPr>
              <w:t xml:space="preserve">验收报告（或验收意见</w:t>
            </w:r>
            <w:r>
              <w:rPr>
                <w:rFonts w:hint="eastAsia" w:ascii="宋体" w:hAnsi="宋体" w:eastAsia="宋体" w:cs="宋体"/>
                <w:b w:val="0"/>
                <w:bCs w:val="0"/>
                <w:color w:val="auto"/>
                <w:szCs w:val="21"/>
              </w:rPr>
              <w:t xml:space="preserve">或证明合格的材料</w:t>
            </w:r>
            <w:r>
              <w:rPr>
                <w:rFonts w:hint="eastAsia" w:ascii="宋体" w:hAnsi="宋体" w:eastAsia="宋体" w:cs="宋体"/>
                <w:b w:val="0"/>
                <w:bCs w:val="0"/>
                <w:color w:val="auto"/>
                <w:szCs w:val="21"/>
                <w:lang w:val="zh-CN"/>
              </w:rPr>
              <w:t xml:space="preserve">），不提供则不得分。提供的证明材料中未能体现本招标文件要求的相关指标的不得分。</w:t>
            </w:r>
            <w:r/>
          </w:p>
        </w:tc>
      </w:tr>
    </w:tbl>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10"/>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6"/>
          <w:szCs w:val="36"/>
          <w14:ligatures w14:val="none"/>
        </w:rPr>
        <w:outlineLvl w:val="0"/>
      </w:pPr>
      <w:r/>
      <w:bookmarkStart w:id="121" w:name="_Toc197644579"/>
      <w:r>
        <w:rPr>
          <w:rFonts w:hint="eastAsia" w:ascii="宋体" w:hAnsi="宋体" w:eastAsia="宋体" w:cs="Times New Roman"/>
          <w:b/>
          <w:bCs/>
          <w:color w:val="auto"/>
          <w:sz w:val="36"/>
          <w:szCs w:val="36"/>
          <w14:ligatures w14:val="none"/>
        </w:rPr>
        <w:t xml:space="preserve">投标文件格式</w:t>
      </w:r>
      <w:bookmarkEnd w:id="121"/>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sz w:val="84"/>
          <w:szCs w:val="84"/>
        </w:rPr>
      </w:pPr>
      <w:r>
        <w:rPr>
          <w:rFonts w:hint="eastAsia" w:ascii="宋体" w:hAnsi="宋体" w:eastAsia="宋体" w:cs="宋体"/>
          <w:b/>
          <w:sz w:val="84"/>
          <w:szCs w:val="84"/>
        </w:rPr>
        <w:t xml:space="preserve">投 标 文 件</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outlineLvl w:val="1"/>
      </w:pPr>
      <w:r>
        <w:rPr>
          <w:rFonts w:hint="eastAsia" w:ascii="宋体" w:hAnsi="宋体" w:eastAsia="宋体" w:cs="宋体"/>
          <w:b/>
          <w:sz w:val="36"/>
          <w:szCs w:val="36"/>
        </w:rPr>
        <w:t xml:space="preserve">供应商名称：</w:t>
      </w:r>
      <w:r>
        <w:rPr>
          <w:rFonts w:hint="eastAsia" w:ascii="宋体" w:hAnsi="宋体" w:eastAsia="宋体" w:cs="宋体"/>
          <w:b/>
          <w:sz w:val="36"/>
          <w:szCs w:val="36"/>
          <w:u w:val="single"/>
        </w:rPr>
        <w:t xml:space="preserve">（加盖CA电子公章）          </w:t>
      </w:r>
      <w:r/>
    </w:p>
    <w:p>
      <w:pPr>
        <w:spacing w:line="360" w:lineRule="auto"/>
        <w:rPr>
          <w:rFonts w:ascii="宋体" w:hAnsi="宋体" w:eastAsia="宋体"/>
        </w:rPr>
      </w:pPr>
      <w:r>
        <w:rPr>
          <w:rFonts w:hint="eastAsia" w:ascii="宋体" w:hAnsi="宋体" w:eastAsia="宋体" w:cs="宋体"/>
          <w:b/>
          <w:sz w:val="36"/>
          <w:szCs w:val="36"/>
        </w:rPr>
        <w:t xml:space="preserve">日   期：</w:t>
      </w:r>
      <w:r>
        <w:rPr>
          <w:rFonts w:hint="eastAsia" w:ascii="宋体" w:hAnsi="宋体" w:eastAsia="宋体" w:cs="宋体"/>
          <w:b/>
          <w:sz w:val="36"/>
          <w:szCs w:val="36"/>
          <w:u w:val="single"/>
        </w:rPr>
        <w:t xml:space="preserve">                       </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jc w:val="center"/>
        <w:spacing w:line="0" w:lineRule="atLeast"/>
        <w:rPr>
          <w:rFonts w:ascii="宋体" w:hAnsi="宋体" w:eastAsia="宋体" w:cs="Times New Roman"/>
          <w:sz w:val="30"/>
          <w:szCs w:val="30"/>
          <w14:ligatures w14:val="none"/>
        </w:rPr>
      </w:pPr>
      <w:r>
        <w:rPr>
          <w:rFonts w:hint="eastAsia" w:ascii="宋体" w:hAnsi="宋体" w:eastAsia="宋体" w:cs="宋体"/>
          <w:b/>
          <w:sz w:val="30"/>
          <w:szCs w:val="30"/>
          <w14:ligatures w14:val="none"/>
        </w:rPr>
        <w:t xml:space="preserve">投标主要文件目录</w:t>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p>
      <w:pPr>
        <w:ind w:firstLine="420"/>
        <w:spacing w:line="360" w:lineRule="auto"/>
        <w:rPr>
          <w:rFonts w:ascii="宋体" w:hAnsi="宋体" w:eastAsia="宋体" w:cs="宋体"/>
          <w:iCs/>
          <w:szCs w:val="21"/>
          <w14:ligatures w14:val="none"/>
        </w:rPr>
        <w:outlineLvl w:val="1"/>
      </w:pPr>
      <w:r>
        <w:rPr>
          <w:rFonts w:hint="eastAsia" w:ascii="宋体" w:hAnsi="宋体" w:eastAsia="宋体" w:cs="宋体"/>
          <w:iCs/>
          <w:szCs w:val="21"/>
          <w14:ligatures w14:val="none"/>
        </w:rPr>
        <w:t xml:space="preserve">一、法人或者其他组织的营业执照等证明文件，自然人的身份证明</w:t>
      </w:r>
      <w:r/>
    </w:p>
    <w:p>
      <w:pPr>
        <w:ind w:firstLine="420"/>
        <w:jc w:val="left"/>
        <w:spacing w:line="360" w:lineRule="auto"/>
        <w:tabs>
          <w:tab w:val="left" w:pos="1331" w:leader="none"/>
        </w:tabs>
        <w:rPr>
          <w:rFonts w:ascii="宋体" w:hAnsi="宋体" w:eastAsia="宋体" w:cs="宋体"/>
          <w:iCs/>
          <w:szCs w:val="21"/>
          <w14:ligatures w14:val="none"/>
        </w:rPr>
      </w:pPr>
      <w:r>
        <w:rPr>
          <w:rFonts w:hint="eastAsia" w:ascii="宋体" w:hAnsi="宋体" w:eastAsia="宋体" w:cs="宋体"/>
          <w:iCs/>
          <w:szCs w:val="21"/>
          <w14:ligatures w14:val="none"/>
        </w:rPr>
        <w:t xml:space="preserve">二、2024或2025年度的财务状况报告（至少提供资产负债表、利润表、现金流量表，供应商成立不满一年无需提供）</w:t>
      </w:r>
      <w:r/>
    </w:p>
    <w:p>
      <w:pPr>
        <w:ind w:firstLine="420"/>
        <w:spacing w:line="360" w:lineRule="auto"/>
        <w:rPr>
          <w:rFonts w:ascii="宋体" w:hAnsi="宋体" w:eastAsia="宋体" w:cs="宋体"/>
          <w:iCs/>
          <w:szCs w:val="21"/>
          <w14:ligatures w14:val="none"/>
        </w:rPr>
        <w:outlineLvl w:val="1"/>
      </w:pPr>
      <w:r>
        <w:rPr>
          <w:rFonts w:hint="eastAsia" w:ascii="宋体" w:hAnsi="宋体" w:eastAsia="宋体" w:cs="宋体"/>
          <w:iCs/>
          <w:szCs w:val="21"/>
          <w14:ligatures w14:val="none"/>
        </w:rPr>
        <w:t xml:space="preserve">三、具备履行合同所必需的设备和专业技术能力的书面声明</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五、参加政府采购活动前 3 年内在经营活动中没有重大违法记录的书面声明</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六、特定资格要求的证明文件（如果本项目设置特定资格要求，则需要提供）</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七、法人授权书</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八、投标函</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九、中小企业声明函</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十、残疾人福利性单位声明函</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十一、技术要求响应及偏离表</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十二、商务要求响应及偏离表</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十三、开标一览表</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十四、评分标准要求提供的材料等</w:t>
      </w:r>
      <w:r/>
    </w:p>
    <w:p>
      <w:pPr>
        <w:ind w:firstLine="420"/>
        <w:spacing w:line="360" w:lineRule="auto"/>
        <w:rPr>
          <w:rFonts w:ascii="宋体" w:hAnsi="宋体" w:eastAsia="宋体" w:cs="宋体"/>
          <w:iCs/>
          <w:szCs w:val="21"/>
          <w14:ligatures w14:val="none"/>
        </w:rPr>
      </w:pPr>
      <w:r>
        <w:rPr>
          <w:rFonts w:hint="eastAsia" w:ascii="宋体" w:hAnsi="宋体" w:eastAsia="宋体" w:cs="宋体"/>
          <w:iCs/>
          <w:szCs w:val="21"/>
          <w14:ligatures w14:val="none"/>
        </w:rPr>
        <w:t xml:space="preserve">十五、其他材料</w:t>
      </w:r>
      <w:r/>
    </w:p>
    <w:p>
      <w:pPr>
        <w:ind w:firstLine="420"/>
        <w:spacing w:line="360" w:lineRule="auto"/>
        <w:rPr>
          <w:rFonts w:ascii="宋体" w:hAnsi="宋体" w:cs="宋体"/>
        </w:rPr>
      </w:pPr>
      <w:r>
        <w:rPr>
          <w:rFonts w:hint="eastAsia" w:ascii="宋体" w:hAnsi="宋体" w:eastAsia="宋体" w:cs="宋体"/>
          <w:iCs/>
          <w:szCs w:val="21"/>
          <w14:ligatures w14:val="none"/>
        </w:rPr>
        <w:t xml:space="preserve">十六、盐城市政府采购事前信用承诺书</w:t>
      </w:r>
      <w:r/>
    </w:p>
    <w:p>
      <w:pPr>
        <w:ind w:firstLine="420"/>
        <w:spacing w:line="360" w:lineRule="auto"/>
        <w:rPr>
          <w:rFonts w:ascii="宋体" w:hAnsi="宋体" w:eastAsia="宋体" w:cs="宋体"/>
          <w:iCs/>
          <w:szCs w:val="21"/>
          <w14:ligatures w14:val="none"/>
        </w:rPr>
      </w:pPr>
      <w:r>
        <w:rPr>
          <w:rFonts w:ascii="宋体" w:hAnsi="宋体" w:eastAsia="宋体" w:cs="宋体"/>
          <w:iCs/>
          <w:szCs w:val="21"/>
          <w14:ligatures w14:val="none"/>
        </w:rPr>
      </w:r>
      <w:r/>
    </w:p>
    <w:p>
      <w:pPr>
        <w:spacing w:line="360" w:lineRule="auto"/>
        <w:rPr>
          <w:rFonts w:ascii="宋体" w:hAnsi="宋体" w:eastAsia="宋体"/>
          <w:szCs w:val="21"/>
        </w:rPr>
      </w:pPr>
      <w:r>
        <w:rPr>
          <w:rFonts w:ascii="宋体" w:hAnsi="宋体" w:eastAsia="宋体"/>
          <w:szCs w:val="21"/>
        </w:rPr>
      </w:r>
      <w:r/>
    </w:p>
    <w:p>
      <w:pPr>
        <w:jc w:val="left"/>
        <w:spacing w:line="360" w:lineRule="auto"/>
        <w:widowControl/>
        <w:rPr>
          <w:rFonts w:ascii="宋体" w:hAnsi="宋体" w:eastAsia="宋体"/>
          <w:szCs w:val="21"/>
        </w:rPr>
      </w:pPr>
      <w:r>
        <w:rPr>
          <w:rFonts w:hint="eastAsia" w:ascii="宋体" w:hAnsi="宋体" w:eastAsia="宋体"/>
          <w:szCs w:val="21"/>
        </w:rPr>
        <w:br w:type="page" w:clear="all"/>
      </w:r>
      <w:r/>
    </w:p>
    <w:p>
      <w:pPr>
        <w:pStyle w:val="742"/>
        <w:jc w:val="center"/>
        <w:rPr>
          <w:b/>
          <w:color w:val="auto"/>
          <w:sz w:val="28"/>
          <w:szCs w:val="28"/>
        </w:rPr>
        <w:outlineLvl w:val="1"/>
      </w:pPr>
      <w:r>
        <w:rPr>
          <w:rFonts w:hint="eastAsia"/>
          <w:b/>
          <w:color w:val="auto"/>
          <w:sz w:val="28"/>
          <w:szCs w:val="28"/>
        </w:rPr>
        <w:t xml:space="preserve">一、法人或者其他组织的营业执照等证明文件，自然人的身份证明</w:t>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jc w:val="center"/>
        <w:rPr>
          <w:b/>
          <w:color w:val="auto"/>
          <w:sz w:val="28"/>
          <w:szCs w:val="28"/>
        </w:rPr>
        <w:outlineLvl w:val="1"/>
      </w:pPr>
      <w:r>
        <w:rPr>
          <w:rFonts w:hint="eastAsia"/>
          <w:b/>
          <w:color w:val="auto"/>
          <w:sz w:val="28"/>
          <w:szCs w:val="28"/>
        </w:rPr>
        <w:t xml:space="preserve">二、2024或2025年度的财务状况报告</w:t>
      </w:r>
      <w:r/>
    </w:p>
    <w:p>
      <w:pPr>
        <w:pStyle w:val="742"/>
        <w:jc w:val="center"/>
        <w:rPr>
          <w:b/>
          <w:color w:val="auto"/>
          <w:sz w:val="28"/>
          <w:szCs w:val="28"/>
        </w:rPr>
        <w:outlineLvl w:val="1"/>
      </w:pPr>
      <w:r>
        <w:rPr>
          <w:b/>
          <w:color w:val="auto"/>
          <w:sz w:val="28"/>
          <w:szCs w:val="28"/>
        </w:rPr>
      </w:r>
      <w:r/>
    </w:p>
    <w:p>
      <w:pPr>
        <w:ind w:firstLine="480"/>
        <w:jc w:val="left"/>
        <w:spacing w:line="440" w:lineRule="exact"/>
        <w:tabs>
          <w:tab w:val="left" w:pos="1331" w:leader="none"/>
        </w:tabs>
        <w:rPr>
          <w:rFonts w:ascii="宋体" w:hAnsi="宋体" w:cs="宋体"/>
        </w:rPr>
      </w:pPr>
      <w:r>
        <w:rPr>
          <w:rFonts w:hint="eastAsia" w:ascii="宋体" w:hAnsi="宋体" w:cs="宋体"/>
          <w:i/>
          <w:sz w:val="24"/>
          <w:u w:val="single"/>
        </w:rPr>
        <w:t xml:space="preserve">（至少提供资产负债表、利润表、现金流量表，供应商成立不满一年无需提供）</w:t>
      </w:r>
      <w:r>
        <w:rPr>
          <w:rFonts w:hint="eastAsia" w:ascii="宋体" w:hAnsi="宋体" w:cs="宋体"/>
        </w:rPr>
        <w:t xml:space="preserve"> </w:t>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pStyle w:val="742"/>
        <w:jc w:val="center"/>
        <w:rPr>
          <w:b/>
          <w:color w:val="auto"/>
          <w:sz w:val="28"/>
          <w:szCs w:val="28"/>
        </w:rPr>
      </w:pPr>
      <w:r>
        <w:rPr>
          <w:b/>
          <w:color w:val="auto"/>
          <w:sz w:val="28"/>
          <w:szCs w:val="28"/>
        </w:rPr>
      </w:r>
      <w:r/>
    </w:p>
    <w:p>
      <w:pPr>
        <w:pStyle w:val="742"/>
        <w:jc w:val="center"/>
        <w:rPr>
          <w:b/>
          <w:color w:val="auto"/>
          <w:sz w:val="28"/>
          <w:szCs w:val="28"/>
        </w:rPr>
        <w:outlineLvl w:val="1"/>
      </w:pPr>
      <w:r>
        <w:rPr>
          <w:rFonts w:hint="eastAsia"/>
          <w:b/>
          <w:color w:val="auto"/>
          <w:sz w:val="28"/>
          <w:szCs w:val="28"/>
        </w:rPr>
        <w:t xml:space="preserve">三、具备履行合同所必需的设备和专业技术能力的书面声明</w:t>
      </w:r>
      <w:r/>
    </w:p>
    <w:p>
      <w:pPr>
        <w:pStyle w:val="742"/>
        <w:ind w:firstLine="492"/>
        <w:spacing w:line="0" w:lineRule="atLeast"/>
        <w:rPr>
          <w:color w:val="auto"/>
        </w:rPr>
      </w:pPr>
      <w:r>
        <w:rPr>
          <w:color w:val="auto"/>
        </w:rPr>
      </w:r>
      <w:r/>
    </w:p>
    <w:p>
      <w:pPr>
        <w:pStyle w:val="742"/>
        <w:ind w:firstLine="480"/>
        <w:spacing w:line="520" w:lineRule="exact"/>
        <w:rPr>
          <w:bCs/>
          <w:color w:val="auto"/>
          <w:sz w:val="24"/>
        </w:rPr>
      </w:pPr>
      <w:r>
        <w:rPr>
          <w:rFonts w:hint="eastAsia"/>
          <w:bCs/>
          <w:color w:val="auto"/>
          <w:sz w:val="24"/>
        </w:rPr>
        <w:t xml:space="preserve">我单位郑重声明：我单位具备履行本项采购合同所必需的设备和专业技术能力，为履行本项采购合同我公司具备如下主要设备和主要专业技术能力：</w:t>
      </w:r>
      <w:r/>
    </w:p>
    <w:p>
      <w:pPr>
        <w:pStyle w:val="742"/>
        <w:ind w:firstLine="480"/>
        <w:spacing w:line="520" w:lineRule="exact"/>
        <w:rPr>
          <w:color w:val="auto"/>
        </w:rPr>
      </w:pPr>
      <w:r>
        <w:rPr>
          <w:rFonts w:hint="eastAsia"/>
          <w:bCs/>
          <w:color w:val="auto"/>
          <w:sz w:val="24"/>
        </w:rPr>
        <w:t xml:space="preserve">主要设备有：</w:t>
      </w:r>
      <w:r>
        <w:rPr>
          <w:rFonts w:hint="eastAsia"/>
          <w:color w:val="auto"/>
          <w:u w:val="single"/>
        </w:rPr>
        <w:t xml:space="preserve">  </w:t>
      </w:r>
      <w:r>
        <w:rPr>
          <w:rFonts w:hint="eastAsia"/>
          <w:color w:val="auto"/>
        </w:rPr>
        <w:t xml:space="preserve">。</w:t>
      </w:r>
      <w:r/>
    </w:p>
    <w:p>
      <w:pPr>
        <w:pStyle w:val="742"/>
        <w:ind w:firstLine="480"/>
        <w:spacing w:line="520" w:lineRule="exact"/>
        <w:rPr>
          <w:color w:val="auto"/>
        </w:rPr>
      </w:pPr>
      <w:r>
        <w:rPr>
          <w:rFonts w:hint="eastAsia"/>
          <w:bCs/>
          <w:color w:val="auto"/>
          <w:sz w:val="24"/>
        </w:rPr>
        <w:t xml:space="preserve">主要专业技术能力有：</w:t>
      </w:r>
      <w:r>
        <w:rPr>
          <w:rFonts w:hint="eastAsia"/>
          <w:color w:val="auto"/>
          <w:u w:val="single"/>
        </w:rPr>
        <w:t xml:space="preserve">   </w:t>
      </w:r>
      <w:r>
        <w:rPr>
          <w:rFonts w:hint="eastAsia"/>
          <w:color w:val="auto"/>
        </w:rPr>
        <w:t xml:space="preserve">。</w:t>
      </w:r>
      <w:r/>
    </w:p>
    <w:p>
      <w:pPr>
        <w:pStyle w:val="742"/>
        <w:ind w:firstLine="420"/>
        <w:spacing w:line="520" w:lineRule="exact"/>
        <w:rPr>
          <w:color w:val="auto"/>
        </w:rPr>
      </w:pPr>
      <w:r>
        <w:rPr>
          <w:color w:val="auto"/>
        </w:rPr>
      </w:r>
      <w:r/>
    </w:p>
    <w:p>
      <w:pPr>
        <w:ind w:firstLine="480"/>
        <w:jc w:val="right"/>
        <w:spacing w:line="460" w:lineRule="exact"/>
        <w:rPr>
          <w:rFonts w:ascii="宋体" w:hAnsi="宋体" w:cs="宋体"/>
          <w:bCs/>
          <w:sz w:val="24"/>
        </w:rPr>
      </w:pPr>
      <w:r>
        <w:rPr>
          <w:rFonts w:hint="eastAsia" w:ascii="宋体" w:hAnsi="宋体" w:cs="宋体"/>
          <w:bCs/>
          <w:sz w:val="24"/>
        </w:rPr>
        <w:t xml:space="preserve">供应商名称（公章）：             </w:t>
      </w:r>
      <w:r/>
    </w:p>
    <w:p>
      <w:pPr>
        <w:ind w:firstLine="480"/>
        <w:spacing w:line="460" w:lineRule="exact"/>
        <w:rPr>
          <w:rFonts w:ascii="宋体" w:hAnsi="宋体" w:cs="宋体"/>
          <w:bCs/>
          <w:sz w:val="24"/>
        </w:rPr>
      </w:pPr>
      <w:r>
        <w:rPr>
          <w:rFonts w:hint="eastAsia" w:ascii="宋体" w:hAnsi="宋体" w:cs="宋体"/>
          <w:bCs/>
          <w:sz w:val="24"/>
        </w:rPr>
        <w:t xml:space="preserve">                                    </w:t>
      </w:r>
      <w:r/>
    </w:p>
    <w:p>
      <w:pPr>
        <w:pStyle w:val="742"/>
        <w:ind w:firstLine="480"/>
        <w:spacing w:line="520" w:lineRule="exact"/>
        <w:rPr>
          <w:bCs/>
          <w:color w:val="auto"/>
          <w:sz w:val="24"/>
        </w:rPr>
      </w:pPr>
      <w:r>
        <w:rPr>
          <w:rFonts w:hint="eastAsia"/>
          <w:bCs/>
          <w:color w:val="auto"/>
          <w:sz w:val="24"/>
        </w:rPr>
        <w:t xml:space="preserve">                                     日期：</w:t>
      </w:r>
      <w:r>
        <w:rPr>
          <w:rFonts w:hint="eastAsia"/>
          <w:bCs/>
          <w:color w:val="auto"/>
          <w:sz w:val="24"/>
          <w:u w:val="single"/>
        </w:rPr>
        <w:t xml:space="preserve">      </w:t>
      </w:r>
      <w:r>
        <w:rPr>
          <w:rFonts w:hint="eastAsia"/>
          <w:bCs/>
          <w:color w:val="auto"/>
          <w:sz w:val="24"/>
        </w:rPr>
        <w:t xml:space="preserve">年</w:t>
      </w:r>
      <w:r>
        <w:rPr>
          <w:rFonts w:hint="eastAsia"/>
          <w:bCs/>
          <w:color w:val="auto"/>
          <w:sz w:val="24"/>
          <w:u w:val="single"/>
        </w:rPr>
        <w:t xml:space="preserve">    </w:t>
      </w:r>
      <w:r>
        <w:rPr>
          <w:rFonts w:hint="eastAsia"/>
          <w:bCs/>
          <w:color w:val="auto"/>
          <w:sz w:val="24"/>
        </w:rPr>
        <w:t xml:space="preserve">月</w:t>
      </w:r>
      <w:r>
        <w:rPr>
          <w:rFonts w:hint="eastAsia"/>
          <w:bCs/>
          <w:color w:val="auto"/>
          <w:sz w:val="24"/>
          <w:u w:val="single"/>
        </w:rPr>
        <w:t xml:space="preserve">    </w:t>
      </w:r>
      <w:r>
        <w:rPr>
          <w:rFonts w:hint="eastAsia"/>
          <w:bCs/>
          <w:color w:val="auto"/>
          <w:sz w:val="24"/>
        </w:rPr>
        <w:t xml:space="preserve">日</w:t>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ind w:firstLine="480"/>
        <w:spacing w:line="520" w:lineRule="exact"/>
        <w:rPr>
          <w:bCs/>
          <w:color w:val="auto"/>
          <w:sz w:val="24"/>
        </w:rPr>
      </w:pPr>
      <w:r>
        <w:rPr>
          <w:bCs/>
          <w:color w:val="auto"/>
          <w:sz w:val="24"/>
        </w:rPr>
      </w:r>
      <w:r/>
    </w:p>
    <w:p>
      <w:pPr>
        <w:pStyle w:val="742"/>
        <w:spacing w:line="520" w:lineRule="exact"/>
        <w:rPr>
          <w:bCs/>
          <w:color w:val="auto"/>
          <w:sz w:val="24"/>
        </w:rPr>
      </w:pPr>
      <w:r>
        <w:rPr>
          <w:bCs/>
          <w:color w:val="auto"/>
          <w:sz w:val="24"/>
        </w:rPr>
      </w:r>
      <w:r/>
    </w:p>
    <w:p>
      <w:pPr>
        <w:pStyle w:val="742"/>
        <w:jc w:val="center"/>
        <w:rPr>
          <w:i/>
          <w:color w:val="auto"/>
          <w:sz w:val="28"/>
          <w:szCs w:val="28"/>
          <w:u w:val="single"/>
        </w:rPr>
      </w:pPr>
      <w:r>
        <w:rPr>
          <w:i/>
          <w:color w:val="auto"/>
          <w:sz w:val="28"/>
          <w:szCs w:val="28"/>
          <w:u w:val="single"/>
        </w:rPr>
      </w:r>
      <w:r/>
    </w:p>
    <w:p>
      <w:pPr>
        <w:pStyle w:val="742"/>
        <w:rPr>
          <w:i/>
          <w:color w:val="auto"/>
          <w:sz w:val="28"/>
          <w:szCs w:val="28"/>
          <w:u w:val="single"/>
        </w:rPr>
      </w:pPr>
      <w:r>
        <w:rPr>
          <w:i/>
          <w:color w:val="auto"/>
          <w:sz w:val="28"/>
          <w:szCs w:val="28"/>
          <w:u w:val="single"/>
        </w:rPr>
      </w:r>
      <w:r/>
    </w:p>
    <w:p>
      <w:pPr>
        <w:pStyle w:val="742"/>
        <w:jc w:val="center"/>
        <w:rPr>
          <w:b/>
          <w:color w:val="auto"/>
          <w:sz w:val="28"/>
          <w:szCs w:val="28"/>
        </w:rPr>
        <w:outlineLvl w:val="1"/>
      </w:pPr>
      <w:r>
        <w:rPr>
          <w:rFonts w:hint="eastAsia"/>
          <w:b/>
          <w:color w:val="auto"/>
          <w:sz w:val="28"/>
          <w:szCs w:val="28"/>
        </w:rPr>
        <w:t xml:space="preserve">四、依法缴纳税收和社会保障资金的相关材料</w:t>
      </w:r>
      <w:r/>
    </w:p>
    <w:p>
      <w:pPr>
        <w:pStyle w:val="742"/>
        <w:ind w:firstLine="480"/>
        <w:rPr>
          <w:color w:val="auto"/>
        </w:rPr>
      </w:pPr>
      <w:r/>
      <w:bookmarkStart w:id="122" w:name="_Toc120614284"/>
      <w:r>
        <w:rPr>
          <w:rFonts w:hint="eastAsia"/>
          <w:color w:val="auto"/>
        </w:rPr>
        <w:t xml:space="preserve">提供提交响应文件截止时间前一年内至少一个月依法缴纳税收及缴纳社会保障资金的证明材料。供应商依法享受缓缴、免缴税收、社会保障资金的提供证明材料。</w:t>
      </w:r>
      <w:bookmarkEnd w:id="122"/>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ind w:firstLine="480"/>
        <w:rPr>
          <w:color w:val="auto"/>
        </w:rPr>
      </w:pPr>
      <w:r>
        <w:rPr>
          <w:color w:val="auto"/>
        </w:rPr>
      </w:r>
      <w:r/>
    </w:p>
    <w:p>
      <w:pPr>
        <w:pStyle w:val="742"/>
        <w:jc w:val="center"/>
        <w:rPr>
          <w:b/>
          <w:color w:val="auto"/>
          <w:sz w:val="28"/>
          <w:szCs w:val="28"/>
        </w:rPr>
        <w:outlineLvl w:val="1"/>
      </w:pPr>
      <w:r>
        <w:rPr>
          <w:rFonts w:hint="eastAsia"/>
          <w:b/>
          <w:color w:val="auto"/>
          <w:sz w:val="28"/>
          <w:szCs w:val="28"/>
        </w:rPr>
        <w:t xml:space="preserve">五、参加政府采购活动前 3 年内在经营活动中没有重大违法记录的书面声明</w:t>
      </w:r>
      <w:r/>
    </w:p>
    <w:p>
      <w:pPr>
        <w:pStyle w:val="742"/>
        <w:jc w:val="center"/>
        <w:spacing w:line="0" w:lineRule="atLeast"/>
        <w:rPr>
          <w:color w:val="auto"/>
        </w:rPr>
      </w:pPr>
      <w:r>
        <w:rPr>
          <w:rFonts w:hint="eastAsia"/>
          <w:b/>
          <w:color w:val="auto"/>
          <w:sz w:val="44"/>
          <w:szCs w:val="44"/>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742"/>
        <w:rPr>
          <w:color w:val="auto"/>
        </w:rPr>
      </w:pPr>
      <w:r>
        <w:rPr>
          <w:rFonts w:hint="eastAsia"/>
          <w:color w:val="auto"/>
        </w:rPr>
        <w:t xml:space="preserve"> </w:t>
      </w:r>
      <w:r/>
    </w:p>
    <w:p>
      <w:pPr>
        <w:pStyle w:val="742"/>
        <w:rPr>
          <w:color w:val="auto"/>
        </w:rPr>
      </w:pPr>
      <w:r>
        <w:rPr>
          <w:color w:val="auto"/>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w:t>
      </w:r>
      <w:r/>
    </w:p>
    <w:p>
      <w:pPr>
        <w:ind w:firstLine="480"/>
        <w:spacing w:line="4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42"/>
        <w:rPr>
          <w:color w:val="auto"/>
        </w:rPr>
      </w:pPr>
      <w:r>
        <w:rPr>
          <w:color w:val="auto"/>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rPr>
          <w:i/>
          <w:color w:val="auto"/>
          <w:sz w:val="32"/>
          <w:szCs w:val="32"/>
          <w:u w:val="single"/>
        </w:rPr>
      </w:pPr>
      <w:r>
        <w:rPr>
          <w:i/>
          <w:color w:val="auto"/>
          <w:sz w:val="32"/>
          <w:szCs w:val="32"/>
          <w:u w:val="single"/>
        </w:rPr>
      </w:r>
      <w:r/>
    </w:p>
    <w:p>
      <w:pPr>
        <w:pStyle w:val="742"/>
        <w:jc w:val="center"/>
        <w:rPr>
          <w:b/>
          <w:color w:val="auto"/>
          <w:sz w:val="28"/>
          <w:szCs w:val="28"/>
        </w:rPr>
      </w:pPr>
      <w:r>
        <w:rPr>
          <w:b/>
          <w:color w:val="auto"/>
          <w:sz w:val="28"/>
          <w:szCs w:val="28"/>
        </w:rPr>
      </w:r>
      <w:r/>
    </w:p>
    <w:p>
      <w:pPr>
        <w:pStyle w:val="742"/>
        <w:jc w:val="center"/>
        <w:rPr>
          <w:b/>
          <w:color w:val="auto"/>
          <w:sz w:val="28"/>
          <w:szCs w:val="28"/>
        </w:rPr>
        <w:outlineLvl w:val="1"/>
      </w:pPr>
      <w:r>
        <w:rPr>
          <w:rFonts w:hint="eastAsia"/>
          <w:b/>
          <w:color w:val="auto"/>
          <w:sz w:val="28"/>
          <w:szCs w:val="28"/>
        </w:rPr>
        <w:t xml:space="preserve">六、特定资格要求的证明文件</w:t>
      </w:r>
      <w:r/>
    </w:p>
    <w:p>
      <w:pPr>
        <w:ind w:firstLine="420"/>
        <w:jc w:val="left"/>
        <w:tabs>
          <w:tab w:val="left" w:pos="669" w:leader="none"/>
        </w:tabs>
        <w:rPr>
          <w:rFonts w:ascii="宋体" w:hAnsi="宋体" w:cs="宋体"/>
        </w:rPr>
      </w:pPr>
      <w:r>
        <w:rPr>
          <w:rFonts w:hint="eastAsia" w:ascii="宋体" w:hAnsi="宋体" w:cs="宋体"/>
        </w:rPr>
        <w:t xml:space="preserve">如果本项目申请人的特定资格要求中要求提供的，必须提供。</w:t>
      </w:r>
      <w:r/>
    </w:p>
    <w:p>
      <w:pPr>
        <w:spacing w:line="360" w:lineRule="auto"/>
        <w:rPr>
          <w:rFonts w:ascii="宋体" w:hAnsi="宋体" w:eastAsia="宋体"/>
        </w:rPr>
      </w:pPr>
      <w:r>
        <w:rPr>
          <w:rFonts w:ascii="宋体" w:hAnsi="宋体" w:eastAsia="宋体"/>
        </w:rPr>
      </w:r>
      <w:r/>
    </w:p>
    <w:p>
      <w:pPr>
        <w:jc w:val="left"/>
        <w:spacing w:line="360" w:lineRule="auto"/>
        <w:widowControl/>
        <w:rPr>
          <w:rFonts w:ascii="宋体" w:hAnsi="宋体" w:eastAsia="宋体"/>
        </w:rPr>
      </w:pPr>
      <w:r>
        <w:rPr>
          <w:rFonts w:hint="eastAsia" w:ascii="宋体" w:hAnsi="宋体" w:eastAsia="宋体"/>
        </w:rPr>
        <w:br w:type="page" w:clear="all"/>
      </w:r>
      <w:r/>
    </w:p>
    <w:p>
      <w:pPr>
        <w:jc w:val="center"/>
        <w:rPr>
          <w:rFonts w:ascii="宋体" w:hAnsi="宋体" w:eastAsia="宋体" w:cs="Times New Roman"/>
          <w:b/>
          <w:bCs/>
          <w:sz w:val="30"/>
          <w:szCs w:val="30"/>
          <w14:ligatures w14:val="none"/>
        </w:rPr>
        <w:outlineLvl w:val="1"/>
      </w:pPr>
      <w:r/>
      <w:bookmarkStart w:id="123" w:name="_Toc197644586"/>
      <w:r/>
      <w:bookmarkStart w:id="124" w:name="OLE_LINK6"/>
      <w:r>
        <w:rPr>
          <w:rFonts w:hint="eastAsia" w:ascii="宋体" w:hAnsi="宋体" w:eastAsia="宋体" w:cs="黑体"/>
          <w:b/>
          <w:bCs/>
          <w:iCs/>
          <w:sz w:val="28"/>
          <w:szCs w:val="28"/>
          <w14:ligatures w14:val="none"/>
        </w:rPr>
        <w:t xml:space="preserve">七、法人授权书</w:t>
      </w:r>
      <w:bookmarkEnd w:id="123"/>
      <w:r/>
      <w:r/>
    </w:p>
    <w:p>
      <w:pPr>
        <w:spacing w:line="360" w:lineRule="auto"/>
        <w:tabs>
          <w:tab w:val="left" w:pos="360" w:leader="none"/>
        </w:tabs>
        <w:rPr>
          <w:rFonts w:ascii="宋体" w:hAnsi="宋体" w:eastAsia="宋体" w:cs="Times New Roman"/>
          <w:sz w:val="24"/>
          <w:szCs w:val="24"/>
          <w14:ligatures w14:val="none"/>
        </w:rPr>
      </w:pPr>
      <w:r>
        <w:rPr>
          <w:rFonts w:ascii="宋体" w:hAnsi="宋体" w:eastAsia="宋体" w:cs="Times New Roman"/>
          <w:sz w:val="24"/>
          <w:szCs w:val="24"/>
          <w14:ligatures w14:val="none"/>
        </w:rPr>
      </w:r>
      <w:r/>
    </w:p>
    <w:p>
      <w:pPr>
        <w:ind w:firstLine="420"/>
        <w:spacing w:line="360" w:lineRule="auto"/>
        <w:tabs>
          <w:tab w:val="left" w:pos="360" w:leader="none"/>
        </w:tabs>
        <w:rPr>
          <w:rFonts w:ascii="宋体" w:hAnsi="宋体" w:eastAsia="宋体" w:cs="Times New Roman"/>
          <w:szCs w:val="21"/>
          <w14:ligatures w14:val="none"/>
        </w:rPr>
      </w:pPr>
      <w:r>
        <w:rPr>
          <w:rFonts w:ascii="宋体" w:hAnsi="宋体" w:eastAsia="宋体" w:cs="Times New Roman"/>
          <w:szCs w:val="21"/>
          <w14:ligatures w14:val="none"/>
        </w:rPr>
        <w:t xml:space="preserve">本授权书声明：____________（</w:t>
      </w:r>
      <w:r>
        <w:rPr>
          <w:rFonts w:hint="eastAsia" w:ascii="宋体" w:hAnsi="宋体" w:eastAsia="宋体" w:cs="Times New Roman"/>
          <w:szCs w:val="21"/>
          <w14:ligatures w14:val="none"/>
        </w:rPr>
        <w:t xml:space="preserve">供应商</w:t>
      </w:r>
      <w:r>
        <w:rPr>
          <w:rFonts w:ascii="宋体" w:hAnsi="宋体" w:eastAsia="宋体" w:cs="Times New Roman"/>
          <w:szCs w:val="21"/>
          <w14:ligatures w14:val="none"/>
        </w:rPr>
        <w:t xml:space="preserve">名称）授权________________（被授权人的姓名）为我方就</w:t>
      </w:r>
      <w:r>
        <w:rPr>
          <w:rFonts w:hint="eastAsia" w:ascii="宋体" w:hAnsi="宋体" w:eastAsia="宋体" w:cs="宋体"/>
          <w:szCs w:val="21"/>
          <w:u w:val="single"/>
        </w:rPr>
        <w:t xml:space="preserve">            </w:t>
      </w:r>
      <w:r>
        <w:rPr>
          <w:rFonts w:ascii="宋体" w:hAnsi="宋体" w:eastAsia="宋体" w:cs="Times New Roman"/>
          <w:szCs w:val="21"/>
          <w14:ligatures w14:val="none"/>
        </w:rPr>
        <w:t xml:space="preserve">号</w:t>
      </w:r>
      <w:r>
        <w:rPr>
          <w:rFonts w:hint="eastAsia" w:ascii="宋体" w:hAnsi="宋体" w:eastAsia="宋体" w:cs="Times New Roman"/>
          <w:szCs w:val="21"/>
          <w:u w:val="single"/>
          <w14:ligatures w14:val="none"/>
        </w:rPr>
        <w:t xml:space="preserve">                  </w:t>
      </w:r>
      <w:r>
        <w:rPr>
          <w:rFonts w:ascii="宋体" w:hAnsi="宋体" w:eastAsia="宋体" w:cs="Times New Roman"/>
          <w:szCs w:val="21"/>
          <w14:ligatures w14:val="none"/>
        </w:rPr>
        <w:t xml:space="preserve">项目采购活动的合法代理人，以本单位名义全权处理一切与该项目采购有关的事务。</w:t>
      </w:r>
      <w:r/>
    </w:p>
    <w:p>
      <w:pPr>
        <w:ind w:firstLine="480"/>
        <w:spacing w:line="360" w:lineRule="auto"/>
        <w:tabs>
          <w:tab w:val="left" w:pos="360" w:leader="none"/>
        </w:tabs>
        <w:rPr>
          <w:rFonts w:ascii="宋体" w:hAnsi="宋体" w:eastAsia="宋体" w:cs="Times New Roman"/>
          <w:szCs w:val="21"/>
          <w14:ligatures w14:val="none"/>
        </w:rPr>
      </w:pPr>
      <w:r>
        <w:rPr>
          <w:rFonts w:ascii="宋体" w:hAnsi="宋体" w:eastAsia="宋体" w:cs="Times New Roman"/>
          <w:szCs w:val="21"/>
          <w14:ligatures w14:val="none"/>
        </w:rPr>
        <w:t xml:space="preserve">本授权书于______年____月____日起生效，特此声明。</w:t>
      </w:r>
      <w:r/>
    </w:p>
    <w:p>
      <w:pPr>
        <w:ind w:firstLine="420"/>
        <w:spacing w:line="360" w:lineRule="auto"/>
        <w:tabs>
          <w:tab w:val="left" w:pos="360" w:leader="none"/>
        </w:tabs>
        <w:rPr>
          <w:rFonts w:ascii="宋体" w:hAnsi="宋体" w:eastAsia="宋体" w:cs="Times New Roman"/>
          <w:szCs w:val="21"/>
          <w14:ligatures w14:val="none"/>
        </w:rPr>
      </w:pPr>
      <w:r>
        <w:rPr>
          <w:rFonts w:ascii="宋体" w:hAnsi="宋体" w:eastAsia="宋体" w:cs="Times New Roman"/>
          <w:szCs w:val="21"/>
          <w14:ligatures w14:val="none"/>
        </w:rPr>
        <w:t xml:space="preserve">被授权人身份证号码：</w:t>
      </w:r>
      <w:r>
        <w:rPr>
          <w:rFonts w:ascii="宋体" w:hAnsi="宋体" w:eastAsia="宋体" w:cs="Times New Roman"/>
          <w:szCs w:val="21"/>
          <w:u w:val="single"/>
          <w14:ligatures w14:val="none"/>
        </w:rPr>
        <w:t xml:space="preserve">                 </w:t>
      </w:r>
      <w:r/>
    </w:p>
    <w:p>
      <w:pPr>
        <w:ind w:firstLine="420"/>
        <w:spacing w:line="360" w:lineRule="auto"/>
        <w:tabs>
          <w:tab w:val="left" w:pos="360" w:leader="none"/>
        </w:tabs>
        <w:rPr>
          <w:rFonts w:ascii="宋体" w:hAnsi="宋体" w:eastAsia="宋体" w:cs="Times New Roman"/>
          <w:szCs w:val="21"/>
          <w14:ligatures w14:val="none"/>
        </w:rPr>
      </w:pPr>
      <w:r>
        <w:rPr>
          <w:rFonts w:ascii="宋体" w:hAnsi="宋体" w:eastAsia="宋体" w:cs="Times New Roman"/>
          <w:szCs w:val="21"/>
          <w14:ligatures w14:val="none"/>
        </w:rPr>
        <w:t xml:space="preserve">被授权人联系电话：（手机）</w:t>
      </w:r>
      <w:r>
        <w:rPr>
          <w:rFonts w:ascii="宋体" w:hAnsi="宋体" w:eastAsia="宋体" w:cs="Times New Roman"/>
          <w:szCs w:val="21"/>
          <w:u w:val="single"/>
          <w14:ligatures w14:val="none"/>
        </w:rPr>
        <w:t xml:space="preserve">              </w:t>
      </w:r>
      <w:r/>
    </w:p>
    <w:p>
      <w:pPr>
        <w:ind w:firstLine="420"/>
        <w:spacing w:line="360" w:lineRule="auto"/>
        <w:tabs>
          <w:tab w:val="left" w:pos="360" w:leader="none"/>
        </w:tabs>
        <w:rPr>
          <w:rFonts w:ascii="宋体" w:hAnsi="宋体" w:eastAsia="宋体" w:cs="Times New Roman"/>
          <w:szCs w:val="21"/>
          <w:u w:val="single"/>
          <w14:ligatures w14:val="none"/>
        </w:rPr>
      </w:pPr>
      <w:r>
        <w:rPr>
          <w:rFonts w:ascii="宋体" w:hAnsi="宋体" w:eastAsia="宋体" w:cs="Times New Roman"/>
          <w:szCs w:val="21"/>
          <w14:ligatures w14:val="none"/>
        </w:rPr>
        <w:t xml:space="preserve">授权单位名称：</w:t>
      </w:r>
      <w:r>
        <w:rPr>
          <w:rFonts w:ascii="宋体" w:hAnsi="宋体" w:eastAsia="宋体" w:cs="Times New Roman"/>
          <w:szCs w:val="21"/>
          <w:u w:val="single"/>
          <w14:ligatures w14:val="none"/>
        </w:rPr>
        <w:t xml:space="preserve">（加盖CA电子公章）</w:t>
      </w:r>
      <w:r/>
    </w:p>
    <w:p>
      <w:pPr>
        <w:ind w:firstLine="420"/>
        <w:spacing w:line="360" w:lineRule="auto"/>
        <w:tabs>
          <w:tab w:val="left" w:pos="360" w:leader="none"/>
        </w:tabs>
        <w:rPr>
          <w:rFonts w:ascii="宋体" w:hAnsi="宋体" w:eastAsia="宋体" w:cs="Times New Roman"/>
          <w:szCs w:val="21"/>
          <w:u w:val="single"/>
          <w14:ligatures w14:val="none"/>
        </w:rPr>
      </w:pPr>
      <w:r>
        <w:rPr>
          <w:rFonts w:ascii="宋体" w:hAnsi="宋体" w:eastAsia="宋体" w:cs="Times New Roman"/>
          <w:szCs w:val="21"/>
          <w14:ligatures w14:val="none"/>
        </w:rPr>
        <w:t xml:space="preserve">单位地址：</w:t>
      </w:r>
      <w:r>
        <w:rPr>
          <w:rFonts w:ascii="宋体" w:hAnsi="宋体" w:eastAsia="宋体" w:cs="Times New Roman"/>
          <w:szCs w:val="21"/>
          <w:u w:val="single"/>
          <w14:ligatures w14:val="none"/>
        </w:rPr>
        <w:t xml:space="preserve">                      </w:t>
      </w:r>
      <w:r/>
    </w:p>
    <w:p>
      <w:pPr>
        <w:ind w:firstLine="420"/>
        <w:spacing w:line="360" w:lineRule="auto"/>
        <w:tabs>
          <w:tab w:val="left" w:pos="360" w:leader="none"/>
        </w:tabs>
        <w:rPr>
          <w:rFonts w:ascii="宋体" w:hAnsi="宋体" w:eastAsia="宋体" w:cs="Times New Roman"/>
          <w:szCs w:val="21"/>
          <w14:ligatures w14:val="none"/>
        </w:rPr>
      </w:pPr>
      <w:r>
        <w:rPr>
          <w:rFonts w:ascii="宋体" w:hAnsi="宋体" w:eastAsia="宋体" w:cs="Times New Roman"/>
          <w:szCs w:val="21"/>
          <w14:ligatures w14:val="none"/>
        </w:rPr>
        <w:t xml:space="preserve">日期：</w:t>
      </w:r>
      <w:r>
        <w:rPr>
          <w:rFonts w:ascii="宋体" w:hAnsi="宋体" w:eastAsia="宋体" w:cs="Times New Roman"/>
          <w:szCs w:val="21"/>
          <w:u w:val="single"/>
          <w14:ligatures w14:val="none"/>
        </w:rPr>
        <w:t xml:space="preserve">                        </w:t>
      </w:r>
      <w:bookmarkEnd w:id="124"/>
      <w:r/>
      <w:r/>
    </w:p>
    <w:p>
      <w:pPr>
        <w:rPr>
          <w:rFonts w:ascii="宋体" w:hAnsi="宋体" w:eastAsia="宋体" w:cs="Times New Roman"/>
          <w:sz w:val="24"/>
          <w:szCs w:val="24"/>
          <w14:ligatures w14:val="none"/>
        </w:rPr>
      </w:pPr>
      <w:r>
        <w:rPr>
          <w:rFonts w:ascii="宋体" w:hAnsi="宋体" w:eastAsia="宋体" w:cs="Times New Roman"/>
          <w:sz w:val="24"/>
          <w:szCs w:val="24"/>
          <w14:ligatures w14:val="none"/>
        </w:rPr>
      </w:r>
      <w:r/>
    </w:p>
    <w:p>
      <w:pPr>
        <w:jc w:val="left"/>
        <w:widowControl/>
        <w:rPr>
          <w:rFonts w:ascii="宋体" w:hAnsi="宋体" w:eastAsia="宋体"/>
        </w:rPr>
      </w:pPr>
      <w:r>
        <w:rPr>
          <w:rFonts w:ascii="宋体" w:hAnsi="宋体" w:eastAsia="宋体"/>
        </w:rPr>
      </w:r>
      <w:r/>
    </w:p>
    <w:p>
      <w:pPr>
        <w:jc w:val="center"/>
        <w:spacing w:line="360" w:lineRule="auto"/>
        <w:rPr>
          <w:rFonts w:ascii="宋体" w:hAnsi="宋体" w:eastAsia="宋体" w:cs="黑体"/>
          <w:b/>
          <w:bCs/>
          <w:i/>
          <w:sz w:val="30"/>
          <w:szCs w:val="30"/>
          <w:u w:val="single"/>
        </w:rPr>
      </w:pPr>
      <w:r/>
      <w:bookmarkStart w:id="125" w:name="_Toc197644587"/>
      <w:r/>
      <w:r/>
    </w:p>
    <w:p>
      <w:pPr>
        <w:jc w:val="center"/>
        <w:spacing w:line="360" w:lineRule="auto"/>
        <w:rPr>
          <w:rFonts w:ascii="宋体" w:hAnsi="宋体" w:eastAsia="宋体" w:cs="黑体"/>
          <w:b/>
          <w:bCs/>
          <w:i/>
          <w:sz w:val="30"/>
          <w:szCs w:val="30"/>
          <w:u w:val="single"/>
        </w:rPr>
        <w:sectPr>
          <w:footerReference w:type="default" r:id="rId9"/>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黑体"/>
          <w:b/>
          <w:bCs/>
          <w:i/>
          <w:sz w:val="30"/>
          <w:szCs w:val="30"/>
          <w:u w:val="single"/>
        </w:rPr>
      </w:r>
      <w:r/>
    </w:p>
    <w:p>
      <w:pPr>
        <w:jc w:val="center"/>
        <w:spacing w:line="360" w:lineRule="auto"/>
        <w:rPr>
          <w:rFonts w:ascii="宋体" w:hAnsi="宋体" w:eastAsia="宋体"/>
          <w:b/>
          <w:bCs/>
          <w:i/>
          <w:sz w:val="30"/>
          <w:szCs w:val="30"/>
          <w:u w:val="single"/>
        </w:rPr>
        <w:outlineLvl w:val="1"/>
      </w:pPr>
      <w:r>
        <w:rPr>
          <w:rFonts w:hint="eastAsia" w:ascii="宋体" w:hAnsi="宋体" w:eastAsia="宋体" w:cs="黑体"/>
          <w:b/>
          <w:bCs/>
          <w:iCs/>
          <w:sz w:val="28"/>
          <w:szCs w:val="28"/>
        </w:rPr>
        <w:t xml:space="preserve">八、投标函</w:t>
      </w:r>
      <w:bookmarkEnd w:id="125"/>
      <w:r/>
      <w:r/>
    </w:p>
    <w:p>
      <w:pPr>
        <w:spacing w:line="360" w:lineRule="auto"/>
        <w:rPr>
          <w:rFonts w:ascii="宋体" w:hAnsi="宋体" w:eastAsia="宋体"/>
        </w:rPr>
      </w:pPr>
      <w:r>
        <w:rPr>
          <w:rFonts w:ascii="宋体" w:hAnsi="宋体" w:eastAsia="宋体"/>
        </w:rPr>
      </w:r>
      <w:r/>
    </w:p>
    <w:p>
      <w:pPr>
        <w:jc w:val="left"/>
        <w:spacing w:line="360" w:lineRule="auto"/>
        <w:rPr>
          <w:rFonts w:ascii="宋体" w:hAnsi="宋体" w:eastAsia="宋体" w:cs="宋体"/>
          <w:b/>
          <w:bCs/>
          <w:szCs w:val="21"/>
          <w14:ligatures w14:val="none"/>
        </w:rPr>
      </w:pPr>
      <w:r>
        <w:rPr>
          <w:rFonts w:hint="eastAsia" w:ascii="宋体" w:hAnsi="宋体" w:eastAsia="宋体" w:cs="宋体"/>
          <w:b/>
          <w:bCs/>
          <w:szCs w:val="21"/>
          <w14:ligatures w14:val="none"/>
        </w:rPr>
        <w:t xml:space="preserve">致：盐城市亭湖生态环境局</w:t>
      </w:r>
      <w:r/>
    </w:p>
    <w:p>
      <w:pPr>
        <w:ind w:firstLine="480"/>
        <w:jc w:val="left"/>
        <w:spacing w:line="360" w:lineRule="auto"/>
        <w:rPr>
          <w:rFonts w:ascii="宋体" w:hAnsi="宋体" w:eastAsia="宋体" w:cs="Times New Roman"/>
          <w:szCs w:val="21"/>
          <w14:ligatures w14:val="none"/>
        </w:rPr>
      </w:pPr>
      <w:r/>
      <w:bookmarkStart w:id="126" w:name="_Hlk195802303"/>
      <w:r>
        <w:rPr>
          <w:rFonts w:hint="eastAsia" w:ascii="宋体" w:hAnsi="宋体" w:eastAsia="宋体" w:cs="宋体"/>
          <w:szCs w:val="21"/>
          <w14:ligatures w14:val="none"/>
        </w:rPr>
        <w:t xml:space="preserve">根据贵方的</w:t>
      </w:r>
      <w:r>
        <w:rPr>
          <w:rFonts w:hint="eastAsia" w:ascii="宋体" w:hAnsi="宋体" w:eastAsia="宋体" w:cs="宋体"/>
          <w:szCs w:val="21"/>
          <w:u w:val="single"/>
        </w:rPr>
        <w:t xml:space="preserve">                 </w:t>
      </w:r>
      <w:r>
        <w:rPr>
          <w:rFonts w:hint="eastAsia" w:ascii="宋体" w:hAnsi="宋体" w:eastAsia="宋体" w:cs="宋体"/>
          <w:szCs w:val="21"/>
          <w14:ligatures w14:val="none"/>
        </w:rPr>
        <w:t xml:space="preserve">号招标文件，正式授权下述签字人______(姓名)代表我方______________（供应商的名称），全权处理本次项目投标的有关事宜。</w:t>
      </w:r>
      <w:bookmarkEnd w:id="126"/>
      <w:r/>
      <w:r/>
    </w:p>
    <w:p>
      <w:pPr>
        <w:ind w:firstLine="480"/>
        <w:jc w:val="left"/>
        <w:spacing w:line="360" w:lineRule="auto"/>
        <w:rPr>
          <w:rFonts w:ascii="宋体" w:hAnsi="宋体" w:eastAsia="宋体" w:cs="Times New Roman"/>
          <w:szCs w:val="21"/>
          <w14:ligatures w14:val="none"/>
        </w:rPr>
      </w:pPr>
      <w:r/>
      <w:bookmarkStart w:id="127" w:name="_Hlk195802286"/>
      <w:r>
        <w:rPr>
          <w:rFonts w:hint="eastAsia" w:ascii="宋体" w:hAnsi="宋体" w:eastAsia="宋体" w:cs="宋体"/>
          <w:szCs w:val="21"/>
          <w14:ligatures w14:val="none"/>
        </w:rPr>
        <w:t xml:space="preserve">据此函，__________签字人兹宣布同意如下：</w:t>
      </w:r>
      <w:r/>
    </w:p>
    <w:p>
      <w:pPr>
        <w:ind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1.按招标文件规定的各项要求，向买方提供所需服务（包含与服务相关的货物）。</w:t>
      </w:r>
      <w:r/>
    </w:p>
    <w:p>
      <w:pPr>
        <w:ind w:firstLine="480"/>
        <w:jc w:val="left"/>
        <w:spacing w:line="360" w:lineRule="auto"/>
        <w:rPr>
          <w:rFonts w:ascii="宋体" w:hAnsi="宋体" w:eastAsia="宋体" w:cs="Times New Roman"/>
          <w:szCs w:val="21"/>
          <w14:ligatures w14:val="none"/>
        </w:rPr>
        <w:outlineLvl w:val="2"/>
      </w:pPr>
      <w:r>
        <w:rPr>
          <w:rFonts w:hint="eastAsia" w:ascii="宋体" w:hAnsi="宋体" w:eastAsia="宋体" w:cs="宋体"/>
          <w:szCs w:val="21"/>
          <w14:ligatures w14:val="none"/>
        </w:rPr>
        <w:t xml:space="preserve">2.我们完全理解贵方不一定将合同授予最低报价的供应商。</w:t>
      </w:r>
      <w:r/>
    </w:p>
    <w:p>
      <w:pPr>
        <w:ind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szCs w:val="21"/>
          <w14:ligatures w14:val="none"/>
        </w:rPr>
        <w:outlineLvl w:val="2"/>
      </w:pPr>
      <w:r>
        <w:rPr>
          <w:rFonts w:hint="eastAsia" w:ascii="宋体" w:hAnsi="宋体" w:eastAsia="宋体" w:cs="宋体"/>
          <w:szCs w:val="21"/>
          <w14:ligatures w14:val="none"/>
        </w:rPr>
        <w:t xml:space="preserve">7.与本投标有关的正式通讯地址为：</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地    址：</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邮    编：</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电    话：</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传    真：</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供应商开户行：</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账    号： </w:t>
      </w:r>
      <w:r/>
    </w:p>
    <w:p>
      <w:pPr>
        <w:ind w:left="420" w:firstLine="480"/>
        <w:jc w:val="left"/>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日    期：________年____月____日</w:t>
      </w:r>
      <w:bookmarkEnd w:id="127"/>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b/>
          <w:bCs/>
          <w:sz w:val="24"/>
          <w:szCs w:val="24"/>
        </w:rPr>
        <w:t xml:space="preserve">注：以上签字人可为手写签字或电脑打字均可。</w:t>
      </w:r>
      <w:r>
        <w:rPr>
          <w:rFonts w:hint="eastAsia" w:ascii="宋体" w:hAnsi="宋体" w:eastAsia="宋体"/>
        </w:rPr>
        <w:br w:type="page" w:clear="all"/>
      </w:r>
      <w:r/>
    </w:p>
    <w:p>
      <w:pPr>
        <w:jc w:val="center"/>
        <w:spacing w:line="360" w:lineRule="auto"/>
        <w:rPr>
          <w:rFonts w:ascii="宋体" w:hAnsi="宋体" w:eastAsia="宋体"/>
          <w:b/>
          <w:bCs/>
          <w:iCs/>
          <w:sz w:val="30"/>
          <w:szCs w:val="30"/>
        </w:rPr>
        <w:outlineLvl w:val="1"/>
      </w:pPr>
      <w:r/>
      <w:bookmarkStart w:id="128" w:name="_Toc197644588"/>
      <w:r>
        <w:rPr>
          <w:rFonts w:hint="eastAsia" w:ascii="宋体" w:hAnsi="宋体" w:eastAsia="宋体" w:cs="黑体"/>
          <w:b/>
          <w:bCs/>
          <w:iCs/>
          <w:sz w:val="30"/>
          <w:szCs w:val="30"/>
        </w:rPr>
        <w:t xml:space="preserve">九、中小微企业声明函</w:t>
      </w:r>
      <w:r>
        <w:rPr>
          <w:rFonts w:hint="eastAsia" w:ascii="宋体" w:hAnsi="宋体" w:eastAsia="宋体" w:cs="黑体"/>
          <w:b/>
          <w:bCs/>
          <w:sz w:val="30"/>
          <w:szCs w:val="30"/>
        </w:rPr>
        <w:t xml:space="preserve">（服务）</w:t>
      </w:r>
      <w:bookmarkEnd w:id="128"/>
      <w:r/>
      <w:r/>
    </w:p>
    <w:p>
      <w:pPr>
        <w:spacing w:line="360" w:lineRule="auto"/>
        <w:rPr>
          <w:rFonts w:ascii="宋体" w:hAnsi="宋体" w:eastAsia="宋体"/>
          <w:szCs w:val="21"/>
        </w:rPr>
      </w:pPr>
      <w:r>
        <w:rPr>
          <w:rFonts w:ascii="宋体" w:hAnsi="宋体" w:eastAsia="宋体"/>
          <w:szCs w:val="21"/>
        </w:rPr>
      </w:r>
      <w:r/>
    </w:p>
    <w:p>
      <w:pPr>
        <w:ind w:firstLine="372"/>
        <w:spacing w:line="360" w:lineRule="auto"/>
        <w:rPr>
          <w:rFonts w:ascii="宋体" w:hAnsi="宋体" w:eastAsia="宋体"/>
          <w:szCs w:val="21"/>
        </w:rPr>
      </w:pPr>
      <w:r>
        <w:rPr>
          <w:rFonts w:hint="eastAsia" w:ascii="宋体" w:hAnsi="宋体" w:eastAsia="宋体"/>
          <w:szCs w:val="21"/>
        </w:rPr>
        <w:t xml:space="preserve">本公司郑重声明，根据《政府采购促进中小企业发展管理办法》（财库﹝2020﹞46 号）的规定，本公司参加</w:t>
      </w:r>
      <w:r>
        <w:rPr>
          <w:rFonts w:hint="eastAsia" w:ascii="宋体" w:hAnsi="宋体" w:eastAsia="宋体"/>
          <w:szCs w:val="21"/>
          <w:u w:val="single"/>
        </w:rPr>
        <w:t xml:space="preserve">盐城市亭湖生态环境局</w:t>
      </w:r>
      <w:r>
        <w:rPr>
          <w:rFonts w:hint="eastAsia" w:ascii="宋体" w:hAnsi="宋体" w:eastAsia="宋体"/>
          <w:szCs w:val="21"/>
        </w:rPr>
        <w:t xml:space="preserve">组织的，项目编号为</w:t>
      </w:r>
      <w:r>
        <w:rPr>
          <w:rFonts w:hint="eastAsia" w:ascii="宋体" w:hAnsi="宋体" w:eastAsia="宋体" w:cs="宋体"/>
          <w:szCs w:val="21"/>
          <w:u w:val="single"/>
        </w:rPr>
        <w:t xml:space="preserve">       </w:t>
      </w:r>
      <w:r>
        <w:rPr>
          <w:rFonts w:hint="eastAsia" w:ascii="宋体" w:hAnsi="宋体" w:eastAsia="宋体"/>
          <w:szCs w:val="21"/>
        </w:rPr>
        <w:t xml:space="preserve">的</w:t>
      </w:r>
      <w:r>
        <w:rPr>
          <w:rFonts w:hint="eastAsia" w:ascii="宋体" w:hAnsi="宋体" w:eastAsia="宋体"/>
          <w:szCs w:val="21"/>
          <w:u w:val="single"/>
        </w:rPr>
        <w:t xml:space="preserve">  </w:t>
      </w:r>
      <w:r>
        <w:rPr>
          <w:rFonts w:hint="eastAsia" w:ascii="宋体" w:hAnsi="宋体" w:eastAsia="宋体" w:cs="Arial"/>
          <w:bCs/>
          <w:szCs w:val="21"/>
          <w:u w:val="single"/>
        </w:rPr>
        <w:t xml:space="preserve">       项目</w:t>
      </w:r>
      <w:r>
        <w:rPr>
          <w:rFonts w:hint="eastAsia" w:ascii="宋体" w:hAnsi="宋体" w:eastAsia="宋体"/>
          <w:szCs w:val="21"/>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24"/>
        <w:spacing w:line="360" w:lineRule="auto"/>
        <w:rPr>
          <w:rFonts w:ascii="宋体" w:hAnsi="宋体" w:eastAsia="宋体"/>
          <w:szCs w:val="21"/>
        </w:rPr>
      </w:pPr>
      <w:r>
        <w:rPr>
          <w:rFonts w:hint="eastAsia" w:ascii="宋体" w:hAnsi="宋体" w:eastAsia="宋体" w:cs="宋体"/>
          <w:szCs w:val="21"/>
        </w:rPr>
        <w:t xml:space="preserve">1. </w:t>
      </w:r>
      <w:r>
        <w:rPr>
          <w:rFonts w:hint="eastAsia" w:ascii="宋体" w:hAnsi="宋体" w:eastAsia="宋体" w:cs="宋体"/>
          <w:i/>
          <w:iCs/>
          <w:szCs w:val="21"/>
          <w:u w:val="single"/>
        </w:rPr>
        <w:t xml:space="preserve">（标的名称）</w:t>
      </w:r>
      <w:r>
        <w:rPr>
          <w:rFonts w:hint="eastAsia" w:ascii="宋体" w:hAnsi="宋体" w:eastAsia="宋体" w:cs="宋体"/>
          <w:szCs w:val="21"/>
        </w:rPr>
        <w:t xml:space="preserve"> ，属于</w:t>
      </w:r>
      <w:r>
        <w:rPr>
          <w:rFonts w:hint="eastAsia" w:ascii="宋体" w:hAnsi="宋体" w:eastAsia="宋体" w:cs="宋体"/>
          <w:i/>
          <w:iCs/>
          <w:szCs w:val="21"/>
          <w:u w:val="single"/>
        </w:rPr>
        <w:t xml:space="preserve">（采购文件中明确的所属行业）</w:t>
      </w:r>
      <w:r>
        <w:rPr>
          <w:rFonts w:hint="eastAsia" w:ascii="宋体" w:hAnsi="宋体" w:eastAsia="宋体" w:cs="宋体"/>
          <w:szCs w:val="21"/>
        </w:rPr>
        <w:t xml:space="preserve">；承建（承接）企业为</w:t>
      </w:r>
      <w:r>
        <w:rPr>
          <w:rFonts w:hint="eastAsia" w:ascii="宋体" w:hAnsi="宋体" w:eastAsia="宋体" w:cs="宋体"/>
          <w:i/>
          <w:iCs/>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i/>
          <w:iCs/>
          <w:szCs w:val="21"/>
          <w:u w:val="single"/>
        </w:rPr>
        <w:t xml:space="preserve">中型企业、小型企业、微型企业</w:t>
      </w:r>
      <w:r>
        <w:rPr>
          <w:rFonts w:hint="eastAsia" w:ascii="宋体" w:hAnsi="宋体" w:eastAsia="宋体" w:cs="宋体"/>
          <w:szCs w:val="21"/>
        </w:rPr>
        <w:t xml:space="preserve">）。</w:t>
      </w:r>
      <w:r/>
    </w:p>
    <w:p>
      <w:pPr>
        <w:ind w:firstLine="424"/>
        <w:spacing w:line="360" w:lineRule="auto"/>
        <w:rPr>
          <w:rFonts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4"/>
        <w:spacing w:line="360" w:lineRule="auto"/>
        <w:rPr>
          <w:rFonts w:ascii="宋体" w:hAnsi="宋体" w:eastAsia="宋体"/>
          <w:szCs w:val="21"/>
        </w:rPr>
      </w:pPr>
      <w:r>
        <w:rPr>
          <w:rFonts w:ascii="宋体" w:hAnsi="宋体" w:eastAsia="宋体"/>
          <w:szCs w:val="21"/>
        </w:rPr>
      </w:r>
      <w:r/>
    </w:p>
    <w:p>
      <w:pPr>
        <w:ind w:firstLine="424"/>
        <w:spacing w:line="360" w:lineRule="auto"/>
        <w:rPr>
          <w:rFonts w:ascii="宋体" w:hAnsi="宋体" w:eastAsia="宋体"/>
          <w:szCs w:val="21"/>
        </w:rPr>
      </w:pPr>
      <w:r>
        <w:rPr>
          <w:rFonts w:ascii="宋体" w:hAnsi="宋体" w:eastAsia="宋体"/>
          <w:szCs w:val="21"/>
        </w:rPr>
      </w:r>
      <w:r/>
    </w:p>
    <w:p>
      <w:pPr>
        <w:ind w:left="3570" w:firstLine="424"/>
        <w:spacing w:line="360" w:lineRule="auto"/>
        <w:rPr>
          <w:rFonts w:ascii="宋体" w:hAnsi="宋体" w:eastAsia="宋体"/>
          <w:szCs w:val="21"/>
        </w:rPr>
      </w:pPr>
      <w:r>
        <w:rPr>
          <w:rFonts w:hint="eastAsia" w:ascii="宋体" w:hAnsi="宋体" w:eastAsia="宋体" w:cs="宋体"/>
          <w:szCs w:val="21"/>
        </w:rPr>
        <w:t xml:space="preserve">企业名称（加盖CA电子公章）：</w:t>
      </w:r>
      <w:r/>
    </w:p>
    <w:p>
      <w:pPr>
        <w:ind w:left="3570" w:firstLine="424"/>
        <w:spacing w:line="360" w:lineRule="auto"/>
        <w:rPr>
          <w:rFonts w:ascii="宋体" w:hAnsi="宋体" w:eastAsia="宋体"/>
          <w:szCs w:val="21"/>
        </w:rPr>
      </w:pPr>
      <w:r>
        <w:rPr>
          <w:rFonts w:hint="eastAsia" w:ascii="宋体" w:hAnsi="宋体" w:eastAsia="宋体" w:cs="宋体"/>
          <w:szCs w:val="21"/>
        </w:rPr>
        <w:t xml:space="preserve">日  期：</w:t>
      </w:r>
      <w:r/>
    </w:p>
    <w:p>
      <w:pPr>
        <w:ind w:firstLine="424"/>
        <w:spacing w:line="360" w:lineRule="auto"/>
        <w:rPr>
          <w:rFonts w:ascii="宋体" w:hAnsi="宋体" w:eastAsia="宋体"/>
          <w:szCs w:val="21"/>
        </w:rPr>
      </w:pPr>
      <w:r>
        <w:rPr>
          <w:rFonts w:ascii="宋体" w:hAnsi="宋体" w:eastAsia="宋体"/>
          <w:szCs w:val="21"/>
        </w:rPr>
      </w:r>
      <w:r/>
    </w:p>
    <w:p>
      <w:pPr>
        <w:ind w:firstLine="424"/>
        <w:spacing w:line="360" w:lineRule="auto"/>
        <w:rPr>
          <w:rFonts w:ascii="宋体" w:hAnsi="宋体" w:eastAsia="宋体" w:cs="宋体"/>
          <w:szCs w:val="21"/>
        </w:rPr>
      </w:pPr>
      <w:r>
        <w:rPr>
          <w:rFonts w:hint="eastAsia" w:ascii="宋体" w:hAnsi="宋体" w:eastAsia="宋体" w:cs="宋体"/>
          <w:szCs w:val="21"/>
        </w:rPr>
        <w:t xml:space="preserve">备注1：从业人员、营业收入、资产总额填报上一年度数据，无上一年度数据的新成立企业可不填报。</w:t>
      </w:r>
      <w:r/>
    </w:p>
    <w:p>
      <w:pPr>
        <w:ind w:firstLine="424"/>
        <w:spacing w:line="360" w:lineRule="auto"/>
        <w:rPr>
          <w:rFonts w:ascii="宋体" w:hAnsi="宋体" w:eastAsia="宋体"/>
          <w:szCs w:val="21"/>
        </w:rPr>
      </w:pPr>
      <w:r>
        <w:rPr>
          <w:rFonts w:hint="eastAsia" w:ascii="宋体" w:hAnsi="宋体" w:eastAsia="宋体" w:cs="宋体"/>
          <w:szCs w:val="21"/>
        </w:rPr>
        <w:t xml:space="preserve">备注2：供应商如不提供此声明函，价格将不做相应扣除（如项目全面面向中小企业，则资格审查不通过）。</w:t>
      </w:r>
      <w:r/>
    </w:p>
    <w:p>
      <w:pPr>
        <w:jc w:val="left"/>
        <w:widowControl/>
        <w:rPr>
          <w:rFonts w:ascii="宋体" w:hAnsi="宋体" w:eastAsia="宋体"/>
          <w:szCs w:val="21"/>
        </w:rPr>
      </w:pPr>
      <w:r>
        <w:rPr>
          <w:rFonts w:hint="eastAsia" w:ascii="宋体" w:hAnsi="宋体" w:eastAsia="宋体"/>
          <w:szCs w:val="21"/>
        </w:rPr>
        <w:br w:type="page" w:clear="all"/>
      </w:r>
      <w:r/>
    </w:p>
    <w:p>
      <w:pPr>
        <w:jc w:val="center"/>
        <w:spacing w:line="276" w:lineRule="auto"/>
        <w:rPr>
          <w:rFonts w:ascii="宋体" w:hAnsi="宋体" w:eastAsia="宋体" w:cs="Times New Roman"/>
          <w:sz w:val="30"/>
          <w:szCs w:val="30"/>
          <w14:ligatures w14:val="none"/>
        </w:rPr>
        <w:outlineLvl w:val="1"/>
      </w:pPr>
      <w:r>
        <w:rPr>
          <w:rFonts w:hint="eastAsia" w:ascii="宋体" w:hAnsi="宋体" w:eastAsia="宋体" w:cs="黑体"/>
          <w:b/>
          <w:sz w:val="30"/>
          <w:szCs w:val="30"/>
          <w14:ligatures w14:val="none"/>
        </w:rPr>
        <w:t xml:space="preserve"> </w:t>
      </w:r>
      <w:bookmarkStart w:id="129" w:name="_Toc197644589"/>
      <w:r>
        <w:rPr>
          <w:rFonts w:hint="eastAsia" w:ascii="宋体" w:hAnsi="宋体" w:eastAsia="宋体" w:cs="黑体"/>
          <w:b/>
          <w:sz w:val="30"/>
          <w:szCs w:val="30"/>
          <w14:ligatures w14:val="none"/>
        </w:rPr>
        <w:t xml:space="preserve">十、残疾人福利性单位声明函</w:t>
      </w:r>
      <w:bookmarkEnd w:id="129"/>
      <w:r/>
      <w:r/>
    </w:p>
    <w:p>
      <w:pPr>
        <w:spacing w:line="360" w:lineRule="auto"/>
        <w:rPr>
          <w:rFonts w:ascii="宋体" w:hAnsi="宋体" w:eastAsia="宋体" w:cs="宋体"/>
          <w:szCs w:val="21"/>
          <w14:ligatures w14:val="none"/>
        </w:rPr>
      </w:pPr>
      <w:r>
        <w:rPr>
          <w:rFonts w:ascii="宋体" w:hAnsi="宋体" w:eastAsia="宋体" w:cs="宋体"/>
          <w:szCs w:val="21"/>
          <w14:ligatures w14:val="none"/>
        </w:rPr>
      </w:r>
      <w:r/>
    </w:p>
    <w:p>
      <w:pPr>
        <w:ind w:firstLine="420"/>
        <w:spacing w:line="360" w:lineRule="auto"/>
        <w:rPr>
          <w:rFonts w:ascii="宋体" w:hAnsi="宋体" w:eastAsia="宋体" w:cs="Times New Roman"/>
          <w:szCs w:val="21"/>
          <w14:ligatures w14:val="none"/>
        </w:rPr>
      </w:pPr>
      <w:r/>
      <w:bookmarkStart w:id="130" w:name="_Hlk195801533"/>
      <w:r>
        <w:rPr>
          <w:rFonts w:hint="eastAsia" w:ascii="宋体" w:hAnsi="宋体" w:eastAsia="宋体" w:cs="宋体"/>
          <w:szCs w:val="21"/>
          <w14:ligatures w14: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 xml:space="preserve">项目采购活动由本单位提供服务。</w:t>
      </w:r>
      <w:bookmarkEnd w:id="130"/>
      <w:r/>
      <w:r/>
    </w:p>
    <w:p>
      <w:pPr>
        <w:ind w:firstLine="480"/>
        <w:spacing w:line="360" w:lineRule="auto"/>
        <w:rPr>
          <w:rFonts w:ascii="宋体" w:hAnsi="宋体" w:eastAsia="宋体" w:cs="Times New Roman"/>
          <w:szCs w:val="21"/>
          <w14:ligatures w14:val="none"/>
        </w:rPr>
      </w:pPr>
      <w:r/>
      <w:bookmarkStart w:id="131" w:name="_Hlk195801544"/>
      <w:r>
        <w:rPr>
          <w:rFonts w:hint="eastAsia" w:ascii="宋体" w:hAnsi="宋体" w:eastAsia="宋体" w:cs="宋体"/>
          <w:szCs w:val="21"/>
          <w14:ligatures w14:val="none"/>
        </w:rPr>
        <w:t xml:space="preserve">本单位对上述声明的真实性负责。如有虚假，将依法承担相应责任。</w:t>
      </w:r>
      <w:bookmarkEnd w:id="131"/>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p>
      <w:pPr>
        <w:ind w:firstLine="480"/>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备注：1、供应商如不提供此声明函，价格将不做相应扣除（如项目全面面向中小企业，则资格审查不通过）。</w:t>
      </w:r>
      <w:r/>
    </w:p>
    <w:p>
      <w:pPr>
        <w:ind w:firstLine="480"/>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2、中标人为残疾人福利单位的，此声明函将随中标结果同时公告，接受社会监督。</w:t>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p>
      <w:pPr>
        <w:ind w:right="1560" w:firstLine="624"/>
        <w:jc w:val="center"/>
        <w:spacing w:line="360" w:lineRule="auto"/>
        <w:tabs>
          <w:tab w:val="left" w:pos="4864" w:leader="none"/>
        </w:tabs>
        <w:rPr>
          <w:rFonts w:ascii="宋体" w:hAnsi="宋体" w:eastAsia="宋体" w:cs="Times New Roman"/>
          <w:szCs w:val="21"/>
          <w14:ligatures w14:val="none"/>
        </w:rPr>
      </w:pPr>
      <w:r>
        <w:rPr>
          <w:rFonts w:ascii="宋体" w:hAnsi="宋体" w:eastAsia="宋体" w:cs="仿宋_GB2312"/>
          <w:szCs w:val="21"/>
          <w14:ligatures w14:val="none"/>
        </w:rPr>
        <w:t xml:space="preserve">             </w:t>
      </w:r>
      <w:r>
        <w:rPr>
          <w:rFonts w:hint="eastAsia" w:ascii="宋体" w:hAnsi="宋体" w:eastAsia="宋体" w:cs="宋体"/>
          <w:szCs w:val="21"/>
          <w14:ligatures w14:val="none"/>
        </w:rPr>
        <w:t xml:space="preserve">  供应商全称（加盖CA电子公章）：</w:t>
      </w:r>
      <w:r/>
    </w:p>
    <w:p>
      <w:pPr>
        <w:ind w:right="1560" w:firstLine="480"/>
        <w:jc w:val="center"/>
        <w:spacing w:line="360" w:lineRule="auto"/>
        <w:tabs>
          <w:tab w:val="left" w:pos="4864" w:leader="none"/>
        </w:tabs>
        <w:rPr>
          <w:rFonts w:ascii="宋体" w:hAnsi="宋体" w:eastAsia="宋体" w:cs="Times New Roman"/>
          <w:szCs w:val="21"/>
          <w14:ligatures w14:val="none"/>
        </w:rPr>
      </w:pPr>
      <w:r>
        <w:rPr>
          <w:rFonts w:hint="eastAsia" w:ascii="宋体" w:hAnsi="宋体" w:eastAsia="宋体" w:cs="宋体"/>
          <w:szCs w:val="21"/>
          <w14:ligatures w14:val="none"/>
        </w:rPr>
        <w:t xml:space="preserve">         日  期：</w:t>
      </w:r>
      <w:r/>
    </w:p>
    <w:p>
      <w:pPr>
        <w:spacing w:line="360" w:lineRule="auto"/>
        <w:rPr>
          <w:rFonts w:ascii="宋体" w:hAnsi="宋体" w:eastAsia="宋体"/>
          <w:szCs w:val="21"/>
        </w:rPr>
      </w:pPr>
      <w:r>
        <w:rPr>
          <w:rFonts w:ascii="宋体" w:hAnsi="宋体" w:eastAsia="宋体"/>
          <w:szCs w:val="21"/>
        </w:rPr>
      </w:r>
      <w:r/>
    </w:p>
    <w:p>
      <w:pPr>
        <w:jc w:val="left"/>
        <w:widowControl/>
        <w:rPr>
          <w:rFonts w:ascii="宋体" w:hAnsi="宋体" w:eastAsia="宋体"/>
          <w:szCs w:val="21"/>
        </w:rPr>
      </w:pPr>
      <w:r>
        <w:rPr>
          <w:rFonts w:hint="eastAsia" w:ascii="宋体" w:hAnsi="宋体" w:eastAsia="宋体"/>
          <w:szCs w:val="21"/>
        </w:rPr>
        <w:br w:type="page" w:clear="all"/>
      </w:r>
      <w:r/>
    </w:p>
    <w:p>
      <w:pPr>
        <w:jc w:val="center"/>
        <w:spacing w:line="276" w:lineRule="auto"/>
        <w:rPr>
          <w:rFonts w:ascii="宋体" w:hAnsi="宋体" w:eastAsia="宋体" w:cs="黑体"/>
          <w:b/>
          <w:sz w:val="30"/>
          <w:szCs w:val="30"/>
          <w14:ligatures w14:val="none"/>
        </w:rPr>
        <w:outlineLvl w:val="1"/>
      </w:pPr>
      <w:r/>
      <w:bookmarkStart w:id="132" w:name="_Toc197644591"/>
      <w:r>
        <w:rPr>
          <w:rFonts w:hint="eastAsia" w:ascii="宋体" w:hAnsi="宋体" w:eastAsia="宋体" w:cs="黑体"/>
          <w:b/>
          <w:sz w:val="30"/>
          <w:szCs w:val="30"/>
          <w14:ligatures w14:val="none"/>
        </w:rPr>
        <w:t xml:space="preserve">十一</w:t>
      </w:r>
      <w:bookmarkEnd w:id="132"/>
      <w:r/>
      <w:bookmarkStart w:id="133" w:name="_Toc197644592"/>
      <w:r>
        <w:rPr>
          <w:rFonts w:hint="eastAsia" w:ascii="宋体" w:hAnsi="宋体" w:eastAsia="宋体" w:cs="黑体"/>
          <w:b/>
          <w:sz w:val="30"/>
          <w:szCs w:val="30"/>
          <w14:ligatures w14:val="none"/>
        </w:rPr>
        <w:t xml:space="preserve">、技术要求响应及偏离表</w:t>
      </w:r>
      <w:bookmarkEnd w:id="133"/>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tbl>
      <w:tblPr>
        <w:tblStyle w:val="720"/>
        <w:tblW w:w="8692" w:type="dxa"/>
        <w:tblCellSpacing w:w="0" w:type="dxa"/>
        <w:tblInd w:w="-162" w:type="dxa"/>
        <w:tblLayout w:type="fixed"/>
        <w:tblCellMar>
          <w:left w:w="108" w:type="dxa"/>
          <w:top w:w="0" w:type="dxa"/>
          <w:right w:w="108" w:type="dxa"/>
          <w:bottom w:w="0" w:type="dxa"/>
        </w:tblCellMar>
        <w:tblLook w:val="04A0" w:firstRow="1" w:lastRow="0" w:firstColumn="1" w:lastColumn="0" w:noHBand="0" w:noVBand="1"/>
      </w:tblPr>
      <w:tblGrid>
        <w:gridCol w:w="710"/>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证明</w:t>
            </w:r>
            <w:r/>
          </w:p>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2"/>
              <w:jc w:val="center"/>
              <w:rPr>
                <w:rFonts w:cs="Times New Roman"/>
                <w:color w:val="auto"/>
                <w14:ligatures w14:val="none"/>
              </w:rPr>
            </w:pPr>
            <w:r>
              <w:rPr>
                <w:rFonts w:hint="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rPr>
                <w:rFonts w:cs="Times New Roman"/>
                <w:color w:val="auto"/>
                <w14:ligatures w14:val="none"/>
              </w:rPr>
            </w:pPr>
            <w:r>
              <w:rPr>
                <w:rFonts w:hint="eastAsia"/>
                <w:color w:val="auto"/>
              </w:rPr>
              <w:t xml:space="preserve">招标文件第四章项目需求中技术要求的内容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2"/>
              <w:jc w:val="center"/>
              <w:rPr>
                <w:rFonts w:cs="Times New Roman"/>
                <w:color w:val="auto"/>
                <w14:ligatures w14:val="none"/>
              </w:rPr>
            </w:pPr>
            <w:r>
              <w:rPr>
                <w:rFonts w:hint="eastAsia"/>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rPr>
                <w:rFonts w:cs="Times New Roman"/>
                <w:color w:val="auto"/>
                <w14:ligatures w14:val="none"/>
              </w:rPr>
            </w:pPr>
            <w:r>
              <w:rPr>
                <w:rFonts w:cs="Times New Roman"/>
                <w:color w:val="auto"/>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2"/>
              <w:jc w:val="center"/>
              <w:rPr>
                <w:rFonts w:cs="Times New Roman"/>
                <w:color w:val="auto"/>
                <w14:ligatures w14:val="none"/>
              </w:rPr>
            </w:pPr>
            <w:r>
              <w:rPr>
                <w:rFonts w:hint="eastAsia"/>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rPr>
                <w:rFonts w:cs="Times New Roman"/>
                <w:color w:val="auto"/>
                <w14:ligatures w14:val="none"/>
              </w:rPr>
            </w:pPr>
            <w:r>
              <w:rPr>
                <w:rFonts w:hint="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bl>
    <w:p>
      <w:pPr>
        <w:spacing w:line="360" w:lineRule="auto"/>
        <w:rPr>
          <w:rFonts w:ascii="宋体" w:hAnsi="宋体" w:eastAsia="宋体" w:cs="宋体"/>
          <w:szCs w:val="21"/>
          <w14:ligatures w14:val="none"/>
        </w:rPr>
        <w:outlineLvl w:val="2"/>
      </w:pPr>
      <w:r>
        <w:rPr>
          <w:rFonts w:ascii="宋体" w:hAnsi="宋体" w:eastAsia="宋体" w:cs="宋体"/>
          <w:szCs w:val="21"/>
          <w14:ligatures w14:val="none"/>
        </w:rPr>
      </w:r>
      <w:r/>
    </w:p>
    <w:p>
      <w:pPr>
        <w:spacing w:line="360" w:lineRule="auto"/>
        <w:rPr>
          <w:rFonts w:ascii="宋体" w:hAnsi="宋体" w:eastAsia="宋体" w:cs="Times New Roman"/>
          <w:szCs w:val="21"/>
          <w14:ligatures w14:val="none"/>
        </w:rPr>
        <w:outlineLvl w:val="2"/>
      </w:pPr>
      <w:r>
        <w:rPr>
          <w:rFonts w:hint="eastAsia" w:ascii="宋体" w:hAnsi="宋体" w:eastAsia="宋体" w:cs="宋体"/>
          <w:szCs w:val="21"/>
          <w14:ligatures w14:val="none"/>
        </w:rPr>
        <w:t xml:space="preserve">注：行数不够，可自行添加。</w:t>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p>
      <w:pPr>
        <w:jc w:val="left"/>
        <w:widowControl/>
        <w:rPr>
          <w:rFonts w:ascii="宋体" w:hAnsi="宋体" w:eastAsia="宋体"/>
          <w:szCs w:val="21"/>
        </w:rPr>
      </w:pPr>
      <w:r>
        <w:rPr>
          <w:rFonts w:hint="eastAsia" w:ascii="宋体" w:hAnsi="宋体" w:eastAsia="宋体"/>
          <w:szCs w:val="21"/>
        </w:rPr>
        <w:br w:type="page" w:clear="all"/>
      </w:r>
      <w:r/>
    </w:p>
    <w:p>
      <w:pPr>
        <w:jc w:val="center"/>
        <w:spacing w:line="276" w:lineRule="auto"/>
        <w:rPr>
          <w:rFonts w:ascii="宋体" w:hAnsi="宋体" w:eastAsia="宋体" w:cs="黑体"/>
          <w:b/>
          <w:sz w:val="30"/>
          <w:szCs w:val="30"/>
          <w14:ligatures w14:val="none"/>
        </w:rPr>
        <w:outlineLvl w:val="1"/>
      </w:pPr>
      <w:r/>
      <w:bookmarkStart w:id="134" w:name="_Toc197644593"/>
      <w:r>
        <w:rPr>
          <w:rFonts w:hint="eastAsia" w:ascii="宋体" w:hAnsi="宋体" w:eastAsia="宋体" w:cs="黑体"/>
          <w:b/>
          <w:sz w:val="30"/>
          <w:szCs w:val="30"/>
          <w14:ligatures w14:val="none"/>
        </w:rPr>
        <w:t xml:space="preserve">十二、商务要求响应及偏离表</w:t>
      </w:r>
      <w:bookmarkEnd w:id="134"/>
      <w:r/>
      <w:r/>
    </w:p>
    <w:p>
      <w:pPr>
        <w:spacing w:line="360" w:lineRule="auto"/>
        <w:rPr>
          <w:rFonts w:ascii="宋体" w:hAnsi="宋体" w:eastAsia="宋体" w:cs="Times New Roman"/>
          <w:szCs w:val="21"/>
          <w14:ligatures w14:val="none"/>
        </w:rPr>
      </w:pPr>
      <w:r>
        <w:rPr>
          <w:rFonts w:ascii="宋体" w:hAnsi="宋体" w:eastAsia="宋体" w:cs="Times New Roman"/>
          <w:szCs w:val="21"/>
          <w14:ligatures w14:val="none"/>
        </w:rPr>
      </w:r>
      <w:r/>
    </w:p>
    <w:tbl>
      <w:tblPr>
        <w:tblStyle w:val="72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ascii="宋体" w:hAnsi="宋体" w:eastAsia="宋体" w:cs="Times New Roman"/>
                <w:szCs w:val="21"/>
                <w14:ligatures w14:val="none"/>
              </w:rPr>
            </w:pPr>
            <w:r/>
            <w:bookmarkStart w:id="135" w:name="_Hlt26580838"/>
            <w:r/>
            <w:bookmarkStart w:id="136" w:name="_Hlt26671372"/>
            <w:r/>
            <w:bookmarkStart w:id="137" w:name="_Hlt26955056"/>
            <w:r/>
            <w:bookmarkStart w:id="138" w:name="_Hlt26609391"/>
            <w:r/>
            <w:bookmarkStart w:id="139" w:name="_Hlt26955064"/>
            <w:r/>
            <w:bookmarkStart w:id="140" w:name="_Hlt26782999"/>
            <w:r/>
            <w:bookmarkStart w:id="141" w:name="_Hlt24879081"/>
            <w:r/>
            <w:bookmarkStart w:id="142" w:name="_Hlt26671343"/>
            <w:r>
              <w:rPr>
                <w:rFonts w:hint="eastAsia" w:ascii="宋体" w:hAnsi="宋体" w:eastAsia="宋体" w:cs="宋体"/>
                <w:szCs w:val="21"/>
                <w14:ligatures w14:val="none"/>
              </w:rPr>
              <w:t xml:space="preserve">序号</w:t>
            </w:r>
            <w:bookmarkEnd w:id="135"/>
            <w:r/>
            <w:bookmarkEnd w:id="136"/>
            <w:r/>
            <w:bookmarkEnd w:id="137"/>
            <w:r/>
            <w:bookmarkEnd w:id="138"/>
            <w:r/>
            <w:bookmarkEnd w:id="139"/>
            <w:r/>
            <w:bookmarkEnd w:id="140"/>
            <w:r/>
            <w:bookmarkEnd w:id="141"/>
            <w:r/>
            <w:bookmarkEnd w:id="14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证明</w:t>
            </w:r>
            <w:r/>
          </w:p>
          <w:p>
            <w:pPr>
              <w:jc w:val="center"/>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Times New Roman"/>
                <w:szCs w:val="21"/>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hint="eastAsia" w:ascii="宋体" w:hAnsi="宋体" w:eastAsia="宋体" w:cs="宋体"/>
              </w:rPr>
              <w:t xml:space="preserve">招标</w:t>
            </w:r>
            <w:r>
              <w:rPr>
                <w:rFonts w:hint="eastAsia" w:ascii="宋体" w:hAnsi="宋体" w:cs="宋体"/>
              </w:rPr>
              <w:t xml:space="preserve">文件第四章项目需求中商务要求的内容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Times New Roman"/>
                <w:szCs w:val="21"/>
                <w14:ligatures w14: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ascii="宋体" w:hAnsi="宋体" w:eastAsia="宋体" w:cs="Times New Roman"/>
                <w:szCs w:val="21"/>
                <w14:ligatures w14:val="none"/>
              </w:rPr>
            </w:pPr>
            <w:r>
              <w:rPr>
                <w:rFonts w:hint="eastAsia" w:ascii="宋体" w:hAnsi="宋体" w:eastAsia="宋体" w:cs="Times New Roman"/>
                <w:szCs w:val="21"/>
                <w14:ligatures w14: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tc>
      </w:tr>
    </w:tbl>
    <w:p>
      <w:pPr>
        <w:spacing w:line="360" w:lineRule="auto"/>
        <w:rPr>
          <w:rFonts w:ascii="宋体" w:hAnsi="宋体" w:eastAsia="宋体" w:cs="宋体"/>
          <w:szCs w:val="21"/>
          <w14:ligatures w14:val="none"/>
        </w:rPr>
      </w:pPr>
      <w:r>
        <w:rPr>
          <w:rFonts w:ascii="宋体" w:hAnsi="宋体" w:eastAsia="宋体" w:cs="宋体"/>
          <w:szCs w:val="21"/>
          <w14:ligatures w14:val="none"/>
        </w:rPr>
      </w:r>
      <w:r/>
    </w:p>
    <w:p>
      <w:pPr>
        <w:spacing w:line="360" w:lineRule="auto"/>
        <w:rPr>
          <w:rFonts w:ascii="宋体" w:hAnsi="宋体" w:eastAsia="宋体" w:cs="宋体"/>
          <w:szCs w:val="21"/>
          <w14:ligatures w14:val="none"/>
        </w:rPr>
      </w:pPr>
      <w:r>
        <w:rPr>
          <w:rFonts w:hint="eastAsia" w:ascii="宋体" w:hAnsi="宋体" w:eastAsia="宋体" w:cs="宋体"/>
          <w:szCs w:val="21"/>
          <w14:ligatures w14:val="none"/>
        </w:rPr>
        <w:t xml:space="preserve">注：行数不够，可自行添加。</w:t>
      </w:r>
      <w:r/>
    </w:p>
    <w:p>
      <w:pPr>
        <w:spacing w:line="360" w:lineRule="auto"/>
        <w:rPr>
          <w:rFonts w:ascii="宋体" w:hAnsi="宋体" w:eastAsia="宋体" w:cs="宋体"/>
          <w:szCs w:val="21"/>
          <w14:ligatures w14:val="none"/>
        </w:rPr>
      </w:pPr>
      <w:r>
        <w:rPr>
          <w:rFonts w:ascii="宋体" w:hAnsi="宋体" w:eastAsia="宋体" w:cs="宋体"/>
          <w:szCs w:val="21"/>
          <w14:ligatures w14:val="none"/>
        </w:rPr>
      </w:r>
      <w:r/>
    </w:p>
    <w:p>
      <w:pPr>
        <w:jc w:val="left"/>
        <w:widowControl/>
        <w:rPr>
          <w:rFonts w:ascii="宋体" w:hAnsi="宋体" w:eastAsia="宋体"/>
        </w:rPr>
      </w:pPr>
      <w:r>
        <w:rPr>
          <w:rFonts w:hint="eastAsia" w:ascii="宋体" w:hAnsi="宋体" w:eastAsia="宋体"/>
        </w:rPr>
        <w:br w:type="page" w:clear="all"/>
      </w:r>
      <w:r/>
    </w:p>
    <w:p>
      <w:pPr>
        <w:jc w:val="center"/>
        <w:spacing w:line="276" w:lineRule="auto"/>
        <w:rPr>
          <w:rFonts w:ascii="宋体" w:hAnsi="宋体" w:eastAsia="宋体" w:cs="Times New Roman"/>
          <w:sz w:val="30"/>
          <w:szCs w:val="30"/>
          <w14:ligatures w14:val="none"/>
        </w:rPr>
        <w:outlineLvl w:val="1"/>
      </w:pPr>
      <w:r/>
      <w:bookmarkStart w:id="143" w:name="_Toc197644594"/>
      <w:r>
        <w:rPr>
          <w:rFonts w:hint="eastAsia" w:ascii="宋体" w:hAnsi="宋体" w:eastAsia="宋体" w:cs="黑体"/>
          <w:b/>
          <w:iCs/>
          <w:sz w:val="28"/>
          <w:szCs w:val="28"/>
          <w14:ligatures w14:val="none"/>
        </w:rPr>
        <w:t xml:space="preserve">十三、开标一览表</w:t>
      </w:r>
      <w:bookmarkEnd w:id="143"/>
      <w:r/>
      <w:r/>
    </w:p>
    <w:p>
      <w:pPr>
        <w:spacing w:line="276" w:lineRule="auto"/>
        <w:rPr>
          <w:rFonts w:ascii="宋体" w:hAnsi="宋体" w:eastAsia="宋体" w:cs="宋体"/>
          <w:szCs w:val="21"/>
          <w14:ligatures w14:val="none"/>
        </w:rPr>
      </w:pPr>
      <w:r>
        <w:rPr>
          <w:rFonts w:ascii="宋体" w:hAnsi="宋体" w:eastAsia="宋体" w:cs="宋体"/>
          <w:szCs w:val="21"/>
          <w14:ligatures w14:val="none"/>
        </w:rPr>
      </w:r>
      <w:r/>
    </w:p>
    <w:p>
      <w:pPr>
        <w:spacing w:line="360" w:lineRule="auto"/>
        <w:rPr>
          <w:rFonts w:ascii="宋体" w:hAnsi="宋体" w:eastAsia="宋体" w:cs="宋体"/>
          <w:szCs w:val="21"/>
          <w14:ligatures w14:val="none"/>
        </w:rPr>
      </w:pPr>
      <w:r>
        <w:rPr>
          <w:rFonts w:hint="eastAsia" w:ascii="宋体" w:hAnsi="宋体" w:eastAsia="宋体" w:cs="宋体"/>
          <w:szCs w:val="21"/>
          <w14:ligatures w14:val="none"/>
        </w:rPr>
        <w:t xml:space="preserve">供应商全称（加盖CA电子签章）：</w:t>
      </w:r>
      <w:r/>
    </w:p>
    <w:p>
      <w:pPr>
        <w:spacing w:line="360" w:lineRule="auto"/>
        <w:rPr>
          <w:rFonts w:ascii="宋体" w:hAnsi="宋体" w:eastAsia="宋体" w:cs="Times New Roman"/>
          <w:szCs w:val="21"/>
          <w14:ligatures w14:val="none"/>
        </w:rPr>
      </w:pPr>
      <w:r>
        <w:rPr>
          <w:rFonts w:hint="eastAsia" w:ascii="宋体" w:hAnsi="宋体" w:eastAsia="宋体" w:cs="宋体"/>
          <w:szCs w:val="21"/>
          <w14:ligatures w14:val="none"/>
        </w:rPr>
        <w:t xml:space="preserve">项目名称：</w:t>
      </w:r>
      <w:r/>
    </w:p>
    <w:p>
      <w:pPr>
        <w:spacing w:line="360" w:lineRule="auto"/>
        <w:rPr>
          <w:rFonts w:ascii="宋体" w:hAnsi="宋体" w:eastAsia="宋体" w:cs="宋体"/>
          <w:szCs w:val="21"/>
          <w14:ligatures w14:val="none"/>
        </w:rPr>
      </w:pPr>
      <w:r>
        <w:rPr>
          <w:rFonts w:hint="eastAsia" w:ascii="宋体" w:hAnsi="宋体" w:eastAsia="宋体" w:cs="宋体"/>
          <w:szCs w:val="21"/>
          <w14:ligatures w14:val="none"/>
        </w:rPr>
        <w:t xml:space="preserve">项目编号：</w:t>
      </w:r>
      <w:r/>
    </w:p>
    <w:tbl>
      <w:tblPr>
        <w:tblStyle w:val="720"/>
        <w:tblW w:w="8220"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W w:w="8220" w:type="dxa"/>
            <w:vAlign w:val="center"/>
            <w:textDirection w:val="lrTb"/>
            <w:noWrap w:val="false"/>
          </w:tcPr>
          <w:p>
            <w:pPr>
              <w:pStyle w:val="742"/>
              <w:jc w:val="center"/>
              <w:rPr>
                <w:color w:val="auto"/>
              </w:rPr>
            </w:pPr>
            <w:r>
              <w:rPr>
                <w:rFonts w:hint="eastAsia"/>
                <w:color w:val="auto"/>
              </w:rPr>
              <w:t xml:space="preserve">投标总价</w:t>
            </w:r>
            <w:r/>
          </w:p>
        </w:tc>
      </w:tr>
      <w:tr>
        <w:trPr>
          <w:tblCellSpacing w:w="0" w:type="dxa"/>
          <w:trHeight w:val="612"/>
        </w:trPr>
        <w:tc>
          <w:tcPr>
            <w:shd w:val="clear" w:color="auto" w:fill="auto"/>
            <w:tcW w:w="8220" w:type="dxa"/>
            <w:vAlign w:val="center"/>
            <w:textDirection w:val="lrTb"/>
            <w:noWrap w:val="false"/>
          </w:tcPr>
          <w:p>
            <w:pPr>
              <w:pStyle w:val="742"/>
              <w:spacing w:line="0" w:lineRule="atLeast"/>
              <w:rPr>
                <w:color w:val="auto"/>
              </w:rPr>
            </w:pPr>
            <w:r>
              <w:rPr>
                <w:rFonts w:hint="eastAsia"/>
                <w:color w:val="auto"/>
              </w:rPr>
              <w:t xml:space="preserve">大写：                  </w:t>
            </w:r>
            <w:r/>
          </w:p>
        </w:tc>
      </w:tr>
      <w:tr>
        <w:trPr>
          <w:tblCellSpacing w:w="0" w:type="dxa"/>
          <w:trHeight w:val="612"/>
        </w:trPr>
        <w:tc>
          <w:tcPr>
            <w:shd w:val="clear" w:color="auto" w:fill="auto"/>
            <w:tcW w:w="8220" w:type="dxa"/>
            <w:vAlign w:val="center"/>
            <w:textDirection w:val="lrTb"/>
            <w:noWrap w:val="false"/>
          </w:tcPr>
          <w:p>
            <w:pPr>
              <w:pStyle w:val="742"/>
              <w:spacing w:line="0" w:lineRule="atLeast"/>
              <w:rPr>
                <w:color w:val="auto"/>
              </w:rPr>
            </w:pPr>
            <w:r>
              <w:rPr>
                <w:rFonts w:hint="eastAsia"/>
                <w:color w:val="auto"/>
              </w:rPr>
              <w:t xml:space="preserve">小写：                  （人民币：元）   </w:t>
            </w:r>
            <w:r/>
          </w:p>
        </w:tc>
      </w:tr>
      <w:tr>
        <w:trPr>
          <w:tblCellSpacing w:w="0" w:type="dxa"/>
          <w:trHeight w:val="612"/>
        </w:trPr>
        <w:tc>
          <w:tcPr>
            <w:shd w:val="clear" w:color="auto" w:fill="auto"/>
            <w:tcW w:w="8220" w:type="dxa"/>
            <w:vAlign w:val="center"/>
            <w:textDirection w:val="lrTb"/>
            <w:noWrap w:val="false"/>
          </w:tcPr>
          <w:p>
            <w:pPr>
              <w:pStyle w:val="742"/>
              <w:spacing w:line="0" w:lineRule="atLeast"/>
              <w:rPr>
                <w:color w:val="auto"/>
              </w:rPr>
            </w:pPr>
            <w:r>
              <w:rPr>
                <w:rFonts w:hint="eastAsia"/>
                <w:color w:val="auto"/>
              </w:rPr>
              <w:t xml:space="preserve">合同履行期限：</w:t>
            </w:r>
            <w:r/>
          </w:p>
        </w:tc>
      </w:tr>
    </w:tbl>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p>
      <w:pPr>
        <w:ind w:firstLine="480"/>
        <w:spacing w:line="276" w:lineRule="auto"/>
        <w:rPr>
          <w:rFonts w:ascii="宋体" w:hAnsi="宋体" w:eastAsia="宋体" w:cs="Times New Roman"/>
          <w:szCs w:val="21"/>
          <w14:ligatures w14:val="none"/>
        </w:rPr>
      </w:pPr>
      <w:r>
        <w:rPr>
          <w:rFonts w:hint="eastAsia" w:ascii="宋体" w:hAnsi="宋体" w:eastAsia="宋体" w:cs="宋体"/>
          <w:szCs w:val="21"/>
          <w14:ligatures w14:val="none"/>
        </w:rPr>
        <w:t xml:space="preserve">                                              日期：  </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 xml:space="preserve">年</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 xml:space="preserve">月</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 xml:space="preserve">日</w:t>
      </w:r>
      <w:r/>
    </w:p>
    <w:p>
      <w:pPr>
        <w:spacing w:line="276" w:lineRule="auto"/>
        <w:rPr>
          <w:rFonts w:ascii="宋体" w:hAnsi="宋体" w:eastAsia="宋体" w:cs="Times New Roman"/>
          <w:szCs w:val="21"/>
          <w14:ligatures w14:val="none"/>
        </w:rPr>
      </w:pPr>
      <w:r>
        <w:rPr>
          <w:rFonts w:ascii="宋体" w:hAnsi="宋体" w:eastAsia="宋体" w:cs="Times New Roman"/>
          <w:szCs w:val="21"/>
          <w14:ligatures w14:val="none"/>
        </w:rPr>
      </w:r>
      <w:r/>
    </w:p>
    <w:p>
      <w:pPr>
        <w:jc w:val="left"/>
        <w:widowControl/>
        <w:rPr>
          <w:rFonts w:ascii="宋体" w:hAnsi="宋体" w:eastAsia="宋体"/>
          <w:szCs w:val="21"/>
        </w:rPr>
      </w:pPr>
      <w:r>
        <w:rPr>
          <w:rFonts w:hint="eastAsia" w:ascii="宋体" w:hAnsi="宋体" w:eastAsia="宋体"/>
          <w:szCs w:val="21"/>
        </w:rPr>
        <w:br w:type="page" w:clear="all"/>
      </w:r>
      <w:r/>
    </w:p>
    <w:p>
      <w:pPr>
        <w:pStyle w:val="921"/>
        <w:ind w:firstLine="216"/>
        <w:jc w:val="center"/>
        <w:spacing w:line="553"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1"/>
      </w:pPr>
      <w:r/>
      <w:bookmarkStart w:id="144" w:name="_Toc197644596"/>
      <w:r>
        <w:rPr>
          <w:rFonts w:hint="eastAsia" w:ascii="宋体" w:hAnsi="宋体" w:cs="宋体"/>
          <w:color w:val="auto"/>
          <w:sz w:val="28"/>
          <w:szCs w:val="28"/>
        </w:rPr>
        <w:t xml:space="preserve">十四、评分标准要求提供的材料等</w:t>
      </w:r>
      <w:r/>
    </w:p>
    <w:p>
      <w:pPr>
        <w:pStyle w:val="742"/>
        <w:tabs>
          <w:tab w:val="left" w:pos="2160" w:leader="none"/>
        </w:tabs>
        <w:rPr>
          <w:color w:val="auto"/>
        </w:rPr>
      </w:pPr>
      <w:r>
        <w:rPr>
          <w:color w:val="auto"/>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744"/>
        <w:ind w:firstLine="210"/>
      </w:p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724"/>
        <w:rPr>
          <w:rFonts w:ascii="宋体" w:hAnsi="宋体" w:eastAsia="宋体" w:cs="宋体"/>
          <w:sz w:val="32"/>
          <w:szCs w:val="32"/>
        </w:rPr>
      </w:pPr>
      <w:r>
        <w:rPr>
          <w:rFonts w:ascii="宋体" w:hAnsi="宋体" w:eastAsia="宋体" w:cs="宋体"/>
          <w:sz w:val="32"/>
          <w:szCs w:val="32"/>
        </w:rPr>
      </w:r>
      <w:r/>
    </w:p>
    <w:p>
      <w:pPr>
        <w:pStyle w:val="725"/>
        <w:rPr>
          <w:rFonts w:ascii="宋体" w:hAnsi="宋体" w:cs="宋体"/>
          <w:sz w:val="32"/>
          <w:szCs w:val="32"/>
        </w:rPr>
      </w:pPr>
      <w:r>
        <w:rPr>
          <w:rFonts w:ascii="宋体" w:hAnsi="宋体" w:cs="宋体"/>
          <w:sz w:val="32"/>
          <w:szCs w:val="32"/>
        </w:rPr>
      </w:r>
      <w:r/>
    </w:p>
    <w:p>
      <w:pPr>
        <w:pStyle w:val="725"/>
        <w:rPr>
          <w:rFonts w:ascii="宋体" w:hAnsi="宋体" w:cs="宋体"/>
          <w:sz w:val="32"/>
          <w:szCs w:val="32"/>
        </w:rPr>
      </w:pPr>
      <w:r>
        <w:rPr>
          <w:rFonts w:ascii="宋体" w:hAnsi="宋体" w:cs="宋体"/>
          <w:sz w:val="32"/>
          <w:szCs w:val="32"/>
        </w:rPr>
      </w:r>
      <w:r/>
    </w:p>
    <w:p>
      <w:pPr>
        <w:pStyle w:val="725"/>
        <w:rPr>
          <w:rFonts w:ascii="宋体" w:hAnsi="宋体" w:cs="宋体"/>
          <w:sz w:val="32"/>
          <w:szCs w:val="32"/>
        </w:rPr>
      </w:pPr>
      <w:r>
        <w:rPr>
          <w:rFonts w:ascii="宋体" w:hAnsi="宋体" w:cs="宋体"/>
          <w:sz w:val="32"/>
          <w:szCs w:val="32"/>
        </w:rPr>
      </w:r>
      <w:r/>
    </w:p>
    <w:p>
      <w:pPr>
        <w:pStyle w:val="921"/>
        <w:ind w:firstLine="216"/>
        <w:jc w:val="center"/>
        <w:spacing w:line="553"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1"/>
      </w:pPr>
      <w:r>
        <w:rPr>
          <w:rFonts w:hint="eastAsia" w:ascii="宋体" w:hAnsi="宋体" w:cs="宋体"/>
          <w:color w:val="auto"/>
          <w:sz w:val="28"/>
          <w:szCs w:val="28"/>
        </w:rPr>
        <w:t xml:space="preserve">十五、其他材料</w:t>
      </w:r>
      <w:r/>
    </w:p>
    <w:p>
      <w:pPr>
        <w:jc w:val="center"/>
        <w:spacing w:line="499" w:lineRule="atLeast"/>
        <w:widowControl/>
        <w:rPr>
          <w:rFonts w:ascii="宋体" w:hAnsi="宋体" w:eastAsia="宋体" w:cs="宋体"/>
          <w:b/>
          <w:bCs/>
          <w:sz w:val="30"/>
          <w:szCs w:val="30"/>
          <w14:ligatures w14:val="none"/>
        </w:rPr>
        <w:outlineLvl w:val="1"/>
      </w:pPr>
      <w:r>
        <w:rPr>
          <w:rFonts w:hint="eastAsia" w:ascii="宋体" w:hAnsi="宋体" w:eastAsia="宋体" w:cs="宋体"/>
          <w:b/>
          <w:bCs/>
          <w:sz w:val="30"/>
          <w:szCs w:val="30"/>
          <w14:ligatures w14:val="none"/>
        </w:rPr>
        <w:t xml:space="preserve">十六、盐城市政府采购事前信用承诺书</w:t>
      </w:r>
      <w:bookmarkEnd w:id="144"/>
      <w:r/>
      <w:r/>
    </w:p>
    <w:p>
      <w:pPr>
        <w:ind w:firstLine="480"/>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为营造我市公开、公平、公正、诚实守信的政府采购交易环境，树立诚信守法的供应商形象，本人代表本单位作出以下承诺：</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（三）严格依照国家和省、市关于政府采购的法律、法规、规章、规范性文件，参加政府采购投标活动；积极履行社会责任，促进廉政建设； </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（四）严格遵守即时信息公示规定，及时维护和更新维护和更新盐城市政府采购网中与本单位相关的信息；</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72"/>
        <w:jc w:val="left"/>
        <w:spacing w:line="499" w:lineRule="atLeast"/>
        <w:widowControl/>
        <w:rPr>
          <w:rFonts w:ascii="宋体" w:hAnsi="宋体" w:eastAsia="宋体" w:cs="宋体"/>
          <w:szCs w:val="21"/>
          <w14:ligatures w14:val="none"/>
        </w:rPr>
        <w:outlineLvl w:val="2"/>
      </w:pPr>
      <w:r>
        <w:rPr>
          <w:rFonts w:hint="eastAsia" w:ascii="宋体" w:hAnsi="宋体" w:eastAsia="宋体" w:cs="宋体"/>
          <w:szCs w:val="21"/>
          <w14:ligatures w14:val="none"/>
        </w:rPr>
        <w:t xml:space="preserve">（六）自觉接受政府、行业组织、社会公众、新闻舆论的监督；</w:t>
      </w:r>
      <w:r/>
    </w:p>
    <w:p>
      <w:pPr>
        <w:ind w:firstLine="372"/>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72"/>
        <w:jc w:val="left"/>
        <w:spacing w:line="499" w:lineRule="atLeast"/>
        <w:widowControl/>
        <w:rPr>
          <w:rFonts w:ascii="宋体" w:hAnsi="宋体" w:eastAsia="宋体" w:cs="宋体"/>
          <w:szCs w:val="21"/>
          <w14:ligatures w14:val="none"/>
        </w:rPr>
        <w:outlineLvl w:val="2"/>
      </w:pPr>
      <w:r>
        <w:rPr>
          <w:rFonts w:hint="eastAsia" w:ascii="宋体" w:hAnsi="宋体" w:eastAsia="宋体" w:cs="宋体"/>
          <w:szCs w:val="21"/>
          <w14:ligatures w14:val="none"/>
        </w:rPr>
        <w:t xml:space="preserve">（八）本人已认真阅读了上述承诺，并向本单位员工作了宣传教育。</w:t>
      </w:r>
      <w:r/>
    </w:p>
    <w:p>
      <w:pPr>
        <w:jc w:val="left"/>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                  法定代表人签名：</w:t>
      </w:r>
      <w:r/>
    </w:p>
    <w:p>
      <w:pPr>
        <w:jc w:val="center"/>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     单位名称（盖章）：</w:t>
      </w:r>
      <w:r/>
    </w:p>
    <w:p>
      <w:pPr>
        <w:ind w:firstLine="3780"/>
        <w:spacing w:line="499" w:lineRule="atLeast"/>
        <w:widowControl/>
        <w:rPr>
          <w:rFonts w:ascii="宋体" w:hAnsi="宋体" w:eastAsia="宋体" w:cs="宋体"/>
          <w:szCs w:val="21"/>
          <w14:ligatures w14:val="none"/>
        </w:rPr>
      </w:pPr>
      <w:r>
        <w:rPr>
          <w:rFonts w:hint="eastAsia" w:ascii="宋体" w:hAnsi="宋体" w:eastAsia="宋体" w:cs="宋体"/>
          <w:szCs w:val="21"/>
          <w14:ligatures w14:val="none"/>
        </w:rPr>
        <w:t xml:space="preserve">        年    月     日</w:t>
      </w:r>
      <w:r/>
    </w:p>
    <w:p>
      <w:pPr>
        <w:jc w:val="left"/>
        <w:widowControl/>
        <w:rPr>
          <w:rFonts w:ascii="宋体" w:hAnsi="宋体" w:eastAsia="宋体"/>
          <w:szCs w:val="21"/>
        </w:rPr>
      </w:pPr>
      <w:r>
        <w:rPr>
          <w:rFonts w:hint="eastAsia" w:ascii="宋体" w:hAnsi="宋体" w:eastAsia="宋体"/>
          <w:szCs w:val="21"/>
        </w:rPr>
        <w:br w:type="page" w:clear="all"/>
      </w:r>
      <w:r/>
    </w:p>
    <w:p>
      <w:pPr>
        <w:jc w:val="center"/>
        <w:spacing w:line="276" w:lineRule="auto"/>
        <w:rPr>
          <w:rFonts w:ascii="宋体" w:hAnsi="宋体" w:eastAsia="宋体" w:cs="宋体"/>
          <w:b/>
          <w:sz w:val="30"/>
          <w:szCs w:val="30"/>
          <w14:ligatures w14:val="none"/>
        </w:rPr>
        <w:outlineLvl w:val="1"/>
      </w:pPr>
      <w:r/>
      <w:bookmarkStart w:id="145" w:name="_Toc197644597"/>
      <w:r>
        <w:rPr>
          <w:rFonts w:hint="eastAsia" w:ascii="宋体" w:hAnsi="宋体" w:eastAsia="宋体" w:cs="宋体"/>
          <w:b/>
          <w:sz w:val="30"/>
          <w:szCs w:val="30"/>
          <w14:ligatures w14:val="none"/>
        </w:rPr>
        <w:t xml:space="preserve">质疑函范本</w:t>
      </w:r>
      <w:bookmarkEnd w:id="145"/>
      <w:r/>
      <w:r/>
    </w:p>
    <w:p>
      <w:pPr>
        <w:pStyle w:val="742"/>
        <w:jc w:val="both"/>
        <w:spacing w:line="380" w:lineRule="exact"/>
        <w:rPr>
          <w:color w:val="auto"/>
        </w:rPr>
      </w:pPr>
      <w:r>
        <w:rPr>
          <w:rFonts w:hint="eastAsia"/>
          <w:color w:val="auto"/>
        </w:rPr>
        <w:t xml:space="preserve">一、质疑供应商基本信息</w:t>
      </w:r>
      <w:r/>
    </w:p>
    <w:p>
      <w:pPr>
        <w:pStyle w:val="742"/>
        <w:jc w:val="both"/>
        <w:spacing w:line="380" w:lineRule="exact"/>
        <w:rPr>
          <w:color w:val="auto"/>
        </w:rPr>
      </w:pPr>
      <w:r>
        <w:rPr>
          <w:rFonts w:hint="eastAsia"/>
          <w:color w:val="auto"/>
        </w:rPr>
        <w:t xml:space="preserve">质疑供应商：</w:t>
      </w:r>
      <w:r>
        <w:rPr>
          <w:rFonts w:hint="eastAsia"/>
          <w:color w:val="auto"/>
          <w:u w:val="single"/>
        </w:rPr>
        <w:t xml:space="preserve">                    </w:t>
      </w:r>
      <w:r>
        <w:rPr>
          <w:rFonts w:hint="eastAsia"/>
          <w:color w:val="auto"/>
          <w:u w:val="single"/>
        </w:rPr>
        <w:tab/>
      </w:r>
      <w:r>
        <w:rPr>
          <w:rFonts w:hint="eastAsia"/>
          <w:color w:val="auto"/>
          <w:u w:val="single"/>
        </w:rPr>
        <w:t xml:space="preserve"> </w:t>
      </w:r>
      <w:r>
        <w:rPr>
          <w:rFonts w:hint="eastAsia"/>
          <w:color w:val="auto"/>
          <w:u w:val="single"/>
        </w:rPr>
        <w:tab/>
      </w:r>
      <w:r>
        <w:rPr>
          <w:rFonts w:hint="eastAsia"/>
          <w:color w:val="auto"/>
          <w:u w:val="single"/>
        </w:rPr>
        <w:t xml:space="preserve">       </w:t>
      </w:r>
      <w:r/>
    </w:p>
    <w:p>
      <w:pPr>
        <w:pStyle w:val="742"/>
        <w:jc w:val="both"/>
        <w:spacing w:line="380" w:lineRule="exact"/>
        <w:rPr>
          <w:color w:val="auto"/>
          <w:u w:val="single"/>
        </w:rPr>
      </w:pPr>
      <w:r>
        <w:rPr>
          <w:rFonts w:hint="eastAsia"/>
          <w:color w:val="auto"/>
        </w:rPr>
        <w:t xml:space="preserve">地址：</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rPr>
      </w:pPr>
      <w:r>
        <w:rPr>
          <w:rFonts w:hint="eastAsia"/>
          <w:color w:val="auto"/>
        </w:rPr>
        <w:t xml:space="preserve">邮编：</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u w:val="single"/>
        </w:rPr>
      </w:pPr>
      <w:r>
        <w:rPr>
          <w:rFonts w:hint="eastAsia"/>
          <w:color w:val="auto"/>
        </w:rPr>
        <w:t xml:space="preserve">联系人：</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rPr>
      </w:pPr>
      <w:r>
        <w:rPr>
          <w:rFonts w:hint="eastAsia"/>
          <w:color w:val="auto"/>
        </w:rPr>
        <w:t xml:space="preserve">联系电话：</w:t>
      </w:r>
      <w:r>
        <w:rPr>
          <w:rFonts w:hint="eastAsia"/>
          <w:color w:val="auto"/>
          <w:u w:val="single"/>
        </w:rPr>
        <w:t xml:space="preserve">                                           </w:t>
      </w:r>
      <w:r/>
    </w:p>
    <w:p>
      <w:pPr>
        <w:pStyle w:val="742"/>
        <w:jc w:val="both"/>
        <w:spacing w:line="380" w:lineRule="exact"/>
        <w:rPr>
          <w:color w:val="auto"/>
        </w:rPr>
      </w:pPr>
      <w:r>
        <w:rPr>
          <w:rFonts w:hint="eastAsia"/>
          <w:color w:val="auto"/>
        </w:rPr>
        <w:t xml:space="preserve">授权代表：</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rPr>
      </w:pPr>
      <w:r>
        <w:rPr>
          <w:rFonts w:hint="eastAsia"/>
          <w:color w:val="auto"/>
        </w:rPr>
        <w:t xml:space="preserve">联系电话：</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u w:val="single"/>
        </w:rPr>
      </w:pPr>
      <w:r>
        <w:rPr>
          <w:rFonts w:hint="eastAsia"/>
          <w:color w:val="auto"/>
        </w:rPr>
        <w:t xml:space="preserve">地址： </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80" w:lineRule="exact"/>
        <w:rPr>
          <w:color w:val="auto"/>
        </w:rPr>
      </w:pPr>
      <w:r>
        <w:rPr>
          <w:rFonts w:hint="eastAsia"/>
          <w:color w:val="auto"/>
        </w:rPr>
        <w:t xml:space="preserve">邮编：</w:t>
      </w:r>
      <w:r>
        <w:rPr>
          <w:rFonts w:hint="eastAsia"/>
          <w:color w:val="auto"/>
          <w:u w:val="single"/>
        </w:rPr>
        <w:t xml:space="preserve">                                </w:t>
      </w:r>
      <w:r/>
    </w:p>
    <w:p>
      <w:pPr>
        <w:pStyle w:val="742"/>
        <w:jc w:val="both"/>
        <w:spacing w:line="380" w:lineRule="exact"/>
        <w:rPr>
          <w:color w:val="auto"/>
        </w:rPr>
      </w:pPr>
      <w:r>
        <w:rPr>
          <w:rFonts w:hint="eastAsia"/>
          <w:color w:val="auto"/>
        </w:rPr>
        <w:t xml:space="preserve">二、质疑项目基本情况</w:t>
      </w:r>
      <w:r/>
    </w:p>
    <w:p>
      <w:pPr>
        <w:pStyle w:val="742"/>
        <w:jc w:val="both"/>
        <w:spacing w:line="380" w:lineRule="exact"/>
        <w:rPr>
          <w:color w:val="auto"/>
        </w:rPr>
      </w:pPr>
      <w:r>
        <w:rPr>
          <w:rFonts w:hint="eastAsia"/>
          <w:color w:val="auto"/>
        </w:rPr>
        <w:t xml:space="preserve">质疑项目的名称：</w:t>
      </w:r>
      <w:r>
        <w:rPr>
          <w:rFonts w:hint="eastAsia"/>
          <w:color w:val="auto"/>
          <w:u w:val="single"/>
        </w:rPr>
        <w:t xml:space="preserve">                               </w:t>
      </w:r>
      <w:r/>
    </w:p>
    <w:p>
      <w:pPr>
        <w:pStyle w:val="742"/>
        <w:jc w:val="both"/>
        <w:spacing w:line="380" w:lineRule="exact"/>
        <w:rPr>
          <w:color w:val="auto"/>
          <w:u w:val="single"/>
        </w:rPr>
      </w:pPr>
      <w:r>
        <w:rPr>
          <w:rFonts w:hint="eastAsia"/>
          <w:color w:val="auto"/>
        </w:rPr>
        <w:t xml:space="preserve">质疑项目的编号：</w:t>
      </w:r>
      <w:r>
        <w:rPr>
          <w:rFonts w:hint="eastAsia"/>
          <w:color w:val="auto"/>
          <w:u w:val="single"/>
        </w:rPr>
        <w:t xml:space="preserve">                             </w:t>
      </w:r>
      <w:r/>
    </w:p>
    <w:p>
      <w:pPr>
        <w:pStyle w:val="742"/>
        <w:jc w:val="both"/>
        <w:spacing w:line="380" w:lineRule="exact"/>
        <w:rPr>
          <w:color w:val="auto"/>
        </w:rPr>
      </w:pPr>
      <w:r>
        <w:rPr>
          <w:rFonts w:hint="eastAsia"/>
          <w:color w:val="auto"/>
        </w:rPr>
        <w:t xml:space="preserve">包号：</w:t>
      </w:r>
      <w:r>
        <w:rPr>
          <w:rFonts w:hint="eastAsia"/>
          <w:color w:val="auto"/>
          <w:u w:val="single"/>
        </w:rPr>
        <w:t xml:space="preserve">                         </w:t>
      </w:r>
      <w:r>
        <w:rPr>
          <w:rFonts w:hint="eastAsia"/>
          <w:color w:val="auto"/>
          <w:u w:val="single"/>
        </w:rPr>
        <w:tab/>
      </w:r>
      <w:r>
        <w:rPr>
          <w:rFonts w:hint="eastAsia"/>
          <w:color w:val="auto"/>
          <w:u w:val="single"/>
        </w:rPr>
        <w:t xml:space="preserve">    </w:t>
      </w:r>
      <w:r>
        <w:rPr>
          <w:rFonts w:hint="eastAsia"/>
          <w:color w:val="auto"/>
          <w:u w:val="single"/>
        </w:rPr>
        <w:tab/>
      </w:r>
      <w:r>
        <w:rPr>
          <w:rFonts w:hint="eastAsia"/>
          <w:color w:val="auto"/>
          <w:u w:val="single"/>
        </w:rPr>
        <w:t xml:space="preserve">    </w:t>
      </w:r>
      <w:r/>
    </w:p>
    <w:p>
      <w:pPr>
        <w:pStyle w:val="742"/>
        <w:jc w:val="both"/>
        <w:spacing w:line="380" w:lineRule="exact"/>
        <w:rPr>
          <w:color w:val="auto"/>
        </w:rPr>
      </w:pPr>
      <w:r>
        <w:rPr>
          <w:rFonts w:hint="eastAsia"/>
          <w:color w:val="auto"/>
        </w:rPr>
        <w:t xml:space="preserve">采购人名称：</w:t>
      </w:r>
      <w:r>
        <w:rPr>
          <w:rFonts w:hint="eastAsia"/>
          <w:color w:val="auto"/>
          <w:u w:val="single"/>
        </w:rPr>
        <w:t xml:space="preserve">                              </w:t>
      </w:r>
      <w:r/>
    </w:p>
    <w:p>
      <w:pPr>
        <w:pStyle w:val="742"/>
        <w:jc w:val="both"/>
        <w:spacing w:line="380" w:lineRule="exact"/>
        <w:rPr>
          <w:color w:val="auto"/>
        </w:rPr>
      </w:pPr>
      <w:r>
        <w:rPr>
          <w:rFonts w:hint="eastAsia"/>
          <w:color w:val="auto"/>
        </w:rPr>
        <w:t xml:space="preserve">采购文件获取日期：</w:t>
      </w:r>
      <w:r>
        <w:rPr>
          <w:rFonts w:hint="eastAsia"/>
          <w:color w:val="auto"/>
          <w:u w:val="single"/>
        </w:rPr>
        <w:t xml:space="preserve">                               </w:t>
      </w:r>
      <w:r/>
    </w:p>
    <w:p>
      <w:pPr>
        <w:pStyle w:val="742"/>
        <w:jc w:val="both"/>
        <w:spacing w:line="380" w:lineRule="exact"/>
        <w:rPr>
          <w:color w:val="auto"/>
        </w:rPr>
      </w:pPr>
      <w:r>
        <w:rPr>
          <w:rFonts w:hint="eastAsia"/>
          <w:color w:val="auto"/>
        </w:rPr>
        <w:t xml:space="preserve">三、质疑事项具体内容</w:t>
      </w:r>
      <w:r/>
    </w:p>
    <w:p>
      <w:pPr>
        <w:pStyle w:val="742"/>
        <w:jc w:val="both"/>
        <w:spacing w:line="380" w:lineRule="exact"/>
        <w:rPr>
          <w:color w:val="auto"/>
        </w:rPr>
      </w:pPr>
      <w:r>
        <w:rPr>
          <w:rFonts w:hint="eastAsia"/>
          <w:color w:val="auto"/>
        </w:rPr>
        <w:t xml:space="preserve">质疑事项1：</w:t>
      </w:r>
      <w:r>
        <w:rPr>
          <w:rFonts w:hint="eastAsia"/>
          <w:color w:val="auto"/>
          <w:u w:val="single"/>
        </w:rPr>
        <w:t xml:space="preserve">                             </w:t>
      </w:r>
      <w:r/>
    </w:p>
    <w:p>
      <w:pPr>
        <w:pStyle w:val="742"/>
        <w:spacing w:line="380" w:lineRule="exact"/>
        <w:rPr>
          <w:color w:val="auto"/>
        </w:rPr>
      </w:pPr>
      <w:r>
        <w:rPr>
          <w:rFonts w:hint="eastAsia"/>
          <w:color w:val="auto"/>
        </w:rPr>
        <w:t xml:space="preserve">事实依据：</w:t>
      </w:r>
      <w:r>
        <w:rPr>
          <w:rFonts w:hint="eastAsia"/>
          <w:color w:val="auto"/>
          <w:u w:val="single"/>
        </w:rPr>
        <w:t xml:space="preserve">                                                   </w:t>
      </w:r>
      <w:r/>
    </w:p>
    <w:p>
      <w:pPr>
        <w:pStyle w:val="742"/>
        <w:jc w:val="both"/>
        <w:spacing w:line="380" w:lineRule="exact"/>
        <w:rPr>
          <w:color w:val="auto"/>
        </w:rPr>
      </w:pPr>
      <w:r>
        <w:rPr>
          <w:rFonts w:hint="eastAsia"/>
          <w:color w:val="auto"/>
        </w:rPr>
        <w:t xml:space="preserve">法律依据：</w:t>
      </w:r>
      <w:r>
        <w:rPr>
          <w:rFonts w:hint="eastAsia"/>
          <w:color w:val="auto"/>
          <w:u w:val="single"/>
        </w:rPr>
        <w:t xml:space="preserve">                                                    </w:t>
      </w:r>
      <w:r/>
    </w:p>
    <w:p>
      <w:pPr>
        <w:pStyle w:val="742"/>
        <w:jc w:val="both"/>
        <w:spacing w:line="380" w:lineRule="exact"/>
        <w:rPr>
          <w:color w:val="auto"/>
        </w:rPr>
      </w:pPr>
      <w:r>
        <w:rPr>
          <w:rFonts w:hint="eastAsia"/>
          <w:color w:val="auto"/>
        </w:rPr>
        <w:t xml:space="preserve">质疑事项2</w:t>
      </w:r>
      <w:r/>
    </w:p>
    <w:p>
      <w:pPr>
        <w:pStyle w:val="742"/>
        <w:jc w:val="both"/>
        <w:spacing w:line="380" w:lineRule="exact"/>
        <w:rPr>
          <w:color w:val="auto"/>
        </w:rPr>
      </w:pPr>
      <w:r>
        <w:rPr>
          <w:rFonts w:hint="eastAsia"/>
          <w:color w:val="auto"/>
        </w:rPr>
        <w:t xml:space="preserve">……</w:t>
      </w:r>
      <w:r/>
    </w:p>
    <w:p>
      <w:pPr>
        <w:pStyle w:val="742"/>
        <w:jc w:val="both"/>
        <w:spacing w:line="380" w:lineRule="exact"/>
        <w:rPr>
          <w:color w:val="auto"/>
        </w:rPr>
      </w:pPr>
      <w:r>
        <w:rPr>
          <w:rFonts w:hint="eastAsia"/>
          <w:color w:val="auto"/>
        </w:rPr>
        <w:t xml:space="preserve">四、与质疑事项相关的质疑请求</w:t>
      </w:r>
      <w:r/>
    </w:p>
    <w:p>
      <w:pPr>
        <w:pStyle w:val="742"/>
        <w:jc w:val="both"/>
        <w:spacing w:line="380" w:lineRule="exact"/>
        <w:rPr>
          <w:color w:val="auto"/>
        </w:rPr>
      </w:pPr>
      <w:r>
        <w:rPr>
          <w:rFonts w:hint="eastAsia"/>
          <w:color w:val="auto"/>
        </w:rPr>
        <w:t xml:space="preserve">请求：</w:t>
      </w:r>
      <w:r>
        <w:rPr>
          <w:rFonts w:hint="eastAsia"/>
          <w:color w:val="auto"/>
          <w:u w:val="single"/>
        </w:rPr>
        <w:t xml:space="preserve">                                                          </w:t>
      </w:r>
      <w:r/>
    </w:p>
    <w:p>
      <w:pPr>
        <w:pStyle w:val="742"/>
        <w:jc w:val="both"/>
        <w:spacing w:line="380" w:lineRule="exact"/>
        <w:rPr>
          <w:color w:val="auto"/>
        </w:rPr>
      </w:pPr>
      <w:r>
        <w:rPr>
          <w:rFonts w:hint="eastAsia"/>
          <w:color w:val="auto"/>
        </w:rPr>
        <w:t xml:space="preserve">签字(签章)：                 公章：               日期：    </w:t>
      </w:r>
      <w:r/>
    </w:p>
    <w:p>
      <w:pPr>
        <w:pStyle w:val="742"/>
        <w:jc w:val="both"/>
        <w:spacing w:line="380" w:lineRule="exact"/>
        <w:rPr>
          <w:color w:val="auto"/>
        </w:rPr>
      </w:pPr>
      <w:r>
        <w:rPr>
          <w:rFonts w:hint="eastAsia"/>
          <w:b/>
          <w:color w:val="auto"/>
        </w:rPr>
        <w:t xml:space="preserve">质疑函制作说明：</w:t>
      </w:r>
      <w:r/>
    </w:p>
    <w:p>
      <w:pPr>
        <w:pStyle w:val="742"/>
        <w:ind w:firstLine="480"/>
        <w:spacing w:line="380" w:lineRule="exact"/>
        <w:widowControl/>
        <w:rPr>
          <w:color w:val="auto"/>
        </w:rPr>
      </w:pPr>
      <w:r>
        <w:rPr>
          <w:rFonts w:hint="eastAsia"/>
          <w:color w:val="auto"/>
        </w:rPr>
        <w:t xml:space="preserve">1.供应商提出质疑时，应提交质疑函和必要的证明材料。</w:t>
      </w:r>
      <w:r/>
    </w:p>
    <w:p>
      <w:pPr>
        <w:pStyle w:val="742"/>
        <w:ind w:firstLine="480"/>
        <w:spacing w:line="380" w:lineRule="exact"/>
        <w:widowControl/>
        <w:rPr>
          <w:color w:val="auto"/>
        </w:rPr>
      </w:pPr>
      <w:r>
        <w:rPr>
          <w:rFonts w:hint="eastAsia"/>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2"/>
        <w:ind w:firstLine="480"/>
        <w:spacing w:line="380" w:lineRule="exact"/>
        <w:widowControl/>
        <w:rPr>
          <w:color w:val="auto"/>
        </w:rPr>
      </w:pPr>
      <w:r>
        <w:rPr>
          <w:rFonts w:hint="eastAsia"/>
          <w:color w:val="auto"/>
        </w:rPr>
        <w:t xml:space="preserve">3.质疑供应商若对项目的某一分包进行质疑，质疑函中应列明具体分包号。</w:t>
      </w:r>
      <w:r/>
    </w:p>
    <w:p>
      <w:pPr>
        <w:pStyle w:val="742"/>
        <w:ind w:firstLine="480"/>
        <w:spacing w:line="380" w:lineRule="exact"/>
        <w:widowControl/>
        <w:rPr>
          <w:color w:val="auto"/>
        </w:rPr>
      </w:pPr>
      <w:r>
        <w:rPr>
          <w:rFonts w:hint="eastAsia"/>
          <w:color w:val="auto"/>
        </w:rPr>
        <w:t xml:space="preserve">4.质疑函的质疑事项应具体、明确，并有必要的事实依据和法律依据。</w:t>
      </w:r>
      <w:r/>
    </w:p>
    <w:p>
      <w:pPr>
        <w:pStyle w:val="742"/>
        <w:ind w:firstLine="480"/>
        <w:spacing w:line="380" w:lineRule="exact"/>
        <w:widowControl/>
        <w:rPr>
          <w:color w:val="auto"/>
        </w:rPr>
      </w:pPr>
      <w:r>
        <w:rPr>
          <w:rFonts w:hint="eastAsia"/>
          <w:color w:val="auto"/>
        </w:rPr>
        <w:t xml:space="preserve">5.质疑函的质疑请求应与质疑事项相关。</w:t>
      </w:r>
      <w:r/>
    </w:p>
    <w:p>
      <w:pPr>
        <w:pStyle w:val="742"/>
        <w:ind w:firstLine="480"/>
        <w:spacing w:line="380" w:lineRule="exact"/>
        <w:widowControl/>
        <w:rPr>
          <w:color w:val="auto"/>
          <w14:ligatures w14:val="none"/>
        </w:rPr>
      </w:pPr>
      <w:r>
        <w:rPr>
          <w:rFonts w:hint="eastAsia"/>
          <w:color w:val="auto"/>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华文细黑">
    <w:panose1 w:val="02010600040101010101"/>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2">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5">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6">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7"/>
  </w:num>
  <w:num w:numId="3">
    <w:abstractNumId w:val="8"/>
  </w:num>
  <w:num w:numId="4">
    <w:abstractNumId w:val="5"/>
  </w:num>
  <w:num w:numId="5">
    <w:abstractNumId w:val="4"/>
  </w:num>
  <w:num w:numId="6">
    <w:abstractNumId w:val="2"/>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37"/>
    <w:uiPriority w:val="99"/>
    <w:rPr>
      <w:sz w:val="18"/>
    </w:rPr>
  </w:style>
  <w:style w:type="character" w:styleId="707">
    <w:name w:val="Endnote Text Char"/>
    <w:link w:val="731"/>
    <w:uiPriority w:val="99"/>
    <w:rPr>
      <w:sz w:val="20"/>
    </w:rPr>
  </w:style>
  <w:style w:type="paragraph" w:styleId="708">
    <w:name w:val="TOC Heading"/>
    <w:uiPriority w:val="39"/>
    <w:unhideWhenUsed/>
  </w:style>
  <w:style w:type="paragraph" w:styleId="709"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none"/>
    </w:rPr>
  </w:style>
  <w:style w:type="paragraph" w:styleId="710">
    <w:name w:val="Heading 1"/>
    <w:basedOn w:val="709"/>
    <w:next w:val="709"/>
    <w:link w:val="897"/>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11">
    <w:name w:val="Heading 2"/>
    <w:basedOn w:val="709"/>
    <w:next w:val="709"/>
    <w:link w:val="898"/>
    <w:uiPriority w:val="0"/>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12">
    <w:name w:val="Heading 3"/>
    <w:basedOn w:val="709"/>
    <w:next w:val="709"/>
    <w:link w:val="899"/>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13">
    <w:name w:val="Heading 4"/>
    <w:basedOn w:val="709"/>
    <w:next w:val="709"/>
    <w:link w:val="900"/>
    <w:uiPriority w:val="9"/>
    <w:unhideWhenUsed/>
    <w:qFormat/>
    <w:pPr>
      <w:keepLines/>
      <w:keepNext/>
      <w:spacing w:before="80" w:after="40"/>
      <w:outlineLvl w:val="3"/>
    </w:pPr>
    <w:rPr>
      <w:rFonts w:cstheme="majorBidi"/>
      <w:color w:val="2f5597" w:themeColor="accent1" w:themeShade="BF"/>
      <w:sz w:val="28"/>
      <w:szCs w:val="28"/>
    </w:rPr>
  </w:style>
  <w:style w:type="paragraph" w:styleId="714">
    <w:name w:val="Heading 5"/>
    <w:basedOn w:val="709"/>
    <w:next w:val="709"/>
    <w:link w:val="901"/>
    <w:uiPriority w:val="9"/>
    <w:unhideWhenUsed/>
    <w:qFormat/>
    <w:pPr>
      <w:keepLines/>
      <w:keepNext/>
      <w:spacing w:before="80" w:after="40"/>
      <w:outlineLvl w:val="4"/>
    </w:pPr>
    <w:rPr>
      <w:rFonts w:cstheme="majorBidi"/>
      <w:color w:val="2f5597" w:themeColor="accent1" w:themeShade="BF"/>
      <w:sz w:val="24"/>
      <w:szCs w:val="24"/>
    </w:rPr>
  </w:style>
  <w:style w:type="paragraph" w:styleId="715">
    <w:name w:val="Heading 6"/>
    <w:basedOn w:val="709"/>
    <w:next w:val="709"/>
    <w:link w:val="902"/>
    <w:uiPriority w:val="9"/>
    <w:unhideWhenUsed/>
    <w:qFormat/>
    <w:pPr>
      <w:keepLines/>
      <w:keepNext/>
      <w:spacing w:before="40"/>
      <w:outlineLvl w:val="5"/>
    </w:pPr>
    <w:rPr>
      <w:rFonts w:cstheme="majorBidi"/>
      <w:b/>
      <w:bCs/>
      <w:color w:val="2f5597" w:themeColor="accent1" w:themeShade="BF"/>
    </w:rPr>
  </w:style>
  <w:style w:type="paragraph" w:styleId="716">
    <w:name w:val="Heading 7"/>
    <w:basedOn w:val="709"/>
    <w:next w:val="709"/>
    <w:link w:val="903"/>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17">
    <w:name w:val="Heading 8"/>
    <w:basedOn w:val="709"/>
    <w:next w:val="709"/>
    <w:link w:val="904"/>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18">
    <w:name w:val="Heading 9"/>
    <w:basedOn w:val="709"/>
    <w:next w:val="709"/>
    <w:link w:val="905"/>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19" w:default="1">
    <w:name w:val="Default Paragraph Font"/>
    <w:uiPriority w:val="1"/>
    <w:unhideWhenUsed/>
    <w:qFormat/>
  </w:style>
  <w:style w:type="table" w:styleId="720" w:default="1">
    <w:name w:val="Normal Table"/>
    <w:uiPriority w:val="99"/>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Caption"/>
    <w:basedOn w:val="709"/>
    <w:next w:val="709"/>
    <w:uiPriority w:val="35"/>
    <w:unhideWhenUsed/>
    <w:qFormat/>
    <w:pPr>
      <w:spacing w:line="276" w:lineRule="auto"/>
    </w:pPr>
    <w:rPr>
      <w:b/>
      <w:bCs/>
      <w:color w:val="4472c4" w:themeColor="accent1"/>
      <w:sz w:val="18"/>
      <w:szCs w:val="18"/>
      <w14:textFill>
        <w14:solidFill>
          <w14:schemeClr w14:val="accent1"/>
        </w14:solidFill>
      </w14:textFill>
    </w:rPr>
  </w:style>
  <w:style w:type="paragraph" w:styleId="723">
    <w:name w:val="Body Text"/>
    <w:basedOn w:val="709"/>
    <w:uiPriority w:val="0"/>
    <w:qFormat/>
    <w:rPr>
      <w:rFonts w:ascii="楷体_GB2312" w:hAnsi="Arial" w:eastAsia="楷体_GB2312"/>
      <w:sz w:val="28"/>
      <w:szCs w:val="20"/>
    </w:rPr>
  </w:style>
  <w:style w:type="paragraph" w:styleId="724">
    <w:name w:val="Body Text Indent"/>
    <w:basedOn w:val="709"/>
    <w:next w:val="725"/>
    <w:uiPriority w:val="0"/>
    <w:qFormat/>
    <w:pPr>
      <w:ind w:firstLine="600"/>
      <w:spacing w:line="360" w:lineRule="auto"/>
    </w:pPr>
    <w:rPr>
      <w:rFonts w:ascii="仿宋_GB2312" w:eastAsia="仿宋_GB2312"/>
      <w:sz w:val="30"/>
    </w:rPr>
  </w:style>
  <w:style w:type="paragraph" w:styleId="725">
    <w:name w:val="envelope return"/>
    <w:basedOn w:val="709"/>
    <w:uiPriority w:val="0"/>
    <w:qFormat/>
    <w:rPr>
      <w:rFonts w:ascii="Arial" w:hAnsi="Arial"/>
    </w:rPr>
  </w:style>
  <w:style w:type="paragraph" w:styleId="726">
    <w:name w:val="index 4"/>
    <w:basedOn w:val="709"/>
    <w:next w:val="709"/>
    <w:uiPriority w:val="0"/>
    <w:qFormat/>
    <w:pPr>
      <w:ind w:left="600"/>
    </w:pPr>
    <w:rPr>
      <w:rFonts w:ascii="Times New Roman" w:hAnsi="Times New Roman" w:eastAsia="宋体" w:cs="Times New Roman"/>
      <w:szCs w:val="24"/>
    </w:rPr>
  </w:style>
  <w:style w:type="paragraph" w:styleId="727">
    <w:name w:val="toc 5"/>
    <w:basedOn w:val="709"/>
    <w:next w:val="709"/>
    <w:uiPriority w:val="39"/>
    <w:unhideWhenUsed/>
    <w:qFormat/>
    <w:pPr>
      <w:ind w:left="1134"/>
      <w:spacing w:after="57"/>
    </w:pPr>
  </w:style>
  <w:style w:type="paragraph" w:styleId="728">
    <w:name w:val="toc 3"/>
    <w:basedOn w:val="709"/>
    <w:next w:val="709"/>
    <w:uiPriority w:val="39"/>
    <w:unhideWhenUsed/>
    <w:qFormat/>
    <w:pPr>
      <w:ind w:left="840"/>
    </w:pPr>
  </w:style>
  <w:style w:type="paragraph" w:styleId="729">
    <w:name w:val="Plain Text"/>
    <w:basedOn w:val="709"/>
    <w:uiPriority w:val="0"/>
    <w:qFormat/>
    <w:rPr>
      <w:rFonts w:hint="eastAsia" w:hAnsi="Courier New" w:eastAsia="宋体"/>
    </w:rPr>
  </w:style>
  <w:style w:type="paragraph" w:styleId="730">
    <w:name w:val="toc 8"/>
    <w:basedOn w:val="709"/>
    <w:next w:val="709"/>
    <w:uiPriority w:val="39"/>
    <w:unhideWhenUsed/>
    <w:qFormat/>
    <w:pPr>
      <w:ind w:left="1984"/>
      <w:spacing w:after="57"/>
    </w:pPr>
  </w:style>
  <w:style w:type="paragraph" w:styleId="731">
    <w:name w:val="endnote text"/>
    <w:basedOn w:val="709"/>
    <w:link w:val="896"/>
    <w:uiPriority w:val="99"/>
    <w:unhideWhenUsed/>
    <w:qFormat/>
    <w:rPr>
      <w:sz w:val="20"/>
    </w:rPr>
  </w:style>
  <w:style w:type="paragraph" w:styleId="732">
    <w:name w:val="Footer"/>
    <w:basedOn w:val="709"/>
    <w:link w:val="916"/>
    <w:uiPriority w:val="99"/>
    <w:unhideWhenUsed/>
    <w:qFormat/>
    <w:pPr>
      <w:jc w:val="left"/>
      <w:tabs>
        <w:tab w:val="center" w:pos="4153" w:leader="none"/>
        <w:tab w:val="right" w:pos="8306" w:leader="none"/>
      </w:tabs>
    </w:pPr>
    <w:rPr>
      <w:sz w:val="18"/>
      <w:szCs w:val="18"/>
    </w:rPr>
  </w:style>
  <w:style w:type="paragraph" w:styleId="733">
    <w:name w:val="Header"/>
    <w:basedOn w:val="709"/>
    <w:link w:val="915"/>
    <w:uiPriority w:val="99"/>
    <w:unhideWhenUsed/>
    <w:qFormat/>
    <w:pPr>
      <w:jc w:val="center"/>
      <w:tabs>
        <w:tab w:val="center" w:pos="4153" w:leader="none"/>
        <w:tab w:val="right" w:pos="8306" w:leader="none"/>
      </w:tabs>
    </w:pPr>
    <w:rPr>
      <w:sz w:val="18"/>
      <w:szCs w:val="18"/>
    </w:rPr>
  </w:style>
  <w:style w:type="paragraph" w:styleId="734">
    <w:name w:val="toc 1"/>
    <w:basedOn w:val="709"/>
    <w:next w:val="709"/>
    <w:uiPriority w:val="39"/>
    <w:unhideWhenUsed/>
    <w:qFormat/>
    <w:pPr>
      <w:spacing w:after="57"/>
    </w:pPr>
  </w:style>
  <w:style w:type="paragraph" w:styleId="735">
    <w:name w:val="toc 4"/>
    <w:basedOn w:val="709"/>
    <w:next w:val="709"/>
    <w:uiPriority w:val="39"/>
    <w:unhideWhenUsed/>
    <w:qFormat/>
    <w:pPr>
      <w:ind w:left="1260"/>
    </w:pPr>
  </w:style>
  <w:style w:type="paragraph" w:styleId="736">
    <w:name w:val="Subtitle"/>
    <w:basedOn w:val="709"/>
    <w:next w:val="709"/>
    <w:link w:val="90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37">
    <w:name w:val="footnote text"/>
    <w:basedOn w:val="709"/>
    <w:link w:val="895"/>
    <w:uiPriority w:val="99"/>
    <w:unhideWhenUsed/>
    <w:qFormat/>
    <w:pPr>
      <w:spacing w:after="40"/>
    </w:pPr>
    <w:rPr>
      <w:sz w:val="18"/>
    </w:rPr>
  </w:style>
  <w:style w:type="paragraph" w:styleId="738">
    <w:name w:val="toc 6"/>
    <w:basedOn w:val="709"/>
    <w:next w:val="709"/>
    <w:uiPriority w:val="39"/>
    <w:unhideWhenUsed/>
    <w:qFormat/>
    <w:pPr>
      <w:ind w:left="1417"/>
      <w:spacing w:after="57"/>
    </w:pPr>
  </w:style>
  <w:style w:type="paragraph" w:styleId="739">
    <w:name w:val="table of figures"/>
    <w:basedOn w:val="709"/>
    <w:next w:val="709"/>
    <w:uiPriority w:val="99"/>
    <w:unhideWhenUsed/>
    <w:qFormat/>
  </w:style>
  <w:style w:type="paragraph" w:styleId="740">
    <w:name w:val="toc 2"/>
    <w:basedOn w:val="709"/>
    <w:next w:val="709"/>
    <w:uiPriority w:val="39"/>
    <w:unhideWhenUsed/>
    <w:qFormat/>
    <w:pPr>
      <w:ind w:left="420"/>
    </w:pPr>
  </w:style>
  <w:style w:type="paragraph" w:styleId="741">
    <w:name w:val="toc 9"/>
    <w:basedOn w:val="709"/>
    <w:next w:val="709"/>
    <w:uiPriority w:val="39"/>
    <w:unhideWhenUsed/>
    <w:qFormat/>
    <w:pPr>
      <w:ind w:left="2268"/>
      <w:spacing w:after="57"/>
    </w:pPr>
  </w:style>
  <w:style w:type="paragraph" w:styleId="742">
    <w:name w:val="Normal (Web)"/>
    <w:basedOn w:val="709"/>
    <w:uiPriority w:val="0"/>
    <w:qFormat/>
    <w:pPr>
      <w:jc w:val="left"/>
      <w:spacing w:line="276" w:lineRule="auto"/>
    </w:pPr>
    <w:rPr>
      <w:rFonts w:ascii="宋体" w:hAnsi="宋体" w:eastAsia="宋体" w:cs="宋体"/>
      <w:color w:val="000000"/>
      <w:szCs w:val="21"/>
    </w:rPr>
  </w:style>
  <w:style w:type="paragraph" w:styleId="743">
    <w:name w:val="Title"/>
    <w:basedOn w:val="709"/>
    <w:next w:val="709"/>
    <w:link w:val="906"/>
    <w:uiPriority w:val="10"/>
    <w:qFormat/>
    <w:pPr>
      <w:contextualSpacing/>
      <w:jc w:val="center"/>
      <w:spacing w:after="80"/>
    </w:pPr>
    <w:rPr>
      <w:rFonts w:asciiTheme="majorHAnsi" w:hAnsiTheme="majorHAnsi" w:eastAsiaTheme="majorEastAsia" w:cstheme="majorBidi"/>
      <w:spacing w:val="-10"/>
      <w:sz w:val="56"/>
      <w:szCs w:val="56"/>
    </w:rPr>
  </w:style>
  <w:style w:type="paragraph" w:styleId="744">
    <w:name w:val="Body Text First Indent"/>
    <w:basedOn w:val="723"/>
    <w:next w:val="709"/>
    <w:uiPriority w:val="0"/>
    <w:qFormat/>
    <w:pPr>
      <w:ind w:firstLine="420"/>
    </w:pPr>
    <w:rPr>
      <w:sz w:val="24"/>
    </w:rPr>
  </w:style>
  <w:style w:type="table" w:styleId="745">
    <w:name w:val="Table Grid"/>
    <w:basedOn w:val="7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basedOn w:val="719"/>
    <w:uiPriority w:val="99"/>
    <w:unhideWhenUsed/>
    <w:qFormat/>
    <w:rPr>
      <w:vertAlign w:val="superscript"/>
    </w:rPr>
  </w:style>
  <w:style w:type="character" w:styleId="747">
    <w:name w:val="Hyperlink"/>
    <w:basedOn w:val="719"/>
    <w:uiPriority w:val="99"/>
    <w:unhideWhenUsed/>
    <w:qFormat/>
    <w:rPr>
      <w:color w:val="0563c1" w:themeColor="hyperlink"/>
      <w:u w:val="single"/>
      <w14:textFill>
        <w14:solidFill>
          <w14:schemeClr w14:val="hlink"/>
        </w14:solidFill>
      </w14:textFill>
    </w:rPr>
  </w:style>
  <w:style w:type="character" w:styleId="748">
    <w:name w:val="footnote reference"/>
    <w:basedOn w:val="719"/>
    <w:uiPriority w:val="99"/>
    <w:unhideWhenUsed/>
    <w:qFormat/>
    <w:rPr>
      <w:vertAlign w:val="superscript"/>
    </w:rPr>
  </w:style>
  <w:style w:type="paragraph" w:styleId="749" w:customStyle="1">
    <w:name w:val="Default"/>
    <w:basedOn w:val="709"/>
    <w:uiPriority w:val="0"/>
    <w:semiHidden/>
    <w:qFormat/>
    <w:pPr>
      <w:jc w:val="left"/>
    </w:pPr>
    <w:rPr>
      <w:rFonts w:ascii="宋体" w:hAnsi="Calibri" w:cs="宋体"/>
      <w:color w:val="000000"/>
      <w:sz w:val="24"/>
      <w:szCs w:val="24"/>
    </w:rPr>
  </w:style>
  <w:style w:type="paragraph" w:styleId="750" w:customStyle="1">
    <w:name w:val="正文首行缩进 21"/>
    <w:basedOn w:val="751"/>
    <w:next w:val="709"/>
    <w:uiPriority w:val="0"/>
    <w:qFormat/>
    <w:pPr>
      <w:ind w:left="420" w:firstLine="420"/>
      <w:spacing w:after="120"/>
    </w:pPr>
    <w:rPr>
      <w:rFonts w:ascii="Cambria" w:hAnsi="Cambria" w:eastAsia="华文细黑"/>
      <w:sz w:val="21"/>
    </w:rPr>
  </w:style>
  <w:style w:type="paragraph" w:styleId="751" w:customStyle="1">
    <w:name w:val="正文文本缩进1"/>
    <w:basedOn w:val="709"/>
    <w:next w:val="752"/>
    <w:uiPriority w:val="99"/>
    <w:qFormat/>
    <w:pPr>
      <w:ind w:firstLine="645"/>
    </w:pPr>
    <w:rPr>
      <w:rFonts w:ascii="楷体_GB2312" w:hAnsi="Times New Roman" w:eastAsia="楷体_GB2312"/>
      <w:sz w:val="32"/>
      <w:szCs w:val="32"/>
    </w:rPr>
  </w:style>
  <w:style w:type="paragraph" w:styleId="752" w:customStyle="1">
    <w:name w:val="寄信人地址1"/>
    <w:basedOn w:val="709"/>
    <w:uiPriority w:val="0"/>
    <w:qFormat/>
    <w:rPr>
      <w:rFonts w:ascii="Arial" w:hAnsi="Arial" w:eastAsia="宋体" w:cs="Times New Roman"/>
    </w:rPr>
  </w:style>
  <w:style w:type="character" w:styleId="753" w:customStyle="1">
    <w:name w:val="Heading 1 Char"/>
    <w:basedOn w:val="719"/>
    <w:uiPriority w:val="9"/>
    <w:qFormat/>
    <w:rPr>
      <w:rFonts w:ascii="Arial" w:hAnsi="Arial" w:eastAsia="Arial" w:cs="Arial"/>
      <w:sz w:val="40"/>
      <w:szCs w:val="40"/>
    </w:rPr>
  </w:style>
  <w:style w:type="character" w:styleId="754" w:customStyle="1">
    <w:name w:val="Heading 2 Char"/>
    <w:basedOn w:val="719"/>
    <w:uiPriority w:val="9"/>
    <w:qFormat/>
    <w:rPr>
      <w:rFonts w:ascii="Arial" w:hAnsi="Arial" w:eastAsia="Arial" w:cs="Arial"/>
      <w:sz w:val="34"/>
    </w:rPr>
  </w:style>
  <w:style w:type="character" w:styleId="755" w:customStyle="1">
    <w:name w:val="Heading 3 Char"/>
    <w:basedOn w:val="719"/>
    <w:uiPriority w:val="9"/>
    <w:qFormat/>
    <w:rPr>
      <w:rFonts w:ascii="Arial" w:hAnsi="Arial" w:eastAsia="Arial" w:cs="Arial"/>
      <w:sz w:val="30"/>
      <w:szCs w:val="30"/>
    </w:rPr>
  </w:style>
  <w:style w:type="character" w:styleId="756" w:customStyle="1">
    <w:name w:val="Heading 4 Char"/>
    <w:basedOn w:val="719"/>
    <w:uiPriority w:val="9"/>
    <w:qFormat/>
    <w:rPr>
      <w:rFonts w:ascii="Arial" w:hAnsi="Arial" w:eastAsia="Arial" w:cs="Arial"/>
      <w:b/>
      <w:bCs/>
      <w:sz w:val="26"/>
      <w:szCs w:val="26"/>
    </w:rPr>
  </w:style>
  <w:style w:type="character" w:styleId="757" w:customStyle="1">
    <w:name w:val="Heading 5 Char"/>
    <w:basedOn w:val="719"/>
    <w:uiPriority w:val="9"/>
    <w:qFormat/>
    <w:rPr>
      <w:rFonts w:ascii="Arial" w:hAnsi="Arial" w:eastAsia="Arial" w:cs="Arial"/>
      <w:b/>
      <w:bCs/>
      <w:sz w:val="24"/>
      <w:szCs w:val="24"/>
    </w:rPr>
  </w:style>
  <w:style w:type="character" w:styleId="758" w:customStyle="1">
    <w:name w:val="Heading 6 Char"/>
    <w:basedOn w:val="719"/>
    <w:uiPriority w:val="9"/>
    <w:qFormat/>
    <w:rPr>
      <w:rFonts w:ascii="Arial" w:hAnsi="Arial" w:eastAsia="Arial" w:cs="Arial"/>
      <w:b/>
      <w:bCs/>
      <w:sz w:val="22"/>
      <w:szCs w:val="22"/>
    </w:rPr>
  </w:style>
  <w:style w:type="character" w:styleId="759" w:customStyle="1">
    <w:name w:val="Heading 7 Char"/>
    <w:basedOn w:val="719"/>
    <w:uiPriority w:val="9"/>
    <w:qFormat/>
    <w:rPr>
      <w:rFonts w:ascii="Arial" w:hAnsi="Arial" w:eastAsia="Arial" w:cs="Arial"/>
      <w:b/>
      <w:bCs/>
      <w:i/>
      <w:iCs/>
      <w:sz w:val="22"/>
      <w:szCs w:val="22"/>
    </w:rPr>
  </w:style>
  <w:style w:type="character" w:styleId="760" w:customStyle="1">
    <w:name w:val="Heading 8 Char"/>
    <w:basedOn w:val="719"/>
    <w:uiPriority w:val="9"/>
    <w:qFormat/>
    <w:rPr>
      <w:rFonts w:ascii="Arial" w:hAnsi="Arial" w:eastAsia="Arial" w:cs="Arial"/>
      <w:i/>
      <w:iCs/>
      <w:sz w:val="22"/>
      <w:szCs w:val="22"/>
    </w:rPr>
  </w:style>
  <w:style w:type="character" w:styleId="761" w:customStyle="1">
    <w:name w:val="Heading 9 Char"/>
    <w:basedOn w:val="719"/>
    <w:uiPriority w:val="9"/>
    <w:qFormat/>
    <w:rPr>
      <w:rFonts w:ascii="Arial" w:hAnsi="Arial" w:eastAsia="Arial" w:cs="Arial"/>
      <w:i/>
      <w:iCs/>
      <w:sz w:val="21"/>
      <w:szCs w:val="21"/>
    </w:rPr>
  </w:style>
  <w:style w:type="paragraph" w:styleId="762" w:customStyle="1">
    <w:name w:val="No Spacing"/>
    <w:uiPriority w:val="1"/>
    <w:qFormat/>
    <w:rPr>
      <w:rFonts w:asciiTheme="minorHAnsi" w:hAnsiTheme="minorHAnsi" w:eastAsiaTheme="minorEastAsia" w:cstheme="minorBidi"/>
      <w:sz w:val="21"/>
      <w:szCs w:val="22"/>
      <w:lang w:val="en-US" w:eastAsia="zh-CN" w:bidi="ar-SA"/>
      <w14:ligatures w14:val="none"/>
    </w:rPr>
  </w:style>
  <w:style w:type="character" w:styleId="763" w:customStyle="1">
    <w:name w:val="Title Char"/>
    <w:basedOn w:val="719"/>
    <w:uiPriority w:val="10"/>
    <w:qFormat/>
    <w:rPr>
      <w:sz w:val="48"/>
      <w:szCs w:val="48"/>
    </w:rPr>
  </w:style>
  <w:style w:type="character" w:styleId="764" w:customStyle="1">
    <w:name w:val="Subtitle Char"/>
    <w:basedOn w:val="719"/>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19"/>
    <w:uiPriority w:val="99"/>
    <w:qFormat/>
  </w:style>
  <w:style w:type="character" w:styleId="768" w:customStyle="1">
    <w:name w:val="Footer Char"/>
    <w:basedOn w:val="719"/>
    <w:uiPriority w:val="99"/>
    <w:qFormat/>
  </w:style>
  <w:style w:type="character" w:styleId="769" w:customStyle="1">
    <w:name w:val="Caption Char"/>
    <w:uiPriority w:val="99"/>
    <w:qFormat/>
  </w:style>
  <w:style w:type="table" w:styleId="770"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1"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2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9" w:customStyle="1">
    <w:name w:val="Grid Table 4 - Accent 2"/>
    <w:basedOn w:val="7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7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72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3" w:customStyle="1">
    <w:name w:val="Grid Table 4 - Accent 6"/>
    <w:basedOn w:val="7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6"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0"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2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5" w:customStyle="1">
    <w:name w:val="Grid Table 6 Colorful - Accent 4"/>
    <w:basedOn w:val="7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2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7" w:customStyle="1">
    <w:name w:val="Grid Table 6 Colorful - Accent 6"/>
    <w:basedOn w:val="7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8"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2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2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2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2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2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4" w:customStyle="1">
    <w:name w:val="List Table 2 - Accent 2"/>
    <w:basedOn w:val="7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72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8" w:customStyle="1">
    <w:name w:val="List Table 2 - Accent 6"/>
    <w:basedOn w:val="7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2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1" w:customStyle="1">
    <w:name w:val="List Table 3 - Accent 2"/>
    <w:basedOn w:val="7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2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2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8" w:customStyle="1">
    <w:name w:val="List Table 4 - Accent 2"/>
    <w:basedOn w:val="7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2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2" w:customStyle="1">
    <w:name w:val="List Table 4 - Accent 6"/>
    <w:basedOn w:val="7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2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2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2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2" w:customStyle="1">
    <w:name w:val="List Table 6 Colorful - Accent 2"/>
    <w:basedOn w:val="7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3" w:customStyle="1">
    <w:name w:val="List Table 6 Colorful - Accent 3"/>
    <w:basedOn w:val="7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4" w:customStyle="1">
    <w:name w:val="List Table 6 Colorful - Accent 4"/>
    <w:basedOn w:val="7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5" w:customStyle="1">
    <w:name w:val="List Table 6 Colorful - Accent 5"/>
    <w:basedOn w:val="72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6" w:customStyle="1">
    <w:name w:val="List Table 6 Colorful - Accent 6"/>
    <w:basedOn w:val="7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7" w:customStyle="1">
    <w:name w:val="清单表 7 彩色1"/>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2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2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6"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0"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2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3" w:customStyle="1">
    <w:name w:val="Bordered &amp; Lined - Accent 2"/>
    <w:basedOn w:val="7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2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7" w:customStyle="1">
    <w:name w:val="Bordered &amp; Lined - Accent 6"/>
    <w:basedOn w:val="7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0" w:customStyle="1">
    <w:name w:val="Bordered - Accent 2"/>
    <w:basedOn w:val="7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4" w:customStyle="1">
    <w:name w:val="Bordered - Accent 6"/>
    <w:basedOn w:val="7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脚注文本 字符"/>
    <w:link w:val="737"/>
    <w:uiPriority w:val="99"/>
    <w:qFormat/>
    <w:rPr>
      <w:sz w:val="18"/>
    </w:rPr>
  </w:style>
  <w:style w:type="character" w:styleId="896" w:customStyle="1">
    <w:name w:val="尾注文本 字符"/>
    <w:link w:val="731"/>
    <w:uiPriority w:val="99"/>
    <w:qFormat/>
    <w:rPr>
      <w:sz w:val="20"/>
    </w:rPr>
  </w:style>
  <w:style w:type="character" w:styleId="897" w:customStyle="1">
    <w:name w:val="标题 1 字符"/>
    <w:basedOn w:val="719"/>
    <w:link w:val="710"/>
    <w:uiPriority w:val="9"/>
    <w:qFormat/>
    <w:rPr>
      <w:rFonts w:asciiTheme="majorHAnsi" w:hAnsiTheme="majorHAnsi" w:eastAsiaTheme="majorEastAsia" w:cstheme="majorBidi"/>
      <w:color w:val="2f5597" w:themeColor="accent1" w:themeShade="BF"/>
      <w:sz w:val="48"/>
      <w:szCs w:val="48"/>
    </w:rPr>
  </w:style>
  <w:style w:type="character" w:styleId="898" w:customStyle="1">
    <w:name w:val="标题 2 字符"/>
    <w:basedOn w:val="719"/>
    <w:link w:val="711"/>
    <w:uiPriority w:val="0"/>
    <w:qFormat/>
    <w:rPr>
      <w:rFonts w:asciiTheme="majorHAnsi" w:hAnsiTheme="majorHAnsi" w:eastAsiaTheme="majorEastAsia" w:cstheme="majorBidi"/>
      <w:color w:val="2f5597" w:themeColor="accent1" w:themeShade="BF"/>
      <w:sz w:val="40"/>
      <w:szCs w:val="40"/>
    </w:rPr>
  </w:style>
  <w:style w:type="character" w:styleId="899" w:customStyle="1">
    <w:name w:val="标题 3 字符"/>
    <w:basedOn w:val="719"/>
    <w:link w:val="712"/>
    <w:uiPriority w:val="9"/>
    <w:semiHidden/>
    <w:qFormat/>
    <w:rPr>
      <w:rFonts w:asciiTheme="majorHAnsi" w:hAnsiTheme="majorHAnsi" w:eastAsiaTheme="majorEastAsia" w:cstheme="majorBidi"/>
      <w:color w:val="2f5597" w:themeColor="accent1" w:themeShade="BF"/>
      <w:sz w:val="32"/>
      <w:szCs w:val="32"/>
    </w:rPr>
  </w:style>
  <w:style w:type="character" w:styleId="900" w:customStyle="1">
    <w:name w:val="标题 4 字符"/>
    <w:basedOn w:val="719"/>
    <w:link w:val="713"/>
    <w:uiPriority w:val="9"/>
    <w:semiHidden/>
    <w:qFormat/>
    <w:rPr>
      <w:rFonts w:cstheme="majorBidi"/>
      <w:color w:val="2f5597" w:themeColor="accent1" w:themeShade="BF"/>
      <w:sz w:val="28"/>
      <w:szCs w:val="28"/>
    </w:rPr>
  </w:style>
  <w:style w:type="character" w:styleId="901" w:customStyle="1">
    <w:name w:val="标题 5 字符"/>
    <w:basedOn w:val="719"/>
    <w:link w:val="714"/>
    <w:uiPriority w:val="9"/>
    <w:semiHidden/>
    <w:qFormat/>
    <w:rPr>
      <w:rFonts w:cstheme="majorBidi"/>
      <w:color w:val="2f5597" w:themeColor="accent1" w:themeShade="BF"/>
      <w:sz w:val="24"/>
      <w:szCs w:val="24"/>
    </w:rPr>
  </w:style>
  <w:style w:type="character" w:styleId="902" w:customStyle="1">
    <w:name w:val="标题 6 字符"/>
    <w:basedOn w:val="719"/>
    <w:link w:val="715"/>
    <w:uiPriority w:val="9"/>
    <w:semiHidden/>
    <w:qFormat/>
    <w:rPr>
      <w:rFonts w:cstheme="majorBidi"/>
      <w:b/>
      <w:bCs/>
      <w:color w:val="2f5597" w:themeColor="accent1" w:themeShade="BF"/>
    </w:rPr>
  </w:style>
  <w:style w:type="character" w:styleId="903" w:customStyle="1">
    <w:name w:val="标题 7 字符"/>
    <w:basedOn w:val="719"/>
    <w:link w:val="716"/>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904" w:customStyle="1">
    <w:name w:val="标题 8 字符"/>
    <w:basedOn w:val="719"/>
    <w:link w:val="717"/>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905" w:customStyle="1">
    <w:name w:val="标题 9 字符"/>
    <w:basedOn w:val="719"/>
    <w:link w:val="718"/>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906" w:customStyle="1">
    <w:name w:val="标题 字符"/>
    <w:basedOn w:val="719"/>
    <w:link w:val="743"/>
    <w:uiPriority w:val="10"/>
    <w:qFormat/>
    <w:rPr>
      <w:rFonts w:asciiTheme="majorHAnsi" w:hAnsiTheme="majorHAnsi" w:eastAsiaTheme="majorEastAsia" w:cstheme="majorBidi"/>
      <w:spacing w:val="-10"/>
      <w:sz w:val="56"/>
      <w:szCs w:val="56"/>
    </w:rPr>
  </w:style>
  <w:style w:type="character" w:styleId="907" w:customStyle="1">
    <w:name w:val="副标题 字符"/>
    <w:basedOn w:val="719"/>
    <w:link w:val="736"/>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908" w:customStyle="1">
    <w:name w:val="Quote"/>
    <w:basedOn w:val="709"/>
    <w:next w:val="709"/>
    <w:link w:val="90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909" w:customStyle="1">
    <w:name w:val="引用 字符"/>
    <w:basedOn w:val="719"/>
    <w:link w:val="908"/>
    <w:uiPriority w:val="29"/>
    <w:qFormat/>
    <w:rPr>
      <w:i/>
      <w:iCs/>
      <w:color w:val="404040" w:themeColor="text1" w:themeTint="BF"/>
      <w14:textFill>
        <w14:solidFill>
          <w14:schemeClr w14:val="tx1">
            <w14:lumMod w14:val="75000"/>
            <w14:lumOff w14:val="25000"/>
          </w14:schemeClr>
        </w14:solidFill>
      </w14:textFill>
    </w:rPr>
  </w:style>
  <w:style w:type="paragraph" w:styleId="910" w:customStyle="1">
    <w:name w:val="List Paragraph"/>
    <w:basedOn w:val="709"/>
    <w:uiPriority w:val="34"/>
    <w:qFormat/>
    <w:pPr>
      <w:contextualSpacing/>
      <w:ind w:left="720"/>
    </w:pPr>
  </w:style>
  <w:style w:type="character" w:styleId="911" w:customStyle="1">
    <w:name w:val="明显强调1"/>
    <w:basedOn w:val="719"/>
    <w:uiPriority w:val="21"/>
    <w:qFormat/>
    <w:rPr>
      <w:i/>
      <w:iCs/>
      <w:color w:val="2f5597" w:themeColor="accent1" w:themeShade="BF"/>
    </w:rPr>
  </w:style>
  <w:style w:type="paragraph" w:styleId="912" w:customStyle="1">
    <w:name w:val="Intense Quote"/>
    <w:basedOn w:val="709"/>
    <w:next w:val="709"/>
    <w:link w:val="91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913" w:customStyle="1">
    <w:name w:val="明显引用 字符"/>
    <w:basedOn w:val="719"/>
    <w:link w:val="912"/>
    <w:uiPriority w:val="30"/>
    <w:qFormat/>
    <w:rPr>
      <w:i/>
      <w:iCs/>
      <w:color w:val="2f5597" w:themeColor="accent1" w:themeShade="BF"/>
    </w:rPr>
  </w:style>
  <w:style w:type="character" w:styleId="914" w:customStyle="1">
    <w:name w:val="明显参考1"/>
    <w:basedOn w:val="719"/>
    <w:uiPriority w:val="32"/>
    <w:qFormat/>
    <w:rPr>
      <w:b/>
      <w:bCs/>
      <w:smallCaps/>
      <w:color w:val="2f5597" w:themeColor="accent1" w:themeShade="BF"/>
      <w:spacing w:val="5"/>
    </w:rPr>
  </w:style>
  <w:style w:type="character" w:styleId="915" w:customStyle="1">
    <w:name w:val="页眉 字符"/>
    <w:basedOn w:val="719"/>
    <w:link w:val="733"/>
    <w:uiPriority w:val="99"/>
    <w:qFormat/>
    <w:rPr>
      <w:sz w:val="18"/>
      <w:szCs w:val="18"/>
    </w:rPr>
  </w:style>
  <w:style w:type="character" w:styleId="916" w:customStyle="1">
    <w:name w:val="页脚 字符"/>
    <w:basedOn w:val="719"/>
    <w:link w:val="732"/>
    <w:uiPriority w:val="99"/>
    <w:qFormat/>
    <w:rPr>
      <w:sz w:val="18"/>
      <w:szCs w:val="18"/>
    </w:rPr>
  </w:style>
  <w:style w:type="paragraph" w:styleId="917" w:customStyle="1">
    <w:name w:val="普通正文"/>
    <w:basedOn w:val="709"/>
    <w:uiPriority w:val="0"/>
    <w:qFormat/>
    <w:pPr>
      <w:ind w:firstLine="360"/>
      <w:jc w:val="left"/>
      <w:spacing w:before="120" w:after="120" w:line="360" w:lineRule="auto"/>
    </w:pPr>
    <w:rPr>
      <w:rFonts w:ascii="宋体" w:hAnsi="宋体" w:eastAsia="宋体" w:cs="宋体"/>
      <w:sz w:val="24"/>
      <w:szCs w:val="24"/>
    </w:rPr>
  </w:style>
  <w:style w:type="paragraph" w:styleId="918" w:customStyle="1">
    <w:name w:val="TOC 标题1"/>
    <w:basedOn w:val="710"/>
    <w:next w:val="709"/>
    <w:uiPriority w:val="39"/>
    <w:unhideWhenUsed/>
    <w:qFormat/>
    <w:pPr>
      <w:jc w:val="left"/>
      <w:spacing w:before="240" w:after="0" w:line="259" w:lineRule="auto"/>
      <w:widowControl/>
      <w:outlineLvl w:val="9"/>
    </w:pPr>
    <w:rPr>
      <w:sz w:val="32"/>
      <w:szCs w:val="32"/>
    </w:rPr>
  </w:style>
  <w:style w:type="paragraph" w:styleId="919" w:customStyle="1">
    <w:name w:val="Table Paragraph"/>
    <w:basedOn w:val="709"/>
    <w:uiPriority w:val="1"/>
    <w:qFormat/>
    <w:rPr>
      <w:rFonts w:ascii="宋体" w:hAnsi="宋体" w:eastAsia="宋体" w:cs="宋体"/>
      <w:lang w:val="zh-CN" w:bidi="zh-CN"/>
    </w:rPr>
  </w:style>
  <w:style w:type="paragraph" w:styleId="920" w:customStyle="1">
    <w:name w:val="Char"/>
    <w:basedOn w:val="709"/>
    <w:uiPriority w:val="0"/>
    <w:qFormat/>
    <w:pPr>
      <w:tabs>
        <w:tab w:val="left" w:pos="360" w:leader="none"/>
      </w:tabs>
    </w:pPr>
    <w:rPr>
      <w:sz w:val="24"/>
    </w:rPr>
  </w:style>
  <w:style w:type="paragraph" w:styleId="921" w:customStyle="1">
    <w:name w:val="标题 31"/>
    <w:basedOn w:val="709"/>
    <w:next w:val="709"/>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922" w:customStyle="1">
    <w:name w:val="Fließtext"/>
    <w:basedOn w:val="709"/>
    <w:uiPriority w:val="0"/>
    <w:qFormat/>
  </w:style>
  <w:style w:type="paragraph" w:styleId="923" w:customStyle="1">
    <w:name w:val="纯文本1"/>
    <w:basedOn w:val="709"/>
    <w:uiPriority w:val="0"/>
    <w:qFormat/>
    <w:rPr>
      <w:rFonts w:ascii="宋体" w:hAnsi="Courier New" w:cs="Courier New"/>
      <w:szCs w:val="21"/>
    </w:rPr>
  </w:style>
  <w:style w:type="paragraph" w:styleId="924" w:customStyle="1">
    <w:name w:val="普通(网站)1"/>
    <w:basedOn w:val="709"/>
    <w:uiPriority w:val="99"/>
    <w:unhideWhenUsed/>
    <w:qFormat/>
    <w:pPr>
      <w:jc w:val="left"/>
      <w:spacing w:before="100" w:beforeAutospacing="1" w:after="100" w:afterAutospacing="1"/>
      <w:widowControl/>
    </w:pPr>
    <w:rPr>
      <w:rFonts w:ascii="宋体" w:hAnsi="宋体" w:cs="宋体"/>
      <w:sz w:val="24"/>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纪凯</cp:lastModifiedBy>
  <cp:revision>4</cp:revision>
  <dcterms:created xsi:type="dcterms:W3CDTF">2026-04-13T19:35:00Z</dcterms:created>
  <dcterms:modified xsi:type="dcterms:W3CDTF">2026-07-07T03:51:13Z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eyJoZGlkIjoiNWI0YzM2MzA2NmU1NjY1YWU3MzEyZTVjMjFhNGU3MTciLCJ1c2VySWQiOiIxNTY1NDkwNzA3In0=</vt:lpwstr>
  </property>
  <property fmtid="{D5CDD505-2E9C-101B-9397-08002B2CF9AE}" pid="3" name="KSOProductBuildVer">
    <vt:lpwstr>2052-12.1.0.26895</vt:lpwstr>
  </property>
  <property fmtid="{D5CDD505-2E9C-101B-9397-08002B2CF9AE}" pid="4" name="ICV">
    <vt:lpwstr>19C19687AA784284AD8E6999F6E74800_13</vt:lpwstr>
  </property>
</Properties>
</file>