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left="0" w:firstLine="0"/>
        <w:jc w:val="center"/>
        <w:spacing w:line="360" w:lineRule="auto"/>
        <w:tabs>
          <w:tab w:val="left" w:pos="6500" w:leader="none"/>
        </w:tabs>
        <w:rPr>
          <w:rFonts w:hint="default" w:ascii="宋体" w:hAnsi="宋体" w:eastAsia="宋体" w:cs="宋体"/>
          <w:b/>
          <w:color w:val="auto"/>
          <w:sz w:val="52"/>
          <w:szCs w:val="48"/>
          <w:highlight w:val="none"/>
        </w:rPr>
      </w:pPr>
      <w:r/>
      <w:bookmarkStart w:id="0" w:name="_Hlk104983306"/>
      <w:r/>
      <w:bookmarkEnd w:id="0"/>
      <w:r/>
      <w:r/>
    </w:p>
    <w:p>
      <w:pPr>
        <w:pStyle w:val="995"/>
        <w:ind w:left="0" w:firstLine="0"/>
        <w:jc w:val="center"/>
        <w:spacing w:line="240" w:lineRule="auto"/>
        <w:tabs>
          <w:tab w:val="left" w:pos="6760" w:leader="none"/>
        </w:tabs>
        <w:rPr>
          <w:rFonts w:hint="eastAsia" w:ascii="宋体" w:hAnsi="宋体" w:eastAsia="宋体" w:cs="宋体"/>
          <w:b/>
          <w:color w:val="auto"/>
          <w:spacing w:val="20"/>
          <w:sz w:val="36"/>
          <w:szCs w:val="36"/>
          <w:highlight w:val="none"/>
          <w:lang w:eastAsia="zh-CN"/>
        </w:rPr>
      </w:pPr>
      <w:r>
        <w:rPr>
          <w:rFonts w:hint="eastAsia" w:ascii="宋体" w:hAnsi="宋体" w:eastAsia="宋体" w:cs="宋体"/>
          <w:b/>
          <w:color w:val="auto"/>
          <w:spacing w:val="20"/>
          <w:sz w:val="42"/>
          <w:szCs w:val="42"/>
          <w:highlight w:val="none"/>
          <w:lang w:eastAsia="zh-CN"/>
        </w:rPr>
        <w:t xml:space="preserve">原南通新广生化工地块风险管控工程服务项目（二次）</w:t>
      </w:r>
      <w:r/>
    </w:p>
    <w:p>
      <w:pPr>
        <w:pStyle w:val="995"/>
        <w:ind w:left="0" w:firstLine="520"/>
        <w:spacing w:line="240" w:lineRule="auto"/>
        <w:rPr>
          <w:rFonts w:hint="default" w:ascii="宋体" w:hAnsi="宋体" w:eastAsia="宋体" w:cs="宋体"/>
          <w:color w:val="auto"/>
          <w:highlight w:val="none"/>
        </w:rPr>
      </w:pPr>
      <w:r>
        <w:rPr>
          <w:rFonts w:hint="default" w:ascii="宋体" w:hAnsi="宋体" w:eastAsia="宋体" w:cs="宋体"/>
          <w:color w:val="auto"/>
          <w:highlight w:val="none"/>
        </w:rPr>
      </w:r>
      <w:r/>
    </w:p>
    <w:p>
      <w:pPr>
        <w:pStyle w:val="995"/>
        <w:ind w:left="0" w:firstLine="520"/>
        <w:spacing w:line="240" w:lineRule="auto"/>
        <w:rPr>
          <w:rFonts w:hint="default" w:ascii="宋体" w:hAnsi="宋体" w:eastAsia="宋体" w:cs="宋体"/>
          <w:b/>
          <w:color w:val="auto"/>
          <w:sz w:val="100"/>
          <w:szCs w:val="100"/>
          <w:highlight w:val="none"/>
        </w:rPr>
      </w:pPr>
      <w:r>
        <w:rPr>
          <w:rFonts w:hint="default" w:ascii="宋体" w:hAnsi="宋体" w:eastAsia="宋体" w:cs="宋体"/>
          <w:b/>
          <w:color w:val="auto"/>
          <w:sz w:val="100"/>
          <w:szCs w:val="100"/>
          <w:highlight w:val="none"/>
        </w:rPr>
      </w:r>
      <w:r/>
    </w:p>
    <w:p>
      <w:pPr>
        <w:pStyle w:val="995"/>
        <w:spacing w:line="240" w:lineRule="auto"/>
        <w:rPr>
          <w:rFonts w:hint="default" w:ascii="宋体" w:hAnsi="宋体" w:eastAsia="宋体" w:cs="宋体"/>
          <w:b/>
          <w:color w:val="auto"/>
          <w:sz w:val="100"/>
          <w:szCs w:val="100"/>
          <w:highlight w:val="none"/>
        </w:rPr>
      </w:pPr>
      <w:r>
        <w:rPr>
          <w:rFonts w:ascii="宋体" w:hAnsi="宋体" w:eastAsia="宋体" w:cs="宋体"/>
          <w:b/>
          <w:color w:val="auto"/>
          <w:sz w:val="90"/>
          <w:szCs w:val="90"/>
          <w:highlight w:val="none"/>
        </w:rPr>
        <w:t xml:space="preserve">政府采购招标文件</w:t>
      </w:r>
      <w:r/>
    </w:p>
    <w:p>
      <w:pPr>
        <w:pStyle w:val="995"/>
        <w:ind w:left="0" w:firstLine="0"/>
        <w:jc w:val="center"/>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pStyle w:val="995"/>
        <w:ind w:left="0" w:firstLine="0"/>
        <w:jc w:val="center"/>
        <w:spacing w:line="240" w:lineRule="auto"/>
        <w:rPr>
          <w:rFonts w:hint="eastAsia" w:ascii="宋体" w:hAnsi="宋体" w:eastAsia="宋体" w:cs="宋体"/>
          <w:b/>
          <w:color w:val="auto"/>
          <w:sz w:val="36"/>
          <w:szCs w:val="36"/>
          <w:highlight w:val="none"/>
          <w:lang w:eastAsia="zh-CN"/>
        </w:rPr>
      </w:pPr>
      <w:r>
        <w:rPr>
          <w:rFonts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lang w:eastAsia="zh-CN"/>
        </w:rPr>
        <w:t xml:space="preserve">JSZC-320613-YCZJ-G2026-0022</w:t>
      </w:r>
      <w:r/>
    </w:p>
    <w:p>
      <w:pPr>
        <w:pStyle w:val="995"/>
        <w:ind w:left="0" w:firstLine="0"/>
        <w:jc w:val="center"/>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pStyle w:val="995"/>
        <w:ind w:left="0" w:firstLine="0"/>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pStyle w:val="995"/>
        <w:ind w:left="0" w:firstLine="0"/>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spacing w:line="360" w:lineRule="auto"/>
        <w:rPr>
          <w:rFonts w:ascii="宋体" w:hAnsi="宋体" w:eastAsia="宋体" w:cs="宋体"/>
          <w:b/>
          <w:color w:val="auto"/>
          <w:sz w:val="36"/>
          <w:highlight w:val="none"/>
        </w:rPr>
      </w:pP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1724660</wp:posOffset>
                </wp:positionH>
                <wp:positionV relativeFrom="paragraph">
                  <wp:posOffset>59690</wp:posOffset>
                </wp:positionV>
                <wp:extent cx="2334260" cy="1789430"/>
                <wp:effectExtent l="0" t="0" r="12700" b="889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pStyle w:val="946"/>
        <w:jc w:val="center"/>
        <w:spacing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46"/>
        <w:jc w:val="cente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招标人：江苏省南通港闸经济开发区管理委员会</w:t>
      </w:r>
      <w:r/>
    </w:p>
    <w:p>
      <w:pPr>
        <w:ind w:firstLine="1606"/>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代理机构：江苏永诚工程造价事务所有限公司</w:t>
      </w:r>
      <w:r/>
    </w:p>
    <w:p>
      <w:pPr>
        <w:jc w:val="center"/>
        <w:spacing w:line="360" w:lineRule="auto"/>
        <w:rPr>
          <w:rFonts w:ascii="宋体" w:hAnsi="宋体" w:eastAsia="宋体" w:cs="宋体"/>
          <w:b/>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ascii="宋体" w:hAnsi="宋体" w:eastAsia="宋体" w:cs="宋体"/>
          <w:b/>
          <w:color w:val="auto"/>
          <w:sz w:val="32"/>
          <w:szCs w:val="32"/>
          <w:highlight w:val="none"/>
        </w:rPr>
        <w:t xml:space="preserve">二○二六年八月</w:t>
      </w:r>
      <w:r/>
    </w:p>
    <w:p>
      <w:pPr>
        <w:pStyle w:val="917"/>
        <w:ind w:firstLine="3755"/>
        <w:spacing w:line="360" w:lineRule="auto"/>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招标公告</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合同主要条款</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合同授予</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第七章 质疑与投诉</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第八章 投标文件组成及格式</w:t>
      </w:r>
      <w:r/>
    </w:p>
    <w:p>
      <w:pP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917"/>
        <w:ind w:firstLine="0"/>
        <w:spacing w:line="360" w:lineRule="auto"/>
        <w:rPr>
          <w:rFonts w:ascii="宋体" w:hAnsi="宋体" w:eastAsia="宋体" w:cs="宋体"/>
          <w:color w:val="auto"/>
          <w:highlight w:val="none"/>
        </w:rPr>
      </w:pPr>
      <w:r>
        <w:rPr>
          <w:rFonts w:hint="eastAsia" w:ascii="宋体" w:hAnsi="宋体" w:eastAsia="宋体" w:cs="宋体"/>
          <w:b/>
          <w:bCs/>
          <w:color w:val="auto"/>
          <w:sz w:val="36"/>
          <w:szCs w:val="36"/>
          <w:highlight w:val="none"/>
        </w:rPr>
        <w:fldChar w:fldCharType="end"/>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bookmarkStart w:id="1" w:name="_Toc363573853"/>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招标公告</w:t>
      </w:r>
      <w:bookmarkEnd w:id="1"/>
      <w:r/>
      <w:r/>
    </w:p>
    <w:p>
      <w:pPr>
        <w:ind w:firstLine="480"/>
        <w:spacing w:line="360" w:lineRule="auto"/>
        <w:rPr>
          <w:rFonts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rPr>
        <w:t xml:space="preserve">项目概况</w:t>
      </w:r>
      <w:r/>
    </w:p>
    <w:p>
      <w:pPr>
        <w:ind w:firstLine="480"/>
        <w:spacing w:line="360" w:lineRule="auto"/>
        <w:rPr>
          <w:rFonts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single"/>
          <w:lang w:eastAsia="zh-CN"/>
        </w:rPr>
        <w:t xml:space="preserve">原南通新广生化工地块风险管控工程服务项目（二次）</w:t>
      </w:r>
      <w:r>
        <w:rPr>
          <w:rFonts w:hint="eastAsia" w:ascii="宋体" w:hAnsi="宋体" w:eastAsia="宋体" w:cs="宋体"/>
          <w:bCs/>
          <w:color w:val="auto"/>
          <w:sz w:val="24"/>
          <w:szCs w:val="24"/>
          <w:highlight w:val="none"/>
        </w:rPr>
        <w:t xml:space="preserve">的潜在投标人应在</w:t>
      </w:r>
      <w:r>
        <w:rPr>
          <w:rFonts w:hint="eastAsia" w:ascii="宋体" w:hAnsi="宋体" w:eastAsia="宋体" w:cs="宋体"/>
          <w:bCs/>
          <w:color w:val="auto"/>
          <w:sz w:val="24"/>
          <w:szCs w:val="24"/>
          <w:highlight w:val="none"/>
          <w:u w:val="single"/>
        </w:rPr>
        <w:t xml:space="preserve">苏采云系统内</w:t>
      </w:r>
      <w:r>
        <w:rPr>
          <w:rFonts w:hint="eastAsia" w:ascii="宋体" w:hAnsi="宋体" w:eastAsia="宋体" w:cs="宋体"/>
          <w:bCs/>
          <w:color w:val="auto"/>
          <w:sz w:val="24"/>
          <w:szCs w:val="24"/>
          <w:highlight w:val="none"/>
        </w:rPr>
        <w:t xml:space="preserve">获取招标文件，并于</w:t>
      </w:r>
      <w:r>
        <w:rPr>
          <w:rFonts w:hint="eastAsia" w:ascii="宋体" w:hAnsi="宋体" w:eastAsia="宋体" w:cs="宋体"/>
          <w:bCs/>
          <w:color w:val="auto"/>
          <w:sz w:val="24"/>
          <w:szCs w:val="24"/>
          <w:highlight w:val="none"/>
          <w:u w:val="single"/>
        </w:rPr>
        <w:t xml:space="preserve">2026年</w:t>
      </w: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25</w:t>
      </w:r>
      <w:r>
        <w:rPr>
          <w:rFonts w:hint="eastAsia" w:ascii="宋体" w:hAnsi="宋体" w:eastAsia="宋体" w:cs="宋体"/>
          <w:bCs/>
          <w:color w:val="auto"/>
          <w:sz w:val="24"/>
          <w:szCs w:val="24"/>
          <w:highlight w:val="none"/>
          <w:u w:val="single"/>
        </w:rPr>
        <w:t xml:space="preserve">日14时00分00秒</w:t>
      </w:r>
      <w:r>
        <w:rPr>
          <w:rFonts w:hint="eastAsia" w:ascii="宋体" w:hAnsi="宋体" w:eastAsia="宋体" w:cs="宋体"/>
          <w:bCs/>
          <w:color w:val="auto"/>
          <w:sz w:val="24"/>
          <w:szCs w:val="24"/>
          <w:highlight w:val="none"/>
        </w:rPr>
        <w:t xml:space="preserve">（北京时间）前递交投标文件。</w:t>
      </w:r>
      <w:r/>
    </w:p>
    <w:p>
      <w:pPr>
        <w:numPr>
          <w:ilvl w:val="0"/>
          <w:numId w:val="2"/>
        </w:numPr>
        <w:contextualSpacing/>
        <w:ind w:firstLine="482"/>
        <w:spacing w:line="452" w:lineRule="exact"/>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项目基本情况</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JSZC-320613-YCZJ-G2026-0022</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Start w:id="2" w:name="_Hlk104970923"/>
      <w:r>
        <w:rPr>
          <w:rFonts w:hint="eastAsia" w:ascii="宋体" w:hAnsi="宋体" w:eastAsia="宋体" w:cs="宋体"/>
          <w:color w:val="auto"/>
          <w:sz w:val="24"/>
          <w:szCs w:val="24"/>
          <w:highlight w:val="none"/>
          <w:lang w:eastAsia="zh-CN"/>
        </w:rPr>
        <w:t xml:space="preserve">原南通新广生化工地块风险管控工程服务项目（二次）</w:t>
      </w:r>
      <w:r>
        <w:rPr>
          <w:rFonts w:hint="eastAsia" w:ascii="宋体" w:hAnsi="宋体" w:eastAsia="宋体" w:cs="宋体"/>
          <w:color w:val="auto"/>
          <w:sz w:val="24"/>
          <w:szCs w:val="24"/>
          <w:highlight w:val="none"/>
        </w:rPr>
        <w:t xml:space="preserve">。</w:t>
      </w:r>
      <w:bookmarkEnd w:id="2"/>
      <w:r/>
      <w:r/>
    </w:p>
    <w:p>
      <w:pPr>
        <w:ind w:firstLine="480"/>
        <w:jc w:val="left"/>
        <w:spacing w:line="452" w:lineRule="exact"/>
        <w:rPr>
          <w:rFonts w:ascii="宋体" w:hAnsi="宋体" w:eastAsia="宋体" w:cs="宋体"/>
          <w:color w:val="auto"/>
          <w:sz w:val="24"/>
          <w:szCs w:val="24"/>
          <w:highlight w:val="none"/>
        </w:rPr>
      </w:pPr>
      <w:r/>
      <w:bookmarkStart w:id="3" w:name="_Toc387526365"/>
      <w:r/>
      <w:bookmarkStart w:id="4" w:name="_Toc387526169"/>
      <w:r/>
      <w:bookmarkStart w:id="5" w:name="_Toc387526273"/>
      <w:r/>
      <w:bookmarkStart w:id="6" w:name="_Toc20597"/>
      <w:r>
        <w:rPr>
          <w:rFonts w:hint="eastAsia" w:ascii="宋体" w:hAnsi="宋体" w:eastAsia="宋体" w:cs="宋体"/>
          <w:color w:val="auto"/>
          <w:sz w:val="24"/>
          <w:szCs w:val="24"/>
          <w:highlight w:val="none"/>
        </w:rPr>
        <w:t xml:space="preserve">3.项目类型：服务。</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eastAsia="宋体" w:cs="宋体"/>
          <w:color w:val="auto"/>
          <w:sz w:val="24"/>
          <w:szCs w:val="24"/>
          <w:highlight w:val="none"/>
          <w:lang w:val="en-US" w:eastAsia="zh-CN"/>
        </w:rPr>
        <w:t xml:space="preserve">700</w:t>
      </w:r>
      <w:r>
        <w:rPr>
          <w:rFonts w:hint="eastAsia" w:ascii="宋体" w:hAnsi="宋体" w:eastAsia="宋体" w:cs="宋体"/>
          <w:color w:val="auto"/>
          <w:sz w:val="24"/>
          <w:szCs w:val="24"/>
          <w:highlight w:val="none"/>
        </w:rPr>
        <w:t xml:space="preserve">万元。</w:t>
      </w:r>
      <w:r/>
    </w:p>
    <w:p>
      <w:pPr>
        <w:ind w:firstLine="482"/>
        <w:jc w:val="left"/>
        <w:spacing w:line="452"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5.最高限价：</w:t>
      </w:r>
      <w:r>
        <w:rPr>
          <w:rFonts w:hint="eastAsia" w:ascii="宋体" w:hAnsi="宋体" w:eastAsia="宋体" w:cs="宋体"/>
          <w:color w:val="auto"/>
          <w:sz w:val="24"/>
          <w:szCs w:val="24"/>
          <w:highlight w:val="none"/>
        </w:rPr>
        <w:t xml:space="preserve">人民币698万元。投标报价超过最高限价的投标将作为无效投标处理。</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6.项目需求：具体详见第三章采购需求，请仔细研究。</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bookmarkEnd w:id="3"/>
      <w:r/>
      <w:bookmarkEnd w:id="4"/>
      <w:r/>
      <w:bookmarkEnd w:id="5"/>
      <w:r/>
      <w:bookmarkEnd w:id="6"/>
      <w:r>
        <w:rPr>
          <w:rFonts w:hint="eastAsia" w:ascii="宋体" w:hAnsi="宋体" w:eastAsia="宋体" w:cs="宋体"/>
          <w:color w:val="auto"/>
          <w:sz w:val="24"/>
          <w:szCs w:val="24"/>
          <w:highlight w:val="none"/>
        </w:rPr>
        <w:t xml:space="preserve">自本项目</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之日起，至效果评估通过生态环境主管部门组织或参与的专家评审（其中</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日期以委托人要求为准，管控工期为180 日历天），须完成场地围挡、TRD 工法阻隔墙施工、微生物衰减作业等全部管控范围内工作内容）。</w:t>
      </w:r>
      <w:r/>
    </w:p>
    <w:p>
      <w:pPr>
        <w:ind w:firstLine="480"/>
        <w:jc w:val="left"/>
        <w:spacing w:line="452"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8.本项目（是/否）接受联合体：否。</w:t>
      </w:r>
      <w:r/>
    </w:p>
    <w:p>
      <w:pPr>
        <w:contextualSpacing/>
        <w:ind w:firstLine="482"/>
        <w:spacing w:line="452"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（一）满足《中华人民共和国政府采购法》第二十二条规定：</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1.法人或者其他组织的营业执照等证明文件，自然人的身份证明。</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2.法定代表人身份证明书。</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3.法定代表人授权书（如有）</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4.诚信承诺书</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5.满足《中华人民共和国政府采购法》第二十二条规定，提供声明函：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（6）法律、行政法规规定的其他条件。</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（二）落实政府采购政策需满足的资格要求：/</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（三）本项目的特定资格要求： </w:t>
      </w:r>
      <w:r/>
    </w:p>
    <w:p>
      <w:pPr>
        <w:contextualSpacing/>
        <w:ind w:firstLine="480"/>
        <w:spacing w:line="452"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1.未被“信用中国”网站（www.creditchina.gov.cn）列入失信被执行人、重大税收违法案件当事人名单、政府采购严重失信行为记录名单。</w:t>
      </w:r>
      <w:r/>
    </w:p>
    <w:p>
      <w:pPr>
        <w:contextualSpacing/>
        <w:ind w:firstLine="482"/>
        <w:spacing w:line="452"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具体资格要求详见第八章中的“资格审查文件”。</w:t>
      </w:r>
      <w:r/>
    </w:p>
    <w:p>
      <w:pPr>
        <w:ind w:firstLine="482"/>
        <w:spacing w:line="452"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Cs/>
          <w:color w:val="auto"/>
          <w:sz w:val="24"/>
          <w:szCs w:val="24"/>
          <w:highlight w:val="none"/>
        </w:rPr>
        <w:t xml:space="preserve">自招标文件公告发布之日起5个工作日</w:t>
      </w:r>
      <w:r>
        <w:rPr>
          <w:rFonts w:hint="eastAsia" w:ascii="宋体" w:hAnsi="宋体" w:eastAsia="宋体" w:cs="宋体"/>
          <w:color w:val="auto"/>
          <w:sz w:val="24"/>
          <w:szCs w:val="24"/>
          <w:highlight w:val="none"/>
        </w:rPr>
        <w:t xml:space="preserve">。</w:t>
      </w:r>
      <w:r/>
    </w:p>
    <w:p>
      <w:pPr>
        <w:ind w:firstLine="480"/>
        <w:spacing w:line="452"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bCs/>
          <w:color w:val="auto"/>
          <w:sz w:val="24"/>
          <w:szCs w:val="24"/>
          <w:highlight w:val="none"/>
        </w:rPr>
        <w:t xml:space="preserve">网上注册登记成功后系统内下载。</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3.获取方式：网上注册登记成功后系统内免费下载。</w:t>
      </w:r>
      <w:r/>
    </w:p>
    <w:p>
      <w:pPr>
        <w:ind w:firstLine="482"/>
        <w:spacing w:line="420" w:lineRule="exact"/>
        <w:rPr>
          <w:rFonts w:eastAsia="宋体"/>
        </w:rPr>
      </w:pPr>
      <w:r>
        <w:rPr>
          <w:rFonts w:hint="eastAsia" w:eastAsia="宋体"/>
        </w:rPr>
        <w:t xml:space="preserve">4.售价：0.00元 </w:t>
      </w:r>
      <w:r/>
    </w:p>
    <w:p>
      <w:pPr>
        <w:ind w:firstLine="482"/>
        <w:spacing w:line="452"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1.投标文件提交截止时间：</w:t>
      </w:r>
      <w:r>
        <w:rPr>
          <w:rFonts w:hint="eastAsia" w:ascii="宋体" w:hAnsi="宋体" w:eastAsia="宋体" w:cs="宋体"/>
          <w:bCs/>
          <w:color w:val="auto"/>
          <w:sz w:val="24"/>
          <w:szCs w:val="24"/>
          <w:highlight w:val="none"/>
          <w:u w:val="single"/>
        </w:rPr>
        <w:t xml:space="preserve">2026年</w:t>
      </w: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25</w:t>
      </w:r>
      <w:r>
        <w:rPr>
          <w:rFonts w:hint="eastAsia" w:ascii="宋体" w:hAnsi="宋体" w:eastAsia="宋体" w:cs="宋体"/>
          <w:bCs/>
          <w:color w:val="auto"/>
          <w:sz w:val="24"/>
          <w:szCs w:val="24"/>
          <w:highlight w:val="none"/>
          <w:u w:val="single"/>
        </w:rPr>
        <w:t xml:space="preserve">日14时00分00秒</w:t>
      </w:r>
      <w:r>
        <w:rPr>
          <w:rFonts w:hint="eastAsia" w:ascii="宋体" w:hAnsi="宋体" w:eastAsia="宋体" w:cs="宋体"/>
          <w:color w:val="auto"/>
          <w:sz w:val="24"/>
          <w:szCs w:val="24"/>
          <w:highlight w:val="none"/>
        </w:rPr>
        <w:t xml:space="preserve">（北京时间）。逾时，“苏采云”系统将拒绝接受上传投标文件电子文档。</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p>
    <w:p>
      <w:pPr>
        <w:ind w:firstLine="482"/>
        <w:spacing w:line="452"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contextualSpacing/>
        <w:ind w:firstLine="482"/>
        <w:spacing w:line="452" w:lineRule="exact"/>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1.投标保证金：免收；本项目招标文件中涉及投标保证金的事项，均按免收投标保证金执行。</w:t>
      </w:r>
      <w:r/>
    </w:p>
    <w:p>
      <w:pPr>
        <w:ind w:firstLine="480"/>
        <w:jc w:val="left"/>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2.项目开标活动模式：不见面远程投标模式，投标人在各自地点通过不见面交易系统参加开标会。</w:t>
      </w:r>
      <w:r/>
    </w:p>
    <w:p>
      <w:pPr>
        <w:ind w:firstLine="480"/>
        <w:jc w:val="left"/>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3.项目演示、样品、答辩等（如有请描述）：无。</w:t>
      </w:r>
      <w:r/>
    </w:p>
    <w:p>
      <w:pPr>
        <w:ind w:firstLine="480"/>
        <w:jc w:val="left"/>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4.对项目需求部分（投标人其他资格</w:t>
      </w:r>
      <w:r>
        <w:rPr>
          <w:rFonts w:hint="eastAsia" w:ascii="宋体" w:hAnsi="宋体" w:eastAsia="宋体" w:cs="宋体"/>
          <w:color w:val="auto"/>
          <w:sz w:val="24"/>
          <w:highlight w:val="none"/>
        </w:rPr>
        <w:t xml:space="preserve">要求</w:t>
      </w:r>
      <w:r>
        <w:rPr>
          <w:rFonts w:hint="eastAsia" w:ascii="宋体" w:hAnsi="宋体" w:eastAsia="宋体" w:cs="宋体"/>
          <w:bCs/>
          <w:color w:val="auto"/>
          <w:sz w:val="24"/>
          <w:szCs w:val="24"/>
          <w:highlight w:val="none"/>
        </w:rPr>
        <w:t xml:space="preserve">、项目需求、评分标准）的询问、质疑请向招标人提出，由招标人负责答复；对项目招标文件其他部分的询问请向招标人或代理机构提出。</w:t>
      </w:r>
      <w:r/>
    </w:p>
    <w:p>
      <w:pPr>
        <w:ind w:firstLine="480"/>
        <w:jc w:val="left"/>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2"/>
        <w:spacing w:line="452"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6.请各投标人充分考虑项目要求，谨慎参与交易，中标后非招标人原因中标人放弃中标资格的，该投标人将记入不良记录，并报相关部门将其列入黑名单，视情公布在相关网站。</w:t>
      </w:r>
      <w:r/>
    </w:p>
    <w:p>
      <w:pPr>
        <w:contextualSpacing/>
        <w:ind w:firstLine="480"/>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7.本次招标的有关信息将在江苏政府采购网上发布，敬请留意。</w:t>
      </w:r>
      <w:r/>
    </w:p>
    <w:p>
      <w:pPr>
        <w:ind w:firstLine="480"/>
        <w:spacing w:line="452" w:lineRule="exact"/>
        <w:rPr>
          <w:rFonts w:hint="eastAsia" w:ascii="宋体" w:hAnsi="宋体" w:eastAsia="宋体" w:cs="宋体"/>
          <w:color w:val="auto"/>
          <w:sz w:val="24"/>
          <w:szCs w:val="24"/>
          <w:highlight w:val="none"/>
          <w:lang w:val="en-US" w:eastAsia="zh-CN"/>
        </w:rPr>
      </w:pPr>
      <w:r>
        <w:rPr>
          <w:rFonts w:hint="eastAsia" w:eastAsia="宋体"/>
        </w:rPr>
        <w:t xml:space="preserve">8.“苏采云”系统使用相关提醒</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.1潜在投标人访问电子招标响应交易平台的网络地址和方法：</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.2潜在投标人访问“苏采云”系统的网络地址和方法：“苏采云”系统的网址：http://jszfcg.jsczt.cn/。</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.3“CA数字证书”的获取：</w:t>
      </w:r>
      <w:r/>
    </w:p>
    <w:p>
      <w:pPr>
        <w:ind w:firstLine="480"/>
        <w:spacing w:line="452"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投标人需办理</w:t>
      </w:r>
      <w:r>
        <w:rPr>
          <w:rFonts w:hint="eastAsia" w:ascii="宋体" w:hAnsi="宋体" w:eastAsia="宋体" w:cs="宋体"/>
          <w:bCs/>
          <w:color w:val="auto"/>
          <w:sz w:val="24"/>
          <w:szCs w:val="24"/>
          <w:highlight w:val="none"/>
        </w:rPr>
        <w:t xml:space="preserve">“CA 数字证书”</w:t>
      </w:r>
      <w:r>
        <w:rPr>
          <w:rFonts w:hint="eastAsia" w:ascii="宋体" w:hAnsi="宋体" w:eastAsia="宋体" w:cs="宋体"/>
          <w:color w:val="auto"/>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452"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.5招标人或代理机构（采购代理机构）将数据电文形式的采购文件加载至“苏采云”系统，供潜在投标人下载或者查阅。</w:t>
      </w:r>
      <w:r/>
    </w:p>
    <w:p>
      <w:pPr>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.6请潜在投标人提前安装相应的控件（详见《江苏省政府采购管理交易系统（苏采云）供应商操作手册》）并使用谷歌浏览器登录“苏采云”系统参与不见面开评标。</w:t>
      </w:r>
      <w:r/>
    </w:p>
    <w:p>
      <w:pPr>
        <w:ind w:firstLine="480"/>
        <w:spacing w:line="452"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w:t>
      </w:r>
      <w:r>
        <w:rPr>
          <w:rFonts w:hint="eastAsia" w:ascii="宋体" w:hAnsi="宋体" w:eastAsia="宋体" w:cs="宋体"/>
          <w:bCs/>
          <w:color w:val="auto"/>
          <w:sz w:val="24"/>
          <w:szCs w:val="24"/>
          <w:highlight w:val="none"/>
        </w:rPr>
        <w:t xml:space="preserve">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2"/>
        <w:spacing w:line="452"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注：如潜在投标人未按上述要求操作，将自行承担所产生的风险。</w:t>
      </w:r>
      <w:r/>
    </w:p>
    <w:p>
      <w:pPr>
        <w:ind w:firstLine="480"/>
        <w:jc w:val="left"/>
        <w:spacing w:line="452"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的解密：开标当天各投标人及时登录不见面开标大厅，投标文件递交截止时间后，招标人将在系统内公布投标人名单，然后通过开标会议区发出响应文件解密的指令，投标人在开标室按规定时间自行实施远程解密，</w:t>
      </w:r>
      <w:r>
        <w:rPr>
          <w:rFonts w:hint="eastAsia" w:ascii="宋体" w:hAnsi="宋体" w:eastAsia="宋体" w:cs="宋体"/>
          <w:b/>
          <w:color w:val="auto"/>
          <w:sz w:val="24"/>
          <w:szCs w:val="24"/>
          <w:highlight w:val="none"/>
        </w:rPr>
        <w:t xml:space="preserve">投标人解密限定在开标后30分钟之内完成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招标人（或代理机构）原因或网上招投标平台发生故障，导致无法按时完成响应文件解密或开、评标工作无法进行的，可根据实际情况相应延迟解密时间或调整开、评标时间。</w:t>
      </w:r>
      <w:r/>
    </w:p>
    <w:p>
      <w:pPr>
        <w:ind w:firstLine="482"/>
        <w:jc w:val="left"/>
        <w:spacing w:line="452"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注：各投标人请关注开标大厅交流区，在开标结束后，请勿离开开标大厅。</w:t>
      </w:r>
      <w:r/>
    </w:p>
    <w:p>
      <w:pPr>
        <w:contextualSpacing/>
        <w:ind w:firstLine="482"/>
        <w:spacing w:line="452"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.参与本项目风险管控方案编制工作的单位，不得参与本项目的投标活动。</w:t>
      </w:r>
      <w:r/>
    </w:p>
    <w:p>
      <w:pPr>
        <w:contextualSpacing/>
        <w:ind w:firstLine="482"/>
        <w:spacing w:line="452"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招标人：南通港闸经济开发区管理委员会</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地址：南通市崇川区城港路118号</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联系人：顾先生</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联系方式：0513-85602392</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2.代理机构信息</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名称：江苏永诚工程造价事务所有限公司</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地址：南通市崇川区东景路三佳服饰厂内3楼</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周工</w:t>
      </w:r>
      <w:r>
        <w:rPr>
          <w:rFonts w:hint="eastAsia" w:ascii="宋体" w:hAnsi="宋体" w:eastAsia="宋体" w:cs="宋体"/>
          <w:color w:val="auto"/>
          <w:sz w:val="24"/>
          <w:szCs w:val="24"/>
          <w:highlight w:val="none"/>
        </w:rPr>
        <w:t xml:space="preserve">  </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联系电话：13186536628</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420" w:lineRule="exact"/>
        <w:shd w:val="clear" w:color="auto" w:fill="ffffff"/>
        <w:widowControl/>
        <w:rPr>
          <w:rFonts w:ascii="宋体" w:hAnsi="宋体" w:eastAsia="宋体" w:cs="宋体"/>
          <w:color w:val="auto"/>
          <w:sz w:val="24"/>
          <w:szCs w:val="24"/>
          <w:highlight w:val="none"/>
        </w:rPr>
      </w:pPr>
      <w:r/>
      <w:bookmarkStart w:id="7" w:name="_Toc363573854"/>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周工</w:t>
      </w:r>
      <w:r>
        <w:rPr>
          <w:rFonts w:hint="eastAsia" w:ascii="宋体" w:hAnsi="宋体" w:eastAsia="宋体" w:cs="宋体"/>
          <w:color w:val="auto"/>
          <w:sz w:val="24"/>
          <w:szCs w:val="24"/>
          <w:highlight w:val="none"/>
        </w:rPr>
        <w:t xml:space="preserve">  </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联系电话：13186536628</w:t>
      </w:r>
      <w:r/>
    </w:p>
    <w:p>
      <w:pPr>
        <w:ind w:firstLine="480"/>
        <w:spacing w:line="452"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邮箱：</w:t>
      </w:r>
      <w:r>
        <w:rPr>
          <w:color w:val="auto"/>
          <w:highlight w:val="none"/>
        </w:rPr>
        <w:fldChar w:fldCharType="begin"/>
      </w:r>
      <w:r>
        <w:rPr>
          <w:color w:val="auto"/>
          <w:highlight w:val="none"/>
        </w:rPr>
        <w:instrText xml:space="preserve"> HYPERLINK "mailto:812298892@qq.com" \o "mailto:812298892@qq.com" </w:instrText>
      </w:r>
      <w:r>
        <w:rPr>
          <w:color w:val="auto"/>
          <w:highlight w:val="none"/>
        </w:rPr>
        <w:fldChar w:fldCharType="separate"/>
      </w:r>
      <w:r>
        <w:rPr>
          <w:rFonts w:hint="eastAsia" w:ascii="宋体" w:hAnsi="宋体" w:eastAsia="宋体" w:cs="宋体"/>
          <w:color w:val="auto"/>
          <w:sz w:val="24"/>
          <w:szCs w:val="22"/>
          <w:highlight w:val="none"/>
        </w:rPr>
        <w:t xml:space="preserve">1175567602@qq.com</w:t>
      </w:r>
      <w:r>
        <w:rPr>
          <w:rFonts w:hint="eastAsia" w:ascii="宋体" w:hAnsi="宋体" w:eastAsia="宋体" w:cs="宋体"/>
          <w:color w:val="auto"/>
          <w:sz w:val="24"/>
          <w:szCs w:val="22"/>
          <w:highlight w:val="none"/>
        </w:rPr>
        <w:fldChar w:fldCharType="end"/>
      </w:r>
      <w:r/>
    </w:p>
    <w:p>
      <w:pPr>
        <w:ind w:firstLine="480"/>
        <w:spacing w:line="452" w:lineRule="exact"/>
        <w:rPr>
          <w:rFonts w:ascii="宋体" w:hAnsi="宋体" w:eastAsia="宋体" w:cs="宋体"/>
          <w:color w:val="auto"/>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2"/>
          <w:highlight w:val="none"/>
        </w:rPr>
        <w:t xml:space="preserve">软件技术支持：0519-86722801。</w:t>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第二章 投标人须知</w:t>
      </w:r>
      <w:bookmarkEnd w:id="7"/>
      <w:r/>
      <w:bookmarkStart w:id="8" w:name="_Toc363573855"/>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1.招标方式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2.合格的投标人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3.适用法律</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4.投标费用</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4.2本项目招标代理费差额累进方式计收，由采购人</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中标供应商无需承担</w:t>
      </w:r>
      <w:r>
        <w:rPr>
          <w:rFonts w:hint="eastAsia" w:ascii="宋体" w:hAnsi="宋体" w:eastAsia="宋体" w:cs="宋体"/>
          <w:color w:val="auto"/>
          <w:sz w:val="24"/>
          <w:szCs w:val="24"/>
          <w:highlight w:val="none"/>
          <w:lang w:eastAsia="zh-CN"/>
        </w:rPr>
        <w:t xml:space="preserve">。</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政府采购代理费率标准：</w:t>
      </w:r>
      <w:r/>
    </w:p>
    <w:tbl>
      <w:tblPr>
        <w:tblStyle w:val="793"/>
        <w:tblW w:w="8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274"/>
        <w:gridCol w:w="4961"/>
      </w:tblGrid>
      <w:tr>
        <w:trPr>
          <w:jc w:val="center"/>
          <w:trHeight w:val="289"/>
          <w:tblHeader/>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服务招标代理收费费率</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100-200万元的项目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200-300万元的项目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300-400万元的项目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400-500万元的项目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jc w:val="center"/>
          <w:trHeight w:val="40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招标代理费用不足2000元的，按2000元收费。</w:t>
            </w:r>
            <w:r/>
          </w:p>
        </w:tc>
      </w:tr>
    </w:tbl>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招标文件需求部分（投标人资格要求、项目需求、商务技术评分标准）由招标人解释，其他部分由代理机构解释。</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1.招标文件构成</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招标文件由以下部分组成：</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（4）评审方法和评审标准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（5）合同主要条款</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（6）合同授予</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（7）质疑与投诉</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（8）投标文件组成及格式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bCs/>
          <w:color w:val="auto"/>
          <w:sz w:val="24"/>
          <w:szCs w:val="24"/>
          <w:highlight w:val="none"/>
        </w:rPr>
        <w:t xml:space="preserve">招标人或代理机构</w:t>
      </w:r>
      <w:r>
        <w:rPr>
          <w:rFonts w:hint="eastAsia" w:ascii="宋体" w:hAnsi="宋体" w:eastAsia="宋体" w:cs="宋体"/>
          <w:color w:val="auto"/>
          <w:sz w:val="24"/>
          <w:szCs w:val="24"/>
          <w:highlight w:val="none"/>
        </w:rPr>
        <w:t xml:space="preserve">联系解决。</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2.招标文件的澄清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任何要求对招标文件进行澄清的投标人，应在提交投标文件截止时间十日前按招标公告中的通讯地址，以书面形式通知招标人或代理机构。招标人或代理机构有权对发出的招标文件进行必要的澄清或修改。</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招标人</w:t>
      </w:r>
      <w:r>
        <w:rPr>
          <w:rFonts w:hint="eastAsia" w:ascii="宋体" w:hAnsi="宋体" w:eastAsia="宋体" w:cs="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3.招标文件的修改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 在投标文件提交截止时间前，招标人或代理机构可以对招标文件进行修改</w:t>
      </w:r>
      <w:r>
        <w:rPr>
          <w:rFonts w:hint="eastAsia" w:ascii="宋体" w:hAnsi="宋体" w:eastAsia="宋体" w:cs="宋体"/>
          <w:color w:val="auto"/>
          <w:sz w:val="24"/>
          <w:szCs w:val="24"/>
          <w:highlight w:val="none"/>
        </w:rPr>
        <w:t xml:space="preserve">，澄清或者修改的内容作为招标文件的组成部分。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招标人或代理机构有权按照法定的要求推迟投标文件提交截止日期和开标日期。</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 招标文件的修改将在江苏政府采购网公布，补充文件将作为招标文件的组成部分，并对投标人具有约束力</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三、投标项目涉及的现场勘察</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所提供的项目相关数据仅作参考，根据自身需要，投标人可在投标文件递交之日前对有关现场和周围环境进行勘察，以获取编制投标文件和签署合同所需的信息。勘察现场所发生的费用由投标人自己承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2.招标人向投标人提供的有关现场的资料和数据，是招标人现有的并认为能使投标人可利用的资料。招标人对投标人由此而做出的推论、理解和结论概不负责。</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3.经招标人允许，投标人可为勘察目的进入招标人的项目现场，但投标人不得因此使招标人承担有关的责任和蒙受损失。投标人应承担勘察现场的责任和风险。</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做任何答复与考虑。</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四、投标文件的编制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1.投标文件的语言及度量衡单位</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1.1投标人提交的投标文件以及投标人与招标人或代理机构就有关投标的所有来往通知、函件和文件均应使用简体中文。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1.2除技术性能另有规定外，投标文件所使用的度量衡单位，均须采用国家法定计量单位。</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2.投标文件构成</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2.2如标书制作工具中的格式和内容与“江苏政府采购网”发布的招标文件不一致，请以“江苏政府采购网”发布的招标文件为准。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3.证明投标人及投标标的符合招标文件规定的文件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3.1投标人应按照法律法规、规章和规范性文件以及招标文件要求提交证明文件，证明其及投标标的符合招标文件的规定。</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3.2招标文件对证明文件无明确形式要求的，证明文件可以以文字资料、图纸和数据等形式提交。</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4.投标分项报价表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4.1投标人应按照招标文件规定格式填报投标分项报价表。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5.技术要求响应及偏离表、商务要求响应及偏离表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5.1投标人需对招标文件中的技术要求与商务要求逐项作出响应或偏离，并说明原因。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5.2投标人可在投标文件中提供认为需要的其他技术文件或说明。</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6.投标函和开标一览表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6.1投标人应按照招标文件中提供的格式完整、正确填写投标函、开标一览表。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7.投标有效期</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7.1投标有效期为招标文件规定的投标文件提交截止时间后</w:t>
      </w:r>
      <w:r>
        <w:rPr>
          <w:rFonts w:hint="eastAsia" w:ascii="宋体" w:hAnsi="宋体" w:eastAsia="宋体" w:cs="宋体"/>
          <w:b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。投标有效期比规定短的将被视为非实质性响应而予以拒绝。</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8.投标有效期的延长</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9.电子投标文件其他要求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9.1电子招标投标交易平台（即“苏采云”系统）相关要求是本招标文件的组成部分。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9.2投标人应对CA证书妥善保管，如被他人盗用投标，因此带来的后果均由投标人自行承担。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9.3投标人应当对招标文件提出的实质性要求和条件作出实质性响应，并在电子投标系统逐条应答。</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五、投标文件的提交</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1.投标文件的提交</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2.提交投标文件截止日期</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投标人上传电子投标文件的时间不得迟于公开招标公告中规定的投标文件提交截止时间。</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投标人应充分考虑网络环境、网络带宽等风险因素，如因投标人自身原因造成的电子投标文件上传不成功由投标人自行承担全部责任。</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招标人或代理机构可以按照规定，通过修改投标文件酌情延长投标文件提交截止日期，在此情况下，投标人的所有权利和义务以及投标人受制的截止日期均应以延长后新的截止日期为准。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3.投标文件的密封（加密）要求：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3.2投标人须通过“苏采云”系统提供的政府采购客户端工具（使用“CA数字证书”）加盖电子签章。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说明：投标人应使用CA数字证书以及自备的能够登录“苏采云”系统的电脑，在达到开标时间后，使用CA数字证书解密各自投标文件。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3.3投标人未按规定加密的投标文件，“苏采云”系统将拒收并提示。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4.投标文件的拒收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4.1代理机构拒绝接收在其规定的投标文件提交截止时间后上传的任何投标文件。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投标文件的撤回和修改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 投标文件的撤回</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 电子投标文件的撤回</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 投标人撤回电子投标文件，则认为其不再参与本项目投标活动。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 投标文件的修改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 在投标文件提交截止时间之后，投标人不得对其电子投标文件作任何修改。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6.投标文件线上格式要求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6.1投标人应当通过“苏采云”系统提交数据电文形式的投标文件（即电子投标）。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6.2通过“苏采云”系统提交政府采购客户端工具导出加密的投标文件（后缀名为zip）。响应文件不得超过150M!</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6.3本项目采用线上投标，即投标人投标文件从政府采购客户端工具制作通过“苏采云”系统提交，未提供线上投标文件的，投标无效。</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六、开标与评标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1.开标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1.1招标人或代理机构将在招标公告中规定的时间和地点组织公开开标。</w:t>
      </w:r>
      <w:r>
        <w:rPr>
          <w:rFonts w:hint="eastAsia" w:ascii="宋体" w:hAnsi="宋体" w:eastAsia="宋体" w:cs="宋体"/>
          <w:color w:val="auto"/>
          <w:sz w:val="24"/>
          <w:szCs w:val="24"/>
          <w:highlight w:val="none"/>
        </w:rPr>
        <w:t xml:space="preserve">投标人应当按照</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规定，参加开标活动，在</w:t>
      </w:r>
      <w:r>
        <w:rPr>
          <w:rFonts w:hint="eastAsia" w:ascii="宋体" w:hAnsi="宋体" w:eastAsia="宋体" w:cs="宋体"/>
          <w:b/>
          <w:color w:val="auto"/>
          <w:sz w:val="24"/>
          <w:szCs w:val="24"/>
          <w:highlight w:val="none"/>
        </w:rPr>
        <w:t xml:space="preserve">开标后</w:t>
      </w:r>
      <w:r>
        <w:rPr>
          <w:rFonts w:hint="eastAsia" w:ascii="宋体" w:hAnsi="宋体" w:eastAsia="宋体" w:cs="宋体"/>
          <w:b/>
          <w:color w:val="auto"/>
          <w:sz w:val="24"/>
          <w:szCs w:val="24"/>
          <w:highlight w:val="none"/>
          <w:u w:val="single"/>
        </w:rPr>
        <w:t xml:space="preserve">30分钟内</w:t>
      </w:r>
      <w:r>
        <w:rPr>
          <w:rFonts w:hint="eastAsia" w:ascii="宋体" w:hAnsi="宋体" w:eastAsia="宋体" w:cs="宋体"/>
          <w:color w:val="auto"/>
          <w:sz w:val="24"/>
          <w:szCs w:val="24"/>
          <w:highlight w:val="none"/>
        </w:rPr>
        <w:t xml:space="preserve">对投标文件进行解密。</w:t>
      </w:r>
      <w:r/>
    </w:p>
    <w:p>
      <w:pPr>
        <w:contextualSpacing/>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auto"/>
          <w:sz w:val="24"/>
          <w:szCs w:val="24"/>
          <w:highlight w:val="none"/>
        </w:rPr>
        <w:t xml:space="preserve">因招标人（或代理机构）原因或网上招投标平台发生故障，导致无法按时完成投标文件解密或开、评标工作无法进行的，可根据实际情况相应延迟解密时间或调整开、评标时间。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开标仪式由</w:t>
      </w:r>
      <w:r>
        <w:rPr>
          <w:rFonts w:hint="eastAsia" w:ascii="宋体" w:hAnsi="宋体" w:eastAsia="宋体" w:cs="宋体"/>
          <w:bCs/>
          <w:color w:val="auto"/>
          <w:sz w:val="24"/>
          <w:szCs w:val="24"/>
          <w:highlight w:val="none"/>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1.3投标人在开标过程中涉及的投标文件解密、开标结果确认等工作，应按照“苏采云”系统供应商操作手册规定执行。</w:t>
      </w:r>
      <w:r/>
    </w:p>
    <w:p>
      <w:pPr>
        <w:contextualSpacing/>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规定提出，如苏采云系统中《开标记录表》宣布后5分钟内未提出的，视同认可开标结果。</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2.1开标后，代理机构将立即组织评标委员会（以下简称评委会）进行评审。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2.2评委会由招标人代表和有关技术、经济等方面的专家组成，且人员构成符合政府采购有关规定。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2.3评标委员会独立工作，负责评审所有投标文件并确定中标候选人。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3.评审过程的保密与公正</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3.1评标委员会、招标人或代理机构、相关监督人员等与评审工作有关的人员，对评审情况以及在评审过程中获悉的国家秘密、商业秘密负有保密责任。</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3.2在评审过程中，投标人不得以任何行为影响评审过程，否则其投标文件将被作为无效投标文件。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3.4凡是与审查、澄清、评价和比较投标的有关资料以及授标建议等，招标人、评标委员会、代理机构均不得向投标人或与评标无关的其他人员透露。</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3.5在评审期间，代理机构将设专门人员与投标人联系。</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3.6招标人、代理机构和评标委员会不向未中标的投标人解释未中标原因，也不公布评审过程中的相关细节。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3.7采用综合评分法的项目，未中标的投标人可于中标结果公告期限届满之日起通过苏采云系统查看自己的评审得分及排序情况。</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4.投标文件的澄清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做澄清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4.3接到评标委员会澄清、说明和更正要求的投标人如未按规定作出澄清、说明和更正，其风险由投标人自行承担。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5.对投标文件的审查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5.1投标文件初审分为资格性审查和符合性审查。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招标人在进行资格性审查的同时，将在“信用中国”、“中国政府采购网”网站查询投标人的信用记录，以确定投标人是否具备投标资格，查询结果留存并归档。</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5.1.3未通过资格审查或符合性审查的投标人，代理机构将在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中告知未通过资格审查或符合性审查的原因，评审结束后，代理机构将不再告知未通过资格审查或符合性审查的原因。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s="宋体"/>
          <w:color w:val="auto"/>
          <w:sz w:val="24"/>
          <w:szCs w:val="24"/>
          <w:highlight w:val="none"/>
        </w:rPr>
        <w:t xml:space="preserve">重大偏离的认定需经过评委会以少数服从多数的原则作出结论</w:t>
      </w:r>
      <w:r>
        <w:rPr>
          <w:rFonts w:hint="eastAsia" w:ascii="宋体" w:hAnsi="宋体" w:eastAsia="宋体" w:cs="宋体"/>
          <w:bCs/>
          <w:color w:val="auto"/>
          <w:sz w:val="24"/>
          <w:szCs w:val="24"/>
          <w:highlight w:val="none"/>
        </w:rPr>
        <w:t xml:space="preserve">。评标委员会决定投标文件的响应性只根据投标文件本身的内容，而不寻求外部的证据。</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5.7</w:t>
      </w:r>
      <w:r>
        <w:rPr>
          <w:rFonts w:hint="eastAsia" w:ascii="宋体" w:hAnsi="宋体" w:eastAsia="宋体" w:cs="宋体"/>
          <w:color w:val="auto"/>
          <w:sz w:val="24"/>
          <w:szCs w:val="24"/>
          <w:highlight w:val="none"/>
        </w:rPr>
        <w:t xml:space="preserve">投标人在开、评标全过程中应保持通讯畅通，及时登录苏采云系统查阅、答复相关信息</w:t>
      </w:r>
      <w:r>
        <w:rPr>
          <w:rFonts w:hint="eastAsia" w:ascii="宋体" w:hAnsi="宋体" w:eastAsia="宋体" w:cs="宋体"/>
          <w:bCs/>
          <w:color w:val="auto"/>
          <w:sz w:val="24"/>
          <w:szCs w:val="24"/>
          <w:highlight w:val="none"/>
        </w:rPr>
        <w:t xml:space="preserve">，并安排专人与招标人或代理机构及评标委员会联系</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七、无效投标条款</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1.同一投标人提交两个（含两个）以上不同的投标报价的。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2.投标人不具备招标文件中规定的资格要求的。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3.投标人的报价超过了采购预算或最高限价的。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4.未通过符合性审查的。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5.不符合招标文件中规定的实质性要求和条件的。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被“信用中国”网站列入失信被执行人、重大税收违法案件当事人名单，被“中国政府采购网”列入政府采购严重违法失信行为记录名单，或查询“信用中国”网站后发现投标人存在其他不符合《中华人民共和国政府采购法》第二十二条规定条件的信用记录。</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7.投标文件含有招标人不能接受的附加条件的。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委员会认为投标人的报价明显低于其他通过符合性审查的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10.投标文件未按照招标文件要求加盖CA电子公章的。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12.投标人在苏采云系统规定的时间内未成功解密电子投标文件的。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13.投标人未按照招标文件要求上传电子投标文件的，或上传的文件打不开的。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14.不同的投标人投标文件制作机器码、文件创建标识码一致的。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15.其他法律法规及本招标文件规定的属无效投标的情形</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八、</w:t>
      </w:r>
      <w:r>
        <w:rPr>
          <w:rFonts w:hint="eastAsia" w:ascii="宋体" w:hAnsi="宋体" w:eastAsia="宋体" w:cs="宋体"/>
          <w:b/>
          <w:bCs/>
          <w:color w:val="auto"/>
          <w:sz w:val="24"/>
          <w:szCs w:val="24"/>
          <w:highlight w:val="none"/>
        </w:rPr>
        <w:t xml:space="preserve">废标条款</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1.符合专业条件的供应商或者对招标文件做实质响应的供应商不足三家的。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3.因重大变故，采购任务取消的。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4.评标委员会认定招标文件存在歧义、重大缺陷导致评审工作无法进行。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5.因苏采云系统故障原因造成开标不成功的。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6.投标截止时间结束后参加投标的投标人不足三家的处理：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6.1如出现投标截止时间结束后参加投标的投标人或者在评标期间对招标文件做出实质响应的投标人不足三家情况，按政府采购相关规定执行。</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九、</w:t>
      </w:r>
      <w:r>
        <w:rPr>
          <w:rFonts w:hint="eastAsia" w:ascii="宋体" w:hAnsi="宋体" w:eastAsia="宋体" w:cs="宋体"/>
          <w:b/>
          <w:bCs/>
          <w:color w:val="auto"/>
          <w:sz w:val="24"/>
          <w:szCs w:val="24"/>
          <w:highlight w:val="none"/>
        </w:rPr>
        <w:t xml:space="preserve">定标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1.确定中标人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1.1中标候选人的选取原则和数量见招标文件第四章规定。</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1.2招标人应根据评委会推荐的中标候选人确定中标人。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1.3代理机构将在“江苏政府采购网”发布中标结果公告，公告期限为1个工作日。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1.4若有充分证据证明，中标人出现下列情况之一的，一经查实，将被取消中标资格：</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1.4.1提供虚假材料谋取中标的。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1.4.2向招标人或代理机构行贿或者评审专家提供其他不正当利益的。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1.4.3恶意竞争，报价明显低于其自身合理成本且又无法提供证明的。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1.4.4属于本文件规定的无效条件，但在评审过程中又未被评标委员会发现的。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1.4.5与评审专家、招标人、其他投标人或者代理机构工作人员恶意串通的。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1.4.6采取不正当手段诋毁、排挤其他投标人的。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1.4.8将政府采购合同转包的。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1.5.有下列情形之一的，视为投标人串通参与投标，投标无效：</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1.5.1不同投标人的投标文件由同一单位或者个人编制；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1.5.2不同投标人委托同一单位或者个人办理投标事宜；</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1.5.3不同投标人的投标文件载明的项目管理成员或者联系人员为同一人；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1.5.4不同投标人的投标文件异常一致或者响应报价呈规律性差异；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1.5.5不同投标人的投标文件相互混装。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2.质疑处理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2.1提出质疑的投标人应当是参与所质疑项目采购活动的投标人。潜在投标人依法获取其可质疑的招标文件的，可以对招标文件提出质疑。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2.2投标人认为招标文件、采购过程和采购结果使自己的权益受到损害的，可以在知道或应知其权益受到损害之日起七个工作日内，以书面形式向招标人或代理机构提出质疑。上述应知其权益受到损害之日，是指：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2.2.1对可以质疑的招标文件提出质疑的，为收到招标文件之日或者招标文件公告期限届满之日；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2.2.2对采购过程提出质疑的，为各采购程序环节结束之日；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2.2.3对中标结果提出质疑的，为中标结果公告期限届满之日。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投标人应当在法定质疑期内一次性提出针对同一采购程序环节的质疑。投标人如在法定期限内对同一采购程序环节提出多次质疑的，招标人、代理机构将只对投标人第一次质疑作出答复。</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2.4质疑答复依据《政府采购质疑和投诉办法》（财政部令第94号）。</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招标人或代理机构质疑接收人及联系方式，见招标文件第一章。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2.5以下情形的质疑不予受理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2.5.1内容不符合《政府采购质疑和投诉办法》第十二条规定的质疑。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2.5.2超出政府采购法定期限的质疑。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2.5.3未参加投标活动的投标人或在投标活动中自身权益未受到损害的投标人所提出的质疑。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2.5.4投标人组成联合体参加投标，联合体中任何一方或多方未按要求签字、盖章、加盖公章的质疑。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投标人提出书面质疑必须有理、有据，不得捏造事实、提供虚假材料进行恶意质疑。否则，一经查实，招标人或代理机构有权依据政府采购的有关规定，报请政府采购监管部门对该投标人进行相应的行政处罚和记录该投标人的失信信息。</w:t>
      </w:r>
      <w:r/>
    </w:p>
    <w:p>
      <w:pPr>
        <w:contextualSpacing/>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2.7投诉提起路径：江苏政府采购网（南通市公共资源交易平台）—“办事指南”—“投诉办理指南”。</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十、</w:t>
      </w:r>
      <w:r>
        <w:rPr>
          <w:rFonts w:hint="eastAsia" w:ascii="宋体" w:hAnsi="宋体" w:eastAsia="宋体" w:cs="宋体"/>
          <w:b/>
          <w:bCs/>
          <w:color w:val="auto"/>
          <w:sz w:val="24"/>
          <w:szCs w:val="24"/>
          <w:highlight w:val="none"/>
        </w:rPr>
        <w:t xml:space="preserve">中标通知书</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结果确定后，招标人或者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特别说明：中标人在下载或收到中标通知书后须提供3套加盖公章的系统内打印的纸质投标文件交给代理机构存档。</w:t>
      </w:r>
      <w:r/>
    </w:p>
    <w:p>
      <w:pPr>
        <w:contextualSpacing/>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val="zh-CN"/>
        </w:rPr>
        <w:t xml:space="preserve">履约保证金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1.本项目中标后的履约保证金为</w:t>
      </w:r>
      <w:r>
        <w:rPr>
          <w:rFonts w:hint="eastAsia" w:ascii="宋体" w:hAnsi="宋体" w:eastAsia="宋体" w:cs="宋体"/>
          <w:b/>
          <w:bCs/>
          <w:color w:val="auto"/>
          <w:sz w:val="24"/>
          <w:szCs w:val="24"/>
          <w:highlight w:val="none"/>
          <w:u w:val="single"/>
        </w:rPr>
        <w:t xml:space="preserve">中标价*10%</w:t>
      </w:r>
      <w:r>
        <w:rPr>
          <w:rFonts w:hint="eastAsia" w:ascii="宋体" w:hAnsi="宋体" w:eastAsia="宋体" w:cs="宋体"/>
          <w:color w:val="auto"/>
          <w:sz w:val="24"/>
          <w:szCs w:val="24"/>
          <w:highlight w:val="none"/>
        </w:rPr>
        <w:t xml:space="preserve">，中标人可以选择以支票、汇票、本票、保单、保函等非现金形式缴纳。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2.中标人须凭“中标通知书”和“履约保证金”缴纳凭证，30日内与招标人签订合同。超期或未有协商，则视为自动放弃中标资格。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3.服务期满并按规定时间、规定要求完成交接后招标人将返还该履约保证金。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4.发生以下情况的，履约保证金不予退还或部分退还：</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（1）签订合同后，中标人不履行合同义务的，招标人有权全额扣除履约保证金，全额不予退还，同时招标人亦有权终止合同，中标人还须承担相应的法律赔偿责任。</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（2）中标人在履约过程中发生违约行为，给招标人造成损失的，招标人有权在中标人缴纳的履约保证金中予以扣款，以弥补招标人经济损失，不足的部分中标人另外补齐。</w:t>
      </w:r>
      <w:r/>
    </w:p>
    <w:p>
      <w:pPr>
        <w:contextualSpacing/>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以履约保函（保险）形式向招标人缴纳的，按《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十二、授予合同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1.2招标文件、中标人的投标文件及投标过程中有关澄清、承诺文件均应作为合同附件。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1.3签订合同后，</w:t>
      </w:r>
      <w:r>
        <w:rPr>
          <w:rFonts w:hint="eastAsia" w:ascii="宋体" w:hAnsi="宋体" w:eastAsia="宋体" w:cs="宋体"/>
          <w:bCs/>
          <w:color w:val="auto"/>
          <w:sz w:val="24"/>
          <w:szCs w:val="24"/>
          <w:highlight w:val="none"/>
          <w:u w:val="single"/>
        </w:rPr>
        <w:t xml:space="preserve">中标人不得将合同标的进行转包</w:t>
      </w:r>
      <w:r>
        <w:rPr>
          <w:rFonts w:hint="eastAsia" w:ascii="宋体" w:hAnsi="宋体" w:eastAsia="宋体" w:cs="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2.标的物的追加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2.1政府采购合同履行中，招标人需追加与合同标的相同的货物、服务（包含与货物相关的服务及与服务相关的货物）的，如需追加采购,按《政府采购法》第四十九条执行。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2.2采购结束后，招标人若由于各种客观原因，必须对采购项目所牵涉的货物和服务进行适当地减少时，在双方协商一致的前提下，可以按照招标采购时的价格水平做相应的调减，并据此签订补充合同。</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3.政府采购合同信用融资扶持政策</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十三、电子招标投标交易平台</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1005"/>
          <w:rFonts w:hint="eastAsia" w:ascii="宋体" w:hAnsi="宋体" w:eastAsia="宋体" w:cs="宋体"/>
          <w:bCs/>
          <w:color w:val="auto"/>
          <w:sz w:val="24"/>
          <w:szCs w:val="24"/>
          <w:highlight w:val="none"/>
        </w:rPr>
        <w:t xml:space="preserve">http://jszfcg.jsczt.cn/）相关要求是本招标文件的组成部分。</w:t>
      </w:r>
      <w:r>
        <w:rPr>
          <w:rStyle w:val="1005"/>
          <w:rFonts w:hint="eastAsia" w:ascii="宋体" w:hAnsi="宋体" w:eastAsia="宋体" w:cs="宋体"/>
          <w:bCs/>
          <w:color w:val="auto"/>
          <w:sz w:val="24"/>
          <w:szCs w:val="24"/>
          <w:highlight w:val="none"/>
        </w:rPr>
        <w:fldChar w:fldCharType="end"/>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十四、未尽事宜</w:t>
      </w:r>
      <w:r/>
    </w:p>
    <w:p>
      <w:pPr>
        <w:contextualSpacing/>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按照《中华人民共和国政府采购法》及其他有关法律法规的规定执行。</w:t>
      </w:r>
      <w:bookmarkEnd w:id="8"/>
      <w:r/>
      <w:r/>
    </w:p>
    <w:p>
      <w:pPr>
        <w:pStyle w:val="917"/>
        <w:ind w:firstLine="480"/>
        <w:spacing w:line="360" w:lineRule="auto"/>
        <w:rPr>
          <w:rFonts w:ascii="宋体" w:hAnsi="宋体" w:eastAsia="宋体" w:cs="宋体"/>
          <w:color w:val="auto"/>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ascii="宋体" w:hAnsi="宋体" w:eastAsia="宋体" w:cs="宋体"/>
          <w:color w:val="auto"/>
          <w:highlight w:val="none"/>
        </w:rPr>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bookmarkStart w:id="9" w:name="_Toc13543213"/>
      <w:r>
        <w:rPr>
          <w:rFonts w:hint="eastAsia" w:ascii="宋体" w:hAnsi="宋体" w:eastAsia="宋体" w:cs="宋体"/>
          <w:b/>
          <w:color w:val="auto"/>
          <w:sz w:val="36"/>
          <w:szCs w:val="36"/>
          <w:highlight w:val="none"/>
        </w:rPr>
        <w:t xml:space="preserve">第三章 项目需求</w:t>
      </w:r>
      <w:r/>
    </w:p>
    <w:p>
      <w:pPr>
        <w:pStyle w:val="1214"/>
        <w:ind w:firstLine="482"/>
        <w:spacing w:line="480" w:lineRule="exact"/>
        <w:rPr>
          <w:rFonts w:ascii="宋体" w:eastAsia="宋体" w:cs="宋体"/>
          <w:color w:val="auto"/>
          <w:sz w:val="24"/>
          <w:szCs w:val="24"/>
          <w:highlight w:val="none"/>
        </w:rPr>
      </w:pPr>
      <w:r/>
      <w:bookmarkStart w:id="10" w:name="_Toc182848996"/>
      <w:r>
        <w:rPr>
          <w:rFonts w:hint="eastAsia" w:ascii="宋体" w:eastAsia="宋体" w:cs="宋体"/>
          <w:b/>
          <w:color w:val="auto"/>
          <w:sz w:val="24"/>
          <w:szCs w:val="24"/>
          <w:highlight w:val="none"/>
          <w:lang w:val="zh-CN"/>
        </w:rPr>
        <w:t xml:space="preserve">请供应商在制作响应文件时仔细研究项目需求说明。</w:t>
      </w:r>
      <w:r>
        <w:rPr>
          <w:rFonts w:hint="eastAsia" w:ascii="宋体" w:eastAsia="宋体" w:cs="宋体"/>
          <w:color w:val="auto"/>
          <w:sz w:val="24"/>
          <w:szCs w:val="24"/>
          <w:highlight w:val="none"/>
          <w:lang w:val="zh-CN"/>
        </w:rPr>
        <w:t xml:space="preserve">投标人不能简单照搬照抄招标人项目需求说明中的技术、商务要求，必须作实事求是地响应。如照搬照抄项目需求说明中的技术、商务要求的，中标后中标人在同招标人签订合同和履约环节中不得提出异议，一切后果和损失由中标人承担。如投标人提供的货物和服务同招标人提出的项目需求说明中的技术、商务要求不同的，必须在《商</w:t>
      </w:r>
      <w:r>
        <w:rPr>
          <w:rFonts w:hint="eastAsia" w:ascii="宋体" w:eastAsia="宋体" w:cs="宋体"/>
          <w:color w:val="auto"/>
          <w:sz w:val="24"/>
          <w:szCs w:val="24"/>
          <w:highlight w:val="none"/>
        </w:rPr>
        <w:t xml:space="preserve">务部分正负偏离表》和《技术部分正负偏离表》上明示，如不明示的视同完全响应</w:t>
      </w:r>
      <w:r>
        <w:rPr>
          <w:rFonts w:hint="eastAsia" w:ascii="宋体" w:eastAsia="宋体" w:cs="宋体"/>
          <w:color w:val="auto"/>
          <w:sz w:val="24"/>
          <w:szCs w:val="24"/>
          <w:highlight w:val="none"/>
          <w:lang w:val="zh-CN"/>
        </w:rPr>
        <w:t xml:space="preserve">。</w:t>
      </w:r>
      <w:r/>
    </w:p>
    <w:p>
      <w:pPr>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 </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原南通新广生化工有限公司地块（以下简称“新广生地块”）位于江苏省南通市崇川区天生港镇街道</w:t>
      </w:r>
      <w:r>
        <w:rPr>
          <w:rFonts w:hint="eastAsia" w:ascii="宋体" w:hAnsi="宋体" w:eastAsia="宋体" w:cs="宋体"/>
          <w:color w:val="auto"/>
          <w:sz w:val="24"/>
          <w:szCs w:val="24"/>
          <w:highlight w:val="none"/>
        </w:rPr>
        <w:t xml:space="preserve">国庆村，地块东至深南路、南至港闸路、西至兴港路、北至国庆村居民和农田区域，地块面积为40647m2（约61亩）。新广生地块历史上主要为新广生化工工业用地，目前地块内各类生产设备、构筑物均已拆除，四周均已建立围挡，部分区域种植着农作物。根据南通市崇川区控制性详细规划（闸西单元）和《崇川区闸西单元C1-2、C2-3等地块控制性详细规划调整》，地块规划为商业商务混合用地和公园绿地（非社区公园或儿童公园用地），均属于《土壤环境质量建设用地土壤污染风险管控标准（试行）》（GB36600-2018）中规定的第二类用地。</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结果表明：本地块土壤中苯和1,2,3-三氯丙烷超标，最大超标深度为6m；地下水中15项感官性状及一般化学指标超标，分别为pH值、浊度、耗氧量、色度、溶解性固体、总硬度、挥发酚、氨氮、氯化物、硫化物、硫酸盐、锰、铁、铝、钠；8项毒理学指标超标，分别为氟化物、碘化物、砷、苯、甲苯、1,2-二氯乙烷、苯胺和石油烃（C10~C40）深度为潜水层顶部至潜水层中上部（最大超标深度为12m）。在第二类用地情景下，（1）本地块土壤关注污染物苯和1,2,3-三氯丙烷的健康风险不可接受；地下水不</w:t>
      </w:r>
      <w:r>
        <w:rPr>
          <w:rFonts w:hint="eastAsia" w:ascii="宋体" w:hAnsi="宋体" w:eastAsia="宋体" w:cs="宋体"/>
          <w:color w:val="auto"/>
          <w:sz w:val="24"/>
          <w:szCs w:val="24"/>
          <w:highlight w:val="none"/>
        </w:rPr>
        <w:t xml:space="preserve">考虑饮用地下水的暴露途径下，地下水中苯的健康风险不可接受，地下水中其余关注污染物砷、1,2-二氯乙烷、苯胺、甲苯和石油烃（C10~C40）风险可接受。（2）本地块土壤中苯和1, 2, 3-三氯丙烷修复目标值分别为4mg/kg、0.5mg/kg；地下水中苯修复目标值为4.31mg/L。（3）本地块土壤风险不可接受区域总面积为2897 m2，风险不可接受最大深度为7m，土方量为18008m3；地下水风险不可接受区域面积为2865m2，风险不可接受最大深度最大为12m，地下水风险不可接受方量约13851.1m3。</w: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441960</wp:posOffset>
                </wp:positionV>
                <wp:extent cx="4822190" cy="3399790"/>
                <wp:effectExtent l="0" t="0" r="8890" b="13970"/>
                <wp:wrapTopAndBottom/>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03298" name="图片 6"/>
                        <pic:cNvPicPr>
                          <a:picLocks noChangeAspect="1"/>
                        </pic:cNvPicPr>
                        <pic:nvPr/>
                      </pic:nvPicPr>
                      <pic:blipFill>
                        <a:blip r:embed="rId21"/>
                        <a:stretch/>
                      </pic:blipFill>
                      <pic:spPr bwMode="auto">
                        <a:xfrm>
                          <a:off x="0" y="0"/>
                          <a:ext cx="4827268" cy="340338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34.8pt;mso-position-vertical:absolute;width:379.7pt;height:267.7pt;mso-wrap-distance-left:0.0pt;mso-wrap-distance-top:0.0pt;mso-wrap-distance-right:0.0pt;mso-wrap-distance-bottom:0.0pt;" stroked="f">
                <v:path textboxrect="0,0,0,0"/>
                <w10:wrap type="topAndBottom"/>
                <v:imagedata r:id="rId21" o:title=""/>
              </v:shape>
            </w:pict>
          </mc:Fallback>
        </mc:AlternateContent>
      </w:r>
      <w:r/>
    </w:p>
    <w:p>
      <w:pPr>
        <w:ind w:firstLine="522"/>
        <w:jc w:val="center"/>
        <w:spacing w:line="50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图1-1 原南通新广生化工有限公司地块地理位置图</w:t>
      </w:r>
      <w:r/>
    </w:p>
    <w:p>
      <w:pPr>
        <w:numPr>
          <w:ilvl w:val="0"/>
          <w:numId w:val="3"/>
        </w:numPr>
        <w:jc w:val="left"/>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采购标的需执行的国家相关标准、行业标准、地方标准或者其他标准、规范</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土壤污染防治法》《污染地块地下水修复和风险管控技术导则》《土壤污染源头防控行动计划》《关于加强建设用地土壤污染防治有关重点工作的通知》（2022年）》《优先监管地块土壤污染管控工作指南（试行）》《土壤环境质量建设用地土壤污染风险管控标准（试行）》（GB36600-2018）等有关法律法规、导则规范要求。</w:t>
      </w:r>
      <w:r/>
    </w:p>
    <w:p>
      <w:pPr>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三、本项目需满足的质量、安全、技术规格、物理特性等要求</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（1）针对地块存在环境问题的污染土壤及地下水，编制地块土壤和地下水垂向阻隔工程实施方案、污染源消减方案，以支撑风险管控工程施工；</w:t>
      </w:r>
      <w:r/>
    </w:p>
    <w:p>
      <w:pPr>
        <w:ind w:firstLine="562"/>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四周垂直阻隔屏障对本项目污染土壤和地下水进行风险管控，针对垂直阻隔屏障外超风险土壤区域和苯超标的地下水区域，采用微生物强化衰减技术，加速污染物降解衰减，提高自然衰减能力；并结合长期监测，评估阻隔效果，确保地块内污染不对周边用地产生环境污染迁移隐患。</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（3）中标供应商在相关管控工作开展期间，应严格落实污染防控主体责任，采取切实有效的防护及处置措施，全面防范、杜绝管控过程中产生二次污染问题。</w:t>
      </w:r>
      <w:r/>
    </w:p>
    <w:p>
      <w:pPr>
        <w:ind w:firstLine="562"/>
        <w:spacing w:line="44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合格，符合技术方案要求，通过效果评估，保证工程质量和效果。</w:t>
      </w:r>
      <w:r/>
    </w:p>
    <w:p>
      <w:pPr>
        <w:spacing w:line="46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四、采购标的的数量、采购项目交付或者实施的时间和地点；</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1、采购标的数量：</w:t>
      </w:r>
      <w:r/>
    </w:p>
    <w:tbl>
      <w:tblPr>
        <w:tblStyle w:val="793"/>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38"/>
        <w:gridCol w:w="1350"/>
        <w:gridCol w:w="3860"/>
        <w:gridCol w:w="2635"/>
      </w:tblGrid>
      <w:tr>
        <w:trPr>
          <w:jc w:val="center"/>
          <w:tblHeader/>
        </w:trPr>
        <w:tc>
          <w:tcPr>
            <w:tcMar>
              <w:left w:w="120" w:type="dxa"/>
              <w:top w:w="60" w:type="dxa"/>
              <w:right w:w="120" w:type="dxa"/>
              <w:bottom w:w="30" w:type="dxa"/>
            </w:tcMar>
            <w:tcW w:w="1238"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小类</w:t>
            </w:r>
            <w:r/>
          </w:p>
        </w:tc>
        <w:tc>
          <w:tcPr>
            <w:tcMar>
              <w:left w:w="120" w:type="dxa"/>
              <w:top w:w="60" w:type="dxa"/>
              <w:right w:w="120" w:type="dxa"/>
              <w:bottom w:w="30" w:type="dxa"/>
            </w:tcMar>
            <w:tcW w:w="1350"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w:t>
            </w:r>
            <w:r/>
          </w:p>
        </w:tc>
        <w:tc>
          <w:tcPr>
            <w:tcMar>
              <w:left w:w="120" w:type="dxa"/>
              <w:top w:w="60" w:type="dxa"/>
              <w:right w:w="120" w:type="dxa"/>
              <w:bottom w:w="30" w:type="dxa"/>
            </w:tcMar>
            <w:tcW w:w="3860"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基本要求</w:t>
            </w:r>
            <w:r/>
          </w:p>
        </w:tc>
        <w:tc>
          <w:tcPr>
            <w:tcMar>
              <w:left w:w="120" w:type="dxa"/>
              <w:top w:w="60" w:type="dxa"/>
              <w:right w:w="120" w:type="dxa"/>
              <w:bottom w:w="30" w:type="dxa"/>
            </w:tcMar>
            <w:tcW w:w="2635"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备注</w:t>
            </w:r>
            <w:r/>
          </w:p>
        </w:tc>
      </w:tr>
      <w:tr>
        <w:trPr>
          <w:jc w:val="center"/>
        </w:trPr>
        <w:tc>
          <w:tcPr>
            <w:tcMar>
              <w:left w:w="120" w:type="dxa"/>
              <w:top w:w="60" w:type="dxa"/>
              <w:right w:w="120" w:type="dxa"/>
              <w:bottom w:w="30" w:type="dxa"/>
            </w:tcMar>
            <w:tcW w:w="1238"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制度控制</w:t>
            </w:r>
            <w:r/>
          </w:p>
        </w:tc>
        <w:tc>
          <w:tcPr>
            <w:tcMar>
              <w:left w:w="120" w:type="dxa"/>
              <w:top w:w="60" w:type="dxa"/>
              <w:right w:w="120" w:type="dxa"/>
              <w:bottom w:w="30" w:type="dxa"/>
            </w:tcMar>
            <w:tcW w:w="135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围墙建设维护、安保</w:t>
            </w:r>
            <w:r/>
          </w:p>
        </w:tc>
        <w:tc>
          <w:tcPr>
            <w:tcMar>
              <w:left w:w="120" w:type="dxa"/>
              <w:top w:w="60" w:type="dxa"/>
              <w:right w:w="120" w:type="dxa"/>
              <w:bottom w:w="30" w:type="dxa"/>
            </w:tcMar>
            <w:tcW w:w="386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用彩钢板对四周围墙破损缺失部位进行加固和维修（约</w:t>
            </w:r>
            <w:r>
              <w:rPr>
                <w:rFonts w:ascii="宋体" w:hAnsi="宋体" w:eastAsia="宋体" w:cs="宋体"/>
                <w:color w:val="auto"/>
                <w:sz w:val="22"/>
                <w:szCs w:val="22"/>
                <w:highlight w:val="none"/>
              </w:rPr>
              <w:t xml:space="preserve">60m</w:t>
            </w:r>
            <w:r>
              <w:rPr>
                <w:rFonts w:hint="eastAsia" w:ascii="宋体" w:hAnsi="宋体" w:eastAsia="宋体" w:cs="宋体"/>
                <w:color w:val="auto"/>
                <w:sz w:val="22"/>
                <w:szCs w:val="22"/>
                <w:highlight w:val="none"/>
              </w:rPr>
              <w:t xml:space="preserve">长、</w:t>
            </w:r>
            <w:r>
              <w:rPr>
                <w:rFonts w:ascii="宋体" w:hAnsi="宋体" w:eastAsia="宋体" w:cs="宋体"/>
                <w:color w:val="auto"/>
                <w:sz w:val="22"/>
                <w:szCs w:val="22"/>
                <w:highlight w:val="none"/>
              </w:rPr>
              <w:t xml:space="preserve">2m</w:t>
            </w:r>
            <w:r>
              <w:rPr>
                <w:rFonts w:hint="eastAsia" w:ascii="宋体" w:hAnsi="宋体" w:eastAsia="宋体" w:cs="宋体"/>
                <w:color w:val="auto"/>
                <w:sz w:val="22"/>
                <w:szCs w:val="22"/>
                <w:highlight w:val="none"/>
              </w:rPr>
              <w:t xml:space="preserve">高）</w:t>
            </w:r>
            <w:r/>
          </w:p>
        </w:tc>
        <w:tc>
          <w:tcPr>
            <w:tcMar>
              <w:left w:w="120" w:type="dxa"/>
              <w:top w:w="60" w:type="dxa"/>
              <w:right w:w="120" w:type="dxa"/>
              <w:bottom w:w="30" w:type="dxa"/>
            </w:tcMar>
            <w:tcW w:w="263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Pr>
        <w:tc>
          <w:tcPr>
            <w:tcMar>
              <w:left w:w="120" w:type="dxa"/>
              <w:top w:w="60" w:type="dxa"/>
              <w:right w:w="120" w:type="dxa"/>
              <w:bottom w:w="30" w:type="dxa"/>
            </w:tcMar>
            <w:tcW w:w="1238"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污染土壤和地下水风险管控</w:t>
            </w:r>
            <w:r/>
          </w:p>
        </w:tc>
        <w:tc>
          <w:tcPr>
            <w:tcMar>
              <w:left w:w="120" w:type="dxa"/>
              <w:top w:w="60" w:type="dxa"/>
              <w:right w:w="120" w:type="dxa"/>
              <w:bottom w:w="30" w:type="dxa"/>
            </w:tcMar>
            <w:tcW w:w="135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垂直阻隔</w:t>
            </w:r>
            <w:r/>
          </w:p>
        </w:tc>
        <w:tc>
          <w:tcPr>
            <w:tcMar>
              <w:left w:w="120" w:type="dxa"/>
              <w:top w:w="60" w:type="dxa"/>
              <w:right w:w="120" w:type="dxa"/>
              <w:bottom w:w="30" w:type="dxa"/>
            </w:tcMar>
            <w:tcW w:w="386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周长342m、深度约36.5m，阻隔墙厚度0.8m</w:t>
            </w:r>
            <w:r/>
          </w:p>
        </w:tc>
        <w:tc>
          <w:tcPr>
            <w:tcMar>
              <w:left w:w="120" w:type="dxa"/>
              <w:top w:w="60" w:type="dxa"/>
              <w:right w:w="120" w:type="dxa"/>
              <w:bottom w:w="30" w:type="dxa"/>
            </w:tcMar>
            <w:tcW w:w="263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含施工单位需开展的水文地质补充勘察、阻隔墙效果自检等工作经费</w:t>
            </w:r>
            <w:r/>
          </w:p>
        </w:tc>
      </w:tr>
      <w:tr>
        <w:trPr>
          <w:jc w:val="center"/>
        </w:trPr>
        <w:tc>
          <w:tcPr>
            <w:tcMar>
              <w:left w:w="120" w:type="dxa"/>
              <w:top w:w="60" w:type="dxa"/>
              <w:right w:w="120" w:type="dxa"/>
              <w:bottom w:w="30" w:type="dxa"/>
            </w:tcMar>
            <w:tcW w:w="1238"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微生物衰减削减</w:t>
            </w:r>
            <w:r/>
          </w:p>
        </w:tc>
        <w:tc>
          <w:tcPr>
            <w:tcMar>
              <w:left w:w="120" w:type="dxa"/>
              <w:top w:w="60" w:type="dxa"/>
              <w:right w:w="120" w:type="dxa"/>
              <w:bottom w:w="30" w:type="dxa"/>
            </w:tcMar>
            <w:tcW w:w="135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微生物衰减措施</w:t>
            </w:r>
            <w:r/>
          </w:p>
        </w:tc>
        <w:tc>
          <w:tcPr>
            <w:tcMar>
              <w:left w:w="120" w:type="dxa"/>
              <w:top w:w="60" w:type="dxa"/>
              <w:right w:w="120" w:type="dxa"/>
              <w:bottom w:w="30" w:type="dxa"/>
            </w:tcMar>
            <w:tcW w:w="386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超风险污染土壤和地下水区域，采用微生物强化衰减技术，加速土壤和地下水中修复目标污染物浓度降解30%；污染土壤面积约1696㎡，修复深度为5m；污染地下水面积约727㎡，修复深度为6m，总修复量预计12842m³</w:t>
            </w:r>
            <w:r/>
          </w:p>
        </w:tc>
        <w:tc>
          <w:tcPr>
            <w:tcMar>
              <w:left w:w="120" w:type="dxa"/>
              <w:top w:w="60" w:type="dxa"/>
              <w:right w:w="120" w:type="dxa"/>
              <w:bottom w:w="30" w:type="dxa"/>
            </w:tcMar>
            <w:tcW w:w="263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220"/>
        </w:trPr>
        <w:tc>
          <w:tcPr>
            <w:tcMar>
              <w:left w:w="120" w:type="dxa"/>
              <w:top w:w="60" w:type="dxa"/>
              <w:right w:w="120" w:type="dxa"/>
              <w:bottom w:w="30" w:type="dxa"/>
            </w:tcMar>
            <w:tcW w:w="1238"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钻探和检测费</w:t>
            </w:r>
            <w:r/>
          </w:p>
        </w:tc>
        <w:tc>
          <w:tcPr>
            <w:tcMar>
              <w:left w:w="120" w:type="dxa"/>
              <w:top w:w="60" w:type="dxa"/>
              <w:right w:w="120" w:type="dxa"/>
              <w:bottom w:w="30" w:type="dxa"/>
            </w:tcMar>
            <w:tcW w:w="1350"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地下水、环境空气、土壤等采样检测费用</w:t>
            </w:r>
            <w:r/>
          </w:p>
        </w:tc>
        <w:tc>
          <w:tcPr>
            <w:tcMar>
              <w:left w:w="120" w:type="dxa"/>
              <w:top w:w="60" w:type="dxa"/>
              <w:right w:w="120" w:type="dxa"/>
              <w:bottom w:w="30" w:type="dxa"/>
            </w:tcMar>
            <w:tcW w:w="3860"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钻探预计230m ，按照《污染地块风险管控与土壤修复效果评估技术导则（试行）》（HJ 25.5—2018）、污染地块地下水修复和风险管控技术导则（HJ 25.6—2019）等国家规范要求采样，出具报告。</w:t>
            </w:r>
            <w:r/>
          </w:p>
        </w:tc>
        <w:tc>
          <w:tcPr>
            <w:tcMar>
              <w:left w:w="120" w:type="dxa"/>
              <w:top w:w="60" w:type="dxa"/>
              <w:right w:w="120" w:type="dxa"/>
              <w:bottom w:w="30" w:type="dxa"/>
            </w:tcMar>
            <w:tcW w:w="2635"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bl>
    <w:p>
      <w:pPr>
        <w:numPr>
          <w:ilvl w:val="255"/>
          <w:numId w:val="0"/>
        </w:num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以上仅为本项目风险管控最低基本需求，请各投标人结合采购人提供的项目需求、相关附件说明等自行认真现场查勘，如有缺项漏项投标单位自行补充完善，一旦中标，中标单位不得以任何理由增加成本，采购人不再向中标单位支付任何额外费用。</w:t>
      </w:r>
      <w:r/>
    </w:p>
    <w:p>
      <w:pPr>
        <w:numPr>
          <w:ilvl w:val="0"/>
          <w:numId w:val="4"/>
        </w:num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采购项目交付：自本项目</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之日起，至效果评估通过生态环境主管部门组织或参与的专家评审（其中</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日期以委托人要求为准，管控工期为180 日历天），须完成场地围挡、TRD 工法阻隔墙施工、微生物衰减作业等全部管控范围内工作内容）。。</w:t>
      </w:r>
      <w:r/>
    </w:p>
    <w:p>
      <w:pPr>
        <w:numPr>
          <w:ilvl w:val="0"/>
          <w:numId w:val="4"/>
        </w:num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项目实施地点：采购人指定地点</w:t>
      </w:r>
      <w:r/>
    </w:p>
    <w:p>
      <w:pPr>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该地块目前规划用途为商业商务混合用地和公园绿地，结合场地调查与风险评估结果，考虑到场地高风险污染物有氯代烃、苯系物等，整个场区大部分区域土壤采样时有异味，且该地块周边500m范围内存在多个居民区，考虑基于第二类用地方式下（土壤不裸露）的风险管控方案，实施以防止污染扩散为目的的风险管控工程。</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2、垂直阻隔要求：</w:t>
      </w:r>
      <w:r>
        <w:rPr>
          <w:rFonts w:hint="eastAsia" w:ascii="宋体" w:hAnsi="宋体" w:eastAsia="宋体" w:cs="宋体"/>
          <w:color w:val="auto"/>
          <w:sz w:val="24"/>
          <w:szCs w:val="24"/>
          <w:highlight w:val="none"/>
        </w:rPr>
        <w:t xml:space="preserve">选择TRD工法，采用垂直防渗阻隔屏障对地块污染实施立体阻隔，切断地块内地下水污染向周边环境扩散迁移途径，阻断污染物与人体接触的暴露途径，有效管控地块污染人体健康和环境风险，土壤管控面积为2897 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，土壤管控最大深度为7 m，地下水管控面积为13851.1 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，地下水管控深度为12 m。垂直阻隔周长342 m，建议阻隔到第四层粉质黏土夹粉土层，深度约36.5 m（嵌入相对不透水层0.9 m以上）。建设垂直阻隔屏障，阻断地下水污染向地块红线外迁移扩散，垂直阻隔屏障应连续、耐腐蚀、具备足够防渗性能，渗透系数值不高于1×10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 cm/s。垂直阻隔屏障建设完成后，开展垂直阻隔墙内外地下水环境状况长期监测，地块外地下水环境状况（超风险污染物浓度）应保持持续稳定或下降趋势。垂直阻隔施工质量检查：1）屏障厚度不小于750mm；2）屏障深度进入隔水层不小于0.9m；3）屏障完整性满足《工业污染场地竖向阻隔技术规范》（HGT20715-2020）的良好标准。4）垂直阻隔墙体抽检，应满足本地块污染地下水作用下的渗透系数值不高于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cm/s。</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微生物强化衰减技术要求：</w:t>
      </w:r>
      <w:r>
        <w:rPr>
          <w:rFonts w:hint="eastAsia" w:ascii="宋体" w:hAnsi="宋体" w:eastAsia="宋体" w:cs="宋体"/>
          <w:color w:val="auto"/>
          <w:sz w:val="24"/>
          <w:szCs w:val="24"/>
          <w:highlight w:val="none"/>
        </w:rPr>
        <w:t xml:space="preserve">应用于垂直阻隔屏障外超风险土壤区域和苯超标的地下水区域，加速污染物降解衰减，提高自然衰减能力。针对垂直阻隔屏障外土壤超风险区域和地下水苯超标区域，采用微生物强化衰减技术，加速土壤和地下水中修复目标污染物浓度降解衰减30%。注入井按照5m×5m密度布设，共计106口。</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满足工程技术规范及相关检验标准（详见技术方案），通过效果评估。</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中涉及隐蔽部分的需留存影像视频资料以供后结算审计使用，在送审结算资料时一并提交。所有资料必须附有详细影像资料（彩色照片），所有影像资料必须有可参照性。如影像资料未能反映清单内容或招标文件列明的工作内容，则结算时该项内容将可能不予认可。</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本项目污染土壤及地下水风险管控工作的质量保修期均为1年，质量保修期自项目全部完成</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且</w:t>
      </w:r>
      <w:r>
        <w:rPr>
          <w:rFonts w:hint="eastAsia" w:ascii="宋体" w:hAnsi="宋体" w:eastAsia="宋体" w:cs="宋体"/>
          <w:color w:val="auto"/>
          <w:sz w:val="24"/>
          <w:szCs w:val="24"/>
          <w:highlight w:val="none"/>
        </w:rPr>
        <w:t xml:space="preserve">效果评估通过生态环境主管部门组织或参与的专家评审</w:t>
      </w:r>
      <w:r>
        <w:rPr>
          <w:rFonts w:hint="eastAsia" w:ascii="宋体" w:hAnsi="宋体" w:eastAsia="宋体" w:cs="宋体"/>
          <w:b/>
          <w:bCs/>
          <w:color w:val="auto"/>
          <w:sz w:val="24"/>
          <w:szCs w:val="24"/>
          <w:highlight w:val="none"/>
        </w:rPr>
        <w:t xml:space="preserve">之日起计算。</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3、人员配置要求</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投标供应商须提供相关服务人员不少于8名，其中包括项目负责人1名（服务期间项目负责人须保证每月出勤不少于 22天，且每天在现场不少于 8 小时），项目团队成员至少</w:t>
      </w:r>
      <w:r>
        <w:rPr>
          <w:rFonts w:ascii="宋体" w:hAnsi="宋体" w:eastAsia="宋体" w:cs="宋体"/>
          <w:b/>
          <w:bCs/>
          <w:color w:val="auto"/>
          <w:sz w:val="24"/>
          <w:szCs w:val="24"/>
          <w:highlight w:val="none"/>
        </w:rPr>
        <w:t xml:space="preserve">7名。</w:t>
      </w:r>
      <w:r>
        <w:rPr>
          <w:rFonts w:hint="eastAsia" w:ascii="宋体" w:hAnsi="宋体" w:eastAsia="宋体" w:cs="宋体"/>
          <w:b/>
          <w:bCs/>
          <w:color w:val="auto"/>
          <w:sz w:val="24"/>
          <w:szCs w:val="24"/>
          <w:highlight w:val="none"/>
        </w:rPr>
        <w:t xml:space="preserve">其中项目负责人须具备一定的工作经验和较高的专业水平等。</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明：本项目实际到岗人员须与投标文件所列人员完全一致，中标供应商不得擅自更换。确需更换的，应事先以书面形式向采购人提出申请，经采购人书面同意后方可实施。项目履约期间，若采购人认定项目组成员不能胜任岗位工作要求，中标供应商须无条件予以更换，且更换后的人员资质不得低于原投标文件承诺标准，直至满足采购人要求为止。</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.1本项目提交的全部技术成果，必须能</w:t>
      </w:r>
      <w:r>
        <w:rPr>
          <w:rFonts w:hint="eastAsia" w:ascii="宋体" w:hAnsi="宋体" w:eastAsia="宋体" w:cs="宋体"/>
          <w:color w:val="auto"/>
          <w:sz w:val="24"/>
          <w:szCs w:val="24"/>
          <w:highlight w:val="none"/>
        </w:rPr>
        <w:t xml:space="preserve">满足效果评估要求</w:t>
      </w:r>
      <w:r>
        <w:rPr>
          <w:rFonts w:hint="eastAsia" w:ascii="宋体" w:hAnsi="宋体" w:eastAsia="宋体" w:cs="宋体"/>
          <w:color w:val="auto"/>
          <w:sz w:val="24"/>
          <w:szCs w:val="24"/>
          <w:highlight w:val="none"/>
          <w:lang w:val="zh-CN"/>
        </w:rPr>
        <w:t xml:space="preserve">。</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.2根据招标文件、中标单位的投标文件、双方签订的合同文件及其附件、国家的相关规定；效果评估</w:t>
      </w:r>
      <w:r>
        <w:rPr>
          <w:rFonts w:hint="eastAsia" w:ascii="宋体" w:hAnsi="宋体" w:eastAsia="宋体" w:cs="宋体"/>
          <w:color w:val="auto"/>
          <w:sz w:val="24"/>
          <w:szCs w:val="24"/>
          <w:highlight w:val="none"/>
        </w:rPr>
        <w:t xml:space="preserve">须通过生态环境主管部门组织或参与的专家评审</w:t>
      </w:r>
      <w:r>
        <w:rPr>
          <w:rFonts w:hint="eastAsia" w:ascii="宋体" w:hAnsi="宋体" w:eastAsia="宋体" w:cs="宋体"/>
          <w:color w:val="auto"/>
          <w:sz w:val="24"/>
          <w:szCs w:val="24"/>
          <w:highlight w:val="none"/>
          <w:lang w:val="zh-CN"/>
        </w:rPr>
        <w:t xml:space="preserve">。</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zh-CN"/>
        </w:rPr>
        <w:t xml:space="preserve">招标单位有权核查中标单位提供的招标文件中相关材料的真实性，如若发现有虚假材料一切后果由中标单位承担。</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6.4中标单位须按照招标要求和技术标准实施，不得擅自修改，</w:t>
      </w:r>
      <w:r>
        <w:rPr>
          <w:rFonts w:hint="eastAsia" w:ascii="宋体" w:hAnsi="宋体" w:eastAsia="宋体" w:cs="宋体"/>
          <w:color w:val="auto"/>
          <w:sz w:val="24"/>
          <w:szCs w:val="24"/>
          <w:highlight w:val="none"/>
          <w:lang w:val="zh-CN"/>
        </w:rPr>
        <w:t xml:space="preserve">涉及的相关技术标准以最新文件为准</w:t>
      </w:r>
      <w:r>
        <w:rPr>
          <w:rFonts w:hint="eastAsia" w:ascii="宋体" w:hAnsi="宋体" w:eastAsia="宋体" w:cs="宋体"/>
          <w:color w:val="auto"/>
          <w:sz w:val="24"/>
          <w:szCs w:val="24"/>
          <w:highlight w:val="none"/>
        </w:rPr>
        <w:t xml:space="preserve">。</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6.5中标单位须保证所提供服务等涉及的知识产权和所提供的技术资料是合法取得，并享有完整的知识产权，不会因为采购人的使用而被责令停止使用、追偿或要求赔偿损失，如出现此情况，一切经济和法律责任均由中标单位承担。</w:t>
      </w:r>
      <w:r/>
    </w:p>
    <w:p>
      <w:pPr>
        <w:numPr>
          <w:ilvl w:val="0"/>
          <w:numId w:val="5"/>
        </w:num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采购标的的其他技术、服务等要求；</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1．总体思路</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根据风险评估结果和分析管控总体思路，编制风险管控方案，采取污染隔离、阻断等措施，防止污染扩散，开展地下水、空气环境监测，发现污染扩散后，及时采取有效补救措施。该场地风险管控技术路线如下图1-2。污染地块土地使用权人应当按照国家有关环境标准和技术规范，编制风险管控方案，风险管控方案应当包括管控区域、目标、主要措施、环境监测计划以及应急措施等内容。</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该地块目前规划用途未最终明确，结合场地调查与风险评估结果，考虑基于第二类用地方式下（土壤不裸露）的风险管控方案，实施以防止污染扩散为目的的风险管控，该场地的风险管控总体思路如下：</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（1）地下水苯超风险区域建议实施阻隔措施（垂直阻隔），防止污染物扩散；</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（2）针对垂直阻隔外超风险的土壤区域和苯超标的地下水区域，采用微生物强化衰减技术，加速地下水中污染物降解衰减，提高自然衰减能力；</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（3）阻隔后，结合长期监测，评估阻隔效果，确保地块内污染不对周边用地产生环境污染迁移隐患。</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2．管控区域</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考虑到场地高风险污染物有氯代烃、苯系物等，整个场区大部分区域土壤采样时有异味，且该场地暂不开发利用。管控区域设置遵循下述原则：（1）包括全部地下水超风险范围；（2）包括超风险污染土壤；（3）可服务于后期可能开展的污染土壤和地下水管控工程。</w:t>
      </w:r>
      <w:r/>
    </w:p>
    <w:p>
      <w:pPr>
        <w:pStyle w:val="794"/>
        <w:ind w:firstLine="400"/>
        <w:jc w:val="left"/>
        <w:spacing w:after="0" w:line="360" w:lineRule="auto"/>
        <w:rPr>
          <w:rFonts w:ascii="宋体" w:hAnsi="宋体" w:cs="宋体"/>
          <w:color w:val="auto"/>
          <w:sz w:val="20"/>
          <w:highlight w:val="none"/>
        </w:rPr>
      </w:pPr>
      <w:r>
        <w:rPr>
          <w:rFonts w:hint="eastAsia" w:ascii="宋体" w:hAnsi="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1118870</wp:posOffset>
                </wp:positionH>
                <wp:positionV relativeFrom="paragraph">
                  <wp:posOffset>890270</wp:posOffset>
                </wp:positionV>
                <wp:extent cx="3206115" cy="3629660"/>
                <wp:effectExtent l="0" t="0" r="9525" b="12700"/>
                <wp:wrapTopAndBottom/>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2"/>
                        <a:stretch/>
                      </pic:blipFill>
                      <pic:spPr bwMode="auto">
                        <a:xfrm>
                          <a:off x="0" y="0"/>
                          <a:ext cx="3206115" cy="3629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88.1pt;mso-position-horizontal:absolute;mso-position-vertical-relative:text;margin-top:70.1pt;mso-position-vertical:absolute;width:252.4pt;height:285.8pt;mso-wrap-distance-left:0.0pt;mso-wrap-distance-top:0.0pt;mso-wrap-distance-right:0.0pt;mso-wrap-distance-bottom:0.0pt;" stroked="f">
                <v:path textboxrect="0,0,0,0"/>
                <w10:wrap type="topAndBottom"/>
                <v:imagedata r:id="rId22" o:title=""/>
              </v:shape>
            </w:pict>
          </mc:Fallback>
        </mc:AlternateContent>
      </w:r>
      <w:r>
        <w:rPr>
          <w:rFonts w:hint="eastAsia" w:ascii="宋体" w:hAnsi="宋体" w:cs="宋体"/>
          <w:color w:val="auto"/>
          <w:sz w:val="24"/>
          <w:szCs w:val="22"/>
          <w:highlight w:val="none"/>
        </w:rPr>
        <w:t xml:space="preserve">据风险评估报告框定的超风险范围，面积为6676.61 m2；止水帷幕总长度为342 m。</w:t>
      </w:r>
      <w:r>
        <w:rPr>
          <w:rFonts w:hint="eastAsia" w:ascii="宋体" w:hAnsi="宋体" w:cs="宋体"/>
          <w:color w:val="auto"/>
          <w:sz w:val="24"/>
          <w:szCs w:val="22"/>
          <w:highlight w:val="none"/>
        </w:rPr>
        <w:tab/>
      </w:r>
      <w:r/>
    </w:p>
    <w:p>
      <w:pPr>
        <w:ind w:firstLine="522"/>
        <w:jc w:val="center"/>
        <w:spacing w:line="50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图1-2 场地风险管控总体思路示意图</w:t>
      </w:r>
      <w:r/>
    </w:p>
    <w:p>
      <w:pPr>
        <w:pStyle w:val="794"/>
        <w:ind w:left="23"/>
        <w:spacing w:line="20" w:lineRule="exact"/>
        <w:tabs>
          <w:tab w:val="left" w:pos="4940" w:leader="none"/>
        </w:tabs>
        <w:rPr>
          <w:rFonts w:ascii="宋体" w:hAnsi="宋体" w:cs="宋体"/>
          <w:color w:val="auto"/>
          <w:sz w:val="18"/>
          <w:highlight w:val="none"/>
        </w:rPr>
      </w:pPr>
      <w:r/>
      <w:bookmarkStart w:id="11" w:name="_bookmark42"/>
      <w:r/>
      <w:bookmarkEnd w:id="11"/>
      <w:r>
        <w:rPr>
          <w:rFonts w:hint="eastAsia" w:ascii="宋体" w:hAnsi="宋体" w:cs="宋体"/>
          <w:color w:val="auto"/>
          <w:sz w:val="2"/>
          <w:highlight w:val="none"/>
        </w:rPr>
        <w:tab/>
      </w:r>
      <w:r/>
    </w:p>
    <w:p>
      <w:pPr>
        <w:pStyle w:val="794"/>
        <w:jc w:val="center"/>
        <w:spacing w:before="15"/>
        <w:rPr>
          <w:rFonts w:ascii="宋体" w:hAnsi="宋体" w:cs="宋体"/>
          <w:color w:val="auto"/>
          <w:sz w:val="0"/>
          <w:szCs w:val="0"/>
          <w:highlight w:val="none"/>
          <w:shd w:val="clear" w:color="000000" w:fill="000000"/>
          <w:lang w:bidi="zh-CN"/>
        </w:rPr>
      </w:pPr>
      <w:r>
        <w:rPr>
          <w:rFonts w:ascii="宋体" w:hAnsi="宋体" w:cs="宋体"/>
          <w:color w:val="auto"/>
          <w:sz w:val="0"/>
          <w:szCs w:val="0"/>
          <w:highlight w:val="none"/>
          <w:shd w:val="clear" w:color="000000" w:fill="000000"/>
          <w:lang w:bidi="zh-CN"/>
        </w:rPr>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3．管控总体目标</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项目管控总体目标为：采用垂直防渗阻隔屏障对地块污染实施立体阻隔，切断地块内地下水污染向周边环境扩散迁移途径，阻断污染物与人体接触的暴露途径，有效管控地块污染人体健康和环境风险，土壤管控面积为2897m2，土壤管控最大深度为7m，地下水管控面积为13851.1m2，地下水管控深度为12m；同时采用微生物强化衰减技术，应用于垂直阻隔屏障外超风险土壤区域和苯超标的地下水区域，加速污染物降解衰减，提高自然衰减能力。为保障地块土壤和地下水污染得到有效管控，支撑地块后续安全利用。风险管控各环节总体目标如下：</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（1）垂直阻隔目标</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1）建设垂直阻隔屏障，阻断地下水污染向地块红线外迁移扩散，垂直阻隔屏障应连续、耐腐蚀、具备足够防渗性能，渗透系数值不高于1×10-7cm/s。</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2）垂直阻隔屏障建设完成后，开展垂直阻隔墙内外地下水环境状况长期监测，地块外地下水环境状况（超风险污染物浓度）应保持持续稳定或下降趋势。</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（2）微生物衰减目标</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地块针对垂直阻隔屏障外土壤超风险区域和地下水苯超标区域，采用微生物强化衰减技术，加速土壤和地下水中修复目标污染物浓度降解衰减30%。微生物利用污染物作为碳源和能源，从而达到对污染物的降解和矿化的目的。</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4．垂直阻隔技术</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综合分析土壤和地下水污染范围、刺激性异味存在区域、施工作业方便、工程量及成本等因素，选择TRD工法，又称为“深层地下水泥土连续墙工法”或“渠式切割深层搅拌地下水泥土连续墙工法”。垂直阻隔周长342m，建设深度为地表以下36.5 m（嵌入相对不透水层0.9 m以上）。</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5．微生物衰减技术</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微生物对有机物污染土壤和地下水的修复是以微生物对有机污染物的降解和转化为基础的，本地块针对超风险污染土壤和地下水区域，采用微生物强化衰减技术，加速土壤和地下水中修复目标污染物浓度降解衰减30%。微生物利用污染物作为碳源和能源，从而达到对污染物的降解和矿化的目的。通常情况下，土壤和地下水生物修复的关键是激发对污染物具有降解能力的微生物的活性，并在修复周期内保持其活性。</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为提高修复效率并克服单一方法的局限，拟将生物刺激和生物强化策略相结合，形成协同增效的综合修复方案。将在微生物降解苯系物的全过程中提高各阶段的效率，通过生物刺激添加药剂提高生物量，同时增强苯系物的生物利用度；通过生物强化人为筛选添加降解菌剂，增加高效降解菌株的丰度，提高降解效率，缩短降解周期。注入井按照5m*5m密度布设，共计106口。</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6．工艺参数</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（1）垂直阻隔技术要求</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1）施工需定位准确，浆液泵送量应与搅拌下沉（或提升）速度相匹配，保证搅拌桩中水泥掺量的均匀性，TRD水泥搅拌桩的渗透系数＜10-7 cm/s。</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2）搅拌机头在正常情况下应上下各一次对土体进行喷浆搅拌，对含砂量大的土层，宜在搅拌桩底部2 m~3 m范围内上下重复喷浆搅拌一次。</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3）施工时如因故停浆，应在恢复喷浆前，将搅拌机头提升（或下沉）0.5 m后再喷浆搅拌施工。因搁置时间过长产生初凝的浆液，应作为废浆处理，严禁使用。</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4）相邻桩施工间隔不得超过12小时，否则应在相邻部位补桩。</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（2）微生物衰减技术要求</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1）药剂配置系统</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混合罐、计量泵，添加氮（铵/尿素）和磷（磷酸盐），比例C:N:P为100:10:1至100:1:0.5。除了营养物质以外，复配以生物表面活性剂作为促溶材料，确保地下体系中表面活性剂浓度300~500 mg/L，间歇添加以防pH降低或沉淀。药剂配置系统包括菌剂系统和溶解水箱，pH计、温度和颗粒度监测系统等，确保药剂按照设定的比例加入并且溶解完全。</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药剂配制和注入系统采用一体化原位注入设备，系统最大注入流量5m³/d，最大注入压力0.5MPa。</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2）添加量</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控制菌剂的微生物浓度不低于5×108CFU/mL。参考相关案例，推荐每一口井的生物菌剂注入量为100L，生物药剂的注入量为200L，生物菌剂待注入系统建设完毕一次性注入，生物药剂在60天的施工期内分3次注入，隔20天注入一次，注入比例为4:3:3，即80L，60L，60L。后续根据实际现场小试情况进行调整。</w:t>
      </w:r>
      <w:r/>
    </w:p>
    <w:p>
      <w:pPr>
        <w:pStyle w:val="794"/>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3）监测指标</w:t>
      </w:r>
      <w:r/>
    </w:p>
    <w:p>
      <w:pPr>
        <w:ind w:firstLine="480"/>
        <w:jc w:val="left"/>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监测井建设位于羽流内外，监测指标主要包括污染物水平和参数（如pH、温度等），定时监测指标，尤其是药剂注入前后密切关注监测指标，必要时根据实际情况调整添加量和添加频率。</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6、工作成果要求</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1.相关方案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（1）施工风险管控方案；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（2）环境管理方案；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2.项目管理组织方案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（1）施工重难点分析；</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（3）施工进度计划与保障措施；</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（4）工程质量管理及保障措施；</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（5）安全文明施工与个人防护措施；</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（6）应急预案等；</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3.项目过程文件</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（1）施工竣工报告；</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（2）阻隔施工过程及评估资料；</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（3）污染源削减过程及评估资料；</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（4）施工过程台账、记录、审批等；</w:t>
      </w:r>
      <w:r/>
    </w:p>
    <w:p>
      <w:pPr>
        <w:contextualSpacing/>
        <w:ind w:firstLine="562"/>
        <w:spacing w:line="4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（5）监测报告。</w:t>
      </w:r>
      <w:r/>
    </w:p>
    <w:p>
      <w:pPr>
        <w:contextualSpacing/>
        <w:ind w:firstLine="562"/>
        <w:spacing w:line="46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八、付款方式</w:t>
      </w:r>
      <w:r/>
    </w:p>
    <w:p>
      <w:pPr>
        <w:pStyle w:val="987"/>
        <w:ind w:firstLine="562"/>
        <w:jc w:val="both"/>
        <w:spacing w:line="460" w:lineRule="exact"/>
        <w:rPr>
          <w:rFonts w:ascii="宋体" w:hAnsi="宋体" w:eastAsia="宋体" w:cs="宋体"/>
          <w:color w:val="auto"/>
          <w:highlight w:val="none"/>
        </w:rPr>
      </w:pPr>
      <w:r>
        <w:rPr>
          <w:rFonts w:hint="eastAsia" w:ascii="宋体" w:hAnsi="宋体" w:eastAsia="宋体" w:cs="宋体"/>
          <w:color w:val="auto"/>
          <w:highlight w:val="none"/>
        </w:rPr>
        <w:t xml:space="preserve">本管控工程</w:t>
      </w:r>
      <w:r>
        <w:rPr>
          <w:rFonts w:hint="default" w:ascii="宋体" w:hAnsi="宋体" w:eastAsia="宋体" w:cs="宋体"/>
          <w:color w:val="auto"/>
          <w:highlight w:val="none"/>
          <w:lang w:val="en-US"/>
        </w:rPr>
        <w:t xml:space="preserve">（180日历天）施工结束</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中标供应商</w:t>
      </w:r>
      <w:r>
        <w:rPr>
          <w:rFonts w:hint="eastAsia" w:ascii="宋体" w:hAnsi="宋体" w:eastAsia="宋体" w:cs="宋体"/>
          <w:color w:val="auto"/>
          <w:highlight w:val="none"/>
        </w:rPr>
        <w:t xml:space="preserve">递交完整的施工资料并经采购人确认后，支付合同总价的50%；项目完成效果评估且评估报告通过生态环境主管部门组织或参与的专家评审，支付合同总价的20%；效果评估通过专家评审且采购人委托审计单位审计完成后付至审计价的95%，余款在项目审计完成后的12个月内付清。</w:t>
      </w:r>
      <w:r/>
    </w:p>
    <w:p>
      <w:pPr>
        <w:ind w:firstLine="56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注：若最终审定价高于合同价，超出部分采购人不予支付。投标供应商应充分考量该部分成本风险。</w:t>
      </w:r>
      <w:r/>
    </w:p>
    <w:p>
      <w:pPr>
        <w:ind w:firstLine="56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九、项目涉及到的现场勘察</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所提供的项目相关数据仅作参考，根据自身需要，供应商可在招标文件递交之日前对有关现场和周围环境进行勘察，以获取编制响应文件和签署合同所需的信息。勘查现场所发生的费用由供应商自己承担。</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2.采购人向供应商提供的有关现场的资料和数据，是采购人现有的并认为能使供应商可利用的资料。采购人对供应商由此而做出的推论、理解和结论概不负责。</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3.经采购人允许，供应商可为勘察目的进入采购人的项目现场，但供应商不得因此使采购人承担有关的责任和蒙受损失。供应商应承担勘查现场的责任和风险。</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在现场勘察时，熟悉施工及制作安装现场、现场周围交通道路等情况，以获得一切可能影响其投标的直接资料。供应商成交后，不得以不完全了解现场情况为理由而向采购人提出任何索赔的要求，对此采购人不承担任何责任并将不作任何答复与考虑。</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36"/>
          <w:szCs w:val="36"/>
          <w:highlight w:val="none"/>
        </w:rPr>
        <w:t xml:space="preserve">第四章 评审方法和程序</w:t>
      </w:r>
      <w:bookmarkEnd w:id="10"/>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一、招标人委托代理机构组织招标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1.成立评标委员会小组，评标委员会由招标人代表和评审专家组成，成员人数应当为5人以上单数，其中评审专家不得少于成员总数的三分之二。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不见面远程开标模式：开标当天各投标人在各自地点通过苏采云系统及时登录不见面开标大厅，参加投标活动。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2.代理机构主持开标并记录，及时处理投标人代表提出的询问或者回避申请。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3.投标人不足3家的不得开标。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1.开标后，招标人及其委托的采购代理机构依据相关法律政策的规定，根据招标文件载明的资格审查要求，对投标人的资格进行审查。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2.资格审查合格的投标人进入评标。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3.合格投标人不足3家的，不得评标。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1.评标时间</w:t>
      </w:r>
      <w:r>
        <w:rPr>
          <w:rFonts w:hint="eastAsia" w:ascii="宋体" w:hAnsi="宋体" w:eastAsia="宋体" w:cs="宋体"/>
          <w:b/>
          <w:color w:val="auto"/>
          <w:sz w:val="24"/>
          <w:szCs w:val="24"/>
          <w:highlight w:val="none"/>
        </w:rPr>
        <w:t xml:space="preserve">：资格审查结束以后。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2.代理机构负责组织评标工作，并履行下列职责：</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（4）组织评标委员会推选评标组长，招标人代表不得担任组长。</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（6）根据评标委员会的要求介绍采购相关政策法规、招标文件。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分值汇总计算错误的；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分项评分超出评分标准范围的；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评标委员会成员对客观评审因素评分不一致的；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经评标委员会认定评分畸高、畸低的。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3.评标委员会负责具体评标事务：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代理机构沟通并作书面记录。招标人或者代理机构确认后，应当修改招标文件，重新组织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4.评标委员会成员独立履行以下职责与义务：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（1）遵纪守法，客观、公正、廉洁地履行职责；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（2）审查合格投标人的投标文件是否实质性响应招标文件要求，并作出评价；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（4）可以要求投标人对投标文件有关事项作出解释或澄清；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（5）对评标过程和结果，以及投标人的商业秘密保密；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（6）配合相关部门的投诉处理工作；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（7）配合招标人或代理机构答复投标人提出的质疑。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7.评审期间，合格投标人的投标文件仍有可能被评标委员会根据规定判为无效投标。</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五、评审原则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w:t>
      </w:r>
      <w:r>
        <w:rPr>
          <w:rFonts w:hint="eastAsia" w:ascii="宋体" w:hAnsi="宋体" w:eastAsia="宋体" w:cs="宋体"/>
          <w:b/>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4.对投标文件的评审判定，只依据投标文件内容本身，不依靠开标后任何外来证明文件。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六、评审方法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1.评标程序：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资格符合性评审——商务技术标评审——价格标评审——确定中标候选人。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2.评标委员会将仅对按本招标文件载明的方法与规定，为实质上响应招标文件要求的投标文件评审并进行评价和比较。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3.本次项目的技术标和价格标评审总分值为100分。两部分评审因素比重如下：</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商务技术标分值占总分值的比重为</w:t>
      </w:r>
      <w:r>
        <w:rPr>
          <w:rFonts w:hint="eastAsia" w:ascii="宋体" w:hAnsi="宋体" w:eastAsia="宋体" w:cs="宋体"/>
          <w:b/>
          <w:bCs/>
          <w:color w:val="auto"/>
          <w:sz w:val="24"/>
          <w:szCs w:val="24"/>
          <w:highlight w:val="none"/>
          <w:u w:val="single"/>
        </w:rPr>
        <w:t xml:space="preserve">70%</w:t>
      </w:r>
      <w:r>
        <w:rPr>
          <w:rFonts w:hint="eastAsia" w:ascii="宋体" w:hAnsi="宋体" w:eastAsia="宋体" w:cs="宋体"/>
          <w:b/>
          <w:bCs/>
          <w:color w:val="auto"/>
          <w:sz w:val="24"/>
          <w:szCs w:val="24"/>
          <w:highlight w:val="none"/>
        </w:rPr>
        <w:t xml:space="preserve">（权重）（计算结果均四舍五入保留两位小数）；</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价格标分值占总分值的比重为</w:t>
      </w:r>
      <w:r>
        <w:rPr>
          <w:rFonts w:hint="eastAsia" w:ascii="宋体" w:hAnsi="宋体" w:eastAsia="宋体" w:cs="宋体"/>
          <w:b/>
          <w:bCs/>
          <w:color w:val="auto"/>
          <w:sz w:val="24"/>
          <w:szCs w:val="24"/>
          <w:highlight w:val="none"/>
          <w:u w:val="single"/>
        </w:rPr>
        <w:t xml:space="preserve">30%</w:t>
      </w:r>
      <w:r>
        <w:rPr>
          <w:rFonts w:hint="eastAsia" w:ascii="宋体" w:hAnsi="宋体" w:eastAsia="宋体" w:cs="宋体"/>
          <w:b/>
          <w:bCs/>
          <w:color w:val="auto"/>
          <w:sz w:val="24"/>
          <w:szCs w:val="24"/>
          <w:highlight w:val="none"/>
        </w:rPr>
        <w:t xml:space="preserve">（权重）（计算结果均四舍五入保留两位小数）；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6.商务技术分按评委的算术平均值计算（计算结果均四舍五入保留两位小数）。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7.开启投标人的价格标，现场唱标后由投标人代表在苏采云系统确认。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8.投标人的价格标评审得分直接计算取得，并与其商务技术标得分相加为该投标人的综合得分（计算结果均四舍五入保留两位小数）。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七、关于投标价格评审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1.针对投标价格实质响应的评审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2.针对投标价格合理性的评审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2.1评审过程中出现下列情形之一的，评审委员会应当启动异常低价投标（响应）审查程序：</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1.投标（响应）报价低于全部通过符合性审查供应商投标（响应）报价平均值50%的，即投标（响应）报价&lt;全部通过符合性审查供应商投标（响应）报价平均值×50%；</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2.投标（响应）报价低于通过符合性审查的次低报价供应商投标（响应）报价50%的，即投标（响应）报价&lt;通过符合性审查的次低报价供应商投标（响应）报价×50%；</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3.投标（响应）报价低于采购项目最高限价45%的，即投标（响应）报价&lt;采购项目最高限价×45%；</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4.评审委员会基于专业判断，认为供应商报价过低，有可能影响产品质量或者不能诚信履约的其他情形。</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6"/>
        <w:ind w:firstLine="646"/>
        <w:jc w:val="both"/>
        <w:spacing w:before="0" w:beforeAutospacing="0" w:after="0" w:afterAutospacing="0"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6"/>
        <w:ind w:firstLine="646"/>
        <w:jc w:val="both"/>
        <w:spacing w:before="0" w:beforeAutospacing="0" w:after="0" w:afterAutospacing="0"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八、评审评分项 </w:t>
      </w:r>
      <w:r/>
    </w:p>
    <w:p>
      <w:pPr>
        <w:contextualSpacing/>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（一）商务技术标评分：（70分）</w:t>
      </w:r>
      <w:r/>
    </w:p>
    <w:tbl>
      <w:tblPr>
        <w:tblStyle w:val="79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94"/>
        <w:gridCol w:w="1771"/>
        <w:gridCol w:w="5531"/>
        <w:gridCol w:w="626"/>
      </w:tblGrid>
      <w:tr>
        <w:trPr>
          <w:jc w:val="center"/>
          <w:tblHead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序号</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评分项目</w:t>
            </w:r>
            <w:r/>
          </w:p>
        </w:tc>
        <w:tc>
          <w:tcPr>
            <w:shd w:val="clear" w:color="auto" w:fill="auto"/>
            <w:tcMar>
              <w:left w:w="96" w:type="dxa"/>
              <w:top w:w="96" w:type="dxa"/>
              <w:right w:w="96" w:type="dxa"/>
              <w:bottom w:w="96" w:type="dxa"/>
            </w:tcMar>
            <w:tcW w:w="5531"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评分标准</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分值</w:t>
            </w:r>
            <w:r/>
          </w:p>
        </w:tc>
      </w:tr>
      <w:tr>
        <w:trPr>
          <w:jc w:val="center"/>
          <w:trHeight w:val="90"/>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1</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企业实力</w:t>
            </w:r>
            <w:r/>
          </w:p>
        </w:tc>
        <w:tc>
          <w:tcPr>
            <w:shd w:val="clear" w:color="auto" w:fill="auto"/>
            <w:tcMar>
              <w:left w:w="96" w:type="dxa"/>
              <w:top w:w="96" w:type="dxa"/>
              <w:right w:w="96" w:type="dxa"/>
              <w:bottom w:w="96" w:type="dxa"/>
            </w:tcMar>
            <w:tcW w:w="5531" w:type="dxa"/>
            <w:vAlign w:val="center"/>
            <w:textDirection w:val="lrTb"/>
            <w:noWrap w:val="false"/>
          </w:tcPr>
          <w:p>
            <w:pPr>
              <w:numPr>
                <w:ilvl w:val="0"/>
                <w:numId w:val="0"/>
              </w:num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投标人具有质量管理体系认证、环境管理体系认证、职业健康管理体系认证的，每提供一个得1分，最高得3分。不提供不得分。</w:t>
            </w:r>
            <w:r>
              <w:rPr>
                <w:rFonts w:hint="eastAsia" w:ascii="宋体" w:hAnsi="宋体" w:eastAsia="宋体" w:cs="宋体"/>
                <w:b/>
                <w:bCs/>
                <w:color w:val="auto"/>
                <w:sz w:val="21"/>
                <w:szCs w:val="21"/>
                <w:highlight w:val="none"/>
              </w:rPr>
              <w:t xml:space="preserve">提供相关证书扫描件加盖公章扫描上传至电子投标文件中。</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3</w:t>
            </w:r>
            <w:r/>
          </w:p>
        </w:tc>
      </w:tr>
      <w:tr>
        <w:trPr>
          <w:jc w:val="center"/>
          <w:trHeight w:val="90"/>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2</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企业业绩</w:t>
            </w:r>
            <w:r/>
          </w:p>
        </w:tc>
        <w:tc>
          <w:tcPr>
            <w:shd w:val="clear" w:color="auto" w:fill="auto"/>
            <w:tcMar>
              <w:left w:w="96" w:type="dxa"/>
              <w:top w:w="96" w:type="dxa"/>
              <w:right w:w="96" w:type="dxa"/>
              <w:bottom w:w="96" w:type="dxa"/>
            </w:tcMar>
            <w:tcW w:w="5531" w:type="dxa"/>
            <w:vAlign w:val="center"/>
            <w:textDirection w:val="lrTb"/>
            <w:noWrap w:val="false"/>
          </w:tcPr>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供应商自2021年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月1日以来（时间以合同签订时间为准）完成的类似本项目（土壤或地下水污染的修复或管控工程服务）案例，每提供1个得3分，满分6分。</w:t>
            </w:r>
            <w:r/>
          </w:p>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（完成过的业绩证明材料：</w:t>
            </w:r>
            <w:r>
              <w:rPr>
                <w:rFonts w:hint="eastAsia" w:ascii="宋体" w:hAnsi="宋体" w:eastAsia="宋体" w:cs="宋体"/>
                <w:b/>
                <w:bCs/>
                <w:color w:val="auto"/>
                <w:sz w:val="21"/>
                <w:szCs w:val="21"/>
                <w:highlight w:val="none"/>
                <w:lang w:val="en-US" w:eastAsia="zh-CN"/>
              </w:rPr>
              <w:t xml:space="preserve">需同时提供</w:t>
            </w:r>
            <w:r>
              <w:rPr>
                <w:rFonts w:hint="eastAsia" w:ascii="宋体" w:hAnsi="宋体" w:eastAsia="宋体" w:cs="宋体"/>
                <w:b/>
                <w:bCs/>
                <w:color w:val="auto"/>
                <w:sz w:val="21"/>
                <w:szCs w:val="21"/>
                <w:highlight w:val="none"/>
              </w:rPr>
              <w:t xml:space="preserve">①合同关键页(含签订合同双方的单位名称、合同项目名称、项目金额与含签订合同双方的落款盖章、合同签订日期)；②生态环境行政主管部门组织专家会通过的评审意见或委托方出具的相关证明材料(备案函或竣工验收证明或报验表)。提供相关证明材料原件的扫描件并加盖供应商公章上传至响应文件。</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6</w:t>
            </w:r>
            <w:r/>
          </w:p>
        </w:tc>
      </w:tr>
      <w:tr>
        <w:trPr>
          <w:jc w:val="center"/>
          <w:trHeight w:val="90"/>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3</w:t>
            </w:r>
            <w:r/>
          </w:p>
        </w:tc>
        <w:tc>
          <w:tcPr>
            <w:shd w:val="clear" w:color="auto" w:fill="auto"/>
            <w:tcMar>
              <w:left w:w="96" w:type="dxa"/>
              <w:top w:w="96" w:type="dxa"/>
              <w:right w:w="96" w:type="dxa"/>
              <w:bottom w:w="96" w:type="dxa"/>
            </w:tcMar>
            <w:tcW w:w="1771" w:type="dxa"/>
            <w:vAlign w:val="center"/>
            <w:textDirection w:val="lrTb"/>
            <w:noWrap w:val="false"/>
          </w:tcPr>
          <w:p>
            <w:pPr>
              <w:pStyle w:val="1370"/>
              <w:ind w:left="182"/>
              <w:jc w:val="center"/>
              <w:spacing w:before="81"/>
              <w:rPr>
                <w:b/>
                <w:bCs/>
                <w:color w:val="auto"/>
                <w:spacing w:val="1"/>
                <w:sz w:val="21"/>
                <w:szCs w:val="21"/>
                <w:highlight w:val="none"/>
              </w:rPr>
            </w:pPr>
            <w:r>
              <w:rPr>
                <w:rFonts w:hint="eastAsia"/>
                <w:b/>
                <w:bCs/>
                <w:color w:val="auto"/>
                <w:spacing w:val="1"/>
                <w:sz w:val="21"/>
                <w:szCs w:val="21"/>
                <w:highlight w:val="none"/>
              </w:rPr>
              <w:t xml:space="preserve">项目负责人</w:t>
            </w:r>
            <w:r/>
          </w:p>
          <w:p>
            <w:pPr>
              <w:pStyle w:val="1370"/>
              <w:ind w:left="182"/>
              <w:jc w:val="center"/>
              <w:spacing w:before="81"/>
              <w:rPr>
                <w:b/>
                <w:bCs/>
                <w:color w:val="auto"/>
                <w:sz w:val="21"/>
                <w:szCs w:val="21"/>
                <w:highlight w:val="none"/>
              </w:rPr>
            </w:pPr>
            <w:r>
              <w:rPr>
                <w:b/>
                <w:bCs/>
                <w:color w:val="auto"/>
                <w:sz w:val="21"/>
                <w:szCs w:val="21"/>
                <w:highlight w:val="none"/>
              </w:rPr>
            </w:r>
            <w:r/>
          </w:p>
        </w:tc>
        <w:tc>
          <w:tcPr>
            <w:shd w:val="clear" w:color="auto" w:fill="auto"/>
            <w:tcMar>
              <w:left w:w="96" w:type="dxa"/>
              <w:top w:w="96" w:type="dxa"/>
              <w:right w:w="96" w:type="dxa"/>
              <w:bottom w:w="96" w:type="dxa"/>
            </w:tcMar>
            <w:tcW w:w="5531" w:type="dxa"/>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1、拟投入本项目的项目负责人具有一级建造师执业资格证书的，得2分；具有二级建造师执业资格证书的，得1分。本项最多得2分。</w:t>
            </w:r>
            <w:r/>
          </w:p>
          <w:p>
            <w:pPr>
              <w:numPr>
                <w:ilvl w:val="0"/>
                <w:numId w:val="0"/>
              </w:numPr>
              <w:jc w:val="left"/>
              <w:widowControl/>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2</w:t>
            </w:r>
            <w:r>
              <w:rPr>
                <w:rFonts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highlight w:val="none"/>
              </w:rPr>
              <w:t xml:space="preserve">项目负责人具有环境类相关专业高级及以上工程师（含）及以上职称的得2分，具有环境类相关专业中级职称得1分，环境类相关专业初级职称不得分。本项最多得2分。</w:t>
            </w:r>
            <w:r/>
          </w:p>
          <w:p>
            <w:pPr>
              <w:numPr>
                <w:ilvl w:val="0"/>
                <w:numId w:val="0"/>
              </w:numPr>
              <w:jc w:val="left"/>
              <w:widowControl/>
              <w:rPr>
                <w:rFonts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lang w:val="en-US" w:eastAsia="zh-CN" w:bidi="ar-SA"/>
              </w:rPr>
              <w:t xml:space="preserve">3</w:t>
            </w:r>
            <w:r>
              <w:rPr>
                <w:rFonts w:ascii="宋体" w:hAnsi="宋体" w:eastAsia="宋体" w:cs="宋体"/>
                <w:bCs/>
                <w:color w:val="auto"/>
                <w:sz w:val="21"/>
                <w:szCs w:val="21"/>
                <w:lang w:val="en-US" w:eastAsia="zh-CN" w:bidi="ar-SA"/>
              </w:rPr>
              <w:t xml:space="preserve">、</w:t>
            </w:r>
            <w:r>
              <w:rPr>
                <w:rFonts w:hint="eastAsia" w:ascii="宋体" w:hAnsi="宋体" w:eastAsia="宋体" w:cs="宋体"/>
                <w:bCs/>
                <w:color w:val="auto"/>
                <w:sz w:val="21"/>
                <w:szCs w:val="21"/>
                <w:highlight w:val="none"/>
              </w:rPr>
              <w:t xml:space="preserve">项目负责人具备环境类硕士及以上学位证书的，得1分；环境类大学本科学位证书，得0.5分。</w:t>
            </w:r>
            <w:r>
              <w:rPr>
                <w:rFonts w:hint="eastAsia" w:ascii="宋体" w:hAnsi="宋体" w:eastAsia="宋体" w:cs="宋体"/>
                <w:color w:val="auto"/>
                <w:sz w:val="21"/>
                <w:szCs w:val="21"/>
                <w:highlight w:val="none"/>
              </w:rPr>
              <w:t xml:space="preserve">本项最多得1分（按所持学位证书的最高等级核算）。</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资格证书原件扫描件、</w:t>
            </w:r>
            <w:r>
              <w:rPr>
                <w:rFonts w:hint="eastAsia" w:ascii="宋体" w:hAnsi="宋体" w:eastAsia="宋体" w:cs="宋体"/>
                <w:b/>
                <w:bCs/>
                <w:color w:val="auto"/>
                <w:sz w:val="21"/>
                <w:szCs w:val="21"/>
                <w:highlight w:val="none"/>
              </w:rPr>
              <w:t xml:space="preserve">职称证书原件扫描件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学位证书原件扫描件及由社保机构出具的供应商在自2026年1月以来任意一个月为其缴纳社保的相关证明材料扫描件加盖公章扫描上传至电子投标文件中。</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5</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4</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技术负责人</w:t>
            </w:r>
            <w:r/>
          </w:p>
          <w:p>
            <w:pPr>
              <w:jc w:val="center"/>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tc>
        <w:tc>
          <w:tcPr>
            <w:shd w:val="clear" w:color="auto" w:fill="auto"/>
            <w:tcMar>
              <w:left w:w="96" w:type="dxa"/>
              <w:top w:w="96" w:type="dxa"/>
              <w:right w:w="96" w:type="dxa"/>
              <w:bottom w:w="96" w:type="dxa"/>
            </w:tcMar>
            <w:tcW w:w="5531" w:type="dxa"/>
            <w:textDirection w:val="lrTb"/>
            <w:noWrap w:val="false"/>
          </w:tcPr>
          <w:p>
            <w:pPr>
              <w:numPr>
                <w:ilvl w:val="-1"/>
                <w:numId w:val="0"/>
              </w:numPr>
              <w:jc w:val="left"/>
              <w:widowControl/>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1、拟投入本项目的技术负责人具有环境类相关专业高级职称及以上的技术职称，得2分，具有环境类相关专业中级职称得1分，环境类相关专业初级职称不得分。本项最多得2分。</w:t>
            </w:r>
            <w:r/>
          </w:p>
          <w:p>
            <w:pPr>
              <w:jc w:val="left"/>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具备环境类硕士及以上学位证书的，得1分；环境类大学本科学位证书，得0.5分。</w:t>
            </w:r>
            <w:r>
              <w:rPr>
                <w:rFonts w:hint="eastAsia" w:ascii="宋体" w:hAnsi="宋体" w:eastAsia="宋体" w:cs="宋体"/>
                <w:color w:val="auto"/>
                <w:sz w:val="21"/>
                <w:szCs w:val="21"/>
                <w:highlight w:val="none"/>
              </w:rPr>
              <w:t xml:space="preserve">本项最多得1分（按所持学位证书的最高等级核算）。</w:t>
            </w:r>
            <w:r/>
          </w:p>
          <w:p>
            <w:pP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 ：</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提供职称证书原件扫描件、学位证书原件扫描件及由社保机构出具的供应商在自2026年1月以来任意一个月为其缴纳社保的相关证明材料扫描件加盖公章扫描上传至电子投标文件中。</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3</w:t>
            </w:r>
            <w:r/>
          </w:p>
        </w:tc>
      </w:tr>
      <w:tr>
        <w:trPr>
          <w:jc w:val="center"/>
          <w:trHeight w:val="1303"/>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5</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项目团队成员（除项目负责人、技术负责人外）</w:t>
            </w:r>
            <w:r/>
          </w:p>
          <w:p>
            <w:pPr>
              <w:jc w:val="center"/>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项目团队成员具有环境类相关专业初级及以上职称的得</w:t>
            </w:r>
            <w:r>
              <w:rPr>
                <w:rFonts w:ascii="宋体" w:hAnsi="宋体" w:eastAsia="宋体" w:cs="宋体"/>
                <w:color w:val="auto"/>
                <w:sz w:val="21"/>
                <w:szCs w:val="21"/>
                <w:highlight w:val="none"/>
              </w:rPr>
              <w:t xml:space="preserve">1分/人，最多得2</w:t>
            </w:r>
            <w:r>
              <w:rPr>
                <w:rFonts w:hint="eastAsia" w:ascii="宋体" w:hAnsi="宋体" w:eastAsia="宋体" w:cs="宋体"/>
                <w:color w:val="auto"/>
                <w:sz w:val="21"/>
                <w:szCs w:val="21"/>
                <w:highlight w:val="none"/>
              </w:rPr>
              <w:t xml:space="preserve">分；具有环境类相关专业中级及以上工程师职称的得</w:t>
            </w:r>
            <w:r>
              <w:rPr>
                <w:rFonts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/人，最多得3</w:t>
            </w:r>
            <w:r>
              <w:rPr>
                <w:rFonts w:hint="eastAsia" w:ascii="宋体" w:hAnsi="宋体" w:eastAsia="宋体" w:cs="宋体"/>
                <w:color w:val="auto"/>
                <w:sz w:val="21"/>
                <w:szCs w:val="21"/>
                <w:highlight w:val="none"/>
              </w:rPr>
              <w:t xml:space="preserve">分；具有环境类相关专业高级及以上工程师职称的得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/人，最多得4</w:t>
            </w:r>
            <w:r>
              <w:rPr>
                <w:rFonts w:hint="eastAsia" w:ascii="宋体" w:hAnsi="宋体" w:eastAsia="宋体" w:cs="宋体"/>
                <w:color w:val="auto"/>
                <w:sz w:val="21"/>
                <w:szCs w:val="21"/>
                <w:highlight w:val="none"/>
              </w:rPr>
              <w:t xml:space="preserve">分。本项最高得</w:t>
            </w:r>
            <w:r>
              <w:rPr>
                <w:rFonts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1人仅按所持最高职称档次计分1次，</w:t>
            </w:r>
            <w:r>
              <w:rPr>
                <w:rFonts w:hint="eastAsia" w:ascii="宋体" w:hAnsi="宋体" w:eastAsia="宋体" w:cs="宋体"/>
                <w:color w:val="auto"/>
                <w:sz w:val="21"/>
                <w:szCs w:val="21"/>
                <w:highlight w:val="none"/>
              </w:rPr>
              <w:t xml:space="preserve">同一人不重复得分，如职称证书无法体现专业的，以毕业证书为准。）</w:t>
            </w:r>
            <w:r/>
          </w:p>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2）项目团队成员中具有一级建造师证书的，每有1人得2</w:t>
            </w:r>
            <w:r>
              <w:rPr>
                <w:rFonts w:hint="eastAsia" w:ascii="宋体" w:hAnsi="宋体" w:eastAsia="宋体" w:cs="宋体"/>
                <w:color w:val="auto"/>
                <w:sz w:val="21"/>
                <w:szCs w:val="21"/>
                <w:highlight w:val="none"/>
              </w:rPr>
              <w:t xml:space="preserve">分，最高得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分；具有二级建造师证书的，每有</w:t>
            </w:r>
            <w:r>
              <w:rPr>
                <w:rFonts w:ascii="宋体" w:hAnsi="宋体" w:eastAsia="宋体" w:cs="宋体"/>
                <w:color w:val="auto"/>
                <w:sz w:val="21"/>
                <w:szCs w:val="21"/>
                <w:highlight w:val="none"/>
              </w:rPr>
              <w:t xml:space="preserve">1人得1</w:t>
            </w:r>
            <w:r>
              <w:rPr>
                <w:rFonts w:hint="eastAsia" w:ascii="宋体" w:hAnsi="宋体" w:eastAsia="宋体" w:cs="宋体"/>
                <w:color w:val="auto"/>
                <w:sz w:val="21"/>
                <w:szCs w:val="21"/>
                <w:highlight w:val="none"/>
              </w:rPr>
              <w:t xml:space="preserve">分，最高得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分。本项最多得</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1人仅按所持最高</w:t>
            </w:r>
            <w:r>
              <w:rPr>
                <w:rFonts w:hint="eastAsia" w:ascii="宋体" w:hAnsi="宋体" w:eastAsia="宋体" w:cs="宋体"/>
                <w:color w:val="auto"/>
                <w:sz w:val="21"/>
                <w:szCs w:val="21"/>
                <w:highlight w:val="none"/>
                <w:lang w:val="en-US" w:eastAsia="zh-CN"/>
              </w:rPr>
              <w:t xml:space="preserve">证书</w:t>
            </w:r>
            <w:r>
              <w:rPr>
                <w:rFonts w:ascii="宋体" w:hAnsi="宋体" w:eastAsia="宋体" w:cs="宋体"/>
                <w:color w:val="auto"/>
                <w:sz w:val="21"/>
                <w:szCs w:val="21"/>
                <w:highlight w:val="none"/>
              </w:rPr>
              <w:t xml:space="preserve">档次计分1次，</w:t>
            </w:r>
            <w:r>
              <w:rPr>
                <w:rFonts w:hint="eastAsia" w:ascii="宋体" w:hAnsi="宋体" w:eastAsia="宋体" w:cs="宋体"/>
                <w:color w:val="auto"/>
                <w:sz w:val="21"/>
                <w:szCs w:val="21"/>
                <w:highlight w:val="none"/>
              </w:rPr>
              <w:t xml:space="preserve">同一人不重复得分）</w:t>
            </w:r>
            <w:r/>
          </w:p>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（3）项目团队成员中具有注册环保工程师证书或注册环评工程师证书，每有1人得2分。本项最高得4分。</w:t>
            </w:r>
            <w:r/>
          </w:p>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备注：以上（1）-(3)所有人员须提供相关证书原件扫描件及供应商为其缴纳的自2026年1月以来的任意一个月的社保缴纳证明材料扫描件加盖公章扫描上传至电子投标文件中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eastAsia="zh-CN"/>
              </w:rPr>
              <w:t xml:space="preserve">团队成员若同时满足多项评审条件，可在各分项分别计取对应分值；仅单一项评审分项内，单人仅按最优条件计分，不重复累加。</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17</w:t>
            </w:r>
            <w:r/>
          </w:p>
        </w:tc>
      </w:tr>
      <w:tr>
        <w:trPr>
          <w:jc w:val="center"/>
          <w:trHeight w:val="342"/>
        </w:trPr>
        <w:tc>
          <w:tcPr>
            <w:shd w:val="clear" w:color="auto" w:fill="auto"/>
            <w:tcMar>
              <w:left w:w="96" w:type="dxa"/>
              <w:top w:w="96" w:type="dxa"/>
              <w:right w:w="96" w:type="dxa"/>
              <w:bottom w:w="96" w:type="dxa"/>
            </w:tcMar>
            <w:tcW w:w="594"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对项目理解程度</w:t>
            </w:r>
            <w:r/>
          </w:p>
        </w:tc>
        <w:tc>
          <w:tcPr>
            <w:shd w:val="clear" w:color="auto" w:fill="auto"/>
            <w:tcMar>
              <w:left w:w="96" w:type="dxa"/>
              <w:top w:w="96" w:type="dxa"/>
              <w:right w:w="96" w:type="dxa"/>
              <w:bottom w:w="96" w:type="dxa"/>
            </w:tcMar>
            <w:tcW w:w="5531" w:type="dxa"/>
            <w:vAlign w:val="center"/>
            <w:textDirection w:val="lrTb"/>
            <w:noWrap w:val="false"/>
          </w:tcPr>
          <w:p>
            <w:pPr>
              <w:jc w:val="left"/>
              <w:spacing w:line="288" w:lineRule="atLeas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对本项目的理解熟悉程度，评委依据投标文件中针对本项目的①项目背景</w:t>
            </w:r>
            <w:r>
              <w:rPr>
                <w:rFonts w:hint="eastAsia" w:ascii="宋体" w:hAnsi="宋体" w:eastAsia="宋体" w:cs="宋体"/>
                <w:color w:val="auto"/>
                <w:sz w:val="22"/>
                <w:szCs w:val="22"/>
                <w:highlight w:val="none"/>
              </w:rPr>
              <w:t xml:space="preserve">情况</w:t>
            </w:r>
            <w:r>
              <w:rPr>
                <w:rFonts w:ascii="宋体" w:hAnsi="宋体" w:eastAsia="宋体" w:cs="宋体"/>
                <w:color w:val="auto"/>
                <w:sz w:val="22"/>
                <w:szCs w:val="22"/>
                <w:highlight w:val="none"/>
              </w:rPr>
              <w:t xml:space="preserve">、②地块情况、③项目实施内容、④工作目标的阐述内容进行综合评审打分。</w:t>
            </w:r>
            <w:r/>
          </w:p>
          <w:p>
            <w:pPr>
              <w:jc w:val="left"/>
              <w:spacing w:line="288" w:lineRule="atLeast"/>
              <w:widowControl/>
              <w:rPr>
                <w:rFonts w:ascii="宋体" w:hAnsi="宋体" w:eastAsia="宋体" w:cs="宋体"/>
                <w:color w:val="auto"/>
                <w:sz w:val="21"/>
                <w:szCs w:val="21"/>
                <w:highlight w:val="none"/>
              </w:rPr>
            </w:pPr>
            <w:r>
              <w:rPr>
                <w:rFonts w:ascii="宋体" w:hAnsi="宋体" w:eastAsia="宋体" w:cs="宋体"/>
                <w:b/>
                <w:bCs/>
                <w:color w:val="auto"/>
                <w:sz w:val="22"/>
                <w:szCs w:val="22"/>
                <w:highlight w:val="none"/>
              </w:rPr>
              <w:t xml:space="preserve">本项满分为 6 分，上述四个评审要点各占 1.5 分。投标文件缺少任一评审要点内容的，扣 1.5 分；任一评审要点的需求分析内容存在缺陷或不足的</w:t>
            </w:r>
            <w:r>
              <w:rPr>
                <w:rFonts w:hint="eastAsia" w:ascii="宋体" w:hAnsi="宋体" w:eastAsia="宋体" w:cs="宋体"/>
                <w:b/>
                <w:bCs/>
                <w:color w:val="auto"/>
                <w:sz w:val="21"/>
                <w:szCs w:val="21"/>
                <w:highlight w:val="none"/>
              </w:rPr>
              <w:t xml:space="preserve">（不符行业实际、政策要求、与项目实际存在偏差、表述过简、含无关内容、逻辑漏洞等）</w:t>
            </w:r>
            <w:r>
              <w:rPr>
                <w:rFonts w:ascii="宋体" w:hAnsi="宋体" w:eastAsia="宋体" w:cs="宋体"/>
                <w:b/>
                <w:bCs/>
                <w:color w:val="auto"/>
                <w:sz w:val="22"/>
                <w:szCs w:val="22"/>
                <w:highlight w:val="none"/>
              </w:rPr>
              <w:t xml:space="preserve">，每处扣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0"/>
                <w:highlight w:val="none"/>
              </w:rPr>
              <w:t xml:space="preserve">7</w:t>
            </w:r>
            <w:r/>
          </w:p>
        </w:tc>
        <w:tc>
          <w:tcPr>
            <w:shd w:val="clear" w:color="auto" w:fill="auto"/>
            <w:tcMar>
              <w:left w:w="96" w:type="dxa"/>
              <w:top w:w="96" w:type="dxa"/>
              <w:right w:w="96" w:type="dxa"/>
              <w:bottom w:w="96" w:type="dxa"/>
            </w:tcMar>
            <w:tcW w:w="1771" w:type="dxa"/>
            <w:vAlign w:val="center"/>
            <w:textDirection w:val="lrTb"/>
            <w:noWrap w:val="false"/>
          </w:tcPr>
          <w:p>
            <w:pPr>
              <w:numPr>
                <w:ilvl w:val="255"/>
                <w:numId w:val="0"/>
              </w:num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本项目重点、难点分析</w:t>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对本项目重点难点的研判能力，评委依据投标文件中针对①本项目重点的分析、②本项目难点的分析、③解决方案、④合理化建议的阐述内容进行综合评审打分。</w:t>
            </w:r>
            <w:r/>
          </w:p>
          <w:p>
            <w:pPr>
              <w:jc w:val="lef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本项满分为 6 分，上述四个评审要点各占 1.5 分。投标文件缺少任一评审要点内容的，扣 1.5 分；任一评审要点的需求分析内容存在缺陷或不足的（不符行业实际、政策要求、与项目实际存在偏差、表述过简、含无关内容、逻辑漏洞等），每处扣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8</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针对本项目微生物菌剂的实施方案</w:t>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生物菌剂实施方案的适配性与有效性，评委依据投标文件中针对本项目的①选用微生物菌剂的针对性、②与场地条件及特征污染物的匹配程度、③菌剂有效性的印证、④具体实施方案的阐述内容进行综合评审打分。</w:t>
            </w:r>
            <w:r/>
          </w:p>
          <w:p>
            <w:pPr>
              <w:jc w:val="lef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本项满分为 6 分，上述四个评审要点各占 1.5 分。投标文件缺少任一评审要点内容的，扣 1.5 分；任一评审要点的需求分析内容存在缺陷或不足的（不符行业实际、政策要求、与项目实际存在偏差、表述过简、含无关内容、逻辑漏洞等），每处扣 0.5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9</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本项目阻隔覆盖实施方案</w:t>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阻隔覆盖实施方案的科学性与可行性，评委依据投标文件中针对本项目的①阻隔覆盖方案（需详细阐述污染作用下阻隔墙工程的渗透系数性能）、②施工组织、③工艺工法的阐述内容进行综合评审打分。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6 分，上述三个评审要点各占 2 分。投标文件缺少任一评审要点内容的，扣 2 分；任一评审要点的需求分析内容存在缺陷或不足的（不符行业实际、政策要求、与项目实际存在偏差、表述过简、含无关内容、逻辑漏洞等），每处扣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10</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项目进度保证措施方案</w:t>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进度保证措施的合理性与可操作性，评委依据投标文件中针对本项目的①进度实施计划、②进度保证措施、③关键节点管控、④工期延误应对预案的阐述内容综合评审打分。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4 分，上述四个评审要点各占 1 分。投标文件缺少任一评审要点内容的，扣 1 分；任一评审要点的需求分析内容存在缺陷或不足的（不符行业实际、政策要求、与项目实际存在偏差、表述过简、含无关内容、逻辑漏洞等），每处扣 0.5分，本项分值扣完为止。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4</w:t>
            </w:r>
            <w:r/>
          </w:p>
          <w:p>
            <w:pPr>
              <w:jc w:val="center"/>
              <w:widowControl/>
              <w:rPr>
                <w:rFonts w:ascii="宋体" w:hAnsi="宋体" w:eastAsia="宋体" w:cs="宋体"/>
                <w:color w:val="auto"/>
                <w:sz w:val="20"/>
                <w:highlight w:val="none"/>
              </w:rPr>
            </w:pPr>
            <w:r>
              <w:rPr>
                <w:rFonts w:ascii="宋体" w:hAnsi="宋体" w:eastAsia="宋体" w:cs="宋体"/>
                <w:color w:val="auto"/>
                <w:sz w:val="20"/>
                <w:highlight w:val="none"/>
              </w:rPr>
            </w:r>
            <w:r/>
          </w:p>
          <w:p>
            <w:pPr>
              <w:jc w:val="center"/>
              <w:widowControl/>
              <w:rPr>
                <w:rFonts w:ascii="宋体" w:hAnsi="宋体" w:eastAsia="宋体" w:cs="宋体"/>
                <w:color w:val="auto"/>
                <w:sz w:val="20"/>
                <w:highlight w:val="none"/>
              </w:rPr>
            </w:pPr>
            <w:r>
              <w:rPr>
                <w:rFonts w:ascii="宋体" w:hAnsi="宋体" w:eastAsia="宋体" w:cs="宋体"/>
                <w:color w:val="auto"/>
                <w:sz w:val="20"/>
                <w:highlight w:val="none"/>
              </w:rPr>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11</w:t>
            </w:r>
            <w:r/>
          </w:p>
        </w:tc>
        <w:tc>
          <w:tcPr>
            <w:shd w:val="clear" w:color="auto" w:fill="auto"/>
            <w:tcMar>
              <w:left w:w="96" w:type="dxa"/>
              <w:top w:w="96" w:type="dxa"/>
              <w:right w:w="96" w:type="dxa"/>
              <w:bottom w:w="96" w:type="dxa"/>
            </w:tcMar>
            <w:tcW w:w="1771" w:type="dxa"/>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项目质量保证措施方案</w:t>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质量保证措施的完整性与可靠性，评委依据投标文件中针对本项目的①质量保证措施、②施工过程二次污染防治措施、③质量检验与验收标准、④原材料/设备质量管控的阐述内容综合评审打分。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4 分，上述四个评审要点各占 1 分。投标文件缺少任一评审要点内容的，扣 1 分；任一评审要点的需求分析内容存在缺陷或不足的（不符行业实际、政策要求、与项目实际存在偏差、表述过简、含无关内容、逻辑漏洞等），每处扣 0.5分，本项分值扣完为止。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4</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hint="eastAsia" w:ascii="宋体" w:hAnsi="宋体" w:eastAsia="宋体" w:cs="宋体"/>
                <w:b/>
                <w:color w:val="auto"/>
                <w:sz w:val="20"/>
                <w:highlight w:val="none"/>
                <w:lang w:eastAsia="zh-CN"/>
              </w:rPr>
            </w:pPr>
            <w:r>
              <w:rPr>
                <w:rFonts w:hint="eastAsia" w:ascii="宋体" w:hAnsi="宋体" w:eastAsia="宋体" w:cs="宋体"/>
                <w:b/>
                <w:color w:val="auto"/>
                <w:sz w:val="20"/>
                <w:highlight w:val="none"/>
              </w:rPr>
              <w:t xml:space="preserve">1</w:t>
            </w:r>
            <w:r>
              <w:rPr>
                <w:rFonts w:hint="eastAsia" w:ascii="宋体" w:hAnsi="宋体" w:eastAsia="宋体" w:cs="宋体"/>
                <w:b/>
                <w:color w:val="auto"/>
                <w:sz w:val="20"/>
                <w:highlight w:val="none"/>
                <w:lang w:val="en-US" w:eastAsia="zh-CN"/>
              </w:rPr>
              <w:t xml:space="preserve">2</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项目安全保障措施方案</w:t>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安全保障措施的全面性与针对性，评委依据投标文件中针对本项目的①安全风险分析措施（含场地安全管控）、②安全保障措施（含应急处置预案）的阐述内容进行综合评审打分。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4 分，上述两个评审要点各占 2 分。投标文件缺少任一评审要点内容的，扣 2 分；任一评审要点的需求分析内容存在缺陷或不足的（不符行业实际、政策要求、与项目实际存在偏差、表述过简、含无关内容、逻辑漏洞等），每处扣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4</w:t>
            </w:r>
            <w:r/>
          </w:p>
        </w:tc>
      </w:tr>
    </w:tbl>
    <w:p>
      <w:pPr>
        <w:ind w:firstLine="480"/>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注：1.上述投标文件中，证书或证明材料必须提供扫描件（加盖CA电子公章），如发现弄虚作假的，将按照本招标文件相关条款规定予以处理。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2.评委依据招标文件载明的方法评分，评分四舍五入精确到小数点后两位。</w:t>
      </w:r>
      <w:r/>
    </w:p>
    <w:p>
      <w:pPr>
        <w:contextualSpacing/>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zh-CN"/>
        </w:rPr>
        <w:t xml:space="preserve">价格标</w:t>
      </w:r>
      <w:r>
        <w:rPr>
          <w:rFonts w:hint="eastAsia" w:ascii="宋体" w:hAnsi="宋体" w:eastAsia="宋体" w:cs="宋体"/>
          <w:b/>
          <w:color w:val="auto"/>
          <w:sz w:val="24"/>
          <w:szCs w:val="24"/>
          <w:highlight w:val="none"/>
        </w:rPr>
        <w:t xml:space="preserve">评分：（30分）</w:t>
      </w:r>
      <w:r/>
    </w:p>
    <w:p>
      <w:pPr>
        <w:contextualSpacing/>
        <w:ind w:firstLine="482"/>
        <w:spacing w:line="360" w:lineRule="auto"/>
        <w:tabs>
          <w:tab w:val="left" w:pos="338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1.本次项目最高限价698万元；投标报价超过此最高限价为无效投标。</w:t>
      </w:r>
      <w:r/>
    </w:p>
    <w:p>
      <w:pPr>
        <w:contextualSpacing/>
        <w:ind w:firstLine="482"/>
        <w:spacing w:line="360" w:lineRule="auto"/>
        <w:tabs>
          <w:tab w:val="left" w:pos="338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2.满足招标文件要求且投标报价最低的报价为评标基准价，其价格标得分为满分30分。</w:t>
      </w:r>
      <w:r/>
    </w:p>
    <w:p>
      <w:pPr>
        <w:contextualSpacing/>
        <w:ind w:firstLine="482"/>
        <w:spacing w:line="360" w:lineRule="auto"/>
        <w:tabs>
          <w:tab w:val="left" w:pos="338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3.其他投标人的价格标得分按照下列公式计算（计算结果四舍五入保留两位小数）：</w:t>
      </w:r>
      <w:r/>
    </w:p>
    <w:p>
      <w:pPr>
        <w:contextualSpacing/>
        <w:ind w:firstLine="482"/>
        <w:spacing w:line="360" w:lineRule="auto"/>
        <w:tabs>
          <w:tab w:val="left" w:pos="3380"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价格标得分 =（评标基准价/投标报价）×30%×100。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w:t>
      </w:r>
      <w:r/>
    </w:p>
    <w:p>
      <w:pPr>
        <w:pStyle w:val="1368"/>
        <w:ind w:firstLine="480"/>
        <w:spacing w:before="0" w:beforeAutospacing="0" w:after="0" w:afterAutospacing="0" w:line="360" w:lineRule="auto"/>
        <w:rPr>
          <w:rFonts w:hint="default" w:eastAsia="宋体" w:cs="宋体"/>
          <w:b/>
          <w:bCs/>
          <w:color w:val="auto"/>
          <w:szCs w:val="24"/>
          <w:highlight w:val="none"/>
        </w:rPr>
      </w:pPr>
      <w:r>
        <w:rPr>
          <w:rFonts w:eastAsia="宋体" w:cs="宋体"/>
          <w:color w:val="auto"/>
          <w:szCs w:val="24"/>
          <w:highlight w:val="none"/>
        </w:rPr>
        <w:t xml:space="preserve">本项目采购标的对应的中小企业划分标准所属行业为</w:t>
      </w:r>
      <w:r>
        <w:rPr>
          <w:rFonts w:eastAsia="宋体" w:cs="宋体"/>
          <w:b/>
          <w:bCs/>
          <w:color w:val="auto"/>
          <w:szCs w:val="24"/>
          <w:highlight w:val="none"/>
          <w:u w:val="single"/>
        </w:rPr>
        <w:t xml:space="preserve">其他未列明行业</w:t>
      </w:r>
      <w:r>
        <w:rPr>
          <w:rFonts w:eastAsia="宋体" w:cs="宋体"/>
          <w:color w:val="auto"/>
          <w:szCs w:val="24"/>
          <w:highlight w:val="none"/>
        </w:rPr>
        <w:t xml:space="preserve">。</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（1）本项目对小型和微型企业产品给予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的扣除价格，用扣除后的价格参与评审。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（2）供应商需按照《政府采购促进中小企业发展管理办法》（财库﹝2020﹞46 号）的规定提供相应的《中小企业声明函》。</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57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6、联合体各方均为小型、微型企业（残疾人福利单位、监狱企业）的，联合体享受上述同类价格扣除，用扣除后的价格参与评审。</w:t>
      </w:r>
      <w:r/>
    </w:p>
    <w:p>
      <w:pPr>
        <w:ind w:firstLine="57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7、专门面向中小企业采购的项目或者采购包，不再执行价格评审优惠的扶持政策。</w:t>
      </w:r>
      <w:r/>
    </w:p>
    <w:p>
      <w:pPr>
        <w:ind w:firstLine="570"/>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注明：本项目执行价格评审优惠的扶持政策。</w:t>
      </w:r>
      <w:r/>
    </w:p>
    <w:p>
      <w:pPr>
        <w:numPr>
          <w:ilvl w:val="0"/>
          <w:numId w:val="6"/>
        </w:num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根据《江苏省政府采购信用管理暂行办法》的规定，供应商信用评价结果为三星的扣2分，评价结果为二星的扣3分，评价结果为一星的扣4分。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（四）中标人的确定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招标人委托评标委员会直接确定中标人。</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九、评标争议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评标时评委对评标的细则若有争议，由评标委员会评委集体讨论确定，并对未尽情况有最终解释权。</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十、落标原因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评标委员会不对落标的投标人做落标原因的解释。</w:t>
      </w:r>
      <w:bookmarkEnd w:id="9"/>
      <w:r/>
      <w:r/>
    </w:p>
    <w:p>
      <w:pPr>
        <w:ind w:firstLine="480"/>
        <w:jc w:val="left"/>
        <w:spacing w:line="360" w:lineRule="auto"/>
        <w:rPr>
          <w:rFonts w:ascii="宋体" w:hAnsi="宋体" w:eastAsia="宋体" w:cs="宋体"/>
          <w:color w:val="auto"/>
          <w:szCs w:val="21"/>
          <w:highlight w:val="none"/>
        </w:rPr>
        <w:sectPr>
          <w:headerReference w:type="default" r:id="rId12"/>
          <w:footnotePr/>
          <w:endnotePr/>
          <w:type w:val="nextPage"/>
          <w:pgSz w:w="11905" w:h="16838" w:orient="portrait"/>
          <w:pgMar w:top="1440" w:right="1519" w:bottom="1440" w:left="1519" w:header="850" w:footer="992" w:gutter="0"/>
          <w:cols w:num="1" w:sep="0" w:space="1701" w:equalWidth="1"/>
          <w:docGrid w:linePitch="360"/>
        </w:sectPr>
      </w:pPr>
      <w:r>
        <w:rPr>
          <w:rFonts w:ascii="宋体" w:hAnsi="宋体" w:eastAsia="宋体" w:cs="宋体"/>
          <w:color w:val="auto"/>
          <w:szCs w:val="21"/>
          <w:highlight w:val="none"/>
        </w:rPr>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bookmarkStart w:id="12" w:name="_Toc363573857"/>
      <w:r/>
      <w:bookmarkStart w:id="13" w:name="_Toc363573859"/>
      <w:r>
        <w:rPr>
          <w:rFonts w:hint="eastAsia" w:ascii="宋体" w:hAnsi="宋体" w:eastAsia="宋体" w:cs="宋体"/>
          <w:b/>
          <w:color w:val="auto"/>
          <w:sz w:val="36"/>
          <w:szCs w:val="36"/>
          <w:highlight w:val="none"/>
        </w:rPr>
        <w:t xml:space="preserve">第五章 合同主要条款</w:t>
      </w:r>
      <w:bookmarkEnd w:id="12"/>
      <w:r/>
      <w:r/>
    </w:p>
    <w:p>
      <w:pPr>
        <w:ind w:firstLine="42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bl>
      <w:tblPr>
        <w:tblStyle w:val="79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040"/>
        <w:gridCol w:w="5040"/>
      </w:tblGrid>
      <w:tr>
        <w:trPr/>
        <w:tc>
          <w:tcPr>
            <w:tcW w:w="5040" w:type="dxa"/>
            <w:textDirection w:val="lrTb"/>
            <w:noWrap/>
          </w:tcPr>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甲方（买方）：</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统一社会信用代码：</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法定代表人：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地址：</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联系电话：</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电子邮箱：</w:t>
            </w:r>
            <w:r/>
          </w:p>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5040" w:type="dxa"/>
            <w:textDirection w:val="lrTb"/>
            <w:noWrap/>
          </w:tcPr>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地址：</w:t>
            </w:r>
            <w:r/>
          </w:p>
        </w:tc>
      </w:tr>
      <w:tr>
        <w:trPr/>
        <w:tc>
          <w:tcPr>
            <w:tcW w:w="5040" w:type="dxa"/>
            <w:textDirection w:val="lrTb"/>
            <w:noWrap/>
          </w:tcPr>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乙方（卖方）：</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统一社会信用代码：</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法定代表人：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地址：</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联系电话：</w:t>
            </w:r>
            <w:r/>
          </w:p>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电子邮箱：</w:t>
            </w:r>
            <w:r/>
          </w:p>
        </w:tc>
        <w:tc>
          <w:tcPr>
            <w:tcW w:w="5040" w:type="dxa"/>
            <w:textDirection w:val="lrTb"/>
            <w:noWrap/>
          </w:tcPr>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地址：</w:t>
            </w:r>
            <w:bookmarkStart w:id="14" w:name="auto_fouce_1"/>
            <w:r/>
            <w:bookmarkEnd w:id="14"/>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r>
            <w:r/>
          </w:p>
        </w:tc>
      </w:tr>
      <w:tr>
        <w:trPr/>
        <w:tc>
          <w:tcPr>
            <w:tcW w:w="5040" w:type="dxa"/>
            <w:textDirection w:val="lrTb"/>
            <w:noWrap/>
          </w:tcPr>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签订时间：</w:t>
            </w:r>
            <w:r/>
          </w:p>
        </w:tc>
        <w:tc>
          <w:tcPr>
            <w:tcW w:w="5040" w:type="dxa"/>
            <w:textDirection w:val="lrTb"/>
            <w:noWrap/>
          </w:tcPr>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签订地点：</w:t>
            </w:r>
            <w:r/>
          </w:p>
        </w:tc>
      </w:tr>
    </w:tbl>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根据采购编号政府采购文件及中标单位的投标文件和中标通知书，甲乙双方就甲方聘用乙方从事</w:t>
      </w:r>
      <w:r>
        <w:rPr>
          <w:rFonts w:hint="eastAsia" w:ascii="宋体" w:hAnsi="宋体" w:eastAsia="宋体" w:cs="宋体"/>
          <w:color w:val="auto"/>
          <w:sz w:val="24"/>
          <w:szCs w:val="24"/>
          <w:highlight w:val="none"/>
          <w:u w:val="single"/>
        </w:rPr>
        <w:t xml:space="preserve">项目采购包</w:t>
      </w:r>
      <w:r>
        <w:rPr>
          <w:rFonts w:hint="eastAsia" w:ascii="宋体" w:hAnsi="宋体" w:eastAsia="宋体" w:cs="宋体"/>
          <w:color w:val="auto"/>
          <w:sz w:val="24"/>
          <w:szCs w:val="24"/>
          <w:highlight w:val="none"/>
        </w:rPr>
        <w:t xml:space="preserve">工作，签订本合同书。</w:t>
      </w:r>
      <w:r/>
    </w:p>
    <w:p>
      <w:pPr>
        <w:ind w:firstLine="422"/>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服务是指根据合同规定乙方应承担等工作和合同中规定乙方应承担的其它义务。</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合同价款是指根据中标单位的响应文件和合同规定，乙方在正确地履行合同义务后甲方应支付给乙方的价款。</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widowControl/>
        <w:tabs>
          <w:tab w:val="left" w:pos="567"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二、合同价格：</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15" w:name="tip_risk_bookmark_2"/>
      <w:r>
        <w:rPr>
          <w:rFonts w:hint="eastAsia" w:ascii="宋体" w:hAnsi="宋体" w:eastAsia="宋体" w:cs="宋体"/>
          <w:color w:val="auto"/>
          <w:sz w:val="24"/>
          <w:szCs w:val="24"/>
          <w:highlight w:val="none"/>
        </w:rPr>
        <w:t xml:space="preserve">合同总价为：</w:t>
      </w:r>
      <w:r>
        <w:rPr>
          <w:rFonts w:hint="eastAsia" w:ascii="宋体" w:hAnsi="宋体" w:eastAsia="宋体" w:cs="宋体"/>
          <w:color w:val="auto"/>
          <w:sz w:val="24"/>
          <w:szCs w:val="24"/>
          <w:highlight w:val="none"/>
          <w:u w:val="single"/>
        </w:rPr>
        <w:t xml:space="preserve"> （大写）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（小写）  </w:t>
      </w:r>
      <w:r>
        <w:rPr>
          <w:rFonts w:hint="eastAsia" w:ascii="宋体" w:hAnsi="宋体" w:eastAsia="宋体" w:cs="宋体"/>
          <w:color w:val="auto"/>
          <w:sz w:val="24"/>
          <w:szCs w:val="24"/>
          <w:highlight w:val="none"/>
        </w:rPr>
        <w:t xml:space="preserve">元。合同价格包含完成本项目全部服务内容所需的人工费、工程措施费、文明施工费、材料费、现场采样费、样品检测分析费、评估报告编制费、管控或修复技术方案设计费、专家评审费、差旅食宿费、文印费、资料费、通讯、工器具、设备、加班费、管理费、保险、劳保、专利技术等全部费用以及投标单位企业利润、税金和政策性文件规定及合同包含的所有风险、责任等各项应有费用。同时，除非合同条款中另有规定，否则，在合同实施期间不因市场变化因素而变动，未经甲方书面确认，甲方不再另行支付其他任何费用。</w:t>
      </w:r>
      <w:bookmarkEnd w:id="15"/>
      <w:r/>
      <w:r/>
    </w:p>
    <w:p>
      <w:pPr>
        <w:ind w:firstLine="42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1.2根据现行税法对甲方征收的与本合同有关的一切税费均由甲方承担；根据现行税法对乙方征收的与本合同有关的一切税费均由乙方承担。</w:t>
      </w:r>
      <w:r/>
    </w:p>
    <w:p>
      <w:pPr>
        <w:pStyle w:val="1032"/>
        <w:ind w:firstLine="422"/>
        <w:rPr>
          <w:b/>
          <w:color w:val="auto"/>
          <w:highlight w:val="none"/>
        </w:rPr>
      </w:pPr>
      <w:r>
        <w:rPr>
          <w:rFonts w:hint="eastAsia"/>
          <w:b/>
          <w:color w:val="auto"/>
          <w:highlight w:val="none"/>
        </w:rPr>
        <w:t xml:space="preserve">三、服务内容及期限：</w:t>
      </w:r>
      <w:r/>
    </w:p>
    <w:p>
      <w:pPr>
        <w:pStyle w:val="1032"/>
        <w:ind w:firstLine="420"/>
        <w:rPr>
          <w:color w:val="auto"/>
          <w:highlight w:val="none"/>
        </w:rPr>
      </w:pPr>
      <w:r>
        <w:rPr>
          <w:rFonts w:hint="eastAsia"/>
          <w:color w:val="auto"/>
          <w:highlight w:val="none"/>
        </w:rPr>
        <w:t xml:space="preserve">3.1</w:t>
      </w:r>
      <w:bookmarkStart w:id="16" w:name="tip_risk_bookmark_3"/>
      <w:r>
        <w:rPr>
          <w:rFonts w:hint="eastAsia"/>
          <w:color w:val="auto"/>
          <w:highlight w:val="none"/>
        </w:rPr>
        <w:t xml:space="preserve">服务内容：</w:t>
      </w:r>
      <w:r>
        <w:rPr>
          <w:rFonts w:hint="eastAsia"/>
          <w:b/>
          <w:bCs/>
          <w:color w:val="auto"/>
          <w:highlight w:val="none"/>
        </w:rPr>
        <w:t xml:space="preserve">（根据项目需求内容制定）</w:t>
      </w:r>
      <w:bookmarkEnd w:id="16"/>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bookmarkStart w:id="17" w:name="tip_risk_bookmark_4"/>
      <w:r>
        <w:rPr>
          <w:rFonts w:hint="eastAsia" w:ascii="宋体" w:hAnsi="宋体" w:eastAsia="宋体" w:cs="宋体"/>
          <w:color w:val="auto"/>
          <w:sz w:val="24"/>
          <w:szCs w:val="24"/>
          <w:highlight w:val="none"/>
        </w:rPr>
        <w:t xml:space="preserve">服务期限：自本项目启动之日起，至效果评估通过生态环境主管部门组织或参与的专家评审（其中启动日期以委托人要求为准，管控工期为180 日历天），须完成场地围挡、TRD 工法阻隔墙施工、微生物衰减作业等全部管控范围内工作内容）。</w:t>
      </w:r>
      <w:bookmarkEnd w:id="17"/>
      <w:r/>
      <w:r/>
    </w:p>
    <w:p>
      <w:pPr>
        <w:ind w:firstLine="42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3.3服务地点：采购人指定。</w:t>
      </w:r>
      <w:r/>
    </w:p>
    <w:p>
      <w:pPr>
        <w:ind w:firstLine="422"/>
        <w:spacing w:line="360" w:lineRule="auto"/>
        <w:widowControl/>
        <w:tabs>
          <w:tab w:val="left" w:pos="567"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四、合同价格支付及履约保证金：</w:t>
      </w:r>
      <w:r/>
    </w:p>
    <w:p>
      <w:pPr>
        <w:pStyle w:val="987"/>
        <w:ind w:firstLine="562"/>
        <w:jc w:val="both"/>
        <w:spacing w:line="460" w:lineRule="exact"/>
        <w:rPr>
          <w:rFonts w:ascii="宋体" w:hAnsi="宋体" w:eastAsia="宋体" w:cs="宋体"/>
          <w:color w:val="auto"/>
          <w:highlight w:val="none"/>
        </w:rPr>
      </w:pPr>
      <w:r>
        <w:rPr>
          <w:rFonts w:hint="eastAsia" w:ascii="宋体" w:hAnsi="宋体" w:eastAsia="宋体" w:cs="宋体"/>
          <w:color w:val="auto"/>
          <w:highlight w:val="none"/>
        </w:rPr>
        <w:t xml:space="preserve">4.1</w:t>
      </w:r>
      <w:bookmarkStart w:id="18" w:name="tip_risk_bookmark_5"/>
      <w:r>
        <w:rPr>
          <w:rFonts w:hint="eastAsia" w:ascii="宋体" w:hAnsi="宋体" w:eastAsia="宋体" w:cs="宋体"/>
          <w:color w:val="auto"/>
          <w:highlight w:val="none"/>
        </w:rPr>
        <w:t xml:space="preserve">项目付款方式：本管控工程（180日历天）施工结束，乙方递交完整的施工资料并经</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确认后，支付合同总价的50%；项目完成效果评估且评估报告通过生态环境主管部门组织或参与的专家评审，支付合同总价的20%；效果评估通过专家评审且</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委托审计单位审计完成后付至审计价的95%，余款在项目审计完成后的12个月内付清。</w:t>
      </w:r>
      <w:bookmarkEnd w:id="18"/>
      <w:r/>
      <w:r/>
    </w:p>
    <w:p>
      <w:pPr>
        <w:ind w:firstLine="56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注：若最终审定价高于合同价，超出部分</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不予支付。</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rPr>
        <w:t xml:space="preserve">应充分考量该部分成本风险。</w:t>
      </w:r>
      <w:r/>
    </w:p>
    <w:p>
      <w:pPr>
        <w:ind w:firstLine="48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4.2支付方式：以甲方确认的为准。</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4.3履约保证金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9" w:name="tip_risk_bookmark_6"/>
      <w:r>
        <w:rPr>
          <w:rFonts w:hint="eastAsia" w:ascii="宋体" w:hAnsi="宋体" w:eastAsia="宋体" w:cs="宋体"/>
          <w:color w:val="auto"/>
          <w:sz w:val="24"/>
          <w:szCs w:val="24"/>
          <w:highlight w:val="none"/>
        </w:rPr>
        <w:t xml:space="preserve">本项目中标后的履约保证金为</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color w:val="auto"/>
          <w:sz w:val="24"/>
          <w:szCs w:val="24"/>
          <w:highlight w:val="none"/>
        </w:rPr>
        <w:t xml:space="preserve">，乙方可以选择以支票、汇票、本票、保单、保函等非现金形式缴纳。</w:t>
      </w:r>
      <w:bookmarkEnd w:id="1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2.中标人须凭“中标通知书”和“履约保证金”缴纳凭证，30日内与甲方签订合同。超期或未有协商，则视为自动放弃中标资格。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3.服务期满并按规定时间、规定要求完成交接后甲方将返还该履约保证金。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4.发生以下情况的，履约保证金不予退还或部分退还：</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（1）签订合同后，乙方不履行合同义务的，甲方有权全额扣除履约保证金，全额不予退还，同时甲方亦有权终止合同，乙方还须承担相应的法律赔偿责任。</w:t>
      </w:r>
      <w:r/>
    </w:p>
    <w:p>
      <w:pPr>
        <w:contextualSpacing/>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（2）乙方在履约过程中发生违约行为，给甲方造成损失的，甲方有权在中标人缴纳的履约保证金中予以扣款，以弥补甲方经济损失，不足的部分乙方另外补齐。</w:t>
      </w:r>
      <w:r/>
    </w:p>
    <w:p>
      <w:pPr>
        <w:ind w:firstLine="422"/>
        <w:jc w:val="left"/>
        <w:spacing w:line="360" w:lineRule="auto"/>
        <w:widowControl/>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五、权利与义务：</w:t>
      </w:r>
      <w:r/>
    </w:p>
    <w:p>
      <w:pPr>
        <w:ind w:firstLine="420"/>
        <w:spacing w:line="360" w:lineRule="auto"/>
        <w:widowControl/>
        <w:tabs>
          <w:tab w:val="left" w:pos="567"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zh-CN"/>
        </w:rPr>
        <w:t xml:space="preserve">乙方须按照</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val="zh-CN"/>
        </w:rPr>
        <w:t xml:space="preserve">要求实施项目，履行承诺，保证质量。</w:t>
      </w:r>
      <w:r/>
    </w:p>
    <w:p>
      <w:pPr>
        <w:ind w:firstLine="42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本合同约定方式拨付乙方项目经费，乙方须向甲方提供正规收款票据。</w:t>
      </w:r>
      <w:r/>
    </w:p>
    <w:p>
      <w:pPr>
        <w:ind w:firstLine="420"/>
        <w:spacing w:line="360" w:lineRule="auto"/>
        <w:widowControl/>
        <w:tabs>
          <w:tab w:val="left" w:pos="567"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lang w:val="zh-CN"/>
        </w:rPr>
        <w:t xml:space="preserve">乙方在项目实施周期内接受甲方委托的第三方监管和评估，并向第三方提交监管和评估所需的所有项目信息和资料。</w:t>
      </w:r>
      <w:r/>
    </w:p>
    <w:p>
      <w:pPr>
        <w:ind w:firstLine="420"/>
        <w:spacing w:line="360" w:lineRule="auto"/>
        <w:widowControl/>
        <w:tabs>
          <w:tab w:val="left" w:pos="567"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5.4</w:t>
      </w:r>
      <w:r>
        <w:rPr>
          <w:rFonts w:hint="eastAsia" w:ascii="宋体" w:hAnsi="宋体" w:eastAsia="宋体" w:cs="宋体"/>
          <w:color w:val="auto"/>
          <w:sz w:val="24"/>
          <w:szCs w:val="24"/>
          <w:highlight w:val="none"/>
          <w:lang w:val="zh-CN"/>
        </w:rPr>
        <w:t xml:space="preserve">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bookmarkStart w:id="20" w:name="auto_fouce_7"/>
      <w:r/>
      <w:r/>
    </w:p>
    <w:p>
      <w:pPr>
        <w:ind w:firstLine="420"/>
        <w:spacing w:line="360" w:lineRule="auto"/>
        <w:widowControl/>
        <w:tabs>
          <w:tab w:val="left" w:pos="567"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本项目实施过程中产生的所有服务成果（包括但不限于评估报告、技术方案、数据文件、图纸等）的知识产权及相关权益均归甲方所有。未经甲方事先书面同意，乙方不得将其用于本项目之外的任何用途。</w:t>
      </w:r>
      <w:bookmarkEnd w:id="20"/>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六、验收标准：</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zh-CN"/>
        </w:rPr>
        <w:t xml:space="preserve">根据招标文件、中标单位的投标文件、双方签订的合同文件及其附件、国家的相关规定</w:t>
      </w:r>
      <w:r>
        <w:rPr>
          <w:rFonts w:hint="eastAsia" w:ascii="宋体" w:hAnsi="宋体" w:eastAsia="宋体" w:cs="宋体"/>
          <w:color w:val="auto"/>
          <w:sz w:val="24"/>
          <w:szCs w:val="24"/>
          <w:highlight w:val="none"/>
        </w:rPr>
        <w:t xml:space="preserve">等确定</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6.2技术依据：为保证本项目实施的科学性、规范性和准确性，技术操作、服务需要严格遵照国家有关法律、法规、规章制度以及国家和行业颁布的相关技术标准和规范。</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七、违约责任：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7.1甲方违约责任</w:t>
      </w:r>
      <w:r/>
    </w:p>
    <w:p>
      <w:pPr>
        <w:ind w:firstLine="420"/>
        <w:jc w:val="left"/>
        <w:spacing w:line="360" w:lineRule="auto"/>
        <w:widowControl/>
        <w:rPr>
          <w:rFonts w:ascii="宋体" w:hAnsi="宋体" w:eastAsia="宋体" w:cs="宋体"/>
          <w:color w:val="auto"/>
          <w:sz w:val="24"/>
          <w:szCs w:val="24"/>
          <w:highlight w:val="none"/>
        </w:rPr>
      </w:pPr>
      <w:r/>
      <w:bookmarkStart w:id="21" w:name="auto_fouce_8"/>
      <w:r>
        <w:rPr>
          <w:rFonts w:hint="eastAsia" w:ascii="宋体" w:hAnsi="宋体" w:eastAsia="宋体" w:cs="宋体"/>
          <w:color w:val="auto"/>
          <w:sz w:val="24"/>
          <w:szCs w:val="24"/>
          <w:highlight w:val="none"/>
        </w:rPr>
        <w:t xml:space="preserve">如因甲方原因，造成乙方未完成规定管理目标或直接造成乙方经济损失的，甲方应给予乙方相应补偿；乙方有权要求甲方限期整改，</w:t>
      </w:r>
      <w:r>
        <w:rPr>
          <w:rFonts w:hint="eastAsia" w:ascii="宋体" w:hAnsi="宋体" w:eastAsia="宋体" w:cs="宋体"/>
          <w:color w:val="auto"/>
          <w:sz w:val="24"/>
          <w:szCs w:val="24"/>
          <w:highlight w:val="none"/>
          <w:lang w:eastAsia="zh-CN"/>
        </w:rPr>
        <w:t xml:space="preserve">如因甲方原因导致合同目的根本无法实现的，乙方</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解除</w:t>
      </w:r>
      <w:r>
        <w:rPr>
          <w:rFonts w:hint="eastAsia" w:ascii="宋体" w:hAnsi="宋体" w:eastAsia="宋体" w:cs="宋体"/>
          <w:color w:val="auto"/>
          <w:sz w:val="24"/>
          <w:szCs w:val="24"/>
          <w:highlight w:val="none"/>
        </w:rPr>
        <w:t xml:space="preserve">协议。</w:t>
      </w:r>
      <w:bookmarkEnd w:id="21"/>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7.2乙方违约责任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2" w:name="tip_risk_bookmark_9"/>
      <w:r>
        <w:rPr>
          <w:rFonts w:ascii="宋体" w:hAnsi="宋体" w:eastAsia="宋体" w:cs="宋体"/>
          <w:color w:val="auto"/>
          <w:sz w:val="24"/>
          <w:szCs w:val="24"/>
          <w:highlight w:val="none"/>
        </w:rPr>
        <w:t xml:space="preserve">因乙方原因导致合同无法正常履行，或乙方履约能力显著不足的</w:t>
      </w:r>
      <w:r>
        <w:rPr>
          <w:rFonts w:hint="eastAsia" w:ascii="宋体" w:hAnsi="宋体" w:eastAsia="宋体" w:cs="宋体"/>
          <w:color w:val="auto"/>
          <w:sz w:val="24"/>
          <w:szCs w:val="24"/>
          <w:highlight w:val="none"/>
        </w:rPr>
        <w:t xml:space="preserve">，甲方有权解除合同，同时乙方向甲方偿付合同金额10%的违约金，违约金不足以补偿损失的甲方有权要求乙方补足。</w:t>
      </w:r>
      <w:bookmarkEnd w:id="22"/>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（2）乙方应制定相关的应急与安全保障措施，在服务过程中如发生安全等相关事件，责任由乙方承担。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3" w:name="tip_risk_bookmark_10"/>
      <w:r>
        <w:rPr>
          <w:rFonts w:hint="eastAsia" w:ascii="宋体" w:hAnsi="宋体" w:eastAsia="宋体" w:cs="宋体"/>
          <w:color w:val="auto"/>
          <w:sz w:val="24"/>
          <w:szCs w:val="24"/>
          <w:highlight w:val="none"/>
        </w:rPr>
        <w:t xml:space="preserve">乙方应按照甲方要求如期完成服务内容，如因乙方自身原因迟延提供的，每逾期一天，应按照该总合同委托费用的万分之二支付违约金，逾期超过90日的，甲方有权另行委托其他第三方完成，由此造成的损失概由乙方自行承担，相关费用甲方不予结算。</w:t>
      </w:r>
      <w:bookmarkEnd w:id="23"/>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bookmarkStart w:id="24" w:name="tip_risk_bookmark_11"/>
      <w:r>
        <w:rPr>
          <w:rFonts w:hint="eastAsia" w:ascii="宋体" w:hAnsi="宋体" w:eastAsia="宋体" w:cs="宋体"/>
          <w:bCs/>
          <w:color w:val="auto"/>
          <w:sz w:val="24"/>
          <w:szCs w:val="24"/>
          <w:highlight w:val="none"/>
        </w:rPr>
        <w:t xml:space="preserve">项目负责人及管理人员违约乙方中标后或服务期间不得随意变更中标项目负责人及核心服务团队成员。确需更换的，应当经甲方书面同意。服务期间项目负责人保证每月出勤不少于 22 天，且每天在现场不少于 8 小时；有事必须向甲方书面请假，经甲方书面同意后方可离开。每发现一次违反上述规定，乙方向甲方支付违约金 2000 元。</w:t>
      </w:r>
      <w:bookmarkEnd w:id="24"/>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bookmarkStart w:id="25" w:name="tip_risk_bookmark_12"/>
      <w:r>
        <w:rPr>
          <w:rFonts w:hint="eastAsia" w:ascii="宋体" w:hAnsi="宋体" w:eastAsia="宋体" w:cs="宋体"/>
          <w:bCs/>
          <w:color w:val="auto"/>
          <w:sz w:val="24"/>
          <w:szCs w:val="24"/>
          <w:highlight w:val="none"/>
        </w:rPr>
        <w:t xml:space="preserve">乙方出现严重安全、质量事故，按每起20000元至100000元支付违约金。</w:t>
      </w:r>
      <w:bookmarkEnd w:id="25"/>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bookmarkStart w:id="26" w:name="tip_risk_bookmark_13"/>
      <w:r>
        <w:rPr>
          <w:rFonts w:hint="eastAsia" w:ascii="宋体" w:hAnsi="宋体" w:eastAsia="宋体" w:cs="宋体"/>
          <w:bCs/>
          <w:color w:val="auto"/>
          <w:sz w:val="24"/>
          <w:szCs w:val="24"/>
          <w:highlight w:val="none"/>
        </w:rPr>
        <w:t xml:space="preserve">媒体曝光或主管部门通报批评在项目实施过程中，因乙方原因出现质量问题、安全事故或其他违规问题，被报纸、电视等媒体曝光或被政府有关主管部门通报批评，给项目及甲方形象造成负面影响的，每次由乙方向甲方支付违约金 50000 元。</w:t>
      </w:r>
      <w:bookmarkEnd w:id="26"/>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bookmarkStart w:id="27" w:name="tip_risk_bookmark_14"/>
      <w:r>
        <w:rPr>
          <w:rFonts w:hint="eastAsia" w:ascii="宋体" w:hAnsi="宋体" w:eastAsia="宋体" w:cs="宋体"/>
          <w:bCs/>
          <w:color w:val="auto"/>
          <w:sz w:val="24"/>
          <w:szCs w:val="24"/>
          <w:highlight w:val="none"/>
        </w:rPr>
        <w:t xml:space="preserve">安全文明作业不合格乙方必须确保现场安全文明作业符合管理要求，如因乙方原因导致现场在市、区级检查中被评为不合格的，按每起 10000 元支付违约金。</w:t>
      </w:r>
      <w:bookmarkEnd w:id="27"/>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（8）服务结束清场不及时乙方在项目验收通过后 7 日内，须拆除现场临时设施、清运所有机械设备、材料及建筑垃圾，清理标准须经甲方认可。逾期未完成所产生的相关费用，甲方有权在工程结算价款中双倍扣除。</w:t>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（9）若因乙方原因造成服务成果存在严重质量事故，甲方有权解除合同并要求乙方退场，履约保证金不予退还，乙方还应承担赔偿甲方损失的责任。</w:t>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服务质量不达标乙方必须达到合同约定的服务与质量标准，达不到标准的，须无偿负责返工、修正、重做；经返工、修正后仍不能消除缺陷、不能达到约定标准的，甲方有权解除合同，并减少或拒绝支付相应款项；造成甲方经济损失的，由乙方承担。</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八、合同的生效及其他：</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8.1合同生效</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甲乙双方法定代表人或授权代表签字并加盖公章后生效，生效后经政府采购监管部门备案。</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8.2其他 </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在执行过程中出现的未尽事宜，双方在不违背本合同和招标文件的原则下协商解决，协商结果以书面形式盖章记录在案，作为本合同的附件，与本合同具有同等效力，但需向政府采购管理处和招标代理机构备存。</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（2）合同附件：本合同附件、招标文件、乙方的投标文件和乙方在开标过程中所作的承诺以及中标通知书均作本合同的组成部分，与本合同具有同等的法律效力。</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（3）合同份数：本合同一式伍份，甲乙双方各执两份，采购代理机构一份。</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九、合同的解除和转让：</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9.1甲方和乙方协商一致，可以解除合同。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9.2有下列情形之一，合同一方可以解除合同：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9.3有权解除合同的一方，应当在违约事实或不可抗力发生之后三十天内书面通知对方提出解除合同，合同在书面通知到达对方时解除。</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bookmarkStart w:id="28" w:name="tip_risk_bookmark_15"/>
      <w:r>
        <w:rPr>
          <w:rFonts w:hint="eastAsia" w:ascii="宋体" w:hAnsi="宋体" w:eastAsia="宋体" w:cs="宋体"/>
          <w:color w:val="auto"/>
          <w:sz w:val="24"/>
          <w:szCs w:val="24"/>
          <w:highlight w:val="none"/>
        </w:rPr>
        <w:t xml:space="preserve">合同不得转让。违反此约定的，甲方有权立即终止本合同，同时乙方按照合同总金额的20%承担相应违约金责任，违约金不足以补偿损失的，甲方有权要求乙方补足，包括但不限于调查费用、公证费用、诉讼费、律师费等费用。</w:t>
      </w:r>
      <w:bookmarkEnd w:id="28"/>
      <w:r/>
      <w:r/>
    </w:p>
    <w:p>
      <w:pPr>
        <w:ind w:firstLine="422"/>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十、不可抗力：</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10.1因不可抗力不能履行合同的，根据不可抗力的影响，部分或者全部免除责任。但合同一方延迟履行后发生不可抗力的，不能免除责任。</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10.2合同一方因不可抗力不能履行合同的，应当及时通知对方，以减轻可能给对方造成的损失，并应当在合理期限内提供证明。</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十一、争议处理：</w:t>
      </w:r>
      <w:r/>
    </w:p>
    <w:p>
      <w:pPr>
        <w:ind w:firstLine="42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双方因履行本协议产生纠纷的，应友好协商解决。协商不成的，任何一方均有权向甲方所在地有管辖权的人民法院提起诉讼。</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十二、未尽事宜：</w:t>
      </w:r>
      <w:r/>
    </w:p>
    <w:p>
      <w:pPr>
        <w:pStyle w:val="1032"/>
        <w:ind w:firstLine="420"/>
        <w:rPr>
          <w:bCs/>
          <w:color w:val="auto"/>
          <w:highlight w:val="none"/>
        </w:rPr>
      </w:pPr>
      <w:r>
        <w:rPr>
          <w:rFonts w:hint="eastAsia"/>
          <w:bCs/>
          <w:color w:val="auto"/>
          <w:highlight w:val="none"/>
        </w:rPr>
        <w:t xml:space="preserve">未尽事宜应按照《中华人民共和国民法典》、《中华人民共和国政府采购法》等相关法律法规之规定解释。</w:t>
      </w:r>
      <w:r/>
    </w:p>
    <w:tbl>
      <w:tblPr>
        <w:tblStyle w:val="793"/>
        <w:tblpPr w:horzAnchor="page" w:tblpX="1257" w:vertAnchor="text" w:tblpY="466" w:leftFromText="180" w:topFromText="0" w:rightFromText="180" w:bottomFromText="0"/>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93"/>
        <w:gridCol w:w="4678"/>
      </w:tblGrid>
      <w:tr>
        <w:trPr>
          <w:trHeight w:val="4412"/>
        </w:trPr>
        <w:tc>
          <w:tcPr>
            <w:tcW w:w="4993" w:type="dxa"/>
            <w:vAlign w:val="center"/>
            <w:textDirection w:val="lrTb"/>
            <w:noWrap/>
          </w:tcPr>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甲方（盖章）：</w:t>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经办人：</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签署日期：</w:t>
            </w:r>
            <w:r/>
          </w:p>
        </w:tc>
        <w:tc>
          <w:tcPr>
            <w:tcW w:w="4678" w:type="dxa"/>
            <w:vAlign w:val="center"/>
            <w:textDirection w:val="lrTb"/>
            <w:noWrap/>
          </w:tcPr>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乙方（盖章）：</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经办人：</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签署日期：</w:t>
            </w:r>
            <w:r/>
          </w:p>
        </w:tc>
      </w:tr>
    </w:tbl>
    <w:p>
      <w:pP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before="480" w:after="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p>
    <w:p>
      <w:pPr>
        <w:jc w:val="center"/>
        <w:spacing w:before="480" w:after="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安全协议</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障（以下简称“本项目”）施工安全，明确甲乙双方安全责任，依据《中华人民共和国安全生产法》《土壤污染防治法》《建设工程安全生产管理条例》等相关法律法规及项目合同约定，甲乙双方本着平等自愿、协商一致的原则，签订本安全协议，作为项目合同的附件，与主合同具有同等法律效力。</w:t>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一、协议适用范围</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本协议适用于本项目范围内所有施工活动。</w:t>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二、甲方安全责任</w:t>
      </w:r>
      <w:r/>
    </w:p>
    <w:p>
      <w:pPr>
        <w:ind w:firstLine="482"/>
        <w:jc w:val="left"/>
        <w:spacing w:line="300" w:lineRule="auto"/>
        <w:rPr>
          <w:rFonts w:hint="eastAsia" w:ascii="宋体" w:hAnsi="宋体" w:eastAsia="宋体" w:cs="宋体"/>
          <w:color w:val="auto"/>
          <w:sz w:val="24"/>
          <w:szCs w:val="24"/>
          <w:highlight w:val="none"/>
          <w:lang w:eastAsia="zh-CN"/>
        </w:rPr>
      </w:pPr>
      <w:r/>
      <w:bookmarkStart w:id="29" w:name="auto_fouce_16"/>
      <w:r>
        <w:rPr>
          <w:rFonts w:hint="eastAsia" w:ascii="宋体" w:hAnsi="宋体" w:eastAsia="宋体" w:cs="宋体"/>
          <w:color w:val="auto"/>
          <w:sz w:val="24"/>
          <w:szCs w:val="24"/>
          <w:highlight w:val="none"/>
        </w:rPr>
        <w:t xml:space="preserve">向乙方提供项目地块详细的污染状况资料（包括土壤/地下水污染物种类、超标范围、风险点位等）、周边环境敏感点（居民区域、农田等）分布信息及相关安全警示资料，明确施工安全风险点。</w:t>
      </w:r>
      <w:r>
        <w:rPr>
          <w:rFonts w:hint="eastAsia" w:ascii="宋体" w:hAnsi="宋体" w:eastAsia="宋体" w:cs="宋体"/>
          <w:color w:val="auto"/>
          <w:sz w:val="24"/>
          <w:szCs w:val="24"/>
          <w:highlight w:val="none"/>
          <w:lang w:eastAsia="zh-CN"/>
        </w:rPr>
        <w:t xml:space="preserve">甲方提供的上述资料仅供参考，乙方作为专业服务提供方，应在施工前自行进行现场踏勘和核实。因乙方未尽核实义务或操作不当导致的安全事故，由乙方承担全部责任。</w:t>
      </w:r>
      <w:bookmarkEnd w:id="29"/>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三、乙方安全责任</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0" w:name="auto_fouce_17"/>
      <w:r>
        <w:rPr>
          <w:rFonts w:hint="eastAsia" w:ascii="宋体" w:hAnsi="宋体" w:eastAsia="宋体" w:cs="宋体"/>
          <w:color w:val="auto"/>
          <w:sz w:val="24"/>
          <w:szCs w:val="24"/>
          <w:highlight w:val="none"/>
        </w:rPr>
        <w:t xml:space="preserve">严格遵守国家、地方相关安全生产法律法规及甲方安全管理要求，建立健全本单位安全管理体系，配备专职安全管理人员，明确各级人员安全职责。</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.施工前编制专项施工安全方案，包括但不限于TRD工法施工安全措施、微生物菌剂使用安全措施、防污染扩散安全措施、应急救援预案等，经甲方审核同意后方可实施。</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.对施工人员进行全面的安全培训，包括地块污染风险告知、安全操作规程、应急处置流程等，考核合格后方可上岗；特种作业人员必须持证上岗。</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.按照规定为施工人员配备合格的个人防护用品（如防毒口罩、防化服、防护手套、安全帽、安全鞋等），并监督施工人员正确佩戴和使用。</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.在施工现场设置明显的安全警示标志（如禁止入内、有毒有害、注意防护等），划分危险作业区域并设置围挡，严禁无关人员进入施工现场。</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.严格按照施工安全方案及技术规范施工，加强施工过程安全管控，重点防范污染扩散、设备故障、人员中毒、高处坠落、触电等安全风险；发现安全隐患立即停工整改，整改合格后方可恢复施工。</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.规范管理施工过程中产生的废料、废液等，严格按照环保及安全要求处置，防止二次污染及安全事故。</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.定期开展施工现场安全自查，建立安全台账，记录安全培训、隐患排查整改、安全巡查等情况，接受甲方及相关监管部门的检查。</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.发生安全事故时，立即启动应急救援预案，组织人员抢救，采取有效措施防止事故扩大，并第一时间向甲方及相关部门报告；配合甲方及相关部门做好事故调查处理工作。</w:t>
      </w:r>
      <w:bookmarkEnd w:id="30"/>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四、安全专项要求</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bookmarkStart w:id="31" w:name="auto_fouce_18"/>
      <w:r>
        <w:rPr>
          <w:rFonts w:hint="eastAsia" w:ascii="宋体" w:hAnsi="宋体" w:eastAsia="宋体" w:cs="宋体"/>
          <w:color w:val="auto"/>
          <w:sz w:val="24"/>
          <w:szCs w:val="24"/>
          <w:highlight w:val="none"/>
        </w:rPr>
        <w:t xml:space="preserve">TRD工法施工安全：施工前检查设备性能完好性，设置设备稳定支撑措施；施工过程中监测地下水位及周边地层变化，防止坍塌；作业人员需远离设备旋转区域，做好防噪声、防振动防护。</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.微生物菌剂使用安全：明确菌剂储存、运输、注入过程的安全要求，防止菌剂泄漏；操作人员需佩戴专用防护用品，避免直接接触菌剂；菌剂泄漏时，立即采取封堵、清理等应急措施，防止污染土壤及地下水。</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.防污染扩散安全：施工过程中设置防渗围挡及收集设施，防止施工废水、污染物扩散至周边环境；监测井、注入井施工后及时封堵，防止地下水串层污染。</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.用电安全：施工现场用电设备需符合安全标准，配备漏电保护器；电线铺设规范，严禁乱拉乱接；雨天作业加强用电防护，防止触电事故。</w:t>
      </w:r>
      <w:bookmarkEnd w:id="31"/>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五、应急管理</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bookmarkStart w:id="32" w:name="auto_fouce_19"/>
      <w:r>
        <w:rPr>
          <w:rFonts w:hint="eastAsia" w:ascii="宋体" w:hAnsi="宋体" w:eastAsia="宋体" w:cs="宋体"/>
          <w:color w:val="auto"/>
          <w:sz w:val="24"/>
          <w:szCs w:val="24"/>
          <w:highlight w:val="none"/>
        </w:rPr>
        <w:t xml:space="preserve">甲乙双方共同完善项目应急救援预案，明确应急组织机构、职责分工、应急响应流程、应急处置措施等。</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.乙方需定期组织施工人员开展应急演练（如中毒应急救援、污染扩散应急处置等），提高应急处置能力。</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.发生以下紧急情况时，乙方需立即停工并启动应急响应：① 污染物大量泄漏，可能扩散至周边敏感点；② 施工人员发生中毒、受伤等安全事故；③ 出现坍塌、滑坡等地质灾害风险；④ 其他可能引发重大安全或环境风险的情况。</w:t>
      </w:r>
      <w:bookmarkEnd w:id="32"/>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六、责任追究</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bookmarkStart w:id="33" w:name="auto_fouce_20"/>
      <w:r>
        <w:rPr>
          <w:rFonts w:hint="eastAsia" w:ascii="宋体" w:hAnsi="宋体" w:eastAsia="宋体" w:cs="宋体"/>
          <w:color w:val="auto"/>
          <w:sz w:val="24"/>
          <w:szCs w:val="24"/>
          <w:highlight w:val="none"/>
        </w:rPr>
        <w:t xml:space="preserve">因乙方未履行本协议约定的安全责任，违反安全法律法规及施工安全要求，导致安全事故发生的，由乙方承担全部责任及损失；造成甲方或第三方损失的，乙方需全额赔偿。</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.乙方未按要求整改安全隐患，或存在违法违规施工行为的，甲方有权依据项目合同约定追究乙方违约责任，情节严重的，甲方可解除项目合同。</w:t>
      </w:r>
      <w:bookmarkEnd w:id="33"/>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七、协议期限</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本协议自甲乙双方签字盖章之日起生效，至本项目施工完成并通过竣工验收之日止。</w:t>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八、其他</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bookmarkStart w:id="34" w:name="auto_fouce_21"/>
      <w:r>
        <w:rPr>
          <w:rFonts w:hint="eastAsia" w:ascii="宋体" w:hAnsi="宋体" w:eastAsia="宋体" w:cs="宋体"/>
          <w:color w:val="auto"/>
          <w:sz w:val="24"/>
          <w:szCs w:val="24"/>
          <w:highlight w:val="none"/>
        </w:rPr>
        <w:t xml:space="preserve">本协议未尽事宜，由甲乙双方协商解决；协商不成的，按照项目主合同约定的争议解决方式处理。</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2.本协议一式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代理机构壹份，</w:t>
      </w:r>
      <w:r>
        <w:rPr>
          <w:rFonts w:hint="eastAsia" w:ascii="宋体" w:hAnsi="宋体" w:eastAsia="宋体" w:cs="宋体"/>
          <w:color w:val="auto"/>
          <w:sz w:val="24"/>
          <w:szCs w:val="24"/>
          <w:highlight w:val="none"/>
        </w:rPr>
        <w:t xml:space="preserve">具有同等法律效力。</w:t>
      </w:r>
      <w:bookmarkEnd w:id="34"/>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法定代表人/授权代表人（签字或盖章）：________________________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法定代表人/授权代表人（签字或盖章）：________________________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采购人保留对上述合同文本进行继续修改的权利。</w:t>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第六章 合同授予</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一、中标人须凭“中标通知书”和“履约保证金”缴纳凭证，30日内与采购人签订合同。超期或未有协商，则视为自动放弃中标资格。</w:t>
      </w:r>
      <w:r>
        <w:rPr>
          <w:rFonts w:hint="eastAsia" w:ascii="宋体" w:hAnsi="宋体" w:eastAsia="宋体" w:cs="宋体"/>
          <w:color w:val="auto"/>
          <w:sz w:val="24"/>
          <w:szCs w:val="24"/>
          <w:highlight w:val="none"/>
        </w:rPr>
        <w:t xml:space="preserve">本合同一式伍份，甲乙双方各执两份，采购代理机构一份</w:t>
      </w:r>
      <w:r>
        <w:rPr>
          <w:rFonts w:hint="eastAsia" w:ascii="宋体" w:hAnsi="宋体" w:eastAsia="宋体" w:cs="宋体"/>
          <w:color w:val="auto"/>
          <w:sz w:val="24"/>
          <w:szCs w:val="21"/>
          <w:highlight w:val="none"/>
        </w:rPr>
        <w:t xml:space="preserve">。所签合同不得对招标文件作实质性修改。采购人不得向中标人提出不合理的要求作为签订合同的条件，不得与中标人私下订立背离招标文件实质性内容的协议。</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二、采购人按合同约定积极配合中标人履约，中标人履约到位后，请以书面形式向采购人提出验收申请。</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三、中标人出现违约情形，应当及时纠正或补偿；造成损失的，按合同约定追究违约责任。</w:t>
      </w:r>
      <w:bookmarkEnd w:id="13"/>
      <w:r/>
      <w:r/>
    </w:p>
    <w:p>
      <w:pPr>
        <w:contextualSpacing/>
        <w:ind w:firstLine="480"/>
        <w:spacing w:line="360" w:lineRule="auto"/>
        <w:rPr>
          <w:rFonts w:ascii="宋体" w:hAnsi="宋体" w:eastAsia="宋体" w:cs="宋体"/>
          <w:color w:val="auto"/>
          <w:sz w:val="24"/>
          <w:szCs w:val="21"/>
          <w:highlight w:val="none"/>
        </w:rPr>
      </w:pPr>
      <w:r/>
      <w:bookmarkStart w:id="35" w:name="_Toc363573860"/>
      <w:r>
        <w:rPr>
          <w:rFonts w:hint="eastAsia" w:ascii="宋体" w:hAnsi="宋体"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1"/>
          <w:highlight w:val="none"/>
        </w:rPr>
        <w:t xml:space="preserve">五、付款方式详见招标文件第五章，以上项目款的支付不计息。</w:t>
      </w:r>
      <w:r/>
    </w:p>
    <w:p>
      <w:pPr>
        <w:contextualSpacing/>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contextualSpacing/>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pStyle w:val="971"/>
        <w:spacing w:line="360" w:lineRule="auto"/>
        <w:rPr>
          <w:rFonts w:ascii="宋体" w:hAnsi="宋体" w:eastAsia="宋体" w:cs="宋体"/>
          <w:color w:val="auto"/>
          <w:highlight w:val="none"/>
        </w:rPr>
      </w:pPr>
      <w:r>
        <w:rPr>
          <w:rFonts w:ascii="宋体" w:hAnsi="宋体" w:eastAsia="宋体" w:cs="宋体"/>
          <w:color w:val="auto"/>
          <w:highlight w:val="none"/>
        </w:rPr>
      </w:r>
      <w:r/>
    </w:p>
    <w:p>
      <w:pPr>
        <w:contextualSpacing/>
        <w:ind w:firstLine="582"/>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第七章 质疑与投诉</w:t>
      </w:r>
      <w:r/>
    </w:p>
    <w:p>
      <w:pPr>
        <w:contextualSpacing/>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一、质疑的提出</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4.对招标人式、招标文件中项目需求、投标人资格条件、评审方法和评审标准、资格审查结果等应当由招标人答复的质疑，请向招标人提出，由招标人负责答复。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招标人质疑接收人及联系方式，见招标文件第一章。</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5.以下情形的质疑不予受理</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5.2 超出政府采购法定期限的质疑。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5.3 未参加招投标活动的投标人。</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4"/>
          <w:szCs w:val="21"/>
          <w:highlight w:val="none"/>
        </w:rPr>
        <w:t xml:space="preserve">附件：</w:t>
      </w:r>
      <w:r/>
    </w:p>
    <w:p>
      <w:pPr>
        <w:contextualSpacing/>
        <w:ind w:firstLine="480"/>
        <w:jc w:val="center"/>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质疑函范本</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一、质疑</w:t>
      </w: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rPr>
        <w:t xml:space="preserve">基本信息</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质疑投标人：</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地址：邮编：</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联系人：联系电话：</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授权代表：</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地址：邮编：</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二、质疑项目基本情况</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质疑项目的名称：</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质疑项目的编号：包号：</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招标人名称：</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招标文件获取日期：</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三、质疑事项具体内容</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质疑事项1：</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事实依据：</w:t>
      </w:r>
      <w:r/>
    </w:p>
    <w:p>
      <w:pPr>
        <w:contextualSpacing/>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法律依据：</w:t>
      </w:r>
      <w:r/>
    </w:p>
    <w:p>
      <w:pPr>
        <w:contextualSpacing/>
        <w:ind w:firstLine="480"/>
        <w:spacing w:line="360" w:lineRule="auto"/>
        <w:rPr>
          <w:rFonts w:ascii="宋体" w:hAnsi="宋体" w:eastAsia="宋体" w:cs="宋体"/>
          <w:color w:val="auto"/>
          <w:sz w:val="24"/>
          <w:szCs w:val="21"/>
          <w:highlight w:val="none"/>
          <w:u w:val="single"/>
        </w:rPr>
      </w:pPr>
      <w:r>
        <w:rPr>
          <w:rFonts w:ascii="宋体" w:hAnsi="宋体" w:eastAsia="宋体" w:cs="宋体"/>
          <w:color w:val="auto"/>
          <w:sz w:val="24"/>
          <w:szCs w:val="21"/>
          <w:highlight w:val="none"/>
          <w:u w:val="single"/>
        </w:rPr>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质疑事项2</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四、与质疑事项相关的质疑请求</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请求：</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签字（签章）：                   公章：                      </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w:t>
      </w:r>
      <w:r/>
    </w:p>
    <w:p>
      <w:pPr>
        <w:contextualSpacing/>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contextualSpacing/>
        <w:ind w:firstLine="482"/>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contextualSpacing/>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质疑函制作说明：</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1.投标人提出质疑时，应提交质疑函和必要的证明材料。</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4.质疑函的质疑事项应具体、明确，并有必要的事实依据和法律依据。</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5.质疑函的质疑请求应与质疑事项相关。</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ind w:firstLine="388"/>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24"/>
          <w:szCs w:val="21"/>
          <w:highlight w:val="none"/>
        </w:rPr>
        <w:br w:type="page" w:clear="all"/>
      </w:r>
      <w:r>
        <w:rPr>
          <w:rFonts w:hint="eastAsia" w:ascii="宋体" w:hAnsi="宋体" w:eastAsia="宋体" w:cs="宋体"/>
          <w:b/>
          <w:color w:val="auto"/>
          <w:sz w:val="36"/>
          <w:szCs w:val="36"/>
          <w:highlight w:val="none"/>
        </w:rPr>
        <w:t xml:space="preserve">第八章 投标文件组成及格式</w:t>
      </w:r>
      <w:bookmarkEnd w:id="35"/>
      <w:r/>
      <w:r/>
    </w:p>
    <w:p>
      <w:pPr>
        <w:ind w:firstLine="482"/>
        <w:jc w:val="left"/>
        <w:spacing w:line="360" w:lineRule="auto"/>
        <w:rPr>
          <w:rFonts w:ascii="宋体" w:hAnsi="宋体" w:eastAsia="宋体" w:cs="宋体"/>
          <w:b/>
          <w:bCs/>
          <w:color w:val="auto"/>
          <w:sz w:val="24"/>
          <w:szCs w:val="24"/>
          <w:highlight w:val="none"/>
        </w:rPr>
        <w:outlineLvl w:val="1"/>
      </w:pPr>
      <w:r/>
      <w:bookmarkStart w:id="36" w:name="_Toc185280133"/>
      <w:r>
        <w:rPr>
          <w:rFonts w:hint="eastAsia" w:ascii="宋体" w:hAnsi="宋体" w:eastAsia="宋体" w:cs="宋体"/>
          <w:b/>
          <w:bCs/>
          <w:color w:val="auto"/>
          <w:sz w:val="24"/>
          <w:szCs w:val="24"/>
          <w:highlight w:val="none"/>
        </w:rPr>
        <w:t xml:space="preserve">一、投标人编制文件须知</w:t>
      </w:r>
      <w:bookmarkEnd w:id="36"/>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1.投标人按照本部分的顺序编制</w:t>
      </w:r>
      <w:bookmarkStart w:id="37" w:name="_Hlk183351043"/>
      <w:r>
        <w:rPr>
          <w:rFonts w:hint="eastAsia" w:ascii="宋体" w:hAnsi="宋体" w:eastAsia="宋体" w:cs="宋体"/>
          <w:color w:val="auto"/>
          <w:sz w:val="24"/>
          <w:szCs w:val="24"/>
          <w:highlight w:val="none"/>
        </w:rPr>
        <w:t xml:space="preserve">投标文件（资格证明文件）目录、商务技术文件</w:t>
      </w:r>
      <w:bookmarkEnd w:id="37"/>
      <w:r>
        <w:rPr>
          <w:rFonts w:hint="eastAsia" w:ascii="宋体" w:hAnsi="宋体" w:eastAsia="宋体" w:cs="宋体"/>
          <w:color w:val="auto"/>
          <w:sz w:val="24"/>
          <w:szCs w:val="24"/>
          <w:highlight w:val="none"/>
        </w:rPr>
        <w:t xml:space="preserve">目录，编制中涉及格式资料的，应按照本章提供的附件内容中的格式（涉及表格的格式可扩展）填写提交。</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2.全部声明和问题的回答及所附材料必须是真实的、准确的和完整的。</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3.实行电子化不见面交易方式的，加盖公章、签名等均通过响应文件编制工具加盖电子公章、签字（或签字扫描图片）、签章或印鉴。</w:t>
      </w:r>
      <w:r/>
    </w:p>
    <w:p>
      <w:pPr>
        <w:ind w:firstLine="482"/>
        <w:jc w:val="left"/>
        <w:spacing w:line="360" w:lineRule="auto"/>
        <w:rPr>
          <w:rFonts w:ascii="宋体" w:hAnsi="宋体" w:eastAsia="宋体" w:cs="宋体"/>
          <w:b/>
          <w:bCs/>
          <w:color w:val="auto"/>
          <w:sz w:val="24"/>
          <w:szCs w:val="24"/>
          <w:highlight w:val="none"/>
        </w:rPr>
        <w:outlineLvl w:val="1"/>
      </w:pPr>
      <w:r/>
      <w:bookmarkStart w:id="38" w:name="_Toc185280134"/>
      <w:r>
        <w:rPr>
          <w:rFonts w:hint="eastAsia" w:ascii="宋体" w:hAnsi="宋体" w:eastAsia="宋体" w:cs="宋体"/>
          <w:b/>
          <w:bCs/>
          <w:color w:val="auto"/>
          <w:sz w:val="24"/>
          <w:szCs w:val="24"/>
          <w:highlight w:val="none"/>
        </w:rPr>
        <w:t xml:space="preserve">二、基本目录</w:t>
      </w:r>
      <w:bookmarkEnd w:id="38"/>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1.目录</w:t>
      </w:r>
      <w:r>
        <w:rPr>
          <w:rFonts w:hint="eastAsia" w:ascii="宋体" w:hAnsi="宋体" w:eastAsia="宋体" w:cs="宋体"/>
          <w:b/>
          <w:bCs/>
          <w:color w:val="auto"/>
          <w:sz w:val="24"/>
          <w:szCs w:val="24"/>
          <w:highlight w:val="none"/>
        </w:rPr>
        <w:t xml:space="preserve">（格式见附件）。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2.投标报价表</w:t>
      </w:r>
      <w:r>
        <w:rPr>
          <w:rFonts w:hint="eastAsia" w:ascii="宋体" w:hAnsi="宋体" w:eastAsia="宋体" w:cs="宋体"/>
          <w:b/>
          <w:bCs/>
          <w:color w:val="auto"/>
          <w:sz w:val="24"/>
          <w:szCs w:val="24"/>
          <w:highlight w:val="none"/>
        </w:rPr>
        <w:t xml:space="preserve">（格式见附件）。</w:t>
      </w:r>
      <w:r/>
    </w:p>
    <w:p>
      <w:pPr>
        <w:ind w:firstLine="482"/>
        <w:jc w:val="left"/>
        <w:spacing w:line="360" w:lineRule="auto"/>
        <w:rPr>
          <w:rFonts w:ascii="宋体" w:hAnsi="宋体" w:eastAsia="宋体" w:cs="宋体"/>
          <w:b/>
          <w:bCs/>
          <w:color w:val="auto"/>
          <w:sz w:val="24"/>
          <w:szCs w:val="24"/>
          <w:highlight w:val="none"/>
        </w:rPr>
        <w:outlineLvl w:val="1"/>
      </w:pPr>
      <w:r/>
      <w:bookmarkStart w:id="39" w:name="_Toc185280135"/>
      <w:r>
        <w:rPr>
          <w:rFonts w:hint="eastAsia" w:ascii="宋体" w:hAnsi="宋体" w:eastAsia="宋体" w:cs="宋体"/>
          <w:b/>
          <w:bCs/>
          <w:color w:val="auto"/>
          <w:sz w:val="24"/>
          <w:szCs w:val="24"/>
          <w:highlight w:val="none"/>
        </w:rPr>
        <w:t xml:space="preserve">3.分项报价明细表（格式见附件）。</w:t>
      </w:r>
      <w:r/>
    </w:p>
    <w:p>
      <w:pPr>
        <w:ind w:firstLine="482"/>
        <w:jc w:val="left"/>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三、资格性要求</w:t>
      </w:r>
      <w:bookmarkEnd w:id="39"/>
      <w:r/>
      <w:r/>
    </w:p>
    <w:p>
      <w:pPr>
        <w:ind w:firstLine="482"/>
        <w:jc w:val="left"/>
        <w:spacing w:line="360" w:lineRule="auto"/>
        <w:rPr>
          <w:rFonts w:ascii="宋体" w:hAnsi="宋体" w:eastAsia="宋体" w:cs="宋体"/>
          <w:b/>
          <w:bCs/>
          <w:color w:val="auto"/>
          <w:sz w:val="24"/>
          <w:szCs w:val="24"/>
          <w:highlight w:val="none"/>
        </w:rPr>
        <w:outlineLvl w:val="2"/>
      </w:pPr>
      <w:r/>
      <w:bookmarkStart w:id="40" w:name="_Toc185280136"/>
      <w:r>
        <w:rPr>
          <w:rFonts w:hint="eastAsia" w:ascii="宋体" w:hAnsi="宋体" w:eastAsia="宋体" w:cs="宋体"/>
          <w:b/>
          <w:bCs/>
          <w:color w:val="auto"/>
          <w:sz w:val="24"/>
          <w:szCs w:val="24"/>
          <w:highlight w:val="none"/>
        </w:rPr>
        <w:t xml:space="preserve">（一）</w:t>
      </w:r>
      <w:bookmarkEnd w:id="40"/>
      <w:r/>
      <w:bookmarkStart w:id="41" w:name="_Toc185280137"/>
      <w:r>
        <w:rPr>
          <w:rFonts w:hint="eastAsia" w:ascii="宋体" w:hAnsi="宋体" w:eastAsia="宋体" w:cs="宋体"/>
          <w:b/>
          <w:bCs/>
          <w:color w:val="auto"/>
          <w:sz w:val="24"/>
          <w:szCs w:val="24"/>
          <w:highlight w:val="none"/>
        </w:rPr>
        <w:t xml:space="preserve">基本资格条件材料</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1.法人或者其他组织的营业执照等证明文件，自然人的身份证明。</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2.法定代表人身份证明书。</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3.法定代表人授权书（如有）。</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4.诚信承诺书。</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5.满足《中华人民共和国政府采购法》第二十二条规定，提供声明函：</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（1）具有独立承担民事责任的能力；</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（4）有依法缴纳税收和社会保障资金的良好记录；</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（6）法律、行政法规规定的其他条件。</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（二）落实政府采购政策需满足的要求</w:t>
      </w:r>
      <w:bookmarkEnd w:id="41"/>
      <w:r>
        <w:rPr>
          <w:rFonts w:hint="eastAsia" w:ascii="宋体" w:hAnsi="宋体" w:eastAsia="宋体" w:cs="宋体"/>
          <w:b/>
          <w:bCs/>
          <w:color w:val="auto"/>
          <w:sz w:val="24"/>
          <w:szCs w:val="24"/>
          <w:highlight w:val="none"/>
        </w:rPr>
        <w:t xml:space="preserve">：/</w:t>
      </w:r>
      <w:r/>
    </w:p>
    <w:p>
      <w:pPr>
        <w:ind w:firstLine="482"/>
        <w:jc w:val="left"/>
        <w:spacing w:line="360" w:lineRule="auto"/>
        <w:rPr>
          <w:rFonts w:ascii="宋体" w:hAnsi="宋体" w:eastAsia="宋体" w:cs="宋体"/>
          <w:color w:val="auto"/>
          <w:sz w:val="24"/>
          <w:szCs w:val="24"/>
          <w:highlight w:val="none"/>
        </w:rPr>
        <w:outlineLvl w:val="2"/>
      </w:pPr>
      <w:r/>
      <w:bookmarkStart w:id="42" w:name="_Toc185280138"/>
      <w:r>
        <w:rPr>
          <w:rFonts w:hint="eastAsia" w:ascii="宋体" w:hAnsi="宋体" w:eastAsia="宋体" w:cs="宋体"/>
          <w:b/>
          <w:bCs/>
          <w:color w:val="auto"/>
          <w:sz w:val="24"/>
          <w:szCs w:val="24"/>
          <w:highlight w:val="none"/>
        </w:rPr>
        <w:t xml:space="preserve">（三）特定资格要求</w:t>
      </w:r>
      <w:bookmarkEnd w:id="42"/>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1.未被“信用中国”网站列入失信被执行人、重大税收违法案件当事人名单，未被“中国政府采购网”列入政府采购严重违法失信行为记录名单。</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投标人可以提供网站查询打印的截图。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评标委员会在进行资格审查的同时，将在“信用中国”网站、“中国政府采购网”查询投标人的信用记录，以确定投标人是否具备投标资格，查询结果留存并归档。</w:t>
      </w:r>
      <w:r/>
    </w:p>
    <w:p>
      <w:pPr>
        <w:ind w:firstLine="482"/>
        <w:jc w:val="left"/>
        <w:spacing w:line="360" w:lineRule="auto"/>
        <w:rPr>
          <w:rFonts w:ascii="宋体" w:hAnsi="宋体" w:eastAsia="宋体" w:cs="宋体"/>
          <w:b/>
          <w:bCs/>
          <w:color w:val="auto"/>
          <w:sz w:val="24"/>
          <w:szCs w:val="24"/>
          <w:highlight w:val="none"/>
        </w:rPr>
        <w:outlineLvl w:val="1"/>
      </w:pPr>
      <w:r/>
      <w:bookmarkStart w:id="43" w:name="_Toc185280139"/>
      <w:r>
        <w:rPr>
          <w:rFonts w:hint="eastAsia" w:ascii="宋体" w:hAnsi="宋体" w:eastAsia="宋体" w:cs="宋体"/>
          <w:b/>
          <w:bCs/>
          <w:color w:val="auto"/>
          <w:sz w:val="24"/>
          <w:szCs w:val="24"/>
          <w:highlight w:val="none"/>
        </w:rPr>
        <w:t xml:space="preserve">四、符合性审查内容</w:t>
      </w:r>
      <w:bookmarkEnd w:id="43"/>
      <w:r/>
      <w:r/>
    </w:p>
    <w:p>
      <w:pPr>
        <w:ind w:firstLine="480"/>
        <w:jc w:val="left"/>
        <w:spacing w:line="360" w:lineRule="auto"/>
        <w:rPr>
          <w:rFonts w:ascii="宋体" w:hAnsi="宋体" w:eastAsia="宋体" w:cs="宋体"/>
          <w:b/>
          <w:bCs/>
          <w:color w:val="auto"/>
          <w:sz w:val="24"/>
          <w:szCs w:val="24"/>
          <w:highlight w:val="none"/>
        </w:rPr>
      </w:pPr>
      <w:r/>
      <w:bookmarkStart w:id="44" w:name="_Toc185280140"/>
      <w:r>
        <w:rPr>
          <w:rFonts w:hint="eastAsia" w:ascii="宋体" w:hAnsi="宋体" w:eastAsia="宋体" w:cs="宋体"/>
          <w:b/>
          <w:bCs/>
          <w:color w:val="auto"/>
          <w:sz w:val="24"/>
          <w:szCs w:val="24"/>
          <w:highlight w:val="none"/>
        </w:rPr>
        <w:t xml:space="preserve">（一）</w:t>
      </w:r>
      <w:bookmarkEnd w:id="44"/>
      <w:r/>
      <w:bookmarkStart w:id="45" w:name="_Toc185280141"/>
      <w:r>
        <w:rPr>
          <w:rFonts w:hint="eastAsia" w:ascii="宋体" w:hAnsi="宋体" w:eastAsia="宋体" w:cs="宋体"/>
          <w:b/>
          <w:bCs/>
          <w:color w:val="auto"/>
          <w:sz w:val="24"/>
          <w:szCs w:val="24"/>
          <w:highlight w:val="none"/>
        </w:rPr>
        <w:t xml:space="preserve">商务要求</w:t>
      </w:r>
      <w:bookmarkEnd w:id="45"/>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2.投标人一般情况表</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3.现场勘察函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4.针对本项目需提供实质性响应的“商务部分正负偏离表”：投标人应按照招标文件要求提供</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562"/>
        <w:spacing w:line="360" w:lineRule="auto"/>
        <w:rPr>
          <w:rFonts w:ascii="宋体" w:hAnsi="宋体" w:eastAsia="宋体" w:cs="宋体"/>
          <w:b/>
          <w:bCs/>
          <w:color w:val="auto"/>
          <w:sz w:val="24"/>
          <w:szCs w:val="24"/>
          <w:highlight w:val="none"/>
          <w:u w:val="single"/>
        </w:rPr>
      </w:pPr>
      <w:r/>
      <w:bookmarkStart w:id="46" w:name="_Toc185280142"/>
      <w:r>
        <w:rPr>
          <w:rFonts w:hint="eastAsia" w:ascii="宋体" w:hAnsi="宋体" w:eastAsia="宋体" w:cs="宋体"/>
          <w:b/>
          <w:bCs/>
          <w:color w:val="auto"/>
          <w:sz w:val="24"/>
          <w:szCs w:val="24"/>
          <w:highlight w:val="none"/>
        </w:rPr>
        <w:t xml:space="preserve">5.拟投入本项目人员明细表（格式见附件）</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（二）技术要求</w:t>
      </w:r>
      <w:bookmarkEnd w:id="46"/>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1.针对本项目需提供实质性响应的“技术部分正负偏离表”：投标人应按照招标文件要求提供</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2"/>
        <w:jc w:val="left"/>
        <w:spacing w:line="360" w:lineRule="auto"/>
        <w:rPr>
          <w:rFonts w:ascii="宋体" w:hAnsi="宋体" w:eastAsia="宋体" w:cs="宋体"/>
          <w:b/>
          <w:bCs/>
          <w:color w:val="auto"/>
          <w:sz w:val="24"/>
          <w:szCs w:val="24"/>
          <w:highlight w:val="none"/>
        </w:rPr>
        <w:outlineLvl w:val="1"/>
      </w:pPr>
      <w:r/>
      <w:bookmarkStart w:id="47" w:name="_Toc185280143"/>
      <w:r/>
      <w:bookmarkStart w:id="48" w:name="_Hlk184555065"/>
      <w:r>
        <w:rPr>
          <w:rFonts w:hint="eastAsia" w:ascii="宋体" w:hAnsi="宋体" w:eastAsia="宋体" w:cs="宋体"/>
          <w:b/>
          <w:bCs/>
          <w:color w:val="auto"/>
          <w:sz w:val="24"/>
          <w:szCs w:val="24"/>
          <w:highlight w:val="none"/>
        </w:rPr>
        <w:t xml:space="preserve">五、商务技术标文件</w:t>
      </w:r>
      <w:bookmarkEnd w:id="47"/>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1.商务技术标评分标准中需提供的相关得分佐证材料</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bookmarkEnd w:id="48"/>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请投标人根据评分标准制作评分索引并放在评审内容的前面，如涉及系统内按章节节点分别上传对应内容的，请在每部分前放置评分索引。</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评分索引中应标明每个评分项目的页码范围。</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如响应文件内容顺序混乱，导致评委无法查看，后果自负。</w:t>
      </w:r>
      <w:r/>
    </w:p>
    <w:p>
      <w:pPr>
        <w:ind w:firstLine="482"/>
        <w:jc w:val="left"/>
        <w:spacing w:line="360" w:lineRule="auto"/>
        <w:rPr>
          <w:rFonts w:ascii="宋体" w:hAnsi="宋体" w:eastAsia="宋体" w:cs="宋体"/>
          <w:color w:val="auto"/>
          <w:sz w:val="24"/>
          <w:szCs w:val="24"/>
          <w:highlight w:val="none"/>
        </w:rPr>
        <w:outlineLvl w:val="1"/>
      </w:pPr>
      <w:r/>
      <w:bookmarkStart w:id="49" w:name="_Toc185280144"/>
      <w:r>
        <w:rPr>
          <w:rFonts w:hint="eastAsia" w:ascii="宋体" w:hAnsi="宋体" w:eastAsia="宋体" w:cs="宋体"/>
          <w:b/>
          <w:bCs/>
          <w:color w:val="auto"/>
          <w:sz w:val="24"/>
          <w:szCs w:val="24"/>
          <w:highlight w:val="none"/>
        </w:rPr>
        <w:t xml:space="preserve">六、企业报价折扣证明</w:t>
      </w:r>
      <w:bookmarkEnd w:id="49"/>
      <w:r/>
      <w:bookmarkStart w:id="50" w:name="OLE_LINK1"/>
      <w:r/>
      <w:bookmarkStart w:id="51" w:name="_Toc185280145"/>
      <w:r>
        <w:rPr>
          <w:rFonts w:hint="eastAsia" w:ascii="宋体" w:hAnsi="宋体" w:eastAsia="宋体" w:cs="宋体"/>
          <w:b/>
          <w:bCs/>
          <w:color w:val="auto"/>
          <w:sz w:val="24"/>
          <w:szCs w:val="24"/>
          <w:highlight w:val="none"/>
        </w:rPr>
        <w:t xml:space="preserve">（如有）</w:t>
      </w:r>
      <w:bookmarkEnd w:id="50"/>
      <w:r/>
      <w:r/>
    </w:p>
    <w:p>
      <w:pPr>
        <w:ind w:firstLine="487"/>
        <w:jc w:val="left"/>
        <w:spacing w:line="420" w:lineRule="exact"/>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CN"/>
        </w:rPr>
        <w:t xml:space="preserve">提供中小企业声明函（见格式）或《残疾人福利性单位声明函》或监狱和戒毒企业证明材料</w:t>
      </w:r>
      <w:r>
        <w:rPr>
          <w:rFonts w:hint="eastAsia" w:ascii="宋体" w:hAnsi="宋体" w:eastAsia="宋体" w:cs="宋体"/>
          <w:b/>
          <w:bCs/>
          <w:color w:val="auto"/>
          <w:sz w:val="24"/>
          <w:szCs w:val="24"/>
          <w:highlight w:val="none"/>
        </w:rPr>
        <w:t xml:space="preserve">。</w:t>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7"/>
        <w:jc w:val="left"/>
        <w:spacing w:line="420" w:lineRule="exact"/>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七、投标文件格式</w:t>
      </w:r>
      <w:bookmarkEnd w:id="51"/>
      <w:r/>
      <w:r/>
    </w:p>
    <w:p>
      <w:pPr>
        <w:ind w:firstLine="488"/>
        <w:jc w:val="left"/>
        <w:spacing w:line="420" w:lineRule="exact"/>
        <w:rPr>
          <w:rFonts w:ascii="宋体" w:hAnsi="宋体" w:eastAsia="宋体" w:cs="宋体"/>
          <w:b/>
          <w:bCs/>
          <w:color w:val="auto"/>
          <w:sz w:val="24"/>
          <w:szCs w:val="24"/>
          <w:highlight w:val="none"/>
        </w:rPr>
        <w:outlineLvl w:val="2"/>
      </w:pPr>
      <w:r/>
      <w:bookmarkStart w:id="52" w:name="_Toc185280146"/>
      <w:r>
        <w:rPr>
          <w:rFonts w:hint="eastAsia" w:ascii="宋体" w:hAnsi="宋体" w:eastAsia="宋体" w:cs="宋体"/>
          <w:b/>
          <w:bCs/>
          <w:color w:val="auto"/>
          <w:sz w:val="24"/>
          <w:szCs w:val="24"/>
          <w:highlight w:val="none"/>
        </w:rPr>
        <w:t xml:space="preserve">（一）投标文件封面</w:t>
      </w:r>
      <w:bookmarkEnd w:id="52"/>
      <w:r/>
      <w:r/>
    </w:p>
    <w:p>
      <w:pPr>
        <w:ind w:firstLine="485"/>
        <w:jc w:val="left"/>
        <w:spacing w:line="420" w:lineRule="exact"/>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投标文件</w:t>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项目编号：</w:t>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21"/>
          <w:highlight w:val="none"/>
          <w:u w:val="single"/>
        </w:rPr>
        <w:t xml:space="preserve">（加盖CA电子公章）</w:t>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日期：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7"/>
        <w:jc w:val="left"/>
        <w:spacing w:line="420" w:lineRule="exact"/>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1"/>
      </w:pPr>
      <w:r>
        <w:rPr>
          <w:rFonts w:ascii="宋体" w:hAnsi="宋体" w:eastAsia="宋体" w:cs="宋体"/>
          <w:b/>
          <w:bCs/>
          <w:color w:val="auto"/>
          <w:highlight w:val="none"/>
        </w:rPr>
      </w:r>
      <w:r/>
    </w:p>
    <w:p>
      <w:pPr>
        <w:ind w:firstLine="482"/>
        <w:jc w:val="left"/>
        <w:spacing w:line="360" w:lineRule="auto"/>
        <w:rPr>
          <w:rFonts w:ascii="宋体" w:hAnsi="宋体" w:eastAsia="宋体" w:cs="宋体"/>
          <w:b/>
          <w:bCs/>
          <w:color w:val="auto"/>
          <w:sz w:val="24"/>
          <w:szCs w:val="24"/>
          <w:highlight w:val="none"/>
        </w:rPr>
        <w:outlineLvl w:val="2"/>
      </w:pPr>
      <w:r/>
      <w:bookmarkStart w:id="53" w:name="_Toc185280147"/>
      <w:r/>
      <w:bookmarkStart w:id="54" w:name="_Hlk183992601"/>
      <w:r>
        <w:rPr>
          <w:rFonts w:hint="eastAsia" w:ascii="宋体" w:hAnsi="宋体" w:eastAsia="宋体" w:cs="宋体"/>
          <w:b/>
          <w:bCs/>
          <w:color w:val="auto"/>
          <w:sz w:val="24"/>
          <w:szCs w:val="24"/>
          <w:highlight w:val="none"/>
        </w:rPr>
        <w:t xml:space="preserve">（二）附件</w:t>
      </w:r>
      <w:bookmarkEnd w:id="53"/>
      <w:r/>
      <w:r/>
    </w:p>
    <w:p>
      <w:pPr>
        <w:ind w:firstLine="482"/>
        <w:jc w:val="left"/>
        <w:spacing w:line="420" w:lineRule="exact"/>
        <w:rPr>
          <w:rFonts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附件1：目录</w:t>
      </w:r>
      <w:r/>
    </w:p>
    <w:p>
      <w:pPr>
        <w:ind w:firstLine="482"/>
        <w:jc w:val="center"/>
        <w:spacing w:line="400" w:lineRule="exact"/>
        <w:rPr>
          <w:rFonts w:ascii="宋体" w:hAnsi="宋体" w:eastAsia="宋体" w:cs="宋体"/>
          <w:b/>
          <w:bCs/>
          <w:color w:val="auto"/>
          <w:sz w:val="24"/>
          <w:szCs w:val="24"/>
          <w:highlight w:val="none"/>
        </w:rPr>
      </w:pPr>
      <w:r/>
      <w:bookmarkStart w:id="55" w:name="_Hlk183992565"/>
      <w:r>
        <w:rPr>
          <w:rFonts w:hint="eastAsia" w:ascii="宋体" w:hAnsi="宋体" w:eastAsia="宋体" w:cs="宋体"/>
          <w:b/>
          <w:bCs/>
          <w:color w:val="auto"/>
          <w:sz w:val="24"/>
          <w:szCs w:val="24"/>
          <w:highlight w:val="none"/>
        </w:rPr>
        <w:t xml:space="preserve">目录</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一、投标报价表</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二、资格性要求</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（一）基本资格条件材料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2.法定代表人身份证明书。</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3.法定代表人授权书（如有）。</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4.诚信承诺书。</w:t>
      </w:r>
      <w:r/>
    </w:p>
    <w:p>
      <w:pPr>
        <w:ind w:firstLine="480"/>
        <w:spacing w:line="400" w:lineRule="exact"/>
        <w:rPr>
          <w:rFonts w:ascii="宋体" w:hAnsi="宋体" w:eastAsia="宋体" w:cs="宋体"/>
          <w:color w:val="auto"/>
          <w:highlight w:val="none"/>
        </w:rPr>
      </w:pPr>
      <w:r>
        <w:rPr>
          <w:rFonts w:hint="eastAsia" w:ascii="宋体" w:hAnsi="宋体" w:eastAsia="宋体" w:cs="宋体"/>
          <w:color w:val="auto"/>
          <w:sz w:val="24"/>
          <w:szCs w:val="24"/>
          <w:highlight w:val="none"/>
        </w:rPr>
        <w:t xml:space="preserve">5.满足《中华人民共和国政府采购法》第二十二条规定，提供声明函。</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（二）落实政府采购政策提供的材料:/</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（三）满足特定资格要求提供的材料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未被“信用中国”网站列入失信被执行人、重大税收违法案件当事人名单，未被“中国政府采购网”列入政府采购严重违法失信行为记录名单。</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三、符合性审查内容要求提供的材料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（一）符合商务要求提供的材料：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2.投标人一般情况表。</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3.现场勘察函。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4.实质性响应的“商务部分正负偏离表”。</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5.拟投入本项目人员明细表</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（二）符合技术要求提供的材料：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1.实质性响应的“技术部分正负偏离表”。</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四、商务技术标文件提供的材料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1.商务技术标评分标准中须提供的相关得分佐证材料。按“评分项目”编制目录。</w:t>
      </w:r>
      <w:r/>
    </w:p>
    <w:p>
      <w:pPr>
        <w:ind w:firstLine="480"/>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五、企业报价折扣证明（如有）</w:t>
      </w:r>
      <w:r/>
    </w:p>
    <w:p>
      <w:pPr>
        <w:ind w:firstLine="487"/>
        <w:jc w:val="left"/>
        <w:spacing w:line="420" w:lineRule="exact"/>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CN"/>
        </w:rPr>
        <w:t xml:space="preserve">提供中小企业声明函（见格式）或《残疾人福利性单位声明函》或监狱和戒毒企业证明材料</w:t>
      </w:r>
      <w:r>
        <w:rPr>
          <w:rFonts w:hint="eastAsia" w:ascii="宋体" w:hAnsi="宋体" w:eastAsia="宋体" w:cs="宋体"/>
          <w:b/>
          <w:bCs/>
          <w:color w:val="auto"/>
          <w:sz w:val="24"/>
          <w:szCs w:val="24"/>
          <w:highlight w:val="none"/>
        </w:rPr>
        <w:t xml:space="preserve">。</w:t>
      </w:r>
      <w:r/>
    </w:p>
    <w:p>
      <w:pPr>
        <w:ind w:firstLine="482"/>
        <w:jc w:val="cente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注：该目录在制作响应文件时，供参考。</w:t>
      </w:r>
      <w:bookmarkEnd w:id="54"/>
      <w:r/>
      <w:bookmarkEnd w:id="55"/>
      <w:r/>
      <w:r/>
    </w:p>
    <w:p>
      <w:pPr>
        <w:ind w:firstLine="482"/>
        <w:jc w:val="left"/>
        <w:spacing w:line="400" w:lineRule="exact"/>
        <w:rPr>
          <w:rFonts w:ascii="宋体" w:hAnsi="宋体" w:eastAsia="宋体" w:cs="宋体"/>
          <w:b/>
          <w:bCs/>
          <w:color w:val="auto"/>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ascii="宋体" w:hAnsi="宋体" w:eastAsia="宋体" w:cs="宋体"/>
          <w:b/>
          <w:bCs/>
          <w:color w:val="auto"/>
          <w:sz w:val="24"/>
          <w:szCs w:val="24"/>
          <w:highlight w:val="none"/>
        </w:rPr>
      </w:r>
      <w:r/>
    </w:p>
    <w:p>
      <w:pPr>
        <w:jc w:val="left"/>
        <w:spacing w:line="420" w:lineRule="exact"/>
        <w:rPr>
          <w:rFonts w:ascii="宋体" w:hAnsi="宋体" w:eastAsia="宋体" w:cs="宋体"/>
          <w:b/>
          <w:bCs/>
          <w:color w:val="auto"/>
          <w:highlight w:val="none"/>
        </w:rPr>
        <w:outlineLvl w:val="3"/>
      </w:pPr>
      <w:r/>
      <w:bookmarkStart w:id="56" w:name="_Hlk183993254"/>
      <w:r>
        <w:rPr>
          <w:rFonts w:hint="eastAsia" w:ascii="宋体" w:hAnsi="宋体" w:eastAsia="宋体" w:cs="宋体"/>
          <w:b/>
          <w:bCs/>
          <w:color w:val="auto"/>
          <w:highlight w:val="none"/>
        </w:rPr>
        <w:t xml:space="preserve">附件：</w:t>
      </w:r>
      <w:r/>
    </w:p>
    <w:p>
      <w:pPr>
        <w:jc w:val="center"/>
        <w:spacing w:before="240" w:after="240" w:line="4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投标报价表（</w:t>
      </w:r>
      <w:r>
        <w:rPr>
          <w:rFonts w:hint="eastAsia" w:ascii="宋体" w:hAnsi="宋体" w:eastAsia="宋体" w:cs="宋体"/>
          <w:b/>
          <w:bCs/>
          <w:color w:val="auto"/>
          <w:sz w:val="28"/>
          <w:szCs w:val="28"/>
          <w:highlight w:val="none"/>
          <w:u w:val="single"/>
        </w:rPr>
        <w:t xml:space="preserve">以苏采云系统内的格式为准</w:t>
      </w:r>
      <w:r>
        <w:rPr>
          <w:rFonts w:hint="eastAsia" w:ascii="宋体" w:hAnsi="宋体" w:eastAsia="宋体" w:cs="宋体"/>
          <w:b/>
          <w:bCs/>
          <w:color w:val="auto"/>
          <w:sz w:val="28"/>
          <w:szCs w:val="28"/>
          <w:highlight w:val="none"/>
        </w:rPr>
        <w:t xml:space="preserve">）</w:t>
      </w:r>
      <w:r/>
    </w:p>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793"/>
        <w:tblW w:w="509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项目名称</w:t>
            </w:r>
            <w:r/>
          </w:p>
        </w:tc>
        <w:tc>
          <w:tcPr>
            <w:tcW w:w="6799" w:type="dxa"/>
            <w:vAlign w:val="center"/>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684"/>
        </w:trPr>
        <w:tc>
          <w:tcPr>
            <w:tcW w:w="266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项目编号</w:t>
            </w:r>
            <w:r/>
          </w:p>
        </w:tc>
        <w:tc>
          <w:tcPr>
            <w:tcW w:w="6799" w:type="dxa"/>
            <w:vAlign w:val="center"/>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1427"/>
        </w:trPr>
        <w:tc>
          <w:tcPr>
            <w:tcW w:w="2665"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lang w:eastAsia="en-US"/>
              </w:rPr>
              <w:t xml:space="preserve">投标报价</w:t>
            </w:r>
            <w:r/>
          </w:p>
        </w:tc>
        <w:tc>
          <w:tcPr>
            <w:tcW w:w="6799" w:type="dxa"/>
            <w:vAlign w:val="center"/>
            <w:textDirection w:val="lrTb"/>
            <w:noWrap/>
          </w:tcPr>
          <w:p>
            <w:pPr>
              <w:spacing w:line="360" w:lineRule="auto"/>
              <w:rPr>
                <w:rFonts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大写</w:t>
            </w:r>
            <w:r>
              <w:rPr>
                <w:rFonts w:hint="eastAsia" w:ascii="宋体" w:hAnsi="宋体" w:eastAsia="宋体" w:cs="宋体"/>
                <w:bCs/>
                <w:color w:val="auto"/>
                <w:sz w:val="24"/>
                <w:szCs w:val="24"/>
                <w:highlight w:val="none"/>
                <w:u w:val="single"/>
                <w:lang w:eastAsia="en-US"/>
              </w:rPr>
              <w:t xml:space="preserve">：                    </w:t>
            </w:r>
            <w:r>
              <w:rPr>
                <w:rFonts w:hint="eastAsia" w:ascii="宋体" w:hAnsi="宋体" w:eastAsia="宋体" w:cs="宋体"/>
                <w:bCs/>
                <w:color w:val="auto"/>
                <w:sz w:val="24"/>
                <w:szCs w:val="24"/>
                <w:highlight w:val="none"/>
                <w:lang w:eastAsia="en-US"/>
              </w:rPr>
              <w:t xml:space="preserve">；</w:t>
            </w:r>
            <w:r/>
          </w:p>
          <w:p>
            <w:pPr>
              <w:spacing w:line="360" w:lineRule="auto"/>
              <w:rPr>
                <w:rFonts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小写</w:t>
            </w:r>
            <w:r>
              <w:rPr>
                <w:rFonts w:hint="eastAsia" w:ascii="宋体" w:hAnsi="宋体" w:eastAsia="宋体" w:cs="宋体"/>
                <w:bCs/>
                <w:color w:val="auto"/>
                <w:sz w:val="24"/>
                <w:szCs w:val="24"/>
                <w:highlight w:val="none"/>
                <w:u w:val="single"/>
                <w:lang w:eastAsia="en-US"/>
              </w:rPr>
              <w:t xml:space="preserve">：                    </w:t>
            </w:r>
            <w:r>
              <w:rPr>
                <w:rFonts w:hint="eastAsia" w:ascii="宋体" w:hAnsi="宋体" w:eastAsia="宋体" w:cs="宋体"/>
                <w:bCs/>
                <w:color w:val="auto"/>
                <w:sz w:val="24"/>
                <w:szCs w:val="24"/>
                <w:highlight w:val="none"/>
                <w:lang w:eastAsia="en-US"/>
              </w:rPr>
              <w:t xml:space="preserve">。</w:t>
            </w:r>
            <w:r/>
          </w:p>
        </w:tc>
      </w:tr>
    </w:tbl>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20" w:lineRule="exact"/>
        <w:rPr>
          <w:rFonts w:ascii="宋体" w:hAnsi="宋体" w:eastAsia="宋体" w:cs="宋体"/>
          <w:color w:val="auto"/>
          <w:sz w:val="24"/>
          <w:szCs w:val="24"/>
          <w:highlight w:val="none"/>
        </w:rPr>
      </w:pPr>
      <w:r/>
      <w:bookmarkStart w:id="57" w:name="_Hlk1834429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885"/>
        <w:ind w:firstLine="48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投标人根据自身实力及具体情况对各服务内容综合评估后自行报价，如参加投标即视为接受本项目价格要求。</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投标人（加盖CA电子签章）：</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bookmarkEnd w:id="57"/>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2"/>
        <w:spacing w:line="360" w:lineRule="auto"/>
        <w:rPr>
          <w:rFonts w:ascii="宋体" w:hAnsi="宋体" w:eastAsia="宋体" w:cs="宋体"/>
          <w:b/>
          <w:bCs/>
          <w:color w:val="auto"/>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ascii="宋体" w:hAnsi="宋体" w:eastAsia="宋体" w:cs="宋体"/>
          <w:b/>
          <w:bCs/>
          <w:color w:val="auto"/>
          <w:sz w:val="24"/>
          <w:szCs w:val="24"/>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分项报价明细表</w:t>
      </w:r>
      <w:r/>
    </w:p>
    <w:p>
      <w:pPr>
        <w:ind w:firstLine="44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p>
      <w:pPr>
        <w:ind w:firstLine="44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tbl>
      <w:tblPr>
        <w:tblStyle w:val="793"/>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175"/>
        <w:gridCol w:w="1451"/>
        <w:gridCol w:w="3113"/>
        <w:gridCol w:w="776"/>
        <w:gridCol w:w="745"/>
        <w:gridCol w:w="1102"/>
        <w:gridCol w:w="994"/>
      </w:tblGrid>
      <w:tr>
        <w:trPr>
          <w:jc w:val="center"/>
          <w:trHeight w:val="1309"/>
          <w:tblHeader/>
        </w:trPr>
        <w:tc>
          <w:tcPr>
            <w:tcMar>
              <w:left w:w="120" w:type="dxa"/>
              <w:top w:w="60" w:type="dxa"/>
              <w:right w:w="120" w:type="dxa"/>
              <w:bottom w:w="30" w:type="dxa"/>
            </w:tcMar>
            <w:tcW w:w="1175"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小类</w:t>
            </w:r>
            <w:r/>
          </w:p>
        </w:tc>
        <w:tc>
          <w:tcPr>
            <w:tcMar>
              <w:left w:w="120" w:type="dxa"/>
              <w:top w:w="60" w:type="dxa"/>
              <w:right w:w="120" w:type="dxa"/>
              <w:bottom w:w="30" w:type="dxa"/>
            </w:tcMar>
            <w:tcW w:w="1451"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w:t>
            </w:r>
            <w:r/>
          </w:p>
        </w:tc>
        <w:tc>
          <w:tcPr>
            <w:tcMar>
              <w:left w:w="120" w:type="dxa"/>
              <w:top w:w="60" w:type="dxa"/>
              <w:right w:w="120" w:type="dxa"/>
              <w:bottom w:w="30" w:type="dxa"/>
            </w:tcMar>
            <w:tcW w:w="3113"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基本要求</w:t>
            </w:r>
            <w:r/>
          </w:p>
        </w:tc>
        <w:tc>
          <w:tcPr>
            <w:tcMar>
              <w:left w:w="120" w:type="dxa"/>
              <w:top w:w="60" w:type="dxa"/>
              <w:right w:w="120" w:type="dxa"/>
              <w:bottom w:w="30" w:type="dxa"/>
            </w:tcMar>
            <w:tcW w:w="776"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单价</w:t>
            </w:r>
            <w:r/>
          </w:p>
        </w:tc>
        <w:tc>
          <w:tcPr>
            <w:tcMar>
              <w:left w:w="120" w:type="dxa"/>
              <w:top w:w="60" w:type="dxa"/>
              <w:right w:w="120" w:type="dxa"/>
              <w:bottom w:w="30" w:type="dxa"/>
            </w:tcMar>
            <w:tcW w:w="745"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w:t>
            </w:r>
            <w:r/>
          </w:p>
        </w:tc>
        <w:tc>
          <w:tcPr>
            <w:tcMar>
              <w:left w:w="120" w:type="dxa"/>
              <w:top w:w="60" w:type="dxa"/>
              <w:right w:w="120" w:type="dxa"/>
              <w:bottom w:w="30" w:type="dxa"/>
            </w:tcMar>
            <w:tcW w:w="1102"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小计</w:t>
            </w:r>
            <w:r/>
          </w:p>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（元）</w:t>
            </w:r>
            <w:r/>
          </w:p>
        </w:tc>
        <w:tc>
          <w:tcPr>
            <w:tcMar>
              <w:left w:w="120" w:type="dxa"/>
              <w:top w:w="60" w:type="dxa"/>
              <w:right w:w="120" w:type="dxa"/>
              <w:bottom w:w="30" w:type="dxa"/>
            </w:tcMar>
            <w:tcW w:w="994"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1189"/>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制度控制</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围墙建设维护、安保</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用彩钢板对四周围墙破损缺失部位进行加固和维修（约60m长、2m高）</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2668"/>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污染土壤和地下水风险管控</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垂直阻隔</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周长342m、深度约36.5m，阻隔墙厚度0.8m</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m³</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含施工单位需开展的水文地质补充勘察、阻隔墙效果自检等工作经费</w:t>
            </w:r>
            <w:r/>
          </w:p>
        </w:tc>
      </w:tr>
      <w:tr>
        <w:trPr>
          <w:jc w:val="center"/>
          <w:trHeight w:val="2893"/>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微生物衰减削减</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微生物衰减措施</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超风险污染土壤和地下水区域，采用微生物强化衰减技术，加速土壤和地下水中修复目标污染物浓度降解30%；污染土壤面积约1696㎡，修复深度为5m；污染地下水面积约727㎡，修复深度为6m，总修复量预计12842m³</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74"/>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钻探和检测费</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地下水、环境空气、土壤等采样检测费用</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钻探预计230m ，按照《污染地块风险管控与土壤修复效果评估技术导则（试行）》（HJ 25.5—2018）、污染地块地下水修复和风险管控技术导则（HJ 25.6—2019）等国家规范要求采样，出具报告。</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632"/>
        </w:trPr>
        <w:tc>
          <w:tcPr>
            <w:gridSpan w:val="7"/>
            <w:tcMar>
              <w:left w:w="120" w:type="dxa"/>
              <w:top w:w="60" w:type="dxa"/>
              <w:right w:w="120" w:type="dxa"/>
              <w:bottom w:w="30" w:type="dxa"/>
            </w:tcMar>
            <w:tcW w:w="9356"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合计：人民币   元（¥       元）</w:t>
            </w:r>
            <w:r/>
          </w:p>
        </w:tc>
      </w:tr>
    </w:tbl>
    <w:p>
      <w:pPr>
        <w:pStyle w:val="83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法定代表人或者授权代表（签字或盖章）：                    </w:t>
      </w:r>
      <w:r/>
    </w:p>
    <w:p>
      <w:pPr>
        <w:pStyle w:val="83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投标供应商全称（盖章）：</w:t>
      </w:r>
      <w:r/>
    </w:p>
    <w:p>
      <w:pPr>
        <w:pStyle w:val="83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color w:val="auto"/>
          <w:sz w:val="24"/>
          <w:szCs w:val="24"/>
          <w:highlight w:val="none"/>
        </w:rPr>
        <w:t xml:space="preserve">：</w:t>
      </w:r>
      <w:r/>
    </w:p>
    <w:p>
      <w:pPr>
        <w:ind w:firstLine="566"/>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的法定代表人，现任我单位职务。</w:t>
      </w:r>
      <w:r/>
    </w:p>
    <w:p>
      <w:pPr>
        <w:ind w:firstLine="566"/>
        <w:spacing w:line="42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p>
    <w:p>
      <w:pPr>
        <w:ind w:firstLine="566"/>
        <w:spacing w:line="42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p>
    <w:p>
      <w:pPr>
        <w:ind w:firstLine="566"/>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66"/>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46"/>
        <w:jc w:val="left"/>
        <w:spacing w:line="420" w:lineRule="exact"/>
        <w:widowControl/>
        <w:rPr>
          <w:rFonts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793"/>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0"/>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0" w:firstLine="3840"/>
        <w:spacing w:line="420" w:lineRule="exact"/>
        <w:tabs>
          <w:tab w:val="left" w:pos="55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投标人（加盖CA电子签章）：___________</w:t>
      </w:r>
      <w:r/>
    </w:p>
    <w:p>
      <w:pPr>
        <w:ind w:firstLine="4320"/>
        <w:spacing w:line="420" w:lineRule="exact"/>
        <w:rPr>
          <w:rFonts w:ascii="宋体" w:hAnsi="宋体" w:eastAsia="宋体" w:cs="宋体"/>
          <w:color w:val="auto"/>
          <w:sz w:val="24"/>
          <w:szCs w:val="24"/>
          <w:highlight w:val="none"/>
        </w:rPr>
      </w:pPr>
      <w:r/>
      <w:bookmarkStart w:id="58" w:name="_Hlk185111807"/>
      <w:r>
        <w:rPr>
          <w:rFonts w:hint="eastAsia" w:ascii="宋体" w:hAnsi="宋体" w:eastAsia="宋体" w:cs="宋体"/>
          <w:color w:val="auto"/>
          <w:sz w:val="24"/>
          <w:szCs w:val="24"/>
          <w:highlight w:val="none"/>
        </w:rPr>
        <w:t xml:space="preserve">法定代表人签字或盖电子章：</w:t>
      </w:r>
      <w:bookmarkEnd w:id="58"/>
      <w:r/>
      <w:r/>
    </w:p>
    <w:p>
      <w:pPr>
        <w:ind w:firstLine="4320"/>
        <w:spacing w:line="42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4"/>
        <w:spacing w:line="420" w:lineRule="exact"/>
        <w:rPr>
          <w:rFonts w:ascii="宋体" w:hAnsi="宋体" w:eastAsia="宋体" w:cs="宋体"/>
          <w:b/>
          <w:bCs/>
          <w:color w:val="auto"/>
          <w:sz w:val="24"/>
          <w:szCs w:val="24"/>
          <w:highlight w:val="none"/>
        </w:rPr>
        <w:outlineLvl w:val="3"/>
      </w:pPr>
      <w:r>
        <w:rPr>
          <w:rFonts w:ascii="宋体" w:hAnsi="宋体" w:eastAsia="宋体" w:cs="宋体"/>
          <w:b/>
          <w:bCs/>
          <w:color w:val="auto"/>
          <w:sz w:val="24"/>
          <w:szCs w:val="24"/>
          <w:highlight w:val="none"/>
        </w:rPr>
      </w:r>
      <w:r/>
    </w:p>
    <w:p>
      <w:pPr>
        <w:jc w:val="center"/>
        <w:spacing w:line="420" w:lineRule="exact"/>
        <w:rPr>
          <w:rFonts w:ascii="宋体" w:hAnsi="宋体" w:eastAsia="宋体" w:cs="宋体"/>
          <w:b/>
          <w:bCs/>
          <w:color w:val="auto"/>
          <w:sz w:val="28"/>
          <w:szCs w:val="28"/>
          <w:highlight w:val="none"/>
          <w:u w:val="single"/>
        </w:rPr>
      </w:pPr>
      <w:r>
        <w:rPr>
          <w:rFonts w:hint="eastAsia" w:ascii="宋体" w:hAnsi="宋体" w:eastAsia="宋体" w:cs="宋体"/>
          <w:b/>
          <w:bCs/>
          <w:color w:val="auto"/>
          <w:sz w:val="24"/>
          <w:szCs w:val="24"/>
          <w:highlight w:val="none"/>
          <w:u w:val="single"/>
        </w:rPr>
        <w:t xml:space="preserve">注：如为授权代表参与投标活动的，除提供“法定代表人授权书”，还须同时提供此“法定代表人身份证明书”。</w:t>
      </w:r>
      <w:r/>
    </w:p>
    <w:p>
      <w:pPr>
        <w:pStyle w:val="917"/>
        <w:rPr>
          <w:rFonts w:ascii="宋体" w:hAnsi="宋体" w:eastAsia="宋体" w:cs="宋体"/>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ascii="宋体" w:hAnsi="宋体" w:eastAsia="宋体" w:cs="宋体"/>
          <w:color w:val="auto"/>
          <w:highlight w:val="none"/>
        </w:rPr>
      </w:r>
      <w:r/>
    </w:p>
    <w:p>
      <w:pPr>
        <w:jc w:val="center"/>
        <w:spacing w:before="240" w:after="240" w:line="420" w:lineRule="exact"/>
        <w:rPr>
          <w:rFonts w:ascii="宋体" w:hAnsi="宋体" w:eastAsia="宋体" w:cs="宋体"/>
          <w:color w:val="auto"/>
          <w:highlight w:val="none"/>
        </w:rPr>
      </w:pPr>
      <w:r>
        <w:rPr>
          <w:rFonts w:hint="eastAsia" w:ascii="宋体" w:hAnsi="宋体" w:eastAsia="宋体" w:cs="宋体"/>
          <w:b/>
          <w:bCs/>
          <w:color w:val="auto"/>
          <w:sz w:val="28"/>
          <w:szCs w:val="28"/>
          <w:highlight w:val="none"/>
        </w:rPr>
        <w:t xml:space="preserve">法定代表人授权书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w:t>
      </w:r>
      <w:bookmarkStart w:id="59" w:name="_Hlk185112499"/>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政府采购活动</w:t>
      </w:r>
      <w:bookmarkEnd w:id="59"/>
      <w:r>
        <w:rPr>
          <w:rFonts w:hint="eastAsia" w:ascii="宋体" w:hAnsi="宋体" w:eastAsia="宋体" w:cs="宋体"/>
          <w:color w:val="auto"/>
          <w:sz w:val="24"/>
          <w:szCs w:val="24"/>
          <w:highlight w:val="none"/>
        </w:rPr>
        <w:t xml:space="preserve">的合法代理人，处理与之有关的一切事务，包含在签署、澄清确认、递交、撤回、修改上述项目的投标文件，以及项目开启、评审、合同签订过程中所签署的一切文件等，我均予以承认。</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被授权人无转授权。</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u w:val="single"/>
        </w:rPr>
      </w:pPr>
      <w:r/>
      <w:bookmarkStart w:id="60" w:name="_Hlk183455934"/>
      <w:r>
        <w:rPr>
          <w:rFonts w:hint="eastAsia" w:ascii="宋体" w:hAnsi="宋体" w:eastAsia="宋体" w:cs="宋体"/>
          <w:color w:val="auto"/>
          <w:sz w:val="24"/>
          <w:szCs w:val="24"/>
          <w:highlight w:val="none"/>
        </w:rPr>
        <w:t xml:space="preserve">被授权人</w:t>
      </w:r>
      <w:bookmarkEnd w:id="60"/>
      <w:r>
        <w:rPr>
          <w:rFonts w:hint="eastAsia" w:ascii="宋体" w:hAnsi="宋体" w:eastAsia="宋体" w:cs="宋体"/>
          <w:color w:val="auto"/>
          <w:sz w:val="24"/>
          <w:szCs w:val="24"/>
          <w:highlight w:val="none"/>
        </w:rPr>
        <w:t xml:space="preserve">身份证号码：</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480"/>
        <w:jc w:val="left"/>
        <w:spacing w:line="360" w:lineRule="auto"/>
        <w:widowControl/>
        <w:rPr>
          <w:rFonts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被授权人有效期内的身份证正反面电子件。</w:t>
      </w:r>
      <w:r/>
    </w:p>
    <w:tbl>
      <w:tblPr>
        <w:tblStyle w:val="793"/>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0"/>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0" w:firstLine="3840"/>
        <w:spacing w:line="420" w:lineRule="exact"/>
        <w:tabs>
          <w:tab w:val="left" w:pos="55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投标人（加盖CA电子签章）：___________</w:t>
      </w:r>
      <w:r/>
    </w:p>
    <w:p>
      <w:pPr>
        <w:ind w:firstLine="4320"/>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法定代表人签字或盖电子章：</w:t>
      </w:r>
      <w:r/>
    </w:p>
    <w:p>
      <w:pPr>
        <w:ind w:firstLine="4320"/>
        <w:spacing w:line="42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6"/>
        <w:spacing w:line="42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jc w:val="center"/>
        <w:spacing w:line="420" w:lineRule="exact"/>
        <w:rPr>
          <w:rFonts w:ascii="宋体" w:hAnsi="宋体" w:eastAsia="宋体" w:cs="宋体"/>
          <w:b/>
          <w:bCs/>
          <w:color w:val="auto"/>
          <w:sz w:val="28"/>
          <w:szCs w:val="28"/>
          <w:highlight w:val="none"/>
          <w:u w:val="single"/>
        </w:rPr>
      </w:pPr>
      <w:r>
        <w:rPr>
          <w:rFonts w:hint="eastAsia" w:ascii="宋体" w:hAnsi="宋体" w:eastAsia="宋体" w:cs="宋体"/>
          <w:b/>
          <w:bCs/>
          <w:color w:val="auto"/>
          <w:sz w:val="24"/>
          <w:szCs w:val="24"/>
          <w:highlight w:val="none"/>
          <w:u w:val="single"/>
        </w:rPr>
        <w:t xml:space="preserve">注：如为法定代表人参与投标活动的，无须提供“法定代表人授权书”。</w:t>
      </w:r>
      <w:r/>
    </w:p>
    <w:p>
      <w:pPr>
        <w:ind w:firstLine="424"/>
        <w:spacing w:line="420" w:lineRule="exact"/>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bookmarkStart w:id="61" w:name="_Hlk135223429"/>
      <w:r/>
      <w:r/>
    </w:p>
    <w:p>
      <w:pPr>
        <w:jc w:val="center"/>
        <w:spacing w:line="360" w:lineRule="auto"/>
        <w:rPr>
          <w:rFonts w:ascii="宋体" w:hAnsi="宋体" w:eastAsia="宋体" w:cs="宋体"/>
          <w:color w:val="auto"/>
          <w:sz w:val="24"/>
          <w:szCs w:val="21"/>
          <w:highlight w:val="none"/>
        </w:rPr>
        <w:outlineLvl w:val="2"/>
      </w:pPr>
      <w:r>
        <w:rPr>
          <w:rFonts w:hint="eastAsia" w:ascii="宋体" w:hAnsi="宋体" w:eastAsia="宋体" w:cs="宋体"/>
          <w:b/>
          <w:bCs/>
          <w:color w:val="auto"/>
          <w:sz w:val="24"/>
          <w:szCs w:val="21"/>
          <w:highlight w:val="none"/>
        </w:rPr>
        <w:t xml:space="preserve">诚信承诺书</w:t>
      </w:r>
      <w:r/>
    </w:p>
    <w:p>
      <w:pPr>
        <w:ind w:firstLine="420"/>
        <w:jc w:val="cente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jc w:val="left"/>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color w:val="auto"/>
          <w:sz w:val="24"/>
          <w:szCs w:val="21"/>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我单位在参加贵单位组织的</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的招投标活动中，郑重承诺如下：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1.我方申报的所有资料都是真实、准确、完整的；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2.我方无资质挂靠或参与串标、围标、抬标情形；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3.我方没有被各级行政主管部门做出停止市场行为的处罚；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4.若我方中标，将严格按照规定及时与招标单位签订合同；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5.若我方中标，将严格按照投标文件所承诺的报价、服务等内容组织实施；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6.我方未被“信用中国”网站列入失信被执行人、重大税收违法案件当事人名单，未被“中国政府采购网”列入政府采购严重失信行为记录名单；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20"/>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20"/>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highlight w:val="none"/>
        </w:rPr>
        <w:t xml:space="preserve">（加盖CA电子签章）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jc w:val="center"/>
        <w:spacing w:line="360" w:lineRule="auto"/>
        <w:rPr>
          <w:rFonts w:ascii="宋体" w:hAnsi="宋体" w:eastAsia="宋体" w:cs="宋体"/>
          <w:b/>
          <w:bCs/>
          <w:color w:val="auto"/>
          <w:sz w:val="24"/>
          <w:szCs w:val="21"/>
          <w:highlight w:val="none"/>
        </w:rPr>
        <w:outlineLvl w:val="2"/>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1"/>
          <w:highlight w:val="none"/>
        </w:rPr>
        <w:t xml:space="preserve">投标人符合《中华人民共和国政府采购法》第二十二条规定条件的声明函</w:t>
      </w:r>
      <w:r/>
    </w:p>
    <w:p>
      <w:pPr>
        <w:spacing w:line="360" w:lineRule="auto"/>
        <w:rPr>
          <w:rFonts w:ascii="宋体" w:hAnsi="宋体" w:eastAsia="宋体" w:cs="宋体"/>
          <w:color w:val="auto"/>
          <w:sz w:val="24"/>
          <w:szCs w:val="21"/>
          <w:highlight w:val="none"/>
          <w:u w:val="single"/>
        </w:rPr>
      </w:pPr>
      <w:r>
        <w:rPr>
          <w:rFonts w:ascii="宋体" w:hAnsi="宋体" w:eastAsia="宋体" w:cs="宋体"/>
          <w:color w:val="auto"/>
          <w:sz w:val="24"/>
          <w:szCs w:val="21"/>
          <w:highlight w:val="none"/>
          <w:u w:val="single"/>
        </w:rPr>
      </w:r>
      <w:r/>
    </w:p>
    <w:p>
      <w:pPr>
        <w:spacing w:line="360" w:lineRule="auto"/>
        <w:rPr>
          <w:rFonts w:ascii="宋体" w:hAnsi="宋体" w:eastAsia="宋体" w:cs="宋体"/>
          <w:bCs/>
          <w:color w:val="auto"/>
          <w:sz w:val="24"/>
          <w:szCs w:val="21"/>
          <w:highlight w:val="non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bCs/>
          <w:color w:val="auto"/>
          <w:sz w:val="24"/>
          <w:szCs w:val="21"/>
          <w:highlight w:val="none"/>
        </w:rPr>
        <w:t xml:space="preserve">：</w:t>
      </w:r>
      <w:r/>
    </w:p>
    <w:p>
      <w:pPr>
        <w:ind w:firstLine="480"/>
        <w:spacing w:line="360" w:lineRule="auto"/>
        <w:rPr>
          <w:rFonts w:ascii="宋体" w:hAnsi="宋体" w:eastAsia="宋体" w:cs="宋体"/>
          <w:b/>
          <w:bCs/>
          <w:color w:val="auto"/>
          <w:sz w:val="24"/>
          <w:szCs w:val="21"/>
          <w:highlight w:val="none"/>
        </w:rPr>
      </w:pPr>
      <w:r>
        <w:rPr>
          <w:rFonts w:hint="eastAsia" w:ascii="宋体" w:hAnsi="宋体" w:eastAsia="宋体" w:cs="宋体"/>
          <w:bCs/>
          <w:color w:val="auto"/>
          <w:sz w:val="24"/>
          <w:szCs w:val="21"/>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2.我单位具有良好的商业信誉和健全的财务会计制度；</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3.我单位具有履行合同所必需的设备和专业技术能力；</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4.我单位有依法缴纳税收和社会保障资金的良好记录；</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6.我单位满足法律、行政法规规定的其他条件。</w:t>
      </w:r>
      <w:r/>
    </w:p>
    <w:p>
      <w:pPr>
        <w:pStyle w:val="946"/>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highlight w:val="none"/>
        </w:rPr>
        <w:t xml:space="preserve">（加盖CA电子签章）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132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5"/>
        <w:jc w:val="left"/>
        <w:spacing w:line="420" w:lineRule="exact"/>
        <w:rPr>
          <w:rFonts w:ascii="宋体" w:hAnsi="宋体" w:eastAsia="宋体" w:cs="宋体"/>
          <w:color w:val="auto"/>
          <w:highlight w:val="none"/>
        </w:rPr>
      </w:pPr>
      <w:r>
        <w:rPr>
          <w:rFonts w:ascii="宋体" w:hAnsi="宋体" w:eastAsia="宋体" w:cs="宋体"/>
          <w:color w:val="auto"/>
          <w:highlight w:val="none"/>
        </w:rPr>
      </w:r>
      <w:bookmarkEnd w:id="61"/>
      <w:r/>
      <w:r/>
    </w:p>
    <w:p>
      <w:pPr>
        <w:ind w:firstLine="424"/>
        <w:spacing w:line="420" w:lineRule="exact"/>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ascii="宋体" w:hAnsi="宋体" w:eastAsia="宋体" w:cs="宋体"/>
          <w:b/>
          <w:bCs/>
          <w:color w:val="auto"/>
          <w:highlight w:val="none"/>
        </w:rPr>
      </w:r>
      <w:r/>
    </w:p>
    <w:p>
      <w:pPr>
        <w:jc w:val="center"/>
        <w:spacing w:before="240" w:after="240" w:line="420" w:lineRule="exact"/>
        <w:rPr>
          <w:rFonts w:ascii="宋体" w:hAnsi="宋体" w:eastAsia="宋体" w:cs="宋体"/>
          <w:b/>
          <w:bCs/>
          <w:color w:val="auto"/>
          <w:sz w:val="28"/>
          <w:szCs w:val="28"/>
          <w:highlight w:val="none"/>
        </w:rPr>
      </w:pPr>
      <w:r/>
      <w:bookmarkStart w:id="62" w:name="_Hlk69861907"/>
      <w:r/>
      <w:bookmarkEnd w:id="62"/>
      <w:r/>
      <w:bookmarkStart w:id="63" w:name="_Hlk183444939"/>
      <w:r/>
      <w:bookmarkStart w:id="64" w:name="_Hlk183451010"/>
      <w:r>
        <w:rPr>
          <w:rFonts w:hint="eastAsia" w:ascii="宋体" w:hAnsi="宋体" w:eastAsia="宋体" w:cs="宋体"/>
          <w:b/>
          <w:bCs/>
          <w:color w:val="auto"/>
          <w:sz w:val="28"/>
          <w:szCs w:val="28"/>
          <w:highlight w:val="none"/>
        </w:rPr>
        <w:t xml:space="preserve">投标响应函</w:t>
      </w:r>
      <w:r/>
    </w:p>
    <w:p>
      <w:pPr>
        <w:spacing w:after="240"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致：南通港闸经济开发区管理委员会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的政府采购活动的招标文件，正式授权______（被授权人姓名）代表我方______________（投标人的名称），全权处理本次项目投标的有关事宜。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据此函，__________（被授权人签字）兹宣布同意如下：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1.按照招标文件规定的各项要求，向买方提供所需服务（包含与服务相关的货物）。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4.同意规定的从提交投标文件截止之日起计的六十（60）天期满之前，我们提交的投标文件均保持有效。开启日期起，本项目招标文件的各项要求，对我们均具有约束力。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5.同意向贵方提供贵方可能另外要求的与招标有关的任何证据或资料，并保证我方已提供和将要提供的文件是真实的、准确的。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6.一旦我方中标，我方将根据招标文件的规定，严格履行合同的责任和义务，并保证在招标文件规定的时间内，为买方提供服务。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7.与本次采购活动有关的正式通讯地址为：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ascii="宋体" w:hAnsi="宋体" w:eastAsia="宋体" w:cs="宋体"/>
          <w:color w:val="auto"/>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auto"/>
          <w:sz w:val="24"/>
          <w:szCs w:val="24"/>
          <w:highlight w:val="none"/>
        </w:rPr>
        <w:t xml:space="preserve">日期：________年____月____日</w:t>
      </w:r>
      <w:bookmarkEnd w:id="56"/>
      <w:r/>
      <w:bookmarkEnd w:id="63"/>
      <w:r/>
      <w:bookmarkEnd w:id="64"/>
      <w:r/>
      <w:r/>
    </w:p>
    <w:p>
      <w:pPr>
        <w:jc w:val="center"/>
        <w:spacing w:line="360" w:lineRule="auto"/>
        <w:rPr>
          <w:rFonts w:ascii="宋体" w:hAnsi="宋体" w:eastAsia="宋体" w:cs="宋体"/>
          <w:b/>
          <w:bCs/>
          <w:color w:val="auto"/>
          <w:szCs w:val="21"/>
          <w:highlight w:val="none"/>
        </w:rPr>
        <w:outlineLvl w:val="2"/>
      </w:pPr>
      <w:r>
        <w:rPr>
          <w:rFonts w:hint="eastAsia" w:ascii="宋体" w:hAnsi="宋体" w:eastAsia="宋体" w:cs="宋体"/>
          <w:b/>
          <w:bCs/>
          <w:color w:val="auto"/>
          <w:szCs w:val="24"/>
          <w:highlight w:val="none"/>
        </w:rPr>
        <w:t xml:space="preserve">投标人一般情况表</w:t>
      </w:r>
      <w:r/>
    </w:p>
    <w:tbl>
      <w:tblPr>
        <w:tblStyle w:val="79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公司具备的相关资质等级及相应的证书号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w:t>
            </w:r>
            <w:r>
              <w:rPr>
                <w:rFonts w:hint="eastAsia" w:ascii="宋体" w:hAnsi="宋体" w:eastAsia="宋体" w:cs="宋体"/>
                <w:color w:val="auto"/>
                <w:sz w:val="24"/>
                <w:szCs w:val="24"/>
                <w:highlight w:val="none"/>
                <w:u w:val="single"/>
              </w:rPr>
              <w:t xml:space="preserve">          （是否通过，何种）</w:t>
            </w:r>
            <w:r>
              <w:rPr>
                <w:rFonts w:hint="eastAsia" w:ascii="宋体" w:hAnsi="宋体" w:eastAsia="宋体" w:cs="宋体"/>
                <w:color w:val="auto"/>
                <w:sz w:val="24"/>
                <w:szCs w:val="24"/>
                <w:highlight w:val="none"/>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Borders>
              <w:top w:val="single" w:color="000000" w:sz="4" w:space="0"/>
              <w:left w:val="none" w:color="000000" w:sz="4" w:space="0"/>
              <w:bottom w:val="single" w:color="000000" w:sz="4" w:space="0"/>
              <w:right w:val="single" w:color="000000" w:sz="4" w:space="0"/>
            </w:tcBorders>
            <w:tcW w:w="1320"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tcPr>
          <w:p>
            <w:pP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营业执照载明：</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highlight w:val="none"/>
        </w:rPr>
        <w:t xml:space="preserve">（加盖CA电子签章）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t xml:space="preserve">现场勘察函</w:t>
      </w:r>
      <w:r/>
    </w:p>
    <w:p>
      <w:pPr>
        <w:spacing w:after="240"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致：南通港闸经济开发区管理委员会</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依据贵单位</w:t>
      </w:r>
      <w:r>
        <w:rPr>
          <w:rFonts w:hint="eastAsia" w:ascii="宋体" w:eastAsia="宋体" w:cs="宋体"/>
          <w:color w:val="auto"/>
          <w:sz w:val="24"/>
          <w:szCs w:val="24"/>
          <w:highlight w:val="none"/>
          <w:u w:val="single"/>
        </w:rPr>
        <w:t xml:space="preserve">       （项目名称）               </w:t>
      </w:r>
      <w:r>
        <w:rPr>
          <w:rFonts w:hint="eastAsia" w:ascii="宋体" w:eastAsia="宋体" w:cs="宋体"/>
          <w:color w:val="auto"/>
          <w:sz w:val="24"/>
          <w:szCs w:val="24"/>
          <w:highlight w:val="none"/>
        </w:rPr>
        <w:t xml:space="preserve">项目招标文件的要求。我方已对该项目进行了现场勘察，现就现场勘察情况作如下承诺：</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1.经现场勘察，我方已熟悉与该项目相关的所有情况。</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2.我方承诺自行承担本次现场勘察所发生的所有费用并承担勘察现场的相关责任和风险。</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3.我方承诺在任何情况下均不以不完全了解现场情况为理由而向采购单位提出任何索赔的要求。</w:t>
      </w:r>
      <w:r/>
    </w:p>
    <w:p>
      <w:pPr>
        <w:pStyle w:val="1214"/>
        <w:contextualSpacing/>
        <w:ind w:firstLine="480"/>
        <w:spacing w:line="360" w:lineRule="auto"/>
        <w:rPr>
          <w:rFonts w:ascii="宋体" w:eastAsia="宋体" w:cs="宋体"/>
          <w:color w:val="auto"/>
          <w:sz w:val="24"/>
          <w:szCs w:val="24"/>
          <w:highlight w:val="none"/>
        </w:rPr>
      </w:pPr>
      <w:r>
        <w:rPr>
          <w:rFonts w:ascii="宋体" w:eastAsia="宋体" w:cs="宋体"/>
          <w:color w:val="auto"/>
          <w:sz w:val="24"/>
          <w:szCs w:val="24"/>
          <w:highlight w:val="none"/>
        </w:rPr>
      </w:r>
      <w:r/>
    </w:p>
    <w:p>
      <w:pPr>
        <w:jc w:val="right"/>
        <w:spacing w:line="52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right"/>
        <w:spacing w:line="52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2400"/>
        <w:jc w:val="righ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jc w:val="righ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ind w:left="6010" w:hanging="2760"/>
        <w:jc w:val="left"/>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32"/>
        <w:ind w:firstLine="420"/>
        <w:rPr>
          <w:color w:val="auto"/>
          <w:highlight w:val="none"/>
        </w:rPr>
      </w:pPr>
      <w:r>
        <w:rPr>
          <w:color w:val="auto"/>
          <w:highlight w:val="none"/>
        </w:rPr>
      </w:r>
      <w:r/>
    </w:p>
    <w:p>
      <w:pPr>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1"/>
          <w:highlight w:val="none"/>
        </w:rPr>
        <w:br w:type="page" w:clear="all"/>
      </w:r>
      <w:r/>
    </w:p>
    <w:p>
      <w:pPr>
        <w:jc w:val="center"/>
        <w:spacing w:line="360" w:lineRule="auto"/>
        <w:rPr>
          <w:rFonts w:ascii="宋体" w:hAnsi="宋体" w:eastAsia="宋体" w:cs="宋体"/>
          <w:b/>
          <w:color w:val="auto"/>
          <w:sz w:val="32"/>
          <w:szCs w:val="32"/>
          <w:highlight w:val="none"/>
        </w:rPr>
        <w:outlineLvl w:val="2"/>
      </w:pPr>
      <w:r>
        <w:rPr>
          <w:rFonts w:hint="eastAsia" w:ascii="宋体" w:hAnsi="宋体" w:eastAsia="宋体" w:cs="宋体"/>
          <w:b/>
          <w:bCs/>
          <w:color w:val="auto"/>
          <w:szCs w:val="24"/>
          <w:highlight w:val="none"/>
        </w:rPr>
        <w:t xml:space="preserve">商务部分正负偏离表</w:t>
      </w:r>
      <w:r/>
    </w:p>
    <w:p>
      <w:pPr>
        <w:ind w:firstLine="560"/>
        <w:jc w:val="center"/>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793"/>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542"/>
        <w:gridCol w:w="2220"/>
        <w:gridCol w:w="2865"/>
        <w:gridCol w:w="1578"/>
      </w:tblGrid>
      <w:tr>
        <w:trPr>
          <w:trHeight w:val="994"/>
        </w:trPr>
        <w:tc>
          <w:tcPr>
            <w:tcW w:w="854" w:type="dxa"/>
            <w:vAlign w:val="center"/>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序号</w:t>
            </w:r>
            <w:r/>
          </w:p>
        </w:tc>
        <w:tc>
          <w:tcPr>
            <w:tcW w:w="2329" w:type="dxa"/>
            <w:vAlign w:val="center"/>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货物或服务名称</w:t>
            </w:r>
            <w:r/>
          </w:p>
        </w:tc>
        <w:tc>
          <w:tcPr>
            <w:tcW w:w="2034" w:type="dxa"/>
            <w:vAlign w:val="center"/>
            <w:textDirection w:val="lrTb"/>
            <w:noWrap/>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招标文件要求的商务条款</w:t>
            </w:r>
            <w:r/>
          </w:p>
        </w:tc>
        <w:tc>
          <w:tcPr>
            <w:tcW w:w="2624" w:type="dxa"/>
            <w:vAlign w:val="center"/>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投标文件响应情况</w:t>
            </w:r>
            <w:r/>
          </w:p>
        </w:tc>
        <w:tc>
          <w:tcPr>
            <w:tcW w:w="1445" w:type="dxa"/>
            <w:textDirection w:val="lrTb"/>
            <w:noWrap/>
          </w:tcPr>
          <w:p>
            <w:pPr>
              <w:jc w:val="center"/>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偏离说明</w:t>
            </w:r>
            <w:r/>
          </w:p>
        </w:tc>
      </w:tr>
      <w:tr>
        <w:trPr>
          <w:trHeight w:val="414"/>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r>
        <w:trPr>
          <w:trHeight w:val="548"/>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r>
        <w:trPr>
          <w:trHeight w:val="400"/>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r>
        <w:trPr>
          <w:trHeight w:val="419"/>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bl>
    <w:p>
      <w:pPr>
        <w:contextualSpacing/>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1.投标人提交的投标文件中与招标文件第三章“项目需求”中的商务部分的要求，应逐条填列在偏离表中。</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3.本项目商务条款不接受负偏离，有负偏离的按无效标处理。投标人若提供其他增值服务，可以在表中自行据实填写。</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4.若完全响应本项目需求且无偏离，投标时本表仅第一行写明“完全响应”并加盖CA章提供。</w:t>
      </w:r>
      <w:r/>
    </w:p>
    <w:p>
      <w:pPr>
        <w:jc w:val="center"/>
        <w:spacing w:line="360" w:lineRule="auto"/>
        <w:rPr>
          <w:rFonts w:ascii="宋体" w:hAnsi="宋体" w:eastAsia="宋体" w:cs="宋体"/>
          <w:color w:val="auto"/>
          <w:sz w:val="24"/>
          <w:highlight w:val="none"/>
        </w:rPr>
        <w:outlineLvl w:val="2"/>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4"/>
          <w:szCs w:val="24"/>
          <w:highlight w:val="none"/>
        </w:rPr>
        <w:t xml:space="preserve">技术部分正负偏离表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793"/>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30"/>
        <w:gridCol w:w="2545"/>
        <w:gridCol w:w="2220"/>
        <w:gridCol w:w="2864"/>
        <w:gridCol w:w="1578"/>
      </w:tblGrid>
      <w:tr>
        <w:trPr>
          <w:trHeight w:val="994"/>
        </w:trPr>
        <w:tc>
          <w:tcPr>
            <w:tcW w:w="852"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货物或服务名称</w:t>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招标文件要求的技术要求</w:t>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投标文件响应情况</w:t>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偏离说明</w:t>
            </w:r>
            <w:r/>
          </w:p>
        </w:tc>
      </w:tr>
      <w:tr>
        <w:trPr>
          <w:trHeight w:val="414"/>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548"/>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400"/>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419"/>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bl>
    <w:p>
      <w:pPr>
        <w:contextualSpacing/>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1.投标人提交的投标文件中与招标文件第三章“项目需求”中的技术部分的要求，应逐条填列在偏离表中。</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3.投标人若提供其他增值服务，可以在表中自行据实填写。</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4.若完全响应本项目需求且无偏离，投标时本表仅第一行写明“完全响应”并加盖CA章提供。</w:t>
      </w:r>
      <w:r/>
    </w:p>
    <w:p>
      <w:pPr>
        <w:spacing w:line="360" w:lineRule="auto"/>
        <w:rPr>
          <w:rFonts w:ascii="宋体" w:hAnsi="宋体" w:eastAsia="宋体" w:cs="宋体"/>
          <w:b/>
          <w:bCs/>
          <w:color w:val="auto"/>
          <w:sz w:val="24"/>
          <w:szCs w:val="21"/>
          <w:highlight w:val="none"/>
        </w:rPr>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ind w:firstLine="2530"/>
        <w:spacing w:line="360" w:lineRule="auto"/>
        <w:rPr>
          <w:rFonts w:ascii="宋体" w:hAnsi="宋体" w:eastAsia="宋体" w:cs="宋体"/>
          <w:b/>
          <w:bCs/>
          <w:color w:val="auto"/>
          <w:sz w:val="30"/>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t xml:space="preserve">         拟投入本项目人员明细表</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p>
      <w:pPr>
        <w:pStyle w:val="819"/>
        <w:ind w:firstLine="0"/>
        <w:rPr>
          <w:rFonts w:eastAsia="宋体"/>
          <w:color w:val="auto"/>
          <w:highlight w:val="none"/>
        </w:rPr>
      </w:pPr>
      <w:r>
        <w:rPr>
          <w:rFonts w:hint="eastAsia" w:ascii="宋体" w:hAnsi="宋体" w:eastAsia="宋体" w:cs="宋体"/>
          <w:b/>
          <w:bCs/>
          <w:color w:val="auto"/>
          <w:sz w:val="24"/>
          <w:szCs w:val="24"/>
          <w:highlight w:val="none"/>
        </w:rPr>
        <w:t xml:space="preserve">项目编号：</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74"/>
        <w:gridCol w:w="1001"/>
        <w:gridCol w:w="990"/>
        <w:gridCol w:w="1515"/>
        <w:gridCol w:w="2775"/>
        <w:gridCol w:w="1083"/>
      </w:tblGrid>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拟派岗位</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tcPr>
          <w:p>
            <w:pPr>
              <w:ind w:firstLine="241"/>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本项目工作范围</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bl>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注明：投标供应商须提供相关服务人员不少于8名，其中包括项目负责人1名，项目团队成员至少7名。其中项目负责人须具备一定的工作经验和较高的专业水平等。</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20"/>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260"/>
        <w:spacing w:line="440" w:lineRule="exact"/>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投标供应商（盖公章）：</w:t>
      </w:r>
      <w:r/>
    </w:p>
    <w:p>
      <w:pPr>
        <w:ind w:firstLine="260"/>
        <w:spacing w:line="440" w:lineRule="exact"/>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被授权委托人签字：</w:t>
      </w:r>
      <w:r/>
    </w:p>
    <w:p>
      <w:pPr>
        <w:ind w:firstLine="260"/>
        <w:jc w:val="left"/>
        <w:spacing w:line="440" w:lineRule="exact"/>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2026年 　 月　   日</w:t>
      </w:r>
      <w:r/>
    </w:p>
    <w:p>
      <w:pPr>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before="240" w:after="240" w:line="4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本公司郑重声明，根据《政府采购促进中小企业发展管理办法》（财库﹝2020﹞46号）的规定，本公司参加</w:t>
      </w:r>
      <w:bookmarkStart w:id="65" w:name="_Hlk78325824"/>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[项目编号：]</w:t>
      </w:r>
      <w:bookmarkEnd w:id="65"/>
      <w:r>
        <w:rPr>
          <w:rFonts w:hint="eastAsia" w:ascii="宋体" w:hAnsi="宋体" w:eastAsia="宋体" w:cs="宋体"/>
          <w:color w:val="auto"/>
          <w:sz w:val="24"/>
          <w:szCs w:val="24"/>
          <w:highlight w:val="none"/>
          <w:lang w:val="zh-CN"/>
        </w:rPr>
        <w:t xml:space="preserve">采购活动，该项目</w:t>
      </w:r>
      <w:r>
        <w:rPr>
          <w:rFonts w:hint="eastAsia" w:ascii="宋体" w:hAnsi="宋体" w:eastAsia="宋体" w:cs="宋体"/>
          <w:color w:val="auto"/>
          <w:sz w:val="24"/>
          <w:szCs w:val="24"/>
          <w:highlight w:val="none"/>
          <w:u w:val="single"/>
          <w:lang w:val="zh-CN"/>
        </w:rPr>
        <w:t xml:space="preserve">  服务  </w:t>
      </w:r>
      <w:r>
        <w:rPr>
          <w:rFonts w:hint="eastAsia" w:ascii="宋体" w:hAnsi="宋体" w:eastAsia="宋体" w:cs="宋体"/>
          <w:color w:val="auto"/>
          <w:sz w:val="24"/>
          <w:szCs w:val="24"/>
          <w:highlight w:val="none"/>
          <w:lang w:val="zh-CN"/>
        </w:rPr>
        <w:t xml:space="preserve">全部由符合政策要求的中小企业：本公司承接。本公司具体情况如下：</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原南通新广生化工地块风险管控工程服务项目（二次）属于招标文件中明确规定的“其他未列明行业”行业  </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2.承接企业为</w:t>
      </w:r>
      <w:r>
        <w:rPr>
          <w:rFonts w:hint="eastAsia" w:ascii="宋体" w:hAnsi="宋体" w:eastAsia="宋体" w:cs="宋体"/>
          <w:i/>
          <w:iCs/>
          <w:color w:val="auto"/>
          <w:sz w:val="24"/>
          <w:szCs w:val="24"/>
          <w:highlight w:val="none"/>
          <w:u w:val="single"/>
          <w:lang w:val="zh-CN"/>
        </w:rPr>
        <w:t xml:space="preserve">（填具投标人名称）</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3.本公司从业人员</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人；</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4.本公司营业收入为</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万元；</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1.依据工信部联企业〔2011〕300号《关于印发中小企业划型标准规定的通知》中的中小企业划型标准规定，本项目供应商属于“其他未列明行业”内的中小企业，将享受中小企业扶持政策。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2.“其他未列明行业”中小企业划型标准：从业人员300人以下的为中小微型企业。其中，从业人员100人及以上的为中型企业；从业人员10人及以上的为小型企业；从业人员10人以下的为微型企业。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4.参加本次采购活动，投标人须严格按照《政府采购促进中小企业发展管理办法》（财库﹝2020﹞46号）的文件要求，出具填报“中小企业声明函”。</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5.专门面向中小微型企业采购的项目，投标人如不提供此声明函，则不能通过资格审查；非专门面向中小微型企业采购的项目，投标人如不提供此声明函，价格将不做相应扣除。</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6.投标人自行勾选承接企业的企业规模类型。</w:t>
      </w:r>
      <w:r/>
    </w:p>
    <w:p>
      <w:pPr>
        <w:ind w:firstLine="522"/>
        <w:spacing w:line="360" w:lineRule="auto"/>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ascii="宋体" w:hAnsi="宋体" w:eastAsia="宋体" w:cs="宋体"/>
          <w:b/>
          <w:bCs/>
          <w:color w:val="auto"/>
          <w:highlight w:val="none"/>
        </w:rPr>
      </w:r>
      <w:r/>
    </w:p>
    <w:p>
      <w:pPr>
        <w:jc w:val="center"/>
        <w:spacing w:before="240" w:after="240" w:line="420" w:lineRule="exact"/>
        <w:rPr>
          <w:rFonts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残疾人福利性单位声明函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1.专门面向中小微型企业采购的项目，投标人为残疾人福利性单位并提供服务的必须提供此声明函，否则将不能通过资格审查。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2.非专门面向中小微型企业采购的项目，投标人如不提供此声明函，价格将不做相应扣除。</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监狱企业证明函</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根据《财政部司法部关于政府采购支持监狱企业发展有关问题的通知》（财库〔2014〕68号）的规定，（填写供应商法定全称）为监狱企业。</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特此声明。</w:t>
      </w:r>
      <w:r/>
    </w:p>
    <w:p>
      <w:pPr>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省级以上监狱管理局、戒毒管理局（含新疆生产建设兵团）（盖章）：</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1"/>
          <w:highlight w:val="none"/>
        </w:rPr>
        <w:t xml:space="preserve">日期：</w:t>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highlight w:val="none"/>
        </w:rPr>
        <w:outlineLvl w:val="3"/>
      </w:pPr>
      <w:r>
        <w:rPr>
          <w:rFonts w:hint="eastAsia" w:ascii="宋体" w:hAnsi="宋体" w:eastAsia="宋体" w:cs="宋体"/>
          <w:b/>
          <w:bCs/>
          <w:color w:val="auto"/>
          <w:highlight w:val="none"/>
        </w:rPr>
        <w:t xml:space="preserve">商务技术标评分标准中需提供的相关得分佐证材料</w:t>
      </w:r>
      <w:r/>
    </w:p>
    <w:p>
      <w:pPr>
        <w:ind w:firstLine="485"/>
        <w:jc w:val="left"/>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ind w:firstLine="485"/>
        <w:jc w:val="left"/>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格式自拟。</w:t>
      </w:r>
      <w:r/>
    </w:p>
    <w:sectPr>
      <w:headerReference w:type="default" r:id="rId13"/>
      <w:footerReference w:type="default" r:id="rId17"/>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Tahoma">
    <w:panose1 w:val="020B0604030504040204"/>
  </w:font>
  <w:font w:name="Menlo">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创艺简仿宋">
    <w:panose1 w:val="020B0503020202020204"/>
  </w:font>
  <w:font w:name="楷体_GB2312">
    <w:panose1 w:val="02010609060101010101"/>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b/>
        <w:sz w:val="24"/>
        <w:szCs w:val="24"/>
      </w:rPr>
      <w:fldChar w:fldCharType="begin"/>
    </w:r>
    <w:r>
      <w:rPr>
        <w:b/>
      </w:rPr>
      <w:instrText xml:space="preserve">PAGE</w:instrText>
    </w:r>
    <w:r>
      <w:rPr>
        <w:b/>
        <w:sz w:val="24"/>
        <w:szCs w:val="24"/>
      </w:rPr>
      <w:fldChar w:fldCharType="separate"/>
    </w:r>
    <w:r>
      <w:rPr>
        <w:b/>
      </w:rPr>
      <w:t xml:space="preserve">49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1000"/>
      </w:rPr>
      <w:framePr w:wrap="around" w:vAnchor="text" w:hAnchor="margin" w:xAlign="right" w:y="1"/>
    </w:pPr>
    <w:r>
      <w:fldChar w:fldCharType="begin"/>
    </w:r>
    <w:r>
      <w:rPr>
        <w:rStyle w:val="1000"/>
      </w:rPr>
      <w:instrText xml:space="preserve">PAGE  </w:instrText>
    </w:r>
    <w:r>
      <w:fldChar w:fldCharType="end"/>
    </w:r>
    <w:r/>
  </w:p>
  <w:p>
    <w:pPr>
      <w:pStyle w:val="9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9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b/>
        <w:sz w:val="24"/>
        <w:szCs w:val="24"/>
      </w:rPr>
      <w:fldChar w:fldCharType="begin"/>
    </w:r>
    <w:r>
      <w:rPr>
        <w:b/>
      </w:rPr>
      <w:instrText xml:space="preserve">PAGE</w:instrText>
    </w:r>
    <w:r>
      <w:rPr>
        <w:b/>
        <w:sz w:val="24"/>
        <w:szCs w:val="24"/>
      </w:rPr>
      <w:fldChar w:fldCharType="separate"/>
    </w:r>
    <w:r>
      <w:rPr>
        <w:b/>
      </w:rPr>
      <w:t xml:space="preserve">69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p>
    <w:pPr>
      <w:pStyle w:val="966"/>
      <w:ind w:firstLine="342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30"/>
      <w:isLgl w:val="false"/>
      <w:suff w:val="tab"/>
      <w:lvlText w:val="%1.%2.%3.%4.%5"/>
      <w:lvlJc w:val="left"/>
      <w:pPr>
        <w:ind w:left="1008" w:hanging="1008"/>
        <w:tabs>
          <w:tab w:val="left" w:pos="1008" w:leader="none"/>
        </w:tabs>
      </w:pPr>
    </w:lvl>
    <w:lvl w:ilvl="5">
      <w:start w:val="1"/>
      <w:numFmt w:val="decimal"/>
      <w:pStyle w:val="931"/>
      <w:isLgl w:val="false"/>
      <w:suff w:val="tab"/>
      <w:lvlText w:val="%1.%2.%3.%4.%5.%6"/>
      <w:lvlJc w:val="left"/>
      <w:pPr>
        <w:ind w:left="1152" w:hanging="1152"/>
        <w:tabs>
          <w:tab w:val="left" w:pos="1152" w:leader="none"/>
        </w:tabs>
      </w:pPr>
    </w:lvl>
    <w:lvl w:ilvl="6">
      <w:start w:val="1"/>
      <w:numFmt w:val="decimal"/>
      <w:pStyle w:val="932"/>
      <w:isLgl w:val="false"/>
      <w:suff w:val="tab"/>
      <w:lvlText w:val="%1.%2.%3.%4.%5.%6.%7"/>
      <w:lvlJc w:val="left"/>
      <w:pPr>
        <w:ind w:left="1296" w:hanging="1296"/>
        <w:tabs>
          <w:tab w:val="left" w:pos="1296" w:leader="none"/>
        </w:tabs>
      </w:pPr>
    </w:lvl>
    <w:lvl w:ilvl="7">
      <w:start w:val="1"/>
      <w:numFmt w:val="decimal"/>
      <w:pStyle w:val="933"/>
      <w:isLgl w:val="false"/>
      <w:suff w:val="tab"/>
      <w:lvlText w:val="%1.%2.%3.%4.%5.%6.%7.%8"/>
      <w:lvlJc w:val="left"/>
      <w:pPr>
        <w:ind w:left="1440" w:hanging="1440"/>
        <w:tabs>
          <w:tab w:val="left" w:pos="1440" w:leader="none"/>
        </w:tabs>
      </w:pPr>
    </w:lvl>
    <w:lvl w:ilvl="8">
      <w:start w:val="1"/>
      <w:numFmt w:val="decimal"/>
      <w:pStyle w:val="934"/>
      <w:isLgl w:val="false"/>
      <w:suff w:val="tab"/>
      <w:lvlText w:val="%1.%2.%3.%4.%5.%6.%7.%8.%9"/>
      <w:lvlJc w:val="left"/>
      <w:pPr>
        <w:ind w:left="1584" w:hanging="1584"/>
        <w:tabs>
          <w:tab w:val="left" w:pos="1584" w:leader="none"/>
        </w:tabs>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TOC Heading"/>
    <w:uiPriority w:val="39"/>
    <w:unhideWhenUsed/>
  </w:style>
  <w:style w:type="paragraph" w:styleId="782" w:default="1">
    <w:name w:val="Normal"/>
    <w:next w:val="794"/>
    <w:uiPriority w:val="0"/>
    <w:qFormat/>
    <w:pPr>
      <w:jc w:val="both"/>
      <w:widowControl w:val="off"/>
    </w:pPr>
    <w:rPr>
      <w:rFonts w:ascii="Times New Roman" w:hAnsi="Times New Roman" w:eastAsia="楷体_GB2312" w:cs="Times New Roman"/>
      <w:sz w:val="26"/>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uiPriority w:val="9"/>
    <w:unhideWhenUsed/>
    <w:qFormat/>
    <w:pPr>
      <w:keepLines/>
      <w:keepNext/>
      <w:spacing w:before="320" w:after="200"/>
      <w:outlineLvl w:val="3"/>
    </w:pPr>
    <w:rPr>
      <w:rFonts w:ascii="Arial" w:hAnsi="Arial" w:eastAsia="Arial" w:cs="Arial"/>
      <w:b/>
      <w:bCs/>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Body Text"/>
    <w:basedOn w:val="782"/>
    <w:next w:val="782"/>
    <w:uiPriority w:val="0"/>
    <w:unhideWhenUsed/>
    <w:qFormat/>
    <w:pPr>
      <w:spacing w:after="120"/>
    </w:pPr>
    <w:rPr>
      <w:rFonts w:eastAsia="宋体"/>
      <w:szCs w:val="24"/>
    </w:rPr>
  </w:style>
  <w:style w:type="paragraph" w:styleId="795">
    <w:name w:val="toc 7"/>
    <w:basedOn w:val="782"/>
    <w:next w:val="782"/>
    <w:uiPriority w:val="39"/>
    <w:unhideWhenUsed/>
    <w:qFormat/>
    <w:pPr>
      <w:ind w:left="1701"/>
      <w:spacing w:after="57"/>
    </w:pPr>
  </w:style>
  <w:style w:type="paragraph" w:styleId="796">
    <w:name w:val="Caption"/>
    <w:basedOn w:val="782"/>
    <w:next w:val="782"/>
    <w:uiPriority w:val="35"/>
    <w:semiHidden/>
    <w:unhideWhenUsed/>
    <w:qFormat/>
    <w:pPr>
      <w:spacing w:line="276" w:lineRule="auto"/>
    </w:pPr>
    <w:rPr>
      <w:b/>
      <w:bCs/>
      <w:color w:val="4f81bd" w:themeColor="accent1"/>
      <w:sz w:val="18"/>
      <w:szCs w:val="18"/>
    </w:rPr>
  </w:style>
  <w:style w:type="paragraph" w:styleId="797">
    <w:name w:val="annotation text"/>
    <w:basedOn w:val="782"/>
    <w:link w:val="1372"/>
    <w:uiPriority w:val="0"/>
    <w:qFormat/>
    <w:pPr>
      <w:jc w:val="left"/>
    </w:pPr>
  </w:style>
  <w:style w:type="paragraph" w:styleId="798">
    <w:name w:val="Body Text Indent"/>
    <w:basedOn w:val="782"/>
    <w:next w:val="799"/>
    <w:uiPriority w:val="99"/>
    <w:qFormat/>
    <w:pPr>
      <w:ind w:firstLine="420"/>
      <w:spacing w:line="360" w:lineRule="exact"/>
    </w:pPr>
    <w:rPr>
      <w:szCs w:val="21"/>
    </w:rPr>
  </w:style>
  <w:style w:type="paragraph" w:styleId="799">
    <w:name w:val="envelope return"/>
    <w:basedOn w:val="782"/>
    <w:uiPriority w:val="0"/>
    <w:qFormat/>
    <w:rPr>
      <w:rFonts w:ascii="Arial" w:hAnsi="Arial" w:cs="Arial"/>
    </w:rPr>
  </w:style>
  <w:style w:type="paragraph" w:styleId="800">
    <w:name w:val="toc 5"/>
    <w:basedOn w:val="782"/>
    <w:next w:val="782"/>
    <w:uiPriority w:val="39"/>
    <w:unhideWhenUsed/>
    <w:qFormat/>
    <w:pPr>
      <w:ind w:left="1134"/>
      <w:spacing w:after="57"/>
    </w:pPr>
  </w:style>
  <w:style w:type="paragraph" w:styleId="801">
    <w:name w:val="toc 3"/>
    <w:basedOn w:val="782"/>
    <w:next w:val="782"/>
    <w:uiPriority w:val="39"/>
    <w:unhideWhenUsed/>
    <w:qFormat/>
    <w:pPr>
      <w:ind w:left="567"/>
      <w:spacing w:after="57"/>
    </w:pPr>
  </w:style>
  <w:style w:type="paragraph" w:styleId="802">
    <w:name w:val="Plain Text"/>
    <w:basedOn w:val="782"/>
    <w:uiPriority w:val="0"/>
    <w:qFormat/>
    <w:rPr>
      <w:rFonts w:ascii="宋体" w:hAnsi="Courier New"/>
      <w:sz w:val="24"/>
    </w:rPr>
  </w:style>
  <w:style w:type="paragraph" w:styleId="803">
    <w:name w:val="toc 8"/>
    <w:basedOn w:val="782"/>
    <w:next w:val="782"/>
    <w:uiPriority w:val="39"/>
    <w:unhideWhenUsed/>
    <w:qFormat/>
    <w:pPr>
      <w:ind w:left="1984"/>
      <w:spacing w:after="57"/>
    </w:pPr>
  </w:style>
  <w:style w:type="paragraph" w:styleId="804">
    <w:name w:val="endnote text"/>
    <w:basedOn w:val="782"/>
    <w:uiPriority w:val="99"/>
    <w:semiHidden/>
    <w:unhideWhenUsed/>
    <w:qFormat/>
    <w:rPr>
      <w:sz w:val="20"/>
    </w:rPr>
  </w:style>
  <w:style w:type="paragraph" w:styleId="805">
    <w:name w:val="Balloon Text"/>
    <w:basedOn w:val="782"/>
    <w:link w:val="1371"/>
    <w:uiPriority w:val="99"/>
    <w:semiHidden/>
    <w:unhideWhenUsed/>
    <w:qFormat/>
    <w:rPr>
      <w:sz w:val="18"/>
      <w:szCs w:val="18"/>
    </w:rPr>
  </w:style>
  <w:style w:type="paragraph" w:styleId="806">
    <w:name w:val="Footer"/>
    <w:basedOn w:val="782"/>
    <w:uiPriority w:val="99"/>
    <w:unhideWhenUsed/>
    <w:qFormat/>
    <w:pPr>
      <w:tabs>
        <w:tab w:val="center" w:pos="7143" w:leader="none"/>
        <w:tab w:val="right" w:pos="14287" w:leader="none"/>
      </w:tabs>
    </w:pPr>
  </w:style>
  <w:style w:type="paragraph" w:styleId="807">
    <w:name w:val="Header"/>
    <w:basedOn w:val="782"/>
    <w:uiPriority w:val="99"/>
    <w:unhideWhenUsed/>
    <w:qFormat/>
    <w:pPr>
      <w:tabs>
        <w:tab w:val="center" w:pos="7143" w:leader="none"/>
        <w:tab w:val="right" w:pos="14287" w:leader="none"/>
      </w:tabs>
    </w:pPr>
  </w:style>
  <w:style w:type="paragraph" w:styleId="808">
    <w:name w:val="toc 1"/>
    <w:basedOn w:val="782"/>
    <w:next w:val="782"/>
    <w:uiPriority w:val="39"/>
    <w:unhideWhenUsed/>
    <w:qFormat/>
    <w:pPr>
      <w:spacing w:after="57"/>
    </w:pPr>
  </w:style>
  <w:style w:type="paragraph" w:styleId="809">
    <w:name w:val="toc 4"/>
    <w:basedOn w:val="782"/>
    <w:next w:val="782"/>
    <w:uiPriority w:val="39"/>
    <w:unhideWhenUsed/>
    <w:qFormat/>
    <w:pPr>
      <w:ind w:left="850"/>
      <w:spacing w:after="57"/>
    </w:pPr>
  </w:style>
  <w:style w:type="paragraph" w:styleId="810">
    <w:name w:val="Subtitle"/>
    <w:basedOn w:val="782"/>
    <w:next w:val="782"/>
    <w:uiPriority w:val="11"/>
    <w:qFormat/>
    <w:pPr>
      <w:spacing w:before="200" w:after="200"/>
    </w:pPr>
    <w:rPr>
      <w:sz w:val="24"/>
      <w:szCs w:val="24"/>
    </w:rPr>
  </w:style>
  <w:style w:type="paragraph" w:styleId="811">
    <w:name w:val="footnote text"/>
    <w:basedOn w:val="782"/>
    <w:uiPriority w:val="99"/>
    <w:semiHidden/>
    <w:unhideWhenUsed/>
    <w:qFormat/>
    <w:pPr>
      <w:spacing w:after="40"/>
    </w:pPr>
    <w:rPr>
      <w:sz w:val="18"/>
    </w:rPr>
  </w:style>
  <w:style w:type="paragraph" w:styleId="812">
    <w:name w:val="toc 6"/>
    <w:basedOn w:val="782"/>
    <w:next w:val="782"/>
    <w:uiPriority w:val="39"/>
    <w:unhideWhenUsed/>
    <w:qFormat/>
    <w:pPr>
      <w:ind w:left="1417"/>
      <w:spacing w:after="57"/>
    </w:pPr>
  </w:style>
  <w:style w:type="paragraph" w:styleId="813">
    <w:name w:val="table of figures"/>
    <w:basedOn w:val="782"/>
    <w:next w:val="782"/>
    <w:uiPriority w:val="99"/>
    <w:unhideWhenUsed/>
    <w:qFormat/>
  </w:style>
  <w:style w:type="paragraph" w:styleId="814">
    <w:name w:val="toc 2"/>
    <w:basedOn w:val="782"/>
    <w:next w:val="782"/>
    <w:uiPriority w:val="39"/>
    <w:unhideWhenUsed/>
    <w:qFormat/>
    <w:pPr>
      <w:ind w:left="283"/>
      <w:spacing w:after="57"/>
    </w:pPr>
  </w:style>
  <w:style w:type="paragraph" w:styleId="815">
    <w:name w:val="toc 9"/>
    <w:basedOn w:val="782"/>
    <w:next w:val="782"/>
    <w:uiPriority w:val="39"/>
    <w:unhideWhenUsed/>
    <w:qFormat/>
    <w:pPr>
      <w:ind w:left="2268"/>
      <w:spacing w:after="57"/>
    </w:pPr>
  </w:style>
  <w:style w:type="paragraph" w:styleId="816">
    <w:name w:val="Normal (Web)"/>
    <w:basedOn w:val="782"/>
    <w:uiPriority w:val="99"/>
    <w:semiHidden/>
    <w:unhideWhenUsed/>
    <w:qFormat/>
    <w:pPr>
      <w:jc w:val="left"/>
    </w:pPr>
    <w:rPr>
      <w:sz w:val="24"/>
    </w:rPr>
  </w:style>
  <w:style w:type="paragraph" w:styleId="817">
    <w:name w:val="Title"/>
    <w:basedOn w:val="782"/>
    <w:next w:val="782"/>
    <w:uiPriority w:val="10"/>
    <w:qFormat/>
    <w:pPr>
      <w:contextualSpacing/>
      <w:spacing w:before="300" w:after="200"/>
    </w:pPr>
    <w:rPr>
      <w:sz w:val="48"/>
      <w:szCs w:val="48"/>
    </w:rPr>
  </w:style>
  <w:style w:type="paragraph" w:styleId="818">
    <w:name w:val="annotation subject"/>
    <w:basedOn w:val="797"/>
    <w:next w:val="797"/>
    <w:link w:val="1373"/>
    <w:uiPriority w:val="99"/>
    <w:semiHidden/>
    <w:unhideWhenUsed/>
    <w:qFormat/>
    <w:rPr>
      <w:b/>
      <w:bCs/>
    </w:rPr>
  </w:style>
  <w:style w:type="paragraph" w:styleId="819">
    <w:name w:val="Body Text First Indent"/>
    <w:basedOn w:val="794"/>
    <w:uiPriority w:val="99"/>
    <w:qFormat/>
    <w:pPr>
      <w:ind w:firstLine="200"/>
      <w:spacing w:line="360" w:lineRule="auto"/>
    </w:pPr>
    <w:rPr>
      <w:rFonts w:ascii="仿宋_GB2312" w:eastAsia="仿宋_GB2312"/>
      <w:sz w:val="30"/>
      <w:szCs w:val="20"/>
    </w:rPr>
  </w:style>
  <w:style w:type="paragraph" w:styleId="820">
    <w:name w:val="Body Text First Indent 2"/>
    <w:basedOn w:val="798"/>
    <w:uiPriority w:val="99"/>
    <w:unhideWhenUsed/>
    <w:qFormat/>
    <w:pPr>
      <w:ind w:left="420" w:firstLine="200"/>
      <w:spacing w:after="120"/>
    </w:pPr>
    <w:rPr>
      <w:rFonts w:ascii="Calibri" w:hAnsi="Calibri" w:eastAsia="宋体"/>
      <w:sz w:val="21"/>
      <w:szCs w:val="24"/>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92"/>
    <w:uiPriority w:val="22"/>
    <w:qFormat/>
    <w:rPr>
      <w:b/>
    </w:rPr>
  </w:style>
  <w:style w:type="character" w:styleId="823">
    <w:name w:val="endnote reference"/>
    <w:uiPriority w:val="99"/>
    <w:semiHidden/>
    <w:unhideWhenUsed/>
    <w:qFormat/>
    <w:rPr>
      <w:vertAlign w:val="superscript"/>
    </w:rPr>
  </w:style>
  <w:style w:type="character" w:styleId="824">
    <w:name w:val="FollowedHyperlink"/>
    <w:basedOn w:val="792"/>
    <w:uiPriority w:val="99"/>
    <w:semiHidden/>
    <w:unhideWhenUsed/>
    <w:qFormat/>
    <w:rPr>
      <w:color w:val="333333"/>
      <w:u w:val="none"/>
    </w:rPr>
  </w:style>
  <w:style w:type="character" w:styleId="825">
    <w:name w:val="Hyperlink"/>
    <w:uiPriority w:val="99"/>
    <w:unhideWhenUsed/>
    <w:qFormat/>
    <w:rPr>
      <w:color w:val="0000ff" w:themeColor="hyperlink"/>
      <w:u w:val="single"/>
    </w:rPr>
  </w:style>
  <w:style w:type="character" w:styleId="826">
    <w:name w:val="annotation reference"/>
    <w:basedOn w:val="792"/>
    <w:uiPriority w:val="99"/>
    <w:semiHidden/>
    <w:unhideWhenUsed/>
    <w:qFormat/>
    <w:rPr>
      <w:sz w:val="21"/>
      <w:szCs w:val="21"/>
    </w:rPr>
  </w:style>
  <w:style w:type="character" w:styleId="827">
    <w:name w:val="footnote reference"/>
    <w:uiPriority w:val="99"/>
    <w:unhideWhenUsed/>
    <w:qFormat/>
    <w:rPr>
      <w:vertAlign w:val="superscript"/>
    </w:rPr>
  </w:style>
  <w:style w:type="paragraph" w:styleId="828" w:customStyle="1">
    <w:name w:val="正文首行缩进1"/>
    <w:basedOn w:val="829"/>
    <w:uiPriority w:val="0"/>
    <w:qFormat/>
    <w:pPr>
      <w:ind w:firstLine="200"/>
    </w:pPr>
    <w:rPr>
      <w:rFonts w:ascii="仿宋_GB2312" w:eastAsia="仿宋_GB2312"/>
      <w:sz w:val="30"/>
      <w:szCs w:val="30"/>
    </w:rPr>
  </w:style>
  <w:style w:type="paragraph" w:styleId="829" w:customStyle="1">
    <w:name w:val="正文文本1"/>
    <w:basedOn w:val="830"/>
    <w:next w:val="782"/>
    <w:uiPriority w:val="0"/>
    <w:qFormat/>
    <w:pPr>
      <w:spacing w:line="400" w:lineRule="exact"/>
    </w:pPr>
    <w:rPr>
      <w:rFonts w:ascii="楷体_GB2312"/>
      <w:sz w:val="28"/>
      <w:lang w:eastAsia="en-US"/>
    </w:rPr>
  </w:style>
  <w:style w:type="paragraph" w:styleId="830" w:customStyle="1">
    <w:name w:val="正文11"/>
    <w:next w:val="829"/>
    <w:uiPriority w:val="99"/>
    <w:qFormat/>
    <w:pPr>
      <w:jc w:val="both"/>
      <w:widowControl w:val="off"/>
    </w:pPr>
    <w:rPr>
      <w:rFonts w:ascii="Calibri" w:hAnsi="Calibri" w:eastAsia="宋体" w:cs="Times New Roman"/>
      <w:sz w:val="21"/>
      <w:szCs w:val="21"/>
      <w:lang w:val="en-US" w:eastAsia="zh-CN" w:bidi="ar-SA"/>
    </w:rPr>
  </w:style>
  <w:style w:type="paragraph" w:styleId="831" w:customStyle="1">
    <w:name w:val="目录 82"/>
    <w:next w:val="782"/>
    <w:uiPriority w:val="0"/>
    <w:qFormat/>
    <w:pPr>
      <w:ind w:left="2975"/>
      <w:jc w:val="both"/>
    </w:pPr>
    <w:rPr>
      <w:rFonts w:ascii="宋体" w:hAnsi="宋体" w:eastAsia="宋体" w:cs="宋体"/>
      <w:sz w:val="21"/>
      <w:lang w:val="en-US" w:eastAsia="zh-CN" w:bidi="ar-SA"/>
    </w:rPr>
  </w:style>
  <w:style w:type="paragraph" w:styleId="832">
    <w:name w:val="List Paragraph"/>
    <w:basedOn w:val="782"/>
    <w:uiPriority w:val="34"/>
    <w:qFormat/>
    <w:pPr>
      <w:contextualSpacing/>
      <w:ind w:left="720"/>
    </w:pPr>
  </w:style>
  <w:style w:type="paragraph" w:styleId="833">
    <w:name w:val="No Spacing"/>
    <w:uiPriority w:val="1"/>
    <w:qFormat/>
    <w:rPr>
      <w:rFonts w:ascii="Times New Roman" w:hAnsi="Times New Roman" w:eastAsia="宋体" w:cs="Times New Roman"/>
      <w:lang w:val="en-US" w:eastAsia="zh-CN" w:bidi="ar-SA"/>
    </w:rPr>
  </w:style>
  <w:style w:type="paragraph" w:styleId="834">
    <w:name w:val="Quote"/>
    <w:basedOn w:val="782"/>
    <w:next w:val="782"/>
    <w:uiPriority w:val="29"/>
    <w:qFormat/>
    <w:pPr>
      <w:ind w:left="720" w:right="720"/>
    </w:pPr>
    <w:rPr>
      <w:i/>
    </w:rPr>
  </w:style>
  <w:style w:type="paragraph" w:styleId="835">
    <w:name w:val="Intense Quote"/>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6" w:customStyle="1">
    <w:name w:val="标题 112"/>
    <w:basedOn w:val="782"/>
    <w:next w:val="782"/>
    <w:uiPriority w:val="9"/>
    <w:qFormat/>
    <w:pPr>
      <w:keepLines/>
      <w:keepNext/>
      <w:spacing w:before="480" w:after="200"/>
      <w:outlineLvl w:val="0"/>
    </w:pPr>
    <w:rPr>
      <w:rFonts w:ascii="Arial" w:hAnsi="Arial" w:eastAsia="Arial" w:cs="Arial"/>
      <w:sz w:val="40"/>
      <w:szCs w:val="40"/>
    </w:rPr>
  </w:style>
  <w:style w:type="paragraph" w:styleId="837" w:customStyle="1">
    <w:name w:val="标题 212"/>
    <w:basedOn w:val="782"/>
    <w:next w:val="782"/>
    <w:uiPriority w:val="9"/>
    <w:qFormat/>
    <w:pPr>
      <w:keepLines/>
      <w:keepNext/>
      <w:spacing w:before="360" w:after="200"/>
      <w:outlineLvl w:val="1"/>
    </w:pPr>
    <w:rPr>
      <w:rFonts w:ascii="Arial" w:hAnsi="Arial" w:eastAsia="Arial" w:cs="Arial"/>
      <w:sz w:val="34"/>
    </w:rPr>
  </w:style>
  <w:style w:type="paragraph" w:styleId="838" w:customStyle="1">
    <w:name w:val="标题 312"/>
    <w:basedOn w:val="782"/>
    <w:next w:val="782"/>
    <w:uiPriority w:val="9"/>
    <w:qFormat/>
    <w:pPr>
      <w:keepLines/>
      <w:keepNext/>
      <w:spacing w:before="320" w:after="200"/>
      <w:outlineLvl w:val="2"/>
    </w:pPr>
    <w:rPr>
      <w:rFonts w:ascii="Arial" w:hAnsi="Arial" w:eastAsia="Arial" w:cs="Arial"/>
      <w:sz w:val="30"/>
      <w:szCs w:val="30"/>
    </w:rPr>
  </w:style>
  <w:style w:type="paragraph" w:styleId="839" w:customStyle="1">
    <w:name w:val="标题 412"/>
    <w:basedOn w:val="782"/>
    <w:next w:val="782"/>
    <w:uiPriority w:val="9"/>
    <w:qFormat/>
    <w:pPr>
      <w:keepLines/>
      <w:keepNext/>
      <w:spacing w:before="320" w:after="200"/>
      <w:outlineLvl w:val="3"/>
    </w:pPr>
    <w:rPr>
      <w:rFonts w:ascii="Arial" w:hAnsi="Arial" w:eastAsia="Arial" w:cs="Arial"/>
      <w:b/>
      <w:bCs/>
      <w:szCs w:val="26"/>
    </w:rPr>
  </w:style>
  <w:style w:type="paragraph" w:styleId="840" w:customStyle="1">
    <w:name w:val="标题 512"/>
    <w:basedOn w:val="782"/>
    <w:next w:val="782"/>
    <w:uiPriority w:val="9"/>
    <w:qFormat/>
    <w:pPr>
      <w:keepLines/>
      <w:keepNext/>
      <w:spacing w:before="320" w:after="200"/>
      <w:outlineLvl w:val="4"/>
    </w:pPr>
    <w:rPr>
      <w:rFonts w:ascii="Arial" w:hAnsi="Arial" w:eastAsia="Arial" w:cs="Arial"/>
      <w:b/>
      <w:bCs/>
      <w:sz w:val="24"/>
      <w:szCs w:val="24"/>
    </w:rPr>
  </w:style>
  <w:style w:type="paragraph" w:styleId="841" w:customStyle="1">
    <w:name w:val="标题 612"/>
    <w:basedOn w:val="782"/>
    <w:next w:val="782"/>
    <w:uiPriority w:val="9"/>
    <w:qFormat/>
    <w:pPr>
      <w:keepLines/>
      <w:keepNext/>
      <w:spacing w:before="320" w:after="200"/>
      <w:outlineLvl w:val="5"/>
    </w:pPr>
    <w:rPr>
      <w:rFonts w:ascii="Arial" w:hAnsi="Arial" w:eastAsia="Arial" w:cs="Arial"/>
      <w:b/>
      <w:bCs/>
      <w:sz w:val="22"/>
      <w:szCs w:val="22"/>
    </w:rPr>
  </w:style>
  <w:style w:type="paragraph" w:styleId="842" w:customStyle="1">
    <w:name w:val="标题 712"/>
    <w:basedOn w:val="782"/>
    <w:next w:val="782"/>
    <w:uiPriority w:val="9"/>
    <w:qFormat/>
    <w:pPr>
      <w:keepLines/>
      <w:keepNext/>
      <w:spacing w:before="320" w:after="200"/>
      <w:outlineLvl w:val="6"/>
    </w:pPr>
    <w:rPr>
      <w:rFonts w:ascii="Arial" w:hAnsi="Arial" w:eastAsia="Arial" w:cs="Arial"/>
      <w:b/>
      <w:bCs/>
      <w:i/>
      <w:iCs/>
      <w:sz w:val="22"/>
      <w:szCs w:val="22"/>
    </w:rPr>
  </w:style>
  <w:style w:type="paragraph" w:styleId="843" w:customStyle="1">
    <w:name w:val="标题 812"/>
    <w:basedOn w:val="782"/>
    <w:next w:val="782"/>
    <w:uiPriority w:val="9"/>
    <w:qFormat/>
    <w:pPr>
      <w:keepLines/>
      <w:keepNext/>
      <w:spacing w:before="320" w:after="200"/>
      <w:outlineLvl w:val="7"/>
    </w:pPr>
    <w:rPr>
      <w:rFonts w:ascii="Arial" w:hAnsi="Arial" w:eastAsia="Arial" w:cs="Arial"/>
      <w:i/>
      <w:iCs/>
      <w:sz w:val="22"/>
      <w:szCs w:val="22"/>
    </w:rPr>
  </w:style>
  <w:style w:type="paragraph" w:styleId="844" w:customStyle="1">
    <w:name w:val="标题 912"/>
    <w:basedOn w:val="782"/>
    <w:next w:val="782"/>
    <w:uiPriority w:val="9"/>
    <w:qFormat/>
    <w:pPr>
      <w:keepLines/>
      <w:keepNext/>
      <w:spacing w:before="320" w:after="200"/>
      <w:outlineLvl w:val="8"/>
    </w:pPr>
    <w:rPr>
      <w:rFonts w:ascii="Arial" w:hAnsi="Arial" w:eastAsia="Arial" w:cs="Arial"/>
      <w:i/>
      <w:iCs/>
      <w:sz w:val="21"/>
      <w:szCs w:val="21"/>
    </w:rPr>
  </w:style>
  <w:style w:type="character" w:styleId="845" w:customStyle="1">
    <w:name w:val="默认段落字体12"/>
    <w:uiPriority w:val="1"/>
    <w:unhideWhenUsed/>
    <w:qFormat/>
  </w:style>
  <w:style w:type="table" w:styleId="846" w:customStyle="1">
    <w:name w:val="普通表格12"/>
    <w:uiPriority w:val="99"/>
    <w:unhideWhenUsed/>
    <w:qFormat/>
    <w:tblPr>
      <w:tblCellMar>
        <w:left w:w="0" w:type="dxa"/>
        <w:top w:w="0" w:type="dxa"/>
        <w:right w:w="0" w:type="dxa"/>
        <w:bottom w:w="0" w:type="dxa"/>
      </w:tblCellMar>
    </w:tblPr>
  </w:style>
  <w:style w:type="paragraph" w:styleId="847" w:customStyle="1">
    <w:name w:val="正文首行缩进 2112"/>
    <w:basedOn w:val="848"/>
    <w:next w:val="850"/>
    <w:uiPriority w:val="99"/>
    <w:unhideWhenUsed/>
    <w:qFormat/>
    <w:pPr>
      <w:ind w:firstLine="420"/>
    </w:pPr>
  </w:style>
  <w:style w:type="paragraph" w:styleId="848" w:customStyle="1">
    <w:name w:val="正文文本缩进112"/>
    <w:basedOn w:val="782"/>
    <w:next w:val="849"/>
    <w:uiPriority w:val="0"/>
    <w:qFormat/>
    <w:pPr>
      <w:ind w:left="420"/>
      <w:spacing w:after="120"/>
    </w:pPr>
  </w:style>
  <w:style w:type="paragraph" w:styleId="849" w:customStyle="1">
    <w:name w:val="寄信人地址112"/>
    <w:basedOn w:val="782"/>
    <w:uiPriority w:val="99"/>
    <w:unhideWhenUsed/>
    <w:qFormat/>
    <w:rPr>
      <w:rFonts w:ascii="Arial" w:hAnsi="Arial"/>
    </w:rPr>
  </w:style>
  <w:style w:type="paragraph" w:styleId="850" w:customStyle="1">
    <w:name w:val="正文首行缩进12"/>
    <w:basedOn w:val="851"/>
    <w:next w:val="782"/>
    <w:uiPriority w:val="0"/>
    <w:qFormat/>
    <w:pPr>
      <w:ind w:firstLine="420"/>
      <w:spacing w:after="120"/>
    </w:pPr>
    <w:rPr>
      <w:rFonts w:ascii="Calibri"/>
      <w:sz w:val="26"/>
    </w:rPr>
  </w:style>
  <w:style w:type="paragraph" w:styleId="851" w:customStyle="1">
    <w:name w:val="正文文本14"/>
    <w:basedOn w:val="782"/>
    <w:next w:val="782"/>
    <w:uiPriority w:val="0"/>
    <w:qFormat/>
    <w:rPr>
      <w:rFonts w:ascii="仿宋_GB2312" w:eastAsia="仿宋_GB2312"/>
      <w:sz w:val="24"/>
    </w:rPr>
  </w:style>
  <w:style w:type="paragraph" w:styleId="852" w:customStyle="1">
    <w:name w:val="目录 712"/>
    <w:basedOn w:val="782"/>
    <w:next w:val="782"/>
    <w:uiPriority w:val="39"/>
    <w:unhideWhenUsed/>
    <w:qFormat/>
    <w:pPr>
      <w:ind w:left="1701"/>
      <w:spacing w:after="57"/>
    </w:pPr>
  </w:style>
  <w:style w:type="paragraph" w:styleId="853" w:customStyle="1">
    <w:name w:val="题注12"/>
    <w:basedOn w:val="782"/>
    <w:next w:val="782"/>
    <w:uiPriority w:val="35"/>
    <w:qFormat/>
    <w:pPr>
      <w:spacing w:line="276" w:lineRule="auto"/>
    </w:pPr>
    <w:rPr>
      <w:b/>
      <w:bCs/>
      <w:color w:val="4f81bd"/>
      <w:sz w:val="18"/>
      <w:szCs w:val="18"/>
    </w:rPr>
  </w:style>
  <w:style w:type="paragraph" w:styleId="854" w:customStyle="1">
    <w:name w:val="目录 512"/>
    <w:basedOn w:val="782"/>
    <w:next w:val="782"/>
    <w:uiPriority w:val="39"/>
    <w:unhideWhenUsed/>
    <w:qFormat/>
    <w:pPr>
      <w:ind w:left="1134"/>
      <w:spacing w:after="57"/>
    </w:pPr>
  </w:style>
  <w:style w:type="paragraph" w:styleId="855" w:customStyle="1">
    <w:name w:val="目录 312"/>
    <w:basedOn w:val="782"/>
    <w:next w:val="782"/>
    <w:uiPriority w:val="39"/>
    <w:unhideWhenUsed/>
    <w:qFormat/>
    <w:pPr>
      <w:ind w:left="567"/>
      <w:spacing w:after="57"/>
    </w:pPr>
  </w:style>
  <w:style w:type="paragraph" w:styleId="856" w:customStyle="1">
    <w:name w:val="目录 812"/>
    <w:basedOn w:val="782"/>
    <w:next w:val="782"/>
    <w:uiPriority w:val="39"/>
    <w:unhideWhenUsed/>
    <w:qFormat/>
    <w:pPr>
      <w:ind w:left="1984"/>
      <w:spacing w:after="57"/>
    </w:pPr>
  </w:style>
  <w:style w:type="paragraph" w:styleId="857" w:customStyle="1">
    <w:name w:val="正文文本缩进 211"/>
    <w:basedOn w:val="782"/>
    <w:uiPriority w:val="0"/>
    <w:qFormat/>
    <w:pPr>
      <w:ind w:firstLine="420"/>
    </w:pPr>
    <w:rPr>
      <w:color w:val="ff6600"/>
    </w:rPr>
  </w:style>
  <w:style w:type="paragraph" w:styleId="858" w:customStyle="1">
    <w:name w:val="尾注文本12"/>
    <w:basedOn w:val="782"/>
    <w:uiPriority w:val="99"/>
    <w:unhideWhenUsed/>
    <w:qFormat/>
    <w:rPr>
      <w:sz w:val="20"/>
    </w:rPr>
  </w:style>
  <w:style w:type="paragraph" w:styleId="859" w:customStyle="1">
    <w:name w:val="页脚112"/>
    <w:basedOn w:val="782"/>
    <w:uiPriority w:val="99"/>
    <w:unhideWhenUsed/>
    <w:qFormat/>
    <w:pPr>
      <w:tabs>
        <w:tab w:val="center" w:pos="7143" w:leader="none"/>
        <w:tab w:val="right" w:pos="14287" w:leader="none"/>
      </w:tabs>
    </w:pPr>
  </w:style>
  <w:style w:type="paragraph" w:styleId="860" w:customStyle="1">
    <w:name w:val="页眉12"/>
    <w:basedOn w:val="782"/>
    <w:uiPriority w:val="99"/>
    <w:unhideWhenUsed/>
    <w:qFormat/>
    <w:pPr>
      <w:tabs>
        <w:tab w:val="center" w:pos="7143" w:leader="none"/>
        <w:tab w:val="right" w:pos="14287" w:leader="none"/>
      </w:tabs>
    </w:pPr>
  </w:style>
  <w:style w:type="paragraph" w:styleId="861" w:customStyle="1">
    <w:name w:val="目录 112"/>
    <w:basedOn w:val="782"/>
    <w:next w:val="782"/>
    <w:uiPriority w:val="39"/>
    <w:unhideWhenUsed/>
    <w:qFormat/>
    <w:pPr>
      <w:spacing w:after="57"/>
    </w:pPr>
  </w:style>
  <w:style w:type="paragraph" w:styleId="862" w:customStyle="1">
    <w:name w:val="目录 412"/>
    <w:basedOn w:val="782"/>
    <w:next w:val="782"/>
    <w:uiPriority w:val="39"/>
    <w:unhideWhenUsed/>
    <w:qFormat/>
    <w:pPr>
      <w:ind w:left="850"/>
      <w:spacing w:after="57"/>
    </w:pPr>
  </w:style>
  <w:style w:type="paragraph" w:styleId="863" w:customStyle="1">
    <w:name w:val="副标题12"/>
    <w:basedOn w:val="782"/>
    <w:next w:val="782"/>
    <w:uiPriority w:val="11"/>
    <w:qFormat/>
    <w:pPr>
      <w:spacing w:before="200" w:after="200"/>
    </w:pPr>
    <w:rPr>
      <w:sz w:val="24"/>
      <w:szCs w:val="24"/>
    </w:rPr>
  </w:style>
  <w:style w:type="paragraph" w:styleId="864" w:customStyle="1">
    <w:name w:val="脚注文本12"/>
    <w:basedOn w:val="782"/>
    <w:uiPriority w:val="99"/>
    <w:unhideWhenUsed/>
    <w:qFormat/>
    <w:pPr>
      <w:spacing w:after="40"/>
    </w:pPr>
    <w:rPr>
      <w:sz w:val="18"/>
    </w:rPr>
  </w:style>
  <w:style w:type="paragraph" w:styleId="865" w:customStyle="1">
    <w:name w:val="目录 612"/>
    <w:basedOn w:val="782"/>
    <w:next w:val="782"/>
    <w:uiPriority w:val="39"/>
    <w:unhideWhenUsed/>
    <w:qFormat/>
    <w:pPr>
      <w:ind w:left="1417"/>
      <w:spacing w:after="57"/>
    </w:pPr>
  </w:style>
  <w:style w:type="paragraph" w:styleId="866" w:customStyle="1">
    <w:name w:val="图表目录12"/>
    <w:basedOn w:val="782"/>
    <w:next w:val="782"/>
    <w:uiPriority w:val="99"/>
    <w:unhideWhenUsed/>
    <w:qFormat/>
  </w:style>
  <w:style w:type="paragraph" w:styleId="867" w:customStyle="1">
    <w:name w:val="目录 212"/>
    <w:basedOn w:val="782"/>
    <w:next w:val="782"/>
    <w:uiPriority w:val="39"/>
    <w:unhideWhenUsed/>
    <w:qFormat/>
    <w:pPr>
      <w:ind w:left="283"/>
      <w:spacing w:after="57"/>
    </w:pPr>
  </w:style>
  <w:style w:type="paragraph" w:styleId="868" w:customStyle="1">
    <w:name w:val="目录 912"/>
    <w:basedOn w:val="782"/>
    <w:next w:val="782"/>
    <w:uiPriority w:val="39"/>
    <w:unhideWhenUsed/>
    <w:qFormat/>
    <w:pPr>
      <w:ind w:left="2268"/>
      <w:spacing w:after="57"/>
    </w:pPr>
  </w:style>
  <w:style w:type="paragraph" w:styleId="869" w:customStyle="1">
    <w:name w:val="普通(网站)11"/>
    <w:basedOn w:val="782"/>
    <w:uiPriority w:val="99"/>
    <w:unhideWhenUsed/>
    <w:qFormat/>
    <w:pPr>
      <w:jc w:val="left"/>
      <w:pBdr>
        <w:top w:val="none" w:color="000000" w:sz="0" w:space="0"/>
        <w:left w:val="none" w:color="000000" w:sz="0" w:space="0"/>
        <w:bottom w:val="none" w:color="000000" w:sz="0" w:space="0"/>
        <w:right w:val="none" w:color="000000" w:sz="0" w:space="0"/>
      </w:pBdr>
    </w:pPr>
    <w:rPr>
      <w:sz w:val="24"/>
    </w:rPr>
  </w:style>
  <w:style w:type="paragraph" w:styleId="870" w:customStyle="1">
    <w:name w:val="标题12"/>
    <w:basedOn w:val="782"/>
    <w:next w:val="782"/>
    <w:uiPriority w:val="10"/>
    <w:qFormat/>
    <w:pPr>
      <w:contextualSpacing/>
      <w:spacing w:before="300" w:after="200"/>
    </w:pPr>
    <w:rPr>
      <w:sz w:val="48"/>
      <w:szCs w:val="48"/>
    </w:rPr>
  </w:style>
  <w:style w:type="table" w:styleId="871" w:customStyle="1">
    <w:name w:val="网格型13"/>
    <w:uiPriority w:val="59"/>
    <w:qFormat/>
    <w:tblPr>
      <w:tblCellMar>
        <w:left w:w="0" w:type="dxa"/>
        <w:top w:w="0" w:type="dxa"/>
        <w:right w:w="0" w:type="dxa"/>
        <w:bottom w:w="0" w:type="dxa"/>
      </w:tblCellMar>
    </w:tblPr>
  </w:style>
  <w:style w:type="character" w:styleId="872" w:customStyle="1">
    <w:name w:val="要点11"/>
    <w:basedOn w:val="845"/>
    <w:uiPriority w:val="22"/>
    <w:qFormat/>
    <w:rPr>
      <w:b/>
    </w:rPr>
  </w:style>
  <w:style w:type="character" w:styleId="873" w:customStyle="1">
    <w:name w:val="尾注引用12"/>
    <w:uiPriority w:val="99"/>
    <w:unhideWhenUsed/>
    <w:qFormat/>
    <w:rPr>
      <w:vertAlign w:val="superscript"/>
    </w:rPr>
  </w:style>
  <w:style w:type="character" w:styleId="874" w:customStyle="1">
    <w:name w:val="已访问的超链接11"/>
    <w:basedOn w:val="845"/>
    <w:uiPriority w:val="99"/>
    <w:unhideWhenUsed/>
    <w:qFormat/>
    <w:rPr>
      <w:color w:val="800080"/>
      <w:u w:val="none"/>
    </w:rPr>
  </w:style>
  <w:style w:type="character" w:styleId="875" w:customStyle="1">
    <w:name w:val="HTML 定义11"/>
    <w:basedOn w:val="845"/>
    <w:uiPriority w:val="99"/>
    <w:unhideWhenUsed/>
    <w:qFormat/>
  </w:style>
  <w:style w:type="character" w:styleId="876" w:customStyle="1">
    <w:name w:val="HTML 打字机1"/>
    <w:basedOn w:val="845"/>
    <w:uiPriority w:val="99"/>
    <w:unhideWhenUsed/>
    <w:qFormat/>
    <w:rPr>
      <w:rFonts w:ascii="monospace" w:hAnsi="monospace" w:eastAsia="monospace" w:cs="monospace"/>
      <w:sz w:val="20"/>
    </w:rPr>
  </w:style>
  <w:style w:type="character" w:styleId="877" w:customStyle="1">
    <w:name w:val="HTML 缩写1"/>
    <w:basedOn w:val="845"/>
    <w:uiPriority w:val="99"/>
    <w:unhideWhenUsed/>
    <w:qFormat/>
  </w:style>
  <w:style w:type="character" w:styleId="878" w:customStyle="1">
    <w:name w:val="HTML 变量1"/>
    <w:basedOn w:val="845"/>
    <w:uiPriority w:val="99"/>
    <w:unhideWhenUsed/>
    <w:qFormat/>
  </w:style>
  <w:style w:type="character" w:styleId="879" w:customStyle="1">
    <w:name w:val="超链接12"/>
    <w:basedOn w:val="845"/>
    <w:uiPriority w:val="99"/>
    <w:unhideWhenUsed/>
    <w:qFormat/>
    <w:rPr>
      <w:color w:val="0000ff"/>
      <w:u w:val="none"/>
    </w:rPr>
  </w:style>
  <w:style w:type="character" w:styleId="880" w:customStyle="1">
    <w:name w:val="HTML 代码11"/>
    <w:basedOn w:val="845"/>
    <w:uiPriority w:val="99"/>
    <w:unhideWhenUsed/>
    <w:qFormat/>
    <w:rPr>
      <w:rFonts w:ascii="monospace" w:hAnsi="monospace" w:eastAsia="monospace" w:cs="monospace"/>
      <w:sz w:val="20"/>
    </w:rPr>
  </w:style>
  <w:style w:type="character" w:styleId="881" w:customStyle="1">
    <w:name w:val="HTML 引文11"/>
    <w:basedOn w:val="845"/>
    <w:uiPriority w:val="99"/>
    <w:unhideWhenUsed/>
    <w:qFormat/>
  </w:style>
  <w:style w:type="character" w:styleId="882" w:customStyle="1">
    <w:name w:val="脚注引用12"/>
    <w:uiPriority w:val="99"/>
    <w:unhideWhenUsed/>
    <w:qFormat/>
    <w:rPr>
      <w:vertAlign w:val="superscript"/>
    </w:rPr>
  </w:style>
  <w:style w:type="character" w:styleId="883" w:customStyle="1">
    <w:name w:val="HTML 键盘11"/>
    <w:basedOn w:val="845"/>
    <w:uiPriority w:val="99"/>
    <w:unhideWhenUsed/>
    <w:qFormat/>
    <w:rPr>
      <w:rFonts w:ascii="monospace" w:hAnsi="monospace" w:eastAsia="monospace" w:cs="monospace"/>
      <w:sz w:val="20"/>
    </w:rPr>
  </w:style>
  <w:style w:type="character" w:styleId="884" w:customStyle="1">
    <w:name w:val="HTML 样本11"/>
    <w:basedOn w:val="845"/>
    <w:uiPriority w:val="99"/>
    <w:unhideWhenUsed/>
    <w:qFormat/>
    <w:rPr>
      <w:rFonts w:ascii="monospace" w:hAnsi="monospace" w:eastAsia="monospace" w:cs="monospace"/>
    </w:rPr>
  </w:style>
  <w:style w:type="paragraph" w:styleId="885" w:customStyle="1">
    <w:name w:val="正文文本13"/>
    <w:basedOn w:val="782"/>
    <w:next w:val="782"/>
    <w:uiPriority w:val="0"/>
    <w:qFormat/>
    <w:rPr>
      <w:rFonts w:ascii="仿宋_GB2312" w:eastAsia="仿宋_GB2312"/>
      <w:sz w:val="24"/>
    </w:rPr>
  </w:style>
  <w:style w:type="paragraph" w:styleId="886" w:customStyle="1">
    <w:name w:val="正文首行缩进 21"/>
    <w:basedOn w:val="887"/>
    <w:uiPriority w:val="0"/>
    <w:unhideWhenUsed/>
    <w:qFormat/>
    <w:pPr>
      <w:ind w:firstLine="420"/>
    </w:pPr>
  </w:style>
  <w:style w:type="paragraph" w:styleId="887" w:customStyle="1">
    <w:name w:val="正文文本缩进1"/>
    <w:basedOn w:val="782"/>
    <w:next w:val="888"/>
    <w:uiPriority w:val="0"/>
    <w:unhideWhenUsed/>
    <w:qFormat/>
    <w:pPr>
      <w:ind w:left="420"/>
      <w:spacing w:after="120"/>
    </w:pPr>
    <w:rPr>
      <w:lang w:eastAsia="en-US"/>
    </w:rPr>
  </w:style>
  <w:style w:type="paragraph" w:styleId="888" w:customStyle="1">
    <w:name w:val="寄信人地址1"/>
    <w:basedOn w:val="782"/>
    <w:uiPriority w:val="99"/>
    <w:unhideWhenUsed/>
    <w:qFormat/>
    <w:rPr>
      <w:rFonts w:ascii="Arial" w:hAnsi="Arial"/>
    </w:rPr>
  </w:style>
  <w:style w:type="character" w:styleId="889" w:customStyle="1">
    <w:name w:val="NormalCharacter11"/>
    <w:uiPriority w:val="0"/>
    <w:qFormat/>
  </w:style>
  <w:style w:type="character" w:styleId="890" w:customStyle="1">
    <w:name w:val="默认段落字体11"/>
    <w:uiPriority w:val="1"/>
    <w:unhideWhenUsed/>
    <w:qFormat/>
  </w:style>
  <w:style w:type="table" w:styleId="891" w:customStyle="1">
    <w:name w:val="普通表格11"/>
    <w:uiPriority w:val="99"/>
    <w:unhideWhenUsed/>
    <w:qFormat/>
    <w:tblPr>
      <w:tblCellMar>
        <w:left w:w="0" w:type="dxa"/>
        <w:top w:w="0" w:type="dxa"/>
        <w:right w:w="0" w:type="dxa"/>
        <w:bottom w:w="0" w:type="dxa"/>
      </w:tblCellMar>
    </w:tblPr>
  </w:style>
  <w:style w:type="paragraph" w:styleId="892" w:customStyle="1">
    <w:name w:val="正文文本12"/>
    <w:basedOn w:val="782"/>
    <w:next w:val="782"/>
    <w:uiPriority w:val="0"/>
    <w:qFormat/>
    <w:rPr>
      <w:rFonts w:ascii="仿宋_GB2312" w:eastAsia="仿宋_GB2312"/>
      <w:sz w:val="24"/>
    </w:rPr>
  </w:style>
  <w:style w:type="paragraph" w:styleId="893" w:customStyle="1">
    <w:name w:val="目录 711"/>
    <w:basedOn w:val="782"/>
    <w:next w:val="782"/>
    <w:uiPriority w:val="39"/>
    <w:unhideWhenUsed/>
    <w:qFormat/>
    <w:pPr>
      <w:ind w:left="1701"/>
      <w:spacing w:after="57"/>
    </w:pPr>
  </w:style>
  <w:style w:type="paragraph" w:styleId="894" w:customStyle="1">
    <w:name w:val="批注文字11"/>
    <w:basedOn w:val="782"/>
    <w:uiPriority w:val="99"/>
    <w:unhideWhenUsed/>
    <w:qFormat/>
    <w:pPr>
      <w:jc w:val="left"/>
    </w:pPr>
  </w:style>
  <w:style w:type="paragraph" w:styleId="895" w:customStyle="1">
    <w:name w:val="正文文本缩进111"/>
    <w:basedOn w:val="782"/>
    <w:next w:val="896"/>
    <w:uiPriority w:val="99"/>
    <w:qFormat/>
    <w:pPr>
      <w:ind w:left="420"/>
      <w:spacing w:after="120"/>
    </w:pPr>
  </w:style>
  <w:style w:type="paragraph" w:styleId="896" w:customStyle="1">
    <w:name w:val="寄信人地址111"/>
    <w:basedOn w:val="782"/>
    <w:uiPriority w:val="99"/>
    <w:qFormat/>
    <w:rPr>
      <w:rFonts w:ascii="Arial" w:hAnsi="Arial" w:cs="Arial"/>
    </w:rPr>
  </w:style>
  <w:style w:type="paragraph" w:styleId="897" w:customStyle="1">
    <w:name w:val="目录 511"/>
    <w:basedOn w:val="782"/>
    <w:next w:val="782"/>
    <w:uiPriority w:val="39"/>
    <w:unhideWhenUsed/>
    <w:qFormat/>
    <w:pPr>
      <w:ind w:left="1134"/>
      <w:spacing w:after="57"/>
    </w:pPr>
  </w:style>
  <w:style w:type="paragraph" w:styleId="898" w:customStyle="1">
    <w:name w:val="目录 311"/>
    <w:basedOn w:val="782"/>
    <w:next w:val="782"/>
    <w:uiPriority w:val="39"/>
    <w:unhideWhenUsed/>
    <w:qFormat/>
    <w:pPr>
      <w:ind w:left="567"/>
      <w:spacing w:after="57"/>
    </w:pPr>
  </w:style>
  <w:style w:type="paragraph" w:styleId="899" w:customStyle="1">
    <w:name w:val="目录 811"/>
    <w:basedOn w:val="782"/>
    <w:next w:val="782"/>
    <w:uiPriority w:val="39"/>
    <w:unhideWhenUsed/>
    <w:qFormat/>
    <w:pPr>
      <w:ind w:left="1984"/>
      <w:spacing w:after="57"/>
    </w:pPr>
  </w:style>
  <w:style w:type="paragraph" w:styleId="900" w:customStyle="1">
    <w:name w:val="尾注文本11"/>
    <w:basedOn w:val="782"/>
    <w:uiPriority w:val="99"/>
    <w:unhideWhenUsed/>
    <w:qFormat/>
    <w:rPr>
      <w:sz w:val="20"/>
    </w:rPr>
  </w:style>
  <w:style w:type="paragraph" w:styleId="901" w:customStyle="1">
    <w:name w:val="目录 111"/>
    <w:basedOn w:val="782"/>
    <w:next w:val="782"/>
    <w:uiPriority w:val="39"/>
    <w:unhideWhenUsed/>
    <w:qFormat/>
    <w:pPr>
      <w:spacing w:after="57"/>
    </w:pPr>
  </w:style>
  <w:style w:type="paragraph" w:styleId="902" w:customStyle="1">
    <w:name w:val="目录 411"/>
    <w:basedOn w:val="782"/>
    <w:next w:val="782"/>
    <w:uiPriority w:val="39"/>
    <w:unhideWhenUsed/>
    <w:qFormat/>
    <w:pPr>
      <w:ind w:left="850"/>
      <w:spacing w:after="57"/>
    </w:pPr>
  </w:style>
  <w:style w:type="paragraph" w:styleId="903" w:customStyle="1">
    <w:name w:val="副标题11"/>
    <w:basedOn w:val="782"/>
    <w:next w:val="782"/>
    <w:uiPriority w:val="11"/>
    <w:qFormat/>
    <w:pPr>
      <w:spacing w:before="200" w:after="200"/>
    </w:pPr>
    <w:rPr>
      <w:sz w:val="24"/>
      <w:szCs w:val="24"/>
    </w:rPr>
  </w:style>
  <w:style w:type="paragraph" w:styleId="904" w:customStyle="1">
    <w:name w:val="脚注文本11"/>
    <w:basedOn w:val="782"/>
    <w:uiPriority w:val="99"/>
    <w:unhideWhenUsed/>
    <w:qFormat/>
    <w:pPr>
      <w:spacing w:after="40"/>
    </w:pPr>
    <w:rPr>
      <w:sz w:val="18"/>
    </w:rPr>
  </w:style>
  <w:style w:type="paragraph" w:styleId="905" w:customStyle="1">
    <w:name w:val="目录 611"/>
    <w:basedOn w:val="782"/>
    <w:next w:val="782"/>
    <w:uiPriority w:val="39"/>
    <w:unhideWhenUsed/>
    <w:qFormat/>
    <w:pPr>
      <w:ind w:left="1417"/>
      <w:spacing w:after="57"/>
    </w:pPr>
  </w:style>
  <w:style w:type="paragraph" w:styleId="906" w:customStyle="1">
    <w:name w:val="正文文本缩进 311"/>
    <w:basedOn w:val="782"/>
    <w:uiPriority w:val="0"/>
    <w:qFormat/>
    <w:pPr>
      <w:ind w:firstLine="539"/>
      <w:spacing w:line="520" w:lineRule="exact"/>
    </w:pPr>
    <w:rPr>
      <w:rFonts w:ascii="宋体"/>
      <w:b/>
      <w:spacing w:val="6"/>
      <w:sz w:val="28"/>
    </w:rPr>
  </w:style>
  <w:style w:type="paragraph" w:styleId="907" w:customStyle="1">
    <w:name w:val="图表目录11"/>
    <w:basedOn w:val="782"/>
    <w:next w:val="782"/>
    <w:uiPriority w:val="99"/>
    <w:unhideWhenUsed/>
    <w:qFormat/>
  </w:style>
  <w:style w:type="paragraph" w:styleId="908" w:customStyle="1">
    <w:name w:val="目录 211"/>
    <w:basedOn w:val="782"/>
    <w:next w:val="782"/>
    <w:uiPriority w:val="39"/>
    <w:unhideWhenUsed/>
    <w:qFormat/>
    <w:pPr>
      <w:ind w:left="283"/>
      <w:spacing w:after="57"/>
    </w:pPr>
  </w:style>
  <w:style w:type="paragraph" w:styleId="909" w:customStyle="1">
    <w:name w:val="目录 911"/>
    <w:basedOn w:val="782"/>
    <w:next w:val="782"/>
    <w:uiPriority w:val="39"/>
    <w:unhideWhenUsed/>
    <w:qFormat/>
    <w:pPr>
      <w:ind w:left="2268"/>
      <w:spacing w:after="57"/>
    </w:pPr>
  </w:style>
  <w:style w:type="paragraph" w:styleId="910" w:customStyle="1">
    <w:name w:val="标题11"/>
    <w:basedOn w:val="782"/>
    <w:next w:val="782"/>
    <w:uiPriority w:val="10"/>
    <w:qFormat/>
    <w:pPr>
      <w:contextualSpacing/>
      <w:spacing w:before="300" w:after="200"/>
    </w:pPr>
    <w:rPr>
      <w:sz w:val="48"/>
      <w:szCs w:val="48"/>
    </w:rPr>
  </w:style>
  <w:style w:type="paragraph" w:styleId="911" w:customStyle="1">
    <w:name w:val="正文首行缩进 2111"/>
    <w:basedOn w:val="895"/>
    <w:uiPriority w:val="99"/>
    <w:qFormat/>
    <w:pPr>
      <w:ind w:firstLine="420"/>
    </w:pPr>
    <w:rPr>
      <w:sz w:val="20"/>
    </w:rPr>
  </w:style>
  <w:style w:type="table" w:styleId="912" w:customStyle="1">
    <w:name w:val="网格型12"/>
    <w:uiPriority w:val="59"/>
    <w:qFormat/>
    <w:tblPr>
      <w:tblCellMar>
        <w:left w:w="0" w:type="dxa"/>
        <w:top w:w="0" w:type="dxa"/>
        <w:right w:w="0" w:type="dxa"/>
        <w:bottom w:w="0" w:type="dxa"/>
      </w:tblCellMar>
    </w:tblPr>
  </w:style>
  <w:style w:type="character" w:styleId="913" w:customStyle="1">
    <w:name w:val="尾注引用11"/>
    <w:uiPriority w:val="99"/>
    <w:unhideWhenUsed/>
    <w:qFormat/>
    <w:rPr>
      <w:vertAlign w:val="superscript"/>
    </w:rPr>
  </w:style>
  <w:style w:type="character" w:styleId="914" w:customStyle="1">
    <w:name w:val="超链接11"/>
    <w:uiPriority w:val="99"/>
    <w:unhideWhenUsed/>
    <w:qFormat/>
    <w:rPr>
      <w:color w:val="0000ff"/>
      <w:u w:val="single"/>
    </w:rPr>
  </w:style>
  <w:style w:type="character" w:styleId="915" w:customStyle="1">
    <w:name w:val="脚注引用11"/>
    <w:uiPriority w:val="99"/>
    <w:unhideWhenUsed/>
    <w:qFormat/>
    <w:rPr>
      <w:vertAlign w:val="superscript"/>
    </w:rPr>
  </w:style>
  <w:style w:type="paragraph" w:styleId="916" w:customStyle="1">
    <w:name w:val="*正文"/>
    <w:basedOn w:val="782"/>
    <w:uiPriority w:val="99"/>
    <w:qFormat/>
    <w:pPr>
      <w:ind w:firstLine="482"/>
      <w:spacing w:line="360" w:lineRule="auto"/>
    </w:pPr>
    <w:rPr>
      <w:rFonts w:eastAsia="仿宋_GB2312"/>
      <w:sz w:val="28"/>
    </w:rPr>
  </w:style>
  <w:style w:type="paragraph" w:styleId="917" w:customStyle="1">
    <w:name w:val="正文缩进1"/>
    <w:basedOn w:val="782"/>
    <w:link w:val="918"/>
    <w:uiPriority w:val="0"/>
    <w:qFormat/>
    <w:pPr>
      <w:ind w:firstLine="420"/>
      <w:jc w:val="left"/>
    </w:pPr>
    <w:rPr>
      <w:sz w:val="24"/>
    </w:rPr>
  </w:style>
  <w:style w:type="character" w:styleId="918" w:customStyle="1">
    <w:name w:val="正文缩进 Char"/>
    <w:link w:val="917"/>
    <w:uiPriority w:val="0"/>
    <w:qFormat/>
    <w:rPr>
      <w:rFonts w:eastAsia="楷体_GB2312"/>
      <w:sz w:val="24"/>
      <w:lang w:val="en-US" w:eastAsia="zh-CN" w:bidi="ar-SA"/>
    </w:rPr>
  </w:style>
  <w:style w:type="paragraph" w:styleId="919" w:customStyle="1">
    <w:name w:val="Header1"/>
    <w:basedOn w:val="782"/>
    <w:uiPriority w:val="99"/>
    <w:unhideWhenUsed/>
    <w:qFormat/>
    <w:pPr>
      <w:tabs>
        <w:tab w:val="center" w:pos="7143" w:leader="none"/>
        <w:tab w:val="right" w:pos="14287" w:leader="none"/>
      </w:tabs>
    </w:pPr>
  </w:style>
  <w:style w:type="paragraph" w:styleId="920" w:customStyle="1">
    <w:name w:val="Footer1"/>
    <w:basedOn w:val="782"/>
    <w:uiPriority w:val="99"/>
    <w:unhideWhenUsed/>
    <w:qFormat/>
    <w:pPr>
      <w:tabs>
        <w:tab w:val="center" w:pos="7143" w:leader="none"/>
        <w:tab w:val="right" w:pos="14287" w:leader="none"/>
      </w:tabs>
    </w:pPr>
  </w:style>
  <w:style w:type="paragraph" w:styleId="921" w:customStyle="1">
    <w:name w:val="Caption1"/>
    <w:basedOn w:val="782"/>
    <w:next w:val="782"/>
    <w:uiPriority w:val="35"/>
    <w:unhideWhenUsed/>
    <w:qFormat/>
    <w:pPr>
      <w:spacing w:line="276" w:lineRule="auto"/>
    </w:pPr>
    <w:rPr>
      <w:b/>
      <w:bCs/>
      <w:color w:val="4f81bd"/>
      <w:sz w:val="18"/>
      <w:szCs w:val="18"/>
    </w:rPr>
  </w:style>
  <w:style w:type="paragraph" w:styleId="922" w:customStyle="1">
    <w:name w:val="标题 111"/>
    <w:basedOn w:val="782"/>
    <w:next w:val="782"/>
    <w:link w:val="923"/>
    <w:uiPriority w:val="0"/>
    <w:qFormat/>
    <w:pPr>
      <w:keepLines/>
      <w:keepNext/>
      <w:spacing w:before="340" w:after="330" w:line="578" w:lineRule="auto"/>
      <w:outlineLvl w:val="0"/>
    </w:pPr>
    <w:rPr>
      <w:b/>
      <w:sz w:val="44"/>
    </w:rPr>
  </w:style>
  <w:style w:type="character" w:styleId="923" w:customStyle="1">
    <w:name w:val="标题 1 Char"/>
    <w:link w:val="922"/>
    <w:uiPriority w:val="0"/>
    <w:qFormat/>
    <w:rPr>
      <w:rFonts w:eastAsia="楷体_GB2312"/>
      <w:b/>
      <w:sz w:val="44"/>
    </w:rPr>
  </w:style>
  <w:style w:type="paragraph" w:styleId="924" w:customStyle="1">
    <w:name w:val="标题 211"/>
    <w:basedOn w:val="782"/>
    <w:next w:val="782"/>
    <w:link w:val="925"/>
    <w:uiPriority w:val="0"/>
    <w:qFormat/>
    <w:pPr>
      <w:jc w:val="left"/>
      <w:keepLines/>
      <w:keepNext/>
      <w:outlineLvl w:val="1"/>
    </w:pPr>
    <w:rPr>
      <w:rFonts w:ascii="宋体" w:hAnsi="宋体"/>
      <w:b/>
    </w:rPr>
  </w:style>
  <w:style w:type="character" w:styleId="925" w:customStyle="1">
    <w:name w:val="标题 2 Char"/>
    <w:link w:val="924"/>
    <w:uiPriority w:val="0"/>
    <w:qFormat/>
    <w:rPr>
      <w:rFonts w:ascii="宋体" w:hAnsi="宋体" w:eastAsia="楷体_GB2312"/>
      <w:b/>
      <w:sz w:val="26"/>
      <w:lang w:val="en-US" w:eastAsia="zh-CN" w:bidi="ar-SA"/>
    </w:rPr>
  </w:style>
  <w:style w:type="paragraph" w:styleId="926" w:customStyle="1">
    <w:name w:val="标题 311"/>
    <w:basedOn w:val="782"/>
    <w:next w:val="782"/>
    <w:link w:val="927"/>
    <w:uiPriority w:val="99"/>
    <w:qFormat/>
    <w:pPr>
      <w:jc w:val="left"/>
      <w:keepLines/>
      <w:keepNext/>
      <w:outlineLvl w:val="2"/>
    </w:pPr>
    <w:rPr>
      <w:b/>
    </w:rPr>
  </w:style>
  <w:style w:type="character" w:styleId="927" w:customStyle="1">
    <w:name w:val="标题 3 Char"/>
    <w:link w:val="926"/>
    <w:uiPriority w:val="99"/>
    <w:qFormat/>
    <w:rPr>
      <w:rFonts w:eastAsia="楷体_GB2312"/>
      <w:b/>
      <w:sz w:val="26"/>
    </w:rPr>
  </w:style>
  <w:style w:type="paragraph" w:styleId="928" w:customStyle="1">
    <w:name w:val="标题 411"/>
    <w:basedOn w:val="782"/>
    <w:next w:val="782"/>
    <w:link w:val="929"/>
    <w:uiPriority w:val="0"/>
    <w:qFormat/>
    <w:pPr>
      <w:ind w:firstLine="200"/>
      <w:keepLines/>
      <w:keepNext/>
      <w:spacing w:before="280" w:after="290" w:line="372" w:lineRule="auto"/>
      <w:outlineLvl w:val="3"/>
    </w:pPr>
    <w:rPr>
      <w:rFonts w:ascii="Arial" w:hAnsi="Arial" w:eastAsia="黑体"/>
      <w:b/>
      <w:sz w:val="28"/>
    </w:rPr>
  </w:style>
  <w:style w:type="character" w:styleId="929" w:customStyle="1">
    <w:name w:val="标题 4 Char"/>
    <w:link w:val="928"/>
    <w:uiPriority w:val="0"/>
    <w:qFormat/>
    <w:rPr>
      <w:rFonts w:ascii="Arial" w:hAnsi="Arial" w:eastAsia="黑体"/>
      <w:b/>
      <w:sz w:val="28"/>
    </w:rPr>
  </w:style>
  <w:style w:type="paragraph" w:styleId="930" w:customStyle="1">
    <w:name w:val="标题 511"/>
    <w:basedOn w:val="782"/>
    <w:next w:val="917"/>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31" w:customStyle="1">
    <w:name w:val="标题 611"/>
    <w:basedOn w:val="782"/>
    <w:next w:val="917"/>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32" w:customStyle="1">
    <w:name w:val="标题 711"/>
    <w:basedOn w:val="782"/>
    <w:next w:val="917"/>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33" w:customStyle="1">
    <w:name w:val="标题 811"/>
    <w:basedOn w:val="782"/>
    <w:next w:val="917"/>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34" w:customStyle="1">
    <w:name w:val="标题 911"/>
    <w:basedOn w:val="782"/>
    <w:next w:val="917"/>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35" w:customStyle="1">
    <w:name w:val="默认段落字体1"/>
    <w:uiPriority w:val="1"/>
    <w:unhideWhenUsed/>
    <w:qFormat/>
  </w:style>
  <w:style w:type="table" w:styleId="936" w:customStyle="1">
    <w:name w:val="普通表格1"/>
    <w:uiPriority w:val="99"/>
    <w:unhideWhenUsed/>
    <w:qFormat/>
    <w:tblPr>
      <w:tblCellMar>
        <w:left w:w="0" w:type="dxa"/>
        <w:top w:w="0" w:type="dxa"/>
        <w:right w:w="0" w:type="dxa"/>
        <w:bottom w:w="0" w:type="dxa"/>
      </w:tblCellMar>
    </w:tblPr>
  </w:style>
  <w:style w:type="paragraph" w:styleId="937" w:customStyle="1">
    <w:name w:val="目录 71"/>
    <w:basedOn w:val="782"/>
    <w:next w:val="782"/>
    <w:uiPriority w:val="0"/>
    <w:qFormat/>
    <w:pPr>
      <w:ind w:left="2520"/>
    </w:pPr>
  </w:style>
  <w:style w:type="paragraph" w:styleId="938" w:customStyle="1">
    <w:name w:val="索引 81"/>
    <w:basedOn w:val="782"/>
    <w:next w:val="782"/>
    <w:uiPriority w:val="0"/>
    <w:qFormat/>
    <w:pPr>
      <w:ind w:left="2940"/>
    </w:pPr>
  </w:style>
  <w:style w:type="paragraph" w:styleId="939" w:customStyle="1">
    <w:name w:val="题注11"/>
    <w:basedOn w:val="782"/>
    <w:next w:val="782"/>
    <w:uiPriority w:val="35"/>
    <w:unhideWhenUsed/>
    <w:qFormat/>
    <w:pPr>
      <w:spacing w:line="276" w:lineRule="auto"/>
    </w:pPr>
    <w:rPr>
      <w:b/>
      <w:bCs/>
      <w:color w:val="4f81bd"/>
      <w:sz w:val="18"/>
      <w:szCs w:val="18"/>
    </w:rPr>
  </w:style>
  <w:style w:type="paragraph" w:styleId="940" w:customStyle="1">
    <w:name w:val="索引 51"/>
    <w:basedOn w:val="782"/>
    <w:next w:val="782"/>
    <w:uiPriority w:val="0"/>
    <w:qFormat/>
    <w:pPr>
      <w:ind w:left="1680"/>
    </w:pPr>
  </w:style>
  <w:style w:type="paragraph" w:styleId="941" w:customStyle="1">
    <w:name w:val="文档结构图1"/>
    <w:basedOn w:val="782"/>
    <w:link w:val="942"/>
    <w:uiPriority w:val="0"/>
    <w:qFormat/>
    <w:pPr>
      <w:shd w:val="clear" w:color="auto" w:fill="000080"/>
    </w:pPr>
  </w:style>
  <w:style w:type="character" w:styleId="942" w:customStyle="1">
    <w:name w:val="文档结构图 Char"/>
    <w:link w:val="941"/>
    <w:uiPriority w:val="0"/>
    <w:qFormat/>
    <w:rPr>
      <w:rFonts w:eastAsia="楷体_GB2312"/>
      <w:sz w:val="26"/>
      <w:shd w:val="clear" w:color="auto" w:fill="000080"/>
    </w:rPr>
  </w:style>
  <w:style w:type="paragraph" w:styleId="943" w:customStyle="1">
    <w:name w:val="批注文字1"/>
    <w:basedOn w:val="782"/>
    <w:link w:val="944"/>
    <w:uiPriority w:val="0"/>
    <w:qFormat/>
    <w:pPr>
      <w:jc w:val="left"/>
    </w:pPr>
  </w:style>
  <w:style w:type="character" w:styleId="944" w:customStyle="1">
    <w:name w:val="批注文字 Char"/>
    <w:link w:val="943"/>
    <w:uiPriority w:val="0"/>
    <w:qFormat/>
    <w:rPr>
      <w:rFonts w:eastAsia="楷体_GB2312"/>
      <w:sz w:val="26"/>
    </w:rPr>
  </w:style>
  <w:style w:type="paragraph" w:styleId="945" w:customStyle="1">
    <w:name w:val="索引 61"/>
    <w:basedOn w:val="782"/>
    <w:next w:val="782"/>
    <w:uiPriority w:val="0"/>
    <w:qFormat/>
    <w:pPr>
      <w:ind w:left="2100"/>
    </w:pPr>
  </w:style>
  <w:style w:type="paragraph" w:styleId="946" w:customStyle="1">
    <w:name w:val="正文文本11"/>
    <w:basedOn w:val="782"/>
    <w:next w:val="782"/>
    <w:link w:val="947"/>
    <w:uiPriority w:val="0"/>
    <w:qFormat/>
    <w:pPr>
      <w:spacing w:line="400" w:lineRule="exact"/>
    </w:pPr>
    <w:rPr>
      <w:rFonts w:ascii="楷体_GB2312"/>
      <w:sz w:val="28"/>
    </w:rPr>
  </w:style>
  <w:style w:type="character" w:styleId="947" w:customStyle="1">
    <w:name w:val="正文文本 Char"/>
    <w:link w:val="946"/>
    <w:uiPriority w:val="0"/>
    <w:qFormat/>
    <w:rPr>
      <w:rFonts w:ascii="楷体_GB2312" w:eastAsia="楷体_GB2312"/>
      <w:sz w:val="28"/>
    </w:rPr>
  </w:style>
  <w:style w:type="paragraph" w:styleId="948" w:customStyle="1">
    <w:name w:val="正文文本缩进11"/>
    <w:basedOn w:val="782"/>
    <w:next w:val="949"/>
    <w:link w:val="950"/>
    <w:uiPriority w:val="0"/>
    <w:qFormat/>
    <w:pPr>
      <w:ind w:left="570"/>
      <w:spacing w:line="520" w:lineRule="exact"/>
    </w:pPr>
    <w:rPr>
      <w:rFonts w:hint="eastAsia" w:ascii="楷体_GB2312"/>
    </w:rPr>
  </w:style>
  <w:style w:type="paragraph" w:styleId="949" w:customStyle="1">
    <w:name w:val="寄信人地址11"/>
    <w:basedOn w:val="782"/>
    <w:uiPriority w:val="99"/>
    <w:unhideWhenUsed/>
    <w:qFormat/>
    <w:rPr>
      <w:rFonts w:ascii="Arial" w:hAnsi="Arial"/>
    </w:rPr>
  </w:style>
  <w:style w:type="character" w:styleId="950" w:customStyle="1">
    <w:name w:val="正文文本缩进 Char"/>
    <w:link w:val="948"/>
    <w:uiPriority w:val="0"/>
    <w:qFormat/>
    <w:rPr>
      <w:rFonts w:hint="eastAsia" w:ascii="楷体_GB2312" w:eastAsia="楷体_GB2312" w:cs="楷体_GB2312"/>
      <w:sz w:val="26"/>
    </w:rPr>
  </w:style>
  <w:style w:type="paragraph" w:styleId="951" w:customStyle="1">
    <w:name w:val="索引 41"/>
    <w:basedOn w:val="782"/>
    <w:next w:val="782"/>
    <w:uiPriority w:val="0"/>
    <w:qFormat/>
    <w:pPr>
      <w:ind w:left="1260"/>
    </w:pPr>
  </w:style>
  <w:style w:type="paragraph" w:styleId="952" w:customStyle="1">
    <w:name w:val="目录 51"/>
    <w:basedOn w:val="782"/>
    <w:next w:val="782"/>
    <w:uiPriority w:val="0"/>
    <w:qFormat/>
    <w:pPr>
      <w:ind w:left="1680"/>
    </w:pPr>
  </w:style>
  <w:style w:type="paragraph" w:styleId="953" w:customStyle="1">
    <w:name w:val="目录 31"/>
    <w:basedOn w:val="782"/>
    <w:next w:val="782"/>
    <w:link w:val="954"/>
    <w:uiPriority w:val="0"/>
    <w:qFormat/>
    <w:pPr>
      <w:ind w:left="840"/>
    </w:pPr>
  </w:style>
  <w:style w:type="character" w:styleId="954" w:customStyle="1">
    <w:name w:val="目录 3 Char"/>
    <w:link w:val="953"/>
    <w:uiPriority w:val="0"/>
    <w:qFormat/>
    <w:rPr>
      <w:rFonts w:eastAsia="楷体_GB2312"/>
      <w:sz w:val="26"/>
    </w:rPr>
  </w:style>
  <w:style w:type="paragraph" w:styleId="955" w:customStyle="1">
    <w:name w:val="纯文本11"/>
    <w:basedOn w:val="782"/>
    <w:link w:val="956"/>
    <w:uiPriority w:val="0"/>
    <w:qFormat/>
    <w:rPr>
      <w:rFonts w:ascii="宋体" w:hAnsi="Courier New"/>
    </w:rPr>
  </w:style>
  <w:style w:type="character" w:styleId="956" w:customStyle="1">
    <w:name w:val="纯文本 Char"/>
    <w:link w:val="955"/>
    <w:uiPriority w:val="0"/>
    <w:qFormat/>
    <w:rPr>
      <w:rFonts w:ascii="宋体" w:hAnsi="Courier New" w:eastAsia="楷体_GB2312"/>
      <w:sz w:val="26"/>
      <w:lang w:val="en-US" w:eastAsia="zh-CN" w:bidi="ar-SA"/>
    </w:rPr>
  </w:style>
  <w:style w:type="paragraph" w:styleId="957" w:customStyle="1">
    <w:name w:val="目录 81"/>
    <w:basedOn w:val="782"/>
    <w:next w:val="782"/>
    <w:uiPriority w:val="0"/>
    <w:qFormat/>
    <w:pPr>
      <w:ind w:left="2940"/>
    </w:pPr>
  </w:style>
  <w:style w:type="paragraph" w:styleId="958" w:customStyle="1">
    <w:name w:val="索引 31"/>
    <w:basedOn w:val="782"/>
    <w:next w:val="782"/>
    <w:uiPriority w:val="0"/>
    <w:qFormat/>
    <w:pPr>
      <w:ind w:left="840"/>
    </w:pPr>
  </w:style>
  <w:style w:type="paragraph" w:styleId="959" w:customStyle="1">
    <w:name w:val="日期1"/>
    <w:basedOn w:val="782"/>
    <w:next w:val="782"/>
    <w:link w:val="960"/>
    <w:uiPriority w:val="0"/>
    <w:qFormat/>
    <w:rPr>
      <w:rFonts w:ascii="宋体" w:hAnsi="宋体"/>
      <w:sz w:val="24"/>
    </w:rPr>
  </w:style>
  <w:style w:type="character" w:styleId="960" w:customStyle="1">
    <w:name w:val="日期 Char"/>
    <w:link w:val="959"/>
    <w:uiPriority w:val="0"/>
    <w:qFormat/>
    <w:rPr>
      <w:rFonts w:ascii="宋体" w:hAnsi="宋体" w:eastAsia="楷体_GB2312"/>
      <w:sz w:val="24"/>
    </w:rPr>
  </w:style>
  <w:style w:type="paragraph" w:styleId="961" w:customStyle="1">
    <w:name w:val="正文文本缩进 21"/>
    <w:basedOn w:val="782"/>
    <w:uiPriority w:val="0"/>
    <w:qFormat/>
    <w:pPr>
      <w:ind w:firstLine="502"/>
      <w:spacing w:line="360" w:lineRule="auto"/>
      <w:tabs>
        <w:tab w:val="left" w:pos="0" w:leader="none"/>
      </w:tabs>
    </w:pPr>
    <w:rPr>
      <w:rFonts w:ascii="宋体" w:eastAsia="宋体"/>
      <w:b/>
      <w:bCs/>
      <w:sz w:val="24"/>
    </w:rPr>
  </w:style>
  <w:style w:type="paragraph" w:styleId="962" w:customStyle="1">
    <w:name w:val="尾注文本1"/>
    <w:basedOn w:val="782"/>
    <w:link w:val="963"/>
    <w:uiPriority w:val="99"/>
    <w:unhideWhenUsed/>
    <w:qFormat/>
    <w:rPr>
      <w:rFonts w:eastAsia="宋体"/>
      <w:sz w:val="20"/>
    </w:rPr>
  </w:style>
  <w:style w:type="character" w:styleId="963" w:customStyle="1">
    <w:name w:val="尾注文本 Char"/>
    <w:link w:val="962"/>
    <w:uiPriority w:val="99"/>
    <w:qFormat/>
    <w:rPr>
      <w:sz w:val="20"/>
    </w:rPr>
  </w:style>
  <w:style w:type="paragraph" w:styleId="964" w:customStyle="1">
    <w:name w:val="批注框文本1"/>
    <w:basedOn w:val="782"/>
    <w:link w:val="965"/>
    <w:uiPriority w:val="0"/>
    <w:qFormat/>
    <w:rPr>
      <w:sz w:val="18"/>
      <w:szCs w:val="18"/>
    </w:rPr>
  </w:style>
  <w:style w:type="character" w:styleId="965" w:customStyle="1">
    <w:name w:val="批注框文本 Char"/>
    <w:link w:val="964"/>
    <w:uiPriority w:val="0"/>
    <w:qFormat/>
    <w:rPr>
      <w:rFonts w:eastAsia="楷体_GB2312"/>
      <w:sz w:val="18"/>
      <w:szCs w:val="18"/>
    </w:rPr>
  </w:style>
  <w:style w:type="paragraph" w:styleId="966" w:customStyle="1">
    <w:name w:val="页脚111"/>
    <w:basedOn w:val="782"/>
    <w:link w:val="967"/>
    <w:uiPriority w:val="99"/>
    <w:qFormat/>
    <w:pPr>
      <w:jc w:val="left"/>
      <w:tabs>
        <w:tab w:val="center" w:pos="4153" w:leader="none"/>
        <w:tab w:val="right" w:pos="8306" w:leader="none"/>
      </w:tabs>
    </w:pPr>
    <w:rPr>
      <w:sz w:val="18"/>
    </w:rPr>
  </w:style>
  <w:style w:type="character" w:styleId="967" w:customStyle="1">
    <w:name w:val="页脚 Char"/>
    <w:link w:val="966"/>
    <w:uiPriority w:val="99"/>
    <w:qFormat/>
    <w:rPr>
      <w:rFonts w:eastAsia="楷体_GB2312"/>
      <w:sz w:val="18"/>
    </w:rPr>
  </w:style>
  <w:style w:type="paragraph" w:styleId="968" w:customStyle="1">
    <w:name w:val="页眉11"/>
    <w:basedOn w:val="782"/>
    <w:link w:val="969"/>
    <w:uiPriority w:val="99"/>
    <w:qFormat/>
    <w:pPr>
      <w:jc w:val="center"/>
      <w:tabs>
        <w:tab w:val="center" w:pos="4153" w:leader="none"/>
        <w:tab w:val="right" w:pos="8306" w:leader="none"/>
      </w:tabs>
      <w:pBdr>
        <w:bottom w:val="single" w:color="000000" w:sz="6" w:space="1"/>
      </w:pBdr>
    </w:pPr>
    <w:rPr>
      <w:sz w:val="18"/>
    </w:rPr>
  </w:style>
  <w:style w:type="character" w:styleId="969" w:customStyle="1">
    <w:name w:val="页眉 Char"/>
    <w:link w:val="968"/>
    <w:uiPriority w:val="99"/>
    <w:qFormat/>
    <w:rPr>
      <w:rFonts w:eastAsia="楷体_GB2312"/>
      <w:sz w:val="18"/>
    </w:rPr>
  </w:style>
  <w:style w:type="paragraph" w:styleId="970" w:customStyle="1">
    <w:name w:val="签名1"/>
    <w:basedOn w:val="782"/>
    <w:uiPriority w:val="0"/>
    <w:qFormat/>
    <w:pPr>
      <w:jc w:val="center"/>
      <w:spacing w:after="600" w:line="312" w:lineRule="atLeast"/>
    </w:pPr>
    <w:rPr>
      <w:rFonts w:eastAsia="仿宋_GB2312"/>
      <w:sz w:val="24"/>
    </w:rPr>
  </w:style>
  <w:style w:type="paragraph" w:styleId="971" w:customStyle="1">
    <w:name w:val="目录 11"/>
    <w:basedOn w:val="782"/>
    <w:next w:val="782"/>
    <w:uiPriority w:val="0"/>
    <w:qFormat/>
    <w:pPr>
      <w:jc w:val="left"/>
    </w:pPr>
    <w:rPr>
      <w:sz w:val="24"/>
    </w:rPr>
  </w:style>
  <w:style w:type="paragraph" w:styleId="972" w:customStyle="1">
    <w:name w:val="目录 41"/>
    <w:basedOn w:val="782"/>
    <w:next w:val="782"/>
    <w:uiPriority w:val="0"/>
    <w:qFormat/>
    <w:pPr>
      <w:ind w:left="1260"/>
    </w:pPr>
  </w:style>
  <w:style w:type="paragraph" w:styleId="973" w:customStyle="1">
    <w:name w:val="索引标题1"/>
    <w:basedOn w:val="782"/>
    <w:next w:val="974"/>
    <w:uiPriority w:val="0"/>
    <w:qFormat/>
  </w:style>
  <w:style w:type="paragraph" w:styleId="974" w:customStyle="1">
    <w:name w:val="索引 11"/>
    <w:basedOn w:val="782"/>
    <w:next w:val="782"/>
    <w:uiPriority w:val="0"/>
    <w:qFormat/>
  </w:style>
  <w:style w:type="paragraph" w:styleId="975" w:customStyle="1">
    <w:name w:val="副标题1"/>
    <w:basedOn w:val="782"/>
    <w:next w:val="782"/>
    <w:link w:val="976"/>
    <w:uiPriority w:val="11"/>
    <w:qFormat/>
    <w:pPr>
      <w:spacing w:before="200" w:after="200"/>
    </w:pPr>
    <w:rPr>
      <w:rFonts w:eastAsia="宋体"/>
      <w:sz w:val="24"/>
      <w:szCs w:val="24"/>
    </w:rPr>
  </w:style>
  <w:style w:type="character" w:styleId="976" w:customStyle="1">
    <w:name w:val="副标题 Char"/>
    <w:link w:val="975"/>
    <w:uiPriority w:val="11"/>
    <w:qFormat/>
    <w:rPr>
      <w:sz w:val="24"/>
      <w:szCs w:val="24"/>
    </w:rPr>
  </w:style>
  <w:style w:type="paragraph" w:styleId="977" w:customStyle="1">
    <w:name w:val="脚注文本1"/>
    <w:basedOn w:val="782"/>
    <w:link w:val="978"/>
    <w:uiPriority w:val="99"/>
    <w:qFormat/>
    <w:pPr>
      <w:jc w:val="left"/>
    </w:pPr>
    <w:rPr>
      <w:rFonts w:eastAsia="宋体"/>
      <w:sz w:val="18"/>
    </w:rPr>
  </w:style>
  <w:style w:type="character" w:styleId="978" w:customStyle="1">
    <w:name w:val="脚注文本 Char"/>
    <w:link w:val="977"/>
    <w:uiPriority w:val="99"/>
    <w:qFormat/>
    <w:rPr>
      <w:sz w:val="18"/>
    </w:rPr>
  </w:style>
  <w:style w:type="paragraph" w:styleId="979" w:customStyle="1">
    <w:name w:val="目录 61"/>
    <w:basedOn w:val="782"/>
    <w:next w:val="782"/>
    <w:uiPriority w:val="0"/>
    <w:qFormat/>
    <w:pPr>
      <w:ind w:left="2100"/>
    </w:pPr>
  </w:style>
  <w:style w:type="paragraph" w:styleId="980" w:customStyle="1">
    <w:name w:val="正文文本缩进 31"/>
    <w:basedOn w:val="782"/>
    <w:uiPriority w:val="0"/>
    <w:qFormat/>
    <w:pPr>
      <w:ind w:firstLine="617"/>
      <w:spacing w:line="360" w:lineRule="auto"/>
    </w:pPr>
    <w:rPr>
      <w:rFonts w:eastAsia="宋体"/>
      <w:sz w:val="24"/>
      <w:szCs w:val="24"/>
    </w:rPr>
  </w:style>
  <w:style w:type="paragraph" w:styleId="981" w:customStyle="1">
    <w:name w:val="索引 71"/>
    <w:basedOn w:val="782"/>
    <w:next w:val="782"/>
    <w:uiPriority w:val="0"/>
    <w:qFormat/>
    <w:pPr>
      <w:ind w:left="2520"/>
    </w:pPr>
  </w:style>
  <w:style w:type="paragraph" w:styleId="982" w:customStyle="1">
    <w:name w:val="索引 91"/>
    <w:basedOn w:val="782"/>
    <w:next w:val="782"/>
    <w:uiPriority w:val="0"/>
    <w:qFormat/>
    <w:pPr>
      <w:ind w:left="3360"/>
    </w:pPr>
  </w:style>
  <w:style w:type="paragraph" w:styleId="983" w:customStyle="1">
    <w:name w:val="图表目录1"/>
    <w:basedOn w:val="782"/>
    <w:next w:val="782"/>
    <w:uiPriority w:val="0"/>
    <w:qFormat/>
    <w:pPr>
      <w:ind w:left="420" w:hanging="420"/>
      <w:jc w:val="left"/>
    </w:pPr>
    <w:rPr>
      <w:smallCaps/>
      <w:sz w:val="24"/>
    </w:rPr>
  </w:style>
  <w:style w:type="paragraph" w:styleId="984" w:customStyle="1">
    <w:name w:val="目录 21"/>
    <w:basedOn w:val="782"/>
    <w:next w:val="782"/>
    <w:uiPriority w:val="0"/>
    <w:qFormat/>
    <w:pPr>
      <w:ind w:left="420"/>
    </w:pPr>
  </w:style>
  <w:style w:type="paragraph" w:styleId="985" w:customStyle="1">
    <w:name w:val="目录 91"/>
    <w:basedOn w:val="782"/>
    <w:next w:val="782"/>
    <w:uiPriority w:val="0"/>
    <w:qFormat/>
    <w:pPr>
      <w:ind w:left="3360"/>
    </w:pPr>
  </w:style>
  <w:style w:type="paragraph" w:styleId="986" w:customStyle="1">
    <w:name w:val="HTML 预设格式1"/>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7" w:customStyle="1">
    <w:name w:val="普通(网站)1"/>
    <w:basedOn w:val="782"/>
    <w:link w:val="988"/>
    <w:uiPriority w:val="0"/>
    <w:qFormat/>
    <w:pPr>
      <w:jc w:val="left"/>
      <w:spacing w:line="360" w:lineRule="auto"/>
      <w:shd w:val="clear" w:color="auto" w:fill="ffffff"/>
    </w:pPr>
    <w:rPr>
      <w:sz w:val="24"/>
      <w:szCs w:val="24"/>
    </w:rPr>
  </w:style>
  <w:style w:type="character" w:styleId="988" w:customStyle="1">
    <w:name w:val="普通(网站) Char"/>
    <w:link w:val="987"/>
    <w:uiPriority w:val="0"/>
    <w:qFormat/>
    <w:rPr>
      <w:rFonts w:eastAsia="楷体_GB2312"/>
      <w:sz w:val="24"/>
      <w:szCs w:val="24"/>
      <w:shd w:val="clear" w:color="auto" w:fill="ffffff"/>
    </w:rPr>
  </w:style>
  <w:style w:type="paragraph" w:styleId="989" w:customStyle="1">
    <w:name w:val="索引 21"/>
    <w:basedOn w:val="782"/>
    <w:next w:val="782"/>
    <w:uiPriority w:val="0"/>
    <w:qFormat/>
    <w:pPr>
      <w:ind w:left="420"/>
    </w:pPr>
  </w:style>
  <w:style w:type="paragraph" w:styleId="990" w:customStyle="1">
    <w:name w:val="标题1"/>
    <w:basedOn w:val="782"/>
    <w:next w:val="782"/>
    <w:link w:val="991"/>
    <w:uiPriority w:val="10"/>
    <w:qFormat/>
    <w:pPr>
      <w:contextualSpacing/>
      <w:spacing w:before="300" w:after="200"/>
    </w:pPr>
    <w:rPr>
      <w:rFonts w:eastAsia="宋体"/>
      <w:sz w:val="48"/>
      <w:szCs w:val="48"/>
    </w:rPr>
  </w:style>
  <w:style w:type="character" w:styleId="991" w:customStyle="1">
    <w:name w:val="标题 Char"/>
    <w:link w:val="990"/>
    <w:uiPriority w:val="10"/>
    <w:qFormat/>
    <w:rPr>
      <w:sz w:val="48"/>
      <w:szCs w:val="48"/>
    </w:rPr>
  </w:style>
  <w:style w:type="paragraph" w:styleId="992" w:customStyle="1">
    <w:name w:val="批注主题1"/>
    <w:basedOn w:val="943"/>
    <w:next w:val="943"/>
    <w:uiPriority w:val="0"/>
    <w:qFormat/>
    <w:rPr>
      <w:b/>
      <w:bCs/>
    </w:rPr>
  </w:style>
  <w:style w:type="paragraph" w:styleId="993" w:customStyle="1">
    <w:name w:val="正文首行缩进11"/>
    <w:basedOn w:val="946"/>
    <w:link w:val="994"/>
    <w:uiPriority w:val="0"/>
    <w:qFormat/>
    <w:pPr>
      <w:ind w:firstLine="420"/>
      <w:spacing w:after="120" w:line="240" w:lineRule="auto"/>
    </w:pPr>
    <w:rPr>
      <w:rFonts w:ascii="Calibri"/>
      <w:sz w:val="26"/>
    </w:rPr>
  </w:style>
  <w:style w:type="character" w:styleId="994" w:customStyle="1">
    <w:name w:val="正文首行缩进 Char"/>
    <w:link w:val="993"/>
    <w:uiPriority w:val="0"/>
    <w:qFormat/>
  </w:style>
  <w:style w:type="paragraph" w:styleId="995" w:customStyle="1">
    <w:name w:val="正文首行缩进 211"/>
    <w:basedOn w:val="948"/>
    <w:link w:val="996"/>
    <w:uiPriority w:val="0"/>
    <w:unhideWhenUsed/>
    <w:qFormat/>
    <w:pPr>
      <w:ind w:firstLine="420"/>
    </w:pPr>
  </w:style>
  <w:style w:type="character" w:styleId="996" w:customStyle="1">
    <w:name w:val="正文首行缩进 2 Char"/>
    <w:link w:val="995"/>
    <w:uiPriority w:val="0"/>
    <w:qFormat/>
    <w:rPr>
      <w:rFonts w:hint="eastAsia" w:ascii="楷体_GB2312" w:eastAsia="楷体_GB2312" w:cs="楷体_GB2312"/>
      <w:sz w:val="26"/>
    </w:rPr>
  </w:style>
  <w:style w:type="table" w:styleId="997" w:customStyle="1">
    <w:name w:val="网格型11"/>
    <w:basedOn w:val="936"/>
    <w:uiPriority w:val="0"/>
    <w:qFormat/>
    <w:pPr>
      <w:jc w:val="both"/>
      <w:widowControl w:val="off"/>
    </w:pPr>
    <w:tblPr>
      <w:tblCellMar>
        <w:left w:w="0" w:type="dxa"/>
        <w:top w:w="0" w:type="dxa"/>
        <w:right w:w="0" w:type="dxa"/>
        <w:bottom w:w="0" w:type="dxa"/>
      </w:tblCellMar>
    </w:tblPr>
  </w:style>
  <w:style w:type="character" w:styleId="998" w:customStyle="1">
    <w:name w:val="要点1"/>
    <w:basedOn w:val="935"/>
    <w:uiPriority w:val="22"/>
    <w:qFormat/>
    <w:rPr>
      <w:b/>
    </w:rPr>
  </w:style>
  <w:style w:type="character" w:styleId="999" w:customStyle="1">
    <w:name w:val="尾注引用1"/>
    <w:uiPriority w:val="99"/>
    <w:unhideWhenUsed/>
    <w:qFormat/>
    <w:rPr>
      <w:vertAlign w:val="superscript"/>
    </w:rPr>
  </w:style>
  <w:style w:type="character" w:styleId="1000" w:customStyle="1">
    <w:name w:val="页码1"/>
    <w:uiPriority w:val="0"/>
    <w:qFormat/>
  </w:style>
  <w:style w:type="character" w:styleId="1001" w:customStyle="1">
    <w:name w:val="已访问的超链接1"/>
    <w:uiPriority w:val="99"/>
    <w:qFormat/>
    <w:rPr>
      <w:color w:val="333333"/>
      <w:u w:val="none"/>
    </w:rPr>
  </w:style>
  <w:style w:type="character" w:styleId="1002" w:customStyle="1">
    <w:name w:val="强调1"/>
    <w:uiPriority w:val="0"/>
    <w:qFormat/>
    <w:rPr>
      <w:i/>
      <w:iCs/>
    </w:rPr>
  </w:style>
  <w:style w:type="character" w:styleId="1003" w:customStyle="1">
    <w:name w:val="行号1"/>
    <w:uiPriority w:val="0"/>
    <w:qFormat/>
  </w:style>
  <w:style w:type="character" w:styleId="1004" w:customStyle="1">
    <w:name w:val="HTML 定义1"/>
    <w:uiPriority w:val="0"/>
    <w:qFormat/>
    <w:rPr>
      <w:i/>
    </w:rPr>
  </w:style>
  <w:style w:type="character" w:styleId="1005" w:customStyle="1">
    <w:name w:val="超链接1"/>
    <w:uiPriority w:val="99"/>
    <w:qFormat/>
    <w:rPr>
      <w:color w:val="333333"/>
      <w:u w:val="none"/>
    </w:rPr>
  </w:style>
  <w:style w:type="character" w:styleId="1006" w:customStyle="1">
    <w:name w:val="HTML 代码1"/>
    <w:uiPriority w:val="0"/>
    <w:qFormat/>
    <w:rPr>
      <w:rFonts w:ascii="Menlo" w:hAnsi="Menlo" w:eastAsia="Menlo" w:cs="Menlo"/>
      <w:color w:val="c7254e"/>
      <w:sz w:val="21"/>
      <w:szCs w:val="21"/>
      <w:shd w:val="clear" w:color="auto" w:fill="f9f2f4"/>
    </w:rPr>
  </w:style>
  <w:style w:type="character" w:styleId="1007" w:customStyle="1">
    <w:name w:val="批注引用1"/>
    <w:uiPriority w:val="0"/>
    <w:qFormat/>
    <w:rPr>
      <w:sz w:val="21"/>
      <w:szCs w:val="21"/>
    </w:rPr>
  </w:style>
  <w:style w:type="character" w:styleId="1008" w:customStyle="1">
    <w:name w:val="HTML 引文1"/>
    <w:uiPriority w:val="0"/>
    <w:qFormat/>
  </w:style>
  <w:style w:type="character" w:styleId="1009" w:customStyle="1">
    <w:name w:val="脚注引用1"/>
    <w:uiPriority w:val="0"/>
    <w:qFormat/>
    <w:rPr>
      <w:vertAlign w:val="superscript"/>
    </w:rPr>
  </w:style>
  <w:style w:type="character" w:styleId="1010" w:customStyle="1">
    <w:name w:val="HTML 键盘1"/>
    <w:uiPriority w:val="0"/>
    <w:qFormat/>
    <w:rPr>
      <w:rFonts w:ascii="Menlo" w:hAnsi="Menlo" w:eastAsia="Menlo" w:cs="Menlo"/>
      <w:sz w:val="21"/>
      <w:szCs w:val="21"/>
    </w:rPr>
  </w:style>
  <w:style w:type="character" w:styleId="1011" w:customStyle="1">
    <w:name w:val="HTML 样本1"/>
    <w:uiPriority w:val="0"/>
    <w:qFormat/>
    <w:rPr>
      <w:rFonts w:ascii="Menlo" w:hAnsi="Menlo" w:eastAsia="Menlo" w:cs="Menlo"/>
      <w:sz w:val="21"/>
      <w:szCs w:val="21"/>
    </w:rPr>
  </w:style>
  <w:style w:type="table" w:styleId="1012" w:customStyle="1">
    <w:name w:val="Plain Table 1"/>
    <w:basedOn w:val="936"/>
    <w:uiPriority w:val="59"/>
    <w:qFormat/>
    <w:tblPr>
      <w:tblCellMar>
        <w:left w:w="0" w:type="dxa"/>
        <w:top w:w="0" w:type="dxa"/>
        <w:right w:w="0" w:type="dxa"/>
        <w:bottom w:w="0" w:type="dxa"/>
      </w:tblCellMar>
    </w:tblPr>
  </w:style>
  <w:style w:type="table" w:styleId="1013" w:customStyle="1">
    <w:name w:val="Plain Table 2"/>
    <w:basedOn w:val="936"/>
    <w:uiPriority w:val="59"/>
    <w:qFormat/>
    <w:tblPr>
      <w:tblCellMar>
        <w:left w:w="0" w:type="dxa"/>
        <w:top w:w="0" w:type="dxa"/>
        <w:right w:w="0" w:type="dxa"/>
        <w:bottom w:w="0" w:type="dxa"/>
      </w:tblCellMar>
    </w:tblPr>
  </w:style>
  <w:style w:type="table" w:styleId="1014" w:customStyle="1">
    <w:name w:val="Plain Table 3"/>
    <w:basedOn w:val="936"/>
    <w:uiPriority w:val="99"/>
    <w:qFormat/>
    <w:tblPr>
      <w:tblCellMar>
        <w:left w:w="0" w:type="dxa"/>
        <w:top w:w="0" w:type="dxa"/>
        <w:right w:w="0" w:type="dxa"/>
        <w:bottom w:w="0" w:type="dxa"/>
      </w:tblCellMar>
    </w:tblPr>
  </w:style>
  <w:style w:type="table" w:styleId="1015" w:customStyle="1">
    <w:name w:val="Plain Table 4"/>
    <w:basedOn w:val="936"/>
    <w:uiPriority w:val="99"/>
    <w:qFormat/>
    <w:tblPr>
      <w:tblCellMar>
        <w:left w:w="0" w:type="dxa"/>
        <w:top w:w="0" w:type="dxa"/>
        <w:right w:w="0" w:type="dxa"/>
        <w:bottom w:w="0" w:type="dxa"/>
      </w:tblCellMar>
    </w:tblPr>
  </w:style>
  <w:style w:type="table" w:styleId="1016" w:customStyle="1">
    <w:name w:val="Plain Table 5"/>
    <w:basedOn w:val="936"/>
    <w:uiPriority w:val="99"/>
    <w:qFormat/>
    <w:tblPr>
      <w:tblCellMar>
        <w:left w:w="0" w:type="dxa"/>
        <w:top w:w="0" w:type="dxa"/>
        <w:right w:w="0" w:type="dxa"/>
        <w:bottom w:w="0" w:type="dxa"/>
      </w:tblCellMar>
    </w:tblPr>
  </w:style>
  <w:style w:type="table" w:styleId="1017" w:customStyle="1">
    <w:name w:val="Grid Table 1 Light"/>
    <w:basedOn w:val="936"/>
    <w:uiPriority w:val="99"/>
    <w:qFormat/>
    <w:tblPr>
      <w:tblCellMar>
        <w:left w:w="0" w:type="dxa"/>
        <w:top w:w="0" w:type="dxa"/>
        <w:right w:w="0" w:type="dxa"/>
        <w:bottom w:w="0" w:type="dxa"/>
      </w:tblCellMar>
    </w:tblPr>
  </w:style>
  <w:style w:type="table" w:styleId="1018" w:customStyle="1">
    <w:name w:val="Grid Table 2"/>
    <w:basedOn w:val="936"/>
    <w:uiPriority w:val="99"/>
    <w:qFormat/>
    <w:tblPr>
      <w:tblCellMar>
        <w:left w:w="0" w:type="dxa"/>
        <w:top w:w="0" w:type="dxa"/>
        <w:right w:w="0" w:type="dxa"/>
        <w:bottom w:w="0" w:type="dxa"/>
      </w:tblCellMar>
    </w:tblPr>
  </w:style>
  <w:style w:type="table" w:styleId="1019" w:customStyle="1">
    <w:name w:val="Grid Table 3"/>
    <w:basedOn w:val="936"/>
    <w:uiPriority w:val="99"/>
    <w:qFormat/>
    <w:tblPr>
      <w:tblCellMar>
        <w:left w:w="0" w:type="dxa"/>
        <w:top w:w="0" w:type="dxa"/>
        <w:right w:w="0" w:type="dxa"/>
        <w:bottom w:w="0" w:type="dxa"/>
      </w:tblCellMar>
    </w:tblPr>
  </w:style>
  <w:style w:type="table" w:styleId="1020" w:customStyle="1">
    <w:name w:val="Grid Table 4"/>
    <w:basedOn w:val="936"/>
    <w:uiPriority w:val="59"/>
    <w:qFormat/>
    <w:tblPr>
      <w:tblCellMar>
        <w:left w:w="0" w:type="dxa"/>
        <w:top w:w="0" w:type="dxa"/>
        <w:right w:w="0" w:type="dxa"/>
        <w:bottom w:w="0" w:type="dxa"/>
      </w:tblCellMar>
    </w:tblPr>
  </w:style>
  <w:style w:type="table" w:styleId="1021" w:customStyle="1">
    <w:name w:val="Grid Table 5 Dark"/>
    <w:basedOn w:val="936"/>
    <w:uiPriority w:val="99"/>
    <w:qFormat/>
    <w:tblPr>
      <w:tblCellMar>
        <w:left w:w="0" w:type="dxa"/>
        <w:top w:w="0" w:type="dxa"/>
        <w:right w:w="0" w:type="dxa"/>
        <w:bottom w:w="0" w:type="dxa"/>
      </w:tblCellMar>
    </w:tblPr>
  </w:style>
  <w:style w:type="table" w:styleId="1022" w:customStyle="1">
    <w:name w:val="Grid Table 6 Colorful"/>
    <w:basedOn w:val="936"/>
    <w:uiPriority w:val="99"/>
    <w:qFormat/>
    <w:tblPr>
      <w:tblCellMar>
        <w:left w:w="0" w:type="dxa"/>
        <w:top w:w="0" w:type="dxa"/>
        <w:right w:w="0" w:type="dxa"/>
        <w:bottom w:w="0" w:type="dxa"/>
      </w:tblCellMar>
    </w:tblPr>
  </w:style>
  <w:style w:type="table" w:styleId="1023" w:customStyle="1">
    <w:name w:val="Grid Table 7 Colorful"/>
    <w:basedOn w:val="936"/>
    <w:uiPriority w:val="99"/>
    <w:qFormat/>
    <w:tblPr>
      <w:tblCellMar>
        <w:left w:w="0" w:type="dxa"/>
        <w:top w:w="0" w:type="dxa"/>
        <w:right w:w="0" w:type="dxa"/>
        <w:bottom w:w="0" w:type="dxa"/>
      </w:tblCellMar>
    </w:tblPr>
  </w:style>
  <w:style w:type="table" w:styleId="1024" w:customStyle="1">
    <w:name w:val="List Table 1 Light"/>
    <w:basedOn w:val="936"/>
    <w:uiPriority w:val="99"/>
    <w:qFormat/>
    <w:tblPr>
      <w:tblCellMar>
        <w:left w:w="0" w:type="dxa"/>
        <w:top w:w="0" w:type="dxa"/>
        <w:right w:w="0" w:type="dxa"/>
        <w:bottom w:w="0" w:type="dxa"/>
      </w:tblCellMar>
    </w:tblPr>
  </w:style>
  <w:style w:type="table" w:styleId="1025" w:customStyle="1">
    <w:name w:val="List Table 2"/>
    <w:basedOn w:val="936"/>
    <w:uiPriority w:val="99"/>
    <w:qFormat/>
    <w:tblPr>
      <w:tblCellMar>
        <w:left w:w="0" w:type="dxa"/>
        <w:top w:w="0" w:type="dxa"/>
        <w:right w:w="0" w:type="dxa"/>
        <w:bottom w:w="0" w:type="dxa"/>
      </w:tblCellMar>
    </w:tblPr>
  </w:style>
  <w:style w:type="table" w:styleId="1026" w:customStyle="1">
    <w:name w:val="List Table 3"/>
    <w:basedOn w:val="936"/>
    <w:uiPriority w:val="99"/>
    <w:qFormat/>
    <w:tblPr>
      <w:tblCellMar>
        <w:left w:w="0" w:type="dxa"/>
        <w:top w:w="0" w:type="dxa"/>
        <w:right w:w="0" w:type="dxa"/>
        <w:bottom w:w="0" w:type="dxa"/>
      </w:tblCellMar>
    </w:tblPr>
  </w:style>
  <w:style w:type="table" w:styleId="1027" w:customStyle="1">
    <w:name w:val="List Table 4"/>
    <w:basedOn w:val="936"/>
    <w:uiPriority w:val="99"/>
    <w:qFormat/>
    <w:tblPr>
      <w:tblCellMar>
        <w:left w:w="0" w:type="dxa"/>
        <w:top w:w="0" w:type="dxa"/>
        <w:right w:w="0" w:type="dxa"/>
        <w:bottom w:w="0" w:type="dxa"/>
      </w:tblCellMar>
    </w:tblPr>
  </w:style>
  <w:style w:type="table" w:styleId="1028" w:customStyle="1">
    <w:name w:val="List Table 5 Dark"/>
    <w:basedOn w:val="936"/>
    <w:uiPriority w:val="99"/>
    <w:qFormat/>
    <w:tblPr>
      <w:tblCellMar>
        <w:left w:w="0" w:type="dxa"/>
        <w:top w:w="0" w:type="dxa"/>
        <w:right w:w="0" w:type="dxa"/>
        <w:bottom w:w="0" w:type="dxa"/>
      </w:tblCellMar>
    </w:tblPr>
  </w:style>
  <w:style w:type="table" w:styleId="1029" w:customStyle="1">
    <w:name w:val="List Table 6 Colorful"/>
    <w:basedOn w:val="936"/>
    <w:uiPriority w:val="99"/>
    <w:qFormat/>
    <w:tblPr>
      <w:tblCellMar>
        <w:left w:w="0" w:type="dxa"/>
        <w:top w:w="0" w:type="dxa"/>
        <w:right w:w="0" w:type="dxa"/>
        <w:bottom w:w="0" w:type="dxa"/>
      </w:tblCellMar>
    </w:tblPr>
  </w:style>
  <w:style w:type="table" w:styleId="1030" w:customStyle="1">
    <w:name w:val="List Table 7 Colorful"/>
    <w:basedOn w:val="936"/>
    <w:uiPriority w:val="99"/>
    <w:qFormat/>
    <w:tblPr>
      <w:tblCellMar>
        <w:left w:w="0" w:type="dxa"/>
        <w:top w:w="0" w:type="dxa"/>
        <w:right w:w="0" w:type="dxa"/>
        <w:bottom w:w="0" w:type="dxa"/>
      </w:tblCellMar>
    </w:tblPr>
  </w:style>
  <w:style w:type="paragraph" w:styleId="1031" w:customStyle="1">
    <w:name w:val="TOC 标题1"/>
    <w:uiPriority w:val="39"/>
    <w:unhideWhenUsed/>
    <w:qFormat/>
    <w:rPr>
      <w:rFonts w:ascii="Times New Roman" w:hAnsi="Times New Roman" w:eastAsia="宋体" w:cs="Times New Roman"/>
      <w:lang w:val="en-US" w:eastAsia="zh-CN" w:bidi="ar-SA"/>
    </w:rPr>
  </w:style>
  <w:style w:type="paragraph" w:styleId="1032" w:customStyle="1">
    <w:name w:val="段"/>
    <w:basedOn w:val="782"/>
    <w:next w:val="782"/>
    <w:uiPriority w:val="0"/>
    <w:qFormat/>
    <w:pPr>
      <w:ind w:firstLine="200"/>
      <w:spacing w:line="360" w:lineRule="auto"/>
      <w:widowControl/>
    </w:pPr>
    <w:rPr>
      <w:rFonts w:ascii="宋体" w:hAnsi="宋体" w:eastAsia="宋体" w:cs="宋体"/>
      <w:sz w:val="24"/>
      <w:szCs w:val="24"/>
    </w:rPr>
  </w:style>
  <w:style w:type="paragraph" w:styleId="1033" w:customStyle="1">
    <w:name w:val="首行缩进"/>
    <w:basedOn w:val="782"/>
    <w:uiPriority w:val="0"/>
    <w:qFormat/>
    <w:pPr>
      <w:ind w:firstLine="480"/>
    </w:pPr>
    <w:rPr>
      <w:lang w:val="zh-CN"/>
    </w:rPr>
  </w:style>
  <w:style w:type="character" w:styleId="1034" w:customStyle="1">
    <w:name w:val="Title Char"/>
    <w:basedOn w:val="935"/>
    <w:uiPriority w:val="10"/>
    <w:qFormat/>
    <w:rPr>
      <w:sz w:val="48"/>
      <w:szCs w:val="48"/>
    </w:rPr>
  </w:style>
  <w:style w:type="character" w:styleId="1035" w:customStyle="1">
    <w:name w:val="Subtitle Char"/>
    <w:basedOn w:val="935"/>
    <w:uiPriority w:val="11"/>
    <w:qFormat/>
    <w:rPr>
      <w:sz w:val="24"/>
      <w:szCs w:val="24"/>
    </w:rPr>
  </w:style>
  <w:style w:type="character" w:styleId="1036" w:customStyle="1">
    <w:name w:val="Quote Char"/>
    <w:uiPriority w:val="29"/>
    <w:qFormat/>
    <w:rPr>
      <w:i/>
    </w:rPr>
  </w:style>
  <w:style w:type="character" w:styleId="1037" w:customStyle="1">
    <w:name w:val="Intense Quote Char"/>
    <w:uiPriority w:val="30"/>
    <w:qFormat/>
    <w:rPr>
      <w:i/>
    </w:rPr>
  </w:style>
  <w:style w:type="character" w:styleId="1038" w:customStyle="1">
    <w:name w:val="Footnote Text Char"/>
    <w:uiPriority w:val="99"/>
    <w:qFormat/>
    <w:rPr>
      <w:sz w:val="18"/>
    </w:rPr>
  </w:style>
  <w:style w:type="character" w:styleId="1039" w:customStyle="1">
    <w:name w:val="Endnote Text Char"/>
    <w:uiPriority w:val="99"/>
    <w:qFormat/>
    <w:rPr>
      <w:sz w:val="20"/>
    </w:rPr>
  </w:style>
  <w:style w:type="paragraph" w:styleId="1040" w:customStyle="1">
    <w:name w:val="TOC 标题111"/>
    <w:uiPriority w:val="39"/>
    <w:unhideWhenUsed/>
    <w:qFormat/>
    <w:rPr>
      <w:rFonts w:ascii="Times New Roman" w:hAnsi="Times New Roman" w:eastAsia="宋体" w:cs="Times New Roman"/>
      <w:lang w:val="en-US" w:eastAsia="zh-CN" w:bidi="ar-SA"/>
    </w:rPr>
  </w:style>
  <w:style w:type="paragraph" w:styleId="1041" w:customStyle="1">
    <w:name w:val="标题 11"/>
    <w:basedOn w:val="782"/>
    <w:next w:val="782"/>
    <w:link w:val="1042"/>
    <w:uiPriority w:val="9"/>
    <w:qFormat/>
    <w:pPr>
      <w:keepLines/>
      <w:keepNext/>
      <w:spacing w:before="480" w:after="200"/>
      <w:outlineLvl w:val="0"/>
    </w:pPr>
    <w:rPr>
      <w:rFonts w:ascii="Arial" w:hAnsi="Arial" w:eastAsia="Arial"/>
      <w:sz w:val="40"/>
      <w:szCs w:val="40"/>
    </w:rPr>
  </w:style>
  <w:style w:type="character" w:styleId="1042" w:customStyle="1">
    <w:name w:val="Heading 1 Char"/>
    <w:link w:val="1041"/>
    <w:uiPriority w:val="9"/>
    <w:qFormat/>
    <w:rPr>
      <w:rFonts w:ascii="Arial" w:hAnsi="Arial" w:eastAsia="Arial" w:cs="Arial"/>
      <w:sz w:val="40"/>
      <w:szCs w:val="40"/>
    </w:rPr>
  </w:style>
  <w:style w:type="paragraph" w:styleId="1043" w:customStyle="1">
    <w:name w:val="标题 21"/>
    <w:basedOn w:val="782"/>
    <w:next w:val="782"/>
    <w:link w:val="1044"/>
    <w:uiPriority w:val="9"/>
    <w:unhideWhenUsed/>
    <w:qFormat/>
    <w:pPr>
      <w:keepLines/>
      <w:keepNext/>
      <w:spacing w:before="360" w:after="200"/>
      <w:outlineLvl w:val="1"/>
    </w:pPr>
    <w:rPr>
      <w:rFonts w:ascii="Arial" w:hAnsi="Arial" w:eastAsia="Arial"/>
      <w:sz w:val="34"/>
    </w:rPr>
  </w:style>
  <w:style w:type="character" w:styleId="1044" w:customStyle="1">
    <w:name w:val="Heading 2 Char"/>
    <w:link w:val="1043"/>
    <w:uiPriority w:val="9"/>
    <w:qFormat/>
    <w:rPr>
      <w:rFonts w:ascii="Arial" w:hAnsi="Arial" w:eastAsia="Arial" w:cs="Arial"/>
      <w:sz w:val="34"/>
    </w:rPr>
  </w:style>
  <w:style w:type="paragraph" w:styleId="1045" w:customStyle="1">
    <w:name w:val="标题 31"/>
    <w:basedOn w:val="782"/>
    <w:next w:val="782"/>
    <w:link w:val="1046"/>
    <w:uiPriority w:val="9"/>
    <w:unhideWhenUsed/>
    <w:qFormat/>
    <w:pPr>
      <w:keepLines/>
      <w:keepNext/>
      <w:spacing w:before="320" w:after="200"/>
      <w:outlineLvl w:val="2"/>
    </w:pPr>
    <w:rPr>
      <w:rFonts w:ascii="Arial" w:hAnsi="Arial" w:eastAsia="Arial"/>
      <w:sz w:val="30"/>
      <w:szCs w:val="30"/>
    </w:rPr>
  </w:style>
  <w:style w:type="character" w:styleId="1046" w:customStyle="1">
    <w:name w:val="Heading 3 Char"/>
    <w:link w:val="1045"/>
    <w:uiPriority w:val="9"/>
    <w:qFormat/>
    <w:rPr>
      <w:rFonts w:ascii="Arial" w:hAnsi="Arial" w:eastAsia="Arial" w:cs="Arial"/>
      <w:sz w:val="30"/>
      <w:szCs w:val="30"/>
    </w:rPr>
  </w:style>
  <w:style w:type="paragraph" w:styleId="1047" w:customStyle="1">
    <w:name w:val="标题 41"/>
    <w:basedOn w:val="782"/>
    <w:next w:val="782"/>
    <w:link w:val="1048"/>
    <w:uiPriority w:val="9"/>
    <w:unhideWhenUsed/>
    <w:qFormat/>
    <w:pPr>
      <w:keepLines/>
      <w:keepNext/>
      <w:spacing w:before="320" w:after="200"/>
      <w:outlineLvl w:val="3"/>
    </w:pPr>
    <w:rPr>
      <w:rFonts w:ascii="Arial" w:hAnsi="Arial" w:eastAsia="Arial"/>
      <w:b/>
      <w:bCs/>
      <w:szCs w:val="26"/>
    </w:rPr>
  </w:style>
  <w:style w:type="character" w:styleId="1048" w:customStyle="1">
    <w:name w:val="Heading 4 Char"/>
    <w:link w:val="1047"/>
    <w:uiPriority w:val="9"/>
    <w:qFormat/>
    <w:rPr>
      <w:rFonts w:ascii="Arial" w:hAnsi="Arial" w:eastAsia="Arial" w:cs="Arial"/>
      <w:b/>
      <w:bCs/>
      <w:sz w:val="26"/>
      <w:szCs w:val="26"/>
    </w:rPr>
  </w:style>
  <w:style w:type="paragraph" w:styleId="1049" w:customStyle="1">
    <w:name w:val="标题 51"/>
    <w:basedOn w:val="782"/>
    <w:next w:val="782"/>
    <w:link w:val="1050"/>
    <w:uiPriority w:val="9"/>
    <w:unhideWhenUsed/>
    <w:qFormat/>
    <w:pPr>
      <w:keepLines/>
      <w:keepNext/>
      <w:spacing w:before="320" w:after="200"/>
      <w:outlineLvl w:val="4"/>
    </w:pPr>
    <w:rPr>
      <w:rFonts w:ascii="Arial" w:hAnsi="Arial" w:eastAsia="Arial"/>
      <w:b/>
      <w:bCs/>
      <w:sz w:val="24"/>
      <w:szCs w:val="24"/>
    </w:rPr>
  </w:style>
  <w:style w:type="character" w:styleId="1050" w:customStyle="1">
    <w:name w:val="Heading 5 Char"/>
    <w:link w:val="1049"/>
    <w:uiPriority w:val="9"/>
    <w:qFormat/>
    <w:rPr>
      <w:rFonts w:ascii="Arial" w:hAnsi="Arial" w:eastAsia="Arial" w:cs="Arial"/>
      <w:b/>
      <w:bCs/>
      <w:sz w:val="24"/>
      <w:szCs w:val="24"/>
    </w:rPr>
  </w:style>
  <w:style w:type="paragraph" w:styleId="1051" w:customStyle="1">
    <w:name w:val="标题 61"/>
    <w:basedOn w:val="782"/>
    <w:next w:val="782"/>
    <w:link w:val="1052"/>
    <w:uiPriority w:val="9"/>
    <w:unhideWhenUsed/>
    <w:qFormat/>
    <w:pPr>
      <w:keepLines/>
      <w:keepNext/>
      <w:spacing w:before="320" w:after="200"/>
      <w:outlineLvl w:val="5"/>
    </w:pPr>
    <w:rPr>
      <w:rFonts w:ascii="Arial" w:hAnsi="Arial" w:eastAsia="Arial"/>
      <w:b/>
      <w:bCs/>
      <w:sz w:val="22"/>
      <w:szCs w:val="22"/>
    </w:rPr>
  </w:style>
  <w:style w:type="character" w:styleId="1052" w:customStyle="1">
    <w:name w:val="Heading 6 Char"/>
    <w:link w:val="1051"/>
    <w:uiPriority w:val="9"/>
    <w:qFormat/>
    <w:rPr>
      <w:rFonts w:ascii="Arial" w:hAnsi="Arial" w:eastAsia="Arial" w:cs="Arial"/>
      <w:b/>
      <w:bCs/>
      <w:sz w:val="22"/>
      <w:szCs w:val="22"/>
    </w:rPr>
  </w:style>
  <w:style w:type="paragraph" w:styleId="1053" w:customStyle="1">
    <w:name w:val="标题 71"/>
    <w:basedOn w:val="782"/>
    <w:next w:val="782"/>
    <w:link w:val="1054"/>
    <w:uiPriority w:val="9"/>
    <w:unhideWhenUsed/>
    <w:qFormat/>
    <w:pPr>
      <w:keepLines/>
      <w:keepNext/>
      <w:spacing w:before="320" w:after="200"/>
      <w:outlineLvl w:val="6"/>
    </w:pPr>
    <w:rPr>
      <w:rFonts w:ascii="Arial" w:hAnsi="Arial" w:eastAsia="Arial"/>
      <w:b/>
      <w:bCs/>
      <w:i/>
      <w:iCs/>
      <w:sz w:val="22"/>
      <w:szCs w:val="22"/>
    </w:rPr>
  </w:style>
  <w:style w:type="character" w:styleId="1054" w:customStyle="1">
    <w:name w:val="Heading 7 Char"/>
    <w:link w:val="1053"/>
    <w:uiPriority w:val="9"/>
    <w:qFormat/>
    <w:rPr>
      <w:rFonts w:ascii="Arial" w:hAnsi="Arial" w:eastAsia="Arial" w:cs="Arial"/>
      <w:b/>
      <w:bCs/>
      <w:i/>
      <w:iCs/>
      <w:sz w:val="22"/>
      <w:szCs w:val="22"/>
    </w:rPr>
  </w:style>
  <w:style w:type="paragraph" w:styleId="1055" w:customStyle="1">
    <w:name w:val="标题 81"/>
    <w:basedOn w:val="782"/>
    <w:next w:val="782"/>
    <w:link w:val="1056"/>
    <w:uiPriority w:val="9"/>
    <w:unhideWhenUsed/>
    <w:qFormat/>
    <w:pPr>
      <w:keepLines/>
      <w:keepNext/>
      <w:spacing w:before="320" w:after="200"/>
      <w:outlineLvl w:val="7"/>
    </w:pPr>
    <w:rPr>
      <w:rFonts w:ascii="Arial" w:hAnsi="Arial" w:eastAsia="Arial"/>
      <w:i/>
      <w:iCs/>
      <w:sz w:val="22"/>
      <w:szCs w:val="22"/>
    </w:rPr>
  </w:style>
  <w:style w:type="character" w:styleId="1056" w:customStyle="1">
    <w:name w:val="Heading 8 Char"/>
    <w:link w:val="1055"/>
    <w:uiPriority w:val="9"/>
    <w:qFormat/>
    <w:rPr>
      <w:rFonts w:ascii="Arial" w:hAnsi="Arial" w:eastAsia="Arial" w:cs="Arial"/>
      <w:i/>
      <w:iCs/>
      <w:sz w:val="22"/>
      <w:szCs w:val="22"/>
    </w:rPr>
  </w:style>
  <w:style w:type="paragraph" w:styleId="1057" w:customStyle="1">
    <w:name w:val="标题 91"/>
    <w:basedOn w:val="782"/>
    <w:next w:val="782"/>
    <w:link w:val="1058"/>
    <w:uiPriority w:val="9"/>
    <w:unhideWhenUsed/>
    <w:qFormat/>
    <w:pPr>
      <w:keepLines/>
      <w:keepNext/>
      <w:spacing w:before="320" w:after="200"/>
      <w:outlineLvl w:val="8"/>
    </w:pPr>
    <w:rPr>
      <w:rFonts w:ascii="Arial" w:hAnsi="Arial" w:eastAsia="Arial"/>
      <w:i/>
      <w:iCs/>
      <w:sz w:val="21"/>
      <w:szCs w:val="21"/>
    </w:rPr>
  </w:style>
  <w:style w:type="character" w:styleId="1058" w:customStyle="1">
    <w:name w:val="Heading 9 Char"/>
    <w:link w:val="1057"/>
    <w:uiPriority w:val="9"/>
    <w:qFormat/>
    <w:rPr>
      <w:rFonts w:ascii="Arial" w:hAnsi="Arial" w:eastAsia="Arial" w:cs="Arial"/>
      <w:i/>
      <w:iCs/>
      <w:sz w:val="21"/>
      <w:szCs w:val="21"/>
    </w:rPr>
  </w:style>
  <w:style w:type="paragraph" w:styleId="1059" w:customStyle="1">
    <w:name w:val="列出段落1"/>
    <w:basedOn w:val="782"/>
    <w:link w:val="1060"/>
    <w:uiPriority w:val="0"/>
    <w:qFormat/>
    <w:pPr>
      <w:ind w:firstLine="420"/>
    </w:pPr>
    <w:rPr>
      <w:rFonts w:eastAsia="宋体"/>
      <w:sz w:val="21"/>
      <w:szCs w:val="24"/>
    </w:rPr>
  </w:style>
  <w:style w:type="character" w:styleId="1060" w:customStyle="1">
    <w:name w:val="列出段落 Char"/>
    <w:link w:val="1059"/>
    <w:uiPriority w:val="0"/>
    <w:qFormat/>
    <w:rPr>
      <w:sz w:val="21"/>
      <w:szCs w:val="24"/>
    </w:rPr>
  </w:style>
  <w:style w:type="paragraph" w:styleId="1061" w:customStyle="1">
    <w:name w:val="无间隔1"/>
    <w:uiPriority w:val="99"/>
    <w:qFormat/>
    <w:pPr>
      <w:jc w:val="both"/>
      <w:widowControl w:val="off"/>
    </w:pPr>
    <w:rPr>
      <w:rFonts w:ascii="Times New Roman" w:hAnsi="Times New Roman" w:eastAsia="楷体_GB2312" w:cs="Times New Roman"/>
      <w:sz w:val="26"/>
      <w:lang w:val="en-US" w:eastAsia="zh-CN" w:bidi="ar-SA"/>
    </w:rPr>
  </w:style>
  <w:style w:type="paragraph" w:styleId="1062" w:customStyle="1">
    <w:name w:val="引用1"/>
    <w:basedOn w:val="782"/>
    <w:next w:val="782"/>
    <w:link w:val="1063"/>
    <w:uiPriority w:val="29"/>
    <w:qFormat/>
    <w:pPr>
      <w:ind w:left="720" w:right="720"/>
    </w:pPr>
    <w:rPr>
      <w:rFonts w:eastAsia="宋体"/>
      <w:i/>
      <w:sz w:val="20"/>
    </w:rPr>
  </w:style>
  <w:style w:type="character" w:styleId="1063" w:customStyle="1">
    <w:name w:val="引用 Char"/>
    <w:link w:val="1062"/>
    <w:uiPriority w:val="29"/>
    <w:qFormat/>
    <w:rPr>
      <w:i/>
    </w:rPr>
  </w:style>
  <w:style w:type="paragraph" w:styleId="1064" w:customStyle="1">
    <w:name w:val="明显引用1"/>
    <w:basedOn w:val="782"/>
    <w:next w:val="782"/>
    <w:link w:val="10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65" w:customStyle="1">
    <w:name w:val="明显引用 Char"/>
    <w:link w:val="1064"/>
    <w:uiPriority w:val="30"/>
    <w:qFormat/>
    <w:rPr>
      <w:i/>
    </w:rPr>
  </w:style>
  <w:style w:type="paragraph" w:styleId="1066" w:customStyle="1">
    <w:name w:val="页眉1"/>
    <w:basedOn w:val="782"/>
    <w:link w:val="1067"/>
    <w:uiPriority w:val="0"/>
    <w:unhideWhenUsed/>
    <w:qFormat/>
    <w:pPr>
      <w:tabs>
        <w:tab w:val="center" w:pos="7143" w:leader="none"/>
        <w:tab w:val="right" w:pos="14287" w:leader="none"/>
      </w:tabs>
    </w:pPr>
    <w:rPr>
      <w:rFonts w:eastAsia="宋体"/>
      <w:sz w:val="18"/>
    </w:rPr>
  </w:style>
  <w:style w:type="character" w:styleId="1067" w:customStyle="1">
    <w:name w:val="Header Char"/>
    <w:link w:val="1066"/>
    <w:uiPriority w:val="0"/>
    <w:qFormat/>
    <w:rPr>
      <w:sz w:val="18"/>
    </w:rPr>
  </w:style>
  <w:style w:type="paragraph" w:styleId="1068" w:customStyle="1">
    <w:name w:val="页脚1"/>
    <w:basedOn w:val="782"/>
    <w:link w:val="1069"/>
    <w:uiPriority w:val="99"/>
    <w:unhideWhenUsed/>
    <w:qFormat/>
    <w:pPr>
      <w:tabs>
        <w:tab w:val="center" w:pos="7143" w:leader="none"/>
        <w:tab w:val="right" w:pos="14287" w:leader="none"/>
      </w:tabs>
    </w:pPr>
  </w:style>
  <w:style w:type="character" w:styleId="1069" w:customStyle="1">
    <w:name w:val="Caption Char"/>
    <w:link w:val="1068"/>
    <w:uiPriority w:val="99"/>
    <w:qFormat/>
  </w:style>
  <w:style w:type="character" w:styleId="1070" w:customStyle="1">
    <w:name w:val="Footer Char"/>
    <w:uiPriority w:val="99"/>
    <w:qFormat/>
  </w:style>
  <w:style w:type="paragraph" w:styleId="1071" w:customStyle="1">
    <w:name w:val="题注1"/>
    <w:basedOn w:val="782"/>
    <w:next w:val="782"/>
    <w:uiPriority w:val="35"/>
    <w:unhideWhenUsed/>
    <w:qFormat/>
    <w:pPr>
      <w:spacing w:line="276" w:lineRule="auto"/>
    </w:pPr>
    <w:rPr>
      <w:b/>
      <w:bCs/>
      <w:color w:val="4f81bd"/>
      <w:sz w:val="18"/>
      <w:szCs w:val="18"/>
    </w:rPr>
  </w:style>
  <w:style w:type="table" w:styleId="1072" w:customStyle="1">
    <w:name w:val="Table Grid Light"/>
    <w:uiPriority w:val="59"/>
    <w:qFormat/>
    <w:tblPr>
      <w:tblCellMar>
        <w:left w:w="0" w:type="dxa"/>
        <w:top w:w="0" w:type="dxa"/>
        <w:right w:w="0" w:type="dxa"/>
        <w:bottom w:w="0" w:type="dxa"/>
      </w:tblCellMar>
    </w:tblPr>
  </w:style>
  <w:style w:type="table" w:styleId="1073" w:customStyle="1">
    <w:name w:val="无格式表格 11"/>
    <w:uiPriority w:val="59"/>
    <w:qFormat/>
    <w:tblPr>
      <w:tblCellMar>
        <w:left w:w="0" w:type="dxa"/>
        <w:top w:w="0" w:type="dxa"/>
        <w:right w:w="0" w:type="dxa"/>
        <w:bottom w:w="0" w:type="dxa"/>
      </w:tblCellMar>
    </w:tblPr>
  </w:style>
  <w:style w:type="table" w:styleId="1074" w:customStyle="1">
    <w:name w:val="无格式表格 21"/>
    <w:uiPriority w:val="59"/>
    <w:qFormat/>
    <w:tblPr>
      <w:tblCellMar>
        <w:left w:w="0" w:type="dxa"/>
        <w:top w:w="0" w:type="dxa"/>
        <w:right w:w="0" w:type="dxa"/>
        <w:bottom w:w="0" w:type="dxa"/>
      </w:tblCellMar>
    </w:tblPr>
  </w:style>
  <w:style w:type="table" w:styleId="1075" w:customStyle="1">
    <w:name w:val="无格式表格 31"/>
    <w:uiPriority w:val="99"/>
    <w:qFormat/>
    <w:tblPr>
      <w:tblCellMar>
        <w:left w:w="0" w:type="dxa"/>
        <w:top w:w="0" w:type="dxa"/>
        <w:right w:w="0" w:type="dxa"/>
        <w:bottom w:w="0" w:type="dxa"/>
      </w:tblCellMar>
    </w:tblPr>
  </w:style>
  <w:style w:type="table" w:styleId="1076" w:customStyle="1">
    <w:name w:val="无格式表格 41"/>
    <w:uiPriority w:val="99"/>
    <w:qFormat/>
    <w:tblPr>
      <w:tblCellMar>
        <w:left w:w="0" w:type="dxa"/>
        <w:top w:w="0" w:type="dxa"/>
        <w:right w:w="0" w:type="dxa"/>
        <w:bottom w:w="0" w:type="dxa"/>
      </w:tblCellMar>
    </w:tblPr>
  </w:style>
  <w:style w:type="table" w:styleId="1077" w:customStyle="1">
    <w:name w:val="无格式表格 51"/>
    <w:uiPriority w:val="99"/>
    <w:qFormat/>
    <w:tblPr>
      <w:tblCellMar>
        <w:left w:w="0" w:type="dxa"/>
        <w:top w:w="0" w:type="dxa"/>
        <w:right w:w="0" w:type="dxa"/>
        <w:bottom w:w="0" w:type="dxa"/>
      </w:tblCellMar>
    </w:tblPr>
  </w:style>
  <w:style w:type="table" w:styleId="1078" w:customStyle="1">
    <w:name w:val="网格表 1 浅色1"/>
    <w:uiPriority w:val="99"/>
    <w:qFormat/>
    <w:tblPr>
      <w:tblCellMar>
        <w:left w:w="0" w:type="dxa"/>
        <w:top w:w="0" w:type="dxa"/>
        <w:right w:w="0" w:type="dxa"/>
        <w:bottom w:w="0" w:type="dxa"/>
      </w:tblCellMar>
    </w:tblPr>
  </w:style>
  <w:style w:type="table" w:styleId="1079" w:customStyle="1">
    <w:name w:val="Grid Table 1 Light - Accent 1"/>
    <w:uiPriority w:val="99"/>
    <w:qFormat/>
    <w:tblPr>
      <w:tblCellMar>
        <w:left w:w="0" w:type="dxa"/>
        <w:top w:w="0" w:type="dxa"/>
        <w:right w:w="0" w:type="dxa"/>
        <w:bottom w:w="0" w:type="dxa"/>
      </w:tblCellMar>
    </w:tblPr>
  </w:style>
  <w:style w:type="table" w:styleId="1080" w:customStyle="1">
    <w:name w:val="Grid Table 1 Light - Accent 2"/>
    <w:uiPriority w:val="99"/>
    <w:qFormat/>
    <w:tblPr>
      <w:tblCellMar>
        <w:left w:w="0" w:type="dxa"/>
        <w:top w:w="0" w:type="dxa"/>
        <w:right w:w="0" w:type="dxa"/>
        <w:bottom w:w="0" w:type="dxa"/>
      </w:tblCellMar>
    </w:tblPr>
  </w:style>
  <w:style w:type="table" w:styleId="1081" w:customStyle="1">
    <w:name w:val="Grid Table 1 Light - Accent 3"/>
    <w:uiPriority w:val="99"/>
    <w:qFormat/>
    <w:tblPr>
      <w:tblCellMar>
        <w:left w:w="0" w:type="dxa"/>
        <w:top w:w="0" w:type="dxa"/>
        <w:right w:w="0" w:type="dxa"/>
        <w:bottom w:w="0" w:type="dxa"/>
      </w:tblCellMar>
    </w:tblPr>
  </w:style>
  <w:style w:type="table" w:styleId="1082" w:customStyle="1">
    <w:name w:val="Grid Table 1 Light - Accent 4"/>
    <w:uiPriority w:val="99"/>
    <w:qFormat/>
    <w:tblPr>
      <w:tblCellMar>
        <w:left w:w="0" w:type="dxa"/>
        <w:top w:w="0" w:type="dxa"/>
        <w:right w:w="0" w:type="dxa"/>
        <w:bottom w:w="0" w:type="dxa"/>
      </w:tblCellMar>
    </w:tblPr>
  </w:style>
  <w:style w:type="table" w:styleId="1083" w:customStyle="1">
    <w:name w:val="Grid Table 1 Light - Accent 5"/>
    <w:uiPriority w:val="99"/>
    <w:qFormat/>
    <w:tblPr>
      <w:tblCellMar>
        <w:left w:w="0" w:type="dxa"/>
        <w:top w:w="0" w:type="dxa"/>
        <w:right w:w="0" w:type="dxa"/>
        <w:bottom w:w="0" w:type="dxa"/>
      </w:tblCellMar>
    </w:tblPr>
  </w:style>
  <w:style w:type="table" w:styleId="1084" w:customStyle="1">
    <w:name w:val="Grid Table 1 Light - Accent 6"/>
    <w:uiPriority w:val="99"/>
    <w:qFormat/>
    <w:tblPr>
      <w:tblCellMar>
        <w:left w:w="0" w:type="dxa"/>
        <w:top w:w="0" w:type="dxa"/>
        <w:right w:w="0" w:type="dxa"/>
        <w:bottom w:w="0" w:type="dxa"/>
      </w:tblCellMar>
    </w:tblPr>
  </w:style>
  <w:style w:type="table" w:styleId="1085" w:customStyle="1">
    <w:name w:val="网格表 21"/>
    <w:uiPriority w:val="99"/>
    <w:qFormat/>
    <w:tblPr>
      <w:tblCellMar>
        <w:left w:w="0" w:type="dxa"/>
        <w:top w:w="0" w:type="dxa"/>
        <w:right w:w="0" w:type="dxa"/>
        <w:bottom w:w="0" w:type="dxa"/>
      </w:tblCellMar>
    </w:tblPr>
  </w:style>
  <w:style w:type="table" w:styleId="1086" w:customStyle="1">
    <w:name w:val="Grid Table 2 - Accent 1"/>
    <w:uiPriority w:val="99"/>
    <w:qFormat/>
    <w:tblPr>
      <w:tblCellMar>
        <w:left w:w="0" w:type="dxa"/>
        <w:top w:w="0" w:type="dxa"/>
        <w:right w:w="0" w:type="dxa"/>
        <w:bottom w:w="0" w:type="dxa"/>
      </w:tblCellMar>
    </w:tblPr>
  </w:style>
  <w:style w:type="table" w:styleId="1087" w:customStyle="1">
    <w:name w:val="Grid Table 2 - Accent 2"/>
    <w:uiPriority w:val="99"/>
    <w:qFormat/>
    <w:tblPr>
      <w:tblCellMar>
        <w:left w:w="0" w:type="dxa"/>
        <w:top w:w="0" w:type="dxa"/>
        <w:right w:w="0" w:type="dxa"/>
        <w:bottom w:w="0" w:type="dxa"/>
      </w:tblCellMar>
    </w:tblPr>
  </w:style>
  <w:style w:type="table" w:styleId="1088" w:customStyle="1">
    <w:name w:val="Grid Table 2 - Accent 3"/>
    <w:uiPriority w:val="99"/>
    <w:qFormat/>
    <w:tblPr>
      <w:tblCellMar>
        <w:left w:w="0" w:type="dxa"/>
        <w:top w:w="0" w:type="dxa"/>
        <w:right w:w="0" w:type="dxa"/>
        <w:bottom w:w="0" w:type="dxa"/>
      </w:tblCellMar>
    </w:tblPr>
  </w:style>
  <w:style w:type="table" w:styleId="1089" w:customStyle="1">
    <w:name w:val="Grid Table 2 - Accent 4"/>
    <w:uiPriority w:val="99"/>
    <w:qFormat/>
    <w:tblPr>
      <w:tblCellMar>
        <w:left w:w="0" w:type="dxa"/>
        <w:top w:w="0" w:type="dxa"/>
        <w:right w:w="0" w:type="dxa"/>
        <w:bottom w:w="0" w:type="dxa"/>
      </w:tblCellMar>
    </w:tblPr>
  </w:style>
  <w:style w:type="table" w:styleId="1090" w:customStyle="1">
    <w:name w:val="Grid Table 2 - Accent 5"/>
    <w:uiPriority w:val="99"/>
    <w:qFormat/>
    <w:tblPr>
      <w:tblCellMar>
        <w:left w:w="0" w:type="dxa"/>
        <w:top w:w="0" w:type="dxa"/>
        <w:right w:w="0" w:type="dxa"/>
        <w:bottom w:w="0" w:type="dxa"/>
      </w:tblCellMar>
    </w:tblPr>
  </w:style>
  <w:style w:type="table" w:styleId="1091" w:customStyle="1">
    <w:name w:val="Grid Table 2 - Accent 6"/>
    <w:uiPriority w:val="99"/>
    <w:qFormat/>
    <w:tblPr>
      <w:tblCellMar>
        <w:left w:w="0" w:type="dxa"/>
        <w:top w:w="0" w:type="dxa"/>
        <w:right w:w="0" w:type="dxa"/>
        <w:bottom w:w="0" w:type="dxa"/>
      </w:tblCellMar>
    </w:tblPr>
  </w:style>
  <w:style w:type="table" w:styleId="1092" w:customStyle="1">
    <w:name w:val="网格表 31"/>
    <w:uiPriority w:val="99"/>
    <w:qFormat/>
    <w:tblPr>
      <w:tblCellMar>
        <w:left w:w="0" w:type="dxa"/>
        <w:top w:w="0" w:type="dxa"/>
        <w:right w:w="0" w:type="dxa"/>
        <w:bottom w:w="0" w:type="dxa"/>
      </w:tblCellMar>
    </w:tblPr>
  </w:style>
  <w:style w:type="table" w:styleId="1093" w:customStyle="1">
    <w:name w:val="Grid Table 3 - Accent 1"/>
    <w:uiPriority w:val="99"/>
    <w:qFormat/>
    <w:tblPr>
      <w:tblCellMar>
        <w:left w:w="0" w:type="dxa"/>
        <w:top w:w="0" w:type="dxa"/>
        <w:right w:w="0" w:type="dxa"/>
        <w:bottom w:w="0" w:type="dxa"/>
      </w:tblCellMar>
    </w:tblPr>
  </w:style>
  <w:style w:type="table" w:styleId="1094" w:customStyle="1">
    <w:name w:val="Grid Table 3 - Accent 2"/>
    <w:uiPriority w:val="99"/>
    <w:qFormat/>
    <w:tblPr>
      <w:tblCellMar>
        <w:left w:w="0" w:type="dxa"/>
        <w:top w:w="0" w:type="dxa"/>
        <w:right w:w="0" w:type="dxa"/>
        <w:bottom w:w="0" w:type="dxa"/>
      </w:tblCellMar>
    </w:tblPr>
  </w:style>
  <w:style w:type="table" w:styleId="1095" w:customStyle="1">
    <w:name w:val="Grid Table 3 - Accent 3"/>
    <w:uiPriority w:val="99"/>
    <w:qFormat/>
    <w:tblPr>
      <w:tblCellMar>
        <w:left w:w="0" w:type="dxa"/>
        <w:top w:w="0" w:type="dxa"/>
        <w:right w:w="0" w:type="dxa"/>
        <w:bottom w:w="0" w:type="dxa"/>
      </w:tblCellMar>
    </w:tblPr>
  </w:style>
  <w:style w:type="table" w:styleId="1096" w:customStyle="1">
    <w:name w:val="Grid Table 3 - Accent 4"/>
    <w:uiPriority w:val="99"/>
    <w:qFormat/>
    <w:tblPr>
      <w:tblCellMar>
        <w:left w:w="0" w:type="dxa"/>
        <w:top w:w="0" w:type="dxa"/>
        <w:right w:w="0" w:type="dxa"/>
        <w:bottom w:w="0" w:type="dxa"/>
      </w:tblCellMar>
    </w:tblPr>
  </w:style>
  <w:style w:type="table" w:styleId="1097" w:customStyle="1">
    <w:name w:val="Grid Table 3 - Accent 5"/>
    <w:uiPriority w:val="99"/>
    <w:qFormat/>
    <w:tblPr>
      <w:tblCellMar>
        <w:left w:w="0" w:type="dxa"/>
        <w:top w:w="0" w:type="dxa"/>
        <w:right w:w="0" w:type="dxa"/>
        <w:bottom w:w="0" w:type="dxa"/>
      </w:tblCellMar>
    </w:tblPr>
  </w:style>
  <w:style w:type="table" w:styleId="1098" w:customStyle="1">
    <w:name w:val="Grid Table 3 - Accent 6"/>
    <w:uiPriority w:val="99"/>
    <w:qFormat/>
    <w:tblPr>
      <w:tblCellMar>
        <w:left w:w="0" w:type="dxa"/>
        <w:top w:w="0" w:type="dxa"/>
        <w:right w:w="0" w:type="dxa"/>
        <w:bottom w:w="0" w:type="dxa"/>
      </w:tblCellMar>
    </w:tblPr>
  </w:style>
  <w:style w:type="table" w:styleId="1099" w:customStyle="1">
    <w:name w:val="网格表 41"/>
    <w:uiPriority w:val="59"/>
    <w:qFormat/>
    <w:tblPr>
      <w:tblCellMar>
        <w:left w:w="0" w:type="dxa"/>
        <w:top w:w="0" w:type="dxa"/>
        <w:right w:w="0" w:type="dxa"/>
        <w:bottom w:w="0" w:type="dxa"/>
      </w:tblCellMar>
    </w:tblPr>
  </w:style>
  <w:style w:type="table" w:styleId="1100" w:customStyle="1">
    <w:name w:val="Grid Table 4 - Accent 1"/>
    <w:uiPriority w:val="59"/>
    <w:qFormat/>
    <w:tblPr>
      <w:tblCellMar>
        <w:left w:w="0" w:type="dxa"/>
        <w:top w:w="0" w:type="dxa"/>
        <w:right w:w="0" w:type="dxa"/>
        <w:bottom w:w="0" w:type="dxa"/>
      </w:tblCellMar>
    </w:tblPr>
  </w:style>
  <w:style w:type="table" w:styleId="1101" w:customStyle="1">
    <w:name w:val="Grid Table 4 - Accent 2"/>
    <w:uiPriority w:val="59"/>
    <w:qFormat/>
    <w:tblPr>
      <w:tblCellMar>
        <w:left w:w="0" w:type="dxa"/>
        <w:top w:w="0" w:type="dxa"/>
        <w:right w:w="0" w:type="dxa"/>
        <w:bottom w:w="0" w:type="dxa"/>
      </w:tblCellMar>
    </w:tblPr>
  </w:style>
  <w:style w:type="table" w:styleId="1102" w:customStyle="1">
    <w:name w:val="Grid Table 4 - Accent 3"/>
    <w:uiPriority w:val="59"/>
    <w:qFormat/>
    <w:tblPr>
      <w:tblCellMar>
        <w:left w:w="0" w:type="dxa"/>
        <w:top w:w="0" w:type="dxa"/>
        <w:right w:w="0" w:type="dxa"/>
        <w:bottom w:w="0" w:type="dxa"/>
      </w:tblCellMar>
    </w:tblPr>
  </w:style>
  <w:style w:type="table" w:styleId="1103" w:customStyle="1">
    <w:name w:val="Grid Table 4 - Accent 4"/>
    <w:uiPriority w:val="59"/>
    <w:qFormat/>
    <w:tblPr>
      <w:tblCellMar>
        <w:left w:w="0" w:type="dxa"/>
        <w:top w:w="0" w:type="dxa"/>
        <w:right w:w="0" w:type="dxa"/>
        <w:bottom w:w="0" w:type="dxa"/>
      </w:tblCellMar>
    </w:tblPr>
  </w:style>
  <w:style w:type="table" w:styleId="1104" w:customStyle="1">
    <w:name w:val="Grid Table 4 - Accent 5"/>
    <w:uiPriority w:val="59"/>
    <w:qFormat/>
    <w:tblPr>
      <w:tblCellMar>
        <w:left w:w="0" w:type="dxa"/>
        <w:top w:w="0" w:type="dxa"/>
        <w:right w:w="0" w:type="dxa"/>
        <w:bottom w:w="0" w:type="dxa"/>
      </w:tblCellMar>
    </w:tblPr>
  </w:style>
  <w:style w:type="table" w:styleId="1105" w:customStyle="1">
    <w:name w:val="Grid Table 4 - Accent 6"/>
    <w:uiPriority w:val="59"/>
    <w:qFormat/>
    <w:tblPr>
      <w:tblCellMar>
        <w:left w:w="0" w:type="dxa"/>
        <w:top w:w="0" w:type="dxa"/>
        <w:right w:w="0" w:type="dxa"/>
        <w:bottom w:w="0" w:type="dxa"/>
      </w:tblCellMar>
    </w:tblPr>
  </w:style>
  <w:style w:type="table" w:styleId="1106" w:customStyle="1">
    <w:name w:val="网格表 5 深色1"/>
    <w:uiPriority w:val="99"/>
    <w:qFormat/>
    <w:tblPr>
      <w:tblCellMar>
        <w:left w:w="0" w:type="dxa"/>
        <w:top w:w="0" w:type="dxa"/>
        <w:right w:w="0" w:type="dxa"/>
        <w:bottom w:w="0" w:type="dxa"/>
      </w:tblCellMar>
    </w:tblPr>
  </w:style>
  <w:style w:type="table" w:styleId="1107" w:customStyle="1">
    <w:name w:val="Grid Table 5 Dark- Accent 1"/>
    <w:uiPriority w:val="99"/>
    <w:qFormat/>
    <w:tblPr>
      <w:tblCellMar>
        <w:left w:w="0" w:type="dxa"/>
        <w:top w:w="0" w:type="dxa"/>
        <w:right w:w="0" w:type="dxa"/>
        <w:bottom w:w="0" w:type="dxa"/>
      </w:tblCellMar>
    </w:tblPr>
  </w:style>
  <w:style w:type="table" w:styleId="1108" w:customStyle="1">
    <w:name w:val="Grid Table 5 Dark - Accent 2"/>
    <w:uiPriority w:val="99"/>
    <w:qFormat/>
    <w:tblPr>
      <w:tblCellMar>
        <w:left w:w="0" w:type="dxa"/>
        <w:top w:w="0" w:type="dxa"/>
        <w:right w:w="0" w:type="dxa"/>
        <w:bottom w:w="0" w:type="dxa"/>
      </w:tblCellMar>
    </w:tblPr>
  </w:style>
  <w:style w:type="table" w:styleId="1109" w:customStyle="1">
    <w:name w:val="Grid Table 5 Dark - Accent 3"/>
    <w:uiPriority w:val="99"/>
    <w:qFormat/>
    <w:tblPr>
      <w:tblCellMar>
        <w:left w:w="0" w:type="dxa"/>
        <w:top w:w="0" w:type="dxa"/>
        <w:right w:w="0" w:type="dxa"/>
        <w:bottom w:w="0" w:type="dxa"/>
      </w:tblCellMar>
    </w:tblPr>
  </w:style>
  <w:style w:type="table" w:styleId="1110" w:customStyle="1">
    <w:name w:val="Grid Table 5 Dark- Accent 4"/>
    <w:uiPriority w:val="99"/>
    <w:qFormat/>
    <w:tblPr>
      <w:tblCellMar>
        <w:left w:w="0" w:type="dxa"/>
        <w:top w:w="0" w:type="dxa"/>
        <w:right w:w="0" w:type="dxa"/>
        <w:bottom w:w="0" w:type="dxa"/>
      </w:tblCellMar>
    </w:tblPr>
  </w:style>
  <w:style w:type="table" w:styleId="1111" w:customStyle="1">
    <w:name w:val="Grid Table 5 Dark - Accent 5"/>
    <w:uiPriority w:val="99"/>
    <w:qFormat/>
    <w:tblPr>
      <w:tblCellMar>
        <w:left w:w="0" w:type="dxa"/>
        <w:top w:w="0" w:type="dxa"/>
        <w:right w:w="0" w:type="dxa"/>
        <w:bottom w:w="0" w:type="dxa"/>
      </w:tblCellMar>
    </w:tblPr>
  </w:style>
  <w:style w:type="table" w:styleId="1112" w:customStyle="1">
    <w:name w:val="Grid Table 5 Dark - Accent 6"/>
    <w:uiPriority w:val="99"/>
    <w:qFormat/>
    <w:tblPr>
      <w:tblCellMar>
        <w:left w:w="0" w:type="dxa"/>
        <w:top w:w="0" w:type="dxa"/>
        <w:right w:w="0" w:type="dxa"/>
        <w:bottom w:w="0" w:type="dxa"/>
      </w:tblCellMar>
    </w:tblPr>
  </w:style>
  <w:style w:type="table" w:styleId="1113" w:customStyle="1">
    <w:name w:val="网格表 6 彩色1"/>
    <w:uiPriority w:val="99"/>
    <w:qFormat/>
    <w:tblPr>
      <w:tblCellMar>
        <w:left w:w="0" w:type="dxa"/>
        <w:top w:w="0" w:type="dxa"/>
        <w:right w:w="0" w:type="dxa"/>
        <w:bottom w:w="0" w:type="dxa"/>
      </w:tblCellMar>
    </w:tblPr>
  </w:style>
  <w:style w:type="table" w:styleId="1114" w:customStyle="1">
    <w:name w:val="Grid Table 6 Colorful - Accent 1"/>
    <w:uiPriority w:val="99"/>
    <w:qFormat/>
    <w:tblPr>
      <w:tblCellMar>
        <w:left w:w="0" w:type="dxa"/>
        <w:top w:w="0" w:type="dxa"/>
        <w:right w:w="0" w:type="dxa"/>
        <w:bottom w:w="0" w:type="dxa"/>
      </w:tblCellMar>
    </w:tblPr>
  </w:style>
  <w:style w:type="table" w:styleId="1115" w:customStyle="1">
    <w:name w:val="Grid Table 6 Colorful - Accent 2"/>
    <w:uiPriority w:val="99"/>
    <w:qFormat/>
    <w:tblPr>
      <w:tblCellMar>
        <w:left w:w="0" w:type="dxa"/>
        <w:top w:w="0" w:type="dxa"/>
        <w:right w:w="0" w:type="dxa"/>
        <w:bottom w:w="0" w:type="dxa"/>
      </w:tblCellMar>
    </w:tblPr>
  </w:style>
  <w:style w:type="table" w:styleId="1116" w:customStyle="1">
    <w:name w:val="Grid Table 6 Colorful - Accent 3"/>
    <w:uiPriority w:val="99"/>
    <w:qFormat/>
    <w:tblPr>
      <w:tblCellMar>
        <w:left w:w="0" w:type="dxa"/>
        <w:top w:w="0" w:type="dxa"/>
        <w:right w:w="0" w:type="dxa"/>
        <w:bottom w:w="0" w:type="dxa"/>
      </w:tblCellMar>
    </w:tblPr>
  </w:style>
  <w:style w:type="table" w:styleId="1117" w:customStyle="1">
    <w:name w:val="Grid Table 6 Colorful - Accent 4"/>
    <w:uiPriority w:val="99"/>
    <w:qFormat/>
    <w:tblPr>
      <w:tblCellMar>
        <w:left w:w="0" w:type="dxa"/>
        <w:top w:w="0" w:type="dxa"/>
        <w:right w:w="0" w:type="dxa"/>
        <w:bottom w:w="0" w:type="dxa"/>
      </w:tblCellMar>
    </w:tblPr>
  </w:style>
  <w:style w:type="table" w:styleId="1118" w:customStyle="1">
    <w:name w:val="Grid Table 6 Colorful - Accent 5"/>
    <w:uiPriority w:val="99"/>
    <w:qFormat/>
    <w:tblPr>
      <w:tblCellMar>
        <w:left w:w="0" w:type="dxa"/>
        <w:top w:w="0" w:type="dxa"/>
        <w:right w:w="0" w:type="dxa"/>
        <w:bottom w:w="0" w:type="dxa"/>
      </w:tblCellMar>
    </w:tblPr>
  </w:style>
  <w:style w:type="table" w:styleId="1119" w:customStyle="1">
    <w:name w:val="Grid Table 6 Colorful - Accent 6"/>
    <w:uiPriority w:val="99"/>
    <w:qFormat/>
    <w:tblPr>
      <w:tblCellMar>
        <w:left w:w="0" w:type="dxa"/>
        <w:top w:w="0" w:type="dxa"/>
        <w:right w:w="0" w:type="dxa"/>
        <w:bottom w:w="0" w:type="dxa"/>
      </w:tblCellMar>
    </w:tblPr>
  </w:style>
  <w:style w:type="table" w:styleId="1120" w:customStyle="1">
    <w:name w:val="网格表 7 彩色1"/>
    <w:uiPriority w:val="99"/>
    <w:qFormat/>
    <w:tblPr>
      <w:tblCellMar>
        <w:left w:w="0" w:type="dxa"/>
        <w:top w:w="0" w:type="dxa"/>
        <w:right w:w="0" w:type="dxa"/>
        <w:bottom w:w="0" w:type="dxa"/>
      </w:tblCellMar>
    </w:tblPr>
  </w:style>
  <w:style w:type="table" w:styleId="1121" w:customStyle="1">
    <w:name w:val="Grid Table 7 Colorful - Accent 1"/>
    <w:uiPriority w:val="99"/>
    <w:qFormat/>
    <w:tblPr>
      <w:tblCellMar>
        <w:left w:w="0" w:type="dxa"/>
        <w:top w:w="0" w:type="dxa"/>
        <w:right w:w="0" w:type="dxa"/>
        <w:bottom w:w="0" w:type="dxa"/>
      </w:tblCellMar>
    </w:tblPr>
  </w:style>
  <w:style w:type="table" w:styleId="1122" w:customStyle="1">
    <w:name w:val="Grid Table 7 Colorful - Accent 2"/>
    <w:uiPriority w:val="99"/>
    <w:qFormat/>
    <w:tblPr>
      <w:tblCellMar>
        <w:left w:w="0" w:type="dxa"/>
        <w:top w:w="0" w:type="dxa"/>
        <w:right w:w="0" w:type="dxa"/>
        <w:bottom w:w="0" w:type="dxa"/>
      </w:tblCellMar>
    </w:tblPr>
  </w:style>
  <w:style w:type="table" w:styleId="1123" w:customStyle="1">
    <w:name w:val="Grid Table 7 Colorful - Accent 3"/>
    <w:uiPriority w:val="99"/>
    <w:qFormat/>
    <w:tblPr>
      <w:tblCellMar>
        <w:left w:w="0" w:type="dxa"/>
        <w:top w:w="0" w:type="dxa"/>
        <w:right w:w="0" w:type="dxa"/>
        <w:bottom w:w="0" w:type="dxa"/>
      </w:tblCellMar>
    </w:tblPr>
  </w:style>
  <w:style w:type="table" w:styleId="1124" w:customStyle="1">
    <w:name w:val="Grid Table 7 Colorful - Accent 4"/>
    <w:uiPriority w:val="99"/>
    <w:qFormat/>
    <w:tblPr>
      <w:tblCellMar>
        <w:left w:w="0" w:type="dxa"/>
        <w:top w:w="0" w:type="dxa"/>
        <w:right w:w="0" w:type="dxa"/>
        <w:bottom w:w="0" w:type="dxa"/>
      </w:tblCellMar>
    </w:tblPr>
  </w:style>
  <w:style w:type="table" w:styleId="1125" w:customStyle="1">
    <w:name w:val="Grid Table 7 Colorful - Accent 5"/>
    <w:uiPriority w:val="99"/>
    <w:qFormat/>
    <w:tblPr>
      <w:tblCellMar>
        <w:left w:w="0" w:type="dxa"/>
        <w:top w:w="0" w:type="dxa"/>
        <w:right w:w="0" w:type="dxa"/>
        <w:bottom w:w="0" w:type="dxa"/>
      </w:tblCellMar>
    </w:tblPr>
  </w:style>
  <w:style w:type="table" w:styleId="1126" w:customStyle="1">
    <w:name w:val="Grid Table 7 Colorful - Accent 6"/>
    <w:uiPriority w:val="99"/>
    <w:qFormat/>
    <w:tblPr>
      <w:tblCellMar>
        <w:left w:w="0" w:type="dxa"/>
        <w:top w:w="0" w:type="dxa"/>
        <w:right w:w="0" w:type="dxa"/>
        <w:bottom w:w="0" w:type="dxa"/>
      </w:tblCellMar>
    </w:tblPr>
  </w:style>
  <w:style w:type="table" w:styleId="1127" w:customStyle="1">
    <w:name w:val="清单表 1 浅色1"/>
    <w:uiPriority w:val="99"/>
    <w:qFormat/>
    <w:tblPr>
      <w:tblCellMar>
        <w:left w:w="0" w:type="dxa"/>
        <w:top w:w="0" w:type="dxa"/>
        <w:right w:w="0" w:type="dxa"/>
        <w:bottom w:w="0" w:type="dxa"/>
      </w:tblCellMar>
    </w:tblPr>
  </w:style>
  <w:style w:type="table" w:styleId="1128" w:customStyle="1">
    <w:name w:val="List Table 1 Light - Accent 1"/>
    <w:uiPriority w:val="99"/>
    <w:qFormat/>
    <w:tblPr>
      <w:tblCellMar>
        <w:left w:w="0" w:type="dxa"/>
        <w:top w:w="0" w:type="dxa"/>
        <w:right w:w="0" w:type="dxa"/>
        <w:bottom w:w="0" w:type="dxa"/>
      </w:tblCellMar>
    </w:tblPr>
  </w:style>
  <w:style w:type="table" w:styleId="1129" w:customStyle="1">
    <w:name w:val="List Table 1 Light - Accent 2"/>
    <w:uiPriority w:val="99"/>
    <w:qFormat/>
    <w:tblPr>
      <w:tblCellMar>
        <w:left w:w="0" w:type="dxa"/>
        <w:top w:w="0" w:type="dxa"/>
        <w:right w:w="0" w:type="dxa"/>
        <w:bottom w:w="0" w:type="dxa"/>
      </w:tblCellMar>
    </w:tblPr>
  </w:style>
  <w:style w:type="table" w:styleId="1130" w:customStyle="1">
    <w:name w:val="List Table 1 Light - Accent 3"/>
    <w:uiPriority w:val="99"/>
    <w:qFormat/>
    <w:tblPr>
      <w:tblCellMar>
        <w:left w:w="0" w:type="dxa"/>
        <w:top w:w="0" w:type="dxa"/>
        <w:right w:w="0" w:type="dxa"/>
        <w:bottom w:w="0" w:type="dxa"/>
      </w:tblCellMar>
    </w:tblPr>
  </w:style>
  <w:style w:type="table" w:styleId="1131" w:customStyle="1">
    <w:name w:val="List Table 1 Light - Accent 4"/>
    <w:uiPriority w:val="99"/>
    <w:qFormat/>
    <w:tblPr>
      <w:tblCellMar>
        <w:left w:w="0" w:type="dxa"/>
        <w:top w:w="0" w:type="dxa"/>
        <w:right w:w="0" w:type="dxa"/>
        <w:bottom w:w="0" w:type="dxa"/>
      </w:tblCellMar>
    </w:tblPr>
  </w:style>
  <w:style w:type="table" w:styleId="1132" w:customStyle="1">
    <w:name w:val="List Table 1 Light - Accent 5"/>
    <w:uiPriority w:val="99"/>
    <w:qFormat/>
    <w:tblPr>
      <w:tblCellMar>
        <w:left w:w="0" w:type="dxa"/>
        <w:top w:w="0" w:type="dxa"/>
        <w:right w:w="0" w:type="dxa"/>
        <w:bottom w:w="0" w:type="dxa"/>
      </w:tblCellMar>
    </w:tblPr>
  </w:style>
  <w:style w:type="table" w:styleId="1133" w:customStyle="1">
    <w:name w:val="List Table 1 Light - Accent 6"/>
    <w:uiPriority w:val="99"/>
    <w:qFormat/>
    <w:tblPr>
      <w:tblCellMar>
        <w:left w:w="0" w:type="dxa"/>
        <w:top w:w="0" w:type="dxa"/>
        <w:right w:w="0" w:type="dxa"/>
        <w:bottom w:w="0" w:type="dxa"/>
      </w:tblCellMar>
    </w:tblPr>
  </w:style>
  <w:style w:type="table" w:styleId="1134" w:customStyle="1">
    <w:name w:val="清单表 21"/>
    <w:uiPriority w:val="99"/>
    <w:qFormat/>
    <w:tblPr>
      <w:tblCellMar>
        <w:left w:w="0" w:type="dxa"/>
        <w:top w:w="0" w:type="dxa"/>
        <w:right w:w="0" w:type="dxa"/>
        <w:bottom w:w="0" w:type="dxa"/>
      </w:tblCellMar>
    </w:tblPr>
  </w:style>
  <w:style w:type="table" w:styleId="1135" w:customStyle="1">
    <w:name w:val="List Table 2 - Accent 1"/>
    <w:uiPriority w:val="99"/>
    <w:qFormat/>
    <w:tblPr>
      <w:tblCellMar>
        <w:left w:w="0" w:type="dxa"/>
        <w:top w:w="0" w:type="dxa"/>
        <w:right w:w="0" w:type="dxa"/>
        <w:bottom w:w="0" w:type="dxa"/>
      </w:tblCellMar>
    </w:tblPr>
  </w:style>
  <w:style w:type="table" w:styleId="1136" w:customStyle="1">
    <w:name w:val="List Table 2 - Accent 2"/>
    <w:uiPriority w:val="99"/>
    <w:qFormat/>
    <w:tblPr>
      <w:tblCellMar>
        <w:left w:w="0" w:type="dxa"/>
        <w:top w:w="0" w:type="dxa"/>
        <w:right w:w="0" w:type="dxa"/>
        <w:bottom w:w="0" w:type="dxa"/>
      </w:tblCellMar>
    </w:tblPr>
  </w:style>
  <w:style w:type="table" w:styleId="1137" w:customStyle="1">
    <w:name w:val="List Table 2 - Accent 3"/>
    <w:uiPriority w:val="99"/>
    <w:qFormat/>
    <w:tblPr>
      <w:tblCellMar>
        <w:left w:w="0" w:type="dxa"/>
        <w:top w:w="0" w:type="dxa"/>
        <w:right w:w="0" w:type="dxa"/>
        <w:bottom w:w="0" w:type="dxa"/>
      </w:tblCellMar>
    </w:tblPr>
  </w:style>
  <w:style w:type="table" w:styleId="1138" w:customStyle="1">
    <w:name w:val="List Table 2 - Accent 4"/>
    <w:uiPriority w:val="99"/>
    <w:qFormat/>
    <w:tblPr>
      <w:tblCellMar>
        <w:left w:w="0" w:type="dxa"/>
        <w:top w:w="0" w:type="dxa"/>
        <w:right w:w="0" w:type="dxa"/>
        <w:bottom w:w="0" w:type="dxa"/>
      </w:tblCellMar>
    </w:tblPr>
  </w:style>
  <w:style w:type="table" w:styleId="1139" w:customStyle="1">
    <w:name w:val="List Table 2 - Accent 5"/>
    <w:uiPriority w:val="99"/>
    <w:qFormat/>
    <w:tblPr>
      <w:tblCellMar>
        <w:left w:w="0" w:type="dxa"/>
        <w:top w:w="0" w:type="dxa"/>
        <w:right w:w="0" w:type="dxa"/>
        <w:bottom w:w="0" w:type="dxa"/>
      </w:tblCellMar>
    </w:tblPr>
  </w:style>
  <w:style w:type="table" w:styleId="1140" w:customStyle="1">
    <w:name w:val="List Table 2 - Accent 6"/>
    <w:uiPriority w:val="99"/>
    <w:qFormat/>
    <w:tblPr>
      <w:tblCellMar>
        <w:left w:w="0" w:type="dxa"/>
        <w:top w:w="0" w:type="dxa"/>
        <w:right w:w="0" w:type="dxa"/>
        <w:bottom w:w="0" w:type="dxa"/>
      </w:tblCellMar>
    </w:tblPr>
  </w:style>
  <w:style w:type="table" w:styleId="1141" w:customStyle="1">
    <w:name w:val="清单表 31"/>
    <w:uiPriority w:val="99"/>
    <w:qFormat/>
    <w:tblPr>
      <w:tblCellMar>
        <w:left w:w="0" w:type="dxa"/>
        <w:top w:w="0" w:type="dxa"/>
        <w:right w:w="0" w:type="dxa"/>
        <w:bottom w:w="0" w:type="dxa"/>
      </w:tblCellMar>
    </w:tblPr>
  </w:style>
  <w:style w:type="table" w:styleId="1142" w:customStyle="1">
    <w:name w:val="List Table 3 - Accent 1"/>
    <w:uiPriority w:val="99"/>
    <w:qFormat/>
    <w:tblPr>
      <w:tblCellMar>
        <w:left w:w="0" w:type="dxa"/>
        <w:top w:w="0" w:type="dxa"/>
        <w:right w:w="0" w:type="dxa"/>
        <w:bottom w:w="0" w:type="dxa"/>
      </w:tblCellMar>
    </w:tblPr>
  </w:style>
  <w:style w:type="table" w:styleId="1143" w:customStyle="1">
    <w:name w:val="List Table 3 - Accent 2"/>
    <w:uiPriority w:val="99"/>
    <w:qFormat/>
    <w:tblPr>
      <w:tblCellMar>
        <w:left w:w="0" w:type="dxa"/>
        <w:top w:w="0" w:type="dxa"/>
        <w:right w:w="0" w:type="dxa"/>
        <w:bottom w:w="0" w:type="dxa"/>
      </w:tblCellMar>
    </w:tblPr>
  </w:style>
  <w:style w:type="table" w:styleId="1144" w:customStyle="1">
    <w:name w:val="List Table 3 - Accent 3"/>
    <w:uiPriority w:val="99"/>
    <w:qFormat/>
    <w:tblPr>
      <w:tblCellMar>
        <w:left w:w="0" w:type="dxa"/>
        <w:top w:w="0" w:type="dxa"/>
        <w:right w:w="0" w:type="dxa"/>
        <w:bottom w:w="0" w:type="dxa"/>
      </w:tblCellMar>
    </w:tblPr>
  </w:style>
  <w:style w:type="table" w:styleId="1145" w:customStyle="1">
    <w:name w:val="List Table 3 - Accent 4"/>
    <w:uiPriority w:val="99"/>
    <w:qFormat/>
    <w:tblPr>
      <w:tblCellMar>
        <w:left w:w="0" w:type="dxa"/>
        <w:top w:w="0" w:type="dxa"/>
        <w:right w:w="0" w:type="dxa"/>
        <w:bottom w:w="0" w:type="dxa"/>
      </w:tblCellMar>
    </w:tblPr>
  </w:style>
  <w:style w:type="table" w:styleId="1146" w:customStyle="1">
    <w:name w:val="List Table 3 - Accent 5"/>
    <w:uiPriority w:val="99"/>
    <w:qFormat/>
    <w:tblPr>
      <w:tblCellMar>
        <w:left w:w="0" w:type="dxa"/>
        <w:top w:w="0" w:type="dxa"/>
        <w:right w:w="0" w:type="dxa"/>
        <w:bottom w:w="0" w:type="dxa"/>
      </w:tblCellMar>
    </w:tblPr>
  </w:style>
  <w:style w:type="table" w:styleId="1147" w:customStyle="1">
    <w:name w:val="List Table 3 - Accent 6"/>
    <w:uiPriority w:val="99"/>
    <w:qFormat/>
    <w:tblPr>
      <w:tblCellMar>
        <w:left w:w="0" w:type="dxa"/>
        <w:top w:w="0" w:type="dxa"/>
        <w:right w:w="0" w:type="dxa"/>
        <w:bottom w:w="0" w:type="dxa"/>
      </w:tblCellMar>
    </w:tblPr>
  </w:style>
  <w:style w:type="table" w:styleId="1148" w:customStyle="1">
    <w:name w:val="清单表 41"/>
    <w:uiPriority w:val="99"/>
    <w:qFormat/>
    <w:tblPr>
      <w:tblCellMar>
        <w:left w:w="0" w:type="dxa"/>
        <w:top w:w="0" w:type="dxa"/>
        <w:right w:w="0" w:type="dxa"/>
        <w:bottom w:w="0" w:type="dxa"/>
      </w:tblCellMar>
    </w:tblPr>
  </w:style>
  <w:style w:type="table" w:styleId="1149" w:customStyle="1">
    <w:name w:val="List Table 4 - Accent 1"/>
    <w:uiPriority w:val="99"/>
    <w:qFormat/>
    <w:tblPr>
      <w:tblCellMar>
        <w:left w:w="0" w:type="dxa"/>
        <w:top w:w="0" w:type="dxa"/>
        <w:right w:w="0" w:type="dxa"/>
        <w:bottom w:w="0" w:type="dxa"/>
      </w:tblCellMar>
    </w:tblPr>
  </w:style>
  <w:style w:type="table" w:styleId="1150" w:customStyle="1">
    <w:name w:val="List Table 4 - Accent 2"/>
    <w:uiPriority w:val="99"/>
    <w:qFormat/>
    <w:tblPr>
      <w:tblCellMar>
        <w:left w:w="0" w:type="dxa"/>
        <w:top w:w="0" w:type="dxa"/>
        <w:right w:w="0" w:type="dxa"/>
        <w:bottom w:w="0" w:type="dxa"/>
      </w:tblCellMar>
    </w:tblPr>
  </w:style>
  <w:style w:type="table" w:styleId="1151" w:customStyle="1">
    <w:name w:val="List Table 4 - Accent 3"/>
    <w:uiPriority w:val="99"/>
    <w:qFormat/>
    <w:tblPr>
      <w:tblCellMar>
        <w:left w:w="0" w:type="dxa"/>
        <w:top w:w="0" w:type="dxa"/>
        <w:right w:w="0" w:type="dxa"/>
        <w:bottom w:w="0" w:type="dxa"/>
      </w:tblCellMar>
    </w:tblPr>
  </w:style>
  <w:style w:type="table" w:styleId="1152" w:customStyle="1">
    <w:name w:val="List Table 4 - Accent 4"/>
    <w:uiPriority w:val="99"/>
    <w:qFormat/>
    <w:tblPr>
      <w:tblCellMar>
        <w:left w:w="0" w:type="dxa"/>
        <w:top w:w="0" w:type="dxa"/>
        <w:right w:w="0" w:type="dxa"/>
        <w:bottom w:w="0" w:type="dxa"/>
      </w:tblCellMar>
    </w:tblPr>
  </w:style>
  <w:style w:type="table" w:styleId="1153" w:customStyle="1">
    <w:name w:val="List Table 4 - Accent 5"/>
    <w:uiPriority w:val="99"/>
    <w:qFormat/>
    <w:tblPr>
      <w:tblCellMar>
        <w:left w:w="0" w:type="dxa"/>
        <w:top w:w="0" w:type="dxa"/>
        <w:right w:w="0" w:type="dxa"/>
        <w:bottom w:w="0" w:type="dxa"/>
      </w:tblCellMar>
    </w:tblPr>
  </w:style>
  <w:style w:type="table" w:styleId="1154" w:customStyle="1">
    <w:name w:val="List Table 4 - Accent 6"/>
    <w:uiPriority w:val="99"/>
    <w:qFormat/>
    <w:tblPr>
      <w:tblCellMar>
        <w:left w:w="0" w:type="dxa"/>
        <w:top w:w="0" w:type="dxa"/>
        <w:right w:w="0" w:type="dxa"/>
        <w:bottom w:w="0" w:type="dxa"/>
      </w:tblCellMar>
    </w:tblPr>
  </w:style>
  <w:style w:type="table" w:styleId="1155" w:customStyle="1">
    <w:name w:val="清单表 5 深色1"/>
    <w:uiPriority w:val="99"/>
    <w:qFormat/>
    <w:tblPr>
      <w:tblCellMar>
        <w:left w:w="0" w:type="dxa"/>
        <w:top w:w="0" w:type="dxa"/>
        <w:right w:w="0" w:type="dxa"/>
        <w:bottom w:w="0" w:type="dxa"/>
      </w:tblCellMar>
    </w:tblPr>
  </w:style>
  <w:style w:type="table" w:styleId="1156" w:customStyle="1">
    <w:name w:val="List Table 5 Dark - Accent 1"/>
    <w:uiPriority w:val="99"/>
    <w:qFormat/>
    <w:tblPr>
      <w:tblCellMar>
        <w:left w:w="0" w:type="dxa"/>
        <w:top w:w="0" w:type="dxa"/>
        <w:right w:w="0" w:type="dxa"/>
        <w:bottom w:w="0" w:type="dxa"/>
      </w:tblCellMar>
    </w:tblPr>
  </w:style>
  <w:style w:type="table" w:styleId="1157" w:customStyle="1">
    <w:name w:val="List Table 5 Dark - Accent 2"/>
    <w:uiPriority w:val="99"/>
    <w:qFormat/>
    <w:tblPr>
      <w:tblCellMar>
        <w:left w:w="0" w:type="dxa"/>
        <w:top w:w="0" w:type="dxa"/>
        <w:right w:w="0" w:type="dxa"/>
        <w:bottom w:w="0" w:type="dxa"/>
      </w:tblCellMar>
    </w:tblPr>
  </w:style>
  <w:style w:type="table" w:styleId="1158" w:customStyle="1">
    <w:name w:val="List Table 5 Dark - Accent 3"/>
    <w:uiPriority w:val="99"/>
    <w:qFormat/>
    <w:tblPr>
      <w:tblCellMar>
        <w:left w:w="0" w:type="dxa"/>
        <w:top w:w="0" w:type="dxa"/>
        <w:right w:w="0" w:type="dxa"/>
        <w:bottom w:w="0" w:type="dxa"/>
      </w:tblCellMar>
    </w:tblPr>
  </w:style>
  <w:style w:type="table" w:styleId="1159" w:customStyle="1">
    <w:name w:val="List Table 5 Dark - Accent 4"/>
    <w:uiPriority w:val="99"/>
    <w:qFormat/>
    <w:tblPr>
      <w:tblCellMar>
        <w:left w:w="0" w:type="dxa"/>
        <w:top w:w="0" w:type="dxa"/>
        <w:right w:w="0" w:type="dxa"/>
        <w:bottom w:w="0" w:type="dxa"/>
      </w:tblCellMar>
    </w:tblPr>
  </w:style>
  <w:style w:type="table" w:styleId="1160" w:customStyle="1">
    <w:name w:val="List Table 5 Dark - Accent 5"/>
    <w:uiPriority w:val="99"/>
    <w:qFormat/>
    <w:tblPr>
      <w:tblCellMar>
        <w:left w:w="0" w:type="dxa"/>
        <w:top w:w="0" w:type="dxa"/>
        <w:right w:w="0" w:type="dxa"/>
        <w:bottom w:w="0" w:type="dxa"/>
      </w:tblCellMar>
    </w:tblPr>
  </w:style>
  <w:style w:type="table" w:styleId="1161" w:customStyle="1">
    <w:name w:val="List Table 5 Dark - Accent 6"/>
    <w:uiPriority w:val="99"/>
    <w:qFormat/>
    <w:tblPr>
      <w:tblCellMar>
        <w:left w:w="0" w:type="dxa"/>
        <w:top w:w="0" w:type="dxa"/>
        <w:right w:w="0" w:type="dxa"/>
        <w:bottom w:w="0" w:type="dxa"/>
      </w:tblCellMar>
    </w:tblPr>
  </w:style>
  <w:style w:type="table" w:styleId="1162" w:customStyle="1">
    <w:name w:val="清单表 6 彩色1"/>
    <w:uiPriority w:val="99"/>
    <w:qFormat/>
    <w:tblPr>
      <w:tblCellMar>
        <w:left w:w="0" w:type="dxa"/>
        <w:top w:w="0" w:type="dxa"/>
        <w:right w:w="0" w:type="dxa"/>
        <w:bottom w:w="0" w:type="dxa"/>
      </w:tblCellMar>
    </w:tblPr>
  </w:style>
  <w:style w:type="table" w:styleId="1163" w:customStyle="1">
    <w:name w:val="List Table 6 Colorful - Accent 1"/>
    <w:uiPriority w:val="99"/>
    <w:qFormat/>
    <w:tblPr>
      <w:tblCellMar>
        <w:left w:w="0" w:type="dxa"/>
        <w:top w:w="0" w:type="dxa"/>
        <w:right w:w="0" w:type="dxa"/>
        <w:bottom w:w="0" w:type="dxa"/>
      </w:tblCellMar>
    </w:tblPr>
  </w:style>
  <w:style w:type="table" w:styleId="1164" w:customStyle="1">
    <w:name w:val="List Table 6 Colorful - Accent 2"/>
    <w:uiPriority w:val="99"/>
    <w:qFormat/>
    <w:tblPr>
      <w:tblCellMar>
        <w:left w:w="0" w:type="dxa"/>
        <w:top w:w="0" w:type="dxa"/>
        <w:right w:w="0" w:type="dxa"/>
        <w:bottom w:w="0" w:type="dxa"/>
      </w:tblCellMar>
    </w:tblPr>
  </w:style>
  <w:style w:type="table" w:styleId="1165" w:customStyle="1">
    <w:name w:val="List Table 6 Colorful - Accent 3"/>
    <w:uiPriority w:val="99"/>
    <w:qFormat/>
    <w:tblPr>
      <w:tblCellMar>
        <w:left w:w="0" w:type="dxa"/>
        <w:top w:w="0" w:type="dxa"/>
        <w:right w:w="0" w:type="dxa"/>
        <w:bottom w:w="0" w:type="dxa"/>
      </w:tblCellMar>
    </w:tblPr>
  </w:style>
  <w:style w:type="table" w:styleId="1166" w:customStyle="1">
    <w:name w:val="List Table 6 Colorful - Accent 4"/>
    <w:uiPriority w:val="99"/>
    <w:qFormat/>
    <w:tblPr>
      <w:tblCellMar>
        <w:left w:w="0" w:type="dxa"/>
        <w:top w:w="0" w:type="dxa"/>
        <w:right w:w="0" w:type="dxa"/>
        <w:bottom w:w="0" w:type="dxa"/>
      </w:tblCellMar>
    </w:tblPr>
  </w:style>
  <w:style w:type="table" w:styleId="1167" w:customStyle="1">
    <w:name w:val="List Table 6 Colorful - Accent 5"/>
    <w:uiPriority w:val="99"/>
    <w:qFormat/>
    <w:tblPr>
      <w:tblCellMar>
        <w:left w:w="0" w:type="dxa"/>
        <w:top w:w="0" w:type="dxa"/>
        <w:right w:w="0" w:type="dxa"/>
        <w:bottom w:w="0" w:type="dxa"/>
      </w:tblCellMar>
    </w:tblPr>
  </w:style>
  <w:style w:type="table" w:styleId="1168" w:customStyle="1">
    <w:name w:val="List Table 6 Colorful - Accent 6"/>
    <w:uiPriority w:val="99"/>
    <w:qFormat/>
    <w:tblPr>
      <w:tblCellMar>
        <w:left w:w="0" w:type="dxa"/>
        <w:top w:w="0" w:type="dxa"/>
        <w:right w:w="0" w:type="dxa"/>
        <w:bottom w:w="0" w:type="dxa"/>
      </w:tblCellMar>
    </w:tblPr>
  </w:style>
  <w:style w:type="table" w:styleId="1169" w:customStyle="1">
    <w:name w:val="清单表 7 彩色1"/>
    <w:uiPriority w:val="99"/>
    <w:qFormat/>
    <w:tblPr>
      <w:tblCellMar>
        <w:left w:w="0" w:type="dxa"/>
        <w:top w:w="0" w:type="dxa"/>
        <w:right w:w="0" w:type="dxa"/>
        <w:bottom w:w="0" w:type="dxa"/>
      </w:tblCellMar>
    </w:tblPr>
  </w:style>
  <w:style w:type="table" w:styleId="1170" w:customStyle="1">
    <w:name w:val="List Table 7 Colorful - Accent 1"/>
    <w:uiPriority w:val="99"/>
    <w:qFormat/>
    <w:tblPr>
      <w:tblCellMar>
        <w:left w:w="0" w:type="dxa"/>
        <w:top w:w="0" w:type="dxa"/>
        <w:right w:w="0" w:type="dxa"/>
        <w:bottom w:w="0" w:type="dxa"/>
      </w:tblCellMar>
    </w:tblPr>
  </w:style>
  <w:style w:type="table" w:styleId="1171" w:customStyle="1">
    <w:name w:val="List Table 7 Colorful - Accent 2"/>
    <w:uiPriority w:val="99"/>
    <w:qFormat/>
    <w:tblPr>
      <w:tblCellMar>
        <w:left w:w="0" w:type="dxa"/>
        <w:top w:w="0" w:type="dxa"/>
        <w:right w:w="0" w:type="dxa"/>
        <w:bottom w:w="0" w:type="dxa"/>
      </w:tblCellMar>
    </w:tblPr>
  </w:style>
  <w:style w:type="table" w:styleId="1172" w:customStyle="1">
    <w:name w:val="List Table 7 Colorful - Accent 3"/>
    <w:uiPriority w:val="99"/>
    <w:qFormat/>
    <w:tblPr>
      <w:tblCellMar>
        <w:left w:w="0" w:type="dxa"/>
        <w:top w:w="0" w:type="dxa"/>
        <w:right w:w="0" w:type="dxa"/>
        <w:bottom w:w="0" w:type="dxa"/>
      </w:tblCellMar>
    </w:tblPr>
  </w:style>
  <w:style w:type="table" w:styleId="1173" w:customStyle="1">
    <w:name w:val="List Table 7 Colorful - Accent 4"/>
    <w:uiPriority w:val="99"/>
    <w:qFormat/>
    <w:tblPr>
      <w:tblCellMar>
        <w:left w:w="0" w:type="dxa"/>
        <w:top w:w="0" w:type="dxa"/>
        <w:right w:w="0" w:type="dxa"/>
        <w:bottom w:w="0" w:type="dxa"/>
      </w:tblCellMar>
    </w:tblPr>
  </w:style>
  <w:style w:type="table" w:styleId="1174" w:customStyle="1">
    <w:name w:val="List Table 7 Colorful - Accent 5"/>
    <w:uiPriority w:val="99"/>
    <w:qFormat/>
    <w:tblPr>
      <w:tblCellMar>
        <w:left w:w="0" w:type="dxa"/>
        <w:top w:w="0" w:type="dxa"/>
        <w:right w:w="0" w:type="dxa"/>
        <w:bottom w:w="0" w:type="dxa"/>
      </w:tblCellMar>
    </w:tblPr>
  </w:style>
  <w:style w:type="table" w:styleId="1175" w:customStyle="1">
    <w:name w:val="List Table 7 Colorful - Accent 6"/>
    <w:uiPriority w:val="99"/>
    <w:qFormat/>
    <w:tblPr>
      <w:tblCellMar>
        <w:left w:w="0" w:type="dxa"/>
        <w:top w:w="0" w:type="dxa"/>
        <w:right w:w="0" w:type="dxa"/>
        <w:bottom w:w="0" w:type="dxa"/>
      </w:tblCellMar>
    </w:tblPr>
  </w:style>
  <w:style w:type="table" w:styleId="1176" w:customStyle="1">
    <w:name w:val="Lined - Accent"/>
    <w:uiPriority w:val="99"/>
    <w:qFormat/>
    <w:rPr>
      <w:color w:val="404040"/>
    </w:rPr>
    <w:tblPr>
      <w:tblCellMar>
        <w:left w:w="0" w:type="dxa"/>
        <w:top w:w="0" w:type="dxa"/>
        <w:right w:w="0" w:type="dxa"/>
        <w:bottom w:w="0" w:type="dxa"/>
      </w:tblCellMar>
    </w:tblPr>
  </w:style>
  <w:style w:type="table" w:styleId="1177" w:customStyle="1">
    <w:name w:val="Lined - Accent 1"/>
    <w:uiPriority w:val="99"/>
    <w:qFormat/>
    <w:rPr>
      <w:color w:val="404040"/>
    </w:rPr>
    <w:tblPr>
      <w:tblCellMar>
        <w:left w:w="0" w:type="dxa"/>
        <w:top w:w="0" w:type="dxa"/>
        <w:right w:w="0" w:type="dxa"/>
        <w:bottom w:w="0" w:type="dxa"/>
      </w:tblCellMar>
    </w:tblPr>
  </w:style>
  <w:style w:type="table" w:styleId="1178" w:customStyle="1">
    <w:name w:val="Lined - Accent 2"/>
    <w:uiPriority w:val="99"/>
    <w:qFormat/>
    <w:rPr>
      <w:color w:val="404040"/>
    </w:rPr>
    <w:tblPr>
      <w:tblCellMar>
        <w:left w:w="0" w:type="dxa"/>
        <w:top w:w="0" w:type="dxa"/>
        <w:right w:w="0" w:type="dxa"/>
        <w:bottom w:w="0" w:type="dxa"/>
      </w:tblCellMar>
    </w:tblPr>
  </w:style>
  <w:style w:type="table" w:styleId="1179" w:customStyle="1">
    <w:name w:val="Lined - Accent 3"/>
    <w:uiPriority w:val="99"/>
    <w:qFormat/>
    <w:rPr>
      <w:color w:val="404040"/>
    </w:rPr>
    <w:tblPr>
      <w:tblCellMar>
        <w:left w:w="0" w:type="dxa"/>
        <w:top w:w="0" w:type="dxa"/>
        <w:right w:w="0" w:type="dxa"/>
        <w:bottom w:w="0" w:type="dxa"/>
      </w:tblCellMar>
    </w:tblPr>
  </w:style>
  <w:style w:type="table" w:styleId="1180" w:customStyle="1">
    <w:name w:val="Lined - Accent 4"/>
    <w:uiPriority w:val="99"/>
    <w:qFormat/>
    <w:rPr>
      <w:color w:val="404040"/>
    </w:rPr>
    <w:tblPr>
      <w:tblCellMar>
        <w:left w:w="0" w:type="dxa"/>
        <w:top w:w="0" w:type="dxa"/>
        <w:right w:w="0" w:type="dxa"/>
        <w:bottom w:w="0" w:type="dxa"/>
      </w:tblCellMar>
    </w:tblPr>
  </w:style>
  <w:style w:type="table" w:styleId="1181" w:customStyle="1">
    <w:name w:val="Lined - Accent 5"/>
    <w:uiPriority w:val="99"/>
    <w:qFormat/>
    <w:rPr>
      <w:color w:val="404040"/>
    </w:rPr>
    <w:tblPr>
      <w:tblCellMar>
        <w:left w:w="0" w:type="dxa"/>
        <w:top w:w="0" w:type="dxa"/>
        <w:right w:w="0" w:type="dxa"/>
        <w:bottom w:w="0" w:type="dxa"/>
      </w:tblCellMar>
    </w:tblPr>
  </w:style>
  <w:style w:type="table" w:styleId="1182" w:customStyle="1">
    <w:name w:val="Lined - Accent 6"/>
    <w:uiPriority w:val="99"/>
    <w:qFormat/>
    <w:rPr>
      <w:color w:val="404040"/>
    </w:rPr>
    <w:tblPr>
      <w:tblCellMar>
        <w:left w:w="0" w:type="dxa"/>
        <w:top w:w="0" w:type="dxa"/>
        <w:right w:w="0" w:type="dxa"/>
        <w:bottom w:w="0" w:type="dxa"/>
      </w:tblCellMar>
    </w:tblPr>
  </w:style>
  <w:style w:type="table" w:styleId="1183" w:customStyle="1">
    <w:name w:val="Bordered &amp; Lined - Accent"/>
    <w:uiPriority w:val="99"/>
    <w:qFormat/>
    <w:rPr>
      <w:color w:val="404040"/>
    </w:rPr>
    <w:tblPr>
      <w:tblCellMar>
        <w:left w:w="0" w:type="dxa"/>
        <w:top w:w="0" w:type="dxa"/>
        <w:right w:w="0" w:type="dxa"/>
        <w:bottom w:w="0" w:type="dxa"/>
      </w:tblCellMar>
    </w:tblPr>
  </w:style>
  <w:style w:type="table" w:styleId="1184" w:customStyle="1">
    <w:name w:val="Bordered &amp; Lined - Accent 1"/>
    <w:uiPriority w:val="99"/>
    <w:qFormat/>
    <w:rPr>
      <w:color w:val="404040"/>
    </w:rPr>
    <w:tblPr>
      <w:tblCellMar>
        <w:left w:w="0" w:type="dxa"/>
        <w:top w:w="0" w:type="dxa"/>
        <w:right w:w="0" w:type="dxa"/>
        <w:bottom w:w="0" w:type="dxa"/>
      </w:tblCellMar>
    </w:tblPr>
  </w:style>
  <w:style w:type="table" w:styleId="1185" w:customStyle="1">
    <w:name w:val="Bordered &amp; Lined - Accent 2"/>
    <w:uiPriority w:val="99"/>
    <w:qFormat/>
    <w:rPr>
      <w:color w:val="404040"/>
    </w:rPr>
    <w:tblPr>
      <w:tblCellMar>
        <w:left w:w="0" w:type="dxa"/>
        <w:top w:w="0" w:type="dxa"/>
        <w:right w:w="0" w:type="dxa"/>
        <w:bottom w:w="0" w:type="dxa"/>
      </w:tblCellMar>
    </w:tblPr>
  </w:style>
  <w:style w:type="table" w:styleId="1186" w:customStyle="1">
    <w:name w:val="Bordered &amp; Lined - Accent 3"/>
    <w:uiPriority w:val="99"/>
    <w:qFormat/>
    <w:rPr>
      <w:color w:val="404040"/>
    </w:rPr>
    <w:tblPr>
      <w:tblCellMar>
        <w:left w:w="0" w:type="dxa"/>
        <w:top w:w="0" w:type="dxa"/>
        <w:right w:w="0" w:type="dxa"/>
        <w:bottom w:w="0" w:type="dxa"/>
      </w:tblCellMar>
    </w:tblPr>
  </w:style>
  <w:style w:type="table" w:styleId="1187" w:customStyle="1">
    <w:name w:val="Bordered &amp; Lined - Accent 4"/>
    <w:uiPriority w:val="99"/>
    <w:qFormat/>
    <w:rPr>
      <w:color w:val="404040"/>
    </w:rPr>
    <w:tblPr>
      <w:tblCellMar>
        <w:left w:w="0" w:type="dxa"/>
        <w:top w:w="0" w:type="dxa"/>
        <w:right w:w="0" w:type="dxa"/>
        <w:bottom w:w="0" w:type="dxa"/>
      </w:tblCellMar>
    </w:tblPr>
  </w:style>
  <w:style w:type="table" w:styleId="1188" w:customStyle="1">
    <w:name w:val="Bordered &amp; Lined - Accent 5"/>
    <w:uiPriority w:val="99"/>
    <w:qFormat/>
    <w:rPr>
      <w:color w:val="404040"/>
    </w:rPr>
    <w:tblPr>
      <w:tblCellMar>
        <w:left w:w="0" w:type="dxa"/>
        <w:top w:w="0" w:type="dxa"/>
        <w:right w:w="0" w:type="dxa"/>
        <w:bottom w:w="0" w:type="dxa"/>
      </w:tblCellMar>
    </w:tblPr>
  </w:style>
  <w:style w:type="table" w:styleId="1189" w:customStyle="1">
    <w:name w:val="Bordered &amp; Lined - Accent 6"/>
    <w:uiPriority w:val="99"/>
    <w:qFormat/>
    <w:rPr>
      <w:color w:val="404040"/>
    </w:rPr>
    <w:tblPr>
      <w:tblCellMar>
        <w:left w:w="0" w:type="dxa"/>
        <w:top w:w="0" w:type="dxa"/>
        <w:right w:w="0" w:type="dxa"/>
        <w:bottom w:w="0" w:type="dxa"/>
      </w:tblCellMar>
    </w:tblPr>
  </w:style>
  <w:style w:type="table" w:styleId="1190" w:customStyle="1">
    <w:name w:val="Bordered"/>
    <w:uiPriority w:val="99"/>
    <w:qFormat/>
    <w:tblPr>
      <w:tblCellMar>
        <w:left w:w="0" w:type="dxa"/>
        <w:top w:w="0" w:type="dxa"/>
        <w:right w:w="0" w:type="dxa"/>
        <w:bottom w:w="0" w:type="dxa"/>
      </w:tblCellMar>
    </w:tblPr>
  </w:style>
  <w:style w:type="table" w:styleId="1191" w:customStyle="1">
    <w:name w:val="Bordered - Accent 1"/>
    <w:uiPriority w:val="99"/>
    <w:qFormat/>
    <w:tblPr>
      <w:tblCellMar>
        <w:left w:w="0" w:type="dxa"/>
        <w:top w:w="0" w:type="dxa"/>
        <w:right w:w="0" w:type="dxa"/>
        <w:bottom w:w="0" w:type="dxa"/>
      </w:tblCellMar>
    </w:tblPr>
  </w:style>
  <w:style w:type="table" w:styleId="1192" w:customStyle="1">
    <w:name w:val="Bordered - Accent 2"/>
    <w:uiPriority w:val="99"/>
    <w:qFormat/>
    <w:tblPr>
      <w:tblCellMar>
        <w:left w:w="0" w:type="dxa"/>
        <w:top w:w="0" w:type="dxa"/>
        <w:right w:w="0" w:type="dxa"/>
        <w:bottom w:w="0" w:type="dxa"/>
      </w:tblCellMar>
    </w:tblPr>
  </w:style>
  <w:style w:type="table" w:styleId="1193" w:customStyle="1">
    <w:name w:val="Bordered - Accent 3"/>
    <w:uiPriority w:val="99"/>
    <w:qFormat/>
    <w:tblPr>
      <w:tblCellMar>
        <w:left w:w="0" w:type="dxa"/>
        <w:top w:w="0" w:type="dxa"/>
        <w:right w:w="0" w:type="dxa"/>
        <w:bottom w:w="0" w:type="dxa"/>
      </w:tblCellMar>
    </w:tblPr>
  </w:style>
  <w:style w:type="table" w:styleId="1194" w:customStyle="1">
    <w:name w:val="Bordered - Accent 4"/>
    <w:uiPriority w:val="99"/>
    <w:qFormat/>
    <w:tblPr>
      <w:tblCellMar>
        <w:left w:w="0" w:type="dxa"/>
        <w:top w:w="0" w:type="dxa"/>
        <w:right w:w="0" w:type="dxa"/>
        <w:bottom w:w="0" w:type="dxa"/>
      </w:tblCellMar>
    </w:tblPr>
  </w:style>
  <w:style w:type="table" w:styleId="1195" w:customStyle="1">
    <w:name w:val="Bordered - Accent 5"/>
    <w:uiPriority w:val="99"/>
    <w:qFormat/>
    <w:tblPr>
      <w:tblCellMar>
        <w:left w:w="0" w:type="dxa"/>
        <w:top w:w="0" w:type="dxa"/>
        <w:right w:w="0" w:type="dxa"/>
        <w:bottom w:w="0" w:type="dxa"/>
      </w:tblCellMar>
    </w:tblPr>
  </w:style>
  <w:style w:type="table" w:styleId="1196" w:customStyle="1">
    <w:name w:val="Bordered - Accent 6"/>
    <w:uiPriority w:val="99"/>
    <w:qFormat/>
    <w:tblPr>
      <w:tblCellMar>
        <w:left w:w="0" w:type="dxa"/>
        <w:top w:w="0" w:type="dxa"/>
        <w:right w:w="0" w:type="dxa"/>
        <w:bottom w:w="0" w:type="dxa"/>
      </w:tblCellMar>
    </w:tblPr>
  </w:style>
  <w:style w:type="paragraph" w:styleId="1197" w:customStyle="1">
    <w:name w:val="TOC 标题11"/>
    <w:uiPriority w:val="39"/>
    <w:unhideWhenUsed/>
    <w:qFormat/>
    <w:rPr>
      <w:rFonts w:ascii="Times New Roman" w:hAnsi="Times New Roman" w:eastAsia="宋体" w:cs="Times New Roman"/>
      <w:lang w:val="en-US" w:eastAsia="zh-CN" w:bidi="ar-SA"/>
    </w:rPr>
  </w:style>
  <w:style w:type="character" w:styleId="1198" w:customStyle="1">
    <w:name w:val="正文文本首行缩进 字符"/>
    <w:uiPriority w:val="0"/>
    <w:qFormat/>
    <w:rPr>
      <w:rFonts w:eastAsia="楷体_GB2312"/>
      <w:sz w:val="26"/>
    </w:rPr>
  </w:style>
  <w:style w:type="character" w:styleId="1199" w:customStyle="1">
    <w:name w:val="Char Char4"/>
    <w:uiPriority w:val="0"/>
    <w:qFormat/>
    <w:rPr>
      <w:rFonts w:ascii="微软雅黑" w:hAnsi="创艺简仿宋" w:eastAsia="微软雅黑"/>
      <w:sz w:val="24"/>
      <w:lang w:val="en-US" w:eastAsia="zh-CN" w:bidi="ar-SA"/>
    </w:rPr>
  </w:style>
  <w:style w:type="character" w:styleId="1200" w:customStyle="1">
    <w:name w:val="state"/>
    <w:uiPriority w:val="0"/>
    <w:qFormat/>
    <w:rPr>
      <w:b/>
      <w:color w:val="ffffff"/>
      <w:sz w:val="19"/>
      <w:szCs w:val="19"/>
    </w:rPr>
  </w:style>
  <w:style w:type="character" w:styleId="1201" w:customStyle="1">
    <w:name w:val="bds_more6"/>
    <w:uiPriority w:val="0"/>
    <w:qFormat/>
  </w:style>
  <w:style w:type="character" w:styleId="1202" w:customStyle="1">
    <w:name w:val="hilite"/>
    <w:uiPriority w:val="0"/>
    <w:qFormat/>
    <w:rPr>
      <w:color w:val="ffffff"/>
      <w:shd w:val="clear" w:color="auto" w:fill="776666"/>
    </w:rPr>
  </w:style>
  <w:style w:type="character" w:styleId="1203" w:customStyle="1">
    <w:name w:val="bds_nopic"/>
    <w:uiPriority w:val="0"/>
    <w:qFormat/>
  </w:style>
  <w:style w:type="character" w:styleId="1204" w:customStyle="1">
    <w:name w:val="Char Char2"/>
    <w:uiPriority w:val="0"/>
    <w:qFormat/>
    <w:rPr>
      <w:rFonts w:ascii="宋体" w:hAnsi="宋体" w:eastAsia="楷体_GB2312"/>
      <w:b/>
      <w:sz w:val="26"/>
      <w:lang w:val="en-US" w:eastAsia="zh-CN" w:bidi="ar-SA"/>
    </w:rPr>
  </w:style>
  <w:style w:type="character" w:styleId="1205" w:customStyle="1">
    <w:name w:val="hover61"/>
    <w:uiPriority w:val="0"/>
    <w:qFormat/>
    <w:rPr>
      <w:shd w:val="clear" w:color="auto" w:fill="ff0000"/>
    </w:rPr>
  </w:style>
  <w:style w:type="character" w:styleId="1206" w:customStyle="1">
    <w:name w:val="font51"/>
    <w:uiPriority w:val="99"/>
    <w:qFormat/>
    <w:rPr>
      <w:rFonts w:hint="eastAsia" w:ascii="宋体" w:hAnsi="宋体" w:eastAsia="宋体" w:cs="宋体"/>
      <w:color w:val="ff0000"/>
      <w:sz w:val="20"/>
      <w:szCs w:val="20"/>
      <w:u w:val="none"/>
    </w:rPr>
  </w:style>
  <w:style w:type="character" w:styleId="1207" w:customStyle="1">
    <w:name w:val="grid"/>
    <w:uiPriority w:val="0"/>
    <w:qFormat/>
  </w:style>
  <w:style w:type="character" w:styleId="1208" w:customStyle="1">
    <w:name w:val="bds_more7"/>
    <w:uiPriority w:val="0"/>
    <w:qFormat/>
  </w:style>
  <w:style w:type="character" w:styleId="1209" w:customStyle="1">
    <w:name w:val="bds_more8"/>
    <w:uiPriority w:val="0"/>
    <w:qFormat/>
    <w:rPr>
      <w:rFonts w:hint="eastAsia" w:ascii="宋体" w:hAnsi="宋体" w:eastAsia="宋体" w:cs="宋体"/>
    </w:rPr>
  </w:style>
  <w:style w:type="character" w:styleId="1210" w:customStyle="1">
    <w:name w:val="bds_more4"/>
    <w:uiPriority w:val="0"/>
    <w:qFormat/>
    <w:rPr>
      <w:rFonts w:hint="eastAsia" w:ascii="宋体" w:hAnsi="宋体" w:eastAsia="宋体" w:cs="宋体"/>
    </w:rPr>
  </w:style>
  <w:style w:type="character" w:styleId="1211" w:customStyle="1">
    <w:name w:val="bds_nopic1"/>
    <w:uiPriority w:val="0"/>
    <w:qFormat/>
  </w:style>
  <w:style w:type="character" w:styleId="1212" w:customStyle="1">
    <w:name w:val="hilite6"/>
    <w:uiPriority w:val="0"/>
    <w:qFormat/>
    <w:rPr>
      <w:color w:val="ffffff"/>
      <w:shd w:val="clear" w:color="auto" w:fill="776666"/>
    </w:rPr>
  </w:style>
  <w:style w:type="character" w:styleId="1213" w:customStyle="1">
    <w:name w:val="正文缩进2格 Char Char"/>
    <w:link w:val="1214"/>
    <w:uiPriority w:val="0"/>
    <w:qFormat/>
    <w:rPr>
      <w:rFonts w:ascii="仿宋_GB2312" w:hAnsi="宋体" w:eastAsia="仿宋_GB2312"/>
      <w:sz w:val="31"/>
      <w:szCs w:val="28"/>
    </w:rPr>
  </w:style>
  <w:style w:type="paragraph" w:styleId="1214" w:customStyle="1">
    <w:name w:val="正文缩进2格"/>
    <w:basedOn w:val="782"/>
    <w:link w:val="1213"/>
    <w:uiPriority w:val="0"/>
    <w:qFormat/>
    <w:pPr>
      <w:ind w:firstLine="639"/>
      <w:spacing w:line="600" w:lineRule="exact"/>
    </w:pPr>
    <w:rPr>
      <w:rFonts w:ascii="仿宋_GB2312" w:hAnsi="宋体" w:eastAsia="仿宋_GB2312"/>
      <w:sz w:val="31"/>
      <w:szCs w:val="28"/>
    </w:rPr>
  </w:style>
  <w:style w:type="character" w:styleId="1215" w:customStyle="1">
    <w:name w:val="grid2"/>
    <w:uiPriority w:val="0"/>
    <w:qFormat/>
  </w:style>
  <w:style w:type="character" w:styleId="1216" w:customStyle="1">
    <w:name w:val="other"/>
    <w:uiPriority w:val="0"/>
    <w:qFormat/>
  </w:style>
  <w:style w:type="character" w:styleId="1217" w:customStyle="1">
    <w:name w:val="font01"/>
    <w:uiPriority w:val="0"/>
    <w:qFormat/>
    <w:rPr>
      <w:rFonts w:hint="eastAsia" w:ascii="宋体" w:hAnsi="宋体" w:eastAsia="宋体" w:cs="宋体"/>
      <w:b/>
      <w:color w:val="000000"/>
      <w:sz w:val="20"/>
      <w:szCs w:val="20"/>
      <w:u w:val="none"/>
    </w:rPr>
  </w:style>
  <w:style w:type="character" w:styleId="1218" w:customStyle="1">
    <w:name w:val="noused"/>
    <w:uiPriority w:val="0"/>
    <w:qFormat/>
    <w:rPr>
      <w:b/>
      <w:color w:val="ffffff"/>
      <w:sz w:val="21"/>
      <w:szCs w:val="21"/>
    </w:rPr>
  </w:style>
  <w:style w:type="character" w:styleId="1219" w:customStyle="1">
    <w:name w:val="active8"/>
    <w:uiPriority w:val="0"/>
    <w:qFormat/>
    <w:rPr>
      <w:color w:val="00ff00"/>
      <w:shd w:val="clear" w:color="auto" w:fill="000000"/>
    </w:rPr>
  </w:style>
  <w:style w:type="character" w:styleId="1220" w:customStyle="1">
    <w:name w:val="font61"/>
    <w:uiPriority w:val="0"/>
    <w:qFormat/>
    <w:rPr>
      <w:rFonts w:hint="eastAsia" w:ascii="宋体" w:hAnsi="宋体" w:eastAsia="宋体" w:cs="宋体"/>
      <w:color w:val="000000"/>
      <w:sz w:val="20"/>
      <w:szCs w:val="20"/>
      <w:u w:val="none"/>
    </w:rPr>
  </w:style>
  <w:style w:type="character" w:styleId="1221" w:customStyle="1">
    <w:name w:val="bds_more5"/>
    <w:uiPriority w:val="0"/>
    <w:qFormat/>
  </w:style>
  <w:style w:type="character" w:styleId="1222" w:customStyle="1">
    <w:name w:val="bds_nopic2"/>
    <w:uiPriority w:val="0"/>
    <w:qFormat/>
  </w:style>
  <w:style w:type="character" w:styleId="1223" w:customStyle="1">
    <w:name w:val="active"/>
    <w:uiPriority w:val="0"/>
    <w:qFormat/>
    <w:rPr>
      <w:color w:val="00ff00"/>
      <w:shd w:val="clear" w:color="auto" w:fill="000000"/>
    </w:rPr>
  </w:style>
  <w:style w:type="character" w:styleId="1224" w:customStyle="1">
    <w:name w:val="font41"/>
    <w:uiPriority w:val="0"/>
    <w:qFormat/>
    <w:rPr>
      <w:rFonts w:hint="eastAsia" w:ascii="宋体" w:hAnsi="宋体" w:eastAsia="宋体" w:cs="宋体"/>
      <w:color w:val="000000"/>
      <w:sz w:val="20"/>
      <w:szCs w:val="20"/>
      <w:u w:val="none"/>
    </w:rPr>
  </w:style>
  <w:style w:type="character" w:styleId="1225" w:customStyle="1">
    <w:name w:val="font11"/>
    <w:uiPriority w:val="0"/>
    <w:qFormat/>
    <w:rPr>
      <w:rFonts w:ascii="宋体" w:hAnsi="宋体" w:eastAsia="宋体"/>
      <w:color w:val="000000"/>
      <w:sz w:val="28"/>
      <w:u w:val="none"/>
    </w:rPr>
  </w:style>
  <w:style w:type="character" w:styleId="1226" w:customStyle="1">
    <w:name w:val="font81"/>
    <w:uiPriority w:val="0"/>
    <w:qFormat/>
    <w:rPr>
      <w:rFonts w:ascii="宋体" w:hAnsi="宋体" w:eastAsia="宋体"/>
      <w:b/>
      <w:color w:val="000000"/>
      <w:sz w:val="18"/>
      <w:u w:val="none"/>
    </w:rPr>
  </w:style>
  <w:style w:type="character" w:styleId="1227" w:customStyle="1">
    <w:name w:val="font71"/>
    <w:uiPriority w:val="0"/>
    <w:qFormat/>
    <w:rPr>
      <w:rFonts w:hint="eastAsia" w:ascii="宋体" w:hAnsi="宋体" w:eastAsia="宋体" w:cs="宋体"/>
      <w:color w:val="000000"/>
      <w:sz w:val="20"/>
      <w:szCs w:val="20"/>
      <w:u w:val="none"/>
      <w:vertAlign w:val="superscript"/>
    </w:rPr>
  </w:style>
  <w:style w:type="character" w:styleId="1228" w:customStyle="1">
    <w:name w:val="正文文本缩进 Char1"/>
    <w:uiPriority w:val="0"/>
    <w:qFormat/>
    <w:rPr>
      <w:rFonts w:eastAsia="楷体_GB2312"/>
      <w:sz w:val="26"/>
    </w:rPr>
  </w:style>
  <w:style w:type="character" w:styleId="1229"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230" w:customStyle="1">
    <w:name w:val="日期 Char1"/>
    <w:uiPriority w:val="0"/>
    <w:qFormat/>
    <w:rPr>
      <w:rFonts w:eastAsia="楷体_GB2312"/>
      <w:sz w:val="26"/>
      <w:szCs w:val="26"/>
    </w:rPr>
  </w:style>
  <w:style w:type="character" w:styleId="1231" w:customStyle="1">
    <w:name w:val="Balloon Text Char"/>
    <w:uiPriority w:val="0"/>
    <w:semiHidden/>
    <w:qFormat/>
    <w:rPr>
      <w:rFonts w:eastAsia="宋体"/>
      <w:sz w:val="18"/>
      <w:lang w:val="en-US" w:eastAsia="zh-CN"/>
    </w:rPr>
  </w:style>
  <w:style w:type="character" w:styleId="1232" w:customStyle="1">
    <w:name w:val="font21"/>
    <w:uiPriority w:val="0"/>
    <w:qFormat/>
    <w:rPr>
      <w:rFonts w:hint="eastAsia" w:ascii="宋体" w:hAnsi="宋体" w:eastAsia="宋体" w:cs="宋体"/>
      <w:b/>
      <w:color w:val="000000"/>
      <w:sz w:val="20"/>
      <w:szCs w:val="20"/>
      <w:u w:val="none"/>
    </w:rPr>
  </w:style>
  <w:style w:type="character" w:styleId="1233" w:customStyle="1">
    <w:name w:val="font31"/>
    <w:uiPriority w:val="0"/>
    <w:qFormat/>
    <w:rPr>
      <w:rFonts w:ascii="宋体" w:hAnsi="宋体" w:eastAsia="宋体"/>
      <w:color w:val="000000"/>
      <w:sz w:val="20"/>
      <w:u w:val="none"/>
    </w:rPr>
  </w:style>
  <w:style w:type="character" w:styleId="1234" w:customStyle="1">
    <w:name w:val="Body Text Indent Char"/>
    <w:uiPriority w:val="0"/>
    <w:qFormat/>
    <w:rPr>
      <w:rFonts w:ascii="微软雅黑" w:hAnsi="创艺简仿宋" w:eastAsia="微软雅黑"/>
      <w:sz w:val="24"/>
    </w:rPr>
  </w:style>
  <w:style w:type="character" w:styleId="1235" w:customStyle="1">
    <w:name w:val="Header Char1"/>
    <w:uiPriority w:val="0"/>
    <w:qFormat/>
    <w:rPr>
      <w:rFonts w:eastAsia="楷体_GB2312"/>
      <w:sz w:val="18"/>
    </w:rPr>
  </w:style>
  <w:style w:type="character" w:styleId="1236" w:customStyle="1">
    <w:name w:val="正文文本缩进 Char2"/>
    <w:uiPriority w:val="0"/>
    <w:qFormat/>
    <w:rPr>
      <w:rFonts w:eastAsia="楷体_GB2312"/>
      <w:sz w:val="26"/>
      <w:szCs w:val="26"/>
    </w:rPr>
  </w:style>
  <w:style w:type="character" w:styleId="1237" w:customStyle="1">
    <w:name w:val="NormalCharacter1"/>
    <w:uiPriority w:val="0"/>
    <w:qFormat/>
  </w:style>
  <w:style w:type="paragraph" w:styleId="1238" w:customStyle="1">
    <w:name w:val="列出段落111"/>
    <w:basedOn w:val="782"/>
    <w:uiPriority w:val="0"/>
    <w:qFormat/>
    <w:pPr>
      <w:ind w:firstLine="420"/>
    </w:pPr>
    <w:rPr>
      <w:rFonts w:ascii="Calibri" w:hAnsi="Calibri" w:eastAsia="宋体" w:cs="黑体"/>
      <w:szCs w:val="22"/>
    </w:rPr>
  </w:style>
  <w:style w:type="paragraph" w:styleId="1239" w:customStyle="1">
    <w:name w:val="p0"/>
    <w:basedOn w:val="782"/>
    <w:uiPriority w:val="0"/>
    <w:qFormat/>
    <w:pPr>
      <w:widowControl/>
    </w:pPr>
    <w:rPr>
      <w:rFonts w:eastAsia="宋体"/>
      <w:sz w:val="21"/>
      <w:szCs w:val="21"/>
    </w:rPr>
  </w:style>
  <w:style w:type="paragraph" w:styleId="1240" w:customStyle="1">
    <w:name w:val="纯文本1"/>
    <w:basedOn w:val="782"/>
    <w:uiPriority w:val="0"/>
    <w:qFormat/>
    <w:rPr>
      <w:rFonts w:ascii="宋体" w:hAnsi="Courier New"/>
      <w:sz w:val="28"/>
    </w:rPr>
  </w:style>
  <w:style w:type="paragraph" w:styleId="1241" w:customStyle="1">
    <w:name w:val="Char Char1 Char Char Char Char"/>
    <w:basedOn w:val="941"/>
    <w:uiPriority w:val="0"/>
    <w:qFormat/>
    <w:pPr>
      <w:spacing w:line="360" w:lineRule="auto"/>
    </w:pPr>
    <w:rPr>
      <w:rFonts w:ascii="Tahoma" w:hAnsi="Tahoma" w:eastAsia="宋体"/>
      <w:sz w:val="24"/>
      <w:szCs w:val="24"/>
    </w:rPr>
  </w:style>
  <w:style w:type="paragraph" w:styleId="1242" w:customStyle="1">
    <w:name w:val="Char Char1 Char Char Char Char Char Char Char"/>
    <w:basedOn w:val="782"/>
    <w:uiPriority w:val="0"/>
    <w:qFormat/>
    <w:rPr>
      <w:rFonts w:ascii="Tahoma" w:hAnsi="Tahoma"/>
      <w:sz w:val="24"/>
    </w:rPr>
  </w:style>
  <w:style w:type="paragraph" w:styleId="1243" w:customStyle="1">
    <w:name w:val="Char"/>
    <w:basedOn w:val="782"/>
    <w:uiPriority w:val="0"/>
    <w:qFormat/>
    <w:pPr>
      <w:jc w:val="left"/>
      <w:spacing w:after="160" w:line="240" w:lineRule="exact"/>
      <w:widowControl/>
    </w:pPr>
    <w:rPr>
      <w:rFonts w:ascii="Verdana" w:hAnsi="Verdana" w:eastAsia="宋体"/>
      <w:sz w:val="21"/>
      <w:lang w:eastAsia="en-US"/>
    </w:rPr>
  </w:style>
  <w:style w:type="paragraph" w:styleId="1244" w:customStyle="1">
    <w:name w:val="Char1"/>
    <w:basedOn w:val="782"/>
    <w:uiPriority w:val="0"/>
    <w:qFormat/>
    <w:rPr>
      <w:rFonts w:ascii="Tahoma" w:hAnsi="Tahoma" w:eastAsia="宋体"/>
      <w:sz w:val="24"/>
    </w:rPr>
  </w:style>
  <w:style w:type="paragraph" w:styleId="1245" w:customStyle="1">
    <w:name w:val="图"/>
    <w:basedOn w:val="782"/>
    <w:uiPriority w:val="0"/>
    <w:qFormat/>
    <w:pPr>
      <w:jc w:val="center"/>
      <w:keepNext/>
      <w:spacing w:before="60" w:after="60" w:line="300" w:lineRule="auto"/>
    </w:pPr>
    <w:rPr>
      <w:rFonts w:eastAsia="宋体"/>
      <w:spacing w:val="20"/>
      <w:sz w:val="24"/>
    </w:rPr>
  </w:style>
  <w:style w:type="paragraph" w:styleId="1246" w:customStyle="1">
    <w:name w:val="纯文本2"/>
    <w:basedOn w:val="782"/>
    <w:uiPriority w:val="0"/>
    <w:qFormat/>
    <w:rPr>
      <w:rFonts w:ascii="宋体" w:hAnsi="Courier New"/>
    </w:rPr>
  </w:style>
  <w:style w:type="paragraph" w:styleId="1247" w:customStyle="1">
    <w:name w:val="Table Paragraph"/>
    <w:basedOn w:val="782"/>
    <w:uiPriority w:val="1"/>
    <w:qFormat/>
    <w:rPr>
      <w:rFonts w:ascii="仿宋" w:hAnsi="仿宋" w:eastAsia="仿宋" w:cs="仿宋"/>
      <w:sz w:val="21"/>
      <w:szCs w:val="22"/>
      <w:lang w:val="zh-CN" w:bidi="zh-CN"/>
    </w:rPr>
  </w:style>
  <w:style w:type="paragraph" w:styleId="1248" w:customStyle="1">
    <w:name w:val="xl10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9" w:customStyle="1">
    <w:name w:val="font10"/>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50" w:customStyle="1">
    <w:name w:val="xl108"/>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1" w:customStyle="1">
    <w:name w:val="xl127"/>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2" w:customStyle="1">
    <w:name w:val="xl124"/>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3" w:customStyle="1">
    <w:name w:val="font7"/>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54" w:customStyle="1">
    <w:name w:val="xl162"/>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55" w:customStyle="1">
    <w:name w:val="xl12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6" w:customStyle="1">
    <w:name w:val="xl11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7" w:customStyle="1">
    <w:name w:val="font12"/>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58" w:customStyle="1">
    <w:name w:val="xl145"/>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9" w:customStyle="1">
    <w:name w:val="font22"/>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60" w:customStyle="1">
    <w:name w:val="xl15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1" w:customStyle="1">
    <w:name w:val="xl15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2" w:customStyle="1">
    <w:name w:val="xl111"/>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3" w:customStyle="1">
    <w:name w:val="xl143"/>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4" w:customStyle="1">
    <w:name w:val="xl128"/>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5" w:customStyle="1">
    <w:name w:val="xl13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6" w:customStyle="1">
    <w:name w:val="xl152"/>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customStyle="1">
    <w:name w:val="xl11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8" w:customStyle="1">
    <w:name w:val="xl149"/>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9" w:customStyle="1">
    <w:name w:val="xl15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customStyle="1">
    <w:name w:val="xl14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1" w:customStyle="1">
    <w:name w:val="xl12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2" w:customStyle="1">
    <w:name w:val="font8"/>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73" w:customStyle="1">
    <w:name w:val="xl142"/>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4" w:customStyle="1">
    <w:name w:val="xl125"/>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5" w:customStyle="1">
    <w:name w:val="font6"/>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76" w:customStyle="1">
    <w:name w:val="xl12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7" w:customStyle="1">
    <w:name w:val="xl105"/>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customStyle="1">
    <w:name w:val="xl109"/>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9" w:customStyle="1">
    <w:name w:val="xl136"/>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0" w:customStyle="1">
    <w:name w:val="xl101"/>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1" w:customStyle="1">
    <w:name w:val="列出段落11"/>
    <w:basedOn w:val="782"/>
    <w:uiPriority w:val="34"/>
    <w:qFormat/>
    <w:pPr>
      <w:ind w:firstLine="420"/>
    </w:pPr>
    <w:rPr>
      <w:rFonts w:ascii="Calibri" w:hAnsi="Calibri" w:eastAsia="宋体"/>
      <w:szCs w:val="26"/>
    </w:rPr>
  </w:style>
  <w:style w:type="paragraph" w:styleId="1282" w:customStyle="1">
    <w:name w:val="font15"/>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83" w:customStyle="1">
    <w:name w:val="xl161"/>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84" w:customStyle="1">
    <w:name w:val="xl141"/>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5" w:customStyle="1">
    <w:name w:val="xl118"/>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6" w:customStyle="1">
    <w:name w:val="xl153"/>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7" w:customStyle="1">
    <w:name w:val="xl133"/>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8" w:customStyle="1">
    <w:name w:val="font17"/>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89" w:customStyle="1">
    <w:name w:val="xl140"/>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0" w:customStyle="1">
    <w:name w:val="xl159"/>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1" w:customStyle="1">
    <w:name w:val="xl10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2" w:customStyle="1">
    <w:name w:val="xl120"/>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3" w:customStyle="1">
    <w:name w:val="xl148"/>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4" w:customStyle="1">
    <w:name w:val="xl150"/>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5" w:customStyle="1">
    <w:name w:val="xl110"/>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6" w:customStyle="1">
    <w:name w:val="正文1"/>
    <w:uiPriority w:val="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297" w:customStyle="1">
    <w:name w:val="xl13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8" w:customStyle="1">
    <w:name w:val="font16"/>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99" w:customStyle="1">
    <w:name w:val="Normal_20"/>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300" w:customStyle="1">
    <w:name w:val="xl114"/>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1" w:customStyle="1">
    <w:name w:val="xl131"/>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2" w:customStyle="1">
    <w:name w:val="_Style 7"/>
    <w:basedOn w:val="782"/>
    <w:uiPriority w:val="0"/>
    <w:qFormat/>
    <w:pPr>
      <w:ind w:firstLine="420"/>
    </w:pPr>
    <w:rPr>
      <w:rFonts w:eastAsia="宋体"/>
      <w:szCs w:val="26"/>
    </w:rPr>
  </w:style>
  <w:style w:type="paragraph" w:styleId="1303" w:customStyle="1">
    <w:name w:val="xl10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4" w:customStyle="1">
    <w:name w:val="xl13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5" w:customStyle="1">
    <w:name w:val="font14"/>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06" w:customStyle="1">
    <w:name w:val="xl100"/>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07" w:customStyle="1">
    <w:name w:val="xl99"/>
    <w:basedOn w:val="782"/>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308" w:customStyle="1">
    <w:name w:val="xl151"/>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9" w:customStyle="1">
    <w:name w:val="_Style 26"/>
    <w:next w:val="782"/>
    <w:uiPriority w:val="99"/>
    <w:qFormat/>
    <w:pPr>
      <w:jc w:val="both"/>
      <w:widowControl w:val="off"/>
    </w:pPr>
    <w:rPr>
      <w:rFonts w:ascii="Times New Roman" w:hAnsi="Times New Roman" w:eastAsia="楷体_GB2312" w:cs="Times New Roman"/>
      <w:sz w:val="26"/>
      <w:szCs w:val="26"/>
      <w:lang w:val="en-US" w:eastAsia="zh-CN" w:bidi="ar-SA"/>
    </w:rPr>
  </w:style>
  <w:style w:type="paragraph" w:styleId="1310" w:customStyle="1">
    <w:name w:val="样式 标题 1 + 宋体 段前: 0 磅 段后: 0 磅 行距: 单倍行距"/>
    <w:basedOn w:val="922"/>
    <w:next w:val="782"/>
    <w:uiPriority w:val="0"/>
    <w:qFormat/>
    <w:pPr>
      <w:jc w:val="center"/>
      <w:spacing w:line="240" w:lineRule="auto"/>
    </w:pPr>
    <w:rPr>
      <w:rFonts w:ascii="仿宋_GB2312" w:hAnsi="宋体" w:eastAsia="仿宋_GB2312" w:cs="宋体"/>
      <w:bCs/>
      <w:szCs w:val="44"/>
    </w:rPr>
  </w:style>
  <w:style w:type="paragraph" w:styleId="1311" w:customStyle="1">
    <w:name w:val="font9"/>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12" w:customStyle="1">
    <w:name w:val="font20"/>
    <w:basedOn w:val="782"/>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13" w:customStyle="1">
    <w:name w:val="font13"/>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14" w:customStyle="1">
    <w:name w:val="xl10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15" w:customStyle="1">
    <w:name w:val="xl116"/>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6" w:customStyle="1">
    <w:name w:val="xl134"/>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7" w:customStyle="1">
    <w:name w:val="font18"/>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18" w:customStyle="1">
    <w:name w:val="xl121"/>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9" w:customStyle="1">
    <w:name w:val="xl158"/>
    <w:basedOn w:val="782"/>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20" w:customStyle="1">
    <w:name w:val="xl119"/>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1" w:customStyle="1">
    <w:name w:val="xl135"/>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2" w:customStyle="1">
    <w:name w:val="font5"/>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23" w:customStyle="1">
    <w:name w:val="xl155"/>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4" w:customStyle="1">
    <w:name w:val="font19"/>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25" w:customStyle="1">
    <w:name w:val="xl160"/>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6" w:customStyle="1">
    <w:name w:val="xl112"/>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7" w:customStyle="1">
    <w:name w:val="xl104"/>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8" w:customStyle="1">
    <w:name w:val="xl139"/>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9" w:customStyle="1">
    <w:name w:val="xl130"/>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0" w:customStyle="1">
    <w:name w:val="xl129"/>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1" w:customStyle="1">
    <w:name w:val="xl115"/>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2" w:customStyle="1">
    <w:name w:val="xl14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3" w:customStyle="1">
    <w:name w:val="xl14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34" w:customStyle="1">
    <w:name w:val="网格型1"/>
    <w:basedOn w:val="936"/>
    <w:uiPriority w:val="0"/>
    <w:qFormat/>
    <w:pPr>
      <w:jc w:val="both"/>
      <w:widowControl w:val="off"/>
    </w:pPr>
    <w:tblPr>
      <w:tblCellMar>
        <w:left w:w="0" w:type="dxa"/>
        <w:top w:w="0" w:type="dxa"/>
        <w:right w:w="0" w:type="dxa"/>
        <w:bottom w:w="0" w:type="dxa"/>
      </w:tblCellMar>
    </w:tblPr>
  </w:style>
  <w:style w:type="character" w:styleId="1335" w:customStyle="1">
    <w:name w:val="纯文本 字符"/>
    <w:uiPriority w:val="0"/>
    <w:qFormat/>
    <w:rPr>
      <w:rFonts w:ascii="宋体" w:hAnsi="Courier New" w:eastAsia="楷体_GB2312"/>
      <w:sz w:val="26"/>
      <w:lang w:val="en-US" w:eastAsia="zh-CN" w:bidi="ar-SA"/>
    </w:rPr>
  </w:style>
  <w:style w:type="paragraph" w:styleId="1336"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337" w:customStyle="1">
    <w:name w:val="正文文本 字符"/>
    <w:uiPriority w:val="0"/>
    <w:qFormat/>
    <w:rPr>
      <w:rFonts w:ascii="楷体_GB2312" w:eastAsia="楷体_GB2312"/>
      <w:sz w:val="28"/>
    </w:rPr>
  </w:style>
  <w:style w:type="character" w:styleId="1338" w:customStyle="1">
    <w:name w:val="正文文本 字符1"/>
    <w:uiPriority w:val="0"/>
    <w:qFormat/>
    <w:rPr>
      <w:rFonts w:ascii="楷体_GB2312" w:eastAsia="楷体_GB2312"/>
      <w:sz w:val="28"/>
    </w:rPr>
  </w:style>
  <w:style w:type="table" w:styleId="133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40"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41"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42"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43" w:customStyle="1">
    <w:name w:val="UserStyle_2"/>
    <w:link w:val="1344"/>
    <w:uiPriority w:val="0"/>
    <w:qFormat/>
    <w:rPr>
      <w:rFonts w:ascii="宋体" w:hAnsi="宋体"/>
      <w:color w:val="000000"/>
      <w:sz w:val="21"/>
    </w:rPr>
  </w:style>
  <w:style w:type="paragraph" w:styleId="1344" w:customStyle="1">
    <w:name w:val="UserStyle_3"/>
    <w:basedOn w:val="782"/>
    <w:link w:val="1343"/>
    <w:uiPriority w:val="0"/>
    <w:qFormat/>
    <w:pPr>
      <w:ind w:firstLine="420"/>
      <w:jc w:val="left"/>
      <w:spacing w:before="40" w:after="160" w:line="288" w:lineRule="auto"/>
      <w:widowControl/>
    </w:pPr>
    <w:rPr>
      <w:rFonts w:ascii="宋体" w:hAnsi="宋体" w:eastAsia="宋体"/>
      <w:color w:val="000000"/>
      <w:sz w:val="21"/>
    </w:rPr>
  </w:style>
  <w:style w:type="table" w:styleId="1345" w:customStyle="1">
    <w:name w:val="网格型2"/>
    <w:basedOn w:val="936"/>
    <w:uiPriority w:val="39"/>
    <w:qFormat/>
    <w:rPr>
      <w:rFonts w:ascii="等线" w:hAnsi="等线" w:eastAsia="等线"/>
    </w:rPr>
    <w:tblPr>
      <w:tblCellMar>
        <w:left w:w="0" w:type="dxa"/>
        <w:top w:w="0" w:type="dxa"/>
        <w:right w:w="0" w:type="dxa"/>
        <w:bottom w:w="0" w:type="dxa"/>
      </w:tblCellMar>
    </w:tblPr>
  </w:style>
  <w:style w:type="paragraph" w:styleId="1346" w:customStyle="1">
    <w:name w:val="样式4"/>
    <w:basedOn w:val="782"/>
    <w:uiPriority w:val="0"/>
    <w:qFormat/>
    <w:rPr>
      <w:sz w:val="24"/>
      <w:szCs w:val="24"/>
    </w:rPr>
  </w:style>
  <w:style w:type="paragraph" w:styleId="1347" w:customStyle="1">
    <w:name w:val="Char Char Char Char Char Char Char1 Char"/>
    <w:uiPriority w:val="0"/>
    <w:qFormat/>
    <w:pPr>
      <w:jc w:val="both"/>
      <w:widowControl w:val="off"/>
    </w:pPr>
    <w:rPr>
      <w:rFonts w:ascii="Tahoma" w:hAnsi="Tahoma" w:eastAsia="宋体" w:cs="Times New Roman"/>
      <w:sz w:val="24"/>
      <w:lang w:val="en-US" w:eastAsia="zh-CN" w:bidi="ar-SA"/>
    </w:rPr>
  </w:style>
  <w:style w:type="character" w:styleId="1348" w:customStyle="1">
    <w:name w:val="fontstyle01"/>
    <w:basedOn w:val="935"/>
    <w:uiPriority w:val="0"/>
    <w:qFormat/>
    <w:rPr>
      <w:rFonts w:ascii="PingFangSC-Regular-Identity-H" w:hAnsi="PingFangSC-Regular-Identity-H"/>
      <w:color w:val="000008"/>
      <w:sz w:val="24"/>
      <w:szCs w:val="24"/>
    </w:rPr>
  </w:style>
  <w:style w:type="character" w:styleId="1349" w:customStyle="1">
    <w:name w:val="fontstyle21"/>
    <w:basedOn w:val="935"/>
    <w:uiPriority w:val="0"/>
    <w:qFormat/>
    <w:rPr>
      <w:rFonts w:ascii="TimesNewRomanPSMT" w:hAnsi="TimesNewRomanPSMT"/>
      <w:color w:val="000008"/>
      <w:sz w:val="24"/>
      <w:szCs w:val="24"/>
    </w:rPr>
  </w:style>
  <w:style w:type="character" w:styleId="1350" w:customStyle="1">
    <w:name w:val="fontstyle11"/>
    <w:basedOn w:val="935"/>
    <w:uiPriority w:val="0"/>
    <w:qFormat/>
    <w:rPr>
      <w:rFonts w:ascii="TimesNewRomanPSMT" w:hAnsi="TimesNewRomanPSMT"/>
      <w:color w:val="000008"/>
      <w:sz w:val="24"/>
      <w:szCs w:val="24"/>
    </w:rPr>
  </w:style>
  <w:style w:type="paragraph" w:styleId="1351" w:customStyle="1">
    <w:name w:val="页脚11"/>
    <w:basedOn w:val="782"/>
    <w:uiPriority w:val="99"/>
    <w:qFormat/>
    <w:pPr>
      <w:jc w:val="left"/>
      <w:tabs>
        <w:tab w:val="center" w:pos="4153" w:leader="none"/>
        <w:tab w:val="right" w:pos="8306" w:leader="none"/>
      </w:tabs>
    </w:pPr>
    <w:rPr>
      <w:sz w:val="18"/>
      <w:lang w:eastAsia="en-US"/>
    </w:rPr>
  </w:style>
  <w:style w:type="character" w:styleId="1352" w:customStyle="1">
    <w:name w:val="页脚 字符"/>
    <w:uiPriority w:val="99"/>
    <w:qFormat/>
    <w:rPr>
      <w:rFonts w:eastAsia="楷体_GB2312"/>
      <w:sz w:val="18"/>
    </w:rPr>
  </w:style>
  <w:style w:type="character" w:styleId="1353" w:customStyle="1">
    <w:name w:val="页眉 字符"/>
    <w:uiPriority w:val="99"/>
    <w:qFormat/>
    <w:rPr>
      <w:rFonts w:eastAsia="楷体_GB2312"/>
      <w:sz w:val="18"/>
    </w:rPr>
  </w:style>
  <w:style w:type="paragraph" w:styleId="1354" w:customStyle="1">
    <w:name w:val="样式 首行缩进:  2 字符"/>
    <w:basedOn w:val="782"/>
    <w:uiPriority w:val="0"/>
    <w:qFormat/>
    <w:pPr>
      <w:ind w:firstLine="560"/>
      <w:spacing w:line="360" w:lineRule="auto"/>
    </w:pPr>
    <w:rPr>
      <w:rFonts w:eastAsia="仿宋_GB2312" w:cs="宋体"/>
      <w:sz w:val="24"/>
    </w:rPr>
  </w:style>
  <w:style w:type="paragraph" w:styleId="1355" w:customStyle="1">
    <w:name w:val="无间隔1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356" w:customStyle="1">
    <w:name w:val="列出段落3"/>
    <w:basedOn w:val="782"/>
    <w:uiPriority w:val="0"/>
    <w:qFormat/>
    <w:pPr>
      <w:ind w:firstLine="420"/>
    </w:pPr>
    <w:rPr>
      <w:rFonts w:ascii="Calibri" w:hAnsi="Calibri" w:eastAsia="宋体"/>
      <w:szCs w:val="22"/>
    </w:rPr>
  </w:style>
  <w:style w:type="paragraph" w:styleId="1357" w:customStyle="1">
    <w:name w:val="_Style 62"/>
    <w:basedOn w:val="782"/>
    <w:next w:val="1059"/>
    <w:uiPriority w:val="34"/>
    <w:qFormat/>
    <w:pPr>
      <w:ind w:firstLine="420"/>
    </w:pPr>
    <w:rPr>
      <w:sz w:val="20"/>
    </w:rPr>
  </w:style>
  <w:style w:type="character" w:styleId="1358" w:customStyle="1">
    <w:name w:val="NormalCharacter1_0"/>
    <w:uiPriority w:val="0"/>
    <w:semiHidden/>
    <w:qFormat/>
  </w:style>
  <w:style w:type="paragraph" w:styleId="1359" w:customStyle="1">
    <w:name w:val="null3"/>
    <w:uiPriority w:val="0"/>
    <w:qFormat/>
    <w:rPr>
      <w:rFonts w:ascii="Calibri" w:hAnsi="Calibri" w:eastAsia="宋体" w:cs="Times New Roman"/>
      <w:lang w:val="en-US" w:eastAsia="zh-CN" w:bidi="ar-SA"/>
    </w:rPr>
  </w:style>
  <w:style w:type="paragraph" w:styleId="1360" w:customStyle="1">
    <w:name w:val="HtmlNormal1"/>
    <w:basedOn w:val="782"/>
    <w:uiPriority w:val="0"/>
    <w:qFormat/>
    <w:pPr>
      <w:jc w:val="left"/>
    </w:pPr>
    <w:rPr>
      <w:sz w:val="24"/>
    </w:rPr>
  </w:style>
  <w:style w:type="paragraph" w:styleId="1361" w:customStyle="1">
    <w:name w:val="修订1"/>
    <w:uiPriority w:val="99"/>
    <w:unhideWhenUsed/>
    <w:qFormat/>
    <w:rPr>
      <w:rFonts w:ascii="Times New Roman" w:hAnsi="Times New Roman" w:eastAsia="楷体_GB2312" w:cs="Times New Roman"/>
      <w:sz w:val="26"/>
      <w:lang w:val="en-US" w:eastAsia="zh-CN" w:bidi="ar-SA"/>
    </w:rPr>
  </w:style>
  <w:style w:type="character" w:styleId="1362" w:customStyle="1">
    <w:name w:val="hover"/>
    <w:basedOn w:val="845"/>
    <w:uiPriority w:val="0"/>
    <w:qFormat/>
    <w:rPr>
      <w:color w:val="5fb878"/>
    </w:rPr>
  </w:style>
  <w:style w:type="character" w:styleId="1363" w:customStyle="1">
    <w:name w:val="hover1"/>
    <w:basedOn w:val="845"/>
    <w:uiPriority w:val="0"/>
    <w:qFormat/>
    <w:rPr>
      <w:color w:val="ffffff"/>
    </w:rPr>
  </w:style>
  <w:style w:type="character" w:styleId="1364" w:customStyle="1">
    <w:name w:val="hover2"/>
    <w:basedOn w:val="845"/>
    <w:uiPriority w:val="0"/>
    <w:qFormat/>
    <w:rPr>
      <w:color w:val="5fb878"/>
    </w:rPr>
  </w:style>
  <w:style w:type="character" w:styleId="1365" w:customStyle="1">
    <w:name w:val="first-child"/>
    <w:basedOn w:val="845"/>
    <w:uiPriority w:val="0"/>
    <w:qFormat/>
  </w:style>
  <w:style w:type="character" w:styleId="1366" w:customStyle="1">
    <w:name w:val="layui-this2"/>
    <w:basedOn w:val="845"/>
    <w:uiPriority w:val="0"/>
    <w:qFormat/>
    <w:rPr>
      <w:shd w:val="clear" w:color="auto" w:fill="ffffff"/>
    </w:rPr>
  </w:style>
  <w:style w:type="character" w:styleId="1367" w:customStyle="1">
    <w:name w:val="active16"/>
    <w:basedOn w:val="792"/>
    <w:uiPriority w:val="0"/>
    <w:qFormat/>
    <w:rPr>
      <w:color w:val="ffffff"/>
      <w:shd w:val="clear" w:color="auto" w:fill="0f5bb9"/>
    </w:rPr>
  </w:style>
  <w:style w:type="paragraph" w:styleId="1368" w:customStyle="1">
    <w:name w:val="msonormalcxspmiddle"/>
    <w:basedOn w:val="782"/>
    <w:uiPriority w:val="0"/>
    <w:qFormat/>
    <w:pPr>
      <w:jc w:val="left"/>
      <w:spacing w:before="100" w:beforeAutospacing="1" w:after="100" w:afterAutospacing="1"/>
      <w:widowControl/>
    </w:pPr>
    <w:rPr>
      <w:rFonts w:hint="eastAsia" w:ascii="宋体" w:hAnsi="宋体"/>
      <w:sz w:val="24"/>
    </w:rPr>
  </w:style>
  <w:style w:type="paragraph" w:styleId="136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370" w:customStyle="1">
    <w:name w:val="Table Text"/>
    <w:uiPriority w:val="0"/>
    <w:semiHidden/>
    <w:qFormat/>
    <w:rPr>
      <w:rFonts w:ascii="宋体" w:hAnsi="宋体" w:eastAsia="宋体" w:cs="宋体"/>
      <w:color w:val="000000"/>
      <w:sz w:val="25"/>
      <w:szCs w:val="25"/>
      <w:lang w:val="en-US" w:eastAsia="en-US" w:bidi="ar-SA"/>
    </w:rPr>
  </w:style>
  <w:style w:type="character" w:styleId="1371" w:customStyle="1">
    <w:name w:val="批注框文本 Char1"/>
    <w:basedOn w:val="792"/>
    <w:link w:val="805"/>
    <w:uiPriority w:val="99"/>
    <w:semiHidden/>
    <w:qFormat/>
    <w:rPr>
      <w:rFonts w:eastAsia="楷体_GB2312"/>
      <w:sz w:val="18"/>
      <w:szCs w:val="18"/>
    </w:rPr>
  </w:style>
  <w:style w:type="character" w:styleId="1372" w:customStyle="1">
    <w:name w:val="批注文字 Char1"/>
    <w:basedOn w:val="792"/>
    <w:link w:val="797"/>
    <w:uiPriority w:val="0"/>
    <w:qFormat/>
    <w:rPr>
      <w:rFonts w:eastAsia="楷体_GB2312"/>
      <w:sz w:val="26"/>
    </w:rPr>
  </w:style>
  <w:style w:type="character" w:styleId="1373" w:customStyle="1">
    <w:name w:val="批注主题 Char"/>
    <w:basedOn w:val="1372"/>
    <w:link w:val="818"/>
    <w:uiPriority w:val="0"/>
    <w:qFormat/>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 Id="rId21" Type="http://schemas.openxmlformats.org/officeDocument/2006/relationships/image" Target="media/image2.emf"/><Relationship Id="rId2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35bdfe3d-8dd9-49da-8406-d3d958084fe9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2B1E7C22</paraID>
      <start>0</start>
      <end>4</end>
      <status>unmodified</status>
      <modifiedWord/>
      <trackRevisions>false</trackRevisions>
    </reviewItem>
    <reviewItem>
      <errorID>8f8fc72b-3124-41a1-9882-279f0504c9cc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43FDA11A</paraID>
      <start>113</start>
      <end>114</end>
      <status>unmodified</status>
      <modifiedWord/>
      <trackRevisions>false</trackRevisions>
    </reviewItem>
    <reviewItem>
      <errorID>ee800acf-e785-4e10-945a-80002a5c2130</errorID>
      <errorWord>：/。</errorWord>
      <group>L1_Punc</group>
      <groupName>标点问题</groupName>
      <ability>L2_Punc_CN</ability>
      <abilityName>标点符号问题</abilityName>
      <candidateList>
        <item>：</item>
      </candidateList>
      <explain/>
      <paraID>398CCC30</paraID>
      <start>18</start>
      <end>21</end>
      <status>unmodified</status>
      <modifiedWord/>
      <trackRevisions>false</trackRevisions>
    </reviewItem>
    <reviewItem>
      <errorID>b889c24d-380d-4846-8f81-cff47915306b</errorID>
      <errorWord>后</errorWord>
      <group>L1_Word</group>
      <groupName>字词问题</groupName>
      <ability>L2_Typo</ability>
      <abilityName>字词错误</abilityName>
      <candidateList>
        <item>后在</item>
      </candidateList>
      <explain/>
      <paraID>201759BE</paraID>
      <start>13</start>
      <end>14</end>
      <status>unmodified</status>
      <modifiedWord/>
      <trackRevisions>false</trackRevisions>
    </reviewItem>
    <reviewItem>
      <errorID>f6176676-cb2a-4773-aba9-b131e0be200e</errorID>
      <errorWord>后</errorWord>
      <group>L1_Word</group>
      <groupName>字词问题</groupName>
      <ability>L2_Typo</ability>
      <abilityName>字词错误</abilityName>
      <candidateList>
        <item>后在</item>
      </candidateList>
      <explain/>
      <paraID>30E41A55</paraID>
      <start>15</start>
      <end>16</end>
      <status>unmodified</status>
      <modifiedWord/>
      <trackRevisions>false</trackRevisions>
    </reviewItem>
    <reviewItem>
      <errorID>ae9de5ba-ba48-413a-b326-6ac48620d812</errorID>
      <errorWord>-</errorWord>
      <group>L1_Format</group>
      <groupName>格式问题</groupName>
      <ability>L2_HalfPunc_CN</ability>
      <abilityName>全半角问题</abilityName>
      <candidateList>
        <item>－</item>
      </candidateList>
      <explain>文本全半角错误。</explain>
      <paraID>192F13E0</paraID>
      <start>11</start>
      <end>12</end>
      <status>unmodified</status>
      <modifiedWord/>
      <trackRevisions>false</trackRevisions>
    </reviewItem>
    <reviewItem>
      <errorID>f2d9e5a9-b7d2-47c4-8f38-5c42c46816c6</errorID>
      <errorWord>-</errorWord>
      <group>L1_Format</group>
      <groupName>格式问题</groupName>
      <ability>L2_HalfPunc_CN</ability>
      <abilityName>全半角问题</abilityName>
      <candidateList>
        <item>－</item>
      </candidateList>
      <explain>文本全半角错误。</explain>
      <paraID>192F13E0</paraID>
      <start>12</start>
      <end>13</end>
      <status>unmodified</status>
      <modifiedWord/>
      <trackRevisions>false</trackRevisions>
    </reviewItem>
    <reviewItem>
      <errorID>129bce55-d942-4537-9f21-3d63a6b50721</errorID>
      <errorWord>-</errorWord>
      <group>L1_Format</group>
      <groupName>格式问题</groupName>
      <ability>L2_HalfPunc_CN</ability>
      <abilityName>全半角问题</abilityName>
      <candidateList>
        <item>－</item>
      </candidateList>
      <explain>文本全半角错误。</explain>
      <paraID>192F13E0</paraID>
      <start>38</start>
      <end>39</end>
      <status>unmodified</status>
      <modifiedWord/>
      <trackRevisions>false</trackRevisions>
    </reviewItem>
    <reviewItem>
      <errorID>770aa9fd-cb59-4d9b-b917-b7e09aaa5c5c</errorID>
      <errorWord>-</errorWord>
      <group>L1_Format</group>
      <groupName>格式问题</groupName>
      <ability>L2_HalfPunc_CN</ability>
      <abilityName>全半角问题</abilityName>
      <candidateList>
        <item>－</item>
      </candidateList>
      <explain>文本全半角错误。</explain>
      <paraID>192F13E0</paraID>
      <start>39</start>
      <end>40</end>
      <status>unmodified</status>
      <modifiedWord/>
      <trackRevisions>false</trackRevisions>
    </reviewItem>
    <reviewItem>
      <errorID>53a8e804-8de8-427a-9907-6c04b9911b28</errorID>
      <errorWord>“.</errorWord>
      <group>L1_Punc</group>
      <groupName>标点问题</groupName>
      <ability>L2_Punc_CN</ability>
      <abilityName>标点符号问题</abilityName>
      <candidateList>
        <item>“</item>
      </candidateList>
      <explain/>
      <paraID>192F13E0</paraID>
      <start>51</start>
      <end>53</end>
      <status>unmodified</status>
      <modifiedWord/>
      <trackRevisions>false</trackRevisions>
    </reviewItem>
    <reviewItem>
      <errorID>1a532abf-ed79-4b6e-b064-3a8da018bf39</errorID>
      <errorWord>“.</errorWord>
      <group>L1_Punc</group>
      <groupName>标点问题</groupName>
      <ability>L2_Punc_CN</ability>
      <abilityName>标点符号问题</abilityName>
      <candidateList>
        <item>“</item>
      </candidateList>
      <explain/>
      <paraID>192F13E0</paraID>
      <start>66</start>
      <end>68</end>
      <status>unmodified</status>
      <modifiedWord/>
      <trackRevisions>false</trackRevisions>
    </reviewItem>
    <reviewItem>
      <errorID>b8ecb527-7fc5-45fd-83dc-89987561b467</errorID>
      <errorWord>-</errorWord>
      <group>L1_Format</group>
      <groupName>格式问题</groupName>
      <ability>L2_HalfPunc_CN</ability>
      <abilityName>全半角问题</abilityName>
      <candidateList>
        <item>－</item>
      </candidateList>
      <explain>文本全半角错误。</explain>
      <paraID>192F13E0</paraID>
      <start>89</start>
      <end>90</end>
      <status>unmodified</status>
      <modifiedWord/>
      <trackRevisions>false</trackRevisions>
    </reviewItem>
    <reviewItem>
      <errorID>be30da71-67f4-46c3-b32f-e05deaa55259</errorID>
      <errorWord>-</errorWord>
      <group>L1_Format</group>
      <groupName>格式问题</groupName>
      <ability>L2_HalfPunc_CN</ability>
      <abilityName>全半角问题</abilityName>
      <candidateList>
        <item>－</item>
      </candidateList>
      <explain>文本全半角错误。</explain>
      <paraID>192F13E0</paraID>
      <start>90</start>
      <end>91</end>
      <status>unmodified</status>
      <modifiedWord/>
      <trackRevisions>false</trackRevisions>
    </reviewItem>
    <reviewItem>
      <errorID>72f5a63f-14ee-43fc-b23e-0a8578c8a45c</errorID>
      <errorWord>-</errorWord>
      <group>L1_Format</group>
      <groupName>格式问题</groupName>
      <ability>L2_HalfPunc_CN</ability>
      <abilityName>全半角问题</abilityName>
      <candidateList>
        <item>－</item>
      </candidateList>
      <explain>文本全半角错误。</explain>
      <paraID>192F13E0</paraID>
      <start>97</start>
      <end>98</end>
      <status>unmodified</status>
      <modifiedWord/>
      <trackRevisions>false</trackRevisions>
    </reviewItem>
    <reviewItem>
      <errorID>83eaf985-516a-4a71-8451-a6ea876e2bb8</errorID>
      <errorWord>-</errorWord>
      <group>L1_Format</group>
      <groupName>格式问题</groupName>
      <ability>L2_HalfPunc_CN</ability>
      <abilityName>全半角问题</abilityName>
      <candidateList>
        <item>－</item>
      </candidateList>
      <explain>文本全半角错误。</explain>
      <paraID>192F13E0</paraID>
      <start>98</start>
      <end>99</end>
      <status>unmodified</status>
      <modifiedWord/>
      <trackRevisions>false</trackRevisions>
    </reviewItem>
    <reviewItem>
      <errorID>9855f4cc-66c1-4150-bbc7-d1dae1812140</errorID>
      <errorWord>“.</errorWord>
      <group>L1_Punc</group>
      <groupName>标点问题</groupName>
      <ability>L2_Punc_CN</ability>
      <abilityName>标点符号问题</abilityName>
      <candidateList>
        <item>“</item>
      </candidateList>
      <explain/>
      <paraID>650B88F1</paraID>
      <start>12</start>
      <end>14</end>
      <status>unmodified</status>
      <modifiedWord/>
      <trackRevisions>false</trackRevisions>
    </reviewItem>
    <reviewItem>
      <errorID>a6352535-b5b8-440c-9882-39872652e53d</errorID>
      <errorWord>-</errorWord>
      <group>L1_Format</group>
      <groupName>格式问题</groupName>
      <ability>L2_HalfPunc_CN</ability>
      <abilityName>全半角问题</abilityName>
      <candidateList>
        <item>－</item>
      </candidateList>
      <explain>文本全半角错误。</explain>
      <paraID>650B88F1</paraID>
      <start>48</start>
      <end>49</end>
      <status>unmodified</status>
      <modifiedWord/>
      <trackRevisions>false</trackRevisions>
    </reviewItem>
    <reviewItem>
      <errorID>1e851b31-279f-4f23-b8a1-5e083c1a5b64</errorID>
      <errorWord>-</errorWord>
      <group>L1_Format</group>
      <groupName>格式问题</groupName>
      <ability>L2_HalfPunc_CN</ability>
      <abilityName>全半角问题</abilityName>
      <candidateList>
        <item>－</item>
      </candidateList>
      <explain>文本全半角错误。</explain>
      <paraID>650B88F1</paraID>
      <start>49</start>
      <end>50</end>
      <status>unmodified</status>
      <modifiedWord/>
      <trackRevisions>false</trackRevisions>
    </reviewItem>
    <reviewItem>
      <errorID>fe716159-39d1-494c-b1f8-72464c66f923</errorID>
      <errorWord>-</errorWord>
      <group>L1_Format</group>
      <groupName>格式问题</groupName>
      <ability>L2_HalfPunc_CN</ability>
      <abilityName>全半角问题</abilityName>
      <candidateList>
        <item>－</item>
      </candidateList>
      <explain>文本全半角错误。</explain>
      <paraID>650B88F1</paraID>
      <start>55</start>
      <end>56</end>
      <status>unmodified</status>
      <modifiedWord/>
      <trackRevisions>false</trackRevisions>
    </reviewItem>
    <reviewItem>
      <errorID>da4c46d9-00b2-4f96-be4e-e837b2c62a78</errorID>
      <errorWord>-</errorWord>
      <group>L1_Format</group>
      <groupName>格式问题</groupName>
      <ability>L2_HalfPunc_CN</ability>
      <abilityName>全半角问题</abilityName>
      <candidateList>
        <item>－</item>
      </candidateList>
      <explain>文本全半角错误。</explain>
      <paraID>650B88F1</paraID>
      <start>56</start>
      <end>57</end>
      <status>unmodified</status>
      <modifiedWord/>
      <trackRevisions>false</trackRevisions>
    </reviewItem>
    <reviewItem>
      <errorID>2d41130a-1d2a-42d4-8967-0f7441a9a703</errorID>
      <errorWord>目</errorWord>
      <group>L1_Word</group>
      <groupName>字词问题</groupName>
      <ability>L2_Typo</ability>
      <abilityName>字词错误</abilityName>
      <candidateList>
        <item>目以</item>
      </candidateList>
      <explain/>
      <paraID>4E39086B</paraID>
      <start>5</start>
      <end>6</end>
      <status>unmodified</status>
      <modifiedWord/>
      <trackRevisions>false</trackRevisions>
    </reviewItem>
    <reviewItem>
      <errorID>52df327f-1528-410a-bf2c-fe8182157bc3</errorID>
      <errorWord>费</errorWord>
      <group>L1_Word</group>
      <groupName>字词问题</groupName>
      <ability>L2_Typo</ability>
      <abilityName>字词错误</abilityName>
      <candidateList>
        <item>费以</item>
      </candidateList>
      <explain/>
      <paraID>4E39086B</paraID>
      <start>10</start>
      <end>11</end>
      <status>unmodified</status>
      <modifiedWord/>
      <trackRevisions>false</trackRevisions>
    </reviewItem>
    <reviewItem>
      <errorID>e878ea3e-b956-4b92-b878-d9029989ee58</errorID>
      <errorWord>50-100万</errorWord>
      <group>L1_Knowledge</group>
      <groupName>知识性问题</groupName>
      <ability>L2_Knowledge</ability>
      <abilityName>其他知识</abilityName>
      <candidateList>
        <item>50万—100万</item>
      </candidateList>
      <explain>1. “50-100万”中的单位“万”仅出现在后一个数字上，容易引起歧义；根据《现代汉语标点符号数字用法规范手册》，数字表示范围两边需要使用统一的格式。2.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1A555377</paraID>
      <start>0</start>
      <end>7</end>
      <status>unmodified</status>
      <modifiedWord/>
      <trackRevisions>false</trackRevisions>
    </reviewItem>
    <reviewItem>
      <errorID>1b64abb9-91b5-4b94-b76a-61bc610dcbdb</errorID>
      <errorWord>100-200万</errorWord>
      <group>L1_Knowledge</group>
      <groupName>知识性问题</groupName>
      <ability>L2_Knowledge</ability>
      <abilityName>其他知识</abilityName>
      <candidateList>
        <item>100万—200万</item>
      </candidateList>
      <explain>1. “100-200万”中的单位“万”仅出现在后一个数字上，容易引起歧义；根据《现代汉语标点符号数字用法规范手册》，数字表示范围两边需要使用统一的格式。2.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6E57D4E4</paraID>
      <start>0</start>
      <end>8</end>
      <status>unmodified</status>
      <modifiedWord/>
      <trackRevisions>false</trackRevisions>
    </reviewItem>
    <reviewItem>
      <errorID>96d0d425-568f-4a19-b5d1-7196dfcded42</errorID>
      <errorWord>200-300万</errorWord>
      <group>L1_Knowledge</group>
      <groupName>知识性问题</groupName>
      <ability>L2_Knowledge</ability>
      <abilityName>其他知识</abilityName>
      <candidateList>
        <item>200万—300万</item>
      </candidateList>
      <explain>1. “200-300万”中的单位“万”仅出现在后一个数字上，容易引起歧义；根据《现代汉语标点符号数字用法规范手册》，数字表示范围两边需要使用统一的格式。2.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6B022741</paraID>
      <start>0</start>
      <end>8</end>
      <status>unmodified</status>
      <modifiedWord/>
      <trackRevisions>false</trackRevisions>
    </reviewItem>
    <reviewItem>
      <errorID>f16444b0-507c-4f90-ad8c-2f2377e7bbdd</errorID>
      <errorWord>300-400万</errorWord>
      <group>L1_Knowledge</group>
      <groupName>知识性问题</groupName>
      <ability>L2_Knowledge</ability>
      <abilityName>其他知识</abilityName>
      <candidateList>
        <item>300万—400万</item>
      </candidateList>
      <explain>1. “300-400万”中的单位“万”仅出现在后一个数字上，容易引起歧义；根据《现代汉语标点符号数字用法规范手册》，数字表示范围两边需要使用统一的格式。2.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125685C2</paraID>
      <start>0</start>
      <end>8</end>
      <status>unmodified</status>
      <modifiedWord/>
      <trackRevisions>false</trackRevisions>
    </reviewItem>
    <reviewItem>
      <errorID>7bfa54ad-6589-43a7-824c-1ceb3769bb0d</errorID>
      <errorWord>400-500万</errorWord>
      <group>L1_Knowledge</group>
      <groupName>知识性问题</groupName>
      <ability>L2_Knowledge</ability>
      <abilityName>其他知识</abilityName>
      <candidateList>
        <item>400万—500万</item>
      </candidateList>
      <explain>1. “400-500万”中的单位“万”仅出现在后一个数字上，容易引起歧义；根据《现代汉语标点符号数字用法规范手册》，数字表示范围两边需要使用统一的格式。2.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59F4B100</paraID>
      <start>0</start>
      <end>8</end>
      <status>unmodified</status>
      <modifiedWord/>
      <trackRevisions>false</trackRevisions>
    </reviewItem>
    <reviewItem>
      <errorID>4bf49b0e-37bf-4de1-b40d-e9fd1319f6a6</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31B1209C</paraID>
      <start>0</start>
      <end>9</end>
      <status>unmodified</status>
      <modifiedWord/>
      <trackRevisions>false</trackRevisions>
    </reviewItem>
    <reviewItem>
      <errorID>b9238ed0-1231-4fc4-a71e-45cd5bc66ec1</errorID>
      <errorWord>期</errorWord>
      <group>L1_Word</group>
      <groupName>字词问题</groupName>
      <ability>L2_Typo</ability>
      <abilityName>字词错误</abilityName>
      <candidateList>
        <item>期内</item>
      </candidateList>
      <explain/>
      <paraID>604ED5F8</paraID>
      <start>12</start>
      <end>13</end>
      <status>unmodified</status>
      <modifiedWord/>
      <trackRevisions>false</trackRevisions>
    </reviewItem>
    <reviewItem>
      <errorID>54f8e8aa-406a-46bb-88f1-2b40a8940125</errorID>
      <errorWord>“.</errorWord>
      <group>L1_Punc</group>
      <groupName>标点问题</groupName>
      <ability>L2_Punc_CN</ability>
      <abilityName>标点符号问题</abilityName>
      <candidateList>
        <item>“</item>
      </candidateList>
      <explain/>
      <paraID>604ED5F8</paraID>
      <start>187</start>
      <end>189</end>
      <status>unmodified</status>
      <modifiedWord/>
      <trackRevisions>false</trackRevisions>
    </reviewItem>
    <reviewItem>
      <errorID>4571e23c-a976-469f-8af0-ca72a71120b4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2454F80F</paraID>
      <start>77</start>
      <end>81</end>
      <status>unmodified</status>
      <modifiedWord/>
      <trackRevisions>false</trackRevisions>
    </reviewItem>
    <reviewItem>
      <errorID>85a15842-6176-4dc5-bd4c-fe3b353af827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3943FE3C</paraID>
      <start>60</start>
      <end>64</end>
      <status>unmodified</status>
      <modifiedWord/>
      <trackRevisions>false</trackRevisions>
    </reviewItem>
    <reviewItem>
      <errorID>21d88ae7-3294-4479-955b-32eeb3e9f14d</errorID>
      <errorWord>在现场勘察</errorWord>
      <group>L1_Word</group>
      <groupName>字词问题</groupName>
      <ability>L2_Typo</ability>
      <abilityName>字词错误</abilityName>
      <candidateList>
        <item>在现场勘查</item>
      </candidateList>
      <explain/>
      <paraID>4516461B</paraID>
      <start>13</start>
      <end>18</end>
      <status>unmodified</status>
      <modifiedWord/>
      <trackRevisions>false</trackRevisions>
    </reviewItem>
    <reviewItem>
      <errorID>4e5e902a-1f0b-4ced-afdd-5489b8e76672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2CD98395</paraID>
      <start>22</start>
      <end>25</end>
      <status>unmodified</status>
      <modifiedWord/>
      <trackRevisions>false</trackRevisions>
    </reviewItem>
    <reviewItem>
      <errorID>650e90b3-081b-48d9-b6c3-5a8f8bed3f6b</errorID>
      <errorWord>保持通讯畅通</errorWord>
      <group>L1_Word</group>
      <groupName>字词问题</groupName>
      <ability>L2_Typo</ability>
      <abilityName>字词错误</abilityName>
      <candidateList>
        <item>保持通信畅通</item>
      </candidateList>
      <explain/>
      <paraID>1166476E</paraID>
      <start>16</start>
      <end>22</end>
      <status>unmodified</status>
      <modifiedWord/>
      <trackRevisions>false</trackRevisions>
    </reviewItem>
    <reviewItem>
      <errorID>c254da50-cd41-41a7-b484-fa1a142daf35</errorID>
      <errorWord>国家发改委</errorWord>
      <group>L1_Knowledge</group>
      <groupName>知识性问题</groupName>
      <ability>L2_Knowledge</ability>
      <abilityName>其他知识</abilityName>
      <candidateList>
        <item>国家发展改革委</item>
      </candidateList>
      <explain/>
      <paraID>3E4AF483</paraID>
      <start>14</start>
      <end>19</end>
      <status>unmodified</status>
      <modifiedWord/>
      <trackRevisions>false</trackRevisions>
    </reviewItem>
    <reviewItem>
      <errorID>2baeb377-05b9-4b8e-8c7e-e5ee22653a84</errorID>
      <errorWord>属</errorWord>
      <group>L1_Word</group>
      <groupName>字词问题</groupName>
      <ability>L2_Typo</ability>
      <abilityName>字词错误</abilityName>
      <candidateList>
        <item>属于</item>
      </candidateList>
      <explain/>
      <paraID> 84AD900</paraID>
      <start>18</start>
      <end>19</end>
      <status>unmodified</status>
      <modifiedWord/>
      <trackRevisions>false</trackRevisions>
    </reviewItem>
    <reviewItem>
      <errorID>4e5a3a68-2a29-47f6-acf2-d014c8317630</errorID>
      <errorWord>未有</errorWord>
      <group>L1_Word</group>
      <groupName>字词问题</groupName>
      <ability>L2_Typo</ability>
      <abilityName>字词错误</abilityName>
      <candidateList>
        <item>未</item>
      </candidateList>
      <explain>〈副〉❶没（跟“已”相对）：尚～成年｜健康仍～恢复。❷不：～便｜～敢苟同｜～可厚非。</explain>
      <paraID> 3BE4E16</paraID>
      <start>43</start>
      <end>45</end>
      <status>unmodified</status>
      <modifiedWord/>
      <trackRevisions>false</trackRevisions>
    </reviewItem>
    <reviewItem>
      <errorID>f93bd87d-ef94-46f3-803d-c197624868c9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521ACD5E</paraID>
      <start>102</start>
      <end>103</end>
      <status>unmodified</status>
      <modifiedWord/>
      <trackRevisions>false</trackRevisions>
    </reviewItem>
    <reviewItem>
      <errorID>f406f8a7-874e-4fb2-8ab1-067a82ce677b</errorID>
      <errorWord>,</errorWord>
      <group>L1_Format</group>
      <groupName>格式问题</groupName>
      <ability>L2_HalfPunc_CN</ability>
      <abilityName>全半角问题</abilityName>
      <candidateList>
        <item>，</item>
      </candidateList>
      <explain>文本全半角错误。</explain>
      <paraID>408F6B90</paraID>
      <start>61</start>
      <end>62</end>
      <status>unmodified</status>
      <modifiedWord/>
      <trackRevisions>false</trackRevisions>
    </reviewItem>
    <reviewItem>
      <errorID>0a482209-7473-4b75-9e3e-73228e8fa18f</errorID>
      <errorWord>《政府采购法》</errorWord>
      <group>L1_Word</group>
      <groupName>字词问题</groupName>
      <ability>L2_Typo</ability>
      <abilityName>字词错误</abilityName>
      <candidateList>
        <item>《中华人民共和国政府采购法》</item>
      </candidateList>
      <explain/>
      <paraID>408F6B90</paraID>
      <start>63</start>
      <end>70</end>
      <status>unmodified</status>
      <modifiedWord/>
      <trackRevisions>false</trackRevisions>
    </reviewItem>
    <reviewItem>
      <errorID>b292fc82-71c8-4d72-b756-dcebca0ebc13</errorID>
      <errorWord>适当地</errorWord>
      <group>L1_Word</group>
      <groupName>字词问题</groupName>
      <ability>L2_Typo</ability>
      <abilityName>字词错误</abilityName>
      <candidateList>
        <item>适当</item>
      </candidateList>
      <explain/>
      <paraID> 97C7A2A</paraID>
      <start>40</start>
      <end>43</end>
      <status>unmodified</status>
      <modifiedWord/>
      <trackRevisions>false</trackRevisions>
    </reviewItem>
    <reviewItem>
      <errorID>67d2554d-f920-49ee-8063-166301410ae3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653B2220</paraID>
      <start>84</start>
      <end>85</end>
      <status>unmodified</status>
      <modifiedWord/>
      <trackRevisions>false</trackRevisions>
    </reviewItem>
    <reviewItem>
      <errorID>0c6e67eb-329a-4ed5-9518-ce0dc63ba0e3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2B7EAEFD</paraID>
      <start>0</start>
      <end>2</end>
      <status>unmodified</status>
      <modifiedWord/>
      <trackRevisions>false</trackRevisions>
    </reviewItem>
    <reviewItem>
      <errorID>6fbe68d7-5c20-4252-a4ea-6b0f35789129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1F556B53</paraID>
      <start>111</start>
      <end>112</end>
      <status>unmodified</status>
      <modifiedWord/>
      <trackRevisions>false</trackRevisions>
    </reviewItem>
    <reviewItem>
      <errorID>3ea2de50-b8b5-4150-a517-cdd71bec1fc0</errorID>
      <errorWord>。。</errorWord>
      <group>L1_Punc</group>
      <groupName>标点问题</groupName>
      <ability>L2_Punc_CN</ability>
      <abilityName>标点符号问题</abilityName>
      <candidateList>
        <item>。</item>
      </candidateList>
      <explain/>
      <paraID>1F556B53</paraID>
      <start>112</start>
      <end>114</end>
      <status>unmodified</status>
      <modifiedWord/>
      <trackRevisions>false</trackRevisions>
    </reviewItem>
    <reviewItem>
      <errorID>126e6a9c-519d-45f3-829e-25ff3e55b6dc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7D1E1DBD</paraID>
      <start>0</start>
      <end>2</end>
      <status>unmodified</status>
      <modifiedWord/>
      <trackRevisions>false</trackRevisions>
    </reviewItem>
    <reviewItem>
      <errorID>6b71f8ec-8597-4483-989e-5910c7fa7da3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3830AFDA</paraID>
      <start>0</start>
      <end>2</end>
      <status>unmodified</status>
      <modifiedWord/>
      <trackRevisions>false</trackRevisions>
    </reviewItem>
    <reviewItem>
      <errorID>a1c76c00-08a3-4d49-8bb6-173770d9bb05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3830AFDA</paraID>
      <start>474</start>
      <end>475</end>
      <status>unmodified</status>
      <modifiedWord/>
      <trackRevisions>false</trackRevisions>
    </reviewItem>
    <reviewItem>
      <errorID>828d15c1-2825-4e2c-b6ce-629b2a555c96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1F418DB6</paraID>
      <start>0</start>
      <end>2</end>
      <status>unmodified</status>
      <modifiedWord/>
      <trackRevisions>false</trackRevisions>
    </reviewItem>
    <reviewItem>
      <errorID>3e5421ee-73bd-484c-b22d-898091fd9051</errorID>
      <errorWord>如若</errorWord>
      <group>L1_Word</group>
      <groupName>字词问题</groupName>
      <ability>L2_Typo</ability>
      <abilityName>字词错误</abilityName>
      <candidateList>
        <item>若</item>
      </candidateList>
      <explain/>
      <paraID>6B2E358C</paraID>
      <start>32</start>
      <end>34</end>
      <status>unmodified</status>
      <modifiedWord/>
      <trackRevisions>false</trackRevisions>
    </reviewItem>
    <reviewItem>
      <errorID>7902f9df-fac1-40cf-be07-9560744b2032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36DD9DCF</paraID>
      <start>0</start>
      <end>2</end>
      <status>unmodified</status>
      <modifiedWord/>
      <trackRevisions>false</trackRevisions>
    </reviewItem>
    <reviewItem>
      <errorID>0ef02292-8ee5-4840-bbd4-ff85fd32186a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6285BAB9</paraID>
      <start>0</start>
      <end>2</end>
      <status>unmodified</status>
      <modifiedWord/>
      <trackRevisions>false</trackRevisions>
    </reviewItem>
    <reviewItem>
      <errorID>a6aef193-33c8-4d00-97e1-f512ea6a6030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4843B878</paraID>
      <start>0</start>
      <end>2</end>
      <status>unmodified</status>
      <modifiedWord/>
      <trackRevisions>false</trackRevisions>
    </reviewItem>
    <reviewItem>
      <errorID>c2a26f49-a03f-4edd-99d1-774be3013fa8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56E14FA4</paraID>
      <start>64</start>
      <end>65</end>
      <status>unmodified</status>
      <modifiedWord/>
      <trackRevisions>false</trackRevisions>
    </reviewItem>
    <reviewItem>
      <errorID>7b1b84a7-9670-4600-afd9-6068e1fc2c7c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23E9F22B</paraID>
      <start>0</start>
      <end>2</end>
      <status>unmodified</status>
      <modifiedWord/>
      <trackRevisions>false</trackRevisions>
    </reviewItem>
    <reviewItem>
      <errorID>04a4593b-5816-493c-a445-9d9bad41834d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7BC53FBD</paraID>
      <start>0</start>
      <end>2</end>
      <status>unmodified</status>
      <modifiedWord/>
      <trackRevisions>false</trackRevisions>
    </reviewItem>
    <reviewItem>
      <errorID>69f223c6-779e-44ab-a614-92eac37b9804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57A483B9</paraID>
      <start>0</start>
      <end>2</end>
      <status>unmodified</status>
      <modifiedWord/>
      <trackRevisions>false</trackRevisions>
    </reviewItem>
    <reviewItem>
      <errorID>f2a34c2d-df8d-4139-af29-90286a8b0a1c</errorID>
      <errorWord>配置</errorWord>
      <group>L1_Word</group>
      <groupName>字词问题</groupName>
      <ability>L2_Typo</ability>
      <abilityName>字词错误</abilityName>
      <candidateList>
        <item>配制</item>
      </candidateList>
      <explain/>
      <paraID> 2BB6A28</paraID>
      <start>4</start>
      <end>6</end>
      <status>unmodified</status>
      <modifiedWord/>
      <trackRevisions>false</trackRevisions>
    </reviewItem>
    <reviewItem>
      <errorID>8956bfef-58e2-40d7-a05b-5bf6d4a66f40</errorID>
      <errorWord>配置</errorWord>
      <group>L1_Word</group>
      <groupName>字词问题</groupName>
      <ability>L2_Typo</ability>
      <abilityName>字词错误</abilityName>
      <candidateList>
        <item>配制</item>
      </candidateList>
      <explain/>
      <paraID> B5EC4E6</paraID>
      <start>121</start>
      <end>123</end>
      <status>unmodified</status>
      <modifiedWord/>
      <trackRevisions>false</trackRevisions>
    </reviewItem>
    <reviewItem>
      <errorID>98578640-9dac-4689-9b34-6786107b9330</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B5EC4E6</paraID>
      <start>166</start>
      <end>168</end>
      <status>unmodified</status>
      <modifiedWord/>
      <trackRevisions>false</trackRevisions>
    </reviewItem>
    <reviewItem>
      <errorID>06ad3373-9a2a-4691-8d87-16515e2cf902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3109B2F8</paraID>
      <start>0</start>
      <end>2</end>
      <status>unmodified</status>
      <modifiedWord/>
      <trackRevisions>false</trackRevisions>
    </reviewItem>
    <reviewItem>
      <errorID>19df38e9-7f69-43fa-8236-2f5b585bb981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2E5DD5D</paraID>
      <start>4</start>
      <end>7</end>
      <status>unmodified</status>
      <modifiedWord/>
      <trackRevisions>false</trackRevisions>
    </reviewItem>
    <reviewItem>
      <errorID>6979d286-0e24-4af9-89c7-4f6236ee669d</errorID>
      <errorWord>在现场勘察</errorWord>
      <group>L1_Word</group>
      <groupName>字词问题</groupName>
      <ability>L2_Typo</ability>
      <abilityName>字词错误</abilityName>
      <candidateList>
        <item>在现场勘查</item>
      </candidateList>
      <explain/>
      <paraID>2E5AC1B6</paraID>
      <start>5</start>
      <end>10</end>
      <status>unmodified</status>
      <modifiedWord/>
      <trackRevisions>false</trackRevisions>
    </reviewItem>
    <reviewItem>
      <errorID>19bdfb8e-eb88-486c-b5d9-a97d1b420ed8</errorID>
      <errorWord>&lt;</errorWord>
      <group>L1_Format</group>
      <groupName>格式问题</groupName>
      <ability>L2_HalfPunc_CN</ability>
      <abilityName>全半角问题</abilityName>
      <candidateList>
        <item>〈</item>
      </candidateList>
      <explain>文本全半角错误。</explain>
      <paraID>64224E37</paraID>
      <start>49</start>
      <end>50</end>
      <status>unmodified</status>
      <modifiedWord/>
      <trackRevisions>false</trackRevisions>
    </reviewItem>
    <reviewItem>
      <errorID>028b04aa-eef5-4f80-ae5a-f801511095ea</errorID>
      <errorWord>&lt;</errorWord>
      <group>L1_Format</group>
      <groupName>格式问题</groupName>
      <ability>L2_HalfPunc_CN</ability>
      <abilityName>全半角问题</abilityName>
      <candidateList>
        <item>〈</item>
      </candidateList>
      <explain>文本全半角错误。</explain>
      <paraID>21A5AA1D</paraID>
      <start>49</start>
      <end>50</end>
      <status>unmodified</status>
      <modifiedWord/>
      <trackRevisions>false</trackRevisions>
    </reviewItem>
    <reviewItem>
      <errorID>0fed76a7-1e82-49d7-af45-6bab9cc3681b</errorID>
      <errorWord>&lt;</errorWord>
      <group>L1_Format</group>
      <groupName>格式问题</groupName>
      <ability>L2_HalfPunc_CN</ability>
      <abilityName>全半角问题</abilityName>
      <candidateList>
        <item>〈</item>
      </candidateList>
      <explain>文本全半角错误。</explain>
      <paraID> 6489459</paraID>
      <start>34</start>
      <end>35</end>
      <status>unmodified</status>
      <modifiedWord/>
      <trackRevisions>false</trackRevisions>
    </reviewItem>
    <reviewItem>
      <errorID>94502530-dacb-4960-a30c-22963e870aa7</errorID>
      <errorWord>，</errorWord>
      <group>L1_Word</group>
      <groupName>字词问题</groupName>
      <ability>L2_Typo</ability>
      <abilityName>字词错误</abilityName>
      <candidateList>
        <item>，并</item>
      </candidateList>
      <explain/>
      <paraID>2594185C</paraID>
      <start>72</start>
      <end>73</end>
      <status>unmodified</status>
      <modifiedWord/>
      <trackRevisions>false</trackRevisions>
    </reviewItem>
    <reviewItem>
      <errorID>e20e606a-1f2e-435e-b03e-69faf7f39ca7</errorID>
      <errorWord>（</errorWord>
      <group>L1_Punc</group>
      <groupName>标点问题</groupName>
      <ability>L2_Punc_CN</ability>
      <abilityName>标点符号问题</abilityName>
      <candidateList/>
      <explain>同一形式括号套用。</explain>
      <paraID>578322D7</paraID>
      <start>0</start>
      <end>1</end>
      <status>unmodified</status>
      <modifiedWord/>
      <trackRevisions>false</trackRevisions>
    </reviewItem>
    <reviewItem>
      <errorID>f31435f7-1ae6-43b1-8532-694a38463acd</errorID>
      <errorWord>(</errorWord>
      <group>L1_Punc</group>
      <groupName>标点问题</groupName>
      <ability>L2_Punc_CN</ability>
      <abilityName>标点符号问题</abilityName>
      <candidateList/>
      <explain>同一形式括号套用。</explain>
      <paraID>578322D7</paraID>
      <start>23</start>
      <end>24</end>
      <status>unmodified</status>
      <modifiedWord/>
      <trackRevisions>false</trackRevisions>
    </reviewItem>
    <reviewItem>
      <errorID>79cda1b3-06c0-49e7-b09e-911c50a1fc26</errorID>
      <errorWord>)</errorWord>
      <group>L1_Punc</group>
      <groupName>标点问题</groupName>
      <ability>L2_Punc_CN</ability>
      <abilityName>标点符号问题</abilityName>
      <candidateList/>
      <explain>同一形式括号套用。</explain>
      <paraID>578322D7</paraID>
      <start>68</start>
      <end>69</end>
      <status>unmodified</status>
      <modifiedWord/>
      <trackRevisions>false</trackRevisions>
    </reviewItem>
    <reviewItem>
      <errorID>371dc8cf-238d-4117-b8be-1b8edf2cfd47</errorID>
      <errorWord>会</errorWord>
      <group>L1_Word</group>
      <groupName>字词问题</groupName>
      <ability>L2_Typo</ability>
      <abilityName>字词错误</abilityName>
      <candidateList>
        <item>会议</item>
      </candidateList>
      <explain/>
      <paraID>578322D7</paraID>
      <start>85</start>
      <end>86</end>
      <status>unmodified</status>
      <modifiedWord/>
      <trackRevisions>false</trackRevisions>
    </reviewItem>
    <reviewItem>
      <errorID>7d29131d-32b1-4b72-b516-5ac9961ecf77</errorID>
      <errorWord>(</errorWord>
      <group>L1_Punc</group>
      <groupName>标点问题</groupName>
      <ability>L2_Punc_CN</ability>
      <abilityName>标点符号问题</abilityName>
      <candidateList/>
      <explain>同一形式括号套用。</explain>
      <paraID>578322D7</paraID>
      <start>106</start>
      <end>107</end>
      <status>unmodified</status>
      <modifiedWord/>
      <trackRevisions>false</trackRevisions>
    </reviewItem>
    <reviewItem>
      <errorID>ea50cfe9-a38f-439b-aa9a-6cce5c8cc5c2</errorID>
      <errorWord>)</errorWord>
      <group>L1_Punc</group>
      <groupName>标点问题</groupName>
      <ability>L2_Punc_CN</ability>
      <abilityName>标点符号问题</abilityName>
      <candidateList/>
      <explain>同一形式括号套用。</explain>
      <paraID>578322D7</paraID>
      <start>121</start>
      <end>122</end>
      <status>unmodified</status>
      <modifiedWord/>
      <trackRevisions>false</trackRevisions>
    </reviewItem>
    <reviewItem>
      <errorID>597a95f3-5ce9-4c4a-9da2-297da7622433</errorID>
      <errorWord>）</errorWord>
      <group>L1_Punc</group>
      <groupName>标点问题</groupName>
      <ability>L2_Punc_CN</ability>
      <abilityName>标点符号问题</abilityName>
      <candidateList/>
      <explain>同一形式括号套用。</explain>
      <paraID>578322D7</paraID>
      <start>153</start>
      <end>154</end>
      <status>unmodified</status>
      <modifiedWord/>
      <trackRevisions>false</trackRevisions>
    </reviewItem>
    <reviewItem>
      <errorID>aced3bdb-1b4d-455b-be47-9c28aade0e47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1F01E019</paraID>
      <start>0</start>
      <end>2</end>
      <status>unmodified</status>
      <modifiedWord/>
      <trackRevisions>false</trackRevisions>
    </reviewItem>
    <reviewItem>
      <errorID>7e559c1c-a413-444b-a0d6-e356325e4163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1C86E040</paraID>
      <start>0</start>
      <end>2</end>
      <status>unmodified</status>
      <modifiedWord/>
      <trackRevisions>false</trackRevisions>
    </reviewItem>
    <reviewItem>
      <errorID>e55d7483-2bad-4220-8d6d-334928e9b297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66F6C95C</paraID>
      <start>0</start>
      <end>2</end>
      <status>unmodified</status>
      <modifiedWord/>
      <trackRevisions>false</trackRevisions>
    </reviewItem>
    <reviewItem>
      <errorID>4fae197f-2477-43bf-ac63-688aa121ee13</errorID>
      <errorWord>-</errorWord>
      <group>L1_Format</group>
      <groupName>格式问题</groupName>
      <ability>L2_HalfPunc_CN</ability>
      <abilityName>全半角问题</abilityName>
      <candidateList>
        <item>－</item>
      </candidateList>
      <explain>文本全半角错误。</explain>
      <paraID>55DCCFAF</paraID>
      <start>8</start>
      <end>9</end>
      <status>unmodified</status>
      <modifiedWord/>
      <trackRevisions>false</trackRevisions>
    </reviewItem>
    <reviewItem>
      <errorID>0307ec59-4cab-4df9-bfff-da4b773184dc</errorID>
      <errorWord>)</errorWord>
      <group>L1_Format</group>
      <groupName>格式问题</groupName>
      <ability>L2_HalfPunc_CN</ability>
      <abilityName>全半角问题</abilityName>
      <candidateList>
        <item>）</item>
      </candidateList>
      <explain>文本全半角错误。</explain>
      <paraID>55DCCFAF</paraID>
      <start>11</start>
      <end>12</end>
      <status>unmodified</status>
      <modifiedWord/>
      <trackRevisions>false</trackRevisions>
    </reviewItem>
    <reviewItem>
      <errorID>280652fd-d735-4056-8393-8be83c42c3f2</errorID>
      <errorWord>-</errorWord>
      <group>L1_Format</group>
      <groupName>格式问题</groupName>
      <ability>L2_HalfPunc_CN</ability>
      <abilityName>全半角问题</abilityName>
      <candidateList>
        <item>－</item>
      </candidateList>
      <explain>文本全半角错误。</explain>
      <paraID>55DCCFAF</paraID>
      <start>87</start>
      <end>88</end>
      <status>unmodified</status>
      <modifiedWord/>
      <trackRevisions>false</trackRevisions>
    </reviewItem>
    <reviewItem>
      <errorID>2f09b7d2-86de-4a3c-8079-b45506bc724c</errorID>
      <errorWord>符</errorWord>
      <group>L1_Word</group>
      <groupName>字词问题</groupName>
      <ability>L2_Typo</ability>
      <abilityName>字词错误</abilityName>
      <candidateList>
        <item>符合</item>
      </candidateList>
      <explain>〈动〉（数量、形状、情节等）相合：～事实｜这些产品不～质量标准。</explain>
      <paraID>2DAFB1CD</paraID>
      <start>74</start>
      <end>75</end>
      <status>unmodified</status>
      <modifiedWord/>
      <trackRevisions>false</trackRevisions>
    </reviewItem>
    <reviewItem>
      <errorID>c285a0fc-dff0-41d2-bc96-839528a90e15</errorID>
      <errorWord>符</errorWord>
      <group>L1_Word</group>
      <groupName>字词问题</groupName>
      <ability>L2_Typo</ability>
      <abilityName>字词错误</abilityName>
      <candidateList>
        <item>符合</item>
      </candidateList>
      <explain>〈动〉（数量、形状、情节等）相合：～事实｜这些产品不～质量标准。</explain>
      <paraID>491D51B7</paraID>
      <start>74</start>
      <end>75</end>
      <status>unmodified</status>
      <modifiedWord/>
      <trackRevisions>false</trackRevisions>
    </reviewItem>
    <reviewItem>
      <errorID>c2223f50-1ee5-419e-911c-b0981db1c751</errorID>
      <errorWord>符</errorWord>
      <group>L1_Word</group>
      <groupName>字词问题</groupName>
      <ability>L2_Typo</ability>
      <abilityName>字词错误</abilityName>
      <candidateList>
        <item>符合</item>
      </candidateList>
      <explain>〈动〉（数量、形状、情节等）相合：～事实｜这些产品不～质量标准。</explain>
      <paraID>28067832</paraID>
      <start>74</start>
      <end>75</end>
      <status>unmodified</status>
      <modifiedWord/>
      <trackRevisions>false</trackRevisions>
    </reviewItem>
    <reviewItem>
      <errorID>6e90ca9c-e0cf-495f-be80-9746c5fe9b1f</errorID>
      <errorWord>符</errorWord>
      <group>L1_Word</group>
      <groupName>字词问题</groupName>
      <ability>L2_Typo</ability>
      <abilityName>字词错误</abilityName>
      <candidateList>
        <item>符合</item>
      </candidateList>
      <explain>〈动〉（数量、形状、情节等）相合：～事实｜这些产品不～质量标准。</explain>
      <paraID>259ED388</paraID>
      <start>70</start>
      <end>71</end>
      <status>unmodified</status>
      <modifiedWord/>
      <trackRevisions>false</trackRevisions>
    </reviewItem>
    <reviewItem>
      <errorID>1247c252-2ce9-4620-89d6-50ca585b0522</errorID>
      <errorWord>符</errorWord>
      <group>L1_Word</group>
      <groupName>字词问题</groupName>
      <ability>L2_Typo</ability>
      <abilityName>字词错误</abilityName>
      <candidateList>
        <item>符合</item>
      </candidateList>
      <explain>〈动〉（数量、形状、情节等）相合：～事实｜这些产品不～质量标准。</explain>
      <paraID>7078D9C8</paraID>
      <start>70</start>
      <end>71</end>
      <status>unmodified</status>
      <modifiedWord/>
      <trackRevisions>false</trackRevisions>
    </reviewItem>
    <reviewItem>
      <errorID>3c47dbe1-3b6d-4776-af4b-6a1b5008c21e</errorID>
      <errorWord>符</errorWord>
      <group>L1_Word</group>
      <groupName>字词问题</groupName>
      <ability>L2_Typo</ability>
      <abilityName>字词错误</abilityName>
      <candidateList>
        <item>符合</item>
      </candidateList>
      <explain>〈动〉（数量、形状、情节等）相合：～事实｜这些产品不～质量标准。</explain>
      <paraID>75101032</paraID>
      <start>70</start>
      <end>71</end>
      <status>unmodified</status>
      <modifiedWord/>
      <trackRevisions>false</trackRevisions>
    </reviewItem>
    <reviewItem>
      <errorID>892466d7-8bb5-4b95-b15e-2e6bf05fdb0b</errorID>
      <errorWord>符</errorWord>
      <group>L1_Word</group>
      <groupName>字词问题</groupName>
      <ability>L2_Typo</ability>
      <abilityName>字词错误</abilityName>
      <candidateList>
        <item>符合</item>
      </candidateList>
      <explain>〈动〉（数量、形状、情节等）相合：～事实｜这些产品不～质量标准。</explain>
      <paraID>3D5CB6D9</paraID>
      <start>70</start>
      <end>71</end>
      <status>unmodified</status>
      <modifiedWord/>
      <trackRevisions>false</trackRevisions>
    </reviewItem>
    <reviewItem>
      <errorID>7c0cdd1a-cf85-4b35-afb7-70bec9775034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666B68CE</paraID>
      <start>0</start>
      <end>2</end>
      <status>unmodified</status>
      <modifiedWord/>
      <trackRevisions>false</trackRevisions>
    </reviewItem>
    <reviewItem>
      <errorID>108f94ca-f4fb-459f-968d-10be7df22fe4</errorID>
      <errorWord>[2011]300号</errorWord>
      <group>L1_Knowledge</group>
      <groupName>知识性问题</groupName>
      <ability>L2_Knowledge</ability>
      <abilityName>其他知识</abilityName>
      <candidateList>
        <item>〔2011〕300号</item>
      </candidateList>
      <explain>发文字号格式错误。</explain>
      <paraID>4206E2A5</paraID>
      <start>36</start>
      <end>46</end>
      <status>unmodified</status>
      <modifiedWord/>
      <trackRevisions>false</trackRevisions>
    </reviewItem>
    <reviewItem>
      <errorID>1ceb0164-2fb4-4c38-8328-fcf5f358e91c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96132F1</paraID>
      <start>0</start>
      <end>2</end>
      <status>unmodified</status>
      <modifiedWord/>
      <trackRevisions>false</trackRevisions>
    </reviewItem>
    <reviewItem>
      <errorID>347efc25-7d15-411f-b687-019024940c88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76252177</paraID>
      <start>0</start>
      <end>2</end>
      <status>unmodified</status>
      <modifiedWord/>
      <trackRevisions>false</trackRevisions>
    </reviewItem>
    <reviewItem>
      <errorID>1f42e356-1546-4f25-af62-54f007cc4149</errorID>
      <errorWord>(</errorWord>
      <group>L1_Format</group>
      <groupName>格式问题</groupName>
      <ability>L2_HalfPunc_CN</ability>
      <abilityName>全半角问题</abilityName>
      <candidateList>
        <item>（</item>
      </candidateList>
      <explain>文本全半角错误。</explain>
      <paraID>54043D20</paraID>
      <start>36</start>
      <end>37</end>
      <status>unmodified</status>
      <modifiedWord/>
      <trackRevisions>false</trackRevisions>
    </reviewItem>
    <reviewItem>
      <errorID>77a61bcd-8ef5-4ab8-a885-32e0e31359a7</errorID>
      <errorWord>)</errorWord>
      <group>L1_Format</group>
      <groupName>格式问题</groupName>
      <ability>L2_HalfPunc_CN</ability>
      <abilityName>全半角问题</abilityName>
      <candidateList>
        <item>）</item>
      </candidateList>
      <explain>文本全半角错误。</explain>
      <paraID>54043D20</paraID>
      <start>46</start>
      <end>47</end>
      <status>unmodified</status>
      <modifiedWord/>
      <trackRevisions>false</trackRevisions>
    </reviewItem>
    <reviewItem>
      <errorID>86bc0bab-857c-4e63-a58c-ff3ee70c619d</errorID>
      <errorWord>[2014]68号</errorWord>
      <group>L1_Knowledge</group>
      <groupName>知识性问题</groupName>
      <ability>L2_Knowledge</ability>
      <abilityName>其他知识</abilityName>
      <candidateList>
        <item>〔2014〕68号</item>
      </candidateList>
      <explain>发文字号格式错误。</explain>
      <paraID>22987341</paraID>
      <start>38</start>
      <end>47</end>
      <status>unmodified</status>
      <modifiedWord/>
      <trackRevisions>false</trackRevisions>
    </reviewItem>
    <reviewItem>
      <errorID>14c5cca6-0c6f-41b0-88af-d21ca48c112a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7F52BD43</paraID>
      <start>0</start>
      <end>2</end>
      <status>unmodified</status>
      <modifiedWord/>
      <trackRevisions>false</trackRevisions>
    </reviewItem>
    <reviewItem>
      <errorID>1738d08f-14e4-40df-b8b3-7bce8864aab5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4391622F</paraID>
      <start>0</start>
      <end>2</end>
      <status>unmodified</status>
      <modifiedWord/>
      <trackRevisions>false</trackRevisions>
    </reviewItem>
    <reviewItem>
      <errorID>7a46adbc-3b8b-45bf-8ed7-d37c2ea50d53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23941AB0</paraID>
      <start>0</start>
      <end>2</end>
      <status>unmodified</status>
      <modifiedWord/>
      <trackRevisions>false</trackRevisions>
    </reviewItem>
    <reviewItem>
      <errorID>76361fad-1719-46f4-964d-db1cc1041cd7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4A27DD7F</paraID>
      <start>0</start>
      <end>2</end>
      <status>unmodified</status>
      <modifiedWord/>
      <trackRevisions>false</trackRevisions>
    </reviewItem>
    <reviewItem>
      <errorID>4b718cfb-7135-47c8-9f38-00f014f3ca49</errorID>
      <errorWord>等</errorWord>
      <group>L1_Word</group>
      <groupName>字词问题</groupName>
      <ability>L2_Typo</ability>
      <abilityName>字词错误</abilityName>
      <candidateList>
        <item>的</item>
      </candidateList>
      <explain>“的”常用于连接修饰语与名词性中心语，表示属性、所属或描述。</explain>
      <paraID>789DC647</paraID>
      <start>15</start>
      <end>16</end>
      <status>unmodified</status>
      <modifiedWord/>
      <trackRevisions>false</trackRevisions>
    </reviewItem>
    <reviewItem>
      <errorID>43cda534-57ea-49de-b095-723f3807a215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60A21DF4</paraID>
      <start>112</start>
      <end>113</end>
      <status>unmodified</status>
      <modifiedWord/>
      <trackRevisions>false</trackRevisions>
    </reviewItem>
    <reviewItem>
      <errorID>10443749-2d9f-439c-a1f1-bf919b6c9523</errorID>
      <errorWord>未有</errorWord>
      <group>L1_Word</group>
      <groupName>字词问题</groupName>
      <ability>L2_Typo</ability>
      <abilityName>字词错误</abilityName>
      <candidateList>
        <item>未</item>
      </candidateList>
      <explain>〈副〉❶没（跟“已”相对）：尚～成年｜健康仍～恢复。❷不：～便｜～敢苟同｜～可厚非。</explain>
      <paraID>4DFF17F1</paraID>
      <start>42</start>
      <end>44</end>
      <status>unmodified</status>
      <modifiedWord/>
      <trackRevisions>false</trackRevisions>
    </reviewItem>
    <reviewItem>
      <errorID>599346af-26ce-49a0-b97a-95b5223e6a5d</errorID>
      <errorWord>法律、法规</errorWord>
      <group>L1_Word</group>
      <groupName>字词问题</groupName>
      <ability>L2_Typo</ability>
      <abilityName>字词错误</abilityName>
      <candidateList>
        <item>法律法规</item>
      </candidateList>
      <explain/>
      <paraID>16E26E64</paraID>
      <start>46</start>
      <end>51</end>
      <status>unmodified</status>
      <modifiedWord/>
      <trackRevisions>false</trackRevisions>
    </reviewItem>
    <reviewItem>
      <errorID>a540279f-9b95-4959-86c0-05de6ff4e504</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2D3829D8</paraID>
      <start>48</start>
      <end>49</end>
      <status>unmodified</status>
      <modifiedWord/>
      <trackRevisions>false</trackRevisions>
    </reviewItem>
    <reviewItem>
      <errorID>99f1ae2c-17e9-46f4-bb56-c5fe98fa3ff9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3A9C0688</paraID>
      <start>18</start>
      <end>21</end>
      <status>unmodified</status>
      <modifiedWord/>
      <trackRevisions>false</trackRevisions>
    </reviewItem>
    <reviewItem>
      <errorID>7763a86f-27f2-4d55-96f9-37e45dee9380</errorID>
      <errorWord>土壤污染防治法</errorWord>
      <group>L1_Knowledge</group>
      <groupName>知识性问题</groupName>
      <ability>L2_Knowledge</ability>
      <abilityName>其他知识</abilityName>
      <candidateList>
        <item>中华人民共和国土壤污染防治法</item>
      </candidateList>
      <explain>当前法律法规名称使用简称，请注意是否应当使用全称。</explain>
      <paraID>20CF91C0</paraID>
      <start>47</start>
      <end>54</end>
      <status>unmodified</status>
      <modifiedWord/>
      <trackRevisions>false</trackRevisions>
    </reviewItem>
    <reviewItem>
      <errorID>37b2c6b6-ea8a-4acd-89dd-a48ca691ca59</errorID>
      <errorWord>使用</errorWord>
      <group>L1_Grammar</group>
      <groupName>语法问题</groupName>
      <ability>L2_Grammar</ability>
      <abilityName>语法错误</abilityName>
      <candidateList>
        <item>采取</item>
      </candidateList>
      <explain>“使用～措施”搭配不当，建议修改为“采取～措施”。</explain>
      <paraID>4D297F47</paraID>
      <start>39</start>
      <end>41</end>
      <status>unmodified</status>
      <modifiedWord/>
      <trackRevisions>false</trackRevisions>
    </reviewItem>
    <reviewItem>
      <errorID>1fea2338-0245-4afa-986a-888cf523061c</errorID>
      <errorWord>*</errorWord>
      <group>L1_Punc</group>
      <groupName>标点问题</groupName>
      <ability>L2_Punc_CN</ability>
      <abilityName>标点符号问题</abilityName>
      <candidateList/>
      <explain/>
      <paraID>4052F0D6</paraID>
      <start>0</start>
      <end>1</end>
      <status>unmodified</status>
      <modifiedWord/>
      <trackRevisions>false</trackRevisions>
    </reviewItem>
    <reviewItem>
      <errorID>8f9bbdd9-444d-4706-865f-1fe9b36a6825</errorID>
      <errorWord>未有</errorWord>
      <group>L1_Word</group>
      <groupName>字词问题</groupName>
      <ability>L2_Typo</ability>
      <abilityName>字词错误</abilityName>
      <candidateList>
        <item>未</item>
      </candidateList>
      <explain>〈副〉❶没（跟“已”相对）：尚～成年｜健康仍～恢复。❷不：～便｜～敢苟同｜～可厚非。</explain>
      <paraID>36451FA1</paraID>
      <start>43</start>
      <end>45</end>
      <status>unmodified</status>
      <modifiedWord/>
      <trackRevisions>false</trackRevisions>
    </reviewItem>
    <reviewItem>
      <errorID>93f04b76-cd40-4a38-b81f-36b44ae0c13c</errorID>
      <errorWord>：/</errorWord>
      <group>L1_Punc</group>
      <groupName>标点问题</groupName>
      <ability>L2_Punc_CN</ability>
      <abilityName>标点符号问题</abilityName>
      <candidateList>
        <item>：</item>
      </candidateList>
      <explain/>
      <paraID>453A5CAD</paraID>
      <start>17</start>
      <end>19</end>
      <status>unmodified</status>
      <modifiedWord/>
      <trackRevisions>false</trackRevisions>
    </reviewItem>
    <reviewItem>
      <errorID>f96f21f0-d519-461f-97ee-c01c1e9f69fb</errorID>
      <errorWord>:/</errorWord>
      <group>L1_Punc</group>
      <groupName>标点问题</groupName>
      <ability>L2_Punc_CN</ability>
      <abilityName>标点符号问题</abilityName>
      <candidateList>
        <item>:</item>
      </candidateList>
      <explain/>
      <paraID>25AAA5C0</paraID>
      <start>16</start>
      <end>18</end>
      <status>unmodified</status>
      <modifiedWord/>
      <trackRevisions>false</trackRevisions>
    </reviewItem>
    <reviewItem>
      <errorID>79dc07c1-a05c-4c8f-9c42-60b4fb86e452</errorID>
      <errorWord>须</errorWord>
      <group>L1_Word</group>
      <groupName>字词问题</groupName>
      <ability>L2_Typo</ability>
      <abilityName>字词错误</abilityName>
      <candidateList>
        <item>需</item>
      </candidateList>
      <explain>存在发音相同字词的误用。</explain>
      <paraID>32FA6AAB</paraID>
      <start>12</start>
      <end>13</end>
      <status>unmodified</status>
      <modifiedWord/>
      <trackRevisions>false</trackRevisions>
    </reviewItem>
    <reviewItem>
      <errorID>341b4124-f6e6-41e1-8dc4-3739ba12dccd</errorID>
      <errorWord>项目的</errorWord>
      <group>L1_Word</group>
      <groupName>字词问题</groupName>
      <ability>L2_Typo</ability>
      <abilityName>字词错误</abilityName>
      <candidateList>
        <item>项目</item>
      </candidateList>
      <explain>〈名〉事物分成的门类：服务～｜体育～｜建设～。</explain>
      <paraID>398C64B6</paraID>
      <start>25</start>
      <end>28</end>
      <status>unmodified</status>
      <modifiedWord/>
      <trackRevisions>false</trackRevisions>
    </reviewItem>
    <reviewItem>
      <errorID>0b48bd10-1131-4756-a1da-c08df42f8f62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2679322C</paraID>
      <start>27</start>
      <end>31</end>
      <status>unmodified</status>
      <modifiedWord/>
      <trackRevisions>false</trackRevisions>
    </reviewItem>
    <reviewItem>
      <errorID>7035b00f-1b7d-401c-bf2e-7647c3c2ceca</errorID>
      <errorWord>......</errorWord>
      <group>L1_Punc</group>
      <groupName>标点问题</groupName>
      <ability>L2_Punc_CN</ability>
      <abilityName>标点符号问题</abilityName>
      <candidateList>
        <item>……</item>
      </candidateList>
      <explain/>
      <paraID>1626420C</paraID>
      <start>0</start>
      <end>6</end>
      <status>unmodified</status>
      <modifiedWord/>
      <trackRevisions>false</trackRevisions>
    </reviewItem>
    <reviewItem>
      <errorID>7568ea2d-b32d-4424-87dc-6d57c9f5b5f7</errorID>
      <errorWord>：]</errorWord>
      <group>L1_Punc</group>
      <groupName>标点问题</groupName>
      <ability>L2_Punc_CN</ability>
      <abilityName>标点符号问题</abilityName>
      <candidateList>
        <item>]</item>
      </candidateList>
      <explain/>
      <paraID>4FC74264</paraID>
      <start>56</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D73ED-0E00-4D20-91B9-A169579669FA}"/>
</file>

<file path=customXml/itemProps2.xml><?xml version="1.0" encoding="utf-8"?>
<ds:datastoreItem xmlns:ds="http://schemas.openxmlformats.org/officeDocument/2006/customXml" ds:itemID="{A44CCC32-7295-4D97-8511-C9C1F4DDD7EF}"/>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秋家</dc:creator>
  <cp:lastModifiedBy>徐军</cp:lastModifiedBy>
  <cp:revision>105</cp:revision>
  <dcterms:created xsi:type="dcterms:W3CDTF">2025-07-30T04:16:00Z</dcterms:created>
  <dcterms:modified xsi:type="dcterms:W3CDTF">2026-08-04T00:41:14Z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eyJoZGlkIjoiZmQyMzgzMjg3MzcxNDJjZGFjNDRhZjJhNTliYWM4MjIiLCJ1c2VySWQiOiI3NDc1Nzc1MjMifQ==</vt:lpwstr>
  </property>
  <property fmtid="{D5CDD505-2E9C-101B-9397-08002B2CF9AE}" pid="3" name="KSOProductBuildVer">
    <vt:lpwstr>2052-12.1.0.26895</vt:lpwstr>
  </property>
  <property fmtid="{D5CDD505-2E9C-101B-9397-08002B2CF9AE}" pid="4" name="ICV">
    <vt:lpwstr>563AE91FFF1F41499503FF23B05F0E0F_13</vt:lpwstr>
  </property>
</Properties>
</file>