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color w:val="auto"/>
          <w:sz w:val="32"/>
          <w:szCs w:val="32"/>
          <w:highlight w:val="none"/>
        </w:rPr>
      </w:pPr>
      <w:r>
        <w:rPr>
          <w:b/>
          <w:color w:val="auto"/>
          <w:sz w:val="32"/>
          <w:szCs w:val="32"/>
          <w:highlight w:val="none"/>
        </w:rPr>
      </w:r>
      <w:r/>
    </w:p>
    <w:p>
      <w:pPr>
        <w:jc w:val="center"/>
        <w:rPr>
          <w:b/>
          <w:color w:val="auto"/>
          <w:sz w:val="36"/>
          <w:szCs w:val="36"/>
          <w:highlight w:val="none"/>
        </w:rPr>
      </w:pPr>
      <w:r>
        <w:rPr>
          <w:b/>
          <w:color w:val="auto"/>
          <w:sz w:val="36"/>
          <w:szCs w:val="36"/>
          <w:highlight w:val="none"/>
        </w:rPr>
      </w:r>
      <w:r/>
    </w:p>
    <w:p>
      <w:pPr>
        <w:jc w:val="center"/>
        <w:rPr>
          <w:b/>
          <w:color w:val="auto"/>
          <w:sz w:val="36"/>
          <w:szCs w:val="36"/>
          <w:highlight w:val="none"/>
        </w:rPr>
      </w:pPr>
      <w:r>
        <w:rPr>
          <w:b/>
          <w:color w:val="auto"/>
          <w:sz w:val="36"/>
          <w:szCs w:val="36"/>
          <w:highlight w:val="none"/>
        </w:rPr>
      </w:r>
      <w:r/>
    </w:p>
    <w:p>
      <w:pPr>
        <w:pStyle w:val="891"/>
        <w:ind w:firstLine="0"/>
        <w:jc w:val="center"/>
        <w:spacing w:line="240" w:lineRule="auto"/>
        <w:rPr>
          <w:rFonts w:ascii="微软雅黑" w:eastAsia="微软雅黑"/>
          <w:bCs/>
          <w:color w:val="auto"/>
          <w:sz w:val="52"/>
          <w:szCs w:val="52"/>
          <w:highlight w:val="none"/>
        </w:rPr>
      </w:pPr>
      <w:r>
        <w:rPr>
          <w:rFonts w:hint="eastAsia" w:ascii="微软雅黑" w:eastAsia="微软雅黑"/>
          <w:bCs/>
          <w:color w:val="auto"/>
          <w:sz w:val="52"/>
          <w:szCs w:val="52"/>
          <w:highlight w:val="none"/>
        </w:rPr>
        <w:t xml:space="preserve">如皋市政府采购竞争性磋商文件</w:t>
      </w:r>
      <w:r/>
    </w:p>
    <w:p>
      <w:pPr>
        <w:pStyle w:val="891"/>
        <w:ind w:firstLine="0"/>
        <w:spacing w:line="240" w:lineRule="auto"/>
        <w:rPr>
          <w:b/>
          <w:bCs/>
          <w:color w:val="auto"/>
          <w:sz w:val="32"/>
          <w:highlight w:val="none"/>
        </w:rPr>
      </w:pPr>
      <w:r>
        <w:rPr>
          <w:b/>
          <w:bCs/>
          <w:color w:val="auto"/>
          <w:sz w:val="32"/>
          <w:highlight w:val="none"/>
        </w:rPr>
      </w:r>
      <w:r/>
    </w:p>
    <w:p>
      <w:pPr>
        <w:pStyle w:val="891"/>
        <w:ind w:firstLine="0"/>
        <w:spacing w:line="240" w:lineRule="auto"/>
        <w:rPr>
          <w:b/>
          <w:bCs/>
          <w:color w:val="auto"/>
          <w:sz w:val="32"/>
          <w:highlight w:val="none"/>
        </w:rPr>
      </w:pPr>
      <w:r>
        <w:rPr>
          <w:b/>
          <w:bCs/>
          <w:color w:val="auto"/>
          <w:sz w:val="32"/>
          <w:highlight w:val="none"/>
        </w:rPr>
      </w:r>
      <w:r/>
    </w:p>
    <w:p>
      <w:pPr>
        <w:pStyle w:val="891"/>
        <w:ind w:firstLine="0"/>
        <w:jc w:val="center"/>
        <w:spacing w:line="240" w:lineRule="auto"/>
        <w:rPr>
          <w:b/>
          <w:bCs/>
          <w:color w:val="auto"/>
          <w:sz w:val="32"/>
          <w:highlight w:val="none"/>
        </w:rPr>
      </w:pPr>
      <w:r>
        <w:rPr>
          <w:b/>
          <w:bCs/>
          <w:color w:val="auto"/>
          <w:sz w:val="32"/>
          <w:highlight w:val="none"/>
        </w:rPr>
        <w:t xml:space="preserve">项目名称</w:t>
      </w:r>
      <w:r>
        <w:rPr>
          <w:rFonts w:hint="eastAsia"/>
          <w:b/>
          <w:bCs/>
          <w:color w:val="auto"/>
          <w:sz w:val="32"/>
          <w:highlight w:val="none"/>
        </w:rPr>
        <w:t xml:space="preserve">：如皋市如城街道安置区生活垃圾清运外包</w:t>
      </w:r>
      <w:r/>
    </w:p>
    <w:p>
      <w:pPr>
        <w:pStyle w:val="891"/>
        <w:ind w:firstLine="1606"/>
        <w:jc w:val="both"/>
        <w:spacing w:line="240" w:lineRule="auto"/>
        <w:rPr>
          <w:b/>
          <w:bCs/>
          <w:color w:val="auto"/>
          <w:sz w:val="32"/>
          <w:highlight w:val="none"/>
        </w:rPr>
      </w:pPr>
      <w:r>
        <w:rPr>
          <w:b/>
          <w:bCs/>
          <w:color w:val="auto"/>
          <w:sz w:val="32"/>
          <w:highlight w:val="none"/>
        </w:rPr>
      </w:r>
      <w:r/>
    </w:p>
    <w:p>
      <w:pPr>
        <w:pStyle w:val="891"/>
        <w:ind w:firstLine="1054"/>
        <w:jc w:val="both"/>
        <w:spacing w:line="240" w:lineRule="auto"/>
        <w:rPr>
          <w:b/>
          <w:bCs/>
          <w:color w:val="auto"/>
          <w:sz w:val="32"/>
          <w:highlight w:val="none"/>
          <w:u w:val="single"/>
        </w:rPr>
      </w:pPr>
      <w:r>
        <w:rPr>
          <w:rFonts w:hint="eastAsia"/>
          <w:b/>
          <w:bCs/>
          <w:color w:val="auto"/>
          <w:sz w:val="32"/>
          <w:highlight w:val="none"/>
        </w:rPr>
        <w:t xml:space="preserve">项目编号：JSZC-320682-NTJW-C2026-0027</w:t>
      </w:r>
      <w:r/>
    </w:p>
    <w:p>
      <w:pPr>
        <w:pStyle w:val="891"/>
        <w:ind w:firstLine="0"/>
        <w:jc w:val="center"/>
        <w:spacing w:line="240" w:lineRule="auto"/>
        <w:rPr>
          <w:b/>
          <w:bCs/>
          <w:color w:val="auto"/>
          <w:sz w:val="32"/>
          <w:highlight w:val="none"/>
        </w:rPr>
      </w:pPr>
      <w:r>
        <w:rPr>
          <w:b/>
          <w:bCs/>
          <w:color w:val="auto"/>
          <w:sz w:val="32"/>
          <w:highlight w:val="none"/>
        </w:rPr>
      </w:r>
      <w:r/>
    </w:p>
    <w:p>
      <w:pPr>
        <w:pStyle w:val="891"/>
        <w:ind w:firstLine="0"/>
        <w:jc w:val="center"/>
        <w:spacing w:line="240" w:lineRule="auto"/>
        <w:rPr>
          <w:b/>
          <w:bCs/>
          <w:color w:val="auto"/>
          <w:sz w:val="32"/>
          <w:highlight w:val="none"/>
        </w:rPr>
      </w:pPr>
      <w:r>
        <w:rPr>
          <w:b/>
          <w:bCs/>
          <w:color w:val="auto"/>
          <w:sz w:val="32"/>
          <w:highlight w:val="none"/>
        </w:rPr>
      </w:r>
      <w:r/>
    </w:p>
    <w:p>
      <w:pPr>
        <w:pStyle w:val="891"/>
        <w:ind w:firstLine="0"/>
        <w:jc w:val="center"/>
        <w:spacing w:line="240" w:lineRule="auto"/>
        <w:rPr>
          <w:b/>
          <w:bCs/>
          <w:color w:val="auto"/>
          <w:sz w:val="32"/>
          <w:highlight w:val="none"/>
        </w:rPr>
      </w:pPr>
      <w:r>
        <w:rPr>
          <w:b/>
          <w:bCs/>
          <w:color w:val="auto"/>
          <w:sz w:val="32"/>
          <w:highlight w:val="none"/>
        </w:rPr>
      </w:r>
      <w:r/>
    </w:p>
    <w:p>
      <w:pPr>
        <w:pStyle w:val="891"/>
        <w:ind w:firstLine="0"/>
        <w:jc w:val="center"/>
        <w:spacing w:line="240" w:lineRule="auto"/>
        <w:rPr>
          <w:b/>
          <w:bCs/>
          <w:color w:val="auto"/>
          <w:sz w:val="32"/>
          <w:highlight w:val="none"/>
        </w:rPr>
      </w:pPr>
      <w:r>
        <w:rPr>
          <w:b/>
          <w:bCs/>
          <w:color w:val="auto"/>
          <w:sz w:val="32"/>
          <w:highlight w:val="none"/>
        </w:rPr>
      </w:r>
      <w:r/>
    </w:p>
    <w:p>
      <w:pPr>
        <w:pStyle w:val="891"/>
        <w:ind w:firstLine="0"/>
        <w:jc w:val="center"/>
        <w:spacing w:line="240" w:lineRule="auto"/>
        <w:rPr>
          <w:b/>
          <w:bCs/>
          <w:color w:val="auto"/>
          <w:sz w:val="32"/>
          <w:highlight w:val="none"/>
        </w:rPr>
      </w:pPr>
      <w:r>
        <w:rPr>
          <w:b/>
          <w:bCs/>
          <w:color w:val="auto"/>
          <w:sz w:val="32"/>
          <w:highlight w:val="none"/>
        </w:rPr>
      </w:r>
      <w:r/>
    </w:p>
    <w:p>
      <w:pPr>
        <w:pStyle w:val="891"/>
        <w:ind w:firstLine="0"/>
        <w:jc w:val="center"/>
        <w:spacing w:line="240" w:lineRule="auto"/>
        <w:rPr>
          <w:b/>
          <w:bCs/>
          <w:color w:val="auto"/>
          <w:sz w:val="32"/>
          <w:highlight w:val="none"/>
        </w:rPr>
      </w:pPr>
      <w:r>
        <w:rPr>
          <w:b/>
          <w:bCs/>
          <w:color w:val="auto"/>
          <w:sz w:val="32"/>
          <w:highlight w:val="none"/>
        </w:rPr>
      </w:r>
      <w:r/>
    </w:p>
    <w:p>
      <w:pPr>
        <w:pStyle w:val="891"/>
        <w:ind w:firstLine="0"/>
        <w:jc w:val="center"/>
        <w:spacing w:line="240" w:lineRule="auto"/>
        <w:rPr>
          <w:b/>
          <w:bCs/>
          <w:color w:val="auto"/>
          <w:sz w:val="32"/>
          <w:highlight w:val="none"/>
        </w:rPr>
      </w:pPr>
      <w:r>
        <w:rPr>
          <w:b/>
          <w:bCs/>
          <w:color w:val="auto"/>
          <w:sz w:val="32"/>
          <w:highlight w:val="none"/>
        </w:rPr>
      </w:r>
      <w:r/>
    </w:p>
    <w:p>
      <w:pPr>
        <w:pStyle w:val="891"/>
        <w:ind w:firstLine="0"/>
        <w:jc w:val="center"/>
        <w:spacing w:line="240" w:lineRule="auto"/>
        <w:rPr>
          <w:b/>
          <w:bCs/>
          <w:color w:val="auto"/>
          <w:sz w:val="32"/>
          <w:highlight w:val="none"/>
        </w:rPr>
      </w:pPr>
      <w:r>
        <w:rPr>
          <w:b/>
          <w:bCs/>
          <w:color w:val="auto"/>
          <w:sz w:val="32"/>
          <w:highlight w:val="none"/>
        </w:rPr>
      </w:r>
      <w:r/>
    </w:p>
    <w:p>
      <w:pPr>
        <w:pStyle w:val="891"/>
        <w:ind w:firstLine="0"/>
        <w:jc w:val="center"/>
        <w:spacing w:line="240" w:lineRule="auto"/>
        <w:rPr>
          <w:b/>
          <w:bCs/>
          <w:color w:val="auto"/>
          <w:sz w:val="32"/>
          <w:highlight w:val="none"/>
        </w:rPr>
      </w:pPr>
      <w:r>
        <w:rPr>
          <w:b/>
          <w:bCs/>
          <w:color w:val="auto"/>
          <w:sz w:val="32"/>
          <w:highlight w:val="none"/>
        </w:rPr>
      </w:r>
      <w:r/>
    </w:p>
    <w:p>
      <w:pPr>
        <w:pStyle w:val="891"/>
        <w:ind w:firstLine="0"/>
        <w:jc w:val="center"/>
        <w:spacing w:line="240" w:lineRule="auto"/>
        <w:rPr>
          <w:b/>
          <w:bCs/>
          <w:color w:val="auto"/>
          <w:sz w:val="32"/>
          <w:highlight w:val="none"/>
        </w:rPr>
      </w:pPr>
      <w:r>
        <w:rPr>
          <w:b/>
          <w:bCs/>
          <w:color w:val="auto"/>
          <w:sz w:val="32"/>
          <w:highlight w:val="none"/>
        </w:rPr>
      </w:r>
      <w:r/>
    </w:p>
    <w:p>
      <w:pPr>
        <w:pStyle w:val="891"/>
        <w:ind w:firstLine="851"/>
        <w:spacing w:line="240" w:lineRule="auto"/>
        <w:rPr>
          <w:b/>
          <w:bCs/>
          <w:color w:val="auto"/>
          <w:sz w:val="32"/>
          <w:highlight w:val="none"/>
        </w:rPr>
      </w:pPr>
      <w:r>
        <w:rPr>
          <w:rFonts w:hint="eastAsia"/>
          <w:b/>
          <w:bCs/>
          <w:color w:val="auto"/>
          <w:sz w:val="32"/>
          <w:highlight w:val="none"/>
        </w:rPr>
        <w:t xml:space="preserve">采购人名称：如皋市人民政府如城街道办事处</w:t>
      </w:r>
      <w:r/>
    </w:p>
    <w:p>
      <w:pPr>
        <w:pStyle w:val="891"/>
        <w:ind w:firstLine="851"/>
        <w:spacing w:line="240" w:lineRule="auto"/>
        <w:rPr>
          <w:b/>
          <w:bCs/>
          <w:color w:val="auto"/>
          <w:sz w:val="32"/>
          <w:highlight w:val="none"/>
          <w:u w:val="single"/>
        </w:rPr>
      </w:pPr>
      <w:r>
        <w:rPr>
          <w:rFonts w:hint="eastAsia"/>
          <w:b/>
          <w:bCs/>
          <w:color w:val="auto"/>
          <w:sz w:val="32"/>
          <w:highlight w:val="none"/>
        </w:rPr>
        <w:t xml:space="preserve">采购代理机构名称：南通泾天纬地项目管理有限公司</w:t>
      </w:r>
      <w:r/>
    </w:p>
    <w:p>
      <w:pPr>
        <w:jc w:val="center"/>
        <w:rPr>
          <w:b/>
          <w:bCs/>
          <w:color w:val="auto"/>
          <w:sz w:val="32"/>
          <w:highlight w:val="none"/>
        </w:rPr>
      </w:pPr>
      <w:r>
        <w:rPr>
          <w:rFonts w:hint="eastAsia"/>
          <w:b/>
          <w:bCs/>
          <w:color w:val="auto"/>
          <w:sz w:val="32"/>
          <w:highlight w:val="none"/>
        </w:rPr>
        <w:t xml:space="preserve">2026年</w:t>
      </w:r>
      <w:r>
        <w:rPr>
          <w:rFonts w:hint="eastAsia"/>
          <w:b/>
          <w:bCs/>
          <w:color w:val="auto"/>
          <w:sz w:val="32"/>
          <w:highlight w:val="none"/>
          <w:lang w:val="en-US" w:eastAsia="zh-CN"/>
        </w:rPr>
        <w:t xml:space="preserve">8</w:t>
      </w:r>
      <w:r>
        <w:rPr>
          <w:rFonts w:hint="eastAsia"/>
          <w:b/>
          <w:bCs/>
          <w:color w:val="auto"/>
          <w:sz w:val="32"/>
          <w:highlight w:val="none"/>
        </w:rPr>
        <w:t xml:space="preserve">月</w:t>
      </w:r>
      <w:r>
        <w:rPr>
          <w:rFonts w:hint="eastAsia"/>
          <w:b/>
          <w:bCs/>
          <w:color w:val="auto"/>
          <w:sz w:val="32"/>
          <w:highlight w:val="none"/>
          <w:lang w:val="en-US" w:eastAsia="zh-CN"/>
        </w:rPr>
        <w:t xml:space="preserve">7</w:t>
      </w:r>
      <w:r>
        <w:rPr>
          <w:rFonts w:hint="eastAsia"/>
          <w:b/>
          <w:bCs/>
          <w:color w:val="auto"/>
          <w:sz w:val="32"/>
          <w:highlight w:val="none"/>
        </w:rPr>
        <w:t xml:space="preserve">日</w:t>
      </w:r>
      <w:r/>
    </w:p>
    <w:p>
      <w:pPr>
        <w:rPr>
          <w:b/>
          <w:bCs/>
          <w:color w:val="auto"/>
          <w:sz w:val="32"/>
          <w:highlight w:val="none"/>
        </w:rPr>
      </w:pPr>
      <w:r>
        <w:rPr>
          <w:rFonts w:hint="eastAsia"/>
          <w:b/>
          <w:bCs/>
          <w:color w:val="auto"/>
          <w:sz w:val="32"/>
          <w:highlight w:val="none"/>
        </w:rPr>
        <w:br w:type="page" w:clear="all"/>
      </w:r>
      <w:r/>
    </w:p>
    <w:sdt>
      <w:sdtPr>
        <w15:appearance w15:val="boundingBox"/>
        <w15:color w:val="dbdbdb"/>
        <w:id w:val="147469869"/>
        <w:docPartObj>
          <w:docPartGallery w:val="Table of Contents"/>
          <w:docPartUnique w:val="true"/>
        </w:docPartObj>
        <w:rPr>
          <w:rFonts w:ascii="宋体" w:hAnsi="宋体" w:eastAsia="宋体" w:cs="Times New Roman"/>
          <w:color w:val="auto"/>
          <w:sz w:val="21"/>
          <w:szCs w:val="24"/>
          <w:highlight w:val="none"/>
          <w:lang w:val="en-US" w:eastAsia="zh-CN" w:bidi="ar-SA"/>
        </w:rPr>
      </w:sdtPr>
      <w:sdtContent>
        <w:p>
          <w:pPr>
            <w:ind w:left="0" w:right="0" w:firstLine="0"/>
            <w:jc w:val="center"/>
            <w:spacing w:before="0" w:after="0" w:line="240" w:lineRule="auto"/>
            <w:rPr>
              <w:color w:val="auto"/>
              <w:highlight w:val="none"/>
            </w:rPr>
          </w:pPr>
          <w:r>
            <w:rPr>
              <w:rFonts w:hint="eastAsia" w:ascii="黑体" w:hAnsi="黑体" w:eastAsia="黑体" w:cs="黑体"/>
              <w:bCs/>
              <w:color w:val="auto"/>
              <w:sz w:val="22"/>
              <w:szCs w:val="22"/>
              <w:highlight w:val="none"/>
              <w:lang w:val="en-US" w:eastAsia="zh-CN" w:bidi="ar-SA"/>
            </w:rPr>
            <w:t xml:space="preserve">目录</w:t>
          </w:r>
          <w:r/>
        </w:p>
        <w:p>
          <w:pPr>
            <w:pStyle w:val="720"/>
            <w:keepLines w:val="0"/>
            <w:keepNext w:val="0"/>
            <w:pageBreakBefore w:val="0"/>
            <w:spacing w:line="360" w:lineRule="exact"/>
            <w:tabs>
              <w:tab w:val="right" w:pos="9354" w:leader="dot"/>
            </w:tabs>
            <w:rPr>
              <w:rFonts w:hint="eastAsia" w:ascii="黑体" w:hAnsi="黑体" w:eastAsia="黑体" w:cs="黑体"/>
              <w:bCs/>
              <w:color w:val="auto"/>
              <w:sz w:val="22"/>
              <w:szCs w:val="22"/>
              <w:highlight w:val="none"/>
              <w:lang w:val="en-US" w:eastAsia="zh-CN"/>
            </w:rPr>
          </w:pPr>
          <w:r>
            <w:rPr>
              <w:color w:val="auto"/>
              <w:highlight w:val="none"/>
            </w:rPr>
            <w:fldChar w:fldCharType="begin"/>
          </w:r>
          <w:r>
            <w:rPr>
              <w:color w:val="auto"/>
              <w:highlight w:val="none"/>
            </w:rPr>
            <w:instrText xml:space="preserve">TOC \o "1-2" \h \u </w:instrText>
          </w:r>
          <w:r>
            <w:rPr>
              <w:color w:val="auto"/>
              <w:highlight w:val="none"/>
            </w:rPr>
            <w:fldChar w:fldCharType="separate"/>
          </w: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HYPERLINK \l _Toc14973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第1章 竞争性磋商公告</w:t>
          </w:r>
          <w:r>
            <w:rPr>
              <w:rFonts w:hint="eastAsia" w:ascii="黑体" w:hAnsi="黑体" w:eastAsia="黑体" w:cs="黑体"/>
              <w:bCs/>
              <w:color w:val="auto"/>
              <w:sz w:val="22"/>
              <w:szCs w:val="22"/>
              <w:highlight w:val="none"/>
              <w:lang w:val="en-US" w:eastAsia="zh-CN"/>
            </w:rPr>
            <w:tab/>
          </w: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PAGEREF _Toc14973 \h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1</w:t>
          </w:r>
          <w:r>
            <w:rPr>
              <w:rFonts w:hint="eastAsia" w:ascii="黑体" w:hAnsi="黑体" w:eastAsia="黑体" w:cs="黑体"/>
              <w:bCs/>
              <w:color w:val="auto"/>
              <w:sz w:val="22"/>
              <w:szCs w:val="22"/>
              <w:highlight w:val="none"/>
              <w:lang w:val="en-US" w:eastAsia="zh-CN"/>
            </w:rPr>
            <w:fldChar w:fldCharType="end"/>
          </w:r>
          <w:r>
            <w:rPr>
              <w:rFonts w:hint="eastAsia" w:ascii="黑体" w:hAnsi="黑体" w:eastAsia="黑体" w:cs="黑体"/>
              <w:bCs/>
              <w:color w:val="auto"/>
              <w:sz w:val="22"/>
              <w:szCs w:val="22"/>
              <w:highlight w:val="none"/>
              <w:lang w:val="en-US" w:eastAsia="zh-CN"/>
            </w:rPr>
            <w:fldChar w:fldCharType="end"/>
          </w:r>
          <w:r/>
        </w:p>
        <w:p>
          <w:pPr>
            <w:pStyle w:val="720"/>
            <w:ind w:firstLine="440"/>
            <w:keepLines w:val="0"/>
            <w:keepNext w:val="0"/>
            <w:pageBreakBefore w:val="0"/>
            <w:spacing w:line="360" w:lineRule="exact"/>
            <w:tabs>
              <w:tab w:val="right" w:pos="9354" w:leader="dot"/>
            </w:tabs>
            <w:rPr>
              <w:rFonts w:hint="eastAsia" w:ascii="黑体" w:hAnsi="黑体" w:eastAsia="黑体" w:cs="黑体"/>
              <w:bCs/>
              <w:color w:val="auto"/>
              <w:sz w:val="22"/>
              <w:szCs w:val="22"/>
              <w:highlight w:val="none"/>
              <w:lang w:val="en-US" w:eastAsia="zh-CN"/>
            </w:rPr>
          </w:pP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HYPERLINK \l _Toc1188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一、项目基本情况</w:t>
          </w:r>
          <w:r>
            <w:rPr>
              <w:rFonts w:hint="eastAsia" w:ascii="黑体" w:hAnsi="黑体" w:eastAsia="黑体" w:cs="黑体"/>
              <w:bCs/>
              <w:color w:val="auto"/>
              <w:sz w:val="22"/>
              <w:szCs w:val="22"/>
              <w:highlight w:val="none"/>
              <w:lang w:val="en-US" w:eastAsia="zh-CN"/>
            </w:rPr>
            <w:tab/>
          </w: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PAGEREF _Toc1188 \h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1</w:t>
          </w:r>
          <w:r>
            <w:rPr>
              <w:rFonts w:hint="eastAsia" w:ascii="黑体" w:hAnsi="黑体" w:eastAsia="黑体" w:cs="黑体"/>
              <w:bCs/>
              <w:color w:val="auto"/>
              <w:sz w:val="22"/>
              <w:szCs w:val="22"/>
              <w:highlight w:val="none"/>
              <w:lang w:val="en-US" w:eastAsia="zh-CN"/>
            </w:rPr>
            <w:fldChar w:fldCharType="end"/>
          </w:r>
          <w:r>
            <w:rPr>
              <w:rFonts w:hint="eastAsia" w:ascii="黑体" w:hAnsi="黑体" w:eastAsia="黑体" w:cs="黑体"/>
              <w:bCs/>
              <w:color w:val="auto"/>
              <w:sz w:val="22"/>
              <w:szCs w:val="22"/>
              <w:highlight w:val="none"/>
              <w:lang w:val="en-US" w:eastAsia="zh-CN"/>
            </w:rPr>
            <w:fldChar w:fldCharType="end"/>
          </w:r>
          <w:r/>
        </w:p>
        <w:p>
          <w:pPr>
            <w:pStyle w:val="720"/>
            <w:ind w:firstLine="440"/>
            <w:keepLines w:val="0"/>
            <w:keepNext w:val="0"/>
            <w:pageBreakBefore w:val="0"/>
            <w:spacing w:line="360" w:lineRule="exact"/>
            <w:tabs>
              <w:tab w:val="right" w:pos="9354" w:leader="dot"/>
            </w:tabs>
            <w:rPr>
              <w:rFonts w:hint="eastAsia" w:ascii="黑体" w:hAnsi="黑体" w:eastAsia="黑体" w:cs="黑体"/>
              <w:bCs/>
              <w:color w:val="auto"/>
              <w:sz w:val="22"/>
              <w:szCs w:val="22"/>
              <w:highlight w:val="none"/>
              <w:lang w:val="en-US" w:eastAsia="zh-CN"/>
            </w:rPr>
          </w:pP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HYPERLINK \l _Toc7613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二、响应人的资格要求：</w:t>
          </w:r>
          <w:r>
            <w:rPr>
              <w:rFonts w:hint="eastAsia" w:ascii="黑体" w:hAnsi="黑体" w:eastAsia="黑体" w:cs="黑体"/>
              <w:bCs/>
              <w:color w:val="auto"/>
              <w:sz w:val="22"/>
              <w:szCs w:val="22"/>
              <w:highlight w:val="none"/>
              <w:lang w:val="en-US" w:eastAsia="zh-CN"/>
            </w:rPr>
            <w:tab/>
          </w: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PAGEREF _Toc7613 \h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1</w:t>
          </w:r>
          <w:r>
            <w:rPr>
              <w:rFonts w:hint="eastAsia" w:ascii="黑体" w:hAnsi="黑体" w:eastAsia="黑体" w:cs="黑体"/>
              <w:bCs/>
              <w:color w:val="auto"/>
              <w:sz w:val="22"/>
              <w:szCs w:val="22"/>
              <w:highlight w:val="none"/>
              <w:lang w:val="en-US" w:eastAsia="zh-CN"/>
            </w:rPr>
            <w:fldChar w:fldCharType="end"/>
          </w:r>
          <w:r>
            <w:rPr>
              <w:rFonts w:hint="eastAsia" w:ascii="黑体" w:hAnsi="黑体" w:eastAsia="黑体" w:cs="黑体"/>
              <w:bCs/>
              <w:color w:val="auto"/>
              <w:sz w:val="22"/>
              <w:szCs w:val="22"/>
              <w:highlight w:val="none"/>
              <w:lang w:val="en-US" w:eastAsia="zh-CN"/>
            </w:rPr>
            <w:fldChar w:fldCharType="end"/>
          </w:r>
          <w:r/>
        </w:p>
        <w:p>
          <w:pPr>
            <w:pStyle w:val="720"/>
            <w:ind w:firstLine="440"/>
            <w:keepLines w:val="0"/>
            <w:keepNext w:val="0"/>
            <w:pageBreakBefore w:val="0"/>
            <w:spacing w:line="360" w:lineRule="exact"/>
            <w:tabs>
              <w:tab w:val="right" w:pos="9354" w:leader="dot"/>
            </w:tabs>
            <w:rPr>
              <w:rFonts w:hint="eastAsia" w:ascii="黑体" w:hAnsi="黑体" w:eastAsia="黑体" w:cs="黑体"/>
              <w:bCs/>
              <w:color w:val="auto"/>
              <w:sz w:val="22"/>
              <w:szCs w:val="22"/>
              <w:highlight w:val="none"/>
              <w:lang w:val="en-US" w:eastAsia="zh-CN"/>
            </w:rPr>
          </w:pP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HYPERLINK \l _Toc29239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三、获取竞争性磋商文件</w:t>
          </w:r>
          <w:r>
            <w:rPr>
              <w:rFonts w:hint="eastAsia" w:ascii="黑体" w:hAnsi="黑体" w:eastAsia="黑体" w:cs="黑体"/>
              <w:bCs/>
              <w:color w:val="auto"/>
              <w:sz w:val="22"/>
              <w:szCs w:val="22"/>
              <w:highlight w:val="none"/>
              <w:lang w:val="en-US" w:eastAsia="zh-CN"/>
            </w:rPr>
            <w:tab/>
          </w: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PAGEREF _Toc29239 \h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2</w:t>
          </w:r>
          <w:r>
            <w:rPr>
              <w:rFonts w:hint="eastAsia" w:ascii="黑体" w:hAnsi="黑体" w:eastAsia="黑体" w:cs="黑体"/>
              <w:bCs/>
              <w:color w:val="auto"/>
              <w:sz w:val="22"/>
              <w:szCs w:val="22"/>
              <w:highlight w:val="none"/>
              <w:lang w:val="en-US" w:eastAsia="zh-CN"/>
            </w:rPr>
            <w:fldChar w:fldCharType="end"/>
          </w:r>
          <w:r>
            <w:rPr>
              <w:rFonts w:hint="eastAsia" w:ascii="黑体" w:hAnsi="黑体" w:eastAsia="黑体" w:cs="黑体"/>
              <w:bCs/>
              <w:color w:val="auto"/>
              <w:sz w:val="22"/>
              <w:szCs w:val="22"/>
              <w:highlight w:val="none"/>
              <w:lang w:val="en-US" w:eastAsia="zh-CN"/>
            </w:rPr>
            <w:fldChar w:fldCharType="end"/>
          </w:r>
          <w:r/>
        </w:p>
        <w:p>
          <w:pPr>
            <w:pStyle w:val="720"/>
            <w:ind w:firstLine="440"/>
            <w:keepLines w:val="0"/>
            <w:keepNext w:val="0"/>
            <w:pageBreakBefore w:val="0"/>
            <w:spacing w:line="360" w:lineRule="exact"/>
            <w:tabs>
              <w:tab w:val="right" w:pos="9354" w:leader="dot"/>
            </w:tabs>
            <w:rPr>
              <w:rFonts w:hint="eastAsia" w:ascii="黑体" w:hAnsi="黑体" w:eastAsia="黑体" w:cs="黑体"/>
              <w:bCs/>
              <w:color w:val="auto"/>
              <w:sz w:val="22"/>
              <w:szCs w:val="22"/>
              <w:highlight w:val="none"/>
              <w:lang w:val="en-US" w:eastAsia="zh-CN"/>
            </w:rPr>
          </w:pP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HYPERLINK \l _Toc16942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四、竞争性磋商响应文件提交和开启</w:t>
          </w:r>
          <w:r>
            <w:rPr>
              <w:rFonts w:hint="eastAsia" w:ascii="黑体" w:hAnsi="黑体" w:eastAsia="黑体" w:cs="黑体"/>
              <w:bCs/>
              <w:color w:val="auto"/>
              <w:sz w:val="22"/>
              <w:szCs w:val="22"/>
              <w:highlight w:val="none"/>
              <w:lang w:val="en-US" w:eastAsia="zh-CN"/>
            </w:rPr>
            <w:tab/>
          </w: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PAGEREF _Toc16942 \h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2</w:t>
          </w:r>
          <w:r>
            <w:rPr>
              <w:rFonts w:hint="eastAsia" w:ascii="黑体" w:hAnsi="黑体" w:eastAsia="黑体" w:cs="黑体"/>
              <w:bCs/>
              <w:color w:val="auto"/>
              <w:sz w:val="22"/>
              <w:szCs w:val="22"/>
              <w:highlight w:val="none"/>
              <w:lang w:val="en-US" w:eastAsia="zh-CN"/>
            </w:rPr>
            <w:fldChar w:fldCharType="end"/>
          </w:r>
          <w:r>
            <w:rPr>
              <w:rFonts w:hint="eastAsia" w:ascii="黑体" w:hAnsi="黑体" w:eastAsia="黑体" w:cs="黑体"/>
              <w:bCs/>
              <w:color w:val="auto"/>
              <w:sz w:val="22"/>
              <w:szCs w:val="22"/>
              <w:highlight w:val="none"/>
              <w:lang w:val="en-US" w:eastAsia="zh-CN"/>
            </w:rPr>
            <w:fldChar w:fldCharType="end"/>
          </w:r>
          <w:r/>
        </w:p>
        <w:p>
          <w:pPr>
            <w:pStyle w:val="720"/>
            <w:ind w:firstLine="440"/>
            <w:keepLines w:val="0"/>
            <w:keepNext w:val="0"/>
            <w:pageBreakBefore w:val="0"/>
            <w:spacing w:line="360" w:lineRule="exact"/>
            <w:tabs>
              <w:tab w:val="right" w:pos="9354" w:leader="dot"/>
            </w:tabs>
            <w:rPr>
              <w:rFonts w:hint="eastAsia" w:ascii="黑体" w:hAnsi="黑体" w:eastAsia="黑体" w:cs="黑体"/>
              <w:bCs/>
              <w:color w:val="auto"/>
              <w:sz w:val="22"/>
              <w:szCs w:val="22"/>
              <w:highlight w:val="none"/>
              <w:lang w:val="en-US" w:eastAsia="zh-CN"/>
            </w:rPr>
          </w:pP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HYPERLINK \l _Toc9224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五、公告期限</w:t>
          </w:r>
          <w:r>
            <w:rPr>
              <w:rFonts w:hint="eastAsia" w:ascii="黑体" w:hAnsi="黑体" w:eastAsia="黑体" w:cs="黑体"/>
              <w:bCs/>
              <w:color w:val="auto"/>
              <w:sz w:val="22"/>
              <w:szCs w:val="22"/>
              <w:highlight w:val="none"/>
              <w:lang w:val="en-US" w:eastAsia="zh-CN"/>
            </w:rPr>
            <w:tab/>
          </w: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PAGEREF _Toc9224 \h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2</w:t>
          </w:r>
          <w:r>
            <w:rPr>
              <w:rFonts w:hint="eastAsia" w:ascii="黑体" w:hAnsi="黑体" w:eastAsia="黑体" w:cs="黑体"/>
              <w:bCs/>
              <w:color w:val="auto"/>
              <w:sz w:val="22"/>
              <w:szCs w:val="22"/>
              <w:highlight w:val="none"/>
              <w:lang w:val="en-US" w:eastAsia="zh-CN"/>
            </w:rPr>
            <w:fldChar w:fldCharType="end"/>
          </w:r>
          <w:r>
            <w:rPr>
              <w:rFonts w:hint="eastAsia" w:ascii="黑体" w:hAnsi="黑体" w:eastAsia="黑体" w:cs="黑体"/>
              <w:bCs/>
              <w:color w:val="auto"/>
              <w:sz w:val="22"/>
              <w:szCs w:val="22"/>
              <w:highlight w:val="none"/>
              <w:lang w:val="en-US" w:eastAsia="zh-CN"/>
            </w:rPr>
            <w:fldChar w:fldCharType="end"/>
          </w:r>
          <w:r/>
        </w:p>
        <w:p>
          <w:pPr>
            <w:pStyle w:val="720"/>
            <w:ind w:firstLine="440"/>
            <w:keepLines w:val="0"/>
            <w:keepNext w:val="0"/>
            <w:pageBreakBefore w:val="0"/>
            <w:spacing w:line="360" w:lineRule="exact"/>
            <w:tabs>
              <w:tab w:val="right" w:pos="9354" w:leader="dot"/>
            </w:tabs>
            <w:rPr>
              <w:rFonts w:hint="eastAsia" w:ascii="黑体" w:hAnsi="黑体" w:eastAsia="黑体" w:cs="黑体"/>
              <w:bCs/>
              <w:color w:val="auto"/>
              <w:sz w:val="22"/>
              <w:szCs w:val="22"/>
              <w:highlight w:val="none"/>
              <w:lang w:val="en-US" w:eastAsia="zh-CN"/>
            </w:rPr>
          </w:pP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HYPERLINK \l _Toc7021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六、其他补充事宜</w:t>
          </w:r>
          <w:r>
            <w:rPr>
              <w:rFonts w:hint="eastAsia" w:ascii="黑体" w:hAnsi="黑体" w:eastAsia="黑体" w:cs="黑体"/>
              <w:bCs/>
              <w:color w:val="auto"/>
              <w:sz w:val="22"/>
              <w:szCs w:val="22"/>
              <w:highlight w:val="none"/>
              <w:lang w:val="en-US" w:eastAsia="zh-CN"/>
            </w:rPr>
            <w:tab/>
          </w: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PAGEREF _Toc7021 \h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3</w:t>
          </w:r>
          <w:r>
            <w:rPr>
              <w:rFonts w:hint="eastAsia" w:ascii="黑体" w:hAnsi="黑体" w:eastAsia="黑体" w:cs="黑体"/>
              <w:bCs/>
              <w:color w:val="auto"/>
              <w:sz w:val="22"/>
              <w:szCs w:val="22"/>
              <w:highlight w:val="none"/>
              <w:lang w:val="en-US" w:eastAsia="zh-CN"/>
            </w:rPr>
            <w:fldChar w:fldCharType="end"/>
          </w:r>
          <w:r>
            <w:rPr>
              <w:rFonts w:hint="eastAsia" w:ascii="黑体" w:hAnsi="黑体" w:eastAsia="黑体" w:cs="黑体"/>
              <w:bCs/>
              <w:color w:val="auto"/>
              <w:sz w:val="22"/>
              <w:szCs w:val="22"/>
              <w:highlight w:val="none"/>
              <w:lang w:val="en-US" w:eastAsia="zh-CN"/>
            </w:rPr>
            <w:fldChar w:fldCharType="end"/>
          </w:r>
          <w:r/>
        </w:p>
        <w:p>
          <w:pPr>
            <w:pStyle w:val="720"/>
            <w:ind w:firstLine="440"/>
            <w:keepLines w:val="0"/>
            <w:keepNext w:val="0"/>
            <w:pageBreakBefore w:val="0"/>
            <w:spacing w:line="360" w:lineRule="exact"/>
            <w:tabs>
              <w:tab w:val="right" w:pos="9354" w:leader="dot"/>
            </w:tabs>
            <w:rPr>
              <w:rFonts w:hint="eastAsia" w:ascii="黑体" w:hAnsi="黑体" w:eastAsia="黑体" w:cs="黑体"/>
              <w:bCs/>
              <w:color w:val="auto"/>
              <w:sz w:val="22"/>
              <w:szCs w:val="22"/>
              <w:highlight w:val="none"/>
              <w:lang w:val="en-US" w:eastAsia="zh-CN"/>
            </w:rPr>
          </w:pP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HYPERLINK \l _Toc26578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七、凡对本次采购提出询问，请按以下方式联系。</w:t>
          </w:r>
          <w:r>
            <w:rPr>
              <w:rFonts w:hint="eastAsia" w:ascii="黑体" w:hAnsi="黑体" w:eastAsia="黑体" w:cs="黑体"/>
              <w:bCs/>
              <w:color w:val="auto"/>
              <w:sz w:val="22"/>
              <w:szCs w:val="22"/>
              <w:highlight w:val="none"/>
              <w:lang w:val="en-US" w:eastAsia="zh-CN"/>
            </w:rPr>
            <w:tab/>
          </w: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PAGEREF _Toc26578 \h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3</w:t>
          </w:r>
          <w:r>
            <w:rPr>
              <w:rFonts w:hint="eastAsia" w:ascii="黑体" w:hAnsi="黑体" w:eastAsia="黑体" w:cs="黑体"/>
              <w:bCs/>
              <w:color w:val="auto"/>
              <w:sz w:val="22"/>
              <w:szCs w:val="22"/>
              <w:highlight w:val="none"/>
              <w:lang w:val="en-US" w:eastAsia="zh-CN"/>
            </w:rPr>
            <w:fldChar w:fldCharType="end"/>
          </w:r>
          <w:r>
            <w:rPr>
              <w:rFonts w:hint="eastAsia" w:ascii="黑体" w:hAnsi="黑体" w:eastAsia="黑体" w:cs="黑体"/>
              <w:bCs/>
              <w:color w:val="auto"/>
              <w:sz w:val="22"/>
              <w:szCs w:val="22"/>
              <w:highlight w:val="none"/>
              <w:lang w:val="en-US" w:eastAsia="zh-CN"/>
            </w:rPr>
            <w:fldChar w:fldCharType="end"/>
          </w:r>
          <w:r/>
        </w:p>
        <w:p>
          <w:pPr>
            <w:pStyle w:val="720"/>
            <w:keepLines w:val="0"/>
            <w:keepNext w:val="0"/>
            <w:pageBreakBefore w:val="0"/>
            <w:spacing w:line="360" w:lineRule="exact"/>
            <w:tabs>
              <w:tab w:val="right" w:pos="9354" w:leader="dot"/>
            </w:tabs>
            <w:rPr>
              <w:rFonts w:hint="eastAsia" w:ascii="黑体" w:hAnsi="黑体" w:eastAsia="黑体" w:cs="黑体"/>
              <w:bCs/>
              <w:color w:val="auto"/>
              <w:sz w:val="22"/>
              <w:szCs w:val="22"/>
              <w:highlight w:val="none"/>
              <w:lang w:val="en-US" w:eastAsia="zh-CN"/>
            </w:rPr>
          </w:pP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HYPERLINK \l _Toc3732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第2章 磋商须知</w:t>
          </w:r>
          <w:r>
            <w:rPr>
              <w:rFonts w:hint="eastAsia" w:ascii="黑体" w:hAnsi="黑体" w:eastAsia="黑体" w:cs="黑体"/>
              <w:bCs/>
              <w:color w:val="auto"/>
              <w:sz w:val="22"/>
              <w:szCs w:val="22"/>
              <w:highlight w:val="none"/>
              <w:lang w:val="en-US" w:eastAsia="zh-CN"/>
            </w:rPr>
            <w:tab/>
          </w: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PAGEREF _Toc3732 \h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5</w:t>
          </w:r>
          <w:r>
            <w:rPr>
              <w:rFonts w:hint="eastAsia" w:ascii="黑体" w:hAnsi="黑体" w:eastAsia="黑体" w:cs="黑体"/>
              <w:bCs/>
              <w:color w:val="auto"/>
              <w:sz w:val="22"/>
              <w:szCs w:val="22"/>
              <w:highlight w:val="none"/>
              <w:lang w:val="en-US" w:eastAsia="zh-CN"/>
            </w:rPr>
            <w:fldChar w:fldCharType="end"/>
          </w:r>
          <w:r>
            <w:rPr>
              <w:rFonts w:hint="eastAsia" w:ascii="黑体" w:hAnsi="黑体" w:eastAsia="黑体" w:cs="黑体"/>
              <w:bCs/>
              <w:color w:val="auto"/>
              <w:sz w:val="22"/>
              <w:szCs w:val="22"/>
              <w:highlight w:val="none"/>
              <w:lang w:val="en-US" w:eastAsia="zh-CN"/>
            </w:rPr>
            <w:fldChar w:fldCharType="end"/>
          </w:r>
          <w:r/>
        </w:p>
        <w:p>
          <w:pPr>
            <w:pStyle w:val="720"/>
            <w:ind w:firstLine="440"/>
            <w:keepLines w:val="0"/>
            <w:keepNext w:val="0"/>
            <w:pageBreakBefore w:val="0"/>
            <w:spacing w:line="360" w:lineRule="exact"/>
            <w:tabs>
              <w:tab w:val="right" w:pos="9354" w:leader="dot"/>
            </w:tabs>
            <w:rPr>
              <w:rFonts w:hint="eastAsia" w:ascii="黑体" w:hAnsi="黑体" w:eastAsia="黑体" w:cs="黑体"/>
              <w:bCs/>
              <w:color w:val="auto"/>
              <w:sz w:val="22"/>
              <w:szCs w:val="22"/>
              <w:highlight w:val="none"/>
              <w:lang w:val="en-US" w:eastAsia="zh-CN"/>
            </w:rPr>
          </w:pP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HYPERLINK \l _Toc19309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1. 参加磋商费用</w:t>
          </w:r>
          <w:r>
            <w:rPr>
              <w:rFonts w:hint="eastAsia" w:ascii="黑体" w:hAnsi="黑体" w:eastAsia="黑体" w:cs="黑体"/>
              <w:bCs/>
              <w:color w:val="auto"/>
              <w:sz w:val="22"/>
              <w:szCs w:val="22"/>
              <w:highlight w:val="none"/>
              <w:lang w:val="en-US" w:eastAsia="zh-CN"/>
            </w:rPr>
            <w:tab/>
          </w: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PAGEREF _Toc19309 \h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5</w:t>
          </w:r>
          <w:r>
            <w:rPr>
              <w:rFonts w:hint="eastAsia" w:ascii="黑体" w:hAnsi="黑体" w:eastAsia="黑体" w:cs="黑体"/>
              <w:bCs/>
              <w:color w:val="auto"/>
              <w:sz w:val="22"/>
              <w:szCs w:val="22"/>
              <w:highlight w:val="none"/>
              <w:lang w:val="en-US" w:eastAsia="zh-CN"/>
            </w:rPr>
            <w:fldChar w:fldCharType="end"/>
          </w:r>
          <w:r>
            <w:rPr>
              <w:rFonts w:hint="eastAsia" w:ascii="黑体" w:hAnsi="黑体" w:eastAsia="黑体" w:cs="黑体"/>
              <w:bCs/>
              <w:color w:val="auto"/>
              <w:sz w:val="22"/>
              <w:szCs w:val="22"/>
              <w:highlight w:val="none"/>
              <w:lang w:val="en-US" w:eastAsia="zh-CN"/>
            </w:rPr>
            <w:fldChar w:fldCharType="end"/>
          </w:r>
          <w:r/>
        </w:p>
        <w:p>
          <w:pPr>
            <w:pStyle w:val="720"/>
            <w:ind w:firstLine="440"/>
            <w:keepLines w:val="0"/>
            <w:keepNext w:val="0"/>
            <w:pageBreakBefore w:val="0"/>
            <w:spacing w:line="360" w:lineRule="exact"/>
            <w:tabs>
              <w:tab w:val="right" w:pos="9354" w:leader="dot"/>
            </w:tabs>
            <w:rPr>
              <w:rFonts w:hint="eastAsia" w:ascii="黑体" w:hAnsi="黑体" w:eastAsia="黑体" w:cs="黑体"/>
              <w:bCs/>
              <w:color w:val="auto"/>
              <w:sz w:val="22"/>
              <w:szCs w:val="22"/>
              <w:highlight w:val="none"/>
              <w:lang w:val="en-US" w:eastAsia="zh-CN"/>
            </w:rPr>
          </w:pP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HYPERLINK \l _Toc17078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2. 磋商文件的约束力</w:t>
          </w:r>
          <w:r>
            <w:rPr>
              <w:rFonts w:hint="eastAsia" w:ascii="黑体" w:hAnsi="黑体" w:eastAsia="黑体" w:cs="黑体"/>
              <w:bCs/>
              <w:color w:val="auto"/>
              <w:sz w:val="22"/>
              <w:szCs w:val="22"/>
              <w:highlight w:val="none"/>
              <w:lang w:val="en-US" w:eastAsia="zh-CN"/>
            </w:rPr>
            <w:tab/>
          </w: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PAGEREF _Toc17078 \h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5</w:t>
          </w:r>
          <w:r>
            <w:rPr>
              <w:rFonts w:hint="eastAsia" w:ascii="黑体" w:hAnsi="黑体" w:eastAsia="黑体" w:cs="黑体"/>
              <w:bCs/>
              <w:color w:val="auto"/>
              <w:sz w:val="22"/>
              <w:szCs w:val="22"/>
              <w:highlight w:val="none"/>
              <w:lang w:val="en-US" w:eastAsia="zh-CN"/>
            </w:rPr>
            <w:fldChar w:fldCharType="end"/>
          </w:r>
          <w:r>
            <w:rPr>
              <w:rFonts w:hint="eastAsia" w:ascii="黑体" w:hAnsi="黑体" w:eastAsia="黑体" w:cs="黑体"/>
              <w:bCs/>
              <w:color w:val="auto"/>
              <w:sz w:val="22"/>
              <w:szCs w:val="22"/>
              <w:highlight w:val="none"/>
              <w:lang w:val="en-US" w:eastAsia="zh-CN"/>
            </w:rPr>
            <w:fldChar w:fldCharType="end"/>
          </w:r>
          <w:r/>
        </w:p>
        <w:p>
          <w:pPr>
            <w:pStyle w:val="720"/>
            <w:ind w:firstLine="440"/>
            <w:keepLines w:val="0"/>
            <w:keepNext w:val="0"/>
            <w:pageBreakBefore w:val="0"/>
            <w:spacing w:line="360" w:lineRule="exact"/>
            <w:tabs>
              <w:tab w:val="right" w:pos="9354" w:leader="dot"/>
            </w:tabs>
            <w:rPr>
              <w:rFonts w:hint="eastAsia" w:ascii="黑体" w:hAnsi="黑体" w:eastAsia="黑体" w:cs="黑体"/>
              <w:bCs/>
              <w:color w:val="auto"/>
              <w:sz w:val="22"/>
              <w:szCs w:val="22"/>
              <w:highlight w:val="none"/>
              <w:lang w:val="en-US" w:eastAsia="zh-CN"/>
            </w:rPr>
          </w:pP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HYPERLINK \l _Toc20431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3.响应文件编制</w:t>
          </w:r>
          <w:r>
            <w:rPr>
              <w:rFonts w:hint="eastAsia" w:ascii="黑体" w:hAnsi="黑体" w:eastAsia="黑体" w:cs="黑体"/>
              <w:bCs/>
              <w:color w:val="auto"/>
              <w:sz w:val="22"/>
              <w:szCs w:val="22"/>
              <w:highlight w:val="none"/>
              <w:lang w:val="en-US" w:eastAsia="zh-CN"/>
            </w:rPr>
            <w:tab/>
          </w: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PAGEREF _Toc20431 \h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5</w:t>
          </w:r>
          <w:r>
            <w:rPr>
              <w:rFonts w:hint="eastAsia" w:ascii="黑体" w:hAnsi="黑体" w:eastAsia="黑体" w:cs="黑体"/>
              <w:bCs/>
              <w:color w:val="auto"/>
              <w:sz w:val="22"/>
              <w:szCs w:val="22"/>
              <w:highlight w:val="none"/>
              <w:lang w:val="en-US" w:eastAsia="zh-CN"/>
            </w:rPr>
            <w:fldChar w:fldCharType="end"/>
          </w:r>
          <w:r>
            <w:rPr>
              <w:rFonts w:hint="eastAsia" w:ascii="黑体" w:hAnsi="黑体" w:eastAsia="黑体" w:cs="黑体"/>
              <w:bCs/>
              <w:color w:val="auto"/>
              <w:sz w:val="22"/>
              <w:szCs w:val="22"/>
              <w:highlight w:val="none"/>
              <w:lang w:val="en-US" w:eastAsia="zh-CN"/>
            </w:rPr>
            <w:fldChar w:fldCharType="end"/>
          </w:r>
          <w:r/>
        </w:p>
        <w:p>
          <w:pPr>
            <w:pStyle w:val="720"/>
            <w:ind w:firstLine="440"/>
            <w:keepLines w:val="0"/>
            <w:keepNext w:val="0"/>
            <w:pageBreakBefore w:val="0"/>
            <w:spacing w:line="360" w:lineRule="exact"/>
            <w:tabs>
              <w:tab w:val="right" w:pos="9354" w:leader="dot"/>
            </w:tabs>
            <w:rPr>
              <w:rFonts w:hint="eastAsia" w:ascii="黑体" w:hAnsi="黑体" w:eastAsia="黑体" w:cs="黑体"/>
              <w:bCs/>
              <w:color w:val="auto"/>
              <w:sz w:val="22"/>
              <w:szCs w:val="22"/>
              <w:highlight w:val="none"/>
              <w:lang w:val="en-US" w:eastAsia="zh-CN"/>
            </w:rPr>
          </w:pP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HYPERLINK \l _Toc6745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4.响应文件提交、撤回和修改</w:t>
          </w:r>
          <w:r>
            <w:rPr>
              <w:rFonts w:hint="eastAsia" w:ascii="黑体" w:hAnsi="黑体" w:eastAsia="黑体" w:cs="黑体"/>
              <w:bCs/>
              <w:color w:val="auto"/>
              <w:sz w:val="22"/>
              <w:szCs w:val="22"/>
              <w:highlight w:val="none"/>
              <w:lang w:val="en-US" w:eastAsia="zh-CN"/>
            </w:rPr>
            <w:tab/>
          </w: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PAGEREF _Toc6745 \h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6</w:t>
          </w:r>
          <w:r>
            <w:rPr>
              <w:rFonts w:hint="eastAsia" w:ascii="黑体" w:hAnsi="黑体" w:eastAsia="黑体" w:cs="黑体"/>
              <w:bCs/>
              <w:color w:val="auto"/>
              <w:sz w:val="22"/>
              <w:szCs w:val="22"/>
              <w:highlight w:val="none"/>
              <w:lang w:val="en-US" w:eastAsia="zh-CN"/>
            </w:rPr>
            <w:fldChar w:fldCharType="end"/>
          </w:r>
          <w:r>
            <w:rPr>
              <w:rFonts w:hint="eastAsia" w:ascii="黑体" w:hAnsi="黑体" w:eastAsia="黑体" w:cs="黑体"/>
              <w:bCs/>
              <w:color w:val="auto"/>
              <w:sz w:val="22"/>
              <w:szCs w:val="22"/>
              <w:highlight w:val="none"/>
              <w:lang w:val="en-US" w:eastAsia="zh-CN"/>
            </w:rPr>
            <w:fldChar w:fldCharType="end"/>
          </w:r>
          <w:r/>
        </w:p>
        <w:p>
          <w:pPr>
            <w:pStyle w:val="720"/>
            <w:ind w:firstLine="440"/>
            <w:keepLines w:val="0"/>
            <w:keepNext w:val="0"/>
            <w:pageBreakBefore w:val="0"/>
            <w:spacing w:line="360" w:lineRule="exact"/>
            <w:tabs>
              <w:tab w:val="right" w:pos="9354" w:leader="dot"/>
            </w:tabs>
            <w:rPr>
              <w:rFonts w:hint="eastAsia" w:ascii="黑体" w:hAnsi="黑体" w:eastAsia="黑体" w:cs="黑体"/>
              <w:bCs/>
              <w:color w:val="auto"/>
              <w:sz w:val="22"/>
              <w:szCs w:val="22"/>
              <w:highlight w:val="none"/>
              <w:lang w:val="en-US" w:eastAsia="zh-CN"/>
            </w:rPr>
          </w:pP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HYPERLINK \l _Toc17701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5. 磋商</w:t>
          </w:r>
          <w:r>
            <w:rPr>
              <w:rFonts w:hint="eastAsia" w:ascii="黑体" w:hAnsi="黑体" w:eastAsia="黑体" w:cs="黑体"/>
              <w:bCs/>
              <w:color w:val="auto"/>
              <w:sz w:val="22"/>
              <w:szCs w:val="22"/>
              <w:highlight w:val="none"/>
              <w:lang w:val="en-US" w:eastAsia="zh-CN"/>
            </w:rPr>
            <w:tab/>
          </w: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PAGEREF _Toc17701 \h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6</w:t>
          </w:r>
          <w:r>
            <w:rPr>
              <w:rFonts w:hint="eastAsia" w:ascii="黑体" w:hAnsi="黑体" w:eastAsia="黑体" w:cs="黑体"/>
              <w:bCs/>
              <w:color w:val="auto"/>
              <w:sz w:val="22"/>
              <w:szCs w:val="22"/>
              <w:highlight w:val="none"/>
              <w:lang w:val="en-US" w:eastAsia="zh-CN"/>
            </w:rPr>
            <w:fldChar w:fldCharType="end"/>
          </w:r>
          <w:r>
            <w:rPr>
              <w:rFonts w:hint="eastAsia" w:ascii="黑体" w:hAnsi="黑体" w:eastAsia="黑体" w:cs="黑体"/>
              <w:bCs/>
              <w:color w:val="auto"/>
              <w:sz w:val="22"/>
              <w:szCs w:val="22"/>
              <w:highlight w:val="none"/>
              <w:lang w:val="en-US" w:eastAsia="zh-CN"/>
            </w:rPr>
            <w:fldChar w:fldCharType="end"/>
          </w:r>
          <w:r/>
        </w:p>
        <w:p>
          <w:pPr>
            <w:pStyle w:val="720"/>
            <w:ind w:firstLine="440"/>
            <w:keepLines w:val="0"/>
            <w:keepNext w:val="0"/>
            <w:pageBreakBefore w:val="0"/>
            <w:spacing w:line="360" w:lineRule="exact"/>
            <w:tabs>
              <w:tab w:val="right" w:pos="9354" w:leader="dot"/>
            </w:tabs>
            <w:rPr>
              <w:rFonts w:hint="eastAsia" w:ascii="黑体" w:hAnsi="黑体" w:eastAsia="黑体" w:cs="黑体"/>
              <w:bCs/>
              <w:color w:val="auto"/>
              <w:sz w:val="22"/>
              <w:szCs w:val="22"/>
              <w:highlight w:val="none"/>
              <w:lang w:val="en-US" w:eastAsia="zh-CN"/>
            </w:rPr>
          </w:pP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HYPERLINK \l _Toc17843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6.成交和合同</w:t>
          </w:r>
          <w:r>
            <w:rPr>
              <w:rFonts w:hint="eastAsia" w:ascii="黑体" w:hAnsi="黑体" w:eastAsia="黑体" w:cs="黑体"/>
              <w:bCs/>
              <w:color w:val="auto"/>
              <w:sz w:val="22"/>
              <w:szCs w:val="22"/>
              <w:highlight w:val="none"/>
              <w:lang w:val="en-US" w:eastAsia="zh-CN"/>
            </w:rPr>
            <w:tab/>
          </w: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PAGEREF _Toc17843 \h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9</w:t>
          </w:r>
          <w:r>
            <w:rPr>
              <w:rFonts w:hint="eastAsia" w:ascii="黑体" w:hAnsi="黑体" w:eastAsia="黑体" w:cs="黑体"/>
              <w:bCs/>
              <w:color w:val="auto"/>
              <w:sz w:val="22"/>
              <w:szCs w:val="22"/>
              <w:highlight w:val="none"/>
              <w:lang w:val="en-US" w:eastAsia="zh-CN"/>
            </w:rPr>
            <w:fldChar w:fldCharType="end"/>
          </w:r>
          <w:r>
            <w:rPr>
              <w:rFonts w:hint="eastAsia" w:ascii="黑体" w:hAnsi="黑体" w:eastAsia="黑体" w:cs="黑体"/>
              <w:bCs/>
              <w:color w:val="auto"/>
              <w:sz w:val="22"/>
              <w:szCs w:val="22"/>
              <w:highlight w:val="none"/>
              <w:lang w:val="en-US" w:eastAsia="zh-CN"/>
            </w:rPr>
            <w:fldChar w:fldCharType="end"/>
          </w:r>
          <w:r/>
        </w:p>
        <w:p>
          <w:pPr>
            <w:pStyle w:val="720"/>
            <w:ind w:firstLine="440"/>
            <w:keepLines w:val="0"/>
            <w:keepNext w:val="0"/>
            <w:pageBreakBefore w:val="0"/>
            <w:spacing w:line="360" w:lineRule="exact"/>
            <w:tabs>
              <w:tab w:val="right" w:pos="9354" w:leader="dot"/>
            </w:tabs>
            <w:rPr>
              <w:rFonts w:hint="eastAsia" w:ascii="黑体" w:hAnsi="黑体" w:eastAsia="黑体" w:cs="黑体"/>
              <w:bCs/>
              <w:color w:val="auto"/>
              <w:sz w:val="22"/>
              <w:szCs w:val="22"/>
              <w:highlight w:val="none"/>
              <w:lang w:val="en-US" w:eastAsia="zh-CN"/>
            </w:rPr>
          </w:pP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HYPERLINK \l _Toc8359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7.政府采购政策功能落实</w:t>
          </w:r>
          <w:r>
            <w:rPr>
              <w:rFonts w:hint="eastAsia" w:ascii="黑体" w:hAnsi="黑体" w:eastAsia="黑体" w:cs="黑体"/>
              <w:bCs/>
              <w:color w:val="auto"/>
              <w:sz w:val="22"/>
              <w:szCs w:val="22"/>
              <w:highlight w:val="none"/>
              <w:lang w:val="en-US" w:eastAsia="zh-CN"/>
            </w:rPr>
            <w:tab/>
          </w: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PAGEREF _Toc8359 \h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10</w:t>
          </w:r>
          <w:r>
            <w:rPr>
              <w:rFonts w:hint="eastAsia" w:ascii="黑体" w:hAnsi="黑体" w:eastAsia="黑体" w:cs="黑体"/>
              <w:bCs/>
              <w:color w:val="auto"/>
              <w:sz w:val="22"/>
              <w:szCs w:val="22"/>
              <w:highlight w:val="none"/>
              <w:lang w:val="en-US" w:eastAsia="zh-CN"/>
            </w:rPr>
            <w:fldChar w:fldCharType="end"/>
          </w:r>
          <w:r>
            <w:rPr>
              <w:rFonts w:hint="eastAsia" w:ascii="黑体" w:hAnsi="黑体" w:eastAsia="黑体" w:cs="黑体"/>
              <w:bCs/>
              <w:color w:val="auto"/>
              <w:sz w:val="22"/>
              <w:szCs w:val="22"/>
              <w:highlight w:val="none"/>
              <w:lang w:val="en-US" w:eastAsia="zh-CN"/>
            </w:rPr>
            <w:fldChar w:fldCharType="end"/>
          </w:r>
          <w:r/>
        </w:p>
        <w:p>
          <w:pPr>
            <w:pStyle w:val="720"/>
            <w:ind w:firstLine="440"/>
            <w:keepLines w:val="0"/>
            <w:keepNext w:val="0"/>
            <w:pageBreakBefore w:val="0"/>
            <w:spacing w:line="360" w:lineRule="exact"/>
            <w:tabs>
              <w:tab w:val="right" w:pos="9354" w:leader="dot"/>
            </w:tabs>
            <w:rPr>
              <w:rFonts w:hint="eastAsia" w:ascii="黑体" w:hAnsi="黑体" w:eastAsia="黑体" w:cs="黑体"/>
              <w:bCs/>
              <w:color w:val="auto"/>
              <w:sz w:val="22"/>
              <w:szCs w:val="22"/>
              <w:highlight w:val="none"/>
              <w:lang w:val="en-US" w:eastAsia="zh-CN"/>
            </w:rPr>
          </w:pP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HYPERLINK \l _Toc7075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8.无效响应和磋商活动终止</w:t>
          </w:r>
          <w:r>
            <w:rPr>
              <w:rFonts w:hint="eastAsia" w:ascii="黑体" w:hAnsi="黑体" w:eastAsia="黑体" w:cs="黑体"/>
              <w:bCs/>
              <w:color w:val="auto"/>
              <w:sz w:val="22"/>
              <w:szCs w:val="22"/>
              <w:highlight w:val="none"/>
              <w:lang w:val="en-US" w:eastAsia="zh-CN"/>
            </w:rPr>
            <w:tab/>
          </w: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PAGEREF _Toc7075 \h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16</w:t>
          </w:r>
          <w:r>
            <w:rPr>
              <w:rFonts w:hint="eastAsia" w:ascii="黑体" w:hAnsi="黑体" w:eastAsia="黑体" w:cs="黑体"/>
              <w:bCs/>
              <w:color w:val="auto"/>
              <w:sz w:val="22"/>
              <w:szCs w:val="22"/>
              <w:highlight w:val="none"/>
              <w:lang w:val="en-US" w:eastAsia="zh-CN"/>
            </w:rPr>
            <w:fldChar w:fldCharType="end"/>
          </w:r>
          <w:r>
            <w:rPr>
              <w:rFonts w:hint="eastAsia" w:ascii="黑体" w:hAnsi="黑体" w:eastAsia="黑体" w:cs="黑体"/>
              <w:bCs/>
              <w:color w:val="auto"/>
              <w:sz w:val="22"/>
              <w:szCs w:val="22"/>
              <w:highlight w:val="none"/>
              <w:lang w:val="en-US" w:eastAsia="zh-CN"/>
            </w:rPr>
            <w:fldChar w:fldCharType="end"/>
          </w:r>
          <w:r/>
        </w:p>
        <w:p>
          <w:pPr>
            <w:pStyle w:val="720"/>
            <w:ind w:firstLine="440"/>
            <w:keepLines w:val="0"/>
            <w:keepNext w:val="0"/>
            <w:pageBreakBefore w:val="0"/>
            <w:spacing w:line="360" w:lineRule="exact"/>
            <w:tabs>
              <w:tab w:val="right" w:pos="9354" w:leader="dot"/>
            </w:tabs>
            <w:rPr>
              <w:rFonts w:hint="eastAsia" w:ascii="黑体" w:hAnsi="黑体" w:eastAsia="黑体" w:cs="黑体"/>
              <w:bCs/>
              <w:color w:val="auto"/>
              <w:sz w:val="22"/>
              <w:szCs w:val="22"/>
              <w:highlight w:val="none"/>
              <w:lang w:val="en-US" w:eastAsia="zh-CN"/>
            </w:rPr>
          </w:pP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HYPERLINK \l _Toc25107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9. 询问、质疑和投诉</w:t>
          </w:r>
          <w:r>
            <w:rPr>
              <w:rFonts w:hint="eastAsia" w:ascii="黑体" w:hAnsi="黑体" w:eastAsia="黑体" w:cs="黑体"/>
              <w:bCs/>
              <w:color w:val="auto"/>
              <w:sz w:val="22"/>
              <w:szCs w:val="22"/>
              <w:highlight w:val="none"/>
              <w:lang w:val="en-US" w:eastAsia="zh-CN"/>
            </w:rPr>
            <w:tab/>
          </w: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PAGEREF _Toc25107 \h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17</w:t>
          </w:r>
          <w:r>
            <w:rPr>
              <w:rFonts w:hint="eastAsia" w:ascii="黑体" w:hAnsi="黑体" w:eastAsia="黑体" w:cs="黑体"/>
              <w:bCs/>
              <w:color w:val="auto"/>
              <w:sz w:val="22"/>
              <w:szCs w:val="22"/>
              <w:highlight w:val="none"/>
              <w:lang w:val="en-US" w:eastAsia="zh-CN"/>
            </w:rPr>
            <w:fldChar w:fldCharType="end"/>
          </w:r>
          <w:r>
            <w:rPr>
              <w:rFonts w:hint="eastAsia" w:ascii="黑体" w:hAnsi="黑体" w:eastAsia="黑体" w:cs="黑体"/>
              <w:bCs/>
              <w:color w:val="auto"/>
              <w:sz w:val="22"/>
              <w:szCs w:val="22"/>
              <w:highlight w:val="none"/>
              <w:lang w:val="en-US" w:eastAsia="zh-CN"/>
            </w:rPr>
            <w:fldChar w:fldCharType="end"/>
          </w:r>
          <w:r/>
        </w:p>
        <w:p>
          <w:pPr>
            <w:pStyle w:val="720"/>
            <w:ind w:firstLine="440"/>
            <w:keepLines w:val="0"/>
            <w:keepNext w:val="0"/>
            <w:pageBreakBefore w:val="0"/>
            <w:spacing w:line="360" w:lineRule="exact"/>
            <w:tabs>
              <w:tab w:val="right" w:pos="9354" w:leader="dot"/>
            </w:tabs>
            <w:rPr>
              <w:rFonts w:hint="eastAsia" w:ascii="黑体" w:hAnsi="黑体" w:eastAsia="黑体" w:cs="黑体"/>
              <w:bCs/>
              <w:color w:val="auto"/>
              <w:sz w:val="22"/>
              <w:szCs w:val="22"/>
              <w:highlight w:val="none"/>
              <w:lang w:val="en-US" w:eastAsia="zh-CN"/>
            </w:rPr>
          </w:pP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HYPERLINK \l _Toc6094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10. 政府采购合同信用融资扶持政策</w:t>
          </w:r>
          <w:r>
            <w:rPr>
              <w:rFonts w:hint="eastAsia" w:ascii="黑体" w:hAnsi="黑体" w:eastAsia="黑体" w:cs="黑体"/>
              <w:bCs/>
              <w:color w:val="auto"/>
              <w:sz w:val="22"/>
              <w:szCs w:val="22"/>
              <w:highlight w:val="none"/>
              <w:lang w:val="en-US" w:eastAsia="zh-CN"/>
            </w:rPr>
            <w:tab/>
          </w: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PAGEREF _Toc6094 \h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20</w:t>
          </w:r>
          <w:r>
            <w:rPr>
              <w:rFonts w:hint="eastAsia" w:ascii="黑体" w:hAnsi="黑体" w:eastAsia="黑体" w:cs="黑体"/>
              <w:bCs/>
              <w:color w:val="auto"/>
              <w:sz w:val="22"/>
              <w:szCs w:val="22"/>
              <w:highlight w:val="none"/>
              <w:lang w:val="en-US" w:eastAsia="zh-CN"/>
            </w:rPr>
            <w:fldChar w:fldCharType="end"/>
          </w:r>
          <w:r>
            <w:rPr>
              <w:rFonts w:hint="eastAsia" w:ascii="黑体" w:hAnsi="黑体" w:eastAsia="黑体" w:cs="黑体"/>
              <w:bCs/>
              <w:color w:val="auto"/>
              <w:sz w:val="22"/>
              <w:szCs w:val="22"/>
              <w:highlight w:val="none"/>
              <w:lang w:val="en-US" w:eastAsia="zh-CN"/>
            </w:rPr>
            <w:fldChar w:fldCharType="end"/>
          </w:r>
          <w:r/>
        </w:p>
        <w:p>
          <w:pPr>
            <w:pStyle w:val="720"/>
            <w:ind w:firstLine="440"/>
            <w:keepLines w:val="0"/>
            <w:keepNext w:val="0"/>
            <w:pageBreakBefore w:val="0"/>
            <w:spacing w:line="360" w:lineRule="exact"/>
            <w:tabs>
              <w:tab w:val="right" w:pos="9354" w:leader="dot"/>
            </w:tabs>
            <w:rPr>
              <w:rFonts w:hint="eastAsia" w:ascii="黑体" w:hAnsi="黑体" w:eastAsia="黑体" w:cs="黑体"/>
              <w:bCs/>
              <w:color w:val="auto"/>
              <w:sz w:val="22"/>
              <w:szCs w:val="22"/>
              <w:highlight w:val="none"/>
              <w:lang w:val="en-US" w:eastAsia="zh-CN"/>
            </w:rPr>
          </w:pP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HYPERLINK \l _Toc3567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11. 采购代理服务费</w:t>
          </w:r>
          <w:r>
            <w:rPr>
              <w:rFonts w:hint="eastAsia" w:ascii="黑体" w:hAnsi="黑体" w:eastAsia="黑体" w:cs="黑体"/>
              <w:bCs/>
              <w:color w:val="auto"/>
              <w:sz w:val="22"/>
              <w:szCs w:val="22"/>
              <w:highlight w:val="none"/>
              <w:lang w:val="en-US" w:eastAsia="zh-CN"/>
            </w:rPr>
            <w:tab/>
          </w: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PAGEREF _Toc3567 \h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21</w:t>
          </w:r>
          <w:r>
            <w:rPr>
              <w:rFonts w:hint="eastAsia" w:ascii="黑体" w:hAnsi="黑体" w:eastAsia="黑体" w:cs="黑体"/>
              <w:bCs/>
              <w:color w:val="auto"/>
              <w:sz w:val="22"/>
              <w:szCs w:val="22"/>
              <w:highlight w:val="none"/>
              <w:lang w:val="en-US" w:eastAsia="zh-CN"/>
            </w:rPr>
            <w:fldChar w:fldCharType="end"/>
          </w:r>
          <w:r>
            <w:rPr>
              <w:rFonts w:hint="eastAsia" w:ascii="黑体" w:hAnsi="黑体" w:eastAsia="黑体" w:cs="黑体"/>
              <w:bCs/>
              <w:color w:val="auto"/>
              <w:sz w:val="22"/>
              <w:szCs w:val="22"/>
              <w:highlight w:val="none"/>
              <w:lang w:val="en-US" w:eastAsia="zh-CN"/>
            </w:rPr>
            <w:fldChar w:fldCharType="end"/>
          </w:r>
          <w:r/>
        </w:p>
        <w:p>
          <w:pPr>
            <w:pStyle w:val="720"/>
            <w:keepLines w:val="0"/>
            <w:keepNext w:val="0"/>
            <w:pageBreakBefore w:val="0"/>
            <w:spacing w:line="360" w:lineRule="exact"/>
            <w:tabs>
              <w:tab w:val="right" w:pos="9354" w:leader="dot"/>
            </w:tabs>
            <w:rPr>
              <w:rFonts w:hint="eastAsia" w:ascii="黑体" w:hAnsi="黑体" w:eastAsia="黑体" w:cs="黑体"/>
              <w:bCs/>
              <w:color w:val="auto"/>
              <w:sz w:val="22"/>
              <w:szCs w:val="22"/>
              <w:highlight w:val="none"/>
              <w:lang w:val="en-US" w:eastAsia="zh-CN"/>
            </w:rPr>
          </w:pP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HYPERLINK \l _Toc3651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第3章 采购需求</w:t>
          </w:r>
          <w:r>
            <w:rPr>
              <w:rFonts w:hint="eastAsia" w:ascii="黑体" w:hAnsi="黑体" w:eastAsia="黑体" w:cs="黑体"/>
              <w:bCs/>
              <w:color w:val="auto"/>
              <w:sz w:val="22"/>
              <w:szCs w:val="22"/>
              <w:highlight w:val="none"/>
              <w:lang w:val="en-US" w:eastAsia="zh-CN"/>
            </w:rPr>
            <w:tab/>
          </w: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PAGEREF _Toc3651 \h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22</w:t>
          </w:r>
          <w:r>
            <w:rPr>
              <w:rFonts w:hint="eastAsia" w:ascii="黑体" w:hAnsi="黑体" w:eastAsia="黑体" w:cs="黑体"/>
              <w:bCs/>
              <w:color w:val="auto"/>
              <w:sz w:val="22"/>
              <w:szCs w:val="22"/>
              <w:highlight w:val="none"/>
              <w:lang w:val="en-US" w:eastAsia="zh-CN"/>
            </w:rPr>
            <w:fldChar w:fldCharType="end"/>
          </w:r>
          <w:r>
            <w:rPr>
              <w:rFonts w:hint="eastAsia" w:ascii="黑体" w:hAnsi="黑体" w:eastAsia="黑体" w:cs="黑体"/>
              <w:bCs/>
              <w:color w:val="auto"/>
              <w:sz w:val="22"/>
              <w:szCs w:val="22"/>
              <w:highlight w:val="none"/>
              <w:lang w:val="en-US" w:eastAsia="zh-CN"/>
            </w:rPr>
            <w:fldChar w:fldCharType="end"/>
          </w:r>
          <w:r/>
        </w:p>
        <w:p>
          <w:pPr>
            <w:pStyle w:val="720"/>
            <w:ind w:firstLine="440"/>
            <w:keepLines w:val="0"/>
            <w:keepNext w:val="0"/>
            <w:pageBreakBefore w:val="0"/>
            <w:spacing w:line="360" w:lineRule="exact"/>
            <w:tabs>
              <w:tab w:val="right" w:pos="9354" w:leader="dot"/>
            </w:tabs>
            <w:rPr>
              <w:rFonts w:hint="eastAsia" w:ascii="黑体" w:hAnsi="黑体" w:eastAsia="黑体" w:cs="黑体"/>
              <w:bCs/>
              <w:color w:val="auto"/>
              <w:sz w:val="22"/>
              <w:szCs w:val="22"/>
              <w:highlight w:val="none"/>
              <w:lang w:val="en-US" w:eastAsia="zh-CN"/>
            </w:rPr>
          </w:pP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HYPERLINK \l _Toc11020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一、项目简介</w:t>
          </w:r>
          <w:r>
            <w:rPr>
              <w:rFonts w:hint="eastAsia" w:ascii="黑体" w:hAnsi="黑体" w:eastAsia="黑体" w:cs="黑体"/>
              <w:bCs/>
              <w:color w:val="auto"/>
              <w:sz w:val="22"/>
              <w:szCs w:val="22"/>
              <w:highlight w:val="none"/>
              <w:lang w:val="en-US" w:eastAsia="zh-CN"/>
            </w:rPr>
            <w:tab/>
          </w: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PAGEREF _Toc11020 \h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22</w:t>
          </w:r>
          <w:r>
            <w:rPr>
              <w:rFonts w:hint="eastAsia" w:ascii="黑体" w:hAnsi="黑体" w:eastAsia="黑体" w:cs="黑体"/>
              <w:bCs/>
              <w:color w:val="auto"/>
              <w:sz w:val="22"/>
              <w:szCs w:val="22"/>
              <w:highlight w:val="none"/>
              <w:lang w:val="en-US" w:eastAsia="zh-CN"/>
            </w:rPr>
            <w:fldChar w:fldCharType="end"/>
          </w:r>
          <w:r>
            <w:rPr>
              <w:rFonts w:hint="eastAsia" w:ascii="黑体" w:hAnsi="黑体" w:eastAsia="黑体" w:cs="黑体"/>
              <w:bCs/>
              <w:color w:val="auto"/>
              <w:sz w:val="22"/>
              <w:szCs w:val="22"/>
              <w:highlight w:val="none"/>
              <w:lang w:val="en-US" w:eastAsia="zh-CN"/>
            </w:rPr>
            <w:fldChar w:fldCharType="end"/>
          </w:r>
          <w:r/>
        </w:p>
        <w:p>
          <w:pPr>
            <w:pStyle w:val="720"/>
            <w:ind w:firstLine="440"/>
            <w:keepLines w:val="0"/>
            <w:keepNext w:val="0"/>
            <w:pageBreakBefore w:val="0"/>
            <w:spacing w:line="360" w:lineRule="exact"/>
            <w:widowControl w:val="off"/>
            <w:tabs>
              <w:tab w:val="right" w:pos="9354" w:leader="dot"/>
            </w:tabs>
            <w:rPr>
              <w:rFonts w:hint="eastAsia" w:ascii="黑体" w:hAnsi="黑体" w:eastAsia="黑体" w:cs="黑体"/>
              <w:bCs/>
              <w:color w:val="auto"/>
              <w:sz w:val="22"/>
              <w:szCs w:val="22"/>
              <w:highlight w:val="none"/>
              <w:lang w:val="en-US" w:eastAsia="zh-CN"/>
            </w:rPr>
          </w:pP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HYPERLINK \l _Toc27024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二、服务内容</w:t>
          </w:r>
          <w:r>
            <w:rPr>
              <w:rFonts w:hint="eastAsia" w:ascii="黑体" w:hAnsi="黑体" w:eastAsia="黑体" w:cs="黑体"/>
              <w:bCs/>
              <w:color w:val="auto"/>
              <w:sz w:val="22"/>
              <w:szCs w:val="22"/>
              <w:highlight w:val="none"/>
              <w:lang w:val="en-US" w:eastAsia="zh-CN"/>
            </w:rPr>
            <w:tab/>
          </w: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PAGEREF _Toc27024 \h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22</w:t>
          </w:r>
          <w:r>
            <w:rPr>
              <w:rFonts w:hint="eastAsia" w:ascii="黑体" w:hAnsi="黑体" w:eastAsia="黑体" w:cs="黑体"/>
              <w:bCs/>
              <w:color w:val="auto"/>
              <w:sz w:val="22"/>
              <w:szCs w:val="22"/>
              <w:highlight w:val="none"/>
              <w:lang w:val="en-US" w:eastAsia="zh-CN"/>
            </w:rPr>
            <w:fldChar w:fldCharType="end"/>
          </w:r>
          <w:r>
            <w:rPr>
              <w:rFonts w:hint="eastAsia" w:ascii="黑体" w:hAnsi="黑体" w:eastAsia="黑体" w:cs="黑体"/>
              <w:bCs/>
              <w:color w:val="auto"/>
              <w:sz w:val="22"/>
              <w:szCs w:val="22"/>
              <w:highlight w:val="none"/>
              <w:lang w:val="en-US" w:eastAsia="zh-CN"/>
            </w:rPr>
            <w:fldChar w:fldCharType="end"/>
          </w:r>
          <w:r/>
        </w:p>
        <w:p>
          <w:pPr>
            <w:pStyle w:val="720"/>
            <w:ind w:firstLine="440"/>
            <w:keepLines w:val="0"/>
            <w:keepNext w:val="0"/>
            <w:pageBreakBefore w:val="0"/>
            <w:spacing w:line="360" w:lineRule="exact"/>
            <w:tabs>
              <w:tab w:val="right" w:pos="9354" w:leader="dot"/>
            </w:tabs>
            <w:rPr>
              <w:rFonts w:hint="eastAsia" w:ascii="黑体" w:hAnsi="黑体" w:eastAsia="黑体" w:cs="黑体"/>
              <w:bCs/>
              <w:color w:val="auto"/>
              <w:sz w:val="22"/>
              <w:szCs w:val="22"/>
              <w:highlight w:val="none"/>
              <w:lang w:val="en-US" w:eastAsia="zh-CN"/>
            </w:rPr>
          </w:pP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HYPERLINK \l _Toc25818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三、服务要求</w:t>
          </w:r>
          <w:r>
            <w:rPr>
              <w:rFonts w:hint="eastAsia" w:ascii="黑体" w:hAnsi="黑体" w:eastAsia="黑体" w:cs="黑体"/>
              <w:bCs/>
              <w:color w:val="auto"/>
              <w:sz w:val="22"/>
              <w:szCs w:val="22"/>
              <w:highlight w:val="none"/>
              <w:lang w:val="en-US" w:eastAsia="zh-CN"/>
            </w:rPr>
            <w:tab/>
          </w: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PAGEREF _Toc25818 \h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22</w:t>
          </w:r>
          <w:r>
            <w:rPr>
              <w:rFonts w:hint="eastAsia" w:ascii="黑体" w:hAnsi="黑体" w:eastAsia="黑体" w:cs="黑体"/>
              <w:bCs/>
              <w:color w:val="auto"/>
              <w:sz w:val="22"/>
              <w:szCs w:val="22"/>
              <w:highlight w:val="none"/>
              <w:lang w:val="en-US" w:eastAsia="zh-CN"/>
            </w:rPr>
            <w:fldChar w:fldCharType="end"/>
          </w:r>
          <w:r>
            <w:rPr>
              <w:rFonts w:hint="eastAsia" w:ascii="黑体" w:hAnsi="黑体" w:eastAsia="黑体" w:cs="黑体"/>
              <w:bCs/>
              <w:color w:val="auto"/>
              <w:sz w:val="22"/>
              <w:szCs w:val="22"/>
              <w:highlight w:val="none"/>
              <w:lang w:val="en-US" w:eastAsia="zh-CN"/>
            </w:rPr>
            <w:fldChar w:fldCharType="end"/>
          </w:r>
          <w:r/>
        </w:p>
        <w:p>
          <w:pPr>
            <w:pStyle w:val="720"/>
            <w:ind w:firstLine="440"/>
            <w:keepLines w:val="0"/>
            <w:keepNext w:val="0"/>
            <w:pageBreakBefore w:val="0"/>
            <w:spacing w:line="360" w:lineRule="exact"/>
            <w:widowControl w:val="off"/>
            <w:tabs>
              <w:tab w:val="right" w:pos="9354" w:leader="dot"/>
            </w:tabs>
            <w:rPr>
              <w:rFonts w:hint="eastAsia" w:ascii="黑体" w:hAnsi="黑体" w:eastAsia="黑体" w:cs="黑体"/>
              <w:bCs/>
              <w:color w:val="auto"/>
              <w:sz w:val="22"/>
              <w:szCs w:val="22"/>
              <w:highlight w:val="none"/>
              <w:lang w:val="en-US" w:eastAsia="zh-CN"/>
            </w:rPr>
          </w:pP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HYPERLINK \l _Toc11824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四、服务标准</w:t>
          </w:r>
          <w:r>
            <w:rPr>
              <w:rFonts w:hint="eastAsia" w:ascii="黑体" w:hAnsi="黑体" w:eastAsia="黑体" w:cs="黑体"/>
              <w:bCs/>
              <w:color w:val="auto"/>
              <w:sz w:val="22"/>
              <w:szCs w:val="22"/>
              <w:highlight w:val="none"/>
              <w:lang w:val="en-US" w:eastAsia="zh-CN"/>
            </w:rPr>
            <w:tab/>
          </w: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PAGEREF _Toc11824 \h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25</w:t>
          </w:r>
          <w:r>
            <w:rPr>
              <w:rFonts w:hint="eastAsia" w:ascii="黑体" w:hAnsi="黑体" w:eastAsia="黑体" w:cs="黑体"/>
              <w:bCs/>
              <w:color w:val="auto"/>
              <w:sz w:val="22"/>
              <w:szCs w:val="22"/>
              <w:highlight w:val="none"/>
              <w:lang w:val="en-US" w:eastAsia="zh-CN"/>
            </w:rPr>
            <w:fldChar w:fldCharType="end"/>
          </w:r>
          <w:r>
            <w:rPr>
              <w:rFonts w:hint="eastAsia" w:ascii="黑体" w:hAnsi="黑体" w:eastAsia="黑体" w:cs="黑体"/>
              <w:bCs/>
              <w:color w:val="auto"/>
              <w:sz w:val="22"/>
              <w:szCs w:val="22"/>
              <w:highlight w:val="none"/>
              <w:lang w:val="en-US" w:eastAsia="zh-CN"/>
            </w:rPr>
            <w:fldChar w:fldCharType="end"/>
          </w:r>
          <w:r/>
        </w:p>
        <w:p>
          <w:pPr>
            <w:pStyle w:val="720"/>
            <w:ind w:firstLine="440"/>
            <w:keepLines w:val="0"/>
            <w:keepNext w:val="0"/>
            <w:pageBreakBefore w:val="0"/>
            <w:spacing w:line="360" w:lineRule="exact"/>
            <w:tabs>
              <w:tab w:val="right" w:pos="9354" w:leader="dot"/>
            </w:tabs>
            <w:rPr>
              <w:rFonts w:hint="eastAsia" w:ascii="黑体" w:hAnsi="黑体" w:eastAsia="黑体" w:cs="黑体"/>
              <w:bCs/>
              <w:color w:val="auto"/>
              <w:sz w:val="22"/>
              <w:szCs w:val="22"/>
              <w:highlight w:val="none"/>
              <w:lang w:val="en-US" w:eastAsia="zh-CN"/>
            </w:rPr>
          </w:pP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HYPERLINK \l _Toc16771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五、服务期限和地点</w:t>
          </w:r>
          <w:r>
            <w:rPr>
              <w:rFonts w:hint="eastAsia" w:ascii="黑体" w:hAnsi="黑体" w:eastAsia="黑体" w:cs="黑体"/>
              <w:bCs/>
              <w:color w:val="auto"/>
              <w:sz w:val="22"/>
              <w:szCs w:val="22"/>
              <w:highlight w:val="none"/>
              <w:lang w:val="en-US" w:eastAsia="zh-CN"/>
            </w:rPr>
            <w:tab/>
          </w: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PAGEREF _Toc16771 \h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25</w:t>
          </w:r>
          <w:r>
            <w:rPr>
              <w:rFonts w:hint="eastAsia" w:ascii="黑体" w:hAnsi="黑体" w:eastAsia="黑体" w:cs="黑体"/>
              <w:bCs/>
              <w:color w:val="auto"/>
              <w:sz w:val="22"/>
              <w:szCs w:val="22"/>
              <w:highlight w:val="none"/>
              <w:lang w:val="en-US" w:eastAsia="zh-CN"/>
            </w:rPr>
            <w:fldChar w:fldCharType="end"/>
          </w:r>
          <w:r>
            <w:rPr>
              <w:rFonts w:hint="eastAsia" w:ascii="黑体" w:hAnsi="黑体" w:eastAsia="黑体" w:cs="黑体"/>
              <w:bCs/>
              <w:color w:val="auto"/>
              <w:sz w:val="22"/>
              <w:szCs w:val="22"/>
              <w:highlight w:val="none"/>
              <w:lang w:val="en-US" w:eastAsia="zh-CN"/>
            </w:rPr>
            <w:fldChar w:fldCharType="end"/>
          </w:r>
          <w:r/>
        </w:p>
        <w:p>
          <w:pPr>
            <w:pStyle w:val="720"/>
            <w:ind w:firstLine="440"/>
            <w:keepLines w:val="0"/>
            <w:keepNext w:val="0"/>
            <w:pageBreakBefore w:val="0"/>
            <w:spacing w:line="360" w:lineRule="exact"/>
            <w:widowControl w:val="off"/>
            <w:tabs>
              <w:tab w:val="right" w:pos="9354" w:leader="dot"/>
            </w:tabs>
            <w:rPr>
              <w:rFonts w:hint="eastAsia" w:ascii="黑体" w:hAnsi="黑体" w:eastAsia="黑体" w:cs="黑体"/>
              <w:bCs/>
              <w:color w:val="auto"/>
              <w:sz w:val="22"/>
              <w:szCs w:val="22"/>
              <w:highlight w:val="none"/>
              <w:lang w:val="en-US" w:eastAsia="zh-CN"/>
            </w:rPr>
          </w:pP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HYPERLINK \l _Toc5815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六、考核方案</w:t>
          </w:r>
          <w:r>
            <w:rPr>
              <w:rFonts w:hint="eastAsia" w:ascii="黑体" w:hAnsi="黑体" w:eastAsia="黑体" w:cs="黑体"/>
              <w:bCs/>
              <w:color w:val="auto"/>
              <w:sz w:val="22"/>
              <w:szCs w:val="22"/>
              <w:highlight w:val="none"/>
              <w:lang w:val="en-US" w:eastAsia="zh-CN"/>
            </w:rPr>
            <w:tab/>
          </w: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PAGEREF _Toc5815 \h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25</w:t>
          </w:r>
          <w:r>
            <w:rPr>
              <w:rFonts w:hint="eastAsia" w:ascii="黑体" w:hAnsi="黑体" w:eastAsia="黑体" w:cs="黑体"/>
              <w:bCs/>
              <w:color w:val="auto"/>
              <w:sz w:val="22"/>
              <w:szCs w:val="22"/>
              <w:highlight w:val="none"/>
              <w:lang w:val="en-US" w:eastAsia="zh-CN"/>
            </w:rPr>
            <w:fldChar w:fldCharType="end"/>
          </w:r>
          <w:r>
            <w:rPr>
              <w:rFonts w:hint="eastAsia" w:ascii="黑体" w:hAnsi="黑体" w:eastAsia="黑体" w:cs="黑体"/>
              <w:bCs/>
              <w:color w:val="auto"/>
              <w:sz w:val="22"/>
              <w:szCs w:val="22"/>
              <w:highlight w:val="none"/>
              <w:lang w:val="en-US" w:eastAsia="zh-CN"/>
            </w:rPr>
            <w:fldChar w:fldCharType="end"/>
          </w:r>
          <w:r/>
        </w:p>
        <w:p>
          <w:pPr>
            <w:pStyle w:val="720"/>
            <w:ind w:firstLine="440"/>
            <w:keepLines w:val="0"/>
            <w:keepNext w:val="0"/>
            <w:pageBreakBefore w:val="0"/>
            <w:spacing w:line="360" w:lineRule="exact"/>
            <w:tabs>
              <w:tab w:val="right" w:pos="9354" w:leader="dot"/>
            </w:tabs>
            <w:rPr>
              <w:rFonts w:hint="eastAsia" w:ascii="黑体" w:hAnsi="黑体" w:eastAsia="黑体" w:cs="黑体"/>
              <w:bCs/>
              <w:color w:val="auto"/>
              <w:sz w:val="22"/>
              <w:szCs w:val="22"/>
              <w:highlight w:val="none"/>
              <w:lang w:val="en-US" w:eastAsia="zh-CN"/>
            </w:rPr>
          </w:pP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HYPERLINK \l _Toc4606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七、付款方式</w:t>
          </w:r>
          <w:r>
            <w:rPr>
              <w:rFonts w:hint="eastAsia" w:ascii="黑体" w:hAnsi="黑体" w:eastAsia="黑体" w:cs="黑体"/>
              <w:bCs/>
              <w:color w:val="auto"/>
              <w:sz w:val="22"/>
              <w:szCs w:val="22"/>
              <w:highlight w:val="none"/>
              <w:lang w:val="en-US" w:eastAsia="zh-CN"/>
            </w:rPr>
            <w:tab/>
          </w: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PAGEREF _Toc4606 \h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25</w:t>
          </w:r>
          <w:r>
            <w:rPr>
              <w:rFonts w:hint="eastAsia" w:ascii="黑体" w:hAnsi="黑体" w:eastAsia="黑体" w:cs="黑体"/>
              <w:bCs/>
              <w:color w:val="auto"/>
              <w:sz w:val="22"/>
              <w:szCs w:val="22"/>
              <w:highlight w:val="none"/>
              <w:lang w:val="en-US" w:eastAsia="zh-CN"/>
            </w:rPr>
            <w:fldChar w:fldCharType="end"/>
          </w:r>
          <w:r>
            <w:rPr>
              <w:rFonts w:hint="eastAsia" w:ascii="黑体" w:hAnsi="黑体" w:eastAsia="黑体" w:cs="黑体"/>
              <w:bCs/>
              <w:color w:val="auto"/>
              <w:sz w:val="22"/>
              <w:szCs w:val="22"/>
              <w:highlight w:val="none"/>
              <w:lang w:val="en-US" w:eastAsia="zh-CN"/>
            </w:rPr>
            <w:fldChar w:fldCharType="end"/>
          </w:r>
          <w:r/>
        </w:p>
        <w:p>
          <w:pPr>
            <w:pStyle w:val="720"/>
            <w:ind w:firstLine="440"/>
            <w:keepLines w:val="0"/>
            <w:keepNext w:val="0"/>
            <w:pageBreakBefore w:val="0"/>
            <w:spacing w:line="360" w:lineRule="exact"/>
            <w:tabs>
              <w:tab w:val="right" w:pos="9354" w:leader="dot"/>
            </w:tabs>
            <w:rPr>
              <w:rFonts w:hint="eastAsia" w:ascii="黑体" w:hAnsi="黑体" w:eastAsia="黑体" w:cs="黑体"/>
              <w:bCs/>
              <w:color w:val="auto"/>
              <w:sz w:val="22"/>
              <w:szCs w:val="22"/>
              <w:highlight w:val="none"/>
              <w:lang w:val="en-US" w:eastAsia="zh-CN"/>
            </w:rPr>
          </w:pP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HYPERLINK \l _Toc30259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八、磋商过程中可能会实质性变动的内容</w:t>
          </w:r>
          <w:r>
            <w:rPr>
              <w:rFonts w:hint="eastAsia" w:ascii="黑体" w:hAnsi="黑体" w:eastAsia="黑体" w:cs="黑体"/>
              <w:bCs/>
              <w:color w:val="auto"/>
              <w:sz w:val="22"/>
              <w:szCs w:val="22"/>
              <w:highlight w:val="none"/>
              <w:lang w:val="en-US" w:eastAsia="zh-CN"/>
            </w:rPr>
            <w:tab/>
          </w: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PAGEREF _Toc30259 \h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25</w:t>
          </w:r>
          <w:r>
            <w:rPr>
              <w:rFonts w:hint="eastAsia" w:ascii="黑体" w:hAnsi="黑体" w:eastAsia="黑体" w:cs="黑体"/>
              <w:bCs/>
              <w:color w:val="auto"/>
              <w:sz w:val="22"/>
              <w:szCs w:val="22"/>
              <w:highlight w:val="none"/>
              <w:lang w:val="en-US" w:eastAsia="zh-CN"/>
            </w:rPr>
            <w:fldChar w:fldCharType="end"/>
          </w:r>
          <w:r>
            <w:rPr>
              <w:rFonts w:hint="eastAsia" w:ascii="黑体" w:hAnsi="黑体" w:eastAsia="黑体" w:cs="黑体"/>
              <w:bCs/>
              <w:color w:val="auto"/>
              <w:sz w:val="22"/>
              <w:szCs w:val="22"/>
              <w:highlight w:val="none"/>
              <w:lang w:val="en-US" w:eastAsia="zh-CN"/>
            </w:rPr>
            <w:fldChar w:fldCharType="end"/>
          </w:r>
          <w:r/>
        </w:p>
        <w:p>
          <w:pPr>
            <w:pStyle w:val="720"/>
            <w:ind w:firstLine="440"/>
            <w:keepLines w:val="0"/>
            <w:keepNext w:val="0"/>
            <w:pageBreakBefore w:val="0"/>
            <w:spacing w:line="360" w:lineRule="exact"/>
            <w:tabs>
              <w:tab w:val="right" w:pos="9354" w:leader="dot"/>
            </w:tabs>
            <w:rPr>
              <w:rFonts w:hint="eastAsia" w:ascii="黑体" w:hAnsi="黑体" w:eastAsia="黑体" w:cs="黑体"/>
              <w:bCs/>
              <w:color w:val="auto"/>
              <w:sz w:val="22"/>
              <w:szCs w:val="22"/>
              <w:highlight w:val="none"/>
              <w:lang w:val="en-US" w:eastAsia="zh-CN"/>
            </w:rPr>
          </w:pP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HYPERLINK \l _Toc13158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九、其他要求</w:t>
          </w:r>
          <w:r>
            <w:rPr>
              <w:rFonts w:hint="eastAsia" w:ascii="黑体" w:hAnsi="黑体" w:eastAsia="黑体" w:cs="黑体"/>
              <w:bCs/>
              <w:color w:val="auto"/>
              <w:sz w:val="22"/>
              <w:szCs w:val="22"/>
              <w:highlight w:val="none"/>
              <w:lang w:val="en-US" w:eastAsia="zh-CN"/>
            </w:rPr>
            <w:tab/>
          </w: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PAGEREF _Toc13158 \h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25</w:t>
          </w:r>
          <w:r>
            <w:rPr>
              <w:rFonts w:hint="eastAsia" w:ascii="黑体" w:hAnsi="黑体" w:eastAsia="黑体" w:cs="黑体"/>
              <w:bCs/>
              <w:color w:val="auto"/>
              <w:sz w:val="22"/>
              <w:szCs w:val="22"/>
              <w:highlight w:val="none"/>
              <w:lang w:val="en-US" w:eastAsia="zh-CN"/>
            </w:rPr>
            <w:fldChar w:fldCharType="end"/>
          </w:r>
          <w:r>
            <w:rPr>
              <w:rFonts w:hint="eastAsia" w:ascii="黑体" w:hAnsi="黑体" w:eastAsia="黑体" w:cs="黑体"/>
              <w:bCs/>
              <w:color w:val="auto"/>
              <w:sz w:val="22"/>
              <w:szCs w:val="22"/>
              <w:highlight w:val="none"/>
              <w:lang w:val="en-US" w:eastAsia="zh-CN"/>
            </w:rPr>
            <w:fldChar w:fldCharType="end"/>
          </w:r>
          <w:r/>
        </w:p>
        <w:p>
          <w:pPr>
            <w:pStyle w:val="720"/>
            <w:keepLines w:val="0"/>
            <w:keepNext w:val="0"/>
            <w:pageBreakBefore w:val="0"/>
            <w:spacing w:line="360" w:lineRule="exact"/>
            <w:tabs>
              <w:tab w:val="right" w:pos="9354" w:leader="dot"/>
            </w:tabs>
            <w:rPr>
              <w:rFonts w:hint="eastAsia" w:ascii="黑体" w:hAnsi="黑体" w:eastAsia="黑体" w:cs="黑体"/>
              <w:bCs/>
              <w:color w:val="auto"/>
              <w:sz w:val="22"/>
              <w:szCs w:val="22"/>
              <w:highlight w:val="none"/>
              <w:lang w:val="en-US" w:eastAsia="zh-CN"/>
            </w:rPr>
          </w:pP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HYPERLINK \l _Toc14985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第4章 合同文本</w:t>
          </w:r>
          <w:r>
            <w:rPr>
              <w:rFonts w:hint="eastAsia" w:ascii="黑体" w:hAnsi="黑体" w:eastAsia="黑体" w:cs="黑体"/>
              <w:bCs/>
              <w:color w:val="auto"/>
              <w:sz w:val="22"/>
              <w:szCs w:val="22"/>
              <w:highlight w:val="none"/>
              <w:lang w:val="en-US" w:eastAsia="zh-CN"/>
            </w:rPr>
            <w:tab/>
          </w: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PAGEREF _Toc14985 \h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27</w:t>
          </w:r>
          <w:r>
            <w:rPr>
              <w:rFonts w:hint="eastAsia" w:ascii="黑体" w:hAnsi="黑体" w:eastAsia="黑体" w:cs="黑体"/>
              <w:bCs/>
              <w:color w:val="auto"/>
              <w:sz w:val="22"/>
              <w:szCs w:val="22"/>
              <w:highlight w:val="none"/>
              <w:lang w:val="en-US" w:eastAsia="zh-CN"/>
            </w:rPr>
            <w:fldChar w:fldCharType="end"/>
          </w:r>
          <w:r>
            <w:rPr>
              <w:rFonts w:hint="eastAsia" w:ascii="黑体" w:hAnsi="黑体" w:eastAsia="黑体" w:cs="黑体"/>
              <w:bCs/>
              <w:color w:val="auto"/>
              <w:sz w:val="22"/>
              <w:szCs w:val="22"/>
              <w:highlight w:val="none"/>
              <w:lang w:val="en-US" w:eastAsia="zh-CN"/>
            </w:rPr>
            <w:fldChar w:fldCharType="end"/>
          </w:r>
          <w:r/>
        </w:p>
        <w:p>
          <w:pPr>
            <w:pStyle w:val="720"/>
            <w:keepLines w:val="0"/>
            <w:keepNext w:val="0"/>
            <w:pageBreakBefore w:val="0"/>
            <w:spacing w:line="360" w:lineRule="exact"/>
            <w:tabs>
              <w:tab w:val="right" w:pos="9354" w:leader="dot"/>
            </w:tabs>
            <w:rPr>
              <w:rFonts w:hint="eastAsia" w:ascii="黑体" w:hAnsi="黑体" w:eastAsia="黑体" w:cs="黑体"/>
              <w:bCs/>
              <w:color w:val="auto"/>
              <w:sz w:val="22"/>
              <w:szCs w:val="22"/>
              <w:highlight w:val="none"/>
              <w:lang w:val="en-US" w:eastAsia="zh-CN"/>
            </w:rPr>
          </w:pP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HYPERLINK \l _Toc13403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第5章 评审标准和方法</w:t>
          </w:r>
          <w:r>
            <w:rPr>
              <w:rFonts w:hint="eastAsia" w:ascii="黑体" w:hAnsi="黑体" w:eastAsia="黑体" w:cs="黑体"/>
              <w:bCs/>
              <w:color w:val="auto"/>
              <w:sz w:val="22"/>
              <w:szCs w:val="22"/>
              <w:highlight w:val="none"/>
              <w:lang w:val="en-US" w:eastAsia="zh-CN"/>
            </w:rPr>
            <w:tab/>
          </w: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PAGEREF _Toc13403 \h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32</w:t>
          </w:r>
          <w:r>
            <w:rPr>
              <w:rFonts w:hint="eastAsia" w:ascii="黑体" w:hAnsi="黑体" w:eastAsia="黑体" w:cs="黑体"/>
              <w:bCs/>
              <w:color w:val="auto"/>
              <w:sz w:val="22"/>
              <w:szCs w:val="22"/>
              <w:highlight w:val="none"/>
              <w:lang w:val="en-US" w:eastAsia="zh-CN"/>
            </w:rPr>
            <w:fldChar w:fldCharType="end"/>
          </w:r>
          <w:r>
            <w:rPr>
              <w:rFonts w:hint="eastAsia" w:ascii="黑体" w:hAnsi="黑体" w:eastAsia="黑体" w:cs="黑体"/>
              <w:bCs/>
              <w:color w:val="auto"/>
              <w:sz w:val="22"/>
              <w:szCs w:val="22"/>
              <w:highlight w:val="none"/>
              <w:lang w:val="en-US" w:eastAsia="zh-CN"/>
            </w:rPr>
            <w:fldChar w:fldCharType="end"/>
          </w:r>
          <w:r/>
        </w:p>
        <w:p>
          <w:pPr>
            <w:pStyle w:val="720"/>
            <w:keepLines w:val="0"/>
            <w:keepNext w:val="0"/>
            <w:pageBreakBefore w:val="0"/>
            <w:spacing w:line="360" w:lineRule="exact"/>
            <w:tabs>
              <w:tab w:val="right" w:pos="9354" w:leader="dot"/>
            </w:tabs>
            <w:rPr>
              <w:rFonts w:hint="eastAsia" w:ascii="黑体" w:hAnsi="黑体" w:eastAsia="黑体" w:cs="黑体"/>
              <w:bCs/>
              <w:color w:val="auto"/>
              <w:sz w:val="22"/>
              <w:szCs w:val="22"/>
              <w:highlight w:val="none"/>
              <w:lang w:val="en-US" w:eastAsia="zh-CN"/>
            </w:rPr>
          </w:pP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HYPERLINK \l _Toc30435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第6章 竞争性磋商响应文件组成</w:t>
          </w:r>
          <w:r>
            <w:rPr>
              <w:rFonts w:hint="eastAsia" w:ascii="黑体" w:hAnsi="黑体" w:eastAsia="黑体" w:cs="黑体"/>
              <w:bCs/>
              <w:color w:val="auto"/>
              <w:sz w:val="22"/>
              <w:szCs w:val="22"/>
              <w:highlight w:val="none"/>
              <w:lang w:val="en-US" w:eastAsia="zh-CN"/>
            </w:rPr>
            <w:tab/>
          </w: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PAGEREF _Toc30435 \h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37</w:t>
          </w:r>
          <w:r>
            <w:rPr>
              <w:rFonts w:hint="eastAsia" w:ascii="黑体" w:hAnsi="黑体" w:eastAsia="黑体" w:cs="黑体"/>
              <w:bCs/>
              <w:color w:val="auto"/>
              <w:sz w:val="22"/>
              <w:szCs w:val="22"/>
              <w:highlight w:val="none"/>
              <w:lang w:val="en-US" w:eastAsia="zh-CN"/>
            </w:rPr>
            <w:fldChar w:fldCharType="end"/>
          </w:r>
          <w:r>
            <w:rPr>
              <w:rFonts w:hint="eastAsia" w:ascii="黑体" w:hAnsi="黑体" w:eastAsia="黑体" w:cs="黑体"/>
              <w:bCs/>
              <w:color w:val="auto"/>
              <w:sz w:val="22"/>
              <w:szCs w:val="22"/>
              <w:highlight w:val="none"/>
              <w:lang w:val="en-US" w:eastAsia="zh-CN"/>
            </w:rPr>
            <w:fldChar w:fldCharType="end"/>
          </w:r>
          <w:r/>
        </w:p>
        <w:p>
          <w:pPr>
            <w:pStyle w:val="720"/>
            <w:ind w:firstLine="440"/>
            <w:keepLines w:val="0"/>
            <w:keepNext w:val="0"/>
            <w:pageBreakBefore w:val="0"/>
            <w:spacing w:line="360" w:lineRule="exact"/>
            <w:tabs>
              <w:tab w:val="right" w:pos="9354" w:leader="dot"/>
            </w:tabs>
            <w:rPr>
              <w:rFonts w:hint="eastAsia" w:ascii="黑体" w:hAnsi="黑体" w:eastAsia="黑体" w:cs="黑体"/>
              <w:bCs/>
              <w:color w:val="auto"/>
              <w:sz w:val="22"/>
              <w:szCs w:val="22"/>
              <w:highlight w:val="none"/>
              <w:lang w:val="en-US" w:eastAsia="zh-CN"/>
            </w:rPr>
          </w:pP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HYPERLINK \l _Toc17987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一、资格证明文件</w:t>
          </w:r>
          <w:r>
            <w:rPr>
              <w:rFonts w:hint="eastAsia" w:ascii="黑体" w:hAnsi="黑体" w:eastAsia="黑体" w:cs="黑体"/>
              <w:bCs/>
              <w:color w:val="auto"/>
              <w:sz w:val="22"/>
              <w:szCs w:val="22"/>
              <w:highlight w:val="none"/>
              <w:lang w:val="en-US" w:eastAsia="zh-CN"/>
            </w:rPr>
            <w:tab/>
          </w: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PAGEREF _Toc17987 \h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38</w:t>
          </w:r>
          <w:r>
            <w:rPr>
              <w:rFonts w:hint="eastAsia" w:ascii="黑体" w:hAnsi="黑体" w:eastAsia="黑体" w:cs="黑体"/>
              <w:bCs/>
              <w:color w:val="auto"/>
              <w:sz w:val="22"/>
              <w:szCs w:val="22"/>
              <w:highlight w:val="none"/>
              <w:lang w:val="en-US" w:eastAsia="zh-CN"/>
            </w:rPr>
            <w:fldChar w:fldCharType="end"/>
          </w:r>
          <w:r>
            <w:rPr>
              <w:rFonts w:hint="eastAsia" w:ascii="黑体" w:hAnsi="黑体" w:eastAsia="黑体" w:cs="黑体"/>
              <w:bCs/>
              <w:color w:val="auto"/>
              <w:sz w:val="22"/>
              <w:szCs w:val="22"/>
              <w:highlight w:val="none"/>
              <w:lang w:val="en-US" w:eastAsia="zh-CN"/>
            </w:rPr>
            <w:fldChar w:fldCharType="end"/>
          </w:r>
          <w:r/>
        </w:p>
        <w:p>
          <w:pPr>
            <w:pStyle w:val="720"/>
            <w:ind w:firstLine="440"/>
            <w:keepLines w:val="0"/>
            <w:keepNext w:val="0"/>
            <w:pageBreakBefore w:val="0"/>
            <w:spacing w:line="360" w:lineRule="exact"/>
            <w:tabs>
              <w:tab w:val="right" w:pos="9354" w:leader="dot"/>
            </w:tabs>
            <w:rPr>
              <w:rFonts w:hint="eastAsia" w:ascii="黑体" w:hAnsi="黑体" w:eastAsia="黑体" w:cs="黑体"/>
              <w:bCs/>
              <w:color w:val="auto"/>
              <w:sz w:val="22"/>
              <w:szCs w:val="22"/>
              <w:highlight w:val="none"/>
              <w:lang w:val="en-US" w:eastAsia="zh-CN"/>
            </w:rPr>
          </w:pP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HYPERLINK \l _Toc24169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二、商务技术文件</w:t>
          </w:r>
          <w:r>
            <w:rPr>
              <w:rFonts w:hint="eastAsia" w:ascii="黑体" w:hAnsi="黑体" w:eastAsia="黑体" w:cs="黑体"/>
              <w:bCs/>
              <w:color w:val="auto"/>
              <w:sz w:val="22"/>
              <w:szCs w:val="22"/>
              <w:highlight w:val="none"/>
              <w:lang w:val="en-US" w:eastAsia="zh-CN"/>
            </w:rPr>
            <w:tab/>
          </w: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PAGEREF _Toc24169 \h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46</w:t>
          </w:r>
          <w:r>
            <w:rPr>
              <w:rFonts w:hint="eastAsia" w:ascii="黑体" w:hAnsi="黑体" w:eastAsia="黑体" w:cs="黑体"/>
              <w:bCs/>
              <w:color w:val="auto"/>
              <w:sz w:val="22"/>
              <w:szCs w:val="22"/>
              <w:highlight w:val="none"/>
              <w:lang w:val="en-US" w:eastAsia="zh-CN"/>
            </w:rPr>
            <w:fldChar w:fldCharType="end"/>
          </w:r>
          <w:r>
            <w:rPr>
              <w:rFonts w:hint="eastAsia" w:ascii="黑体" w:hAnsi="黑体" w:eastAsia="黑体" w:cs="黑体"/>
              <w:bCs/>
              <w:color w:val="auto"/>
              <w:sz w:val="22"/>
              <w:szCs w:val="22"/>
              <w:highlight w:val="none"/>
              <w:lang w:val="en-US" w:eastAsia="zh-CN"/>
            </w:rPr>
            <w:fldChar w:fldCharType="end"/>
          </w:r>
          <w:r/>
        </w:p>
        <w:p>
          <w:pPr>
            <w:pStyle w:val="720"/>
            <w:ind w:firstLine="440"/>
            <w:keepLines w:val="0"/>
            <w:keepNext w:val="0"/>
            <w:pageBreakBefore w:val="0"/>
            <w:spacing w:line="360" w:lineRule="exact"/>
            <w:tabs>
              <w:tab w:val="right" w:pos="9354" w:leader="dot"/>
            </w:tabs>
            <w:rPr>
              <w:color w:val="auto"/>
              <w:highlight w:val="none"/>
            </w:rPr>
          </w:pP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HYPERLINK \l _Toc24985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三、报价文件</w:t>
          </w:r>
          <w:r>
            <w:rPr>
              <w:rFonts w:hint="eastAsia" w:ascii="黑体" w:hAnsi="黑体" w:eastAsia="黑体" w:cs="黑体"/>
              <w:bCs/>
              <w:color w:val="auto"/>
              <w:sz w:val="22"/>
              <w:szCs w:val="22"/>
              <w:highlight w:val="none"/>
              <w:lang w:val="en-US" w:eastAsia="zh-CN"/>
            </w:rPr>
            <w:tab/>
          </w: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PAGEREF _Toc24985 \h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51</w:t>
          </w:r>
          <w:r>
            <w:rPr>
              <w:rFonts w:hint="eastAsia" w:ascii="黑体" w:hAnsi="黑体" w:eastAsia="黑体" w:cs="黑体"/>
              <w:bCs/>
              <w:color w:val="auto"/>
              <w:sz w:val="22"/>
              <w:szCs w:val="22"/>
              <w:highlight w:val="none"/>
              <w:lang w:val="en-US" w:eastAsia="zh-CN"/>
            </w:rPr>
            <w:fldChar w:fldCharType="end"/>
          </w:r>
          <w:r>
            <w:rPr>
              <w:rFonts w:hint="eastAsia" w:ascii="黑体" w:hAnsi="黑体" w:eastAsia="黑体" w:cs="黑体"/>
              <w:bCs/>
              <w:color w:val="auto"/>
              <w:sz w:val="22"/>
              <w:szCs w:val="22"/>
              <w:highlight w:val="none"/>
              <w:lang w:val="en-US" w:eastAsia="zh-CN"/>
            </w:rPr>
            <w:fldChar w:fldCharType="end"/>
          </w:r>
          <w:r/>
        </w:p>
        <w:p>
          <w:pPr>
            <w:pStyle w:val="720"/>
            <w:keepLines w:val="0"/>
            <w:keepNext w:val="0"/>
            <w:pageBreakBefore w:val="0"/>
            <w:spacing w:line="360" w:lineRule="exact"/>
            <w:tabs>
              <w:tab w:val="right" w:pos="9354" w:leader="dot"/>
            </w:tabs>
            <w:rPr>
              <w:rFonts w:hint="default" w:ascii="黑体" w:hAnsi="黑体" w:eastAsia="黑体" w:cs="黑体"/>
              <w:bCs/>
              <w:color w:val="auto"/>
              <w:sz w:val="22"/>
              <w:szCs w:val="22"/>
              <w:highlight w:val="none"/>
              <w:lang w:val="en-US" w:eastAsia="zh-CN"/>
            </w:rPr>
          </w:pPr>
          <w:r>
            <w:rPr>
              <w:color w:val="auto"/>
              <w:highlight w:val="none"/>
            </w:rPr>
            <w:fldChar w:fldCharType="end"/>
          </w: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HYPERLINK \l _Toc30435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第7章 附件  ..................................................................... </w:t>
          </w:r>
          <w:r>
            <w:rPr>
              <w:rFonts w:hint="eastAsia" w:ascii="黑体" w:hAnsi="黑体" w:eastAsia="黑体" w:cs="黑体"/>
              <w:bCs/>
              <w:color w:val="auto"/>
              <w:sz w:val="22"/>
              <w:szCs w:val="22"/>
              <w:highlight w:val="none"/>
              <w:lang w:val="en-US" w:eastAsia="zh-CN"/>
            </w:rPr>
            <w:fldChar w:fldCharType="begin"/>
          </w:r>
          <w:r>
            <w:rPr>
              <w:rFonts w:hint="eastAsia" w:ascii="黑体" w:hAnsi="黑体" w:eastAsia="黑体" w:cs="黑体"/>
              <w:bCs/>
              <w:color w:val="auto"/>
              <w:sz w:val="22"/>
              <w:szCs w:val="22"/>
              <w:highlight w:val="none"/>
              <w:lang w:val="en-US" w:eastAsia="zh-CN"/>
            </w:rPr>
            <w:instrText xml:space="preserve"> PAGEREF _Toc30435 \h </w:instrText>
          </w:r>
          <w:r>
            <w:rPr>
              <w:rFonts w:hint="eastAsia" w:ascii="黑体" w:hAnsi="黑体" w:eastAsia="黑体" w:cs="黑体"/>
              <w:bCs/>
              <w:color w:val="auto"/>
              <w:sz w:val="22"/>
              <w:szCs w:val="22"/>
              <w:highlight w:val="none"/>
              <w:lang w:val="en-US" w:eastAsia="zh-CN"/>
            </w:rPr>
            <w:fldChar w:fldCharType="separate"/>
          </w:r>
          <w:r>
            <w:rPr>
              <w:rFonts w:hint="eastAsia" w:ascii="黑体" w:hAnsi="黑体" w:eastAsia="黑体" w:cs="黑体"/>
              <w:bCs/>
              <w:color w:val="auto"/>
              <w:sz w:val="22"/>
              <w:szCs w:val="22"/>
              <w:highlight w:val="none"/>
              <w:lang w:val="en-US" w:eastAsia="zh-CN"/>
            </w:rPr>
            <w:t xml:space="preserve">5</w:t>
          </w:r>
          <w:r>
            <w:rPr>
              <w:rFonts w:hint="eastAsia" w:ascii="黑体" w:hAnsi="黑体" w:eastAsia="黑体" w:cs="黑体"/>
              <w:bCs/>
              <w:color w:val="auto"/>
              <w:sz w:val="22"/>
              <w:szCs w:val="22"/>
              <w:highlight w:val="none"/>
              <w:lang w:val="en-US" w:eastAsia="zh-CN"/>
            </w:rPr>
            <w:fldChar w:fldCharType="end"/>
          </w:r>
          <w:r>
            <w:rPr>
              <w:rFonts w:hint="eastAsia" w:ascii="黑体" w:hAnsi="黑体" w:eastAsia="黑体" w:cs="黑体"/>
              <w:bCs/>
              <w:color w:val="auto"/>
              <w:sz w:val="22"/>
              <w:szCs w:val="22"/>
              <w:highlight w:val="none"/>
              <w:lang w:val="en-US" w:eastAsia="zh-CN"/>
            </w:rPr>
            <w:fldChar w:fldCharType="end"/>
          </w:r>
          <w:r>
            <w:rPr>
              <w:rFonts w:hint="eastAsia" w:ascii="黑体" w:hAnsi="黑体" w:eastAsia="黑体" w:cs="黑体"/>
              <w:bCs/>
              <w:color w:val="auto"/>
              <w:sz w:val="22"/>
              <w:szCs w:val="22"/>
              <w:highlight w:val="none"/>
              <w:lang w:val="en-US" w:eastAsia="zh-CN"/>
            </w:rPr>
            <w:t xml:space="preserve">3</w:t>
          </w:r>
          <w:r>
            <w:rPr>
              <w:rFonts w:hint="default" w:ascii="黑体" w:hAnsi="黑体" w:eastAsia="黑体" w:cs="黑体"/>
              <w:bCs/>
              <w:color w:val="auto"/>
              <w:sz w:val="22"/>
              <w:szCs w:val="22"/>
              <w:highlight w:val="none"/>
              <w:lang w:val="en-US" w:eastAsia="zh-CN"/>
            </w:rPr>
          </w:r>
          <w:r/>
        </w:p>
      </w:sdtContent>
    </w:sdt>
    <w:p>
      <w:pPr>
        <w:rPr>
          <w:color w:val="auto"/>
          <w:highlight w:val="none"/>
        </w:rPr>
      </w:pPr>
      <w:r>
        <w:rPr>
          <w:color w:val="auto"/>
          <w:highlight w:val="none"/>
        </w:rPr>
      </w:r>
      <w:r/>
    </w:p>
    <w:p>
      <w:pPr>
        <w:jc w:val="center"/>
        <w:rPr>
          <w:b/>
          <w:bCs/>
          <w:color w:val="auto"/>
          <w:sz w:val="32"/>
          <w:highlight w:val="none"/>
        </w:rPr>
      </w:pPr>
      <w:r>
        <w:rPr>
          <w:b/>
          <w:bCs/>
          <w:color w:val="auto"/>
          <w:sz w:val="32"/>
          <w:highlight w:val="none"/>
        </w:rPr>
        <w:br w:type="page" w:clear="all"/>
      </w:r>
      <w:r/>
    </w:p>
    <w:p>
      <w:pPr>
        <w:pStyle w:val="891"/>
        <w:ind w:firstLine="0"/>
        <w:jc w:val="center"/>
        <w:spacing w:line="500" w:lineRule="exact"/>
        <w:rPr>
          <w:b/>
          <w:bCs/>
          <w:color w:val="auto"/>
          <w:sz w:val="32"/>
          <w:highlight w:val="none"/>
        </w:rPr>
        <w:sectPr>
          <w:headerReference w:type="default" r:id="rId8"/>
          <w:footerReference w:type="even" r:id="rId9"/>
          <w:footnotePr/>
          <w:endnotePr/>
          <w:type w:val="nextPage"/>
          <w:pgSz w:w="11906" w:h="16838" w:orient="portrait"/>
          <w:pgMar w:top="1418" w:right="1134" w:bottom="1134" w:left="1418" w:header="851" w:footer="992" w:gutter="0"/>
          <w:cols w:num="1" w:sep="0" w:space="720" w:equalWidth="1"/>
          <w:docGrid w:linePitch="360"/>
        </w:sectPr>
      </w:pPr>
      <w:r>
        <w:rPr>
          <w:b/>
          <w:bCs/>
          <w:color w:val="auto"/>
          <w:sz w:val="32"/>
          <w:highlight w:val="none"/>
        </w:rPr>
      </w:r>
      <w:r/>
    </w:p>
    <w:p>
      <w:pPr>
        <w:pStyle w:val="891"/>
        <w:ind w:firstLine="0"/>
        <w:jc w:val="center"/>
        <w:spacing w:line="240" w:lineRule="auto"/>
        <w:rPr>
          <w:rFonts w:ascii="微软雅黑" w:eastAsia="微软雅黑"/>
          <w:bCs/>
          <w:color w:val="auto"/>
          <w:sz w:val="32"/>
          <w:szCs w:val="32"/>
          <w:highlight w:val="none"/>
        </w:rPr>
        <w:outlineLvl w:val="0"/>
      </w:pPr>
      <w:r/>
      <w:bookmarkStart w:id="0" w:name="_Toc10695"/>
      <w:r/>
      <w:bookmarkStart w:id="1" w:name="_Toc14973"/>
      <w:r>
        <w:rPr>
          <w:rFonts w:hint="eastAsia" w:ascii="微软雅黑" w:eastAsia="微软雅黑"/>
          <w:bCs/>
          <w:color w:val="auto"/>
          <w:sz w:val="32"/>
          <w:szCs w:val="32"/>
          <w:highlight w:val="none"/>
        </w:rPr>
        <w:t xml:space="preserve">第1章 竞争性磋商公告</w:t>
      </w:r>
      <w:bookmarkEnd w:id="0"/>
      <w:r/>
      <w:bookmarkEnd w:id="1"/>
      <w:r/>
      <w:r/>
    </w:p>
    <w:p>
      <w:pPr>
        <w:pStyle w:val="714"/>
        <w:ind w:firstLine="560"/>
        <w:spacing w:after="0" w:line="500" w:lineRule="exact"/>
        <w:rPr>
          <w:rFonts w:ascii="黑体" w:hAnsi="黑体" w:eastAsia="黑体"/>
          <w:color w:val="auto"/>
          <w:sz w:val="28"/>
          <w:szCs w:val="28"/>
          <w:highlight w:val="none"/>
        </w:rPr>
        <w:outlineLvl w:val="1"/>
      </w:pPr>
      <w:r/>
      <w:bookmarkStart w:id="2" w:name="_Toc35393629"/>
      <w:r/>
      <w:bookmarkStart w:id="3" w:name="_Toc28359012"/>
      <w:r/>
      <w:bookmarkStart w:id="4" w:name="_Toc1188"/>
      <w:r/>
      <w:bookmarkStart w:id="5" w:name="_Toc35393798"/>
      <w:r/>
      <w:bookmarkStart w:id="6" w:name="_Toc970"/>
      <w:r/>
      <w:bookmarkStart w:id="7" w:name="_Toc28359089"/>
      <w:r/>
      <w:bookmarkStart w:id="8" w:name="OLE_LINK2"/>
      <w:r>
        <w:rPr>
          <w:rFonts w:hint="eastAsia" w:ascii="黑体" w:hAnsi="黑体" w:eastAsia="黑体"/>
          <w:color w:val="auto"/>
          <w:sz w:val="28"/>
          <w:szCs w:val="28"/>
          <w:highlight w:val="none"/>
        </w:rPr>
        <w:t xml:space="preserve">一、项目基本情况</w:t>
      </w:r>
      <w:bookmarkEnd w:id="2"/>
      <w:r/>
      <w:bookmarkEnd w:id="3"/>
      <w:r/>
      <w:bookmarkEnd w:id="4"/>
      <w:r/>
      <w:bookmarkEnd w:id="5"/>
      <w:r/>
      <w:bookmarkEnd w:id="6"/>
      <w:r/>
      <w:bookmarkEnd w:id="7"/>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1.项目名称：如城街道安置区生活垃圾清运外包</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2.项目编号：JSZC-320682-NTJW-C2026-0027</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3.预算金额：人民币137.00万元/年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4.最高限价：人民币137.00万元/年，报价超过最高限价视为无效响应。</w:t>
      </w:r>
      <w:r/>
    </w:p>
    <w:p>
      <w:pPr>
        <w:ind w:firstLine="56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5.采购需求：本项目为如城街道安置区生活垃圾清运外包项目，详见第3章。</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合同履行期限：服务期拟定三年，合同一年一签，具体时间以采购人通知为准。第一年合同期满后，经采购人组织相关部门对履约情况进行验收，如服务良好，在不改变服务要求和服务价格前提下，采购人可与成交人按年续签合同，续签不超过两次。</w:t>
      </w:r>
      <w:r/>
    </w:p>
    <w:p>
      <w:pPr>
        <w:ind w:firstLine="56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7.本项目是否接受联合体：否。</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8.本项目是否专门面向中小企业采购：是。</w:t>
      </w:r>
      <w:r/>
    </w:p>
    <w:p>
      <w:pPr>
        <w:ind w:firstLine="560"/>
        <w:spacing w:line="500" w:lineRule="exact"/>
        <w:rPr>
          <w:rFonts w:ascii="仿宋" w:hAnsi="仿宋" w:eastAsia="仿宋"/>
          <w:color w:val="auto"/>
          <w:sz w:val="28"/>
          <w:szCs w:val="28"/>
          <w:highlight w:val="none"/>
        </w:rPr>
      </w:pPr>
      <w:r/>
      <w:bookmarkStart w:id="9" w:name="_Toc35393799"/>
      <w:r/>
      <w:bookmarkStart w:id="10" w:name="_Toc28359013"/>
      <w:r/>
      <w:bookmarkStart w:id="11" w:name="_Toc28359090"/>
      <w:r/>
      <w:bookmarkStart w:id="12" w:name="_Toc12736"/>
      <w:r/>
      <w:bookmarkStart w:id="13" w:name="_Toc35393630"/>
      <w:r>
        <w:rPr>
          <w:rFonts w:hint="eastAsia" w:ascii="仿宋" w:hAnsi="仿宋" w:eastAsia="仿宋"/>
          <w:color w:val="auto"/>
          <w:sz w:val="28"/>
          <w:szCs w:val="28"/>
          <w:highlight w:val="none"/>
        </w:rPr>
        <w:t xml:space="preserve">9.项目类型：服务。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10.项目所属行业：其</w:t>
      </w:r>
      <w:r>
        <w:rPr>
          <w:rFonts w:ascii="仿宋" w:hAnsi="仿宋" w:eastAsia="仿宋"/>
          <w:color w:val="auto"/>
          <w:sz w:val="28"/>
          <w:szCs w:val="28"/>
          <w:highlight w:val="none"/>
        </w:rPr>
        <w:t xml:space="preserve">他未列明行业。</w:t>
      </w:r>
      <w:r/>
    </w:p>
    <w:p>
      <w:pPr>
        <w:pStyle w:val="714"/>
        <w:ind w:firstLine="560"/>
        <w:spacing w:after="0" w:line="500" w:lineRule="exact"/>
        <w:rPr>
          <w:rFonts w:ascii="黑体" w:hAnsi="黑体" w:eastAsia="黑体"/>
          <w:color w:val="auto"/>
          <w:sz w:val="28"/>
          <w:szCs w:val="28"/>
          <w:highlight w:val="none"/>
        </w:rPr>
        <w:outlineLvl w:val="1"/>
      </w:pPr>
      <w:r/>
      <w:bookmarkStart w:id="14" w:name="_Toc7613"/>
      <w:r>
        <w:rPr>
          <w:rFonts w:hint="eastAsia" w:ascii="黑体" w:hAnsi="黑体" w:eastAsia="黑体"/>
          <w:color w:val="auto"/>
          <w:sz w:val="28"/>
          <w:szCs w:val="28"/>
          <w:highlight w:val="none"/>
        </w:rPr>
        <w:t xml:space="preserve">二、响应人的资格要求：</w:t>
      </w:r>
      <w:bookmarkEnd w:id="9"/>
      <w:r/>
      <w:bookmarkEnd w:id="10"/>
      <w:r/>
      <w:bookmarkEnd w:id="11"/>
      <w:r/>
      <w:bookmarkEnd w:id="12"/>
      <w:r/>
      <w:bookmarkEnd w:id="13"/>
      <w:r/>
      <w:bookmarkEnd w:id="14"/>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1.《中华人民共和国政府采购法》第二十二条规定的条件：</w:t>
      </w:r>
      <w:r/>
    </w:p>
    <w:p>
      <w:pPr>
        <w:pStyle w:val="730"/>
        <w:ind w:firstLine="560"/>
        <w:spacing w:before="0" w:beforeAutospacing="0" w:after="0" w:afterAutospacing="0" w:line="500" w:lineRule="exact"/>
        <w:rPr>
          <w:rFonts w:ascii="仿宋" w:hAnsi="仿宋" w:eastAsia="仿宋" w:cs="Times New Roman"/>
          <w:color w:val="auto"/>
          <w:sz w:val="28"/>
          <w:szCs w:val="28"/>
          <w:highlight w:val="none"/>
        </w:rPr>
      </w:pPr>
      <w:r/>
      <w:bookmarkStart w:id="15" w:name="_Toc28359091"/>
      <w:r/>
      <w:bookmarkStart w:id="16" w:name="_Toc28359014"/>
      <w:r>
        <w:rPr>
          <w:rFonts w:hint="eastAsia" w:ascii="仿宋" w:hAnsi="仿宋" w:eastAsia="仿宋" w:cs="Times New Roman"/>
          <w:color w:val="auto"/>
          <w:sz w:val="28"/>
          <w:szCs w:val="28"/>
          <w:highlight w:val="none"/>
        </w:rPr>
        <w:t xml:space="preserve">（1）具有独立承担民事责任的能力;</w:t>
      </w:r>
      <w:r/>
    </w:p>
    <w:p>
      <w:pPr>
        <w:pStyle w:val="730"/>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（2）具有良好的商业信誉和健全的财务会计制度;</w:t>
      </w:r>
      <w:r/>
    </w:p>
    <w:p>
      <w:pPr>
        <w:pStyle w:val="730"/>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（3）具有履行合同所必需的设备和专业技术能力;</w:t>
      </w:r>
      <w:r/>
    </w:p>
    <w:p>
      <w:pPr>
        <w:pStyle w:val="730"/>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（4）有依法缴纳税收和社会保障资金的良好记录;</w:t>
      </w:r>
      <w:r/>
    </w:p>
    <w:p>
      <w:pPr>
        <w:pStyle w:val="730"/>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（5）参加政府采购活动前三年内，在经营活动中没有重大违法记录;</w:t>
      </w:r>
      <w:r/>
    </w:p>
    <w:p>
      <w:pPr>
        <w:pStyle w:val="730"/>
        <w:ind w:firstLine="560"/>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（6）法律、行政法规规定的其他条件。</w:t>
      </w:r>
      <w:r/>
    </w:p>
    <w:p>
      <w:pPr>
        <w:ind w:firstLine="560"/>
        <w:spacing w:line="500" w:lineRule="exact"/>
        <w:rPr>
          <w:rFonts w:ascii="仿宋" w:hAnsi="仿宋" w:eastAsia="仿宋"/>
          <w:color w:val="auto"/>
          <w:sz w:val="28"/>
          <w:szCs w:val="28"/>
          <w:highlight w:val="none"/>
          <w:u w:val="singl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 落实政府采购政策需满足的资格要求：</w:t>
      </w:r>
      <w:r/>
    </w:p>
    <w:p>
      <w:pPr>
        <w:pStyle w:val="730"/>
        <w:ind w:firstLine="482"/>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提供《中小企业声明函》、《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w:t>
      </w:r>
      <w:r>
        <w:rPr>
          <w:rFonts w:ascii="仿宋" w:hAnsi="仿宋" w:eastAsia="仿宋" w:cs="Times New Roman"/>
          <w:color w:val="auto"/>
          <w:sz w:val="28"/>
          <w:szCs w:val="28"/>
          <w:highlight w:val="none"/>
        </w:rPr>
        <w:t xml:space="preserve">供应商</w:t>
      </w:r>
      <w:r>
        <w:rPr>
          <w:rFonts w:hint="eastAsia" w:ascii="仿宋" w:hAnsi="仿宋" w:eastAsia="仿宋" w:cs="Times New Roman"/>
          <w:color w:val="auto"/>
          <w:sz w:val="28"/>
          <w:szCs w:val="28"/>
          <w:highlight w:val="none"/>
        </w:rPr>
        <w:t xml:space="preserve">属于</w:t>
      </w:r>
      <w:r>
        <w:rPr>
          <w:rFonts w:ascii="仿宋" w:hAnsi="仿宋" w:eastAsia="仿宋" w:cs="Times New Roman"/>
          <w:color w:val="auto"/>
          <w:sz w:val="28"/>
          <w:szCs w:val="28"/>
          <w:highlight w:val="none"/>
        </w:rPr>
        <w:t xml:space="preserve">小微企业</w:t>
      </w:r>
      <w:r>
        <w:rPr>
          <w:rFonts w:hint="eastAsia" w:ascii="仿宋" w:hAnsi="仿宋" w:eastAsia="仿宋" w:cs="Times New Roman"/>
          <w:color w:val="auto"/>
          <w:sz w:val="28"/>
          <w:szCs w:val="28"/>
          <w:highlight w:val="none"/>
        </w:rPr>
        <w:t xml:space="preserve">、</w:t>
      </w:r>
      <w:r>
        <w:rPr>
          <w:rFonts w:ascii="仿宋" w:hAnsi="仿宋" w:eastAsia="仿宋" w:cs="Times New Roman"/>
          <w:color w:val="auto"/>
          <w:sz w:val="28"/>
          <w:szCs w:val="28"/>
          <w:highlight w:val="none"/>
        </w:rPr>
        <w:t xml:space="preserve">监狱企业</w:t>
      </w:r>
      <w:r>
        <w:rPr>
          <w:rFonts w:hint="eastAsia" w:ascii="仿宋" w:hAnsi="仿宋" w:eastAsia="仿宋" w:cs="Times New Roman"/>
          <w:color w:val="auto"/>
          <w:sz w:val="28"/>
          <w:szCs w:val="28"/>
          <w:highlight w:val="none"/>
        </w:rPr>
        <w:t xml:space="preserve">或者</w:t>
      </w:r>
      <w:r>
        <w:rPr>
          <w:rFonts w:ascii="仿宋" w:hAnsi="仿宋" w:eastAsia="仿宋" w:cs="Times New Roman"/>
          <w:color w:val="auto"/>
          <w:sz w:val="28"/>
          <w:szCs w:val="28"/>
          <w:highlight w:val="none"/>
        </w:rPr>
        <w:t xml:space="preserve">残疾人福利性单位的</w:t>
      </w:r>
      <w:r>
        <w:rPr>
          <w:rFonts w:hint="eastAsia" w:ascii="仿宋" w:hAnsi="仿宋" w:eastAsia="仿宋" w:cs="Times New Roman"/>
          <w:color w:val="auto"/>
          <w:sz w:val="28"/>
          <w:szCs w:val="28"/>
          <w:highlight w:val="none"/>
        </w:rPr>
        <w:t xml:space="preserve">，享受价格扣除优惠。</w:t>
      </w:r>
      <w:r/>
    </w:p>
    <w:p>
      <w:pPr>
        <w:pStyle w:val="730"/>
        <w:ind w:firstLine="567"/>
        <w:spacing w:before="0" w:beforeAutospacing="0" w:after="0" w:afterAutospacing="0" w:line="500" w:lineRule="exact"/>
        <w:rPr>
          <w:rFonts w:hint="eastAsia" w:ascii="仿宋" w:hAnsi="仿宋" w:eastAsia="仿宋"/>
          <w:b/>
          <w:bCs/>
          <w:color w:val="auto"/>
          <w:sz w:val="28"/>
          <w:szCs w:val="28"/>
          <w:highlight w:val="none"/>
          <w:u w:val="single"/>
          <w:lang w:val="en-US" w:eastAsia="zh-CN"/>
        </w:rPr>
      </w:pPr>
      <w:r>
        <w:rPr>
          <w:rFonts w:hint="eastAsia" w:ascii="仿宋" w:hAnsi="仿宋" w:eastAsia="仿宋" w:cs="Times New Roman"/>
          <w:color w:val="auto"/>
          <w:sz w:val="28"/>
          <w:szCs w:val="28"/>
          <w:highlight w:val="none"/>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rPr>
          <w:rFonts w:hint="eastAsia" w:ascii="仿宋" w:hAnsi="仿宋" w:eastAsia="仿宋" w:cs="Times New Roman"/>
          <w:b/>
          <w:bCs/>
          <w:color w:val="auto"/>
          <w:sz w:val="28"/>
          <w:szCs w:val="28"/>
          <w:highlight w:val="none"/>
          <w:lang w:val="en-US" w:eastAsia="zh-CN"/>
        </w:rPr>
        <w:t xml:space="preserve">响应供应商须提供承诺函，格式自拟，不提供视为无效响应。</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 本项目的特定资格要求：</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无。</w:t>
      </w:r>
      <w:r/>
    </w:p>
    <w:p>
      <w:pPr>
        <w:pStyle w:val="730"/>
        <w:ind w:firstLine="567"/>
        <w:spacing w:before="0" w:beforeAutospacing="0" w:after="0" w:afterAutospacing="0" w:line="500" w:lineRule="exact"/>
        <w:rPr>
          <w:rFonts w:ascii="仿宋" w:hAnsi="仿宋" w:eastAsia="仿宋" w:cs="Times New Roman"/>
          <w:color w:val="auto"/>
          <w:sz w:val="28"/>
          <w:szCs w:val="28"/>
          <w:highlight w:val="none"/>
        </w:rPr>
      </w:pPr>
      <w:r>
        <w:rPr>
          <w:rFonts w:hint="eastAsia" w:ascii="仿宋" w:hAnsi="仿宋" w:eastAsia="仿宋"/>
          <w:iCs/>
          <w:color w:val="auto"/>
          <w:sz w:val="28"/>
          <w:szCs w:val="28"/>
          <w:highlight w:val="none"/>
        </w:rPr>
        <w:t xml:space="preserve">5.</w:t>
      </w:r>
      <w:r>
        <w:rPr>
          <w:rFonts w:hint="eastAsia" w:ascii="仿宋" w:hAnsi="仿宋" w:eastAsia="仿宋"/>
          <w:color w:val="auto"/>
          <w:sz w:val="28"/>
          <w:szCs w:val="28"/>
          <w:highlight w:val="none"/>
        </w:rPr>
        <w:t xml:space="preserve"> 供应商的法定代表人参加竞争性磋商活动的，须在响应文件中提供法定代表人身份证明和身份证复印件；委托代理人参加竞争性磋商活动的，还须在响应文件中提供法定代表人的</w:t>
      </w:r>
      <w:r>
        <w:rPr>
          <w:rFonts w:hint="eastAsia" w:ascii="仿宋" w:hAnsi="仿宋" w:eastAsia="仿宋"/>
          <w:iCs/>
          <w:color w:val="auto"/>
          <w:sz w:val="28"/>
          <w:szCs w:val="28"/>
          <w:highlight w:val="none"/>
        </w:rPr>
        <w:t xml:space="preserve">授权委托书。</w:t>
      </w:r>
      <w:r/>
    </w:p>
    <w:p>
      <w:pPr>
        <w:ind w:firstLine="560"/>
        <w:spacing w:line="500" w:lineRule="exact"/>
        <w:rPr>
          <w:rFonts w:ascii="仿宋" w:hAnsi="仿宋" w:eastAsia="仿宋"/>
          <w:i/>
          <w:iCs/>
          <w:color w:val="auto"/>
          <w:sz w:val="28"/>
          <w:szCs w:val="28"/>
          <w:highlight w:val="none"/>
          <w:u w:val="single"/>
        </w:rPr>
      </w:pPr>
      <w:r>
        <w:rPr>
          <w:rFonts w:hint="eastAsia" w:ascii="仿宋" w:hAnsi="仿宋" w:eastAsia="仿宋"/>
          <w:color w:val="auto"/>
          <w:sz w:val="28"/>
          <w:szCs w:val="28"/>
          <w:highlight w:val="none"/>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pStyle w:val="714"/>
        <w:ind w:firstLine="560"/>
        <w:spacing w:after="0" w:line="500" w:lineRule="exact"/>
        <w:rPr>
          <w:rFonts w:ascii="黑体" w:hAnsi="黑体" w:eastAsia="黑体"/>
          <w:color w:val="auto"/>
          <w:sz w:val="28"/>
          <w:szCs w:val="28"/>
          <w:highlight w:val="none"/>
        </w:rPr>
        <w:outlineLvl w:val="1"/>
      </w:pPr>
      <w:r/>
      <w:bookmarkStart w:id="17" w:name="_Toc29239"/>
      <w:r/>
      <w:bookmarkStart w:id="18" w:name="_Toc6227"/>
      <w:r/>
      <w:bookmarkStart w:id="19" w:name="_Toc35393631"/>
      <w:r/>
      <w:bookmarkStart w:id="20" w:name="_Toc35393800"/>
      <w:r>
        <w:rPr>
          <w:rFonts w:hint="eastAsia" w:ascii="黑体" w:hAnsi="黑体" w:eastAsia="黑体"/>
          <w:color w:val="auto"/>
          <w:sz w:val="28"/>
          <w:szCs w:val="28"/>
          <w:highlight w:val="none"/>
        </w:rPr>
        <w:t xml:space="preserve">三、获取竞争性磋商文件</w:t>
      </w:r>
      <w:bookmarkEnd w:id="15"/>
      <w:r/>
      <w:bookmarkEnd w:id="16"/>
      <w:r/>
      <w:bookmarkEnd w:id="17"/>
      <w:r/>
      <w:bookmarkEnd w:id="18"/>
      <w:r/>
      <w:bookmarkEnd w:id="19"/>
      <w:r/>
      <w:bookmarkEnd w:id="20"/>
      <w:r/>
      <w:r/>
    </w:p>
    <w:p>
      <w:pPr>
        <w:ind w:firstLine="54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 时间：</w:t>
      </w:r>
      <w:r>
        <w:rPr>
          <w:rFonts w:hint="eastAsia" w:ascii="仿宋" w:hAnsi="仿宋" w:eastAsia="仿宋" w:cs="仿宋"/>
          <w:color w:val="auto"/>
          <w:sz w:val="28"/>
          <w:szCs w:val="28"/>
          <w:highlight w:val="none"/>
        </w:rPr>
        <w:t xml:space="preserve">自公告发布之日起5个工作日内。</w:t>
      </w:r>
      <w:r/>
    </w:p>
    <w:p>
      <w:pPr>
        <w:ind w:firstLine="54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 地点：江苏省政府采购网</w:t>
      </w:r>
      <w:r/>
    </w:p>
    <w:p>
      <w:pPr>
        <w:ind w:firstLine="54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3.方式：</w:t>
      </w:r>
      <w:r>
        <w:rPr>
          <w:rFonts w:hint="eastAsia" w:ascii="仿宋" w:hAnsi="仿宋" w:eastAsia="仿宋" w:cs="仿宋"/>
          <w:color w:val="auto"/>
          <w:sz w:val="28"/>
          <w:szCs w:val="28"/>
          <w:highlight w:val="none"/>
        </w:rPr>
        <w:t xml:space="preserve">本项目采用“苏采云”系统网上注册登记方式，具体详见《江苏省政府采购管理交易系统（苏采云）投标人操作手册》。</w:t>
      </w:r>
      <w:r/>
    </w:p>
    <w:p>
      <w:pPr>
        <w:pStyle w:val="714"/>
        <w:ind w:firstLine="560"/>
        <w:spacing w:after="0" w:line="500" w:lineRule="exact"/>
        <w:rPr>
          <w:rFonts w:ascii="黑体" w:hAnsi="黑体" w:eastAsia="黑体"/>
          <w:color w:val="auto"/>
          <w:sz w:val="28"/>
          <w:szCs w:val="28"/>
          <w:highlight w:val="none"/>
        </w:rPr>
        <w:outlineLvl w:val="1"/>
      </w:pPr>
      <w:r/>
      <w:bookmarkStart w:id="21" w:name="_Toc35393632"/>
      <w:r/>
      <w:bookmarkStart w:id="22" w:name="_Toc28359092"/>
      <w:r/>
      <w:bookmarkStart w:id="23" w:name="_Toc28359015"/>
      <w:r/>
      <w:bookmarkStart w:id="24" w:name="_Toc35393801"/>
      <w:r/>
      <w:bookmarkStart w:id="25" w:name="_Toc26090"/>
      <w:r/>
      <w:bookmarkStart w:id="26" w:name="_Toc16942"/>
      <w:r>
        <w:rPr>
          <w:rFonts w:hint="eastAsia" w:ascii="黑体" w:hAnsi="黑体" w:eastAsia="黑体"/>
          <w:color w:val="auto"/>
          <w:sz w:val="28"/>
          <w:szCs w:val="28"/>
          <w:highlight w:val="none"/>
        </w:rPr>
        <w:t xml:space="preserve">四、</w:t>
      </w:r>
      <w:bookmarkEnd w:id="21"/>
      <w:r/>
      <w:bookmarkEnd w:id="22"/>
      <w:r/>
      <w:bookmarkEnd w:id="23"/>
      <w:r/>
      <w:bookmarkEnd w:id="24"/>
      <w:r>
        <w:rPr>
          <w:rFonts w:hint="eastAsia" w:ascii="黑体" w:hAnsi="黑体" w:eastAsia="黑体"/>
          <w:color w:val="auto"/>
          <w:sz w:val="28"/>
          <w:szCs w:val="28"/>
          <w:highlight w:val="none"/>
        </w:rPr>
        <w:t xml:space="preserve">竞争性磋商响应文件提交和开启</w:t>
      </w:r>
      <w:bookmarkEnd w:id="25"/>
      <w:r/>
      <w:bookmarkEnd w:id="26"/>
      <w:r/>
      <w:r/>
    </w:p>
    <w:p>
      <w:pPr>
        <w:ind w:firstLine="560"/>
        <w:spacing w:line="5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截止时间：2026</w:t>
      </w:r>
      <w:r>
        <w:rPr>
          <w:rFonts w:hint="eastAsia" w:ascii="仿宋" w:hAnsi="仿宋" w:eastAsia="仿宋"/>
          <w:bCs/>
          <w:color w:val="auto"/>
          <w:sz w:val="28"/>
          <w:szCs w:val="28"/>
          <w:highlight w:val="none"/>
        </w:rPr>
        <w:t xml:space="preserve">年</w:t>
      </w:r>
      <w:r>
        <w:rPr>
          <w:rFonts w:hint="eastAsia" w:ascii="仿宋" w:hAnsi="仿宋" w:eastAsia="仿宋"/>
          <w:bCs/>
          <w:color w:val="auto"/>
          <w:sz w:val="28"/>
          <w:szCs w:val="28"/>
          <w:highlight w:val="none"/>
          <w:lang w:val="en-US" w:eastAsia="zh-CN"/>
        </w:rPr>
        <w:t xml:space="preserve">8</w:t>
      </w:r>
      <w:r>
        <w:rPr>
          <w:rFonts w:hint="eastAsia" w:ascii="仿宋" w:hAnsi="仿宋" w:eastAsia="仿宋"/>
          <w:bCs/>
          <w:color w:val="auto"/>
          <w:sz w:val="28"/>
          <w:szCs w:val="28"/>
          <w:highlight w:val="none"/>
        </w:rPr>
        <w:t xml:space="preserve">月</w:t>
      </w:r>
      <w:r>
        <w:rPr>
          <w:rFonts w:hint="eastAsia" w:ascii="仿宋" w:hAnsi="仿宋" w:eastAsia="仿宋"/>
          <w:bCs/>
          <w:color w:val="auto"/>
          <w:sz w:val="28"/>
          <w:szCs w:val="28"/>
          <w:highlight w:val="none"/>
          <w:lang w:val="en-US" w:eastAsia="zh-CN"/>
        </w:rPr>
        <w:t xml:space="preserve">24</w:t>
      </w:r>
      <w:r>
        <w:rPr>
          <w:rFonts w:hint="eastAsia" w:ascii="仿宋" w:hAnsi="仿宋" w:eastAsia="仿宋"/>
          <w:bCs/>
          <w:color w:val="auto"/>
          <w:sz w:val="28"/>
          <w:szCs w:val="28"/>
          <w:highlight w:val="none"/>
        </w:rPr>
        <w:t xml:space="preserve">日09点00分（北京时间）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地点：通过“苏采云”系统提交，具体详见《江苏省政府采购管理交易系统（苏采云）投标人操作手册》。</w:t>
      </w:r>
      <w:r/>
    </w:p>
    <w:p>
      <w:pPr>
        <w:ind w:firstLine="560"/>
        <w:spacing w:line="5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开启时间：2026</w:t>
      </w:r>
      <w:r>
        <w:rPr>
          <w:rFonts w:hint="eastAsia" w:ascii="仿宋" w:hAnsi="仿宋" w:eastAsia="仿宋"/>
          <w:bCs/>
          <w:color w:val="auto"/>
          <w:sz w:val="28"/>
          <w:szCs w:val="28"/>
          <w:highlight w:val="none"/>
        </w:rPr>
        <w:t xml:space="preserve">年</w:t>
      </w:r>
      <w:r>
        <w:rPr>
          <w:rFonts w:hint="eastAsia" w:ascii="仿宋" w:hAnsi="仿宋" w:eastAsia="仿宋"/>
          <w:bCs/>
          <w:color w:val="auto"/>
          <w:sz w:val="28"/>
          <w:szCs w:val="28"/>
          <w:highlight w:val="none"/>
          <w:lang w:val="en-US" w:eastAsia="zh-CN"/>
        </w:rPr>
        <w:t xml:space="preserve">8</w:t>
      </w:r>
      <w:r>
        <w:rPr>
          <w:rFonts w:hint="eastAsia" w:ascii="仿宋" w:hAnsi="仿宋" w:eastAsia="仿宋"/>
          <w:bCs/>
          <w:color w:val="auto"/>
          <w:sz w:val="28"/>
          <w:szCs w:val="28"/>
          <w:highlight w:val="none"/>
        </w:rPr>
        <w:t xml:space="preserve">月</w:t>
      </w:r>
      <w:r>
        <w:rPr>
          <w:rFonts w:hint="eastAsia" w:ascii="仿宋" w:hAnsi="仿宋" w:eastAsia="仿宋"/>
          <w:bCs/>
          <w:color w:val="auto"/>
          <w:sz w:val="28"/>
          <w:szCs w:val="28"/>
          <w:highlight w:val="none"/>
          <w:lang w:val="en-US" w:eastAsia="zh-CN"/>
        </w:rPr>
        <w:t xml:space="preserve">24</w:t>
      </w:r>
      <w:r>
        <w:rPr>
          <w:rFonts w:hint="eastAsia" w:ascii="仿宋" w:hAnsi="仿宋" w:eastAsia="仿宋"/>
          <w:bCs/>
          <w:color w:val="auto"/>
          <w:sz w:val="28"/>
          <w:szCs w:val="28"/>
          <w:highlight w:val="none"/>
        </w:rPr>
        <w:t xml:space="preserve">日09点00分（北京时间）</w:t>
      </w:r>
      <w:r/>
    </w:p>
    <w:p>
      <w:pPr>
        <w:ind w:firstLine="560"/>
        <w:spacing w:line="50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开启地点：</w:t>
      </w:r>
      <w:r>
        <w:rPr>
          <w:rFonts w:ascii="仿宋" w:hAnsi="仿宋" w:eastAsia="仿宋"/>
          <w:color w:val="auto"/>
          <w:sz w:val="28"/>
          <w:szCs w:val="28"/>
          <w:highlight w:val="none"/>
        </w:rPr>
        <w:t xml:space="preserve">“苏采云”系统（网址：http://jszfcg.jsczt.cn/）“开标大厅”。</w:t>
      </w:r>
      <w:r/>
    </w:p>
    <w:p>
      <w:pPr>
        <w:pStyle w:val="714"/>
        <w:ind w:firstLine="560"/>
        <w:spacing w:after="0" w:line="500" w:lineRule="exact"/>
        <w:rPr>
          <w:rFonts w:ascii="黑体" w:hAnsi="黑体" w:eastAsia="黑体"/>
          <w:color w:val="auto"/>
          <w:sz w:val="28"/>
          <w:szCs w:val="28"/>
          <w:highlight w:val="none"/>
        </w:rPr>
        <w:outlineLvl w:val="1"/>
      </w:pPr>
      <w:r/>
      <w:bookmarkStart w:id="27" w:name="_Toc16672"/>
      <w:r/>
      <w:bookmarkStart w:id="28" w:name="_Toc28359094"/>
      <w:r/>
      <w:bookmarkStart w:id="29" w:name="_Toc9224"/>
      <w:r/>
      <w:bookmarkStart w:id="30" w:name="_Toc28359017"/>
      <w:r/>
      <w:bookmarkStart w:id="31" w:name="_Toc35393634"/>
      <w:r/>
      <w:bookmarkStart w:id="32" w:name="_Toc35393803"/>
      <w:r>
        <w:rPr>
          <w:rFonts w:hint="eastAsia" w:ascii="黑体" w:hAnsi="黑体" w:eastAsia="黑体"/>
          <w:color w:val="auto"/>
          <w:sz w:val="28"/>
          <w:szCs w:val="28"/>
          <w:highlight w:val="none"/>
        </w:rPr>
        <w:t xml:space="preserve">五、公告期限</w:t>
      </w:r>
      <w:bookmarkEnd w:id="27"/>
      <w:r/>
      <w:bookmarkEnd w:id="28"/>
      <w:r/>
      <w:bookmarkEnd w:id="29"/>
      <w:r/>
      <w:bookmarkEnd w:id="30"/>
      <w:r/>
      <w:bookmarkEnd w:id="31"/>
      <w:r/>
      <w:bookmarkEnd w:id="32"/>
      <w:r/>
      <w:r/>
    </w:p>
    <w:p>
      <w:pPr>
        <w:ind w:firstLine="56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自本公告发布之日起3个工作日。</w:t>
      </w:r>
      <w:r/>
    </w:p>
    <w:p>
      <w:pPr>
        <w:pStyle w:val="714"/>
        <w:ind w:firstLine="560"/>
        <w:spacing w:after="0" w:line="500" w:lineRule="exact"/>
        <w:rPr>
          <w:rFonts w:ascii="黑体" w:hAnsi="黑体" w:eastAsia="黑体"/>
          <w:color w:val="auto"/>
          <w:sz w:val="28"/>
          <w:szCs w:val="28"/>
          <w:highlight w:val="none"/>
        </w:rPr>
        <w:outlineLvl w:val="1"/>
      </w:pPr>
      <w:r/>
      <w:bookmarkStart w:id="33" w:name="_Toc35393635"/>
      <w:r/>
      <w:bookmarkStart w:id="34" w:name="_Toc19385"/>
      <w:r/>
      <w:bookmarkStart w:id="35" w:name="_Toc7021"/>
      <w:r/>
      <w:bookmarkStart w:id="36" w:name="_Toc35393804"/>
      <w:r>
        <w:rPr>
          <w:rFonts w:hint="eastAsia" w:ascii="黑体" w:hAnsi="黑体" w:eastAsia="黑体"/>
          <w:color w:val="auto"/>
          <w:sz w:val="28"/>
          <w:szCs w:val="28"/>
          <w:highlight w:val="none"/>
        </w:rPr>
        <w:t xml:space="preserve">六、其他补充事宜</w:t>
      </w:r>
      <w:bookmarkEnd w:id="33"/>
      <w:r/>
      <w:bookmarkEnd w:id="34"/>
      <w:r/>
      <w:bookmarkEnd w:id="35"/>
      <w:r/>
      <w:bookmarkEnd w:id="36"/>
      <w:r/>
      <w:r/>
    </w:p>
    <w:p>
      <w:pPr>
        <w:ind w:firstLine="565"/>
        <w:spacing w:line="500" w:lineRule="exact"/>
        <w:rPr>
          <w:rFonts w:ascii="仿宋" w:hAnsi="仿宋" w:eastAsia="仿宋" w:cs="宋体"/>
          <w:bCs/>
          <w:color w:val="auto"/>
          <w:sz w:val="28"/>
          <w:szCs w:val="28"/>
          <w:highlight w:val="none"/>
        </w:rPr>
      </w:pPr>
      <w:r>
        <w:rPr>
          <w:rFonts w:hint="eastAsia" w:ascii="仿宋" w:hAnsi="仿宋" w:eastAsia="仿宋" w:cs="宋体"/>
          <w:color w:val="auto"/>
          <w:sz w:val="28"/>
          <w:szCs w:val="28"/>
          <w:highlight w:val="none"/>
        </w:rPr>
        <w:t xml:space="preserve">1.</w:t>
      </w:r>
      <w:r>
        <w:rPr>
          <w:rFonts w:hint="eastAsia" w:ascii="仿宋" w:hAnsi="仿宋" w:eastAsia="仿宋" w:cs="宋体"/>
          <w:bCs/>
          <w:color w:val="auto"/>
          <w:sz w:val="28"/>
          <w:szCs w:val="28"/>
          <w:highlight w:val="none"/>
        </w:rPr>
        <w:t xml:space="preserve">本项目采用电子化交易模式，</w:t>
      </w:r>
      <w:r>
        <w:rPr>
          <w:rFonts w:hint="eastAsia" w:ascii="仿宋" w:hAnsi="仿宋" w:eastAsia="仿宋"/>
          <w:color w:val="auto"/>
          <w:sz w:val="28"/>
          <w:szCs w:val="28"/>
          <w:highlight w:val="none"/>
        </w:rPr>
        <w:t xml:space="preserve">具体详见《江苏省政府采购管理交易系统（苏采云）投标人操作手册》，特别</w:t>
      </w:r>
      <w:r>
        <w:rPr>
          <w:rFonts w:hint="eastAsia" w:ascii="仿宋" w:hAnsi="仿宋" w:eastAsia="仿宋" w:cs="宋体"/>
          <w:bCs/>
          <w:color w:val="auto"/>
          <w:sz w:val="28"/>
          <w:szCs w:val="28"/>
          <w:highlight w:val="none"/>
        </w:rPr>
        <w:t xml:space="preserve">注意以下事项：</w:t>
      </w:r>
      <w:r/>
    </w:p>
    <w:p>
      <w:pPr>
        <w:ind w:firstLine="560"/>
        <w:spacing w:line="500" w:lineRule="exact"/>
        <w:rPr>
          <w:rFonts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（1）“苏采云”系统的网址为：http://jszfcg.jsczt.cn/；</w:t>
      </w:r>
      <w:r/>
    </w:p>
    <w:p>
      <w:pPr>
        <w:ind w:firstLine="560"/>
        <w:spacing w:line="500" w:lineRule="exact"/>
        <w:rPr>
          <w:rFonts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（2）响应供应商需办理“CA 数字证书”的，可参阅“江苏省政府采购网/办事指南/资料下载”中有关资料。（</w:t>
      </w:r>
      <w:r>
        <w:rPr>
          <w:color w:val="auto"/>
          <w:highlight w:val="none"/>
        </w:rPr>
        <w:fldChar w:fldCharType="begin"/>
      </w:r>
      <w:r>
        <w:rPr>
          <w:color w:val="auto"/>
          <w:highlight w:val="none"/>
        </w:rPr>
        <w:instrText xml:space="preserve"> HYPERLINK "http://jsxcmm.com/help/gys.html" </w:instrText>
      </w:r>
      <w:r>
        <w:rPr>
          <w:color w:val="auto"/>
          <w:highlight w:val="none"/>
        </w:rPr>
        <w:fldChar w:fldCharType="separate"/>
      </w:r>
      <w:r>
        <w:rPr>
          <w:rStyle w:val="738"/>
          <w:rFonts w:ascii="仿宋" w:hAnsi="仿宋" w:eastAsia="仿宋" w:cs="宋体"/>
          <w:bCs/>
          <w:color w:val="auto"/>
          <w:sz w:val="28"/>
          <w:szCs w:val="28"/>
          <w:highlight w:val="none"/>
        </w:rPr>
        <w:t xml:space="preserve">http://jsxcmm.com/help/gys.html</w:t>
      </w:r>
      <w:r>
        <w:rPr>
          <w:rStyle w:val="738"/>
          <w:rFonts w:ascii="仿宋" w:hAnsi="仿宋" w:eastAsia="仿宋" w:cs="宋体"/>
          <w:bCs/>
          <w:color w:val="auto"/>
          <w:sz w:val="28"/>
          <w:szCs w:val="28"/>
          <w:highlight w:val="none"/>
        </w:rPr>
        <w:fldChar w:fldCharType="end"/>
      </w:r>
      <w:r>
        <w:rPr>
          <w:rFonts w:ascii="仿宋" w:hAnsi="仿宋" w:eastAsia="仿宋" w:cs="宋体"/>
          <w:bCs/>
          <w:color w:val="auto"/>
          <w:sz w:val="28"/>
          <w:szCs w:val="28"/>
          <w:highlight w:val="none"/>
        </w:rPr>
        <w:t xml:space="preserve">）</w:t>
      </w:r>
      <w:r>
        <w:rPr>
          <w:rFonts w:hint="eastAsia" w:ascii="仿宋" w:hAnsi="仿宋" w:eastAsia="仿宋" w:cs="宋体"/>
          <w:bCs/>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s="仿宋"/>
          <w:color w:val="auto"/>
          <w:sz w:val="28"/>
          <w:szCs w:val="28"/>
          <w:highlight w:val="none"/>
        </w:rPr>
        <w:t xml:space="preserve">（3）</w:t>
      </w:r>
      <w:r>
        <w:rPr>
          <w:rFonts w:ascii="仿宋" w:hAnsi="仿宋" w:eastAsia="仿宋"/>
          <w:color w:val="auto"/>
          <w:sz w:val="28"/>
          <w:szCs w:val="28"/>
          <w:highlight w:val="none"/>
        </w:rPr>
        <w:t xml:space="preserve">使用谷歌浏览器。</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w:t>
      </w:r>
      <w:r>
        <w:rPr>
          <w:rFonts w:ascii="仿宋" w:hAnsi="仿宋" w:eastAsia="仿宋"/>
          <w:color w:val="auto"/>
          <w:sz w:val="28"/>
          <w:szCs w:val="28"/>
          <w:highlight w:val="none"/>
        </w:rPr>
        <w:t xml:space="preserve">提前准备好麦克风、音响，摄像头，</w:t>
      </w:r>
      <w:r>
        <w:rPr>
          <w:rFonts w:hint="eastAsia" w:ascii="仿宋" w:hAnsi="仿宋" w:eastAsia="仿宋"/>
          <w:color w:val="auto"/>
          <w:sz w:val="28"/>
          <w:szCs w:val="28"/>
          <w:highlight w:val="none"/>
        </w:rPr>
        <w:t xml:space="preserve">并</w:t>
      </w:r>
      <w:r>
        <w:rPr>
          <w:rFonts w:ascii="仿宋" w:hAnsi="仿宋" w:eastAsia="仿宋"/>
          <w:color w:val="auto"/>
          <w:sz w:val="28"/>
          <w:szCs w:val="28"/>
          <w:highlight w:val="none"/>
        </w:rPr>
        <w:t xml:space="preserve">检查保证能够正常使用。</w:t>
      </w:r>
      <w:r/>
    </w:p>
    <w:p>
      <w:pPr>
        <w:ind w:firstLine="560"/>
        <w:spacing w:line="500" w:lineRule="exact"/>
        <w:rPr>
          <w:rFonts w:ascii="仿宋" w:hAnsi="仿宋" w:eastAsia="仿宋" w:cs="宋体"/>
          <w:bCs/>
          <w:color w:val="auto"/>
          <w:sz w:val="28"/>
          <w:szCs w:val="28"/>
          <w:highlight w:val="none"/>
        </w:rPr>
      </w:pPr>
      <w:r>
        <w:rPr>
          <w:rFonts w:hint="eastAsia" w:ascii="仿宋" w:hAnsi="仿宋" w:eastAsia="仿宋"/>
          <w:color w:val="auto"/>
          <w:sz w:val="28"/>
          <w:szCs w:val="28"/>
          <w:highlight w:val="none"/>
        </w:rPr>
        <w:t xml:space="preserve">（5）</w:t>
      </w:r>
      <w:r>
        <w:rPr>
          <w:rFonts w:ascii="仿宋" w:hAnsi="仿宋" w:eastAsia="仿宋"/>
          <w:color w:val="auto"/>
          <w:sz w:val="28"/>
          <w:szCs w:val="28"/>
          <w:highlight w:val="none"/>
        </w:rPr>
        <w:t xml:space="preserve">操作系统至少win7以上，建议使用win10操作系统。</w:t>
      </w:r>
      <w:r/>
    </w:p>
    <w:p>
      <w:pPr>
        <w:ind w:firstLine="560"/>
        <w:spacing w:line="500" w:lineRule="exact"/>
        <w:rPr>
          <w:rFonts w:ascii="仿宋" w:hAnsi="仿宋" w:eastAsia="仿宋"/>
          <w:b/>
          <w:color w:val="auto"/>
          <w:sz w:val="28"/>
          <w:szCs w:val="28"/>
          <w:highlight w:val="none"/>
        </w:rPr>
      </w:pPr>
      <w:r>
        <w:rPr>
          <w:rFonts w:hint="eastAsia" w:ascii="仿宋" w:hAnsi="仿宋" w:eastAsia="仿宋" w:cs="宋体"/>
          <w:bCs/>
          <w:color w:val="auto"/>
          <w:sz w:val="28"/>
          <w:szCs w:val="28"/>
          <w:highlight w:val="none"/>
        </w:rPr>
        <w:t xml:space="preserve">（6）供应商应当通过“苏采云”系统提交电子响应文件，响应文件不得超过150M。</w:t>
      </w:r>
      <w:r/>
    </w:p>
    <w:p>
      <w:pPr>
        <w:ind w:firstLine="565"/>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 磋商</w:t>
      </w:r>
      <w:r>
        <w:rPr>
          <w:rFonts w:ascii="仿宋" w:hAnsi="仿宋" w:eastAsia="仿宋" w:cs="宋体"/>
          <w:color w:val="auto"/>
          <w:sz w:val="28"/>
          <w:szCs w:val="28"/>
          <w:highlight w:val="none"/>
        </w:rPr>
        <w:t xml:space="preserve">保证金</w:t>
      </w:r>
      <w:r>
        <w:rPr>
          <w:rFonts w:hint="eastAsia" w:ascii="仿宋" w:hAnsi="仿宋" w:eastAsia="仿宋" w:cs="宋体"/>
          <w:color w:val="auto"/>
          <w:sz w:val="28"/>
          <w:szCs w:val="28"/>
          <w:highlight w:val="none"/>
        </w:rPr>
        <w:t xml:space="preserve">及履约保证金</w:t>
      </w:r>
      <w:r>
        <w:rPr>
          <w:rFonts w:ascii="仿宋" w:hAnsi="仿宋" w:eastAsia="仿宋" w:cs="宋体"/>
          <w:color w:val="auto"/>
          <w:sz w:val="28"/>
          <w:szCs w:val="28"/>
          <w:highlight w:val="none"/>
        </w:rPr>
        <w:t xml:space="preserve">：免收</w:t>
      </w:r>
      <w:r>
        <w:rPr>
          <w:rFonts w:hint="eastAsia" w:ascii="仿宋" w:hAnsi="仿宋" w:eastAsia="仿宋" w:cs="宋体"/>
          <w:color w:val="auto"/>
          <w:sz w:val="28"/>
          <w:szCs w:val="28"/>
          <w:highlight w:val="none"/>
        </w:rPr>
        <w:t xml:space="preserve">。</w:t>
      </w:r>
      <w:r/>
    </w:p>
    <w:p>
      <w:pPr>
        <w:ind w:firstLine="565"/>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3.本项目</w:t>
      </w:r>
      <w:r>
        <w:rPr>
          <w:rFonts w:hint="eastAsia" w:ascii="仿宋" w:hAnsi="仿宋" w:eastAsia="仿宋"/>
          <w:color w:val="auto"/>
          <w:sz w:val="28"/>
          <w:szCs w:val="28"/>
          <w:highlight w:val="none"/>
        </w:rPr>
        <w:t xml:space="preserve">为了保证响应供应商能全面了解本项目实际情况，避免盲目投标，特别提醒所有响应供应商需自行组织人员踏勘现场，踏勘前与采购人联系预约，自行负责现场踏勘安全。如响应供应商选择不踏勘现场，造成项目需求理解偏差、</w:t>
      </w:r>
      <w:r>
        <w:rPr>
          <w:rFonts w:ascii="仿宋" w:hAnsi="仿宋" w:eastAsia="仿宋"/>
          <w:color w:val="auto"/>
          <w:sz w:val="28"/>
          <w:szCs w:val="28"/>
          <w:highlight w:val="none"/>
        </w:rPr>
        <w:t xml:space="preserve">方案编制失误</w:t>
      </w:r>
      <w:r>
        <w:rPr>
          <w:rFonts w:hint="eastAsia" w:ascii="仿宋" w:hAnsi="仿宋" w:eastAsia="仿宋"/>
          <w:color w:val="auto"/>
          <w:sz w:val="28"/>
          <w:szCs w:val="28"/>
          <w:highlight w:val="none"/>
        </w:rPr>
        <w:t xml:space="preserve">或响应报价失误均由响应供应商自行承担；</w:t>
      </w:r>
      <w:r>
        <w:rPr>
          <w:rFonts w:ascii="仿宋" w:hAnsi="仿宋" w:eastAsia="仿宋"/>
          <w:color w:val="auto"/>
          <w:sz w:val="28"/>
          <w:szCs w:val="28"/>
          <w:highlight w:val="none"/>
        </w:rPr>
        <w:t xml:space="preserve">因</w:t>
      </w:r>
      <w:r>
        <w:rPr>
          <w:rFonts w:hint="eastAsia" w:ascii="仿宋" w:hAnsi="仿宋" w:eastAsia="仿宋"/>
          <w:color w:val="auto"/>
          <w:sz w:val="28"/>
          <w:szCs w:val="28"/>
          <w:highlight w:val="none"/>
        </w:rPr>
        <w:t xml:space="preserve">响应供应商</w:t>
      </w:r>
      <w:r>
        <w:rPr>
          <w:rFonts w:ascii="仿宋" w:hAnsi="仿宋" w:eastAsia="仿宋"/>
          <w:color w:val="auto"/>
          <w:sz w:val="28"/>
          <w:szCs w:val="28"/>
          <w:highlight w:val="none"/>
        </w:rPr>
        <w:t xml:space="preserve">自身不能参加现场勘察或现场踏勘不全面的，不得因此提出修改报价或履约过程中提出索赔等要求。</w:t>
      </w:r>
      <w:r/>
    </w:p>
    <w:p>
      <w:pPr>
        <w:pStyle w:val="714"/>
        <w:ind w:firstLine="560"/>
        <w:spacing w:after="0" w:line="500" w:lineRule="exact"/>
        <w:rPr>
          <w:rFonts w:ascii="黑体" w:hAnsi="黑体" w:eastAsia="黑体"/>
          <w:color w:val="auto"/>
          <w:sz w:val="28"/>
          <w:szCs w:val="28"/>
          <w:highlight w:val="none"/>
        </w:rPr>
        <w:outlineLvl w:val="1"/>
      </w:pPr>
      <w:r/>
      <w:bookmarkStart w:id="37" w:name="_Toc35393636"/>
      <w:r/>
      <w:bookmarkStart w:id="38" w:name="_Toc28359095"/>
      <w:r/>
      <w:bookmarkStart w:id="39" w:name="_Toc35393805"/>
      <w:r/>
      <w:bookmarkStart w:id="40" w:name="_Toc24238"/>
      <w:r/>
      <w:bookmarkStart w:id="41" w:name="_Toc26578"/>
      <w:r/>
      <w:bookmarkStart w:id="42" w:name="_Toc28359018"/>
      <w:r>
        <w:rPr>
          <w:rFonts w:hint="eastAsia" w:ascii="黑体" w:hAnsi="黑体" w:eastAsia="黑体"/>
          <w:color w:val="auto"/>
          <w:sz w:val="28"/>
          <w:szCs w:val="28"/>
          <w:highlight w:val="none"/>
        </w:rPr>
        <w:t xml:space="preserve">七、凡对本次采购提出询问，请按</w:t>
      </w:r>
      <w:r>
        <w:rPr>
          <w:rFonts w:ascii="黑体" w:hAnsi="黑体" w:eastAsia="黑体"/>
          <w:color w:val="auto"/>
          <w:sz w:val="28"/>
          <w:szCs w:val="28"/>
          <w:highlight w:val="none"/>
        </w:rPr>
        <w:t xml:space="preserve">以下方式</w:t>
      </w:r>
      <w:r>
        <w:rPr>
          <w:rFonts w:hint="eastAsia" w:ascii="黑体" w:hAnsi="黑体" w:eastAsia="黑体"/>
          <w:color w:val="auto"/>
          <w:sz w:val="28"/>
          <w:szCs w:val="28"/>
          <w:highlight w:val="none"/>
        </w:rPr>
        <w:t xml:space="preserve">联系。</w:t>
      </w:r>
      <w:bookmarkEnd w:id="37"/>
      <w:r/>
      <w:bookmarkEnd w:id="38"/>
      <w:r/>
      <w:bookmarkEnd w:id="39"/>
      <w:r/>
      <w:bookmarkEnd w:id="40"/>
      <w:r/>
      <w:bookmarkEnd w:id="41"/>
      <w:r/>
      <w:bookmarkEnd w:id="42"/>
      <w:r/>
      <w:r/>
    </w:p>
    <w:p>
      <w:pPr>
        <w:ind w:firstLine="540"/>
        <w:spacing w:line="500" w:lineRule="exact"/>
        <w:rPr>
          <w:rFonts w:ascii="仿宋" w:hAnsi="仿宋" w:eastAsia="仿宋" w:cs="宋体"/>
          <w:color w:val="auto"/>
          <w:sz w:val="28"/>
          <w:szCs w:val="28"/>
          <w:highlight w:val="none"/>
        </w:rPr>
      </w:pPr>
      <w:r/>
      <w:bookmarkStart w:id="43" w:name="_Toc35393637"/>
      <w:r/>
      <w:bookmarkStart w:id="44" w:name="_Toc35393806"/>
      <w:r/>
      <w:bookmarkStart w:id="45" w:name="_Toc28359019"/>
      <w:r/>
      <w:bookmarkStart w:id="46" w:name="_Toc28359096"/>
      <w:r>
        <w:rPr>
          <w:rFonts w:hint="eastAsia" w:ascii="仿宋" w:hAnsi="仿宋" w:eastAsia="仿宋" w:cs="宋体"/>
          <w:color w:val="auto"/>
          <w:sz w:val="28"/>
          <w:szCs w:val="28"/>
          <w:highlight w:val="none"/>
        </w:rPr>
        <w:t xml:space="preserve">1. 采购人信息</w:t>
      </w:r>
      <w:bookmarkEnd w:id="43"/>
      <w:r/>
      <w:bookmarkEnd w:id="44"/>
      <w:r/>
      <w:bookmarkEnd w:id="45"/>
      <w:r/>
      <w:bookmarkEnd w:id="46"/>
      <w:r/>
      <w:r/>
    </w:p>
    <w:p>
      <w:pPr>
        <w:ind w:left="1129" w:hanging="350"/>
        <w:jc w:val="left"/>
        <w:spacing w:line="500" w:lineRule="exact"/>
        <w:rPr>
          <w:rFonts w:ascii="仿宋" w:hAnsi="仿宋" w:eastAsia="仿宋"/>
          <w:color w:val="auto"/>
          <w:sz w:val="28"/>
          <w:szCs w:val="28"/>
          <w:highlight w:val="none"/>
        </w:rPr>
      </w:pPr>
      <w:r/>
      <w:bookmarkStart w:id="47" w:name="_Toc28359097"/>
      <w:r/>
      <w:bookmarkStart w:id="48" w:name="_Toc35393807"/>
      <w:r/>
      <w:bookmarkStart w:id="49" w:name="_Toc28359020"/>
      <w:r/>
      <w:bookmarkStart w:id="50" w:name="_Toc35393638"/>
      <w:r>
        <w:rPr>
          <w:rFonts w:hint="eastAsia" w:ascii="仿宋" w:hAnsi="仿宋" w:eastAsia="仿宋"/>
          <w:color w:val="auto"/>
          <w:sz w:val="28"/>
          <w:szCs w:val="28"/>
          <w:highlight w:val="none"/>
        </w:rPr>
        <w:t xml:space="preserve">名    称：如皋市人民政府如城街道办事处</w:t>
      </w:r>
      <w:r/>
    </w:p>
    <w:p>
      <w:pPr>
        <w:ind w:left="1129" w:hanging="35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    址：如皋市福寿西路379号</w:t>
      </w:r>
      <w:r/>
    </w:p>
    <w:p>
      <w:pPr>
        <w:ind w:left="1129" w:hanging="35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项目经办人姓名：王国鸿</w:t>
      </w:r>
      <w:r/>
    </w:p>
    <w:p>
      <w:pPr>
        <w:ind w:left="1129" w:hanging="35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项目经办人联系方式：15706279777</w:t>
      </w:r>
      <w:r/>
    </w:p>
    <w:p>
      <w:pPr>
        <w:ind w:firstLine="54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 采购代理机构信息</w:t>
      </w:r>
      <w:bookmarkEnd w:id="47"/>
      <w:r/>
      <w:bookmarkEnd w:id="48"/>
      <w:r/>
      <w:bookmarkEnd w:id="49"/>
      <w:r/>
      <w:bookmarkEnd w:id="50"/>
      <w:r/>
      <w:r/>
    </w:p>
    <w:p>
      <w:pPr>
        <w:ind w:firstLine="84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名    称：南通泾天纬地项目管理有限公司</w:t>
      </w:r>
      <w:r/>
    </w:p>
    <w:p>
      <w:pPr>
        <w:ind w:firstLine="84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　　址：如皋市如城街道惠政路269号纪庄大楼9层</w:t>
      </w:r>
      <w:r/>
    </w:p>
    <w:p>
      <w:pPr>
        <w:ind w:firstLine="84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项目经办人姓名：宗海燕</w:t>
      </w:r>
      <w:r/>
    </w:p>
    <w:p>
      <w:pPr>
        <w:ind w:firstLine="84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项目经办人联系方式：0513-87610696</w:t>
      </w:r>
      <w:r/>
    </w:p>
    <w:p>
      <w:pPr>
        <w:ind w:firstLine="840"/>
        <w:spacing w:line="500" w:lineRule="exact"/>
        <w:rPr>
          <w:rFonts w:ascii="仿宋" w:hAnsi="仿宋" w:eastAsia="仿宋"/>
          <w:color w:val="auto"/>
          <w:sz w:val="28"/>
          <w:szCs w:val="28"/>
          <w:highlight w:val="none"/>
          <w:u w:val="single"/>
        </w:rPr>
      </w:pPr>
      <w:r>
        <w:rPr>
          <w:rFonts w:ascii="仿宋" w:hAnsi="仿宋" w:eastAsia="仿宋"/>
          <w:color w:val="auto"/>
          <w:sz w:val="28"/>
          <w:szCs w:val="28"/>
          <w:highlight w:val="none"/>
          <w:u w:val="single"/>
        </w:rPr>
      </w:r>
      <w:r/>
    </w:p>
    <w:p>
      <w:pPr>
        <w:spacing w:line="500" w:lineRule="exact"/>
        <w:rPr>
          <w:rFonts w:ascii="仿宋" w:hAnsi="仿宋" w:eastAsia="仿宋"/>
          <w:b/>
          <w:color w:val="auto"/>
          <w:sz w:val="28"/>
          <w:szCs w:val="28"/>
          <w:highlight w:val="none"/>
        </w:rPr>
      </w:pPr>
      <w:r>
        <w:rPr>
          <w:rFonts w:ascii="仿宋" w:hAnsi="仿宋" w:eastAsia="仿宋"/>
          <w:b/>
          <w:color w:val="auto"/>
          <w:sz w:val="28"/>
          <w:szCs w:val="28"/>
          <w:highlight w:val="none"/>
        </w:rPr>
        <w:t xml:space="preserve">附件:</w:t>
      </w:r>
      <w:r/>
    </w:p>
    <w:p>
      <w:pPr>
        <w:ind w:firstLine="562"/>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1.办理政采贷和履约保函（保险）告知函</w:t>
      </w:r>
      <w:r/>
    </w:p>
    <w:p>
      <w:pPr>
        <w:ind w:firstLine="562"/>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2.磋商</w:t>
      </w:r>
      <w:r>
        <w:rPr>
          <w:rFonts w:ascii="仿宋" w:hAnsi="仿宋" w:eastAsia="仿宋"/>
          <w:b/>
          <w:color w:val="auto"/>
          <w:sz w:val="28"/>
          <w:szCs w:val="28"/>
          <w:highlight w:val="none"/>
        </w:rPr>
        <w:t xml:space="preserve">文件</w:t>
      </w:r>
      <w:r/>
    </w:p>
    <w:p>
      <w:pPr>
        <w:pStyle w:val="891"/>
        <w:ind w:firstLine="562"/>
        <w:spacing w:before="0" w:after="0"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3.采购人</w:t>
      </w:r>
      <w:r>
        <w:rPr>
          <w:rFonts w:ascii="仿宋" w:hAnsi="仿宋" w:eastAsia="仿宋"/>
          <w:b/>
          <w:color w:val="auto"/>
          <w:sz w:val="28"/>
          <w:szCs w:val="28"/>
          <w:highlight w:val="none"/>
        </w:rPr>
        <w:t xml:space="preserve">信用承诺</w:t>
      </w:r>
      <w:r/>
    </w:p>
    <w:p>
      <w:pPr>
        <w:pStyle w:val="891"/>
        <w:ind w:firstLine="0"/>
        <w:jc w:val="center"/>
        <w:spacing w:line="240" w:lineRule="auto"/>
        <w:rPr>
          <w:rFonts w:ascii="微软雅黑" w:eastAsia="微软雅黑"/>
          <w:bCs/>
          <w:color w:val="auto"/>
          <w:sz w:val="32"/>
          <w:szCs w:val="32"/>
          <w:highlight w:val="none"/>
        </w:rPr>
        <w:outlineLvl w:val="0"/>
      </w:pPr>
      <w:r>
        <w:rPr>
          <w:rFonts w:ascii="仿宋" w:hAnsi="仿宋" w:eastAsia="仿宋"/>
          <w:b/>
          <w:color w:val="auto"/>
          <w:sz w:val="28"/>
          <w:szCs w:val="28"/>
          <w:highlight w:val="none"/>
        </w:rPr>
        <w:br w:type="page" w:clear="all"/>
      </w:r>
      <w:bookmarkStart w:id="51" w:name="_Toc14146"/>
      <w:r/>
      <w:bookmarkStart w:id="52" w:name="_Toc3732"/>
      <w:r>
        <w:rPr>
          <w:rFonts w:hint="eastAsia" w:ascii="微软雅黑" w:eastAsia="微软雅黑"/>
          <w:bCs/>
          <w:color w:val="auto"/>
          <w:sz w:val="32"/>
          <w:szCs w:val="32"/>
          <w:highlight w:val="none"/>
        </w:rPr>
        <w:t xml:space="preserve">第2章 磋商须知</w:t>
      </w:r>
      <w:bookmarkEnd w:id="51"/>
      <w:r/>
      <w:bookmarkEnd w:id="52"/>
      <w:r/>
      <w:r/>
    </w:p>
    <w:p>
      <w:pPr>
        <w:ind w:firstLine="560"/>
        <w:spacing w:line="500" w:lineRule="exact"/>
        <w:rPr>
          <w:rFonts w:ascii="黑体" w:hAnsi="黑体" w:eastAsia="黑体"/>
          <w:color w:val="auto"/>
          <w:sz w:val="28"/>
          <w:szCs w:val="28"/>
          <w:highlight w:val="none"/>
        </w:rPr>
        <w:outlineLvl w:val="1"/>
      </w:pPr>
      <w:r/>
      <w:bookmarkStart w:id="53" w:name="_Toc15387"/>
      <w:r/>
      <w:bookmarkStart w:id="54" w:name="_Toc19309"/>
      <w:r>
        <w:rPr>
          <w:rFonts w:hint="eastAsia" w:ascii="黑体" w:hAnsi="黑体" w:eastAsia="黑体"/>
          <w:color w:val="auto"/>
          <w:sz w:val="28"/>
          <w:szCs w:val="28"/>
          <w:highlight w:val="none"/>
        </w:rPr>
        <w:t xml:space="preserve">1. 参加磋商费用</w:t>
      </w:r>
      <w:bookmarkEnd w:id="53"/>
      <w:r/>
      <w:bookmarkEnd w:id="54"/>
      <w:r/>
      <w:r/>
    </w:p>
    <w:p>
      <w:pPr>
        <w:ind w:firstLine="560"/>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参加竞争性磋商活动的供应商，应自行承担所有与准备和参加竞争性磋商活动有关的费用，无论磋商过程中做法和结果如何，采购人或者代理机构在任何情况下均无义务和责任承担这些费用。</w:t>
      </w:r>
      <w:r/>
    </w:p>
    <w:p>
      <w:pPr>
        <w:ind w:firstLine="560"/>
        <w:spacing w:line="500" w:lineRule="exact"/>
        <w:tabs>
          <w:tab w:val="left" w:pos="900" w:leader="none"/>
        </w:tabs>
        <w:rPr>
          <w:rFonts w:ascii="黑体" w:hAnsi="黑体" w:eastAsia="黑体"/>
          <w:color w:val="auto"/>
          <w:sz w:val="28"/>
          <w:szCs w:val="28"/>
          <w:highlight w:val="none"/>
        </w:rPr>
        <w:outlineLvl w:val="1"/>
      </w:pPr>
      <w:r/>
      <w:bookmarkStart w:id="55" w:name="_Toc30979"/>
      <w:r/>
      <w:bookmarkStart w:id="56" w:name="_Toc17078"/>
      <w:r>
        <w:rPr>
          <w:rFonts w:hint="eastAsia" w:ascii="黑体" w:hAnsi="黑体" w:eastAsia="黑体"/>
          <w:color w:val="auto"/>
          <w:sz w:val="28"/>
          <w:szCs w:val="28"/>
          <w:highlight w:val="none"/>
        </w:rPr>
        <w:t xml:space="preserve">2. 磋商文件的约束力</w:t>
      </w:r>
      <w:bookmarkEnd w:id="55"/>
      <w:r/>
      <w:bookmarkEnd w:id="56"/>
      <w:r/>
      <w:r/>
    </w:p>
    <w:p>
      <w:pPr>
        <w:ind w:firstLine="560"/>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2.1供应商一旦参加本项目磋商活动，即被认为接受了本磋商文件的规定和约束。本磋商文件由磋商公告、磋商须知、采购需求、合同文本、评审标准和评审方法、响应文件组成、以及</w:t>
      </w:r>
      <w:r>
        <w:rPr>
          <w:rFonts w:hint="eastAsia" w:ascii="仿宋" w:hAnsi="仿宋" w:eastAsia="仿宋"/>
          <w:bCs/>
          <w:color w:val="auto"/>
          <w:sz w:val="28"/>
          <w:szCs w:val="28"/>
          <w:highlight w:val="none"/>
        </w:rPr>
        <w:t xml:space="preserve">“苏采云”系统相关要求</w:t>
      </w:r>
      <w:r>
        <w:rPr>
          <w:rFonts w:hint="eastAsia" w:ascii="仿宋" w:hAnsi="仿宋" w:eastAsia="仿宋"/>
          <w:color w:val="auto"/>
          <w:sz w:val="28"/>
          <w:szCs w:val="28"/>
          <w:highlight w:val="none"/>
        </w:rPr>
        <w:t xml:space="preserve">等部分组成。</w:t>
      </w:r>
      <w:r/>
    </w:p>
    <w:p>
      <w:pPr>
        <w:ind w:firstLine="560"/>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2.2提交首次响应文件截止之日前，采购人、采购代理机构或者磋商小组可以对已发出的磋商文件进行必要的澄清或者修改，通过“苏采云”系统发布澄清公告或者修改的内容，并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r/>
    </w:p>
    <w:p>
      <w:pPr>
        <w:ind w:firstLine="560"/>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2.3 澄清或者修改的内容可能影响响应文件编制的，采购人、采购代理机构应当在提交首次响应文件截止时间至少5日前，以发布更正公告形式通知所有获取磋商文件的供应商；不足5日的，采购人、采购代理机构应当顺延提交首次响应文件截止时间。</w:t>
      </w:r>
      <w:r/>
    </w:p>
    <w:p>
      <w:pPr>
        <w:ind w:firstLine="560"/>
        <w:spacing w:line="500" w:lineRule="exact"/>
        <w:rPr>
          <w:rFonts w:ascii="黑体" w:hAnsi="黑体" w:eastAsia="黑体"/>
          <w:color w:val="auto"/>
          <w:sz w:val="28"/>
          <w:szCs w:val="28"/>
          <w:highlight w:val="none"/>
        </w:rPr>
        <w:outlineLvl w:val="1"/>
      </w:pPr>
      <w:r/>
      <w:bookmarkStart w:id="57" w:name="_Toc14943"/>
      <w:r/>
      <w:bookmarkStart w:id="58" w:name="_Toc20431"/>
      <w:r>
        <w:rPr>
          <w:rFonts w:hint="eastAsia" w:ascii="黑体" w:hAnsi="黑体" w:eastAsia="黑体"/>
          <w:color w:val="auto"/>
          <w:sz w:val="28"/>
          <w:szCs w:val="28"/>
          <w:highlight w:val="none"/>
        </w:rPr>
        <w:t xml:space="preserve">3.响应文件编制</w:t>
      </w:r>
      <w:bookmarkEnd w:id="57"/>
      <w:r/>
      <w:bookmarkEnd w:id="58"/>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3.1 供应商应认真阅读竞争性磋商文件中所有的事项、格式、条款和规范等要求。按竞争性磋商文件要求和规定编制响应文件，并保证所提供的全部资料的真实性，以使其响应文件对磋商文件作出实质性响应，否则其风险由供应商自行承担</w:t>
      </w:r>
      <w:r>
        <w:rPr>
          <w:rFonts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 </w:t>
      </w:r>
      <w:r>
        <w:rPr>
          <w:rFonts w:hint="eastAsia" w:ascii="仿宋" w:hAnsi="仿宋" w:eastAsia="仿宋"/>
          <w:bCs/>
          <w:color w:val="auto"/>
          <w:sz w:val="28"/>
          <w:szCs w:val="28"/>
          <w:highlight w:val="none"/>
        </w:rPr>
        <w:t xml:space="preserve">除技术性能另有规定外，响应文件所使用的度量衡单位，均须采用国家法定计量单位</w:t>
      </w:r>
      <w:r>
        <w:rPr>
          <w:rFonts w:ascii="仿宋" w:hAnsi="仿宋" w:eastAsia="仿宋"/>
          <w:color w:val="auto"/>
          <w:sz w:val="28"/>
          <w:szCs w:val="28"/>
          <w:highlight w:val="none"/>
        </w:rPr>
        <w:t xml:space="preserve">。</w:t>
      </w:r>
      <w:r/>
    </w:p>
    <w:p>
      <w:pPr>
        <w:ind w:firstLine="560"/>
        <w:spacing w:line="500" w:lineRule="exact"/>
        <w:tabs>
          <w:tab w:val="left" w:pos="900" w:leader="none"/>
        </w:tabs>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3.3 供应商编写的响应文件应包括资格审查文件、商务技术文件、报价文件等部分，具体按照“第6章 响应文件组成”要求编写</w:t>
      </w:r>
      <w:r>
        <w:rPr>
          <w:rFonts w:ascii="仿宋" w:hAnsi="仿宋" w:eastAsia="仿宋"/>
          <w:color w:val="auto"/>
          <w:sz w:val="28"/>
          <w:szCs w:val="28"/>
          <w:highlight w:val="none"/>
        </w:rPr>
        <w:t xml:space="preserve">。</w:t>
      </w:r>
      <w:r/>
    </w:p>
    <w:p>
      <w:pPr>
        <w:ind w:firstLine="560"/>
        <w:spacing w:line="500" w:lineRule="exact"/>
        <w:rPr>
          <w:rFonts w:ascii="黑体" w:hAnsi="黑体" w:eastAsia="黑体"/>
          <w:color w:val="auto"/>
          <w:sz w:val="28"/>
          <w:szCs w:val="28"/>
          <w:highlight w:val="none"/>
        </w:rPr>
        <w:outlineLvl w:val="1"/>
      </w:pPr>
      <w:r/>
      <w:bookmarkStart w:id="59" w:name="_Toc6745"/>
      <w:r/>
      <w:bookmarkStart w:id="60" w:name="_Toc16063"/>
      <w:r>
        <w:rPr>
          <w:rFonts w:hint="eastAsia" w:ascii="黑体" w:hAnsi="黑体" w:eastAsia="黑体"/>
          <w:color w:val="auto"/>
          <w:sz w:val="28"/>
          <w:szCs w:val="28"/>
          <w:highlight w:val="none"/>
        </w:rPr>
        <w:t xml:space="preserve">4.响应文件提交、撤回和修改</w:t>
      </w:r>
      <w:bookmarkEnd w:id="59"/>
      <w:r/>
      <w:bookmarkEnd w:id="60"/>
      <w:r/>
      <w:r/>
    </w:p>
    <w:p>
      <w:pPr>
        <w:ind w:firstLine="560"/>
        <w:spacing w:line="5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4.1 供应商</w:t>
      </w:r>
      <w:r>
        <w:rPr>
          <w:rFonts w:hint="eastAsia" w:ascii="仿宋" w:hAnsi="仿宋" w:eastAsia="仿宋"/>
          <w:bCs/>
          <w:color w:val="auto"/>
          <w:sz w:val="28"/>
          <w:szCs w:val="28"/>
          <w:highlight w:val="none"/>
        </w:rPr>
        <w:t xml:space="preserve">对CA证书妥善保管，如被他人盗用投标，因此带来的结果均由供应商自行承担。</w:t>
      </w:r>
      <w:r/>
    </w:p>
    <w:p>
      <w:pPr>
        <w:ind w:firstLine="560"/>
        <w:spacing w:line="5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4.2 </w:t>
      </w:r>
      <w:r>
        <w:rPr>
          <w:rFonts w:hint="eastAsia" w:ascii="仿宋" w:hAnsi="仿宋" w:eastAsia="仿宋"/>
          <w:bCs/>
          <w:color w:val="auto"/>
          <w:sz w:val="28"/>
          <w:szCs w:val="28"/>
          <w:highlight w:val="none"/>
        </w:rPr>
        <w:t xml:space="preserve">供应商应当按照采购文件和“苏采云”系统的要求编制并加密响应文件。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4.3 供应商应当对采购文件提出的实质性要求和条件作出实质性响应，并在电子投标系统逐条应答。</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4.4 供应商应对要求提供的资格证明文件（如资质证书、资格证书）、技术资料（如白皮书、彩页、手册、检测报告等）扫描上传至投标系统。</w:t>
      </w:r>
      <w:r/>
    </w:p>
    <w:p>
      <w:pPr>
        <w:ind w:firstLine="560"/>
        <w:spacing w:line="50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4.5 供应商须通过“苏采云”系统提供的政府采购客户端工具（使用“CA数字证书”）加盖电子签章，并对电子响应文件加密。未按规定加密的响应文件，“苏采云”系统拒收并提示。</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4.7 供应商可在响应文件提交截止时间前，撤回其电子响应文件，具体操作方法见《</w:t>
      </w:r>
      <w:r>
        <w:rPr>
          <w:rFonts w:hint="eastAsia" w:ascii="仿宋" w:hAnsi="仿宋" w:eastAsia="仿宋"/>
          <w:color w:val="auto"/>
          <w:sz w:val="28"/>
          <w:szCs w:val="28"/>
          <w:highlight w:val="none"/>
        </w:rPr>
        <w:t xml:space="preserve">江苏省政府采购管理交易系统（苏采云）投标人操作手册</w:t>
      </w:r>
      <w:r>
        <w:rPr>
          <w:rFonts w:hint="eastAsia" w:ascii="仿宋" w:hAnsi="仿宋" w:eastAsia="仿宋"/>
          <w:bCs/>
          <w:color w:val="auto"/>
          <w:sz w:val="28"/>
          <w:szCs w:val="28"/>
          <w:highlight w:val="none"/>
        </w:rPr>
        <w:t xml:space="preserve">》。供应商撤回电子响应文件的，则认为其不再参与本项目磋商活动。</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4.8供应商可在响应文件提交截止时间前，对其电子响应文件进行修改。在响应文件提交截止时间之后，供应商不得对其电子响应文件作任何修改。</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4.9 采购代理机构可以通过修改磋商文件，酌情延长响应文件提交截止时间。</w:t>
      </w:r>
      <w:r/>
    </w:p>
    <w:p>
      <w:pPr>
        <w:ind w:firstLine="560"/>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4.10 响应文件的有效期：从提交响应文件截止日起90天。</w:t>
      </w:r>
      <w:r/>
    </w:p>
    <w:p>
      <w:pPr>
        <w:ind w:firstLine="560"/>
        <w:spacing w:line="500" w:lineRule="exact"/>
        <w:tabs>
          <w:tab w:val="left" w:pos="900" w:leader="none"/>
        </w:tabs>
        <w:rPr>
          <w:rFonts w:ascii="仿宋" w:hAnsi="仿宋" w:eastAsia="仿宋"/>
          <w:color w:val="auto"/>
          <w:sz w:val="28"/>
          <w:szCs w:val="28"/>
          <w:highlight w:val="none"/>
        </w:rPr>
        <w:outlineLvl w:val="1"/>
      </w:pPr>
      <w:r/>
      <w:bookmarkStart w:id="61" w:name="_Toc17701"/>
      <w:r/>
      <w:bookmarkStart w:id="62" w:name="_Toc1591"/>
      <w:r>
        <w:rPr>
          <w:rFonts w:hint="eastAsia" w:ascii="黑体" w:hAnsi="黑体" w:eastAsia="黑体"/>
          <w:color w:val="auto"/>
          <w:sz w:val="28"/>
          <w:szCs w:val="28"/>
          <w:highlight w:val="none"/>
        </w:rPr>
        <w:t xml:space="preserve">5. 磋商</w:t>
      </w:r>
      <w:bookmarkEnd w:id="61"/>
      <w:r/>
      <w:bookmarkEnd w:id="62"/>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 采购人或者代理机构将在竞争性磋商公告中规定的时间和地点组织竞争性磋商活动。</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5.2竞争性磋商开始前，供应商使用CA数字证书登录“苏采云”系统，并根据开标会议区发出响应文件解密的指令，在30分钟之内使用CA数字证书解密各自响应文件。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5.3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r/>
    </w:p>
    <w:p>
      <w:pPr>
        <w:ind w:firstLine="560"/>
        <w:spacing w:line="50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5.4因采购人原因或网上招投标平台发生故障，导致无法按时完成响应文件解密或评审工作无法进行的，可根据实际情况相应延迟解密时间或调整评审时间。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5.5 磋商小组由政府采购评审专家、采购人代表组成。评审专家不得以评审专家身份参加本部门或本单位采购项目的评审。达到公开招标限额标准的项目，磋商小组应当由5人以上单数组成。</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5.6 磋商小组对响应文件的有效性、完整性和响应程度进行审查。磋商小组在审查分为资格审查、符合性审查和综合评审。响应供应商未通过资格审查、符合性审查的，告知其具体原因。</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5.7 磋商小组审查时，可以通过视频会议，要求供应商对响应文件中含义不明确、同类问题表述不一致或者有明显文字和计算错误的内容等作出必要的澄清、说明或者更正。</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5.8 </w:t>
      </w:r>
      <w:r>
        <w:rPr>
          <w:rFonts w:hint="eastAsia" w:ascii="仿宋" w:hAnsi="仿宋" w:eastAsia="仿宋"/>
          <w:bCs/>
          <w:color w:val="auto"/>
          <w:sz w:val="28"/>
          <w:szCs w:val="28"/>
          <w:highlight w:val="none"/>
        </w:rPr>
        <w:t xml:space="preserve">接到澄清要求的供应商，应在磋商小组规定的时间内做出澄清，澄清的内容作为响应文件的补充部分，</w:t>
      </w:r>
      <w:r>
        <w:rPr>
          <w:rFonts w:hint="eastAsia" w:ascii="仿宋" w:hAnsi="仿宋" w:eastAsia="仿宋"/>
          <w:color w:val="auto"/>
          <w:sz w:val="28"/>
          <w:szCs w:val="28"/>
          <w:highlight w:val="none"/>
        </w:rPr>
        <w:t xml:space="preserve">但澄清、说明或者更正不得超出响应文件的范围或者改变响应文件的实质性内容。</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5.9 </w:t>
      </w:r>
      <w:r>
        <w:rPr>
          <w:rFonts w:hint="eastAsia" w:ascii="仿宋" w:hAnsi="仿宋" w:eastAsia="仿宋"/>
          <w:bCs/>
          <w:color w:val="auto"/>
          <w:sz w:val="28"/>
          <w:szCs w:val="28"/>
          <w:highlight w:val="none"/>
        </w:rPr>
        <w:t xml:space="preserve">供应商在评审全过程中应保持通讯畅通，并安排专人与采购人或采购代理机构及磋商小组联系</w:t>
      </w:r>
      <w:r>
        <w:rPr>
          <w:rFonts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5.10各响应供应商请关注开标大厅交流区，响应文件解密结束后，请勿离开开标大厅。在资格审查、符合性审查和综合评审结束后，根据采购人或采购代理机构通知，须在20分钟内填写并提交最后报价。未在规定时间内提交最后报价的，视为退出磋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5.11在磋商过程中，磋商小组可以根据磋商文件和磋商情况实质性变动采购需求中的技术、服务要求以及合同草案条款。对磋商文件作出的实质性变动是磋商文件的有效组成部分，磋商小组及时以书面形式通知所有参加磋商的供应商。供应商应当按照磋商文件的变动情况和磋商小组的要求重新提交响应文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5.12需经磋商由供应商提供最终设计方案或解决方案的，磋商结束后，磋商小组按照少数服从多数的原则投票推荐3家以上供应商的设计方案或者解决方案，并要求其在规定时间内提交最后报价。</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5.13在通过资格审查、符合性审查的供应商中，有多家供应商提供相同品牌的产品或者核心产品的，按一家响应供应商计算，评审后得分最高的供应商获得成交人推荐资格；评审得分相同的，报价最低的供应商获得成交人推荐资格，报价相同的，采取随机抽取方式确定，其他同品牌供应商不得作为成交候选人。</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5.14 有下列情形之一的，视为供应商串通，其响应无效：</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5.14.1不同供应商的响应文件由同一单位或者个人编制；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5.14.2不同供应商的电子响应文件由同一台电子设备编制、打包、加密或者上传；</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5.14.3 不同供应商的响应文件由同一供应商的电子设备打印、复印；</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5.14.4不同供应商的响应报价用同一个预算编制软件密码锁制作或者出自同一供应商的电子文档；</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5.14.5不同供应商从同一个单位或者同一个自然人的互联网协议地址下载竞争性磋商文件、上传响应文件；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5.14.6 不同供应商的响应文件异常一致或者响应报价呈规律性差异；</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5.14.7 不同供应商委托同一单位或者个人办理磋商事宜；</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5.14.8不同供应商的响应文件载明的项目管理成员或者联系人员为同一人；</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5.14.9不同供应商的磋商保证金虽然经由供应商自己的基本账户转出，但所需资金来自同一单位或者个人的账户。</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5.15出现下列情形之一的，磋商小组应当启动异常低价响应审查程序： </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5.15.1.响应报价低于全部通过符合性审查供应商响应报价平均值50%的，即响应报价&lt;全部通过符合性审查供应商响应报价平均值×50%；</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5.15.2.响应报价低于通过符合性审查的次低报价供应商响应报价50%的，即响应报价&lt;通过符合性审查的次低报价供应商响应报价×50%；</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5.15.3.响应报价低于采购项目最高限价45%的，即响应报价&lt;采购项目最高限价×45%；</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5.15.4.磋商小组基于专业判断，认为供应商报价过低，有可能影响产品质量或者不能诚信履约的其他情形。</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磋商小组应当要求相关供应商在评审现场不少于30分钟时间内对响应价格作出解释，提供项目具体成本测算等与报价合理性相关的书面说明及必要的证明材料，包括但不限于原材料成本、人工成本、制造费用等。</w:t>
      </w:r>
      <w:r/>
    </w:p>
    <w:p>
      <w:pPr>
        <w:ind w:firstLine="562"/>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560"/>
        <w:spacing w:line="500" w:lineRule="exact"/>
        <w:rPr>
          <w:rFonts w:ascii="黑体" w:hAnsi="黑体" w:eastAsia="黑体"/>
          <w:bCs/>
          <w:color w:val="auto"/>
          <w:sz w:val="28"/>
          <w:szCs w:val="28"/>
          <w:highlight w:val="none"/>
        </w:rPr>
        <w:outlineLvl w:val="1"/>
      </w:pPr>
      <w:r/>
      <w:bookmarkStart w:id="63" w:name="_Toc17843"/>
      <w:r/>
      <w:bookmarkStart w:id="64" w:name="_Toc26679"/>
      <w:r>
        <w:rPr>
          <w:rFonts w:hint="eastAsia" w:ascii="黑体" w:hAnsi="黑体" w:eastAsia="黑体"/>
          <w:bCs/>
          <w:color w:val="auto"/>
          <w:sz w:val="28"/>
          <w:szCs w:val="28"/>
          <w:highlight w:val="none"/>
        </w:rPr>
        <w:t xml:space="preserve">6.成交和合同</w:t>
      </w:r>
      <w:bookmarkEnd w:id="63"/>
      <w:r/>
      <w:bookmarkEnd w:id="64"/>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6.1 磋商小组应当根据综合评分情况，按照评审得分由高到低顺序推荐3名以上成交候选供应商。对于市场竞争不充分的科研项目、需要扶持的科技成果转化项目以及政府购买服务项目，可以推荐2家成交候选供应商。评审得分相同的，按照最后报价由低到高的顺序推荐。评审得分且最后报价相同的，按照技术指标优劣顺序推荐。</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6.2 除资格性检查认定错误、分值汇总计算错误、分项评分超出评分标准范围、客观分评分不一致、或者经磋商小组一致认定评分畸高、畸低的情形外，采购人或者采购代理机构不得以任何理由组织重新评审。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6.3 采购人与成交供应商应当在成交通知书发出之日起30日内，按照采购文件确定的合同文本以及采购标的、规格型号、采购金额、采购数量、技术和服务要求等事项签订政府采购合同。</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6.5 除不可抗力等因素外，成交通知书发出后，采购人改变成交结果，或者成交供应商拒绝签订政府采购合同的，应当承担相应的法律责任。拒绝签订政府采购合同的成交供应商不得参加对该项目重新开展的采购活动。</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6.6采购人与成交供应商应当根据合同的约定依法履行合同义务。政府采购合同的履行、违约责任和解决争议的方法等适用《中华人民共和国民法典》。</w:t>
      </w:r>
      <w:r/>
    </w:p>
    <w:p>
      <w:pPr>
        <w:ind w:firstLine="560"/>
        <w:spacing w:line="500" w:lineRule="exact"/>
        <w:rPr>
          <w:rFonts w:ascii="黑体" w:hAnsi="黑体" w:eastAsia="黑体"/>
          <w:bCs/>
          <w:color w:val="auto"/>
          <w:sz w:val="28"/>
          <w:szCs w:val="28"/>
          <w:highlight w:val="none"/>
        </w:rPr>
        <w:outlineLvl w:val="1"/>
      </w:pPr>
      <w:r/>
      <w:bookmarkStart w:id="65" w:name="_Toc13935"/>
      <w:r/>
      <w:bookmarkStart w:id="66" w:name="_Toc8359"/>
      <w:r>
        <w:rPr>
          <w:rFonts w:hint="eastAsia" w:ascii="黑体" w:hAnsi="黑体" w:eastAsia="黑体"/>
          <w:bCs/>
          <w:color w:val="auto"/>
          <w:sz w:val="28"/>
          <w:szCs w:val="28"/>
          <w:highlight w:val="none"/>
        </w:rPr>
        <w:t xml:space="preserve">7.政府采购政策功能落实</w:t>
      </w:r>
      <w:bookmarkEnd w:id="65"/>
      <w:r/>
      <w:bookmarkEnd w:id="66"/>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 对于非专门面向中小企业采购的项目，小微型企业享受价格扣除优惠。</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7.1.1 货物类或者服务类采购项目，采购人、采购代理机构应当对符合《政府采购促进中小企业发展管理办法》（财库〔2020〕46号）规定的小微企业报价给予10%的扣除；工程类采购项目，给予3%的扣除，给予用扣除后的价格参加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7.1.3价格扣除比例或者价格分加分比例对小型企业和微型企业同等对待，不作区分。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 在政府采购活动中，供应商提供的货物、工程或者服务符合下列情形的，享受价格扣除政策：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7.1.4.1在货物采购项目中，货物由小微企业制造，即货物由小微企业生产且使用该小微企业商号或者注册商标；</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7.1.4.2在工程采购项目中，工程由小微企业承建，即工程施工单位为小微企业；</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7.1.4.3在服务采购项目中，服务由小微企业承接，即提供服务的人员为小微企业依照《中华人民共和国劳动合同法》订立劳动合同的从业人员。</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7.1.4.4以联合体形式参加政府采购活动，联合体各方均为小微企业的，联合体视同小微企业。</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7.1.6 下列情形不享受价格扣除政策：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7.1.6.1在货物采购项目中，供应商提供的货物既有中小企业制造货物，也有大型企业制造货物的。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7.1.6.2 响应供应商与大企业的负责人为同一人，或者与大企业存在直接控股、管理关系。</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7.1.7《中小企业划型标准规定》（工信部联企业〔2011〕300号）</w:t>
      </w:r>
      <w:r/>
    </w:p>
    <w:tbl>
      <w:tblPr>
        <w:tblStyle w:val="706"/>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2194" w:type="dxa"/>
            <w:vAlign w:val="center"/>
            <w:textDirection w:val="lrTb"/>
            <w:noWrap/>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行业名称</w:t>
            </w:r>
            <w:r/>
          </w:p>
        </w:tc>
        <w:tc>
          <w:tcPr>
            <w:tcW w:w="1625" w:type="dxa"/>
            <w:vAlign w:val="center"/>
            <w:textDirection w:val="lrTb"/>
            <w:noWrap/>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指标名称</w:t>
            </w:r>
            <w:r/>
          </w:p>
        </w:tc>
        <w:tc>
          <w:tcPr>
            <w:tcW w:w="767" w:type="dxa"/>
            <w:vAlign w:val="center"/>
            <w:textDirection w:val="lrTb"/>
            <w:noWrap/>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计量</w:t>
            </w:r>
            <w:r/>
          </w:p>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单位</w:t>
            </w:r>
            <w:r/>
          </w:p>
        </w:tc>
        <w:tc>
          <w:tcPr>
            <w:tcW w:w="2055" w:type="dxa"/>
            <w:vAlign w:val="center"/>
            <w:textDirection w:val="lrTb"/>
            <w:noWrap/>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中型</w:t>
            </w:r>
            <w:r/>
          </w:p>
        </w:tc>
        <w:tc>
          <w:tcPr>
            <w:tcW w:w="1765" w:type="dxa"/>
            <w:vAlign w:val="center"/>
            <w:textDirection w:val="lrTb"/>
            <w:noWrap/>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小型</w:t>
            </w:r>
            <w:r/>
          </w:p>
        </w:tc>
        <w:tc>
          <w:tcPr>
            <w:tcW w:w="1164" w:type="dxa"/>
            <w:vAlign w:val="center"/>
            <w:textDirection w:val="lrTb"/>
            <w:noWrap/>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微型</w:t>
            </w:r>
            <w:r/>
          </w:p>
        </w:tc>
      </w:tr>
      <w:tr>
        <w:trPr>
          <w:cantSplit/>
          <w:jc w:val="center"/>
        </w:trPr>
        <w:tc>
          <w:tcPr>
            <w:tcW w:w="2194"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农、林、牧、渔</w:t>
            </w:r>
            <w:r/>
          </w:p>
        </w:tc>
        <w:tc>
          <w:tcPr>
            <w:tcW w:w="1625"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205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500≤Y&lt;20000</w:t>
            </w:r>
            <w:r/>
          </w:p>
        </w:tc>
        <w:tc>
          <w:tcPr>
            <w:tcW w:w="176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50≤Y&lt;500</w:t>
            </w:r>
            <w:r/>
          </w:p>
        </w:tc>
        <w:tc>
          <w:tcPr>
            <w:tcW w:w="1164"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Y&lt;50</w:t>
            </w:r>
            <w:r/>
          </w:p>
        </w:tc>
      </w:tr>
      <w:tr>
        <w:trPr>
          <w:cantSplit/>
          <w:jc w:val="center"/>
        </w:trPr>
        <w:tc>
          <w:tcPr>
            <w:tcW w:w="2194" w:type="dxa"/>
            <w:vAlign w:val="center"/>
            <w:vMerge w:val="restart"/>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工业</w:t>
            </w:r>
            <w:r/>
          </w:p>
        </w:tc>
        <w:tc>
          <w:tcPr>
            <w:tcW w:w="1625"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205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300≤X&lt;1000</w:t>
            </w:r>
            <w:r/>
          </w:p>
        </w:tc>
        <w:tc>
          <w:tcPr>
            <w:tcW w:w="176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20≤X&lt;300</w:t>
            </w:r>
            <w:r/>
          </w:p>
        </w:tc>
        <w:tc>
          <w:tcPr>
            <w:tcW w:w="1164"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X&lt;20</w:t>
            </w:r>
            <w:r/>
          </w:p>
        </w:tc>
      </w:tr>
      <w:tr>
        <w:trPr>
          <w:cantSplit/>
          <w:jc w:val="center"/>
        </w:trPr>
        <w:tc>
          <w:tcPr>
            <w:tcW w:w="2194" w:type="dxa"/>
            <w:vAlign w:val="center"/>
            <w:vMerge w:val="continue"/>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625"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205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2000≤Y&lt;40000</w:t>
            </w:r>
            <w:r/>
          </w:p>
        </w:tc>
        <w:tc>
          <w:tcPr>
            <w:tcW w:w="176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300≤Y&lt;2000</w:t>
            </w:r>
            <w:r/>
          </w:p>
        </w:tc>
        <w:tc>
          <w:tcPr>
            <w:tcW w:w="1164"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Y&lt;300</w:t>
            </w:r>
            <w:r/>
          </w:p>
        </w:tc>
      </w:tr>
      <w:tr>
        <w:trPr>
          <w:cantSplit/>
          <w:jc w:val="center"/>
        </w:trPr>
        <w:tc>
          <w:tcPr>
            <w:tcW w:w="2194" w:type="dxa"/>
            <w:vAlign w:val="center"/>
            <w:vMerge w:val="restart"/>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建筑业</w:t>
            </w:r>
            <w:r/>
          </w:p>
        </w:tc>
        <w:tc>
          <w:tcPr>
            <w:tcW w:w="1625"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205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6000≤Y&lt;80000</w:t>
            </w:r>
            <w:r/>
          </w:p>
        </w:tc>
        <w:tc>
          <w:tcPr>
            <w:tcW w:w="176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300≤Y&lt;6000</w:t>
            </w:r>
            <w:r/>
          </w:p>
        </w:tc>
        <w:tc>
          <w:tcPr>
            <w:tcW w:w="1164"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Y&lt;300</w:t>
            </w:r>
            <w:r/>
          </w:p>
        </w:tc>
      </w:tr>
      <w:tr>
        <w:trPr>
          <w:cantSplit/>
          <w:jc w:val="center"/>
        </w:trPr>
        <w:tc>
          <w:tcPr>
            <w:tcW w:w="2194" w:type="dxa"/>
            <w:vAlign w:val="center"/>
            <w:vMerge w:val="continue"/>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625" w:type="dxa"/>
            <w:vAlign w:val="center"/>
            <w:textDirection w:val="lrTb"/>
            <w:noWrap/>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资产</w:t>
            </w:r>
            <w:r>
              <w:rPr>
                <w:rFonts w:ascii="仿宋" w:hAnsi="仿宋" w:eastAsia="仿宋"/>
                <w:color w:val="auto"/>
                <w:highlight w:val="none"/>
              </w:rPr>
              <w:t xml:space="preserve">总额（</w:t>
            </w:r>
            <w:r>
              <w:rPr>
                <w:rFonts w:hint="eastAsia" w:ascii="仿宋" w:hAnsi="仿宋" w:eastAsia="仿宋"/>
                <w:color w:val="auto"/>
                <w:highlight w:val="none"/>
              </w:rPr>
              <w:t xml:space="preserve">Z）</w:t>
            </w:r>
            <w:r/>
          </w:p>
        </w:tc>
        <w:tc>
          <w:tcPr>
            <w:tcW w:w="767"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205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5000≤Z &lt;80000</w:t>
            </w:r>
            <w:r/>
          </w:p>
        </w:tc>
        <w:tc>
          <w:tcPr>
            <w:tcW w:w="176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300≤Z &lt;5000</w:t>
            </w:r>
            <w:r/>
          </w:p>
        </w:tc>
        <w:tc>
          <w:tcPr>
            <w:tcW w:w="1164"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Z&lt;300</w:t>
            </w:r>
            <w:r/>
          </w:p>
        </w:tc>
      </w:tr>
      <w:tr>
        <w:trPr>
          <w:cantSplit/>
          <w:jc w:val="center"/>
        </w:trPr>
        <w:tc>
          <w:tcPr>
            <w:tcW w:w="2194" w:type="dxa"/>
            <w:vAlign w:val="center"/>
            <w:vMerge w:val="restart"/>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批发业</w:t>
            </w:r>
            <w:r/>
          </w:p>
        </w:tc>
        <w:tc>
          <w:tcPr>
            <w:tcW w:w="1625"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205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20≤X&lt;200</w:t>
            </w:r>
            <w:r/>
          </w:p>
        </w:tc>
        <w:tc>
          <w:tcPr>
            <w:tcW w:w="176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5≤X&lt;20</w:t>
            </w:r>
            <w:r/>
          </w:p>
        </w:tc>
        <w:tc>
          <w:tcPr>
            <w:tcW w:w="1164"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X&lt;5</w:t>
            </w:r>
            <w:r/>
          </w:p>
        </w:tc>
      </w:tr>
      <w:tr>
        <w:trPr>
          <w:cantSplit/>
          <w:jc w:val="center"/>
        </w:trPr>
        <w:tc>
          <w:tcPr>
            <w:tcW w:w="2194" w:type="dxa"/>
            <w:vAlign w:val="center"/>
            <w:vMerge w:val="continue"/>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625"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205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5000≤Y&lt;50000</w:t>
            </w:r>
            <w:r/>
          </w:p>
        </w:tc>
        <w:tc>
          <w:tcPr>
            <w:tcW w:w="176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1000≤Y&lt;5000</w:t>
            </w:r>
            <w:r/>
          </w:p>
        </w:tc>
        <w:tc>
          <w:tcPr>
            <w:tcW w:w="1164"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Y&lt;1000</w:t>
            </w:r>
            <w:r/>
          </w:p>
        </w:tc>
      </w:tr>
      <w:tr>
        <w:trPr>
          <w:cantSplit/>
          <w:jc w:val="center"/>
        </w:trPr>
        <w:tc>
          <w:tcPr>
            <w:tcW w:w="2194" w:type="dxa"/>
            <w:vAlign w:val="center"/>
            <w:vMerge w:val="restart"/>
            <w:textDirection w:val="lrTb"/>
            <w:noWrap/>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零售业</w:t>
            </w:r>
            <w:r/>
          </w:p>
        </w:tc>
        <w:tc>
          <w:tcPr>
            <w:tcW w:w="1625"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205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50≤X&lt;300</w:t>
            </w:r>
            <w:r/>
          </w:p>
        </w:tc>
        <w:tc>
          <w:tcPr>
            <w:tcW w:w="176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10≤X&lt;50</w:t>
            </w:r>
            <w:r/>
          </w:p>
        </w:tc>
        <w:tc>
          <w:tcPr>
            <w:tcW w:w="1164"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2194" w:type="dxa"/>
            <w:vAlign w:val="center"/>
            <w:vMerge w:val="continue"/>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625"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205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500≤Y&lt;20000</w:t>
            </w:r>
            <w:r/>
          </w:p>
        </w:tc>
        <w:tc>
          <w:tcPr>
            <w:tcW w:w="176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100≤Y&lt;500</w:t>
            </w:r>
            <w:r/>
          </w:p>
        </w:tc>
        <w:tc>
          <w:tcPr>
            <w:tcW w:w="1164"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2194" w:type="dxa"/>
            <w:vAlign w:val="center"/>
            <w:vMerge w:val="restart"/>
            <w:textDirection w:val="lrTb"/>
            <w:noWrap/>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交通</w:t>
            </w:r>
            <w:r>
              <w:rPr>
                <w:rFonts w:ascii="仿宋" w:hAnsi="仿宋" w:eastAsia="仿宋"/>
                <w:color w:val="auto"/>
                <w:highlight w:val="none"/>
              </w:rPr>
              <w:t xml:space="preserve">运输业</w:t>
            </w:r>
            <w:r/>
          </w:p>
        </w:tc>
        <w:tc>
          <w:tcPr>
            <w:tcW w:w="1625"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205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300≤X&lt;1000</w:t>
            </w:r>
            <w:r/>
          </w:p>
        </w:tc>
        <w:tc>
          <w:tcPr>
            <w:tcW w:w="176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20≤X&lt;300</w:t>
            </w:r>
            <w:r/>
          </w:p>
        </w:tc>
        <w:tc>
          <w:tcPr>
            <w:tcW w:w="1164"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X&lt;20</w:t>
            </w:r>
            <w:r/>
          </w:p>
        </w:tc>
      </w:tr>
      <w:tr>
        <w:trPr>
          <w:cantSplit/>
          <w:jc w:val="center"/>
        </w:trPr>
        <w:tc>
          <w:tcPr>
            <w:tcW w:w="2194" w:type="dxa"/>
            <w:vAlign w:val="center"/>
            <w:vMerge w:val="continue"/>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625"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205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3000≤Y&lt;30000</w:t>
            </w:r>
            <w:r/>
          </w:p>
        </w:tc>
        <w:tc>
          <w:tcPr>
            <w:tcW w:w="176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200≤Y&lt;3000</w:t>
            </w:r>
            <w:r/>
          </w:p>
        </w:tc>
        <w:tc>
          <w:tcPr>
            <w:tcW w:w="1164"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Y&lt;200</w:t>
            </w:r>
            <w:r/>
          </w:p>
        </w:tc>
      </w:tr>
      <w:tr>
        <w:trPr>
          <w:cantSplit/>
          <w:jc w:val="center"/>
        </w:trPr>
        <w:tc>
          <w:tcPr>
            <w:tcW w:w="2194" w:type="dxa"/>
            <w:vAlign w:val="center"/>
            <w:vMerge w:val="restart"/>
            <w:textDirection w:val="lrTb"/>
            <w:noWrap/>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仓储</w:t>
            </w:r>
            <w:r>
              <w:rPr>
                <w:rFonts w:ascii="仿宋" w:hAnsi="仿宋" w:eastAsia="仿宋"/>
                <w:color w:val="auto"/>
                <w:highlight w:val="none"/>
              </w:rPr>
              <w:t xml:space="preserve">业</w:t>
            </w:r>
            <w:r/>
          </w:p>
        </w:tc>
        <w:tc>
          <w:tcPr>
            <w:tcW w:w="1625"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205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100≤X&lt;200</w:t>
            </w:r>
            <w:r/>
          </w:p>
        </w:tc>
        <w:tc>
          <w:tcPr>
            <w:tcW w:w="176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20≤X&lt;100</w:t>
            </w:r>
            <w:r/>
          </w:p>
        </w:tc>
        <w:tc>
          <w:tcPr>
            <w:tcW w:w="1164"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X&lt;20</w:t>
            </w:r>
            <w:r/>
          </w:p>
        </w:tc>
      </w:tr>
      <w:tr>
        <w:trPr>
          <w:cantSplit/>
          <w:jc w:val="center"/>
        </w:trPr>
        <w:tc>
          <w:tcPr>
            <w:tcW w:w="2194" w:type="dxa"/>
            <w:vAlign w:val="center"/>
            <w:vMerge w:val="continue"/>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625"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205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1000≤Y&lt;30000</w:t>
            </w:r>
            <w:r/>
          </w:p>
        </w:tc>
        <w:tc>
          <w:tcPr>
            <w:tcW w:w="176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100≤Y&lt;1000</w:t>
            </w:r>
            <w:r/>
          </w:p>
        </w:tc>
        <w:tc>
          <w:tcPr>
            <w:tcW w:w="1164"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2194" w:type="dxa"/>
            <w:vAlign w:val="center"/>
            <w:vMerge w:val="restart"/>
            <w:textDirection w:val="lrTb"/>
            <w:noWrap/>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邮</w:t>
            </w:r>
            <w:r>
              <w:rPr>
                <w:rFonts w:ascii="仿宋" w:hAnsi="仿宋" w:eastAsia="仿宋"/>
                <w:color w:val="auto"/>
                <w:highlight w:val="none"/>
              </w:rPr>
              <w:t xml:space="preserve">政业</w:t>
            </w:r>
            <w:r/>
          </w:p>
        </w:tc>
        <w:tc>
          <w:tcPr>
            <w:tcW w:w="1625"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205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300≤X&lt;1000</w:t>
            </w:r>
            <w:r/>
          </w:p>
        </w:tc>
        <w:tc>
          <w:tcPr>
            <w:tcW w:w="176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20≤X&lt;300</w:t>
            </w:r>
            <w:r/>
          </w:p>
        </w:tc>
        <w:tc>
          <w:tcPr>
            <w:tcW w:w="1164"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X&lt;20</w:t>
            </w:r>
            <w:r/>
          </w:p>
        </w:tc>
      </w:tr>
      <w:tr>
        <w:trPr>
          <w:cantSplit/>
          <w:jc w:val="center"/>
        </w:trPr>
        <w:tc>
          <w:tcPr>
            <w:tcW w:w="2194" w:type="dxa"/>
            <w:vAlign w:val="center"/>
            <w:vMerge w:val="continue"/>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625"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205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2000≤Y&lt;30000</w:t>
            </w:r>
            <w:r/>
          </w:p>
        </w:tc>
        <w:tc>
          <w:tcPr>
            <w:tcW w:w="176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100≤Y&lt;2000</w:t>
            </w:r>
            <w:r/>
          </w:p>
        </w:tc>
        <w:tc>
          <w:tcPr>
            <w:tcW w:w="1164"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2194" w:type="dxa"/>
            <w:vAlign w:val="center"/>
            <w:vMerge w:val="restart"/>
            <w:textDirection w:val="lrTb"/>
            <w:noWrap/>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住</w:t>
            </w:r>
            <w:r>
              <w:rPr>
                <w:rFonts w:ascii="仿宋" w:hAnsi="仿宋" w:eastAsia="仿宋"/>
                <w:color w:val="auto"/>
                <w:highlight w:val="none"/>
              </w:rPr>
              <w:t xml:space="preserve">宿业</w:t>
            </w:r>
            <w:r/>
          </w:p>
        </w:tc>
        <w:tc>
          <w:tcPr>
            <w:tcW w:w="1625"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205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100≤X&lt;300</w:t>
            </w:r>
            <w:r/>
          </w:p>
        </w:tc>
        <w:tc>
          <w:tcPr>
            <w:tcW w:w="176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10≤X&lt;100</w:t>
            </w:r>
            <w:r/>
          </w:p>
        </w:tc>
        <w:tc>
          <w:tcPr>
            <w:tcW w:w="1164"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2194" w:type="dxa"/>
            <w:vAlign w:val="center"/>
            <w:vMerge w:val="continue"/>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625"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205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2000≤Y&lt;10000</w:t>
            </w:r>
            <w:r/>
          </w:p>
        </w:tc>
        <w:tc>
          <w:tcPr>
            <w:tcW w:w="176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100≤Y&lt;2000</w:t>
            </w:r>
            <w:r/>
          </w:p>
        </w:tc>
        <w:tc>
          <w:tcPr>
            <w:tcW w:w="1164"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2194" w:type="dxa"/>
            <w:vAlign w:val="center"/>
            <w:vMerge w:val="restart"/>
            <w:textDirection w:val="lrTb"/>
            <w:noWrap/>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餐饮</w:t>
            </w:r>
            <w:r>
              <w:rPr>
                <w:rFonts w:ascii="仿宋" w:hAnsi="仿宋" w:eastAsia="仿宋"/>
                <w:color w:val="auto"/>
                <w:highlight w:val="none"/>
              </w:rPr>
              <w:t xml:space="preserve">业</w:t>
            </w:r>
            <w:r/>
          </w:p>
        </w:tc>
        <w:tc>
          <w:tcPr>
            <w:tcW w:w="1625"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205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100≤X&lt;300</w:t>
            </w:r>
            <w:r/>
          </w:p>
        </w:tc>
        <w:tc>
          <w:tcPr>
            <w:tcW w:w="176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10≤X&lt;100</w:t>
            </w:r>
            <w:r/>
          </w:p>
        </w:tc>
        <w:tc>
          <w:tcPr>
            <w:tcW w:w="1164"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2194" w:type="dxa"/>
            <w:vAlign w:val="center"/>
            <w:vMerge w:val="continue"/>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625"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205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2000≤Y&lt;10000</w:t>
            </w:r>
            <w:r/>
          </w:p>
        </w:tc>
        <w:tc>
          <w:tcPr>
            <w:tcW w:w="176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100≤Y&lt;2000</w:t>
            </w:r>
            <w:r/>
          </w:p>
        </w:tc>
        <w:tc>
          <w:tcPr>
            <w:tcW w:w="1164"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2194" w:type="dxa"/>
            <w:vAlign w:val="center"/>
            <w:vMerge w:val="restart"/>
            <w:textDirection w:val="lrTb"/>
            <w:noWrap/>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信息</w:t>
            </w:r>
            <w:r>
              <w:rPr>
                <w:rFonts w:ascii="仿宋" w:hAnsi="仿宋" w:eastAsia="仿宋"/>
                <w:color w:val="auto"/>
                <w:highlight w:val="none"/>
              </w:rPr>
              <w:t xml:space="preserve">传输业</w:t>
            </w:r>
            <w:r/>
          </w:p>
        </w:tc>
        <w:tc>
          <w:tcPr>
            <w:tcW w:w="1625"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205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100≤X&lt;2000</w:t>
            </w:r>
            <w:r/>
          </w:p>
        </w:tc>
        <w:tc>
          <w:tcPr>
            <w:tcW w:w="176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10≤X&lt;100</w:t>
            </w:r>
            <w:r/>
          </w:p>
        </w:tc>
        <w:tc>
          <w:tcPr>
            <w:tcW w:w="1164"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2194" w:type="dxa"/>
            <w:vAlign w:val="center"/>
            <w:vMerge w:val="continue"/>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625"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205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1000≤Y&lt;100000</w:t>
            </w:r>
            <w:r/>
          </w:p>
        </w:tc>
        <w:tc>
          <w:tcPr>
            <w:tcW w:w="176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100≤Y&lt;1000</w:t>
            </w:r>
            <w:r/>
          </w:p>
        </w:tc>
        <w:tc>
          <w:tcPr>
            <w:tcW w:w="1164"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2194" w:type="dxa"/>
            <w:vAlign w:val="center"/>
            <w:vMerge w:val="restart"/>
            <w:textDirection w:val="lrTb"/>
            <w:noWrap/>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软件</w:t>
            </w:r>
            <w:r>
              <w:rPr>
                <w:rFonts w:ascii="仿宋" w:hAnsi="仿宋" w:eastAsia="仿宋"/>
                <w:color w:val="auto"/>
                <w:highlight w:val="none"/>
              </w:rPr>
              <w:t xml:space="preserve">和信息技术服务业</w:t>
            </w:r>
            <w:r/>
          </w:p>
        </w:tc>
        <w:tc>
          <w:tcPr>
            <w:tcW w:w="1625"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205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100≤X&lt;300</w:t>
            </w:r>
            <w:r/>
          </w:p>
        </w:tc>
        <w:tc>
          <w:tcPr>
            <w:tcW w:w="176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10≤X&lt;100</w:t>
            </w:r>
            <w:r/>
          </w:p>
        </w:tc>
        <w:tc>
          <w:tcPr>
            <w:tcW w:w="1164"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2194" w:type="dxa"/>
            <w:vAlign w:val="center"/>
            <w:vMerge w:val="continue"/>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625"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205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1000≤Y&lt;10000</w:t>
            </w:r>
            <w:r/>
          </w:p>
        </w:tc>
        <w:tc>
          <w:tcPr>
            <w:tcW w:w="176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50≤Y&lt;1000</w:t>
            </w:r>
            <w:r/>
          </w:p>
        </w:tc>
        <w:tc>
          <w:tcPr>
            <w:tcW w:w="1164"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Y&lt;50</w:t>
            </w:r>
            <w:r/>
          </w:p>
        </w:tc>
      </w:tr>
      <w:tr>
        <w:trPr>
          <w:cantSplit/>
          <w:jc w:val="center"/>
        </w:trPr>
        <w:tc>
          <w:tcPr>
            <w:tcW w:w="2194" w:type="dxa"/>
            <w:vAlign w:val="center"/>
            <w:vMerge w:val="restart"/>
            <w:textDirection w:val="lrTb"/>
            <w:noWrap/>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房</w:t>
            </w:r>
            <w:r>
              <w:rPr>
                <w:rFonts w:ascii="仿宋" w:hAnsi="仿宋" w:eastAsia="仿宋"/>
                <w:color w:val="auto"/>
                <w:highlight w:val="none"/>
              </w:rPr>
              <w:t xml:space="preserve">地产开发经营</w:t>
            </w:r>
            <w:r/>
          </w:p>
        </w:tc>
        <w:tc>
          <w:tcPr>
            <w:tcW w:w="1625"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205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1000≤Y&lt;200000</w:t>
            </w:r>
            <w:r/>
          </w:p>
        </w:tc>
        <w:tc>
          <w:tcPr>
            <w:tcW w:w="176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100≤Y&lt;1000</w:t>
            </w:r>
            <w:r/>
          </w:p>
        </w:tc>
        <w:tc>
          <w:tcPr>
            <w:tcW w:w="1164"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2194" w:type="dxa"/>
            <w:vAlign w:val="center"/>
            <w:vMerge w:val="continue"/>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625" w:type="dxa"/>
            <w:vAlign w:val="center"/>
            <w:textDirection w:val="lrTb"/>
            <w:noWrap/>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资产</w:t>
            </w:r>
            <w:r>
              <w:rPr>
                <w:rFonts w:ascii="仿宋" w:hAnsi="仿宋" w:eastAsia="仿宋"/>
                <w:color w:val="auto"/>
                <w:highlight w:val="none"/>
              </w:rPr>
              <w:t xml:space="preserve">总额（</w:t>
            </w:r>
            <w:r>
              <w:rPr>
                <w:rFonts w:hint="eastAsia" w:ascii="仿宋" w:hAnsi="仿宋" w:eastAsia="仿宋"/>
                <w:color w:val="auto"/>
                <w:highlight w:val="none"/>
              </w:rPr>
              <w:t xml:space="preserve">Z）</w:t>
            </w:r>
            <w:r/>
          </w:p>
        </w:tc>
        <w:tc>
          <w:tcPr>
            <w:tcW w:w="767"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205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5000≤Z &lt;10000</w:t>
            </w:r>
            <w:r/>
          </w:p>
        </w:tc>
        <w:tc>
          <w:tcPr>
            <w:tcW w:w="176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2000≤Z &lt;5000</w:t>
            </w:r>
            <w:r/>
          </w:p>
        </w:tc>
        <w:tc>
          <w:tcPr>
            <w:tcW w:w="1164"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Z&lt;2000</w:t>
            </w:r>
            <w:r/>
          </w:p>
        </w:tc>
      </w:tr>
      <w:tr>
        <w:trPr>
          <w:cantSplit/>
          <w:jc w:val="center"/>
        </w:trPr>
        <w:tc>
          <w:tcPr>
            <w:tcW w:w="2194" w:type="dxa"/>
            <w:vAlign w:val="center"/>
            <w:vMerge w:val="restart"/>
            <w:textDirection w:val="lrTb"/>
            <w:noWrap/>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物业管理</w:t>
            </w:r>
            <w:r/>
          </w:p>
        </w:tc>
        <w:tc>
          <w:tcPr>
            <w:tcW w:w="1625"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205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300≤X&lt;1000</w:t>
            </w:r>
            <w:r/>
          </w:p>
        </w:tc>
        <w:tc>
          <w:tcPr>
            <w:tcW w:w="176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100≤X&lt;300</w:t>
            </w:r>
            <w:r/>
          </w:p>
        </w:tc>
        <w:tc>
          <w:tcPr>
            <w:tcW w:w="1164"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X&lt;100</w:t>
            </w:r>
            <w:r/>
          </w:p>
        </w:tc>
      </w:tr>
      <w:tr>
        <w:trPr>
          <w:cantSplit/>
          <w:jc w:val="center"/>
        </w:trPr>
        <w:tc>
          <w:tcPr>
            <w:tcW w:w="2194" w:type="dxa"/>
            <w:vAlign w:val="center"/>
            <w:vMerge w:val="continue"/>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625"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767"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205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1000≤Y&lt;5000</w:t>
            </w:r>
            <w:r/>
          </w:p>
        </w:tc>
        <w:tc>
          <w:tcPr>
            <w:tcW w:w="176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500≤Y&lt;1000</w:t>
            </w:r>
            <w:r/>
          </w:p>
        </w:tc>
        <w:tc>
          <w:tcPr>
            <w:tcW w:w="1164"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Y&lt;500</w:t>
            </w:r>
            <w:r/>
          </w:p>
        </w:tc>
      </w:tr>
      <w:tr>
        <w:trPr>
          <w:cantSplit/>
          <w:jc w:val="center"/>
        </w:trPr>
        <w:tc>
          <w:tcPr>
            <w:tcW w:w="2194" w:type="dxa"/>
            <w:vAlign w:val="center"/>
            <w:vMerge w:val="restart"/>
            <w:textDirection w:val="lrTb"/>
            <w:noWrap/>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租赁</w:t>
            </w:r>
            <w:r>
              <w:rPr>
                <w:rFonts w:ascii="仿宋" w:hAnsi="仿宋" w:eastAsia="仿宋"/>
                <w:color w:val="auto"/>
                <w:highlight w:val="none"/>
              </w:rPr>
              <w:t xml:space="preserve">和商务服务业</w:t>
            </w:r>
            <w:r/>
          </w:p>
        </w:tc>
        <w:tc>
          <w:tcPr>
            <w:tcW w:w="1625"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205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100≤X&lt;300</w:t>
            </w:r>
            <w:r/>
          </w:p>
        </w:tc>
        <w:tc>
          <w:tcPr>
            <w:tcW w:w="176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10≤X&lt;100</w:t>
            </w:r>
            <w:r/>
          </w:p>
        </w:tc>
        <w:tc>
          <w:tcPr>
            <w:tcW w:w="1164"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2194" w:type="dxa"/>
            <w:vAlign w:val="center"/>
            <w:vMerge w:val="continue"/>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625" w:type="dxa"/>
            <w:vAlign w:val="center"/>
            <w:textDirection w:val="lrTb"/>
            <w:noWrap/>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资产</w:t>
            </w:r>
            <w:r>
              <w:rPr>
                <w:rFonts w:ascii="仿宋" w:hAnsi="仿宋" w:eastAsia="仿宋"/>
                <w:color w:val="auto"/>
                <w:highlight w:val="none"/>
              </w:rPr>
              <w:t xml:space="preserve">总额（</w:t>
            </w:r>
            <w:r>
              <w:rPr>
                <w:rFonts w:hint="eastAsia" w:ascii="仿宋" w:hAnsi="仿宋" w:eastAsia="仿宋"/>
                <w:color w:val="auto"/>
                <w:highlight w:val="none"/>
              </w:rPr>
              <w:t xml:space="preserve">Z）</w:t>
            </w:r>
            <w:r/>
          </w:p>
        </w:tc>
        <w:tc>
          <w:tcPr>
            <w:tcW w:w="767"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205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8000≤Z &lt;120000</w:t>
            </w:r>
            <w:r/>
          </w:p>
        </w:tc>
        <w:tc>
          <w:tcPr>
            <w:tcW w:w="176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100≤Z &lt;8000</w:t>
            </w:r>
            <w:r/>
          </w:p>
        </w:tc>
        <w:tc>
          <w:tcPr>
            <w:tcW w:w="1164"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Z&lt;100</w:t>
            </w:r>
            <w:r/>
          </w:p>
        </w:tc>
      </w:tr>
      <w:tr>
        <w:trPr>
          <w:cantSplit/>
          <w:jc w:val="center"/>
        </w:trPr>
        <w:tc>
          <w:tcPr>
            <w:tcW w:w="2194" w:type="dxa"/>
            <w:vAlign w:val="center"/>
            <w:textDirection w:val="lrTb"/>
            <w:noWrap/>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其</w:t>
            </w:r>
            <w:r>
              <w:rPr>
                <w:rFonts w:ascii="仿宋" w:hAnsi="仿宋" w:eastAsia="仿宋"/>
                <w:color w:val="auto"/>
                <w:highlight w:val="none"/>
              </w:rPr>
              <w:t xml:space="preserve">他未列明行业</w:t>
            </w:r>
            <w:r/>
          </w:p>
        </w:tc>
        <w:tc>
          <w:tcPr>
            <w:tcW w:w="1625"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767" w:type="dxa"/>
            <w:vAlign w:val="center"/>
            <w:textDirection w:val="lrTb"/>
            <w:noWrap/>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205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100≤X&lt;300</w:t>
            </w:r>
            <w:r/>
          </w:p>
        </w:tc>
        <w:tc>
          <w:tcPr>
            <w:tcW w:w="1765"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10≤X&lt;100</w:t>
            </w:r>
            <w:r/>
          </w:p>
        </w:tc>
        <w:tc>
          <w:tcPr>
            <w:tcW w:w="1164" w:type="dxa"/>
            <w:vAlign w:val="center"/>
            <w:textDirection w:val="lrTb"/>
            <w:noWrap/>
          </w:tcPr>
          <w:p>
            <w:pPr>
              <w:jc w:val="center"/>
              <w:spacing w:line="500" w:lineRule="exact"/>
              <w:rPr>
                <w:rFonts w:eastAsia="仿宋"/>
                <w:color w:val="auto"/>
                <w:highlight w:val="none"/>
              </w:rPr>
            </w:pPr>
            <w:r>
              <w:rPr>
                <w:rFonts w:eastAsia="仿宋"/>
                <w:color w:val="auto"/>
                <w:highlight w:val="none"/>
              </w:rPr>
              <w:t xml:space="preserve">X&lt;10</w:t>
            </w:r>
            <w:r/>
          </w:p>
        </w:tc>
      </w:tr>
    </w:tbl>
    <w:p>
      <w:pPr>
        <w:ind w:firstLine="420"/>
        <w:spacing w:line="500" w:lineRule="exact"/>
        <w:rPr>
          <w:rFonts w:ascii="仿宋" w:hAnsi="仿宋" w:eastAsia="仿宋"/>
          <w:color w:val="auto"/>
          <w:sz w:val="28"/>
          <w:szCs w:val="28"/>
          <w:highlight w:val="none"/>
        </w:rPr>
      </w:pPr>
      <w:r>
        <w:rPr>
          <w:rFonts w:hint="eastAsia" w:ascii="仿宋" w:hAnsi="仿宋" w:eastAsia="仿宋"/>
          <w:color w:val="auto"/>
          <w:highlight w:val="none"/>
        </w:rPr>
        <w:t xml:space="preserve">说明：大型、中型和小型企业须同时满足所列指标的下限，否则下划一档；微型企业只须满足所列指标中的一项即可。</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 残疾人福利单位价格扣除</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w:t>
      </w:r>
      <w:r>
        <w:rPr>
          <w:rFonts w:ascii="仿宋" w:hAnsi="仿宋" w:eastAsia="仿宋"/>
          <w:color w:val="auto"/>
          <w:sz w:val="28"/>
          <w:szCs w:val="28"/>
          <w:highlight w:val="none"/>
        </w:rPr>
        <w:t xml:space="preserve">享受政府采购支持政策的残疾人福利性单位应当同时满足以下条件：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7.2.1.1 </w:t>
      </w:r>
      <w:r>
        <w:rPr>
          <w:rFonts w:ascii="仿宋" w:hAnsi="仿宋" w:eastAsia="仿宋"/>
          <w:color w:val="auto"/>
          <w:sz w:val="28"/>
          <w:szCs w:val="28"/>
          <w:highlight w:val="none"/>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7.2.1.2 </w:t>
      </w:r>
      <w:r>
        <w:rPr>
          <w:rFonts w:ascii="仿宋" w:hAnsi="仿宋" w:eastAsia="仿宋"/>
          <w:color w:val="auto"/>
          <w:sz w:val="28"/>
          <w:szCs w:val="28"/>
          <w:highlight w:val="none"/>
        </w:rPr>
        <w:t xml:space="preserve">依法与安置的每位残疾人签订了一年以上（含一年）的劳动合同或服务协议；</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7.2.1.3 </w:t>
      </w:r>
      <w:r>
        <w:rPr>
          <w:rFonts w:ascii="仿宋" w:hAnsi="仿宋" w:eastAsia="仿宋"/>
          <w:color w:val="auto"/>
          <w:sz w:val="28"/>
          <w:szCs w:val="28"/>
          <w:highlight w:val="none"/>
        </w:rPr>
        <w:t xml:space="preserve">为安置的每位残疾人按月足额缴纳了基本养老保险、基本医疗保险、失业保险、工伤保险和生育保险等社会保险费；</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7.2.1.4 </w:t>
      </w:r>
      <w:r>
        <w:rPr>
          <w:rFonts w:ascii="仿宋" w:hAnsi="仿宋" w:eastAsia="仿宋"/>
          <w:color w:val="auto"/>
          <w:sz w:val="28"/>
          <w:szCs w:val="28"/>
          <w:highlight w:val="none"/>
        </w:rPr>
        <w:t xml:space="preserve">通过银行等金融机构向安置的每位残疾人，按月支付了不低于单位所在区县适用的经省级人民政府批准的月最低工资标准的工资；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7.2.1.5 </w:t>
      </w:r>
      <w:r>
        <w:rPr>
          <w:rFonts w:ascii="仿宋" w:hAnsi="仿宋" w:eastAsia="仿宋"/>
          <w:color w:val="auto"/>
          <w:sz w:val="28"/>
          <w:szCs w:val="28"/>
          <w:highlight w:val="none"/>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7.2.2 </w:t>
      </w:r>
      <w:r>
        <w:rPr>
          <w:rFonts w:ascii="仿宋" w:hAnsi="仿宋" w:eastAsia="仿宋"/>
          <w:color w:val="auto"/>
          <w:sz w:val="28"/>
          <w:szCs w:val="28"/>
          <w:highlight w:val="none"/>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7.2.3 残疾人福利单位需按照采购文件的要求提供《残疾人福利性单位声明函》，否则不予享受。</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7.2.4 残疾人福利单位属于小型、微型企业的，不重复享受政策。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 监狱和戒毒企业价格扣除</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7.3.2 监狱企业参加政府采购活动时，应当提供由省级以上监狱管理局、戒毒管理局(含新疆生产建设兵团)出具的属于监狱企业的证明文件。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7.3.3 在政府采购活动中，监狱企业视同小型、微型企业，享受预留份额、评审中价格扣除等政府采购促进中小企业发展的政府采购政策。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7.3.4 监狱企业属于小型、微型企业的，不重复享受政策。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7.4 根据《财政部、发展改革委关于印发节能产品政府采购品目清单的通知》（</w:t>
      </w:r>
      <w:r>
        <w:rPr>
          <w:rFonts w:hint="eastAsia" w:ascii="仿宋" w:hAnsi="仿宋" w:eastAsia="仿宋" w:cs="宋体"/>
          <w:color w:val="auto"/>
          <w:sz w:val="28"/>
          <w:szCs w:val="28"/>
          <w:highlight w:val="none"/>
        </w:rPr>
        <w:t xml:space="preserve">财库〔2019〕19号</w:t>
      </w:r>
      <w:r>
        <w:rPr>
          <w:rFonts w:hint="eastAsia" w:ascii="仿宋" w:hAnsi="仿宋" w:eastAsia="仿宋"/>
          <w:color w:val="auto"/>
          <w:sz w:val="28"/>
          <w:szCs w:val="28"/>
          <w:highlight w:val="none"/>
        </w:rPr>
        <w:t xml:space="preserve">）要求，下列产品实行强制采购或者优先采购：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7.5 根据《财政部、生态环境部关于印发环境标志产品政府采购品目清单的通知》（财库〔2019〕18号）要求，对于</w:t>
      </w:r>
      <w:r>
        <w:rPr>
          <w:color w:val="auto"/>
          <w:highlight w:val="none"/>
        </w:rPr>
        <w:fldChar w:fldCharType="begin"/>
      </w:r>
      <w:r>
        <w:rPr>
          <w:color w:val="auto"/>
          <w:highlight w:val="none"/>
        </w:rPr>
        <w:instrText xml:space="preserve"> HYPERLINK "http://gks.mof.gov.cn/zhengfucaigouguanli/201903/P020190329702478575295.pdf" </w:instrText>
      </w:r>
      <w:r>
        <w:rPr>
          <w:color w:val="auto"/>
          <w:highlight w:val="none"/>
        </w:rPr>
        <w:fldChar w:fldCharType="separate"/>
      </w:r>
      <w:r>
        <w:rPr>
          <w:rFonts w:hint="eastAsia" w:ascii="仿宋" w:hAnsi="仿宋" w:eastAsia="仿宋"/>
          <w:color w:val="auto"/>
          <w:sz w:val="28"/>
          <w:szCs w:val="28"/>
          <w:highlight w:val="none"/>
        </w:rPr>
        <w:t xml:space="preserve">环境标志产品政府采购品目清单</w:t>
      </w:r>
      <w:r>
        <w:rPr>
          <w:rFonts w:hint="eastAsia" w:ascii="仿宋" w:hAnsi="仿宋" w:eastAsia="仿宋"/>
          <w:color w:val="auto"/>
          <w:sz w:val="28"/>
          <w:szCs w:val="28"/>
          <w:highlight w:val="none"/>
        </w:rPr>
        <w:fldChar w:fldCharType="end"/>
      </w:r>
      <w:r>
        <w:rPr>
          <w:rFonts w:ascii="仿宋" w:hAnsi="仿宋" w:eastAsia="仿宋"/>
          <w:color w:val="auto"/>
          <w:sz w:val="28"/>
          <w:szCs w:val="28"/>
          <w:highlight w:val="none"/>
        </w:rPr>
        <w:t xml:space="preserve">内的</w:t>
      </w:r>
      <w:r>
        <w:rPr>
          <w:rFonts w:hint="eastAsia" w:ascii="仿宋" w:hAnsi="仿宋" w:eastAsia="仿宋"/>
          <w:color w:val="auto"/>
          <w:sz w:val="28"/>
          <w:szCs w:val="28"/>
          <w:highlight w:val="none"/>
        </w:rPr>
        <w:t xml:space="preserve">计算机设备、打印设备、显示设备、扫描仪、投影仪、复印机、多功能一体机、速印机、载货汽车（含自卸汽车）、乘用车、小型客车、</w:t>
      </w:r>
      <w:r>
        <w:rPr>
          <w:rFonts w:hint="eastAsia" w:ascii="仿宋" w:hAnsi="仿宋" w:eastAsia="仿宋"/>
          <w:color w:val="auto"/>
          <w:sz w:val="28"/>
          <w:szCs w:val="28"/>
          <w:highlight w:val="none"/>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7.6根据《国务院办公厅关于在政府采购中实施本国产品标准及相关政策的通知》（国办发〔2025〕34号）要求，落实对本国产品支持政策。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7.6.1 政府采购活动中既有本国产品又有非本国产品参与竞争的，依法对本国产品给予价格评审优惠，对本国产品的报价给予20%的价格扣除，用扣除后的价格参与评审。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r/>
    </w:p>
    <w:p>
      <w:pPr>
        <w:pStyle w:val="892"/>
        <w:ind w:firstLine="560"/>
        <w:spacing w:line="500" w:lineRule="exact"/>
        <w:rPr>
          <w:rFonts w:ascii="仿宋" w:hAnsi="仿宋" w:eastAsia="仿宋"/>
          <w:color w:val="auto"/>
          <w:szCs w:val="28"/>
          <w:highlight w:val="none"/>
        </w:rPr>
      </w:pPr>
      <w:r>
        <w:rPr>
          <w:rFonts w:hint="eastAsia" w:ascii="仿宋" w:hAnsi="仿宋" w:eastAsia="仿宋"/>
          <w:color w:val="auto"/>
          <w:szCs w:val="28"/>
          <w:highlight w:val="none"/>
        </w:rPr>
        <w:t xml:space="preserve">7.6.4供应商对其提供的产品出具《关于符合本国产品标准的声明函》或财政部会同有关部门规定的有关证明文件。</w:t>
      </w:r>
      <w:r/>
    </w:p>
    <w:p>
      <w:pPr>
        <w:ind w:firstLine="560"/>
        <w:spacing w:line="500" w:lineRule="exact"/>
        <w:rPr>
          <w:rFonts w:ascii="黑体" w:hAnsi="黑体" w:eastAsia="黑体"/>
          <w:bCs/>
          <w:color w:val="auto"/>
          <w:sz w:val="28"/>
          <w:szCs w:val="28"/>
          <w:highlight w:val="none"/>
        </w:rPr>
        <w:outlineLvl w:val="1"/>
      </w:pPr>
      <w:r/>
      <w:bookmarkStart w:id="67" w:name="_Toc7075"/>
      <w:r/>
      <w:bookmarkStart w:id="68" w:name="_Toc22228"/>
      <w:r>
        <w:rPr>
          <w:rFonts w:hint="eastAsia" w:ascii="黑体" w:hAnsi="黑体" w:eastAsia="黑体"/>
          <w:bCs/>
          <w:color w:val="auto"/>
          <w:sz w:val="28"/>
          <w:szCs w:val="28"/>
          <w:highlight w:val="none"/>
        </w:rPr>
        <w:t xml:space="preserve">8.无效响应和磋商活动终止</w:t>
      </w:r>
      <w:bookmarkEnd w:id="67"/>
      <w:r/>
      <w:bookmarkEnd w:id="68"/>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 出现下列情形之一的，作无效响应处理。</w:t>
      </w:r>
      <w:r>
        <w:rPr>
          <w:rFonts w:hint="eastAsia" w:ascii="仿宋" w:hAnsi="仿宋" w:eastAsia="仿宋"/>
          <w:color w:val="auto"/>
          <w:sz w:val="28"/>
          <w:szCs w:val="28"/>
          <w:highlight w:val="none"/>
        </w:rPr>
        <w:tab/>
      </w:r>
      <w:r>
        <w:rPr>
          <w:rFonts w:hint="eastAsia" w:ascii="仿宋" w:hAnsi="仿宋" w:eastAsia="仿宋"/>
          <w:color w:val="auto"/>
          <w:sz w:val="28"/>
          <w:szCs w:val="28"/>
          <w:highlight w:val="none"/>
        </w:rPr>
        <w:tab/>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 不具备竞争性磋商文件中规定的资格要求的。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8.1.2 最后报价超过了采购预算或最高限价的。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8.1.3 未通过符合性审查的。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8.1.4 不符合法律、法规和竞争性磋商文件中规定的其他实质性要求的。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8.1.6 响应文件含有采购人不能接受的附加条件的。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8.1.7 本项目采购产品被财政部、国家发改委、生态环境部等列入“节能产品品目清单”、“环境标志产品品目清单”强制采购范围，而供应商的响应产品不在强制采购范围内的。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8.1.8 响应文件未按照磋商文件要求加盖电子签章。</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8.1.9 供应商在系统规定的时间内未成功解密电子响应文件的。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8.1.10 未完整上传响应文件电子文档的,或上传的文件打不开的。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8.1.11 不同的供应商响应文件制作机器码、文件创建标识码一致的。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8.1.12其他法律、法规及本磋商文件规定的属无效响应的情形。</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 出现下列情形之一的，本次竞争性磋商采购活动将被终止：</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8.2.1 </w:t>
      </w:r>
      <w:r>
        <w:rPr>
          <w:rFonts w:ascii="仿宋" w:hAnsi="仿宋" w:eastAsia="仿宋"/>
          <w:color w:val="auto"/>
          <w:sz w:val="28"/>
          <w:szCs w:val="28"/>
          <w:highlight w:val="none"/>
        </w:rPr>
        <w:t xml:space="preserve">因情况变化，不再符合规定的竞争性</w:t>
      </w:r>
      <w:r>
        <w:rPr>
          <w:rFonts w:hint="eastAsia" w:ascii="仿宋" w:hAnsi="仿宋" w:eastAsia="仿宋"/>
          <w:color w:val="auto"/>
          <w:sz w:val="28"/>
          <w:szCs w:val="28"/>
          <w:highlight w:val="none"/>
        </w:rPr>
        <w:t xml:space="preserve">磋商</w:t>
      </w:r>
      <w:r>
        <w:rPr>
          <w:rFonts w:ascii="仿宋" w:hAnsi="仿宋" w:eastAsia="仿宋"/>
          <w:color w:val="auto"/>
          <w:sz w:val="28"/>
          <w:szCs w:val="28"/>
          <w:highlight w:val="none"/>
        </w:rPr>
        <w:t xml:space="preserve">采购方式适用情形的；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8.2.2 </w:t>
      </w:r>
      <w:r>
        <w:rPr>
          <w:rFonts w:ascii="仿宋" w:hAnsi="仿宋" w:eastAsia="仿宋"/>
          <w:color w:val="auto"/>
          <w:sz w:val="28"/>
          <w:szCs w:val="28"/>
          <w:highlight w:val="none"/>
        </w:rPr>
        <w:t xml:space="preserve">出现影响采购公正的违法、违规行为的；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8.2.3 除了市场竞争不充分的科研项目、需要扶持的科技成果转化项目和政府购买服务项目之外，在采购过程中符合要求的供应商或者报价未超过采购预算的供应商不足3家的。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8.2.3 对于市场竞争不充分的科研项目、需要扶持的科技成果转化项目或者政府购买服务项目，提交最后报价的供应商不足2家。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8.2.4因重大变故，采购任务取消的。</w:t>
      </w:r>
      <w:r/>
    </w:p>
    <w:p>
      <w:pPr>
        <w:ind w:firstLine="560"/>
        <w:spacing w:line="500" w:lineRule="exact"/>
        <w:rPr>
          <w:rFonts w:ascii="黑体" w:hAnsi="黑体" w:eastAsia="黑体"/>
          <w:color w:val="auto"/>
          <w:sz w:val="28"/>
          <w:szCs w:val="28"/>
          <w:highlight w:val="none"/>
        </w:rPr>
        <w:outlineLvl w:val="1"/>
      </w:pPr>
      <w:r/>
      <w:bookmarkStart w:id="69" w:name="_Toc25107"/>
      <w:r/>
      <w:bookmarkStart w:id="70" w:name="_Toc23916"/>
      <w:r>
        <w:rPr>
          <w:rFonts w:hint="eastAsia" w:ascii="黑体" w:hAnsi="黑体" w:eastAsia="黑体"/>
          <w:color w:val="auto"/>
          <w:sz w:val="28"/>
          <w:szCs w:val="28"/>
          <w:highlight w:val="none"/>
        </w:rPr>
        <w:t xml:space="preserve">9. 询问、质疑和投诉</w:t>
      </w:r>
      <w:bookmarkEnd w:id="69"/>
      <w:r/>
      <w:bookmarkEnd w:id="70"/>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上述应知其权益受到损害之日，是指：</w:t>
      </w:r>
      <w:r>
        <w:rPr>
          <w:rFonts w:ascii="仿宋" w:hAnsi="仿宋" w:eastAsia="仿宋"/>
          <w:color w:val="auto"/>
          <w:sz w:val="28"/>
          <w:szCs w:val="28"/>
          <w:highlight w:val="none"/>
        </w:rPr>
        <w:t xml:space="preserve">对可以质疑的</w:t>
      </w:r>
      <w:r>
        <w:rPr>
          <w:rFonts w:hint="eastAsia" w:ascii="仿宋" w:hAnsi="仿宋" w:eastAsia="仿宋"/>
          <w:color w:val="auto"/>
          <w:sz w:val="28"/>
          <w:szCs w:val="28"/>
          <w:highlight w:val="none"/>
        </w:rPr>
        <w:t xml:space="preserve">采购文件</w:t>
      </w:r>
      <w:r>
        <w:rPr>
          <w:rFonts w:ascii="仿宋" w:hAnsi="仿宋" w:eastAsia="仿宋"/>
          <w:color w:val="auto"/>
          <w:sz w:val="28"/>
          <w:szCs w:val="28"/>
          <w:highlight w:val="none"/>
        </w:rPr>
        <w:t xml:space="preserve">提出质疑的，为收到</w:t>
      </w:r>
      <w:r>
        <w:rPr>
          <w:rFonts w:hint="eastAsia" w:ascii="仿宋" w:hAnsi="仿宋" w:eastAsia="仿宋"/>
          <w:color w:val="auto"/>
          <w:sz w:val="28"/>
          <w:szCs w:val="28"/>
          <w:highlight w:val="none"/>
        </w:rPr>
        <w:t xml:space="preserve">采购文件</w:t>
      </w:r>
      <w:r>
        <w:rPr>
          <w:rFonts w:ascii="仿宋" w:hAnsi="仿宋" w:eastAsia="仿宋"/>
          <w:color w:val="auto"/>
          <w:sz w:val="28"/>
          <w:szCs w:val="28"/>
          <w:highlight w:val="none"/>
        </w:rPr>
        <w:t xml:space="preserve">之日或者</w:t>
      </w:r>
      <w:r>
        <w:rPr>
          <w:rFonts w:hint="eastAsia" w:ascii="仿宋" w:hAnsi="仿宋" w:eastAsia="仿宋"/>
          <w:color w:val="auto"/>
          <w:sz w:val="28"/>
          <w:szCs w:val="28"/>
          <w:highlight w:val="none"/>
        </w:rPr>
        <w:t xml:space="preserve">采购文件</w:t>
      </w:r>
      <w:r>
        <w:rPr>
          <w:rFonts w:ascii="仿宋" w:hAnsi="仿宋" w:eastAsia="仿宋"/>
          <w:color w:val="auto"/>
          <w:sz w:val="28"/>
          <w:szCs w:val="28"/>
          <w:highlight w:val="none"/>
        </w:rPr>
        <w:t xml:space="preserve">公告期限届满之日；对采购过程提出质疑的，为各采购程序环节结束之日；对成交结果提出质疑的，为成交结果公告期限届满之日。</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9.3 提出质疑的供应商（以下简称质疑供应商）应当是参与所质疑项目采购活动的供应商。潜在供应商已依法获取其可质疑的采购文件的，可以对该文件提出质疑。项目设立、项目预算、采购方式、组织形式、进口产品核准、采购需求调查过程、专门面向中小企业采购、合同履约等不属于可质疑事项。</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9.5 </w:t>
      </w:r>
      <w:r>
        <w:rPr>
          <w:rFonts w:hint="eastAsia" w:ascii="仿宋" w:hAnsi="仿宋" w:eastAsia="仿宋"/>
          <w:b/>
          <w:color w:val="auto"/>
          <w:sz w:val="28"/>
          <w:szCs w:val="28"/>
          <w:highlight w:val="none"/>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采购文件中《质疑函范本》要求填写的质疑函原件。</w:t>
      </w:r>
      <w:r/>
    </w:p>
    <w:p>
      <w:pPr>
        <w:ind w:firstLine="560"/>
        <w:spacing w:line="500" w:lineRule="exact"/>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9.6 </w:t>
      </w:r>
      <w:r>
        <w:rPr>
          <w:rFonts w:hint="eastAsia" w:ascii="仿宋" w:hAnsi="仿宋" w:eastAsia="仿宋"/>
          <w:b/>
          <w:color w:val="auto"/>
          <w:sz w:val="28"/>
          <w:szCs w:val="28"/>
          <w:highlight w:val="none"/>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color w:val="auto"/>
          <w:sz w:val="28"/>
          <w:szCs w:val="28"/>
          <w:highlight w:val="none"/>
        </w:rPr>
        <w:t xml:space="preserve">，见磋商文件第</w:t>
      </w:r>
      <w:r>
        <w:rPr>
          <w:rFonts w:hint="eastAsia" w:ascii="仿宋" w:hAnsi="仿宋" w:eastAsia="仿宋"/>
          <w:b/>
          <w:color w:val="auto"/>
          <w:sz w:val="28"/>
          <w:szCs w:val="28"/>
          <w:highlight w:val="none"/>
        </w:rPr>
        <w:t xml:space="preserve">1</w:t>
      </w:r>
      <w:r>
        <w:rPr>
          <w:rFonts w:ascii="仿宋" w:hAnsi="仿宋" w:eastAsia="仿宋"/>
          <w:b/>
          <w:color w:val="auto"/>
          <w:sz w:val="28"/>
          <w:szCs w:val="28"/>
          <w:highlight w:val="none"/>
        </w:rPr>
        <w:t xml:space="preserve">章。</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 </w:t>
      </w:r>
      <w:r>
        <w:rPr>
          <w:rFonts w:ascii="仿宋" w:hAnsi="仿宋" w:eastAsia="仿宋"/>
          <w:color w:val="auto"/>
          <w:sz w:val="28"/>
          <w:szCs w:val="28"/>
          <w:highlight w:val="none"/>
        </w:rPr>
        <w:t xml:space="preserve">以下情形的质疑不予受理：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9.7.1 </w:t>
      </w:r>
      <w:r>
        <w:rPr>
          <w:rFonts w:ascii="仿宋" w:hAnsi="仿宋" w:eastAsia="仿宋"/>
          <w:color w:val="auto"/>
          <w:sz w:val="28"/>
          <w:szCs w:val="28"/>
          <w:highlight w:val="none"/>
        </w:rPr>
        <w:t xml:space="preserve">内容不符合《政府采购质疑和投诉办法》第十二条规定的质疑。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9.7.2 </w:t>
      </w:r>
      <w:r>
        <w:rPr>
          <w:rFonts w:ascii="仿宋" w:hAnsi="仿宋" w:eastAsia="仿宋"/>
          <w:color w:val="auto"/>
          <w:sz w:val="28"/>
          <w:szCs w:val="28"/>
          <w:highlight w:val="none"/>
        </w:rPr>
        <w:t xml:space="preserve">超出政府采购法定期限的质疑。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9.7.3</w:t>
      </w:r>
      <w:r>
        <w:rPr>
          <w:rFonts w:ascii="仿宋" w:hAnsi="仿宋" w:eastAsia="仿宋"/>
          <w:color w:val="auto"/>
          <w:sz w:val="28"/>
          <w:szCs w:val="28"/>
          <w:highlight w:val="none"/>
        </w:rPr>
        <w:t xml:space="preserve">未参加磋商活动的供应商或在磋商活动中自身权益未受到损害的供应商所提出的质疑。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9.7.4 </w:t>
      </w:r>
      <w:r>
        <w:rPr>
          <w:rFonts w:ascii="仿宋" w:hAnsi="仿宋" w:eastAsia="仿宋"/>
          <w:color w:val="auto"/>
          <w:sz w:val="28"/>
          <w:szCs w:val="28"/>
          <w:highlight w:val="none"/>
        </w:rPr>
        <w:t xml:space="preserve">供应商组成联合体参加磋商活动，联合体中任何一方或多方未按要求签字、盖章、加盖公章的质疑。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9.8 </w:t>
      </w:r>
      <w:r>
        <w:rPr>
          <w:rFonts w:ascii="仿宋" w:hAnsi="仿宋" w:eastAsia="仿宋"/>
          <w:color w:val="auto"/>
          <w:sz w:val="28"/>
          <w:szCs w:val="28"/>
          <w:highlight w:val="none"/>
        </w:rPr>
        <w:t xml:space="preserve">供应商提出书面质疑必须有理、有据，不得捏造事实、提供虚假材料进行恶意质疑。否则，一经查实，</w:t>
      </w:r>
      <w:r>
        <w:rPr>
          <w:rFonts w:hint="eastAsia" w:ascii="仿宋" w:hAnsi="仿宋" w:eastAsia="仿宋"/>
          <w:color w:val="auto"/>
          <w:sz w:val="28"/>
          <w:szCs w:val="28"/>
          <w:highlight w:val="none"/>
        </w:rPr>
        <w:t xml:space="preserve">采购代理机构</w:t>
      </w:r>
      <w:r>
        <w:rPr>
          <w:rFonts w:ascii="仿宋" w:hAnsi="仿宋" w:eastAsia="仿宋"/>
          <w:color w:val="auto"/>
          <w:sz w:val="28"/>
          <w:szCs w:val="28"/>
          <w:highlight w:val="none"/>
        </w:rPr>
        <w:t xml:space="preserve">有权依据政府采购的有关规定，报请政府采购监管部门对该供应商进行相应的行政处罚和记录该供应商的失信信息。</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9.9 质疑函范本</w:t>
      </w:r>
      <w:r/>
    </w:p>
    <w:p>
      <w:pPr>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质疑函</w:t>
      </w:r>
      <w:r/>
    </w:p>
    <w:p>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一、质疑供应商基本信息</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质疑供应商：</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地址：邮编：</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联系人：联系电话：</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授权代表：联系电话：</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地址：邮编：</w:t>
      </w:r>
      <w:r/>
    </w:p>
    <w:p>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二、质疑项目基本情况</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质疑项目的名称：</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质疑项目的编号：包号：</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采购人名称：</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采购文件获取日期：</w:t>
      </w:r>
      <w:r/>
    </w:p>
    <w:p>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三、质疑事项具体内容</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质疑事项1：</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事实依据：</w:t>
      </w:r>
      <w:r/>
    </w:p>
    <w:p>
      <w:pP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法律依据：</w:t>
      </w:r>
      <w:r/>
    </w:p>
    <w:p>
      <w:pPr>
        <w:spacing w:line="360" w:lineRule="auto"/>
        <w:rPr>
          <w:rFonts w:ascii="仿宋" w:hAnsi="仿宋" w:eastAsia="仿宋" w:cs="仿宋"/>
          <w:color w:val="auto"/>
          <w:sz w:val="28"/>
          <w:szCs w:val="28"/>
          <w:highlight w:val="none"/>
          <w:u w:val="single"/>
        </w:rPr>
      </w:pPr>
      <w:r>
        <w:rPr>
          <w:rFonts w:ascii="仿宋" w:hAnsi="仿宋" w:eastAsia="仿宋" w:cs="仿宋"/>
          <w:color w:val="auto"/>
          <w:sz w:val="28"/>
          <w:szCs w:val="28"/>
          <w:highlight w:val="none"/>
          <w:u w:val="single"/>
        </w:rPr>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质疑事项2</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p>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四、与质疑事项相关的质疑请求</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请求：</w:t>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签字(签章)：              公章：                      </w:t>
      </w:r>
      <w:r/>
    </w:p>
    <w:p>
      <w:pPr>
        <w:ind w:right="560" w:firstLine="560"/>
        <w:spacing w:line="500" w:lineRule="exact"/>
        <w:rPr>
          <w:rFonts w:ascii="仿宋" w:hAnsi="仿宋" w:eastAsia="仿宋"/>
          <w:color w:val="auto"/>
          <w:sz w:val="28"/>
          <w:szCs w:val="28"/>
          <w:highlight w:val="none"/>
        </w:rPr>
      </w:pPr>
      <w:r>
        <w:rPr>
          <w:rFonts w:hint="eastAsia" w:ascii="仿宋_GB2312" w:eastAsia="仿宋_GB2312"/>
          <w:color w:val="auto"/>
          <w:sz w:val="28"/>
          <w:szCs w:val="28"/>
          <w:highlight w:val="none"/>
        </w:rPr>
        <w:t xml:space="preserve">日期：</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9.12 </w:t>
      </w:r>
      <w:r>
        <w:rPr>
          <w:rFonts w:ascii="仿宋" w:hAnsi="仿宋" w:eastAsia="仿宋"/>
          <w:color w:val="auto"/>
          <w:sz w:val="28"/>
          <w:szCs w:val="28"/>
          <w:highlight w:val="none"/>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color w:val="auto"/>
          <w:sz w:val="28"/>
          <w:szCs w:val="28"/>
          <w:highlight w:val="none"/>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9.13 投诉人应当将投诉书送达如皋市财政局政府采购管理科（</w:t>
      </w:r>
      <w:r>
        <w:rPr>
          <w:rFonts w:ascii="仿宋" w:hAnsi="仿宋" w:eastAsia="仿宋"/>
          <w:color w:val="auto"/>
          <w:sz w:val="28"/>
          <w:szCs w:val="28"/>
          <w:highlight w:val="none"/>
        </w:rPr>
        <w:t xml:space="preserve">如皋市解放路199号，行政中心</w:t>
      </w:r>
      <w:r>
        <w:rPr>
          <w:rFonts w:hint="eastAsia" w:ascii="仿宋" w:hAnsi="仿宋" w:eastAsia="仿宋"/>
          <w:color w:val="auto"/>
          <w:sz w:val="28"/>
          <w:szCs w:val="28"/>
          <w:highlight w:val="none"/>
        </w:rPr>
        <w:t xml:space="preserve">A座710室，联系电话0513-87623860）。</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9.14 投诉书范本</w:t>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投诉书</w:t>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一、投诉相关主体基本情况</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投诉人：</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地     址：邮编：</w:t>
      </w:r>
      <w:r/>
    </w:p>
    <w:p>
      <w:pPr>
        <w:jc w:val="left"/>
        <w:tabs>
          <w:tab w:val="left" w:pos="6510" w:leader="none"/>
        </w:tabs>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法定代表人/主要负责人：联系电话：</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授权代表：联系电话：</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地     址：邮编：</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被投诉人1：</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地     址：邮编：</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联系人：联系电话：</w:t>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被投诉人2</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相关供应商：</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地     址：邮编：</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联系人：联系电话：</w:t>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二、投诉项目基本情况</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采购项目名称：</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采购项目编号：包号：</w:t>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采购人名称：</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代理机构名称：</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采购文件公告:</w:t>
      </w:r>
      <w:r>
        <w:rPr>
          <w:rFonts w:hint="eastAsia" w:ascii="仿宋_GB2312" w:eastAsia="仿宋_GB2312"/>
          <w:color w:val="auto"/>
          <w:sz w:val="28"/>
          <w:szCs w:val="28"/>
          <w:highlight w:val="none"/>
          <w:u w:val="single"/>
        </w:rPr>
        <w:t xml:space="preserve">是/否 </w:t>
      </w:r>
      <w:r>
        <w:rPr>
          <w:rFonts w:hint="eastAsia" w:ascii="仿宋_GB2312" w:eastAsia="仿宋_GB2312"/>
          <w:color w:val="auto"/>
          <w:sz w:val="28"/>
          <w:szCs w:val="28"/>
          <w:highlight w:val="none"/>
        </w:rPr>
        <w:t xml:space="preserve">公告期限：</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采购结果公告:</w:t>
      </w:r>
      <w:r>
        <w:rPr>
          <w:rFonts w:hint="eastAsia" w:ascii="仿宋_GB2312" w:eastAsia="仿宋_GB2312"/>
          <w:color w:val="auto"/>
          <w:sz w:val="28"/>
          <w:szCs w:val="28"/>
          <w:highlight w:val="none"/>
          <w:u w:val="single"/>
        </w:rPr>
        <w:t xml:space="preserve">是/否 </w:t>
      </w:r>
      <w:r>
        <w:rPr>
          <w:rFonts w:hint="eastAsia" w:ascii="仿宋_GB2312" w:eastAsia="仿宋_GB2312"/>
          <w:color w:val="auto"/>
          <w:sz w:val="28"/>
          <w:szCs w:val="28"/>
          <w:highlight w:val="none"/>
        </w:rPr>
        <w:t xml:space="preserve">公告期限：</w:t>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三、质疑基本情况</w:t>
      </w:r>
      <w:r/>
    </w:p>
    <w:p>
      <w:pPr>
        <w:ind w:firstLine="560"/>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投诉人于年月日,向提出质疑，质疑事项为：</w:t>
      </w:r>
      <w:r/>
    </w:p>
    <w:p>
      <w:pPr>
        <w:rPr>
          <w:rFonts w:ascii="仿宋_GB2312" w:eastAsia="仿宋_GB2312"/>
          <w:color w:val="auto"/>
          <w:sz w:val="28"/>
          <w:szCs w:val="28"/>
          <w:highlight w:val="none"/>
          <w:u w:val="single"/>
        </w:rPr>
      </w:pPr>
      <w:r>
        <w:rPr>
          <w:rFonts w:ascii="仿宋_GB2312" w:eastAsia="仿宋_GB2312"/>
          <w:color w:val="auto"/>
          <w:sz w:val="28"/>
          <w:szCs w:val="28"/>
          <w:highlight w:val="none"/>
          <w:u w:val="single"/>
        </w:rPr>
      </w:r>
      <w:r/>
    </w:p>
    <w:p>
      <w:pPr>
        <w:ind w:firstLine="420"/>
        <w:rPr>
          <w:rFonts w:ascii="仿宋_GB2312" w:eastAsia="仿宋_GB2312"/>
          <w:color w:val="auto"/>
          <w:sz w:val="28"/>
          <w:szCs w:val="28"/>
          <w:highlight w:val="none"/>
        </w:rPr>
      </w:pPr>
      <w:r>
        <w:rPr>
          <w:rFonts w:hint="eastAsia" w:ascii="仿宋_GB2312" w:eastAsia="仿宋_GB2312"/>
          <w:color w:val="auto"/>
          <w:sz w:val="28"/>
          <w:szCs w:val="28"/>
          <w:highlight w:val="none"/>
          <w:u w:val="single"/>
        </w:rPr>
        <w:t xml:space="preserve">采购人/代理机构</w:t>
      </w:r>
      <w:r>
        <w:rPr>
          <w:rFonts w:hint="eastAsia" w:ascii="仿宋_GB2312" w:eastAsia="仿宋_GB2312"/>
          <w:color w:val="auto"/>
          <w:sz w:val="28"/>
          <w:szCs w:val="28"/>
          <w:highlight w:val="none"/>
        </w:rPr>
        <w:t xml:space="preserve">于年月日,就质疑事项作出了答复/没有在法定期限内作出答复。</w:t>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四、投诉事项具体内容</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投诉事项 1：</w:t>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事实依据：</w:t>
      </w:r>
      <w:r/>
    </w:p>
    <w:p>
      <w:pPr>
        <w:rPr>
          <w:rFonts w:ascii="仿宋_GB2312" w:eastAsia="仿宋_GB2312"/>
          <w:color w:val="auto"/>
          <w:sz w:val="28"/>
          <w:szCs w:val="28"/>
          <w:highlight w:val="none"/>
          <w:u w:val="single"/>
        </w:rPr>
      </w:pPr>
      <w:r>
        <w:rPr>
          <w:rFonts w:ascii="仿宋_GB2312" w:eastAsia="仿宋_GB2312"/>
          <w:color w:val="auto"/>
          <w:sz w:val="28"/>
          <w:szCs w:val="28"/>
          <w:highlight w:val="none"/>
          <w:u w:val="single"/>
        </w:rPr>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法律依据：</w:t>
      </w:r>
      <w:r/>
    </w:p>
    <w:p>
      <w:pPr>
        <w:rPr>
          <w:rFonts w:ascii="仿宋_GB2312" w:eastAsia="仿宋_GB2312"/>
          <w:color w:val="auto"/>
          <w:sz w:val="28"/>
          <w:szCs w:val="28"/>
          <w:highlight w:val="none"/>
          <w:u w:val="single"/>
        </w:rPr>
      </w:pPr>
      <w:r>
        <w:rPr>
          <w:rFonts w:ascii="仿宋_GB2312" w:eastAsia="仿宋_GB2312"/>
          <w:color w:val="auto"/>
          <w:sz w:val="28"/>
          <w:szCs w:val="28"/>
          <w:highlight w:val="none"/>
          <w:u w:val="single"/>
        </w:rPr>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投诉事项2</w:t>
      </w:r>
      <w:r/>
    </w:p>
    <w:p>
      <w:pPr>
        <w:rPr>
          <w:rFonts w:ascii="仿宋_GB2312" w:eastAsia="仿宋_GB2312"/>
          <w:color w:val="auto"/>
          <w:sz w:val="28"/>
          <w:szCs w:val="28"/>
          <w:highlight w:val="none"/>
          <w:u w:val="single"/>
        </w:rPr>
      </w:pPr>
      <w:r>
        <w:rPr>
          <w:rFonts w:hint="eastAsia" w:ascii="仿宋_GB2312" w:eastAsia="仿宋_GB2312"/>
          <w:color w:val="auto"/>
          <w:sz w:val="28"/>
          <w:szCs w:val="28"/>
          <w:highlight w:val="none"/>
        </w:rPr>
        <w:t xml:space="preserve">……</w:t>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五、与投诉事项相关的投诉请求</w:t>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请求：</w:t>
      </w:r>
      <w:r/>
    </w:p>
    <w:p>
      <w:pPr>
        <w:rPr>
          <w:rFonts w:ascii="仿宋_GB2312" w:eastAsia="仿宋_GB2312"/>
          <w:color w:val="auto"/>
          <w:sz w:val="28"/>
          <w:szCs w:val="28"/>
          <w:highlight w:val="none"/>
          <w:u w:val="single"/>
        </w:rPr>
      </w:pPr>
      <w:r>
        <w:rPr>
          <w:rFonts w:ascii="仿宋_GB2312" w:eastAsia="仿宋_GB2312"/>
          <w:color w:val="auto"/>
          <w:sz w:val="28"/>
          <w:szCs w:val="28"/>
          <w:highlight w:val="none"/>
          <w:u w:val="single"/>
        </w:rPr>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签字(签章)：                   公章：                      </w:t>
      </w:r>
      <w:r/>
    </w:p>
    <w:p>
      <w:pPr>
        <w:ind w:firstLine="560"/>
        <w:spacing w:line="500" w:lineRule="exact"/>
        <w:rPr>
          <w:rFonts w:ascii="仿宋" w:hAnsi="仿宋" w:eastAsia="仿宋"/>
          <w:color w:val="auto"/>
          <w:sz w:val="28"/>
          <w:szCs w:val="28"/>
          <w:highlight w:val="none"/>
        </w:rPr>
      </w:pPr>
      <w:r>
        <w:rPr>
          <w:rFonts w:hint="eastAsia" w:ascii="仿宋_GB2312" w:eastAsia="仿宋_GB2312"/>
          <w:color w:val="auto"/>
          <w:sz w:val="28"/>
          <w:szCs w:val="28"/>
          <w:highlight w:val="none"/>
        </w:rPr>
        <w:t xml:space="preserve">日期：    </w:t>
      </w:r>
      <w:r/>
    </w:p>
    <w:p>
      <w:pPr>
        <w:ind w:firstLine="560"/>
        <w:jc w:val="left"/>
        <w:spacing w:line="500" w:lineRule="exact"/>
        <w:rPr>
          <w:rFonts w:ascii="仿宋" w:hAnsi="仿宋" w:eastAsia="仿宋"/>
          <w:color w:val="auto"/>
          <w:sz w:val="28"/>
          <w:szCs w:val="28"/>
          <w:highlight w:val="none"/>
        </w:rPr>
        <w:outlineLvl w:val="1"/>
      </w:pPr>
      <w:r/>
      <w:bookmarkStart w:id="71" w:name="_Toc14206"/>
      <w:r/>
      <w:bookmarkStart w:id="72" w:name="_Toc6094"/>
      <w:r>
        <w:rPr>
          <w:rFonts w:hint="eastAsia" w:ascii="黑体" w:hAnsi="黑体" w:eastAsia="黑体"/>
          <w:color w:val="auto"/>
          <w:sz w:val="28"/>
          <w:szCs w:val="28"/>
          <w:highlight w:val="none"/>
        </w:rPr>
        <w:t xml:space="preserve">10. 政府采购合同信用融资扶持政策</w:t>
      </w:r>
      <w:bookmarkEnd w:id="71"/>
      <w:r/>
      <w:bookmarkEnd w:id="72"/>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10.2 成交供应商如需获得合同信用融资支持，可凭政府采购合同办理“政采贷”融资贷款，详情请见南通市政府采购网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ascii="黑体" w:hAnsi="黑体" w:eastAsia="黑体"/>
          <w:color w:val="auto"/>
          <w:sz w:val="28"/>
          <w:szCs w:val="28"/>
          <w:highlight w:val="none"/>
        </w:rPr>
        <w:outlineLvl w:val="1"/>
      </w:pPr>
      <w:r/>
      <w:bookmarkStart w:id="73" w:name="_Toc3567"/>
      <w:r/>
      <w:bookmarkStart w:id="74" w:name="_Toc12330"/>
      <w:r>
        <w:rPr>
          <w:rFonts w:hint="eastAsia" w:ascii="黑体" w:hAnsi="黑体" w:eastAsia="黑体"/>
          <w:color w:val="auto"/>
          <w:sz w:val="28"/>
          <w:szCs w:val="28"/>
          <w:highlight w:val="none"/>
        </w:rPr>
        <w:t xml:space="preserve">11. 采购代理服务费</w:t>
      </w:r>
      <w:bookmarkEnd w:id="73"/>
      <w:r/>
      <w:bookmarkEnd w:id="74"/>
      <w:r/>
      <w:r/>
    </w:p>
    <w:p>
      <w:pPr>
        <w:ind w:firstLine="560"/>
        <w:jc w:val="left"/>
        <w:spacing w:line="500" w:lineRule="exact"/>
        <w:rPr>
          <w:rFonts w:ascii="仿宋" w:hAnsi="仿宋" w:eastAsia="仿宋" w:cs="仿宋"/>
          <w:color w:val="auto"/>
          <w:sz w:val="28"/>
          <w:szCs w:val="28"/>
          <w:highlight w:val="none"/>
        </w:rPr>
      </w:pPr>
      <w:r>
        <w:rPr>
          <w:rFonts w:hint="eastAsia" w:ascii="仿宋" w:hAnsi="仿宋" w:eastAsia="仿宋"/>
          <w:color w:val="auto"/>
          <w:sz w:val="28"/>
          <w:szCs w:val="28"/>
          <w:highlight w:val="none"/>
        </w:rPr>
        <w:t xml:space="preserve">11.1</w:t>
      </w:r>
      <w:r>
        <w:rPr>
          <w:rFonts w:hint="eastAsia" w:ascii="仿宋" w:hAnsi="仿宋" w:eastAsia="仿宋" w:cs="仿宋"/>
          <w:color w:val="auto"/>
          <w:sz w:val="28"/>
          <w:szCs w:val="28"/>
          <w:highlight w:val="none"/>
        </w:rPr>
        <w:t xml:space="preserve">采购代理服务费依据财政部《政府采购代理机构管理暂行办法》(财库〔2018〕2号)及《江苏省政府采购代理服务收费指导意见》（苏政采协〔2024〕20号）的规定执行。收取标准：以成交价为基数，采用差额定率累进法（50万元</w:t>
      </w:r>
      <w:r>
        <w:rPr>
          <w:rFonts w:hint="eastAsia" w:ascii="仿宋" w:hAnsi="仿宋" w:eastAsia="仿宋" w:cs="仿宋"/>
          <w:color w:val="auto"/>
          <w:sz w:val="28"/>
          <w:szCs w:val="28"/>
          <w:highlight w:val="none"/>
        </w:rPr>
        <w:t xml:space="preserve">（含）以下部分，费率为1.6%；50万元~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伍仟按伍仟元计取，由成交供应商承担。本项目预算中包含此费用，响应供应商在报价中需考虑此费用的代付，采购人不再另行支付。</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11.2 采购代理服务费由成交供应商支付。成交供应商自成交结果公告发布之日起五个工作日内，向采购代理机构支付服务费。</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11.3 采购代理机构账户信息：</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11.3.1收款单位名称为：</w:t>
      </w:r>
      <w:r>
        <w:rPr>
          <w:rFonts w:hint="eastAsia" w:ascii="仿宋" w:hAnsi="仿宋" w:eastAsia="仿宋" w:cs="宋体"/>
          <w:color w:val="auto"/>
          <w:sz w:val="28"/>
          <w:szCs w:val="28"/>
          <w:highlight w:val="none"/>
        </w:rPr>
        <w:t xml:space="preserve">南通泾天纬地项目管理有限公司</w:t>
      </w:r>
      <w:r>
        <w:rPr>
          <w:rFonts w:hint="eastAsia" w:ascii="仿宋" w:hAnsi="仿宋" w:eastAsia="仿宋"/>
          <w:color w:val="auto"/>
          <w:sz w:val="28"/>
          <w:szCs w:val="28"/>
          <w:highlight w:val="none"/>
        </w:rPr>
        <w:t xml:space="preserve">；</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11.3.2账户号码：</w:t>
      </w:r>
      <w:r>
        <w:rPr>
          <w:rFonts w:hint="eastAsia" w:ascii="仿宋" w:hAnsi="仿宋" w:eastAsia="仿宋" w:cs="宋体"/>
          <w:color w:val="auto"/>
          <w:sz w:val="28"/>
          <w:szCs w:val="28"/>
          <w:highlight w:val="none"/>
        </w:rPr>
        <w:t xml:space="preserve">32050164723600005459</w:t>
      </w:r>
      <w:r>
        <w:rPr>
          <w:rFonts w:hint="eastAsia"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11.3.3开户行：</w:t>
      </w:r>
      <w:r>
        <w:rPr>
          <w:rFonts w:hint="eastAsia" w:ascii="仿宋" w:hAnsi="仿宋" w:eastAsia="仿宋" w:cs="宋体"/>
          <w:color w:val="auto"/>
          <w:sz w:val="28"/>
          <w:szCs w:val="28"/>
          <w:highlight w:val="none"/>
        </w:rPr>
        <w:t xml:space="preserve">开户行：建设银行如皋支行，行号：105306200016。</w:t>
      </w:r>
      <w:bookmarkEnd w:id="8"/>
      <w:r/>
      <w:r/>
    </w:p>
    <w:p>
      <w:pPr>
        <w:pStyle w:val="891"/>
        <w:ind w:firstLine="0"/>
        <w:jc w:val="center"/>
        <w:spacing w:line="240" w:lineRule="auto"/>
        <w:rPr>
          <w:rFonts w:ascii="微软雅黑" w:eastAsia="微软雅黑"/>
          <w:bCs/>
          <w:color w:val="auto"/>
          <w:sz w:val="32"/>
          <w:szCs w:val="32"/>
          <w:highlight w:val="none"/>
        </w:rPr>
        <w:outlineLvl w:val="0"/>
      </w:pPr>
      <w:r>
        <w:rPr>
          <w:rFonts w:ascii="微软雅黑" w:eastAsia="微软雅黑"/>
          <w:bCs/>
          <w:color w:val="auto"/>
          <w:sz w:val="32"/>
          <w:szCs w:val="32"/>
          <w:highlight w:val="none"/>
        </w:rPr>
        <w:br w:type="page" w:clear="all"/>
      </w:r>
      <w:bookmarkStart w:id="75" w:name="_Toc43"/>
      <w:r/>
      <w:bookmarkStart w:id="76" w:name="_Toc3651"/>
      <w:r>
        <w:rPr>
          <w:rFonts w:hint="eastAsia" w:ascii="微软雅黑" w:eastAsia="微软雅黑"/>
          <w:bCs/>
          <w:color w:val="auto"/>
          <w:sz w:val="32"/>
          <w:szCs w:val="32"/>
          <w:highlight w:val="none"/>
        </w:rPr>
        <w:t xml:space="preserve">第3章 采购需求</w:t>
      </w:r>
      <w:bookmarkEnd w:id="75"/>
      <w:r/>
      <w:bookmarkEnd w:id="76"/>
      <w:r/>
      <w:r/>
    </w:p>
    <w:p>
      <w:pPr>
        <w:ind w:firstLine="562"/>
        <w:jc w:val="left"/>
        <w:spacing w:line="500" w:lineRule="exact"/>
        <w:rPr>
          <w:rFonts w:ascii="仿宋" w:hAnsi="仿宋" w:eastAsia="仿宋"/>
          <w:b/>
          <w:bCs/>
          <w:color w:val="auto"/>
          <w:sz w:val="28"/>
          <w:szCs w:val="28"/>
          <w:highlight w:val="none"/>
        </w:rPr>
      </w:pPr>
      <w:r>
        <w:rPr>
          <w:rFonts w:ascii="仿宋" w:hAnsi="仿宋" w:eastAsia="仿宋"/>
          <w:b/>
          <w:bCs/>
          <w:color w:val="auto"/>
          <w:sz w:val="28"/>
          <w:szCs w:val="28"/>
          <w:highlight w:val="none"/>
        </w:rPr>
        <w:t xml:space="preserve">供应商在制作</w:t>
      </w:r>
      <w:r>
        <w:rPr>
          <w:rFonts w:hint="eastAsia" w:ascii="仿宋" w:hAnsi="仿宋" w:eastAsia="仿宋"/>
          <w:b/>
          <w:bCs/>
          <w:color w:val="auto"/>
          <w:sz w:val="28"/>
          <w:szCs w:val="28"/>
          <w:highlight w:val="none"/>
        </w:rPr>
        <w:t xml:space="preserve">响应</w:t>
      </w:r>
      <w:r>
        <w:rPr>
          <w:rFonts w:ascii="仿宋" w:hAnsi="仿宋" w:eastAsia="仿宋"/>
          <w:b/>
          <w:bCs/>
          <w:color w:val="auto"/>
          <w:sz w:val="28"/>
          <w:szCs w:val="28"/>
          <w:highlight w:val="none"/>
        </w:rPr>
        <w:t xml:space="preserve">文件时仔细研究</w:t>
      </w:r>
      <w:r>
        <w:rPr>
          <w:rFonts w:hint="eastAsia" w:ascii="仿宋" w:hAnsi="仿宋" w:eastAsia="仿宋"/>
          <w:b/>
          <w:bCs/>
          <w:color w:val="auto"/>
          <w:sz w:val="28"/>
          <w:szCs w:val="28"/>
          <w:highlight w:val="none"/>
        </w:rPr>
        <w:t xml:space="preserve">采购</w:t>
      </w:r>
      <w:r>
        <w:rPr>
          <w:rFonts w:ascii="仿宋" w:hAnsi="仿宋" w:eastAsia="仿宋"/>
          <w:b/>
          <w:bCs/>
          <w:color w:val="auto"/>
          <w:sz w:val="28"/>
          <w:szCs w:val="28"/>
          <w:highlight w:val="none"/>
        </w:rPr>
        <w:t xml:space="preserve">需求说明。</w:t>
      </w:r>
      <w:r>
        <w:rPr>
          <w:rFonts w:hint="eastAsia" w:ascii="仿宋" w:hAnsi="仿宋" w:eastAsia="仿宋"/>
          <w:b/>
          <w:bCs/>
          <w:color w:val="auto"/>
          <w:sz w:val="28"/>
          <w:szCs w:val="28"/>
          <w:highlight w:val="none"/>
        </w:rPr>
        <w:t xml:space="preserve">采购</w:t>
      </w:r>
      <w:r>
        <w:rPr>
          <w:rFonts w:ascii="仿宋" w:hAnsi="仿宋" w:eastAsia="仿宋"/>
          <w:b/>
          <w:bCs/>
          <w:color w:val="auto"/>
          <w:sz w:val="28"/>
          <w:szCs w:val="28"/>
          <w:highlight w:val="none"/>
        </w:rPr>
        <w:t xml:space="preserve">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jc w:val="left"/>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供</w:t>
      </w:r>
      <w:r>
        <w:rPr>
          <w:rFonts w:ascii="仿宋" w:hAnsi="仿宋" w:eastAsia="仿宋"/>
          <w:b/>
          <w:bCs/>
          <w:color w:val="auto"/>
          <w:sz w:val="28"/>
          <w:szCs w:val="28"/>
          <w:highlight w:val="none"/>
        </w:rPr>
        <w:t xml:space="preserve">应商不能简单照搬照抄</w:t>
      </w:r>
      <w:r>
        <w:rPr>
          <w:rFonts w:hint="eastAsia" w:ascii="仿宋" w:hAnsi="仿宋" w:eastAsia="仿宋"/>
          <w:b/>
          <w:bCs/>
          <w:color w:val="auto"/>
          <w:sz w:val="28"/>
          <w:szCs w:val="28"/>
          <w:highlight w:val="none"/>
        </w:rPr>
        <w:t xml:space="preserve">磋商</w:t>
      </w:r>
      <w:r>
        <w:rPr>
          <w:rFonts w:ascii="仿宋" w:hAnsi="仿宋" w:eastAsia="仿宋"/>
          <w:b/>
          <w:bCs/>
          <w:color w:val="auto"/>
          <w:sz w:val="28"/>
          <w:szCs w:val="28"/>
          <w:highlight w:val="none"/>
        </w:rPr>
        <w:t xml:space="preserve">文件项目需求说明中的技术、商务要求，必须作实事求是的响应。如响应供应商提供的货物和服务同</w:t>
      </w:r>
      <w:r>
        <w:rPr>
          <w:rFonts w:hint="eastAsia" w:ascii="仿宋" w:hAnsi="仿宋" w:eastAsia="仿宋"/>
          <w:b/>
          <w:bCs/>
          <w:color w:val="auto"/>
          <w:sz w:val="28"/>
          <w:szCs w:val="28"/>
          <w:highlight w:val="none"/>
        </w:rPr>
        <w:t xml:space="preserve">采购人</w:t>
      </w:r>
      <w:r>
        <w:rPr>
          <w:rFonts w:ascii="仿宋" w:hAnsi="仿宋" w:eastAsia="仿宋"/>
          <w:b/>
          <w:bCs/>
          <w:color w:val="auto"/>
          <w:sz w:val="28"/>
          <w:szCs w:val="28"/>
          <w:highlight w:val="none"/>
        </w:rPr>
        <w:t xml:space="preserve">提出的项目需求说明中的技术、商务要求不同的，必须在《商务部分正负偏离表》和《技术部分正负偏离表》上明示</w:t>
      </w:r>
      <w:r>
        <w:rPr>
          <w:rFonts w:hint="eastAsia" w:ascii="仿宋" w:hAnsi="仿宋" w:eastAsia="仿宋"/>
          <w:b/>
          <w:bCs/>
          <w:color w:val="auto"/>
          <w:sz w:val="28"/>
          <w:szCs w:val="28"/>
          <w:highlight w:val="none"/>
        </w:rPr>
        <w:t xml:space="preserve">。</w:t>
      </w:r>
      <w:r/>
    </w:p>
    <w:p>
      <w:pPr>
        <w:ind w:firstLine="560"/>
        <w:spacing w:line="500" w:lineRule="exact"/>
        <w:rPr>
          <w:rFonts w:ascii="黑体" w:hAnsi="黑体" w:eastAsia="黑体"/>
          <w:color w:val="auto"/>
          <w:sz w:val="28"/>
          <w:szCs w:val="28"/>
          <w:highlight w:val="none"/>
        </w:rPr>
        <w:outlineLvl w:val="1"/>
      </w:pPr>
      <w:r/>
      <w:bookmarkStart w:id="77" w:name="_Toc13925"/>
      <w:r/>
      <w:bookmarkStart w:id="78" w:name="_Toc11020"/>
      <w:r/>
      <w:bookmarkStart w:id="79" w:name="_Toc20585"/>
      <w:r>
        <w:rPr>
          <w:rFonts w:hint="eastAsia" w:ascii="黑体" w:hAnsi="黑体" w:eastAsia="黑体"/>
          <w:color w:val="auto"/>
          <w:sz w:val="28"/>
          <w:szCs w:val="28"/>
          <w:highlight w:val="none"/>
        </w:rPr>
        <w:t xml:space="preserve">一、项目简介</w:t>
      </w:r>
      <w:bookmarkEnd w:id="77"/>
      <w:r/>
      <w:bookmarkEnd w:id="78"/>
      <w:r/>
      <w:r/>
    </w:p>
    <w:p>
      <w:pPr>
        <w:ind w:firstLine="560"/>
        <w:spacing w:line="360" w:lineRule="auto"/>
        <w:rPr>
          <w:rFonts w:ascii="仿宋" w:hAnsi="仿宋" w:eastAsia="仿宋" w:cs="仿宋"/>
          <w:color w:val="auto"/>
          <w:sz w:val="28"/>
          <w:szCs w:val="28"/>
          <w:highlight w:val="none"/>
        </w:rPr>
      </w:pPr>
      <w:r/>
      <w:bookmarkStart w:id="80" w:name="_Toc10487"/>
      <w:r>
        <w:rPr>
          <w:rFonts w:hint="eastAsia" w:ascii="仿宋" w:hAnsi="仿宋" w:eastAsia="仿宋" w:cs="仿宋"/>
          <w:color w:val="auto"/>
          <w:sz w:val="28"/>
          <w:szCs w:val="28"/>
          <w:highlight w:val="none"/>
        </w:rPr>
        <w:t xml:space="preserve">为进一步深化环卫作业机制改革，建立环卫作业市场化运营新机制，达到全域生活垃圾封闭式运输的目标要求，实现全域生活垃圾封闭式规范运输，如城街道</w:t>
      </w:r>
      <w:r>
        <w:rPr>
          <w:rFonts w:hint="eastAsia" w:ascii="仿宋" w:hAnsi="仿宋" w:eastAsia="仿宋" w:cs="仿宋"/>
          <w:color w:val="auto"/>
          <w:sz w:val="28"/>
          <w:szCs w:val="28"/>
          <w:highlight w:val="none"/>
          <w:lang w:val="en-US" w:eastAsia="zh-CN"/>
        </w:rPr>
        <w:t xml:space="preserve">办事处</w:t>
      </w:r>
      <w:r>
        <w:rPr>
          <w:rFonts w:hint="eastAsia" w:ascii="仿宋" w:hAnsi="仿宋" w:eastAsia="仿宋" w:cs="仿宋"/>
          <w:color w:val="auto"/>
          <w:sz w:val="28"/>
          <w:szCs w:val="28"/>
          <w:highlight w:val="none"/>
        </w:rPr>
        <w:t xml:space="preserve">现就辖区16个安置区生活垃圾收集运输工作面向社会公开招标。本项目通过市场化专业化作业，全面规范安置区生活垃圾收运流程，杜绝二次污染，落实垃圾转运环节污染防治考核要求，切实提升辖区环境卫生管护水平。</w:t>
      </w:r>
      <w:r/>
    </w:p>
    <w:p>
      <w:pPr>
        <w:ind w:firstLine="560"/>
        <w:spacing w:line="500" w:lineRule="exact"/>
        <w:rPr>
          <w:rFonts w:ascii="黑体" w:hAnsi="黑体" w:eastAsia="黑体"/>
          <w:color w:val="auto"/>
          <w:sz w:val="28"/>
          <w:szCs w:val="28"/>
          <w:highlight w:val="none"/>
        </w:rPr>
        <w:outlineLvl w:val="1"/>
      </w:pPr>
      <w:r/>
      <w:bookmarkStart w:id="81" w:name="_Toc27024"/>
      <w:r>
        <w:rPr>
          <w:rFonts w:hint="eastAsia" w:ascii="黑体" w:hAnsi="黑体" w:eastAsia="黑体"/>
          <w:color w:val="auto"/>
          <w:sz w:val="28"/>
          <w:szCs w:val="28"/>
          <w:highlight w:val="none"/>
        </w:rPr>
        <w:t xml:space="preserve">二、服务内容</w:t>
      </w:r>
      <w:bookmarkEnd w:id="80"/>
      <w:r/>
      <w:bookmarkEnd w:id="81"/>
      <w:r/>
      <w:r/>
    </w:p>
    <w:p>
      <w:pPr>
        <w:ind w:firstLine="560"/>
        <w:spacing w:line="500" w:lineRule="exact"/>
        <w:rPr>
          <w:rFonts w:ascii="仿宋" w:hAnsi="仿宋" w:eastAsia="仿宋"/>
          <w:strike/>
          <w:color w:val="auto"/>
          <w:sz w:val="28"/>
          <w:szCs w:val="28"/>
          <w:highlight w:val="none"/>
        </w:rPr>
      </w:pPr>
      <w:r>
        <w:rPr>
          <w:rFonts w:hint="eastAsia" w:ascii="仿宋" w:hAnsi="仿宋" w:eastAsia="仿宋" w:cs="仿宋"/>
          <w:color w:val="auto"/>
          <w:sz w:val="28"/>
          <w:szCs w:val="28"/>
          <w:highlight w:val="none"/>
        </w:rPr>
        <w:t xml:space="preserve">如城街道所辖安置区的生活垃圾收集、清运（见附件1</w:t>
      </w:r>
      <w:r>
        <w:rPr>
          <w:rFonts w:hint="eastAsia" w:ascii="仿宋" w:hAnsi="仿宋" w:eastAsia="仿宋" w:cs="仿宋"/>
          <w:color w:val="auto"/>
          <w:sz w:val="28"/>
          <w:szCs w:val="28"/>
          <w:highlight w:val="none"/>
          <w:lang w:eastAsia="zh-CN"/>
        </w:rPr>
        <w:t xml:space="preserve">《如城街道办事处所辖安置区清单</w:t>
      </w:r>
      <w:r>
        <w:rPr>
          <w:rFonts w:hint="eastAsia" w:ascii="仿宋" w:hAnsi="仿宋" w:eastAsia="仿宋" w:cs="仿宋"/>
          <w:color w:val="auto"/>
          <w:sz w:val="28"/>
          <w:szCs w:val="28"/>
          <w:highlight w:val="none"/>
        </w:rPr>
        <w:t xml:space="preserve">》）。</w:t>
      </w:r>
      <w:r/>
    </w:p>
    <w:p>
      <w:pPr>
        <w:ind w:firstLine="560"/>
        <w:spacing w:line="500" w:lineRule="exact"/>
        <w:rPr>
          <w:rFonts w:ascii="黑体" w:hAnsi="黑体" w:eastAsia="黑体"/>
          <w:color w:val="auto"/>
          <w:sz w:val="28"/>
          <w:szCs w:val="28"/>
          <w:highlight w:val="none"/>
        </w:rPr>
        <w:outlineLvl w:val="1"/>
      </w:pPr>
      <w:r/>
      <w:bookmarkStart w:id="82" w:name="_Toc25818"/>
      <w:r>
        <w:rPr>
          <w:rFonts w:hint="eastAsia" w:ascii="黑体" w:hAnsi="黑体" w:eastAsia="黑体"/>
          <w:color w:val="auto"/>
          <w:sz w:val="28"/>
          <w:szCs w:val="28"/>
          <w:highlight w:val="none"/>
        </w:rPr>
        <w:t xml:space="preserve">三、</w:t>
      </w:r>
      <w:r>
        <w:rPr>
          <w:rFonts w:hint="eastAsia" w:ascii="黑体" w:hAnsi="黑体" w:eastAsia="黑体"/>
          <w:color w:val="auto"/>
          <w:sz w:val="28"/>
          <w:szCs w:val="28"/>
          <w:highlight w:val="none"/>
          <w:lang w:val="en-US" w:eastAsia="zh-CN"/>
        </w:rPr>
        <w:t xml:space="preserve">基本</w:t>
      </w:r>
      <w:r>
        <w:rPr>
          <w:rFonts w:hint="eastAsia" w:ascii="黑体" w:hAnsi="黑体" w:eastAsia="黑体"/>
          <w:color w:val="auto"/>
          <w:sz w:val="28"/>
          <w:szCs w:val="28"/>
          <w:highlight w:val="none"/>
        </w:rPr>
        <w:t xml:space="preserve">服务要求</w:t>
      </w:r>
      <w:bookmarkEnd w:id="82"/>
      <w:r/>
      <w:r/>
    </w:p>
    <w:p>
      <w:pPr>
        <w:ind w:firstLine="281"/>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（一）垃圾收集清运要求</w:t>
      </w:r>
      <w:r/>
    </w:p>
    <w:p>
      <w:pPr>
        <w:ind w:firstLine="56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1.按垃圾分类要求配置垃圾收集桶，做到分类收集、分类转运，转运垃圾量100%，做到日产日清无积存，垃圾桶无外溢。</w:t>
      </w:r>
      <w:r/>
    </w:p>
    <w:p>
      <w:pPr>
        <w:ind w:firstLine="56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2.垃圾运输做到车走地净。</w:t>
      </w:r>
      <w:r/>
    </w:p>
    <w:p>
      <w:pPr>
        <w:ind w:firstLine="56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3.车容整洁，车体外无污物、灰垢，实行密封运输，垃圾车辆运输途中不得有“滴、泼、洒、漏”现象。车辆外严禁挂垃圾袋，保持车容车貌整洁。</w:t>
      </w:r>
      <w:r/>
    </w:p>
    <w:p>
      <w:pPr>
        <w:ind w:firstLine="56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4.垃圾按指定的转运站运送。</w:t>
      </w:r>
      <w:r/>
    </w:p>
    <w:p>
      <w:pPr>
        <w:ind w:firstLine="56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5.垃圾处置合格，无填埋，无焚烧。</w:t>
      </w:r>
      <w:r/>
    </w:p>
    <w:p>
      <w:pPr>
        <w:ind w:firstLine="56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6.垃圾进中转站，须服从中转站管理。</w:t>
      </w:r>
      <w:r/>
    </w:p>
    <w:p>
      <w:pPr>
        <w:ind w:firstLine="56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7.垃圾运送员需穿着全装上岗，严格遵守交规。</w:t>
      </w:r>
      <w:r/>
    </w:p>
    <w:p>
      <w:pPr>
        <w:ind w:firstLine="56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8.及时冲洗垃圾容器，不得出现作业人员故意破坏垃圾容器的现象。</w:t>
      </w:r>
      <w:r/>
    </w:p>
    <w:p>
      <w:pPr>
        <w:ind w:firstLine="56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9.有效应对突击性活动，配备应急处置和突击整治力量配合采购人处理突击性任务等。</w:t>
      </w:r>
      <w:r/>
    </w:p>
    <w:p>
      <w:pPr>
        <w:ind w:firstLine="281"/>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（二）人员、设备要求</w:t>
      </w:r>
      <w:r/>
    </w:p>
    <w:p>
      <w:pPr>
        <w:ind w:firstLine="560"/>
        <w:spacing w:line="50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1.基本人员配置要求：</w:t>
      </w:r>
      <w:r/>
    </w:p>
    <w:p>
      <w:pPr>
        <w:ind w:firstLine="560"/>
        <w:spacing w:line="500" w:lineRule="exact"/>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 xml:space="preserve">本项目至少配备人员共1</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人（项目经理1人、驾驶员5人、随车人员10人）。响应供应商依法为以上人员缴纳保险，工资不低于江苏省最低工资标准。</w:t>
      </w:r>
      <w:r/>
    </w:p>
    <w:p>
      <w:pPr>
        <w:pStyle w:val="714"/>
        <w:jc w:val="center"/>
        <w:spacing w:line="56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项目人员配备表</w:t>
      </w:r>
      <w:r/>
    </w:p>
    <w:tbl>
      <w:tblPr>
        <w:tblStyle w:val="706"/>
        <w:tblW w:w="8859" w:type="dxa"/>
        <w:tblInd w:w="2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6"/>
        <w:gridCol w:w="5540"/>
        <w:gridCol w:w="1813"/>
      </w:tblGrid>
      <w:tr>
        <w:trPr>
          <w:trHeight w:val="357"/>
        </w:trPr>
        <w:tc>
          <w:tcPr>
            <w:tcW w:w="1506" w:type="dxa"/>
            <w:vAlign w:val="center"/>
            <w:textDirection w:val="lrTb"/>
            <w:noWrap/>
          </w:tcPr>
          <w:p>
            <w:pPr>
              <w:jc w:val="center"/>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W w:w="5540" w:type="dxa"/>
            <w:vAlign w:val="center"/>
            <w:textDirection w:val="lrTb"/>
            <w:noWrap/>
          </w:tcPr>
          <w:p>
            <w:pPr>
              <w:jc w:val="center"/>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岗位名称</w:t>
            </w:r>
            <w:r/>
          </w:p>
        </w:tc>
        <w:tc>
          <w:tcPr>
            <w:tcW w:w="1813" w:type="dxa"/>
            <w:vAlign w:val="center"/>
            <w:textDirection w:val="lrTb"/>
            <w:noWrap/>
          </w:tcPr>
          <w:p>
            <w:pPr>
              <w:jc w:val="center"/>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人数</w:t>
            </w:r>
            <w:r/>
          </w:p>
        </w:tc>
      </w:tr>
      <w:tr>
        <w:trPr>
          <w:trHeight w:val="357"/>
        </w:trPr>
        <w:tc>
          <w:tcPr>
            <w:shd w:val="clear" w:color="auto" w:fill="auto"/>
            <w:tcW w:w="1506" w:type="dxa"/>
            <w:vAlign w:val="center"/>
            <w:textDirection w:val="lrTb"/>
            <w:noWrap/>
          </w:tcPr>
          <w:p>
            <w:pPr>
              <w:jc w:val="center"/>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p>
        </w:tc>
        <w:tc>
          <w:tcPr>
            <w:shd w:val="clear" w:color="auto" w:fill="auto"/>
            <w:tcW w:w="5540" w:type="dxa"/>
            <w:vAlign w:val="center"/>
            <w:textDirection w:val="lrTb"/>
            <w:noWrap/>
          </w:tcPr>
          <w:p>
            <w:pPr>
              <w:jc w:val="center"/>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项目经理</w:t>
            </w:r>
            <w:r/>
          </w:p>
        </w:tc>
        <w:tc>
          <w:tcPr>
            <w:shd w:val="clear" w:color="auto" w:fill="auto"/>
            <w:tcW w:w="1813" w:type="dxa"/>
            <w:vAlign w:val="center"/>
            <w:textDirection w:val="lrTb"/>
            <w:noWrap/>
          </w:tcPr>
          <w:p>
            <w:pPr>
              <w:jc w:val="center"/>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p>
        </w:tc>
      </w:tr>
      <w:tr>
        <w:trPr>
          <w:trHeight w:val="357"/>
        </w:trPr>
        <w:tc>
          <w:tcPr>
            <w:shd w:val="clear" w:color="auto" w:fill="auto"/>
            <w:tcW w:w="1506" w:type="dxa"/>
            <w:vAlign w:val="center"/>
            <w:textDirection w:val="lrTb"/>
            <w:noWrap/>
          </w:tcPr>
          <w:p>
            <w:pPr>
              <w:jc w:val="center"/>
              <w:spacing w:line="500" w:lineRule="exact"/>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2</w:t>
            </w:r>
            <w:r/>
          </w:p>
        </w:tc>
        <w:tc>
          <w:tcPr>
            <w:shd w:val="clear" w:color="auto" w:fill="auto"/>
            <w:tcW w:w="5540" w:type="dxa"/>
            <w:vAlign w:val="center"/>
            <w:textDirection w:val="lrTb"/>
            <w:noWrap/>
          </w:tcPr>
          <w:p>
            <w:pPr>
              <w:jc w:val="center"/>
              <w:spacing w:line="500" w:lineRule="exact"/>
              <w:rPr>
                <w:rFonts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rPr>
              <w:t xml:space="preserve">驾驶员</w:t>
            </w:r>
            <w:r/>
          </w:p>
        </w:tc>
        <w:tc>
          <w:tcPr>
            <w:shd w:val="clear" w:color="auto" w:fill="auto"/>
            <w:tcW w:w="1813" w:type="dxa"/>
            <w:vAlign w:val="center"/>
            <w:textDirection w:val="lrTb"/>
            <w:noWrap/>
          </w:tcPr>
          <w:p>
            <w:pPr>
              <w:jc w:val="center"/>
              <w:spacing w:line="500" w:lineRule="exact"/>
              <w:rPr>
                <w:rFonts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rPr>
              <w:t xml:space="preserve">5</w:t>
            </w:r>
            <w:r/>
          </w:p>
        </w:tc>
      </w:tr>
      <w:tr>
        <w:trPr>
          <w:trHeight w:val="357"/>
        </w:trPr>
        <w:tc>
          <w:tcPr>
            <w:shd w:val="clear" w:color="auto" w:fill="auto"/>
            <w:tcW w:w="1506" w:type="dxa"/>
            <w:vAlign w:val="center"/>
            <w:textDirection w:val="lrTb"/>
            <w:noWrap/>
          </w:tcPr>
          <w:p>
            <w:pPr>
              <w:jc w:val="center"/>
              <w:spacing w:line="500" w:lineRule="exact"/>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3</w:t>
            </w:r>
            <w:r/>
          </w:p>
        </w:tc>
        <w:tc>
          <w:tcPr>
            <w:shd w:val="clear" w:color="auto" w:fill="auto"/>
            <w:tcW w:w="5540" w:type="dxa"/>
            <w:vAlign w:val="center"/>
            <w:textDirection w:val="lrTb"/>
            <w:noWrap/>
          </w:tcPr>
          <w:p>
            <w:pPr>
              <w:jc w:val="center"/>
              <w:spacing w:line="500" w:lineRule="exact"/>
              <w:rPr>
                <w:rFonts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rPr>
              <w:t xml:space="preserve">随车人员</w:t>
            </w:r>
            <w:r/>
          </w:p>
        </w:tc>
        <w:tc>
          <w:tcPr>
            <w:shd w:val="clear" w:color="auto" w:fill="auto"/>
            <w:tcW w:w="1813" w:type="dxa"/>
            <w:vAlign w:val="center"/>
            <w:textDirection w:val="lrTb"/>
            <w:noWrap/>
          </w:tcPr>
          <w:p>
            <w:pPr>
              <w:jc w:val="center"/>
              <w:spacing w:line="500" w:lineRule="exact"/>
              <w:rPr>
                <w:rFonts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rPr>
              <w:t xml:space="preserve">10</w:t>
            </w:r>
            <w:r/>
          </w:p>
        </w:tc>
      </w:tr>
      <w:tr>
        <w:trPr>
          <w:trHeight w:val="364"/>
        </w:trPr>
        <w:tc>
          <w:tcPr>
            <w:gridSpan w:val="2"/>
            <w:tcW w:w="7046" w:type="dxa"/>
            <w:vAlign w:val="center"/>
            <w:textDirection w:val="lrTb"/>
            <w:noWrap/>
          </w:tcPr>
          <w:p>
            <w:pPr>
              <w:jc w:val="center"/>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合计</w:t>
            </w:r>
            <w:r/>
          </w:p>
        </w:tc>
        <w:tc>
          <w:tcPr>
            <w:tcW w:w="1813" w:type="dxa"/>
            <w:vAlign w:val="center"/>
            <w:textDirection w:val="lrTb"/>
            <w:noWrap/>
          </w:tcPr>
          <w:p>
            <w:pPr>
              <w:jc w:val="center"/>
              <w:spacing w:line="50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16</w:t>
            </w:r>
            <w:r/>
          </w:p>
        </w:tc>
      </w:tr>
    </w:tbl>
    <w:p>
      <w:pPr>
        <w:ind w:firstLine="560"/>
        <w:spacing w:line="500" w:lineRule="exact"/>
        <w:rPr>
          <w:rFonts w:ascii="仿宋" w:hAnsi="仿宋" w:eastAsia="仿宋" w:cs="仿宋"/>
          <w:color w:val="auto"/>
          <w:sz w:val="28"/>
          <w:szCs w:val="28"/>
          <w:highlight w:val="none"/>
        </w:rPr>
      </w:pPr>
      <w:r>
        <w:rPr>
          <w:rFonts w:hint="eastAsia" w:ascii="仿宋" w:hAnsi="仿宋" w:eastAsia="仿宋" w:cs="仿宋"/>
          <w:b/>
          <w:bCs/>
          <w:color w:val="auto"/>
          <w:sz w:val="28"/>
          <w:szCs w:val="28"/>
          <w:highlight w:val="none"/>
          <w:lang w:val="en-US" w:eastAsia="zh-CN"/>
        </w:rPr>
        <w:t xml:space="preserve">注：上述人员配置为基本配置要求，响应文件中须提供《项目人员配备表》拟派人员名单；同时提供响应文件提交截止日前最近1个月响应供应商</w:t>
      </w:r>
      <w:r>
        <w:rPr>
          <w:rFonts w:hint="eastAsia" w:ascii="仿宋" w:hAnsi="仿宋" w:eastAsia="仿宋" w:cs="仿宋"/>
          <w:b/>
          <w:bCs/>
          <w:color w:val="auto"/>
          <w:sz w:val="28"/>
          <w:szCs w:val="28"/>
          <w:highlight w:val="none"/>
        </w:rPr>
        <w:t xml:space="preserve">为</w:t>
      </w:r>
      <w:r>
        <w:rPr>
          <w:rFonts w:hint="eastAsia" w:ascii="仿宋" w:hAnsi="仿宋" w:eastAsia="仿宋" w:cs="仿宋"/>
          <w:b/>
          <w:bCs/>
          <w:color w:val="auto"/>
          <w:sz w:val="28"/>
          <w:szCs w:val="28"/>
          <w:highlight w:val="none"/>
          <w:lang w:val="en-US" w:eastAsia="zh-CN"/>
        </w:rPr>
        <w:t xml:space="preserve">16名</w:t>
      </w:r>
      <w:r>
        <w:rPr>
          <w:rFonts w:hint="eastAsia" w:ascii="仿宋" w:hAnsi="仿宋" w:eastAsia="仿宋" w:cs="仿宋"/>
          <w:b/>
          <w:bCs/>
          <w:color w:val="auto"/>
          <w:sz w:val="28"/>
          <w:szCs w:val="28"/>
          <w:highlight w:val="none"/>
        </w:rPr>
        <w:t xml:space="preserve">服务人员缴纳社保的证明</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rPr>
        <w:t xml:space="preserve">未按要求提供或提供不全</w:t>
      </w:r>
      <w:r>
        <w:rPr>
          <w:rFonts w:hint="eastAsia" w:ascii="仿宋" w:hAnsi="仿宋" w:eastAsia="仿宋" w:cs="仿宋"/>
          <w:b/>
          <w:bCs/>
          <w:color w:val="auto"/>
          <w:sz w:val="28"/>
          <w:szCs w:val="28"/>
          <w:highlight w:val="none"/>
          <w:lang w:val="en-US" w:eastAsia="zh-CN"/>
        </w:rPr>
        <w:t xml:space="preserve">视为无效响应。</w:t>
      </w:r>
      <w:r/>
    </w:p>
    <w:p>
      <w:pPr>
        <w:ind w:firstLine="56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2.基本机械设备配置要求：</w:t>
      </w:r>
      <w:r/>
    </w:p>
    <w:p>
      <w:pPr>
        <w:pStyle w:val="730"/>
        <w:jc w:val="center"/>
        <w:spacing w:before="0" w:beforeAutospacing="0" w:after="0" w:afterAutospacing="0"/>
        <w:widowControl w:val="off"/>
        <w:rPr>
          <w:color w:val="auto"/>
          <w:highlight w:val="none"/>
        </w:rPr>
      </w:pPr>
      <w:r/>
      <w:bookmarkStart w:id="83" w:name="_Toc31068"/>
      <w:r>
        <w:rPr>
          <w:rFonts w:hint="eastAsia" w:ascii="仿宋" w:hAnsi="仿宋" w:eastAsia="仿宋" w:cs="仿宋"/>
          <w:b/>
          <w:bCs/>
          <w:color w:val="auto"/>
          <w:sz w:val="28"/>
          <w:szCs w:val="28"/>
          <w:highlight w:val="none"/>
        </w:rPr>
        <w:t xml:space="preserve">设备设施最低配置</w:t>
      </w:r>
      <w:r>
        <w:rPr>
          <w:rFonts w:ascii="仿宋_GB2312" w:hAnsi="Times New Roman" w:eastAsia="仿宋_GB2312" w:cs="仿宋_GB2312"/>
          <w:b/>
          <w:bCs/>
          <w:color w:val="auto"/>
          <w:sz w:val="28"/>
          <w:szCs w:val="28"/>
          <w:highlight w:val="none"/>
        </w:rPr>
        <w:t xml:space="preserve">一览表</w:t>
      </w:r>
      <w:r/>
    </w:p>
    <w:tbl>
      <w:tblPr>
        <w:tblStyle w:val="706"/>
        <w:tblW w:w="91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3782"/>
        <w:gridCol w:w="2345"/>
        <w:gridCol w:w="951"/>
        <w:gridCol w:w="1241"/>
      </w:tblGrid>
      <w:tr>
        <w:trPr>
          <w:jc w:val="center"/>
          <w:trHeight w:val="401"/>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782" w:type="dxa"/>
            <w:vAlign w:val="center"/>
            <w:textDirection w:val="lrTb"/>
            <w:noWrap/>
          </w:tcPr>
          <w:p>
            <w:pPr>
              <w:jc w:val="center"/>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tcPr>
          <w:p>
            <w:pPr>
              <w:jc w:val="center"/>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jc w:val="center"/>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41" w:type="dxa"/>
            <w:vAlign w:val="center"/>
            <w:textDirection w:val="lrTb"/>
            <w:noWrap/>
          </w:tcPr>
          <w:p>
            <w:pPr>
              <w:jc w:val="center"/>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单位</w:t>
            </w:r>
            <w:r/>
          </w:p>
        </w:tc>
      </w:tr>
      <w:tr>
        <w:trPr>
          <w:jc w:val="center"/>
          <w:trHeight w:val="794"/>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jc w:val="center"/>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82" w:type="dxa"/>
            <w:vAlign w:val="center"/>
            <w:textDirection w:val="lrTb"/>
            <w:noWrap/>
          </w:tcPr>
          <w:p>
            <w:pPr>
              <w:jc w:val="center"/>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压缩式垃圾车</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tcPr>
          <w:p>
            <w:pPr>
              <w:jc w:val="center"/>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总质量≥7000kg</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jc w:val="center"/>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41" w:type="dxa"/>
            <w:vAlign w:val="center"/>
            <w:textDirection w:val="lrTb"/>
            <w:noWrap/>
          </w:tcPr>
          <w:p>
            <w:pPr>
              <w:jc w:val="center"/>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辆</w:t>
            </w:r>
            <w:r/>
          </w:p>
        </w:tc>
      </w:tr>
      <w:tr>
        <w:trPr>
          <w:jc w:val="cente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946" w:type="dxa"/>
            <w:vAlign w:val="center"/>
            <w:textDirection w:val="lrTb"/>
            <w:noWrap/>
          </w:tcPr>
          <w:p>
            <w:pPr>
              <w:jc w:val="center"/>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jc w:val="center"/>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41" w:type="dxa"/>
            <w:vAlign w:val="center"/>
            <w:textDirection w:val="lrTb"/>
            <w:noWrap/>
          </w:tcPr>
          <w:p>
            <w:pPr>
              <w:jc w:val="center"/>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辆</w:t>
            </w:r>
            <w:r/>
          </w:p>
        </w:tc>
      </w:tr>
    </w:tbl>
    <w:p>
      <w:pPr>
        <w:rPr>
          <w:color w:val="auto"/>
          <w:highlight w:val="none"/>
        </w:rPr>
      </w:pPr>
      <w:r>
        <w:rPr>
          <w:color w:val="auto"/>
          <w:highlight w:val="none"/>
        </w:rPr>
      </w:r>
      <w:r/>
    </w:p>
    <w:p>
      <w:pPr>
        <w:ind w:firstLine="56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1.</w:t>
      </w:r>
      <w:r>
        <w:rPr>
          <w:rFonts w:hint="eastAsia" w:ascii="仿宋" w:hAnsi="仿宋" w:eastAsia="仿宋" w:cs="仿宋"/>
          <w:b/>
          <w:bCs/>
          <w:color w:val="auto"/>
          <w:sz w:val="28"/>
          <w:szCs w:val="28"/>
          <w:highlight w:val="none"/>
        </w:rPr>
        <w:t xml:space="preserve">响应文件中须提供作业设备清单、以上车辆有效登记证（登记日期须在响应文件提交截止日前）、行驶证、保险单据、购置发票、车辆带牌照的清晰照片</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rPr>
        <w:t xml:space="preserve">未按要求提供或提供不全视为无效响应。</w:t>
      </w:r>
      <w:r/>
    </w:p>
    <w:p>
      <w:pPr>
        <w:numPr>
          <w:ilvl w:val="0"/>
          <w:numId w:val="0"/>
        </w:numPr>
        <w:ind w:firstLine="562"/>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2.</w:t>
      </w:r>
      <w:r>
        <w:rPr>
          <w:rFonts w:hint="eastAsia" w:ascii="仿宋" w:hAnsi="仿宋" w:eastAsia="仿宋" w:cs="仿宋"/>
          <w:b/>
          <w:bCs/>
          <w:color w:val="auto"/>
          <w:sz w:val="28"/>
          <w:szCs w:val="28"/>
          <w:highlight w:val="none"/>
        </w:rPr>
        <w:t xml:space="preserve">供应商须承诺成交后合同签订前人员和设备组织到位。承诺函格式自拟，未按要求提供视为无效响应。</w:t>
      </w:r>
      <w:r/>
    </w:p>
    <w:p>
      <w:pPr>
        <w:ind w:firstLine="281"/>
        <w:spacing w:line="500" w:lineRule="exact"/>
        <w:rPr>
          <w:rFonts w:hint="eastAsia" w:ascii="仿宋" w:hAnsi="仿宋" w:eastAsia="仿宋" w:cs="Times New Roman"/>
          <w:b/>
          <w:bCs/>
          <w:color w:val="auto"/>
          <w:sz w:val="28"/>
          <w:szCs w:val="28"/>
          <w:highlight w:val="none"/>
        </w:rPr>
      </w:pPr>
      <w:r>
        <w:rPr>
          <w:rFonts w:hint="eastAsia" w:ascii="仿宋" w:hAnsi="仿宋" w:eastAsia="仿宋" w:cs="Times New Roman"/>
          <w:b/>
          <w:bCs/>
          <w:color w:val="auto"/>
          <w:sz w:val="28"/>
          <w:szCs w:val="28"/>
          <w:highlight w:val="none"/>
        </w:rPr>
        <w:t xml:space="preserve">（三）其他要求</w:t>
      </w:r>
      <w:r/>
    </w:p>
    <w:p>
      <w:pPr>
        <w:ind w:firstLine="560"/>
        <w:spacing w:line="500" w:lineRule="exact"/>
        <w:rPr>
          <w:rFonts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1.成交供应商承诺拟投入本项目的全部设备、人员均为本项目专属资源，仅用于履行本项目合同工作内容，未经采购人书面批准，不得擅自调换、撤离、转借或挪作其他项目使用。自愿无条件接受采购人按月开展的人员在岗、设备到位情况核查与履约考核，严格服从采购人监督管理，若违反上述承诺，自愿承担相应违约责任。</w:t>
      </w:r>
      <w:r/>
    </w:p>
    <w:p>
      <w:pPr>
        <w:ind w:firstLine="560"/>
        <w:spacing w:line="50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2.</w:t>
      </w:r>
      <w:r>
        <w:rPr>
          <w:rFonts w:hint="eastAsia" w:ascii="仿宋" w:hAnsi="仿宋" w:eastAsia="仿宋" w:cs="仿宋"/>
          <w:b w:val="0"/>
          <w:bCs w:val="0"/>
          <w:color w:val="auto"/>
          <w:sz w:val="28"/>
          <w:szCs w:val="28"/>
          <w:highlight w:val="none"/>
          <w:lang w:val="en-US" w:eastAsia="zh-CN"/>
        </w:rPr>
        <w:t xml:space="preserve">响应供应商须确保垃圾运输车辆及作业人员合规上路、安全运营。</w:t>
      </w:r>
      <w:r>
        <w:rPr>
          <w:rFonts w:hint="eastAsia" w:ascii="仿宋" w:hAnsi="仿宋" w:eastAsia="仿宋" w:cs="仿宋"/>
          <w:b w:val="0"/>
          <w:bCs w:val="0"/>
          <w:color w:val="auto"/>
          <w:sz w:val="28"/>
          <w:szCs w:val="28"/>
          <w:highlight w:val="none"/>
        </w:rPr>
        <w:t xml:space="preserve">专职驾驶人员必须持证（驾驶证）上岗，驾驶适证车辆。保证安全、文明驾驶，进站、装载、运输、倾倒等作业保证文明有序。严格遵守《</w:t>
      </w:r>
      <w:r>
        <w:rPr>
          <w:rFonts w:hint="eastAsia" w:ascii="仿宋" w:hAnsi="仿宋" w:eastAsia="仿宋" w:cs="仿宋"/>
          <w:b w:val="0"/>
          <w:bCs w:val="0"/>
          <w:color w:val="auto"/>
          <w:sz w:val="28"/>
          <w:szCs w:val="28"/>
          <w:highlight w:val="none"/>
          <w:lang w:eastAsia="zh-CN"/>
        </w:rPr>
        <w:t xml:space="preserve">中华人民共和国道路交通安全法</w:t>
      </w:r>
      <w:r>
        <w:rPr>
          <w:rFonts w:hint="eastAsia" w:ascii="仿宋" w:hAnsi="仿宋" w:eastAsia="仿宋" w:cs="仿宋"/>
          <w:b w:val="0"/>
          <w:bCs w:val="0"/>
          <w:color w:val="auto"/>
          <w:sz w:val="28"/>
          <w:szCs w:val="28"/>
          <w:highlight w:val="none"/>
        </w:rPr>
        <w:t xml:space="preserve">》</w:t>
      </w:r>
      <w:r>
        <w:rPr>
          <w:rFonts w:hint="eastAsia" w:ascii="仿宋" w:hAnsi="仿宋" w:eastAsia="仿宋" w:cs="仿宋"/>
          <w:b w:val="0"/>
          <w:bCs w:val="0"/>
          <w:color w:val="auto"/>
          <w:sz w:val="28"/>
          <w:szCs w:val="28"/>
          <w:highlight w:val="none"/>
          <w:lang w:val="en-US" w:eastAsia="zh-CN"/>
        </w:rPr>
        <w:t xml:space="preserve">及</w:t>
      </w:r>
      <w:r>
        <w:rPr>
          <w:rFonts w:hint="eastAsia" w:ascii="仿宋" w:hAnsi="仿宋" w:eastAsia="仿宋" w:cs="仿宋"/>
          <w:b w:val="0"/>
          <w:bCs w:val="0"/>
          <w:color w:val="auto"/>
          <w:sz w:val="28"/>
          <w:szCs w:val="28"/>
          <w:highlight w:val="none"/>
        </w:rPr>
        <w:t xml:space="preserve">操作规程，严禁开快车、病车、赌气车；严禁疲劳驾驶、酒后开车；在转运过程中应保持车辆号牌清晰，不得遮挡公司标识及车辆号牌；每天作业完成后应清洗干净按规定停放运输车辆；要自觉接受媒体及社会的监督。</w:t>
      </w:r>
      <w:r/>
    </w:p>
    <w:p>
      <w:pPr>
        <w:ind w:firstLine="560"/>
        <w:spacing w:line="50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3.成交供应商</w:t>
      </w:r>
      <w:r>
        <w:rPr>
          <w:rFonts w:hint="eastAsia" w:ascii="仿宋" w:hAnsi="仿宋" w:eastAsia="仿宋" w:cs="仿宋"/>
          <w:b w:val="0"/>
          <w:bCs w:val="0"/>
          <w:color w:val="auto"/>
          <w:sz w:val="28"/>
          <w:szCs w:val="28"/>
          <w:highlight w:val="none"/>
          <w:lang w:val="en-US" w:eastAsia="zh-CN"/>
        </w:rPr>
        <w:t xml:space="preserve">须</w:t>
      </w:r>
      <w:r>
        <w:rPr>
          <w:rFonts w:hint="eastAsia" w:ascii="仿宋" w:hAnsi="仿宋" w:eastAsia="仿宋" w:cs="仿宋"/>
          <w:b w:val="0"/>
          <w:bCs w:val="0"/>
          <w:color w:val="auto"/>
          <w:sz w:val="28"/>
          <w:szCs w:val="28"/>
          <w:highlight w:val="none"/>
        </w:rPr>
        <w:t xml:space="preserve">合法用工</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rPr>
        <w:t xml:space="preserve">为该项目所</w:t>
      </w:r>
      <w:r>
        <w:rPr>
          <w:rFonts w:hint="eastAsia" w:ascii="仿宋" w:hAnsi="仿宋" w:eastAsia="仿宋" w:cs="仿宋"/>
          <w:b w:val="0"/>
          <w:bCs w:val="0"/>
          <w:color w:val="auto"/>
          <w:sz w:val="28"/>
          <w:szCs w:val="28"/>
          <w:highlight w:val="none"/>
          <w:lang w:val="en-US" w:eastAsia="zh-CN"/>
        </w:rPr>
        <w:t xml:space="preserve">有服务</w:t>
      </w:r>
      <w:r>
        <w:rPr>
          <w:rFonts w:hint="eastAsia" w:ascii="仿宋" w:hAnsi="仿宋" w:eastAsia="仿宋" w:cs="仿宋"/>
          <w:b w:val="0"/>
          <w:bCs w:val="0"/>
          <w:color w:val="auto"/>
          <w:sz w:val="28"/>
          <w:szCs w:val="28"/>
          <w:highlight w:val="none"/>
        </w:rPr>
        <w:t xml:space="preserve">人员缴纳五险，不符合缴纳五险的人员须缴纳工伤保险或者缴纳雇主责任险</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rPr>
        <w:t xml:space="preserve">因违法用工造成的一切后果由中标人承担。</w:t>
      </w:r>
      <w:r/>
    </w:p>
    <w:p>
      <w:pPr>
        <w:ind w:firstLine="560"/>
        <w:spacing w:line="5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4.项目服务期间，</w:t>
      </w:r>
      <w:r>
        <w:rPr>
          <w:rFonts w:hint="eastAsia" w:ascii="仿宋" w:hAnsi="仿宋" w:eastAsia="仿宋" w:cs="仿宋"/>
          <w:color w:val="auto"/>
          <w:sz w:val="28"/>
          <w:szCs w:val="28"/>
          <w:highlight w:val="none"/>
        </w:rPr>
        <w:t xml:space="preserve">成交供应商须严格按照本项目合同约定、采购人工作安排及现场作业规范执行服务时间，全程保障项目常态化履约作业，不得擅自停工、离岗、拖延。成交供应商需根据项目工作需求、节假日值守、应急保障等工作安排，合理调配增加人员、设备在岗参与应急作业，确保服务时间全覆盖、无空缺。未经采购人书面同意，成交供应商不得擅自暂停项目服务或提前终止清运作业。若因成交供应商擅自调整工作时间、脱岗停工导致项目工作延误、服务中断、作业滞后等问题，成交供应商需承担全部履约责任及由此产生的一切损失，采购人有权依据合同约定追究成交供应商违约责任。</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驾驶人员必须严格遵守各项规章制度，认真履行垃圾清运职责，听从采购人工作安排和垃圾清运调度，不得以任何理由拒绝采购人的要求。严格按照采购人的调度方案调运生活垃圾，保持通信畅通，随时准备处理应急、突击任务，确保无积存生活垃圾。</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成交供应商与项目管理人员、驾驶员及随车辅助人员的劳动合同关系由</w:t>
      </w:r>
      <w:r>
        <w:rPr>
          <w:rFonts w:hint="eastAsia" w:ascii="仿宋" w:hAnsi="仿宋" w:eastAsia="仿宋" w:cs="仿宋"/>
          <w:b w:val="0"/>
          <w:bCs w:val="0"/>
          <w:color w:val="auto"/>
          <w:sz w:val="28"/>
          <w:szCs w:val="28"/>
          <w:highlight w:val="none"/>
        </w:rPr>
        <w:t xml:space="preserve">成交供应商</w:t>
      </w:r>
      <w:r>
        <w:rPr>
          <w:rFonts w:hint="eastAsia" w:ascii="仿宋" w:hAnsi="仿宋" w:eastAsia="仿宋" w:cs="仿宋"/>
          <w:color w:val="auto"/>
          <w:sz w:val="28"/>
          <w:szCs w:val="28"/>
          <w:highlight w:val="none"/>
        </w:rPr>
        <w:t xml:space="preserve">全权负责，所配车辆及人员如发生工伤、安全等事故以及由此产生的经济赔偿等一切事项均由成交供应商自行处理，与采购人无关</w:t>
      </w:r>
      <w:r>
        <w:rPr>
          <w:rFonts w:hint="eastAsia" w:ascii="仿宋" w:hAnsi="仿宋" w:eastAsia="仿宋" w:cs="仿宋"/>
          <w:color w:val="auto"/>
          <w:sz w:val="28"/>
          <w:szCs w:val="28"/>
          <w:highlight w:val="none"/>
          <w:lang w:eastAsia="zh-CN"/>
        </w:rPr>
        <w:t xml:space="preserve">。</w:t>
      </w:r>
      <w:r/>
    </w:p>
    <w:p>
      <w:pPr>
        <w:ind w:firstLine="560"/>
        <w:spacing w:line="500" w:lineRule="exact"/>
        <w:rPr>
          <w:rFonts w:ascii="黑体" w:hAnsi="黑体" w:eastAsia="黑体"/>
          <w:color w:val="auto"/>
          <w:sz w:val="28"/>
          <w:szCs w:val="28"/>
          <w:highlight w:val="none"/>
        </w:rPr>
        <w:outlineLvl w:val="1"/>
      </w:pPr>
      <w:r/>
      <w:bookmarkStart w:id="84" w:name="_Toc11824"/>
      <w:r>
        <w:rPr>
          <w:rFonts w:hint="eastAsia" w:ascii="黑体" w:hAnsi="黑体" w:eastAsia="黑体"/>
          <w:color w:val="auto"/>
          <w:sz w:val="28"/>
          <w:szCs w:val="28"/>
          <w:highlight w:val="none"/>
        </w:rPr>
        <w:t xml:space="preserve">四、服务标准</w:t>
      </w:r>
      <w:bookmarkEnd w:id="83"/>
      <w:r/>
      <w:bookmarkEnd w:id="84"/>
      <w:r/>
      <w:r/>
    </w:p>
    <w:p>
      <w:pPr>
        <w:ind w:firstLine="560"/>
        <w:spacing w:line="500" w:lineRule="exact"/>
        <w:rPr>
          <w:rFonts w:ascii="仿宋" w:hAnsi="仿宋" w:eastAsia="仿宋" w:cs="仿宋"/>
          <w:color w:val="auto"/>
          <w:sz w:val="28"/>
          <w:szCs w:val="28"/>
          <w:highlight w:val="none"/>
        </w:rPr>
        <w:outlineLvl w:val="9"/>
      </w:pPr>
      <w:r/>
      <w:bookmarkStart w:id="85" w:name="_Toc24613"/>
      <w:r/>
      <w:bookmarkStart w:id="86" w:name="_Toc3236"/>
      <w:r/>
      <w:bookmarkStart w:id="87" w:name="_Toc21326"/>
      <w:r>
        <w:rPr>
          <w:rFonts w:hint="eastAsia" w:ascii="仿宋" w:hAnsi="仿宋" w:eastAsia="仿宋" w:cs="仿宋"/>
          <w:color w:val="auto"/>
          <w:sz w:val="28"/>
          <w:szCs w:val="28"/>
          <w:highlight w:val="none"/>
        </w:rPr>
        <w:t xml:space="preserve">合格，按采购人要求及时、安全、合规地完成服务内容，符合《如城街道安置区垃圾收集运输考核标准》。</w:t>
      </w:r>
      <w:bookmarkEnd w:id="85"/>
      <w:r/>
      <w:bookmarkEnd w:id="86"/>
      <w:r/>
      <w:r/>
    </w:p>
    <w:p>
      <w:pPr>
        <w:ind w:firstLine="560"/>
        <w:spacing w:line="500" w:lineRule="exact"/>
        <w:rPr>
          <w:rFonts w:ascii="黑体" w:hAnsi="黑体" w:eastAsia="黑体"/>
          <w:color w:val="auto"/>
          <w:sz w:val="28"/>
          <w:szCs w:val="28"/>
          <w:highlight w:val="none"/>
        </w:rPr>
        <w:outlineLvl w:val="1"/>
      </w:pPr>
      <w:r/>
      <w:bookmarkStart w:id="88" w:name="_Toc16771"/>
      <w:r>
        <w:rPr>
          <w:rFonts w:hint="eastAsia" w:ascii="黑体" w:hAnsi="黑体" w:eastAsia="黑体"/>
          <w:color w:val="auto"/>
          <w:sz w:val="28"/>
          <w:szCs w:val="28"/>
          <w:highlight w:val="none"/>
        </w:rPr>
        <w:t xml:space="preserve">五、服务期限和地点</w:t>
      </w:r>
      <w:bookmarkEnd w:id="87"/>
      <w:r/>
      <w:bookmarkEnd w:id="88"/>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服务期限：服务期拟定三年，合同一年一签，具体时间以采购人通知为准。第一年合同期满后，经采购人组织相关部门对履约情况进行验收，如服务良好，在不改变服务要求和服务价格前提下，采购人可与成交人按年续签合同，续签不超过两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地点：采购人指定地点</w:t>
      </w:r>
      <w:r/>
    </w:p>
    <w:p>
      <w:pPr>
        <w:ind w:firstLine="560"/>
        <w:spacing w:line="500" w:lineRule="exact"/>
        <w:rPr>
          <w:rFonts w:ascii="黑体" w:hAnsi="黑体" w:eastAsia="黑体"/>
          <w:color w:val="auto"/>
          <w:sz w:val="28"/>
          <w:szCs w:val="28"/>
          <w:highlight w:val="none"/>
        </w:rPr>
        <w:outlineLvl w:val="1"/>
      </w:pPr>
      <w:r/>
      <w:bookmarkStart w:id="89" w:name="_Toc5815"/>
      <w:r/>
      <w:bookmarkStart w:id="90" w:name="_Toc22979"/>
      <w:r>
        <w:rPr>
          <w:rFonts w:hint="eastAsia" w:ascii="黑体" w:hAnsi="黑体" w:eastAsia="黑体"/>
          <w:color w:val="auto"/>
          <w:sz w:val="28"/>
          <w:szCs w:val="28"/>
          <w:highlight w:val="none"/>
        </w:rPr>
        <w:t xml:space="preserve">六、考核方案</w:t>
      </w:r>
      <w:bookmarkEnd w:id="89"/>
      <w:r/>
      <w:bookmarkEnd w:id="90"/>
      <w:r/>
      <w:r/>
    </w:p>
    <w:p>
      <w:pPr>
        <w:ind w:firstLine="560"/>
        <w:spacing w:line="500" w:lineRule="exact"/>
        <w:rPr>
          <w:rFonts w:hint="eastAsia" w:ascii="仿宋" w:hAnsi="仿宋" w:eastAsia="仿宋" w:cs="Times New Roman"/>
          <w:color w:val="auto"/>
          <w:sz w:val="28"/>
          <w:szCs w:val="28"/>
          <w:highlight w:val="none"/>
        </w:rPr>
      </w:pPr>
      <w:r/>
      <w:bookmarkStart w:id="91" w:name="_Toc26741"/>
      <w:r>
        <w:rPr>
          <w:rFonts w:hint="eastAsia" w:ascii="仿宋" w:hAnsi="仿宋" w:eastAsia="仿宋" w:cs="Times New Roman"/>
          <w:color w:val="auto"/>
          <w:sz w:val="28"/>
          <w:szCs w:val="28"/>
          <w:highlight w:val="none"/>
        </w:rPr>
        <w:t xml:space="preserve">考核方案见附件2《如城街道安置区垃圾收集运输考核标准》。</w:t>
      </w:r>
      <w:r/>
    </w:p>
    <w:p>
      <w:pPr>
        <w:ind w:firstLine="560"/>
        <w:spacing w:line="500" w:lineRule="exact"/>
        <w:rPr>
          <w:rFonts w:ascii="黑体" w:hAnsi="黑体" w:eastAsia="黑体"/>
          <w:color w:val="auto"/>
          <w:sz w:val="28"/>
          <w:szCs w:val="28"/>
          <w:highlight w:val="none"/>
        </w:rPr>
        <w:outlineLvl w:val="1"/>
      </w:pPr>
      <w:r/>
      <w:bookmarkStart w:id="92" w:name="_Toc4606"/>
      <w:r>
        <w:rPr>
          <w:rFonts w:hint="eastAsia" w:ascii="黑体" w:hAnsi="黑体" w:eastAsia="黑体"/>
          <w:color w:val="auto"/>
          <w:sz w:val="28"/>
          <w:szCs w:val="28"/>
          <w:highlight w:val="none"/>
        </w:rPr>
        <w:t xml:space="preserve">七、</w:t>
      </w:r>
      <w:bookmarkEnd w:id="91"/>
      <w:r/>
      <w:bookmarkStart w:id="93" w:name="_Toc26116"/>
      <w:r>
        <w:rPr>
          <w:rFonts w:hint="eastAsia" w:ascii="黑体" w:hAnsi="黑体" w:eastAsia="黑体"/>
          <w:color w:val="auto"/>
          <w:sz w:val="28"/>
          <w:szCs w:val="28"/>
          <w:highlight w:val="none"/>
        </w:rPr>
        <w:t xml:space="preserve">付款方式</w:t>
      </w:r>
      <w:bookmarkEnd w:id="92"/>
      <w:r/>
      <w:bookmarkEnd w:id="93"/>
      <w:r/>
      <w:r/>
    </w:p>
    <w:p>
      <w:pPr>
        <w:ind w:firstLine="560"/>
        <w:spacing w:line="500" w:lineRule="exact"/>
        <w:rPr>
          <w:rFonts w:ascii="仿宋" w:hAnsi="仿宋" w:eastAsia="仿宋"/>
          <w:color w:val="auto"/>
          <w:sz w:val="28"/>
          <w:szCs w:val="28"/>
          <w:highlight w:val="none"/>
        </w:rPr>
      </w:pPr>
      <w:r/>
      <w:bookmarkStart w:id="94" w:name="_Toc32404"/>
      <w:r>
        <w:rPr>
          <w:rFonts w:hint="eastAsia" w:ascii="仿宋" w:hAnsi="仿宋" w:eastAsia="仿宋"/>
          <w:color w:val="auto"/>
          <w:sz w:val="28"/>
          <w:szCs w:val="28"/>
          <w:highlight w:val="none"/>
        </w:rPr>
        <w:t xml:space="preserve">按季度付款，结合季度绩效考核结果支付。支付前，成交供应商应出具符合采购人财务规定以及开票报税要求的相应金额的正式发票。</w:t>
      </w:r>
      <w:r/>
    </w:p>
    <w:p>
      <w:pPr>
        <w:ind w:firstLine="560"/>
        <w:spacing w:line="500" w:lineRule="exact"/>
        <w:rPr>
          <w:rFonts w:ascii="仿宋" w:hAnsi="仿宋" w:eastAsia="仿宋"/>
          <w:color w:val="auto"/>
          <w:sz w:val="28"/>
          <w:szCs w:val="28"/>
          <w:highlight w:val="none"/>
        </w:rPr>
        <w:outlineLvl w:val="1"/>
      </w:pPr>
      <w:r/>
      <w:bookmarkStart w:id="95" w:name="_Toc30259"/>
      <w:r>
        <w:rPr>
          <w:rFonts w:hint="eastAsia" w:ascii="黑体" w:hAnsi="黑体" w:eastAsia="黑体"/>
          <w:color w:val="auto"/>
          <w:sz w:val="28"/>
          <w:szCs w:val="28"/>
          <w:highlight w:val="none"/>
        </w:rPr>
        <w:t xml:space="preserve">八、磋商过程中可能会实质性变动的内容</w:t>
      </w:r>
      <w:bookmarkEnd w:id="94"/>
      <w:r/>
      <w:bookmarkEnd w:id="95"/>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采购需求中的技术、服务要求以及合同草案条款。</w:t>
      </w:r>
      <w:r/>
    </w:p>
    <w:p>
      <w:pPr>
        <w:ind w:firstLine="560"/>
        <w:spacing w:line="500" w:lineRule="exact"/>
        <w:rPr>
          <w:rFonts w:ascii="仿宋" w:hAnsi="仿宋" w:eastAsia="仿宋"/>
          <w:color w:val="auto"/>
          <w:sz w:val="28"/>
          <w:szCs w:val="28"/>
          <w:highlight w:val="none"/>
        </w:rPr>
        <w:outlineLvl w:val="1"/>
      </w:pPr>
      <w:r/>
      <w:bookmarkStart w:id="96" w:name="_Toc9065"/>
      <w:r/>
      <w:bookmarkStart w:id="97" w:name="_Toc13158"/>
      <w:r>
        <w:rPr>
          <w:rFonts w:hint="eastAsia" w:ascii="黑体" w:hAnsi="黑体" w:eastAsia="黑体"/>
          <w:color w:val="auto"/>
          <w:sz w:val="28"/>
          <w:szCs w:val="28"/>
          <w:highlight w:val="none"/>
        </w:rPr>
        <w:t xml:space="preserve">九、</w:t>
      </w:r>
      <w:r>
        <w:rPr>
          <w:rFonts w:hint="eastAsia" w:ascii="黑体" w:hAnsi="黑体" w:eastAsia="黑体"/>
          <w:color w:val="auto"/>
          <w:sz w:val="28"/>
          <w:szCs w:val="28"/>
          <w:highlight w:val="none"/>
          <w:lang w:val="en-US" w:eastAsia="zh-CN"/>
        </w:rPr>
        <w:t xml:space="preserve">报价</w:t>
      </w:r>
      <w:r>
        <w:rPr>
          <w:rFonts w:hint="eastAsia" w:ascii="黑体" w:hAnsi="黑体" w:eastAsia="黑体"/>
          <w:color w:val="auto"/>
          <w:sz w:val="28"/>
          <w:szCs w:val="28"/>
          <w:highlight w:val="none"/>
        </w:rPr>
        <w:t xml:space="preserve">要求</w:t>
      </w:r>
      <w:bookmarkEnd w:id="96"/>
      <w:r/>
      <w:bookmarkEnd w:id="97"/>
      <w:r/>
      <w:r/>
    </w:p>
    <w:p>
      <w:pPr>
        <w:ind w:firstLine="562"/>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本项目为总价报价。响应供应商报价应包含运输、装卸、保险、验收、人员培训、设备运行维护、检验、税金、代理服务费等与本项目相关的一切费用。成交价之外采购人不再支付任何费用。报价含响应供应商为完成采购文件全部要求内容应承担的一切成本、费用和支出以及供应商的合理利润等交付使用前一切费用。不接受选择性报价。响应供应商成交后不得将成交项目分包或者转让给其他主体实施。</w:t>
      </w:r>
      <w:r/>
    </w:p>
    <w:p>
      <w:pPr>
        <w:rPr>
          <w:rFonts w:ascii="微软雅黑" w:eastAsia="微软雅黑"/>
          <w:bCs/>
          <w:color w:val="auto"/>
          <w:sz w:val="32"/>
          <w:szCs w:val="32"/>
          <w:highlight w:val="none"/>
        </w:rPr>
      </w:pPr>
      <w:r>
        <w:rPr>
          <w:rFonts w:hint="eastAsia" w:ascii="微软雅黑" w:eastAsia="微软雅黑"/>
          <w:bCs/>
          <w:color w:val="auto"/>
          <w:sz w:val="32"/>
          <w:szCs w:val="32"/>
          <w:highlight w:val="none"/>
        </w:rPr>
        <w:br w:type="page" w:clear="all"/>
      </w:r>
      <w:bookmarkEnd w:id="79"/>
      <w:r/>
      <w:r/>
    </w:p>
    <w:p>
      <w:pPr>
        <w:pStyle w:val="891"/>
        <w:ind w:firstLine="0"/>
        <w:jc w:val="center"/>
        <w:spacing w:line="240" w:lineRule="auto"/>
        <w:rPr>
          <w:rFonts w:ascii="微软雅黑" w:eastAsia="微软雅黑"/>
          <w:bCs/>
          <w:color w:val="auto"/>
          <w:sz w:val="32"/>
          <w:szCs w:val="32"/>
          <w:highlight w:val="none"/>
        </w:rPr>
        <w:outlineLvl w:val="0"/>
      </w:pPr>
      <w:r/>
      <w:bookmarkStart w:id="98" w:name="_Toc2962"/>
      <w:r/>
      <w:bookmarkStart w:id="99" w:name="_Toc14985"/>
      <w:r/>
      <w:bookmarkStart w:id="100" w:name="_Toc6472"/>
      <w:r>
        <w:rPr>
          <w:rFonts w:hint="eastAsia" w:ascii="微软雅黑" w:eastAsia="微软雅黑"/>
          <w:bCs/>
          <w:color w:val="auto"/>
          <w:sz w:val="32"/>
          <w:szCs w:val="32"/>
          <w:highlight w:val="none"/>
        </w:rPr>
        <w:t xml:space="preserve">第4章 合同文本</w:t>
      </w:r>
      <w:bookmarkEnd w:id="98"/>
      <w:r/>
      <w:bookmarkEnd w:id="99"/>
      <w:r/>
      <w:r/>
    </w:p>
    <w:p>
      <w:pPr>
        <w:pStyle w:val="891"/>
        <w:ind w:firstLine="0"/>
        <w:jc w:val="center"/>
        <w:spacing w:line="240" w:lineRule="auto"/>
        <w:rPr>
          <w:rFonts w:hint="eastAsia" w:ascii="微软雅黑" w:eastAsia="微软雅黑" w:cs="Times New Roman"/>
          <w:bCs/>
          <w:color w:val="auto"/>
          <w:sz w:val="32"/>
          <w:szCs w:val="32"/>
          <w:highlight w:val="none"/>
        </w:rPr>
        <w:outlineLvl w:val="0"/>
      </w:pPr>
      <w:r>
        <w:rPr>
          <w:rFonts w:hint="eastAsia" w:ascii="微软雅黑" w:eastAsia="微软雅黑" w:cs="Times New Roman"/>
          <w:bCs/>
          <w:color w:val="auto"/>
          <w:sz w:val="32"/>
          <w:szCs w:val="32"/>
          <w:highlight w:val="none"/>
        </w:rPr>
        <w:t xml:space="preserve">如城街道安置区生活垃圾清运外包合同</w:t>
      </w:r>
      <w:r/>
    </w:p>
    <w:p>
      <w:pPr>
        <w:pStyle w:val="707"/>
        <w:jc w:val="right"/>
        <w:rPr>
          <w:rFonts w:hint="eastAsia"/>
        </w:rPr>
      </w:pPr>
      <w:r>
        <w:rPr>
          <w:rFonts w:hint="eastAsia"/>
        </w:rPr>
      </w:r>
      <w:r/>
    </w:p>
    <w:p>
      <w:pPr>
        <w:pStyle w:val="707"/>
        <w:jc w:val="right"/>
      </w:pPr>
      <w:r>
        <w:rPr>
          <w:rFonts w:hint="eastAsia"/>
        </w:rPr>
        <w:t xml:space="preserve">合同编号：</w:t>
      </w:r>
      <w:r>
        <w:rPr>
          <w:rFonts w:hint="eastAsia"/>
          <w:lang w:val="en-US" w:eastAsia="zh-CN"/>
        </w:rPr>
        <w:t xml:space="preserve">      </w:t>
      </w:r>
      <w:r>
        <w:rPr>
          <w:rFonts w:hint="eastAsia"/>
        </w:rPr>
        <w:t xml:space="preserve">号</w:t>
      </w:r>
      <w:r/>
    </w:p>
    <w:p>
      <w:pPr>
        <w:spacing w:line="500" w:lineRule="exact"/>
        <w:rPr>
          <w:rFonts w:hint="eastAsia" w:asciiTheme="majorEastAsia" w:hAnsiTheme="majorEastAsia" w:eastAsiaTheme="majorEastAsia"/>
          <w:sz w:val="28"/>
          <w:szCs w:val="28"/>
        </w:rPr>
      </w:pPr>
      <w:r>
        <w:rPr>
          <w:rFonts w:hint="eastAsia" w:asciiTheme="majorEastAsia" w:hAnsiTheme="majorEastAsia" w:eastAsiaTheme="majorEastAsia"/>
          <w:sz w:val="28"/>
          <w:szCs w:val="28"/>
        </w:rPr>
      </w:r>
      <w:r/>
    </w:p>
    <w:p>
      <w:pPr>
        <w:spacing w:line="50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甲方：如皋市人民政府如城街道办事处</w:t>
      </w:r>
      <w:r/>
    </w:p>
    <w:p>
      <w:pPr>
        <w:spacing w:line="50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乙方：</w:t>
      </w:r>
      <w:r/>
    </w:p>
    <w:p>
      <w:pPr>
        <w:ind w:firstLine="480"/>
        <w:spacing w:line="360" w:lineRule="auto"/>
        <w:rPr>
          <w:rFonts w:asciiTheme="minorEastAsia" w:hAnsiTheme="minorEastAsia" w:eastAsiaTheme="minorEastAsia"/>
          <w:sz w:val="28"/>
          <w:szCs w:val="28"/>
        </w:rPr>
      </w:pPr>
      <w:r>
        <w:rPr>
          <w:rFonts w:hint="eastAsia" w:ascii="仿宋" w:hAnsi="仿宋" w:eastAsia="仿宋" w:cs="Times New Roman"/>
          <w:color w:val="auto"/>
          <w:sz w:val="24"/>
          <w:szCs w:val="24"/>
          <w:highlight w:val="none"/>
        </w:rPr>
        <w:t xml:space="preserve">为进一步深化环卫作业机制改革，建立环卫作业市场化运营新机制，达到全域生活垃圾封闭式运输的目标要求，实现全域生活垃圾封闭式规范运输，如城街道办事处现就辖区16个安置区生活垃圾收集运输工作面向社会公开招标。经政府采购，</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               </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取得承包资格。根据《中华人民共和国民法典》及其他有关法律、法规，遵循平等、自愿、公平和诚实信用的原则，甲、乙双方就</w:t>
      </w:r>
      <w:r>
        <w:rPr>
          <w:rFonts w:hint="eastAsia" w:ascii="仿宋" w:hAnsi="仿宋" w:eastAsia="仿宋" w:cs="Times New Roman"/>
          <w:color w:val="auto"/>
          <w:sz w:val="24"/>
          <w:szCs w:val="24"/>
          <w:highlight w:val="none"/>
          <w:lang w:eastAsia="zh-CN"/>
        </w:rPr>
        <w:t xml:space="preserve">如城街道安置区生活垃圾清运外包</w:t>
      </w:r>
      <w:r>
        <w:rPr>
          <w:rFonts w:hint="eastAsia" w:ascii="仿宋" w:hAnsi="仿宋" w:eastAsia="仿宋" w:cs="Times New Roman"/>
          <w:color w:val="auto"/>
          <w:sz w:val="24"/>
          <w:szCs w:val="24"/>
          <w:highlight w:val="none"/>
        </w:rPr>
        <w:t xml:space="preserve">事项达成一致，订立承包合同如下： </w:t>
      </w:r>
      <w:r>
        <w:rPr>
          <w:rFonts w:hint="eastAsia" w:asciiTheme="minorEastAsia" w:hAnsiTheme="minorEastAsia" w:eastAsiaTheme="minorEastAsia"/>
          <w:sz w:val="28"/>
          <w:szCs w:val="28"/>
        </w:rPr>
        <w:t xml:space="preserve">   </w:t>
      </w:r>
      <w:r/>
    </w:p>
    <w:p>
      <w:pPr>
        <w:ind w:firstLine="560"/>
        <w:spacing w:line="50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一、</w:t>
      </w:r>
      <w:r>
        <w:rPr>
          <w:rFonts w:hint="eastAsia" w:asciiTheme="majorEastAsia" w:hAnsiTheme="majorEastAsia" w:eastAsiaTheme="majorEastAsia"/>
          <w:sz w:val="28"/>
          <w:szCs w:val="28"/>
          <w:lang w:val="en-US" w:eastAsia="zh-CN"/>
        </w:rPr>
        <w:t xml:space="preserve">服务</w:t>
      </w:r>
      <w:r>
        <w:rPr>
          <w:rFonts w:hint="eastAsia" w:asciiTheme="majorEastAsia" w:hAnsiTheme="majorEastAsia" w:eastAsiaTheme="majorEastAsia"/>
          <w:sz w:val="28"/>
          <w:szCs w:val="28"/>
        </w:rPr>
        <w:t xml:space="preserve">内容</w:t>
      </w:r>
      <w:r/>
    </w:p>
    <w:p>
      <w:pPr>
        <w:ind w:firstLine="562"/>
        <w:spacing w:line="5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如城街道所辖安置区的生活垃圾收集、清运（</w:t>
      </w:r>
      <w:r>
        <w:rPr>
          <w:rFonts w:hint="eastAsia" w:ascii="仿宋" w:hAnsi="仿宋" w:eastAsia="仿宋" w:cs="Times New Roman"/>
          <w:b/>
          <w:bCs/>
          <w:color w:val="auto"/>
          <w:sz w:val="24"/>
          <w:szCs w:val="24"/>
          <w:highlight w:val="none"/>
        </w:rPr>
        <w:t xml:space="preserve">见附件</w:t>
      </w:r>
      <w:r>
        <w:rPr>
          <w:rFonts w:hint="eastAsia" w:ascii="仿宋" w:hAnsi="仿宋" w:eastAsia="仿宋" w:cs="Times New Roman"/>
          <w:b/>
          <w:bCs/>
          <w:color w:val="auto"/>
          <w:sz w:val="24"/>
          <w:szCs w:val="24"/>
          <w:highlight w:val="none"/>
          <w:lang w:val="en-US" w:eastAsia="zh-CN"/>
        </w:rPr>
        <w:t xml:space="preserve">1</w:t>
      </w:r>
      <w:r>
        <w:rPr>
          <w:rFonts w:hint="eastAsia" w:ascii="仿宋" w:hAnsi="仿宋" w:eastAsia="仿宋" w:cs="Times New Roman"/>
          <w:b/>
          <w:bCs/>
          <w:color w:val="auto"/>
          <w:sz w:val="24"/>
          <w:szCs w:val="24"/>
          <w:highlight w:val="none"/>
          <w:lang w:eastAsia="zh-CN"/>
        </w:rPr>
        <w:t xml:space="preserve">《如城街道办事处所辖安置区清单》</w:t>
      </w:r>
      <w:r>
        <w:rPr>
          <w:rFonts w:hint="eastAsia" w:ascii="仿宋" w:hAnsi="仿宋" w:eastAsia="仿宋" w:cs="Times New Roman"/>
          <w:color w:val="auto"/>
          <w:sz w:val="24"/>
          <w:szCs w:val="24"/>
          <w:highlight w:val="none"/>
        </w:rPr>
        <w:t xml:space="preserve">）。</w:t>
      </w:r>
      <w:r/>
    </w:p>
    <w:p>
      <w:pPr>
        <w:ind w:firstLine="560"/>
        <w:spacing w:line="360" w:lineRule="auto"/>
        <w:rPr>
          <w:rFonts w:cs="黑体" w:asciiTheme="minorEastAsia" w:hAnsiTheme="minorEastAsia" w:eastAsiaTheme="minorEastAsia"/>
          <w:bCs/>
          <w:sz w:val="28"/>
          <w:szCs w:val="28"/>
        </w:rPr>
      </w:pPr>
      <w:r>
        <w:rPr>
          <w:rFonts w:hint="eastAsia" w:cs="Times New Roman" w:asciiTheme="majorEastAsia" w:hAnsiTheme="majorEastAsia" w:eastAsiaTheme="majorEastAsia"/>
          <w:sz w:val="28"/>
          <w:szCs w:val="28"/>
          <w:lang w:val="en-US" w:eastAsia="zh-CN"/>
        </w:rPr>
        <w:t xml:space="preserve">二、服务要求</w:t>
      </w:r>
      <w:r/>
    </w:p>
    <w:p>
      <w:pPr>
        <w:ind w:firstLine="562"/>
        <w:spacing w:line="5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（一）垃圾收集清运要求</w:t>
      </w:r>
      <w:r/>
    </w:p>
    <w:p>
      <w:pPr>
        <w:ind w:firstLine="562"/>
        <w:spacing w:line="5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1</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按垃圾分类要求配置垃圾收集桶，做到分类收集、分类转运，转运垃圾量100%，做到日产日清无积存，垃圾桶无外溢。</w:t>
      </w:r>
      <w:r/>
    </w:p>
    <w:p>
      <w:pPr>
        <w:ind w:firstLine="562"/>
        <w:spacing w:line="5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2</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垃圾运输做到车走地净。</w:t>
      </w:r>
      <w:r/>
    </w:p>
    <w:p>
      <w:pPr>
        <w:ind w:firstLine="562"/>
        <w:spacing w:line="5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3</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车容整洁，车体外无污物、灰垢，实行密封运输，垃圾车辆运输途中不得有“滴、泼、洒、漏”现象。车辆外严禁挂垃圾袋，保持车容车貌整洁。</w:t>
      </w:r>
      <w:r/>
    </w:p>
    <w:p>
      <w:pPr>
        <w:ind w:firstLine="562"/>
        <w:spacing w:line="5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4</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垃圾按指定的转运站运送。</w:t>
      </w:r>
      <w:r/>
    </w:p>
    <w:p>
      <w:pPr>
        <w:ind w:firstLine="562"/>
        <w:spacing w:line="5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5</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垃圾处置合格，无填埋，无焚烧。</w:t>
      </w:r>
      <w:r/>
    </w:p>
    <w:p>
      <w:pPr>
        <w:ind w:firstLine="562"/>
        <w:spacing w:line="5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6</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垃圾进中转站，须服从中转站管理。</w:t>
      </w:r>
      <w:r/>
    </w:p>
    <w:p>
      <w:pPr>
        <w:ind w:firstLine="562"/>
        <w:spacing w:line="5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7</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垃圾运送员需穿着全装上岗，严格遵守交规。</w:t>
      </w:r>
      <w:r/>
    </w:p>
    <w:p>
      <w:pPr>
        <w:ind w:firstLine="562"/>
        <w:spacing w:line="5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8</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及时冲洗垃圾容器，不得出现作业人员故意破坏垃圾容器的现象。</w:t>
      </w:r>
      <w:r/>
    </w:p>
    <w:p>
      <w:pPr>
        <w:ind w:firstLine="562"/>
        <w:spacing w:line="5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9</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有效应对突击性活动，配备应急处置和突击整治力量配合采购人处理突击性任务等。</w:t>
      </w:r>
      <w:r/>
    </w:p>
    <w:p>
      <w:pPr>
        <w:ind w:firstLine="562"/>
        <w:spacing w:line="5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（二）人员、设备要求</w:t>
      </w:r>
      <w:r/>
    </w:p>
    <w:p>
      <w:pPr>
        <w:ind w:firstLine="562"/>
        <w:spacing w:line="5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1</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基本人员配置要求：</w:t>
      </w:r>
      <w:r/>
    </w:p>
    <w:p>
      <w:pPr>
        <w:ind w:firstLine="562"/>
        <w:spacing w:line="5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本项目至少配备人员共1</w:t>
      </w:r>
      <w:r>
        <w:rPr>
          <w:rFonts w:hint="eastAsia" w:ascii="仿宋" w:hAnsi="仿宋" w:eastAsia="仿宋" w:cs="Times New Roman"/>
          <w:color w:val="auto"/>
          <w:sz w:val="24"/>
          <w:szCs w:val="24"/>
          <w:highlight w:val="none"/>
          <w:lang w:val="en-US" w:eastAsia="zh-CN"/>
        </w:rPr>
        <w:t xml:space="preserve">6</w:t>
      </w:r>
      <w:r>
        <w:rPr>
          <w:rFonts w:hint="eastAsia" w:ascii="仿宋" w:hAnsi="仿宋" w:eastAsia="仿宋" w:cs="Times New Roman"/>
          <w:color w:val="auto"/>
          <w:sz w:val="24"/>
          <w:szCs w:val="24"/>
          <w:highlight w:val="none"/>
        </w:rPr>
        <w:t xml:space="preserve">人（项目经理1人、驾驶员5人、随车人员10人）。响应供应商依法为以上人员缴纳保险，工资不低于江苏省最低工资标准。</w:t>
      </w:r>
      <w:r/>
    </w:p>
    <w:p>
      <w:pPr>
        <w:ind w:firstLine="562"/>
        <w:spacing w:line="5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项目人员配备表</w:t>
      </w:r>
      <w:r/>
    </w:p>
    <w:tbl>
      <w:tblPr>
        <w:tblStyle w:val="706"/>
        <w:tblW w:w="8859" w:type="dxa"/>
        <w:tblInd w:w="2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6"/>
        <w:gridCol w:w="5540"/>
        <w:gridCol w:w="1813"/>
      </w:tblGrid>
      <w:tr>
        <w:trPr>
          <w:trHeight w:val="357"/>
        </w:trPr>
        <w:tc>
          <w:tcPr>
            <w:tcW w:w="1506" w:type="dxa"/>
            <w:vAlign w:val="center"/>
            <w:textDirection w:val="lrTb"/>
            <w:noWrap/>
          </w:tcPr>
          <w:p>
            <w:pPr>
              <w:ind w:firstLine="562"/>
              <w:spacing w:line="5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序号</w:t>
            </w:r>
            <w:r/>
          </w:p>
        </w:tc>
        <w:tc>
          <w:tcPr>
            <w:tcW w:w="5540" w:type="dxa"/>
            <w:vAlign w:val="center"/>
            <w:textDirection w:val="lrTb"/>
            <w:noWrap/>
          </w:tcPr>
          <w:p>
            <w:pPr>
              <w:ind w:firstLine="562"/>
              <w:spacing w:line="5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岗位名称</w:t>
            </w:r>
            <w:r/>
          </w:p>
        </w:tc>
        <w:tc>
          <w:tcPr>
            <w:tcW w:w="1813" w:type="dxa"/>
            <w:vAlign w:val="center"/>
            <w:textDirection w:val="lrTb"/>
            <w:noWrap/>
          </w:tcPr>
          <w:p>
            <w:pPr>
              <w:ind w:firstLine="562"/>
              <w:spacing w:line="5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人数</w:t>
            </w:r>
            <w:r/>
          </w:p>
        </w:tc>
      </w:tr>
      <w:tr>
        <w:trPr>
          <w:trHeight w:val="357"/>
        </w:trPr>
        <w:tc>
          <w:tcPr>
            <w:shd w:val="clear" w:color="auto" w:fill="auto"/>
            <w:tcW w:w="1506" w:type="dxa"/>
            <w:vAlign w:val="center"/>
            <w:textDirection w:val="lrTb"/>
            <w:noWrap/>
          </w:tcPr>
          <w:p>
            <w:pPr>
              <w:ind w:firstLine="562"/>
              <w:spacing w:line="5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1</w:t>
            </w:r>
            <w:r/>
          </w:p>
        </w:tc>
        <w:tc>
          <w:tcPr>
            <w:shd w:val="clear" w:color="auto" w:fill="auto"/>
            <w:tcW w:w="5540" w:type="dxa"/>
            <w:vAlign w:val="center"/>
            <w:textDirection w:val="lrTb"/>
            <w:noWrap/>
          </w:tcPr>
          <w:p>
            <w:pPr>
              <w:ind w:firstLine="562"/>
              <w:spacing w:line="5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项目经理</w:t>
            </w:r>
            <w:r/>
          </w:p>
        </w:tc>
        <w:tc>
          <w:tcPr>
            <w:shd w:val="clear" w:color="auto" w:fill="auto"/>
            <w:tcW w:w="1813" w:type="dxa"/>
            <w:vAlign w:val="center"/>
            <w:textDirection w:val="lrTb"/>
            <w:noWrap/>
          </w:tcPr>
          <w:p>
            <w:pPr>
              <w:ind w:firstLine="562"/>
              <w:spacing w:line="5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1</w:t>
            </w:r>
            <w:r/>
          </w:p>
        </w:tc>
      </w:tr>
      <w:tr>
        <w:trPr>
          <w:trHeight w:val="357"/>
        </w:trPr>
        <w:tc>
          <w:tcPr>
            <w:shd w:val="clear" w:color="auto" w:fill="auto"/>
            <w:tcW w:w="1506" w:type="dxa"/>
            <w:vAlign w:val="center"/>
            <w:textDirection w:val="lrTb"/>
            <w:noWrap/>
          </w:tcPr>
          <w:p>
            <w:pPr>
              <w:ind w:firstLine="562"/>
              <w:spacing w:line="500" w:lineRule="exact"/>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2</w:t>
            </w:r>
            <w:r/>
          </w:p>
        </w:tc>
        <w:tc>
          <w:tcPr>
            <w:shd w:val="clear" w:color="auto" w:fill="auto"/>
            <w:tcW w:w="5540" w:type="dxa"/>
            <w:vAlign w:val="center"/>
            <w:textDirection w:val="lrTb"/>
            <w:noWrap/>
          </w:tcPr>
          <w:p>
            <w:pPr>
              <w:ind w:firstLine="562"/>
              <w:spacing w:line="500" w:lineRule="exact"/>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rPr>
              <w:t xml:space="preserve">驾驶员</w:t>
            </w:r>
            <w:r/>
          </w:p>
        </w:tc>
        <w:tc>
          <w:tcPr>
            <w:shd w:val="clear" w:color="auto" w:fill="auto"/>
            <w:tcW w:w="1813" w:type="dxa"/>
            <w:vAlign w:val="center"/>
            <w:textDirection w:val="lrTb"/>
            <w:noWrap/>
          </w:tcPr>
          <w:p>
            <w:pPr>
              <w:ind w:firstLine="562"/>
              <w:spacing w:line="500" w:lineRule="exact"/>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rPr>
              <w:t xml:space="preserve">5</w:t>
            </w:r>
            <w:r/>
          </w:p>
        </w:tc>
      </w:tr>
      <w:tr>
        <w:trPr>
          <w:trHeight w:val="357"/>
        </w:trPr>
        <w:tc>
          <w:tcPr>
            <w:shd w:val="clear" w:color="auto" w:fill="auto"/>
            <w:tcW w:w="1506" w:type="dxa"/>
            <w:vAlign w:val="center"/>
            <w:textDirection w:val="lrTb"/>
            <w:noWrap/>
          </w:tcPr>
          <w:p>
            <w:pPr>
              <w:ind w:firstLine="562"/>
              <w:spacing w:line="500" w:lineRule="exact"/>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3</w:t>
            </w:r>
            <w:r/>
          </w:p>
        </w:tc>
        <w:tc>
          <w:tcPr>
            <w:shd w:val="clear" w:color="auto" w:fill="auto"/>
            <w:tcW w:w="5540" w:type="dxa"/>
            <w:vAlign w:val="center"/>
            <w:textDirection w:val="lrTb"/>
            <w:noWrap/>
          </w:tcPr>
          <w:p>
            <w:pPr>
              <w:ind w:firstLine="562"/>
              <w:spacing w:line="500" w:lineRule="exact"/>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rPr>
              <w:t xml:space="preserve">随车人员</w:t>
            </w:r>
            <w:r/>
          </w:p>
        </w:tc>
        <w:tc>
          <w:tcPr>
            <w:shd w:val="clear" w:color="auto" w:fill="auto"/>
            <w:tcW w:w="1813" w:type="dxa"/>
            <w:vAlign w:val="center"/>
            <w:textDirection w:val="lrTb"/>
            <w:noWrap/>
          </w:tcPr>
          <w:p>
            <w:pPr>
              <w:ind w:firstLine="562"/>
              <w:spacing w:line="500" w:lineRule="exact"/>
              <w:rPr>
                <w:rFonts w:hint="eastAsia"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rPr>
              <w:t xml:space="preserve">10</w:t>
            </w:r>
            <w:r/>
          </w:p>
        </w:tc>
      </w:tr>
      <w:tr>
        <w:trPr>
          <w:trHeight w:val="364"/>
        </w:trPr>
        <w:tc>
          <w:tcPr>
            <w:gridSpan w:val="2"/>
            <w:tcW w:w="7046" w:type="dxa"/>
            <w:vAlign w:val="center"/>
            <w:textDirection w:val="lrTb"/>
            <w:noWrap/>
          </w:tcPr>
          <w:p>
            <w:pPr>
              <w:ind w:firstLine="562"/>
              <w:spacing w:line="5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合计</w:t>
            </w:r>
            <w:r/>
          </w:p>
        </w:tc>
        <w:tc>
          <w:tcPr>
            <w:tcW w:w="1813" w:type="dxa"/>
            <w:vAlign w:val="center"/>
            <w:textDirection w:val="lrTb"/>
            <w:noWrap/>
          </w:tcPr>
          <w:p>
            <w:pPr>
              <w:ind w:firstLine="562"/>
              <w:spacing w:line="500" w:lineRule="exact"/>
              <w:rPr>
                <w:rFonts w:hint="default" w:ascii="仿宋" w:hAnsi="仿宋" w:eastAsia="仿宋" w:cs="Times New Roman"/>
                <w:color w:val="auto"/>
                <w:sz w:val="24"/>
                <w:szCs w:val="24"/>
                <w:highlight w:val="none"/>
                <w:lang w:val="en-US" w:eastAsia="zh-CN"/>
              </w:rPr>
            </w:pPr>
            <w:r>
              <w:rPr>
                <w:rFonts w:hint="eastAsia" w:ascii="仿宋" w:hAnsi="仿宋" w:eastAsia="仿宋" w:cs="Times New Roman"/>
                <w:color w:val="auto"/>
                <w:sz w:val="24"/>
                <w:szCs w:val="24"/>
                <w:highlight w:val="none"/>
                <w:lang w:val="en-US" w:eastAsia="zh-CN"/>
              </w:rPr>
              <w:t xml:space="preserve">16</w:t>
            </w:r>
            <w:r/>
          </w:p>
        </w:tc>
      </w:tr>
    </w:tbl>
    <w:p>
      <w:pPr>
        <w:ind w:firstLine="562"/>
        <w:spacing w:line="5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2</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基本机械设备配置要求：</w:t>
      </w:r>
      <w:r/>
    </w:p>
    <w:p>
      <w:pPr>
        <w:ind w:firstLine="562"/>
        <w:spacing w:line="5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设备设施最低配置一览表</w:t>
      </w:r>
      <w:r/>
    </w:p>
    <w:tbl>
      <w:tblPr>
        <w:tblStyle w:val="706"/>
        <w:tblW w:w="91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3782"/>
        <w:gridCol w:w="2345"/>
        <w:gridCol w:w="951"/>
        <w:gridCol w:w="1241"/>
      </w:tblGrid>
      <w:tr>
        <w:trPr>
          <w:jc w:val="center"/>
          <w:trHeight w:val="401"/>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spacing w:line="5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782" w:type="dxa"/>
            <w:vAlign w:val="center"/>
            <w:textDirection w:val="lrTb"/>
            <w:noWrap/>
          </w:tcPr>
          <w:p>
            <w:pPr>
              <w:ind w:firstLine="562"/>
              <w:spacing w:line="5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tcPr>
          <w:p>
            <w:pPr>
              <w:ind w:firstLine="562"/>
              <w:spacing w:line="5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spacing w:line="5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41" w:type="dxa"/>
            <w:vAlign w:val="center"/>
            <w:textDirection w:val="lrTb"/>
            <w:noWrap/>
          </w:tcPr>
          <w:p>
            <w:pPr>
              <w:ind w:firstLine="240"/>
              <w:spacing w:line="5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单位</w:t>
            </w:r>
            <w:r/>
          </w:p>
        </w:tc>
      </w:tr>
      <w:tr>
        <w:trPr>
          <w:jc w:val="center"/>
          <w:trHeight w:val="794"/>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tcPr>
          <w:p>
            <w:pPr>
              <w:ind w:firstLine="240"/>
              <w:spacing w:line="5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82" w:type="dxa"/>
            <w:vAlign w:val="center"/>
            <w:textDirection w:val="lrTb"/>
            <w:noWrap/>
          </w:tcPr>
          <w:p>
            <w:pPr>
              <w:ind w:firstLine="562"/>
              <w:spacing w:line="5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压缩式垃圾车</w:t>
            </w:r>
            <w:r/>
          </w:p>
        </w:tc>
        <w:tc>
          <w:tcPr>
            <w:shd w:val="clear" w:color="auto" w:fill="auto"/>
            <w:tcBorders>
              <w:top w:val="single" w:color="000000" w:sz="4" w:space="0"/>
              <w:left w:val="single" w:color="000000" w:sz="4" w:space="0"/>
              <w:bottom w:val="single" w:color="000000" w:sz="4" w:space="0"/>
              <w:right w:val="single" w:color="000000" w:sz="4" w:space="0"/>
            </w:tcBorders>
            <w:tcW w:w="2345" w:type="dxa"/>
            <w:vAlign w:val="center"/>
            <w:textDirection w:val="lrTb"/>
            <w:noWrap/>
          </w:tcPr>
          <w:p>
            <w:pPr>
              <w:ind w:firstLine="562"/>
              <w:spacing w:line="5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总质量≥7000kg</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562"/>
              <w:spacing w:line="5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41" w:type="dxa"/>
            <w:vAlign w:val="center"/>
            <w:textDirection w:val="lrTb"/>
            <w:noWrap/>
          </w:tcPr>
          <w:p>
            <w:pPr>
              <w:ind w:firstLine="562"/>
              <w:spacing w:line="5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辆</w:t>
            </w:r>
            <w:r/>
          </w:p>
        </w:tc>
      </w:tr>
      <w:tr>
        <w:trPr>
          <w:jc w:val="cente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946" w:type="dxa"/>
            <w:vAlign w:val="center"/>
            <w:textDirection w:val="lrTb"/>
            <w:noWrap/>
          </w:tcPr>
          <w:p>
            <w:pPr>
              <w:ind w:firstLine="562"/>
              <w:spacing w:line="5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562"/>
              <w:spacing w:line="5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41" w:type="dxa"/>
            <w:vAlign w:val="center"/>
            <w:textDirection w:val="lrTb"/>
            <w:noWrap/>
          </w:tcPr>
          <w:p>
            <w:pPr>
              <w:ind w:firstLine="562"/>
              <w:spacing w:line="5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辆</w:t>
            </w:r>
            <w:r/>
          </w:p>
        </w:tc>
      </w:tr>
    </w:tbl>
    <w:p>
      <w:pPr>
        <w:spacing w:line="5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r>
      <w:r/>
    </w:p>
    <w:p>
      <w:pPr>
        <w:ind w:firstLine="562"/>
        <w:spacing w:line="5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（三）其他要求</w:t>
      </w:r>
      <w:r/>
    </w:p>
    <w:p>
      <w:pPr>
        <w:ind w:firstLine="562"/>
        <w:spacing w:line="5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1</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乙方</w:t>
      </w:r>
      <w:r>
        <w:rPr>
          <w:rFonts w:hint="eastAsia" w:ascii="仿宋" w:hAnsi="仿宋" w:eastAsia="仿宋" w:cs="Times New Roman"/>
          <w:color w:val="auto"/>
          <w:sz w:val="24"/>
          <w:szCs w:val="24"/>
          <w:highlight w:val="none"/>
        </w:rPr>
        <w:t xml:space="preserve">投入本项目的全部设备、人员均为本项目专属资源，仅用于履行本项目合同工作内容，未经</w:t>
      </w:r>
      <w:r>
        <w:rPr>
          <w:rFonts w:hint="eastAsia" w:ascii="仿宋" w:hAnsi="仿宋" w:eastAsia="仿宋" w:cs="Times New Roman"/>
          <w:color w:val="auto"/>
          <w:sz w:val="24"/>
          <w:szCs w:val="24"/>
          <w:highlight w:val="none"/>
          <w:lang w:val="en-US" w:eastAsia="zh-CN"/>
        </w:rPr>
        <w:t xml:space="preserve">甲方</w:t>
      </w:r>
      <w:r>
        <w:rPr>
          <w:rFonts w:hint="eastAsia" w:ascii="仿宋" w:hAnsi="仿宋" w:eastAsia="仿宋" w:cs="Times New Roman"/>
          <w:color w:val="auto"/>
          <w:sz w:val="24"/>
          <w:szCs w:val="24"/>
          <w:highlight w:val="none"/>
        </w:rPr>
        <w:t xml:space="preserve">书面批准，不得擅自调换、撤离、转借或挪作其他项目使用。自愿无条件接受</w:t>
      </w:r>
      <w:r>
        <w:rPr>
          <w:rFonts w:hint="eastAsia" w:ascii="仿宋" w:hAnsi="仿宋" w:eastAsia="仿宋" w:cs="Times New Roman"/>
          <w:color w:val="auto"/>
          <w:sz w:val="24"/>
          <w:szCs w:val="24"/>
          <w:highlight w:val="none"/>
          <w:lang w:val="en-US" w:eastAsia="zh-CN"/>
        </w:rPr>
        <w:t xml:space="preserve">甲方</w:t>
      </w:r>
      <w:r>
        <w:rPr>
          <w:rFonts w:hint="eastAsia" w:ascii="仿宋" w:hAnsi="仿宋" w:eastAsia="仿宋" w:cs="Times New Roman"/>
          <w:color w:val="auto"/>
          <w:sz w:val="24"/>
          <w:szCs w:val="24"/>
          <w:highlight w:val="none"/>
        </w:rPr>
        <w:t xml:space="preserve">按月开展的人员在岗、设备到位情况核查与履约考核，严格服从</w:t>
      </w:r>
      <w:r>
        <w:rPr>
          <w:rFonts w:hint="eastAsia" w:ascii="仿宋" w:hAnsi="仿宋" w:eastAsia="仿宋" w:cs="Times New Roman"/>
          <w:color w:val="auto"/>
          <w:sz w:val="24"/>
          <w:szCs w:val="24"/>
          <w:highlight w:val="none"/>
          <w:lang w:val="en-US" w:eastAsia="zh-CN"/>
        </w:rPr>
        <w:t xml:space="preserve">甲方</w:t>
      </w:r>
      <w:r>
        <w:rPr>
          <w:rFonts w:hint="eastAsia" w:ascii="仿宋" w:hAnsi="仿宋" w:eastAsia="仿宋" w:cs="Times New Roman"/>
          <w:color w:val="auto"/>
          <w:sz w:val="24"/>
          <w:szCs w:val="24"/>
          <w:highlight w:val="none"/>
        </w:rPr>
        <w:t xml:space="preserve">监督管理，若违反上述承诺，自愿承担相应违约责任。</w:t>
      </w:r>
      <w:r/>
    </w:p>
    <w:p>
      <w:pPr>
        <w:ind w:firstLine="562"/>
        <w:spacing w:line="5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2</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lang w:val="en-US" w:eastAsia="zh-CN"/>
        </w:rPr>
        <w:t xml:space="preserve">乙方须确保垃圾运输车辆及作业人员合规上路、安全运营。</w:t>
      </w:r>
      <w:r>
        <w:rPr>
          <w:rFonts w:hint="eastAsia" w:ascii="仿宋" w:hAnsi="仿宋" w:eastAsia="仿宋" w:cs="Times New Roman"/>
          <w:color w:val="auto"/>
          <w:sz w:val="24"/>
          <w:szCs w:val="24"/>
          <w:highlight w:val="none"/>
        </w:rPr>
        <w:t xml:space="preserve">专职驾驶人员必须持证（驾驶证）上岗，驾驶适证车辆。保证安全、文明驾驶，进站、装载、运输、倾倒等作业保证文明有序。严格遵守《</w:t>
      </w:r>
      <w:r>
        <w:rPr>
          <w:rFonts w:hint="eastAsia" w:ascii="仿宋" w:hAnsi="仿宋" w:eastAsia="仿宋" w:cs="Times New Roman"/>
          <w:color w:val="auto"/>
          <w:sz w:val="24"/>
          <w:szCs w:val="24"/>
          <w:highlight w:val="none"/>
          <w:lang w:eastAsia="zh-CN"/>
        </w:rPr>
        <w:t xml:space="preserve">中华人民共和国道路交通安全法</w:t>
      </w:r>
      <w:r>
        <w:rPr>
          <w:rFonts w:hint="eastAsia" w:ascii="仿宋" w:hAnsi="仿宋" w:eastAsia="仿宋" w:cs="Times New Roman"/>
          <w:color w:val="auto"/>
          <w:sz w:val="24"/>
          <w:szCs w:val="24"/>
          <w:highlight w:val="none"/>
        </w:rPr>
        <w:t xml:space="preserve">》</w:t>
      </w:r>
      <w:r>
        <w:rPr>
          <w:rFonts w:hint="eastAsia" w:ascii="仿宋" w:hAnsi="仿宋" w:eastAsia="仿宋" w:cs="Times New Roman"/>
          <w:color w:val="auto"/>
          <w:sz w:val="24"/>
          <w:szCs w:val="24"/>
          <w:highlight w:val="none"/>
          <w:lang w:val="en-US" w:eastAsia="zh-CN"/>
        </w:rPr>
        <w:t xml:space="preserve">及</w:t>
      </w:r>
      <w:r>
        <w:rPr>
          <w:rFonts w:hint="eastAsia" w:ascii="仿宋" w:hAnsi="仿宋" w:eastAsia="仿宋" w:cs="Times New Roman"/>
          <w:color w:val="auto"/>
          <w:sz w:val="24"/>
          <w:szCs w:val="24"/>
          <w:highlight w:val="none"/>
        </w:rPr>
        <w:t xml:space="preserve">操作规程，严禁开快车、病车、赌气车；严禁疲劳驾驶、酒后开车；在转运过程中应保持车辆号牌清晰，不得遮挡公司标识及车辆号牌；每天作业完成后应清洗干净按规定停放运输车辆；要自觉接受媒体及社会的监督。</w:t>
      </w:r>
      <w:r/>
    </w:p>
    <w:p>
      <w:pPr>
        <w:ind w:firstLine="562"/>
        <w:spacing w:line="5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3</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项目服务期间，</w:t>
      </w:r>
      <w:r>
        <w:rPr>
          <w:rFonts w:hint="eastAsia" w:ascii="仿宋" w:hAnsi="仿宋" w:eastAsia="仿宋" w:cs="Times New Roman"/>
          <w:color w:val="auto"/>
          <w:sz w:val="24"/>
          <w:szCs w:val="24"/>
          <w:highlight w:val="none"/>
          <w:lang w:val="en-US" w:eastAsia="zh-CN"/>
        </w:rPr>
        <w:t xml:space="preserve">乙方</w:t>
      </w:r>
      <w:r>
        <w:rPr>
          <w:rFonts w:hint="eastAsia" w:ascii="仿宋" w:hAnsi="仿宋" w:eastAsia="仿宋" w:cs="Times New Roman"/>
          <w:color w:val="auto"/>
          <w:sz w:val="24"/>
          <w:szCs w:val="24"/>
          <w:highlight w:val="none"/>
        </w:rPr>
        <w:t xml:space="preserve">须严格按照本项目合同约定、</w:t>
      </w:r>
      <w:r>
        <w:rPr>
          <w:rFonts w:hint="eastAsia" w:ascii="仿宋" w:hAnsi="仿宋" w:eastAsia="仿宋" w:cs="Times New Roman"/>
          <w:color w:val="auto"/>
          <w:sz w:val="24"/>
          <w:szCs w:val="24"/>
          <w:highlight w:val="none"/>
          <w:lang w:val="en-US" w:eastAsia="zh-CN"/>
        </w:rPr>
        <w:t xml:space="preserve">甲方</w:t>
      </w:r>
      <w:r>
        <w:rPr>
          <w:rFonts w:hint="eastAsia" w:ascii="仿宋" w:hAnsi="仿宋" w:eastAsia="仿宋" w:cs="Times New Roman"/>
          <w:color w:val="auto"/>
          <w:sz w:val="24"/>
          <w:szCs w:val="24"/>
          <w:highlight w:val="none"/>
        </w:rPr>
        <w:t xml:space="preserve">工作安排及现场作业规范执行服务时间，全程保障项目常态化履约作业，不得擅自停工、离岗、拖延。</w:t>
      </w:r>
      <w:r>
        <w:rPr>
          <w:rFonts w:hint="eastAsia" w:ascii="仿宋" w:hAnsi="仿宋" w:eastAsia="仿宋" w:cs="Times New Roman"/>
          <w:color w:val="auto"/>
          <w:sz w:val="24"/>
          <w:szCs w:val="24"/>
          <w:highlight w:val="none"/>
          <w:lang w:val="en-US" w:eastAsia="zh-CN"/>
        </w:rPr>
        <w:t xml:space="preserve">乙方</w:t>
      </w:r>
      <w:r>
        <w:rPr>
          <w:rFonts w:hint="eastAsia" w:ascii="仿宋" w:hAnsi="仿宋" w:eastAsia="仿宋" w:cs="Times New Roman"/>
          <w:color w:val="auto"/>
          <w:sz w:val="24"/>
          <w:szCs w:val="24"/>
          <w:highlight w:val="none"/>
        </w:rPr>
        <w:t xml:space="preserve">需根据项目工作需求、节假日值守、应急保障等工作安排，合理调配增加人员、设备在岗参与应急作业，确保服务时间全覆盖、无空缺。未经</w:t>
      </w:r>
      <w:r>
        <w:rPr>
          <w:rFonts w:hint="eastAsia" w:ascii="仿宋" w:hAnsi="仿宋" w:eastAsia="仿宋" w:cs="Times New Roman"/>
          <w:color w:val="auto"/>
          <w:sz w:val="24"/>
          <w:szCs w:val="24"/>
          <w:highlight w:val="none"/>
          <w:lang w:val="en-US" w:eastAsia="zh-CN"/>
        </w:rPr>
        <w:t xml:space="preserve">甲方</w:t>
      </w:r>
      <w:r>
        <w:rPr>
          <w:rFonts w:hint="eastAsia" w:ascii="仿宋" w:hAnsi="仿宋" w:eastAsia="仿宋" w:cs="Times New Roman"/>
          <w:color w:val="auto"/>
          <w:sz w:val="24"/>
          <w:szCs w:val="24"/>
          <w:highlight w:val="none"/>
        </w:rPr>
        <w:t xml:space="preserve">书面同意，</w:t>
      </w:r>
      <w:r>
        <w:rPr>
          <w:rFonts w:hint="eastAsia" w:ascii="仿宋" w:hAnsi="仿宋" w:eastAsia="仿宋" w:cs="Times New Roman"/>
          <w:color w:val="auto"/>
          <w:sz w:val="24"/>
          <w:szCs w:val="24"/>
          <w:highlight w:val="none"/>
          <w:lang w:val="en-US" w:eastAsia="zh-CN"/>
        </w:rPr>
        <w:t xml:space="preserve">乙方</w:t>
      </w:r>
      <w:r>
        <w:rPr>
          <w:rFonts w:hint="eastAsia" w:ascii="仿宋" w:hAnsi="仿宋" w:eastAsia="仿宋" w:cs="Times New Roman"/>
          <w:color w:val="auto"/>
          <w:sz w:val="24"/>
          <w:szCs w:val="24"/>
          <w:highlight w:val="none"/>
        </w:rPr>
        <w:t xml:space="preserve">不得擅自暂停项目服务或提前终止清运作业。若因</w:t>
      </w:r>
      <w:r>
        <w:rPr>
          <w:rFonts w:hint="eastAsia" w:ascii="仿宋" w:hAnsi="仿宋" w:eastAsia="仿宋" w:cs="Times New Roman"/>
          <w:color w:val="auto"/>
          <w:sz w:val="24"/>
          <w:szCs w:val="24"/>
          <w:highlight w:val="none"/>
          <w:lang w:val="en-US" w:eastAsia="zh-CN"/>
        </w:rPr>
        <w:t xml:space="preserve">乙方</w:t>
      </w:r>
      <w:r>
        <w:rPr>
          <w:rFonts w:hint="eastAsia" w:ascii="仿宋" w:hAnsi="仿宋" w:eastAsia="仿宋" w:cs="Times New Roman"/>
          <w:color w:val="auto"/>
          <w:sz w:val="24"/>
          <w:szCs w:val="24"/>
          <w:highlight w:val="none"/>
        </w:rPr>
        <w:t xml:space="preserve">擅自调整工作时间、脱岗停工导致项目工作延误、服务中断、作业滞后等问题，</w:t>
      </w:r>
      <w:r>
        <w:rPr>
          <w:rFonts w:hint="eastAsia" w:ascii="仿宋" w:hAnsi="仿宋" w:eastAsia="仿宋" w:cs="Times New Roman"/>
          <w:color w:val="auto"/>
          <w:sz w:val="24"/>
          <w:szCs w:val="24"/>
          <w:highlight w:val="none"/>
          <w:lang w:val="en-US" w:eastAsia="zh-CN"/>
        </w:rPr>
        <w:t xml:space="preserve">乙方</w:t>
      </w:r>
      <w:r>
        <w:rPr>
          <w:rFonts w:hint="eastAsia" w:ascii="仿宋" w:hAnsi="仿宋" w:eastAsia="仿宋" w:cs="Times New Roman"/>
          <w:color w:val="auto"/>
          <w:sz w:val="24"/>
          <w:szCs w:val="24"/>
          <w:highlight w:val="none"/>
        </w:rPr>
        <w:t xml:space="preserve">需承担全部履约责任及由此产生的一切损失，</w:t>
      </w:r>
      <w:r>
        <w:rPr>
          <w:rFonts w:hint="eastAsia" w:ascii="仿宋" w:hAnsi="仿宋" w:eastAsia="仿宋" w:cs="Times New Roman"/>
          <w:color w:val="auto"/>
          <w:sz w:val="24"/>
          <w:szCs w:val="24"/>
          <w:highlight w:val="none"/>
          <w:lang w:val="en-US" w:eastAsia="zh-CN"/>
        </w:rPr>
        <w:t xml:space="preserve">甲方</w:t>
      </w:r>
      <w:r>
        <w:rPr>
          <w:rFonts w:hint="eastAsia" w:ascii="仿宋" w:hAnsi="仿宋" w:eastAsia="仿宋" w:cs="Times New Roman"/>
          <w:color w:val="auto"/>
          <w:sz w:val="24"/>
          <w:szCs w:val="24"/>
          <w:highlight w:val="none"/>
        </w:rPr>
        <w:t xml:space="preserve">有权依据合同约定追究</w:t>
      </w:r>
      <w:r>
        <w:rPr>
          <w:rFonts w:hint="eastAsia" w:ascii="仿宋" w:hAnsi="仿宋" w:eastAsia="仿宋" w:cs="Times New Roman"/>
          <w:color w:val="auto"/>
          <w:sz w:val="24"/>
          <w:szCs w:val="24"/>
          <w:highlight w:val="none"/>
          <w:lang w:val="en-US" w:eastAsia="zh-CN"/>
        </w:rPr>
        <w:t xml:space="preserve">乙方</w:t>
      </w:r>
      <w:r>
        <w:rPr>
          <w:rFonts w:hint="eastAsia" w:ascii="仿宋" w:hAnsi="仿宋" w:eastAsia="仿宋" w:cs="Times New Roman"/>
          <w:color w:val="auto"/>
          <w:sz w:val="24"/>
          <w:szCs w:val="24"/>
          <w:highlight w:val="none"/>
        </w:rPr>
        <w:t xml:space="preserve">违约责任。</w:t>
      </w:r>
      <w:r/>
    </w:p>
    <w:p>
      <w:pPr>
        <w:ind w:firstLine="562"/>
        <w:spacing w:line="5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4、</w:t>
      </w:r>
      <w:r>
        <w:rPr>
          <w:rFonts w:hint="eastAsia" w:ascii="仿宋" w:hAnsi="仿宋" w:eastAsia="仿宋" w:cs="Times New Roman"/>
          <w:color w:val="auto"/>
          <w:sz w:val="24"/>
          <w:szCs w:val="24"/>
          <w:highlight w:val="none"/>
        </w:rPr>
        <w:t xml:space="preserve">驾驶人员必须严格遵守各项规章制度，认真履行垃圾清运职责，听从</w:t>
      </w:r>
      <w:r>
        <w:rPr>
          <w:rFonts w:hint="eastAsia" w:ascii="仿宋" w:hAnsi="仿宋" w:eastAsia="仿宋" w:cs="Times New Roman"/>
          <w:color w:val="auto"/>
          <w:sz w:val="24"/>
          <w:szCs w:val="24"/>
          <w:highlight w:val="none"/>
          <w:lang w:val="en-US" w:eastAsia="zh-CN"/>
        </w:rPr>
        <w:t xml:space="preserve">甲方</w:t>
      </w:r>
      <w:r>
        <w:rPr>
          <w:rFonts w:hint="eastAsia" w:ascii="仿宋" w:hAnsi="仿宋" w:eastAsia="仿宋" w:cs="Times New Roman"/>
          <w:color w:val="auto"/>
          <w:sz w:val="24"/>
          <w:szCs w:val="24"/>
          <w:highlight w:val="none"/>
        </w:rPr>
        <w:t xml:space="preserve">工作安排和垃圾清运调度，不得以任何理由拒绝</w:t>
      </w:r>
      <w:r>
        <w:rPr>
          <w:rFonts w:hint="eastAsia" w:ascii="仿宋" w:hAnsi="仿宋" w:eastAsia="仿宋" w:cs="Times New Roman"/>
          <w:color w:val="auto"/>
          <w:sz w:val="24"/>
          <w:szCs w:val="24"/>
          <w:highlight w:val="none"/>
          <w:lang w:val="en-US" w:eastAsia="zh-CN"/>
        </w:rPr>
        <w:t xml:space="preserve">甲方</w:t>
      </w:r>
      <w:r>
        <w:rPr>
          <w:rFonts w:hint="eastAsia" w:ascii="仿宋" w:hAnsi="仿宋" w:eastAsia="仿宋" w:cs="Times New Roman"/>
          <w:color w:val="auto"/>
          <w:sz w:val="24"/>
          <w:szCs w:val="24"/>
          <w:highlight w:val="none"/>
        </w:rPr>
        <w:t xml:space="preserve">的要求。严格按照</w:t>
      </w:r>
      <w:r>
        <w:rPr>
          <w:rFonts w:hint="eastAsia" w:ascii="仿宋" w:hAnsi="仿宋" w:eastAsia="仿宋" w:cs="Times New Roman"/>
          <w:color w:val="auto"/>
          <w:sz w:val="24"/>
          <w:szCs w:val="24"/>
          <w:highlight w:val="none"/>
          <w:lang w:val="en-US" w:eastAsia="zh-CN"/>
        </w:rPr>
        <w:t xml:space="preserve">甲方</w:t>
      </w:r>
      <w:r>
        <w:rPr>
          <w:rFonts w:hint="eastAsia" w:ascii="仿宋" w:hAnsi="仿宋" w:eastAsia="仿宋" w:cs="Times New Roman"/>
          <w:color w:val="auto"/>
          <w:sz w:val="24"/>
          <w:szCs w:val="24"/>
          <w:highlight w:val="none"/>
        </w:rPr>
        <w:t xml:space="preserve">的调度方案调运生活垃圾，保持通信畅通，随时准备处理应急、突击任务，确保无积存生活垃圾。</w:t>
      </w:r>
      <w:r/>
    </w:p>
    <w:p>
      <w:pPr>
        <w:ind w:firstLine="560"/>
        <w:spacing w:line="50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三、对收集运输人员和工作时间的要求</w:t>
      </w:r>
      <w:r/>
    </w:p>
    <w:p>
      <w:pPr>
        <w:ind w:firstLine="562"/>
        <w:spacing w:line="5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1</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驾驶员及随车辅助人员要求身体健康、无任何传染性疾病，工作责任心强，能吃苦耐劳；</w:t>
      </w:r>
      <w:r/>
    </w:p>
    <w:p>
      <w:pPr>
        <w:ind w:firstLine="562"/>
        <w:spacing w:line="5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2</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热爱环卫工作，有责任感和事业心，勤劳，朴实；</w:t>
      </w:r>
      <w:r/>
    </w:p>
    <w:p>
      <w:pPr>
        <w:ind w:firstLine="562"/>
        <w:spacing w:line="5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3</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有较好的个人形象和素质。要统一着装、行为要规范,并做好自我安全防护；</w:t>
      </w:r>
      <w:r/>
    </w:p>
    <w:p>
      <w:pPr>
        <w:ind w:firstLine="562"/>
        <w:spacing w:line="5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4</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年龄要求：年龄一般不超过60周岁；</w:t>
      </w:r>
      <w:r/>
    </w:p>
    <w:p>
      <w:pPr>
        <w:ind w:firstLine="562"/>
        <w:spacing w:line="5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5</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垃圾收集及运输时间由乙方根据运行路线，经与各安置区管理人员协商确定后执行；整体运行方案确定后，由乙方报甲方备案，若非必要不得随意更改。</w:t>
      </w:r>
      <w:r/>
    </w:p>
    <w:p>
      <w:pPr>
        <w:ind w:firstLine="560"/>
        <w:spacing w:line="50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四、安全及保障约定</w:t>
      </w:r>
      <w:r/>
    </w:p>
    <w:p>
      <w:pPr>
        <w:ind w:firstLine="562"/>
        <w:spacing w:line="5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1</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乙方与现场管理人员、驾驶员及随车辅助人员的劳动合同关系由乙方全权负责，所配车辆及人员如发生工伤、安全等事故以及由此产生的经济赔偿等一切事项均由乙方自行处理，与甲方无关；</w:t>
      </w:r>
      <w:r/>
    </w:p>
    <w:p>
      <w:pPr>
        <w:ind w:firstLine="562"/>
        <w:spacing w:line="5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2</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乙方须为该服务项目所用人员缴纳五险，</w:t>
      </w:r>
      <w:r>
        <w:rPr>
          <w:rFonts w:hint="eastAsia" w:ascii="仿宋" w:hAnsi="仿宋" w:eastAsia="仿宋" w:cs="Times New Roman"/>
          <w:color w:val="auto"/>
          <w:sz w:val="24"/>
          <w:szCs w:val="24"/>
          <w:highlight w:val="none"/>
          <w:lang w:val="en-US" w:eastAsia="zh-CN"/>
        </w:rPr>
        <w:t xml:space="preserve">若</w:t>
      </w:r>
      <w:r>
        <w:rPr>
          <w:rFonts w:hint="eastAsia" w:ascii="仿宋" w:hAnsi="仿宋" w:eastAsia="仿宋" w:cs="Times New Roman"/>
          <w:color w:val="auto"/>
          <w:sz w:val="24"/>
          <w:szCs w:val="24"/>
          <w:highlight w:val="none"/>
        </w:rPr>
        <w:t xml:space="preserve">不符合缴纳五险的人员须缴纳工伤保险或者缴纳雇主责任险</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因违法用工造成的一切后果由</w:t>
      </w:r>
      <w:r>
        <w:rPr>
          <w:rFonts w:hint="eastAsia" w:ascii="仿宋" w:hAnsi="仿宋" w:eastAsia="仿宋" w:cs="Times New Roman"/>
          <w:color w:val="auto"/>
          <w:sz w:val="24"/>
          <w:szCs w:val="24"/>
          <w:highlight w:val="none"/>
          <w:lang w:val="en-US" w:eastAsia="zh-CN"/>
        </w:rPr>
        <w:t xml:space="preserve">乙方</w:t>
      </w:r>
      <w:r>
        <w:rPr>
          <w:rFonts w:hint="eastAsia" w:ascii="仿宋" w:hAnsi="仿宋" w:eastAsia="仿宋" w:cs="Times New Roman"/>
          <w:color w:val="auto"/>
          <w:sz w:val="24"/>
          <w:szCs w:val="24"/>
          <w:highlight w:val="none"/>
        </w:rPr>
        <w:t xml:space="preserve">承担。；</w:t>
      </w:r>
      <w:r/>
    </w:p>
    <w:p>
      <w:pPr>
        <w:ind w:firstLine="562"/>
        <w:spacing w:line="5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3</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Times New Roman"/>
          <w:color w:val="auto"/>
          <w:sz w:val="24"/>
          <w:szCs w:val="24"/>
          <w:highlight w:val="none"/>
        </w:rPr>
        <w:t xml:space="preserve">双方签订合同前，乙方须将用工合同、保险缴纳情况报甲方备案，如未能及时提供，采购方将在服务费中扣减相关保险费用并有权终止合同。</w:t>
      </w:r>
      <w:r/>
    </w:p>
    <w:p>
      <w:pPr>
        <w:ind w:firstLine="562"/>
        <w:spacing w:line="5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中标合同总额中包含该服务项目所用人员应缴纳的五险总额，每少缴一人，在合同总额中扣减相应的保险额（应由聘用单位承担的部分）</w:t>
      </w:r>
      <w:r/>
    </w:p>
    <w:p>
      <w:pPr>
        <w:ind w:firstLine="560"/>
        <w:spacing w:line="500" w:lineRule="exact"/>
        <w:rPr>
          <w:rFonts w:hint="eastAsia" w:cs="Times New Roman" w:asciiTheme="majorEastAsia" w:hAnsiTheme="majorEastAsia" w:eastAsiaTheme="majorEastAsia"/>
          <w:sz w:val="28"/>
          <w:szCs w:val="28"/>
        </w:rPr>
      </w:pPr>
      <w:r>
        <w:rPr>
          <w:rFonts w:hint="eastAsia" w:cs="Times New Roman" w:asciiTheme="majorEastAsia" w:hAnsiTheme="majorEastAsia" w:eastAsiaTheme="majorEastAsia"/>
          <w:sz w:val="28"/>
          <w:szCs w:val="28"/>
        </w:rPr>
        <w:t xml:space="preserve">五、考核标准（见附件</w:t>
      </w:r>
      <w:r>
        <w:rPr>
          <w:rFonts w:hint="eastAsia" w:cs="Times New Roman" w:asciiTheme="majorEastAsia" w:hAnsiTheme="majorEastAsia" w:eastAsiaTheme="majorEastAsia"/>
          <w:sz w:val="28"/>
          <w:szCs w:val="28"/>
          <w:lang w:val="en-US" w:eastAsia="zh-CN"/>
        </w:rPr>
        <w:t xml:space="preserve">2</w:t>
      </w:r>
      <w:r>
        <w:rPr>
          <w:rFonts w:hint="eastAsia" w:cs="Times New Roman" w:asciiTheme="majorEastAsia" w:hAnsiTheme="majorEastAsia" w:eastAsiaTheme="majorEastAsia"/>
          <w:sz w:val="28"/>
          <w:szCs w:val="28"/>
        </w:rPr>
        <w:t xml:space="preserve">考核表）</w:t>
      </w:r>
      <w:r/>
    </w:p>
    <w:p>
      <w:pPr>
        <w:ind w:firstLine="560"/>
        <w:spacing w:line="500" w:lineRule="exact"/>
        <w:rPr>
          <w:rFonts w:hint="eastAsia" w:cs="Times New Roman" w:asciiTheme="majorEastAsia" w:hAnsiTheme="majorEastAsia" w:eastAsiaTheme="majorEastAsia"/>
          <w:sz w:val="28"/>
          <w:szCs w:val="28"/>
        </w:rPr>
      </w:pPr>
      <w:r>
        <w:rPr>
          <w:rFonts w:hint="eastAsia" w:cs="Times New Roman" w:asciiTheme="majorEastAsia" w:hAnsiTheme="majorEastAsia" w:eastAsiaTheme="majorEastAsia"/>
          <w:sz w:val="28"/>
          <w:szCs w:val="28"/>
        </w:rPr>
        <w:t xml:space="preserve">六、结算及付费方式</w:t>
      </w:r>
      <w:r/>
    </w:p>
    <w:p>
      <w:pPr>
        <w:ind w:firstLine="562"/>
        <w:spacing w:line="5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1、服务期限：</w:t>
      </w:r>
      <w:r>
        <w:rPr>
          <w:rFonts w:hint="eastAsia" w:ascii="仿宋" w:hAnsi="仿宋" w:eastAsia="仿宋" w:cs="Times New Roman"/>
          <w:color w:val="auto"/>
          <w:sz w:val="24"/>
          <w:szCs w:val="24"/>
          <w:highlight w:val="none"/>
          <w:lang w:val="en-US" w:eastAsia="zh-CN"/>
        </w:rPr>
        <w:t xml:space="preserve">   </w:t>
      </w:r>
      <w:r>
        <w:rPr>
          <w:rFonts w:hint="eastAsia" w:ascii="仿宋" w:hAnsi="仿宋" w:eastAsia="仿宋" w:cs="Times New Roman"/>
          <w:color w:val="auto"/>
          <w:sz w:val="24"/>
          <w:szCs w:val="24"/>
          <w:highlight w:val="none"/>
        </w:rPr>
        <w:t xml:space="preserve">年</w:t>
      </w:r>
      <w:r>
        <w:rPr>
          <w:rFonts w:hint="eastAsia" w:ascii="仿宋" w:hAnsi="仿宋" w:eastAsia="仿宋" w:cs="Times New Roman"/>
          <w:color w:val="auto"/>
          <w:sz w:val="24"/>
          <w:szCs w:val="24"/>
          <w:highlight w:val="none"/>
          <w:lang w:val="en-US" w:eastAsia="zh-CN"/>
        </w:rPr>
        <w:t xml:space="preserve"> </w:t>
      </w:r>
      <w:r>
        <w:rPr>
          <w:rFonts w:hint="eastAsia" w:ascii="仿宋" w:hAnsi="仿宋" w:eastAsia="仿宋" w:cs="Times New Roman"/>
          <w:color w:val="auto"/>
          <w:sz w:val="24"/>
          <w:szCs w:val="24"/>
          <w:highlight w:val="none"/>
        </w:rPr>
        <w:t xml:space="preserve">月</w:t>
      </w:r>
      <w:r>
        <w:rPr>
          <w:rFonts w:hint="eastAsia" w:ascii="仿宋" w:hAnsi="仿宋" w:eastAsia="仿宋" w:cs="Times New Roman"/>
          <w:color w:val="auto"/>
          <w:sz w:val="24"/>
          <w:szCs w:val="24"/>
          <w:highlight w:val="none"/>
          <w:lang w:val="en-US" w:eastAsia="zh-CN"/>
        </w:rPr>
        <w:t xml:space="preserve"> </w:t>
      </w:r>
      <w:r>
        <w:rPr>
          <w:rFonts w:hint="eastAsia" w:ascii="仿宋" w:hAnsi="仿宋" w:eastAsia="仿宋" w:cs="Times New Roman"/>
          <w:color w:val="auto"/>
          <w:sz w:val="24"/>
          <w:szCs w:val="24"/>
          <w:highlight w:val="none"/>
        </w:rPr>
        <w:t xml:space="preserve">日至</w:t>
      </w:r>
      <w:r>
        <w:rPr>
          <w:rFonts w:hint="eastAsia" w:ascii="仿宋" w:hAnsi="仿宋" w:eastAsia="仿宋" w:cs="Times New Roman"/>
          <w:color w:val="auto"/>
          <w:sz w:val="24"/>
          <w:szCs w:val="24"/>
          <w:highlight w:val="none"/>
          <w:lang w:val="en-US" w:eastAsia="zh-CN"/>
        </w:rPr>
        <w:t xml:space="preserve">   </w:t>
      </w:r>
      <w:r>
        <w:rPr>
          <w:rFonts w:hint="eastAsia" w:ascii="仿宋" w:hAnsi="仿宋" w:eastAsia="仿宋" w:cs="Times New Roman"/>
          <w:color w:val="auto"/>
          <w:sz w:val="24"/>
          <w:szCs w:val="24"/>
          <w:highlight w:val="none"/>
        </w:rPr>
        <w:t xml:space="preserve">年</w:t>
      </w:r>
      <w:r>
        <w:rPr>
          <w:rFonts w:hint="eastAsia" w:ascii="仿宋" w:hAnsi="仿宋" w:eastAsia="仿宋" w:cs="Times New Roman"/>
          <w:color w:val="auto"/>
          <w:sz w:val="24"/>
          <w:szCs w:val="24"/>
          <w:highlight w:val="none"/>
          <w:lang w:val="en-US" w:eastAsia="zh-CN"/>
        </w:rPr>
        <w:t xml:space="preserve"> </w:t>
      </w:r>
      <w:r>
        <w:rPr>
          <w:rFonts w:hint="eastAsia" w:ascii="仿宋" w:hAnsi="仿宋" w:eastAsia="仿宋" w:cs="Times New Roman"/>
          <w:color w:val="auto"/>
          <w:sz w:val="24"/>
          <w:szCs w:val="24"/>
          <w:highlight w:val="none"/>
        </w:rPr>
        <w:t xml:space="preserve">月</w:t>
      </w:r>
      <w:r>
        <w:rPr>
          <w:rFonts w:hint="eastAsia" w:ascii="仿宋" w:hAnsi="仿宋" w:eastAsia="仿宋" w:cs="Times New Roman"/>
          <w:color w:val="auto"/>
          <w:sz w:val="24"/>
          <w:szCs w:val="24"/>
          <w:highlight w:val="none"/>
          <w:lang w:val="en-US" w:eastAsia="zh-CN"/>
        </w:rPr>
        <w:t xml:space="preserve">  </w:t>
      </w:r>
      <w:r>
        <w:rPr>
          <w:rFonts w:hint="eastAsia" w:ascii="仿宋" w:hAnsi="仿宋" w:eastAsia="仿宋" w:cs="Times New Roman"/>
          <w:color w:val="auto"/>
          <w:sz w:val="24"/>
          <w:szCs w:val="24"/>
          <w:highlight w:val="none"/>
        </w:rPr>
        <w:t xml:space="preserve">日止，期满经考核合格并经双方协商同意可续签；上级如有采购或者招标要求，按要求落实，乙方同等条件下优先中标。</w:t>
      </w:r>
      <w:r/>
    </w:p>
    <w:p>
      <w:pPr>
        <w:ind w:firstLine="562"/>
        <w:spacing w:line="5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2、承包费用：合同期内每年垃圾收集运输费用为人民币</w:t>
      </w:r>
      <w:r>
        <w:rPr>
          <w:rFonts w:hint="eastAsia" w:ascii="仿宋" w:hAnsi="仿宋" w:eastAsia="仿宋" w:cs="Times New Roman"/>
          <w:color w:val="auto"/>
          <w:sz w:val="24"/>
          <w:szCs w:val="24"/>
          <w:highlight w:val="none"/>
          <w:lang w:val="en-US" w:eastAsia="zh-CN"/>
        </w:rPr>
        <w:t xml:space="preserve">         </w:t>
      </w:r>
      <w:r>
        <w:rPr>
          <w:rFonts w:hint="eastAsia" w:ascii="仿宋" w:hAnsi="仿宋" w:eastAsia="仿宋" w:cs="Times New Roman"/>
          <w:color w:val="auto"/>
          <w:sz w:val="24"/>
          <w:szCs w:val="24"/>
          <w:highlight w:val="none"/>
        </w:rPr>
        <w:t xml:space="preserve">元整（</w:t>
      </w:r>
      <w:r>
        <w:rPr>
          <w:rFonts w:hint="eastAsia" w:ascii="仿宋" w:hAnsi="仿宋" w:eastAsia="仿宋" w:cs="Times New Roman"/>
          <w:color w:val="auto"/>
          <w:sz w:val="24"/>
          <w:szCs w:val="24"/>
          <w:highlight w:val="none"/>
          <w:lang w:val="en-US" w:eastAsia="zh-CN"/>
        </w:rPr>
        <w:t xml:space="preserve">    </w:t>
      </w:r>
      <w:r>
        <w:rPr>
          <w:rFonts w:hint="eastAsia" w:ascii="仿宋" w:hAnsi="仿宋" w:eastAsia="仿宋" w:cs="Times New Roman"/>
          <w:color w:val="auto"/>
          <w:sz w:val="24"/>
          <w:szCs w:val="24"/>
          <w:highlight w:val="none"/>
        </w:rPr>
        <w:t xml:space="preserve">元）。在本次中标服务量以后增加的生活垃圾收集及运输的服务量，在实际结算时根据增加的服务量进行结算。</w:t>
      </w:r>
      <w:r/>
    </w:p>
    <w:p>
      <w:pPr>
        <w:ind w:firstLine="562"/>
        <w:spacing w:line="5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3、付款方式：按季度结算，每季度次月15日前由甲方出具考核意见，根据考核结果计算结算金额，乙方出具发票，并按程序报批结算。</w:t>
      </w:r>
      <w:r/>
    </w:p>
    <w:p>
      <w:pPr>
        <w:ind w:firstLine="560"/>
        <w:spacing w:line="50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七、违约责任</w:t>
      </w:r>
      <w:r/>
    </w:p>
    <w:p>
      <w:pPr>
        <w:ind w:firstLine="562"/>
        <w:spacing w:line="5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在合同履约过程中，乙方有以下行为的，甲方有权解除合同。</w:t>
      </w:r>
      <w:r/>
    </w:p>
    <w:p>
      <w:pPr>
        <w:ind w:firstLine="562"/>
        <w:spacing w:line="5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1、乙方不得有事实或书面的转包行为，甲方发现乙方有转包行为或委托第三方服务管理的。</w:t>
      </w:r>
      <w:r/>
    </w:p>
    <w:p>
      <w:pPr>
        <w:ind w:firstLine="562"/>
        <w:spacing w:line="5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2、在重大事件处置、重要活动过程中，乙方不服从甲方的管理、指挥、调动，或虽然服从，但消极怠慢、耽误时机，造成重大损失或不良影响</w:t>
      </w:r>
      <w:r/>
    </w:p>
    <w:p>
      <w:pPr>
        <w:ind w:firstLine="562"/>
        <w:spacing w:line="5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3、在考核过程中，如出现三次对甲方交办事项不能及时、全面完成的。</w:t>
      </w:r>
      <w:r/>
    </w:p>
    <w:p>
      <w:pPr>
        <w:ind w:firstLine="562"/>
        <w:spacing w:line="5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4、不接受招标文件发布的考核细则考核的，或考核达不到文件规定要求的。</w:t>
      </w:r>
      <w:r/>
    </w:p>
    <w:p>
      <w:pPr>
        <w:ind w:firstLine="562"/>
        <w:spacing w:line="500" w:lineRule="exact"/>
        <w:rPr>
          <w:rFonts w:asciiTheme="majorEastAsia" w:hAnsiTheme="majorEastAsia" w:eastAsiaTheme="majorEastAsia"/>
          <w:sz w:val="28"/>
          <w:szCs w:val="28"/>
        </w:rPr>
      </w:pPr>
      <w:r>
        <w:rPr>
          <w:rFonts w:hint="eastAsia" w:ascii="仿宋" w:hAnsi="仿宋" w:eastAsia="仿宋" w:cs="Times New Roman"/>
          <w:color w:val="auto"/>
          <w:sz w:val="24"/>
          <w:szCs w:val="24"/>
          <w:highlight w:val="none"/>
        </w:rPr>
        <w:t xml:space="preserve">5、乙方及乙方所聘人员不服从甲方管理的。</w:t>
      </w:r>
      <w:r/>
    </w:p>
    <w:p>
      <w:pPr>
        <w:ind w:firstLine="560"/>
        <w:spacing w:line="50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八、其他事项</w:t>
      </w:r>
      <w:r/>
    </w:p>
    <w:p>
      <w:pPr>
        <w:ind w:firstLine="562"/>
        <w:spacing w:line="5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1、如在合同履行过程中发生争议，双方协商解决，协商不成可向如皋市人民法院提起诉讼。</w:t>
      </w:r>
      <w:r/>
    </w:p>
    <w:p>
      <w:pPr>
        <w:ind w:firstLine="562"/>
        <w:spacing w:line="500" w:lineRule="exact"/>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rPr>
        <w:t xml:space="preserve">2、甲方享有本合同的最终解释权。</w:t>
      </w:r>
      <w:r/>
    </w:p>
    <w:p>
      <w:pPr>
        <w:ind w:firstLine="562"/>
        <w:spacing w:line="500" w:lineRule="exact"/>
        <w:rPr>
          <w:rFonts w:asciiTheme="majorEastAsia" w:hAnsiTheme="majorEastAsia" w:eastAsiaTheme="majorEastAsia"/>
          <w:sz w:val="28"/>
          <w:szCs w:val="28"/>
        </w:rPr>
      </w:pPr>
      <w:r>
        <w:rPr>
          <w:rFonts w:hint="eastAsia" w:ascii="仿宋" w:hAnsi="仿宋" w:eastAsia="仿宋" w:cs="Times New Roman"/>
          <w:color w:val="auto"/>
          <w:sz w:val="24"/>
          <w:szCs w:val="24"/>
          <w:highlight w:val="none"/>
        </w:rPr>
        <w:t xml:space="preserve">3、本合同未尽事宜，双方可另行商定。</w:t>
      </w:r>
      <w:r/>
    </w:p>
    <w:p>
      <w:pPr>
        <w:ind w:firstLine="560"/>
        <w:spacing w:line="500" w:lineRule="exact"/>
        <w:rPr>
          <w:rFonts w:hint="eastAsia" w:cs="Times New Roman" w:asciiTheme="majorEastAsia" w:hAnsiTheme="majorEastAsia" w:eastAsiaTheme="majorEastAsia"/>
          <w:sz w:val="28"/>
          <w:szCs w:val="28"/>
          <w:lang w:val="en-US" w:eastAsia="zh-CN"/>
        </w:rPr>
      </w:pPr>
      <w:r>
        <w:rPr>
          <w:rFonts w:hint="eastAsia" w:cs="Times New Roman" w:asciiTheme="majorEastAsia" w:hAnsiTheme="majorEastAsia" w:eastAsiaTheme="majorEastAsia"/>
          <w:sz w:val="28"/>
          <w:szCs w:val="28"/>
        </w:rPr>
        <w:t xml:space="preserve">九、</w:t>
      </w:r>
      <w:r>
        <w:rPr>
          <w:rFonts w:hint="eastAsia" w:cs="Times New Roman" w:asciiTheme="majorEastAsia" w:hAnsiTheme="majorEastAsia" w:eastAsiaTheme="majorEastAsia"/>
          <w:sz w:val="28"/>
          <w:szCs w:val="28"/>
          <w:lang w:val="en-US" w:eastAsia="zh-CN"/>
        </w:rPr>
        <w:t xml:space="preserve">其他</w:t>
      </w:r>
      <w:r/>
    </w:p>
    <w:p>
      <w:pPr>
        <w:ind w:firstLine="480"/>
        <w:spacing w:line="500" w:lineRule="exact"/>
        <w:rPr>
          <w:rFonts w:asciiTheme="majorEastAsia" w:hAnsiTheme="majorEastAsia" w:eastAsiaTheme="majorEastAsia"/>
          <w:sz w:val="30"/>
          <w:szCs w:val="30"/>
        </w:rPr>
      </w:pPr>
      <w:r>
        <w:rPr>
          <w:rFonts w:hint="eastAsia" w:ascii="仿宋" w:hAnsi="仿宋" w:eastAsia="仿宋" w:cs="Times New Roman"/>
          <w:color w:val="auto"/>
          <w:sz w:val="24"/>
          <w:szCs w:val="24"/>
          <w:highlight w:val="none"/>
        </w:rPr>
        <w:t xml:space="preserve">本合同正本一式四份，具有同等法律效力，甲方、乙方、见证方及财政监管部门各执一份。合同签订之日起七个工作日内报如皋市政府采购监督管理部门备案。</w:t>
      </w:r>
      <w:r/>
    </w:p>
    <w:p>
      <w:pPr>
        <w:ind w:firstLine="600"/>
        <w:spacing w:line="500" w:lineRule="exact"/>
        <w:rPr>
          <w:rFonts w:asciiTheme="majorEastAsia" w:hAnsiTheme="majorEastAsia" w:eastAsiaTheme="majorEastAsia"/>
          <w:sz w:val="30"/>
          <w:szCs w:val="30"/>
        </w:rPr>
      </w:pPr>
      <w:r>
        <w:rPr>
          <w:rFonts w:hint="eastAsia" w:asciiTheme="majorEastAsia" w:hAnsiTheme="majorEastAsia" w:eastAsiaTheme="majorEastAsia"/>
          <w:sz w:val="30"/>
          <w:szCs w:val="30"/>
        </w:rPr>
        <w:t xml:space="preserve">甲方：                            乙方：</w:t>
      </w:r>
      <w:r/>
    </w:p>
    <w:p>
      <w:pPr>
        <w:ind w:firstLine="600"/>
        <w:spacing w:line="500" w:lineRule="exact"/>
        <w:rPr>
          <w:rFonts w:asciiTheme="majorEastAsia" w:hAnsiTheme="majorEastAsia" w:eastAsiaTheme="majorEastAsia"/>
          <w:sz w:val="30"/>
          <w:szCs w:val="30"/>
        </w:rPr>
      </w:pPr>
      <w:r>
        <w:rPr>
          <w:rFonts w:hint="eastAsia" w:asciiTheme="majorEastAsia" w:hAnsiTheme="majorEastAsia" w:eastAsiaTheme="majorEastAsia"/>
          <w:sz w:val="30"/>
          <w:szCs w:val="30"/>
        </w:rPr>
        <w:t xml:space="preserve">代表：                            法定代表人：</w:t>
      </w:r>
      <w:r/>
    </w:p>
    <w:p>
      <w:pPr>
        <w:ind w:firstLine="600"/>
        <w:spacing w:line="500" w:lineRule="exact"/>
        <w:rPr>
          <w:rFonts w:asciiTheme="majorEastAsia" w:hAnsiTheme="majorEastAsia" w:eastAsiaTheme="majorEastAsia"/>
          <w:sz w:val="30"/>
          <w:szCs w:val="30"/>
        </w:rPr>
      </w:pPr>
      <w:r>
        <w:rPr>
          <w:rFonts w:asciiTheme="majorEastAsia" w:hAnsiTheme="majorEastAsia" w:eastAsiaTheme="majorEastAsia"/>
          <w:sz w:val="30"/>
          <w:szCs w:val="30"/>
        </w:rPr>
      </w:r>
      <w:r/>
    </w:p>
    <w:p>
      <w:pPr>
        <w:ind w:firstLine="600"/>
        <w:spacing w:line="500" w:lineRule="exact"/>
        <w:rPr>
          <w:rFonts w:hint="eastAsia" w:asciiTheme="majorEastAsia" w:hAnsiTheme="majorEastAsia" w:eastAsiaTheme="majorEastAsia"/>
          <w:sz w:val="30"/>
          <w:szCs w:val="30"/>
        </w:rPr>
      </w:pPr>
      <w:r>
        <w:rPr>
          <w:rFonts w:hint="eastAsia" w:asciiTheme="majorEastAsia" w:hAnsiTheme="majorEastAsia" w:eastAsiaTheme="majorEastAsia"/>
          <w:sz w:val="30"/>
          <w:szCs w:val="30"/>
        </w:rPr>
        <w:t xml:space="preserve">                                   年    月    日</w:t>
      </w:r>
      <w:r/>
    </w:p>
    <w:p>
      <w:pPr>
        <w:rPr>
          <w:sz w:val="32"/>
          <w:szCs w:val="32"/>
        </w:rPr>
      </w:pPr>
      <w:r>
        <w:rPr>
          <w:rFonts w:hint="eastAsia"/>
          <w:sz w:val="28"/>
        </w:rPr>
        <w:t xml:space="preserve">附：1、</w:t>
      </w:r>
      <w:r>
        <w:rPr>
          <w:rFonts w:hint="eastAsia"/>
          <w:sz w:val="32"/>
          <w:szCs w:val="32"/>
        </w:rPr>
        <w:t xml:space="preserve">如城街道办事处所辖安置区清单</w:t>
      </w:r>
      <w:r/>
    </w:p>
    <w:p>
      <w:pPr>
        <w:spacing w:line="500" w:lineRule="exact"/>
        <w:rPr>
          <w:rFonts w:asciiTheme="minorEastAsia" w:hAnsiTheme="minorEastAsia" w:eastAsiaTheme="minorEastAsia"/>
          <w:sz w:val="32"/>
          <w:szCs w:val="32"/>
        </w:rPr>
      </w:pPr>
      <w:r>
        <w:rPr>
          <w:rFonts w:hint="eastAsia"/>
          <w:sz w:val="28"/>
        </w:rPr>
        <w:t xml:space="preserve">2、</w:t>
      </w:r>
      <w:r>
        <w:rPr>
          <w:rFonts w:hint="eastAsia"/>
          <w:sz w:val="32"/>
          <w:szCs w:val="32"/>
        </w:rPr>
        <w:t xml:space="preserve">《如城街道安置区垃圾收集运输考核标准》</w:t>
      </w:r>
      <w:r/>
    </w:p>
    <w:p>
      <w:pPr>
        <w:pStyle w:val="707"/>
        <w:rPr>
          <w:rFonts w:asciiTheme="minorEastAsia" w:hAnsiTheme="minorEastAsia" w:eastAsiaTheme="minorEastAsia"/>
          <w:sz w:val="32"/>
          <w:szCs w:val="32"/>
        </w:rPr>
      </w:pPr>
      <w:r>
        <w:rPr>
          <w:rFonts w:hint="eastAsia" w:asciiTheme="minorEastAsia" w:hAnsiTheme="minorEastAsia" w:eastAsiaTheme="minorEastAsia"/>
          <w:sz w:val="32"/>
          <w:szCs w:val="32"/>
        </w:rPr>
        <w:t xml:space="preserve">附件1：</w:t>
      </w:r>
      <w:r/>
    </w:p>
    <w:tbl>
      <w:tblPr>
        <w:tblStyle w:val="7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10"/>
        <w:gridCol w:w="3148"/>
        <w:gridCol w:w="1317"/>
        <w:gridCol w:w="3145"/>
      </w:tblGrid>
      <w:tr>
        <w:trPr>
          <w:trHeight w:val="745"/>
        </w:trPr>
        <w:tc>
          <w:tcPr>
            <w:gridSpan w:val="4"/>
            <w:tcBorders>
              <w:top w:val="none" w:color="000000" w:sz="4" w:space="0"/>
              <w:left w:val="none" w:color="000000" w:sz="4" w:space="0"/>
              <w:bottom w:val="single" w:color="auto" w:sz="4" w:space="0"/>
              <w:right w:val="none" w:color="000000" w:sz="4" w:space="0"/>
            </w:tcBorders>
            <w:tcW w:w="8920" w:type="dxa"/>
            <w:textDirection w:val="lrTb"/>
            <w:noWrap w:val="false"/>
          </w:tcPr>
          <w:p>
            <w:pPr>
              <w:jc w:val="center"/>
              <w:rPr>
                <w:sz w:val="32"/>
                <w:szCs w:val="32"/>
              </w:rPr>
            </w:pPr>
            <w:r>
              <w:rPr>
                <w:rFonts w:hint="eastAsia"/>
                <w:sz w:val="32"/>
                <w:szCs w:val="32"/>
              </w:rPr>
              <w:t xml:space="preserve">如城街道办事处所辖安置区清单</w:t>
            </w:r>
            <w:r/>
          </w:p>
          <w:p>
            <w:pPr>
              <w:spacing w:line="600" w:lineRule="auto"/>
              <w:tabs>
                <w:tab w:val="left" w:pos="2428" w:leader="none"/>
              </w:tabs>
              <w:rPr>
                <w:sz w:val="20"/>
              </w:rPr>
            </w:pPr>
            <w:r>
              <w:rPr>
                <w:sz w:val="20"/>
              </w:rPr>
            </w:r>
            <w:r/>
          </w:p>
        </w:tc>
      </w:tr>
      <w:tr>
        <w:trPr>
          <w:trHeight w:val="871"/>
        </w:trPr>
        <w:tc>
          <w:tcPr>
            <w:tcBorders>
              <w:top w:val="single" w:color="auto" w:sz="4" w:space="0"/>
            </w:tcBorders>
            <w:tcW w:w="1310" w:type="dxa"/>
            <w:vAlign w:val="center"/>
            <w:textDirection w:val="lrTb"/>
            <w:noWrap w:val="false"/>
          </w:tcPr>
          <w:p>
            <w:pPr>
              <w:jc w:val="center"/>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序号</w:t>
            </w:r>
            <w:r/>
          </w:p>
        </w:tc>
        <w:tc>
          <w:tcPr>
            <w:tcBorders>
              <w:top w:val="single" w:color="auto" w:sz="4" w:space="0"/>
            </w:tcBorders>
            <w:tcW w:w="3148" w:type="dxa"/>
            <w:vAlign w:val="center"/>
            <w:textDirection w:val="lrTb"/>
            <w:noWrap w:val="false"/>
          </w:tcPr>
          <w:p>
            <w:pPr>
              <w:jc w:val="center"/>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安置小区</w:t>
            </w:r>
            <w:r/>
          </w:p>
        </w:tc>
        <w:tc>
          <w:tcPr>
            <w:tcBorders>
              <w:top w:val="single" w:color="auto" w:sz="4" w:space="0"/>
            </w:tcBorders>
            <w:tcW w:w="1317" w:type="dxa"/>
            <w:vAlign w:val="center"/>
            <w:textDirection w:val="lrTb"/>
            <w:noWrap w:val="false"/>
          </w:tcPr>
          <w:p>
            <w:pPr>
              <w:jc w:val="center"/>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序号</w:t>
            </w:r>
            <w:r/>
          </w:p>
        </w:tc>
        <w:tc>
          <w:tcPr>
            <w:tcBorders>
              <w:top w:val="single" w:color="auto" w:sz="4" w:space="0"/>
            </w:tcBorders>
            <w:tcW w:w="3145" w:type="dxa"/>
            <w:vAlign w:val="center"/>
            <w:textDirection w:val="lrTb"/>
            <w:noWrap w:val="false"/>
          </w:tcPr>
          <w:p>
            <w:pPr>
              <w:jc w:val="center"/>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安置小区</w:t>
            </w:r>
            <w:r/>
          </w:p>
        </w:tc>
      </w:tr>
      <w:tr>
        <w:trPr>
          <w:trHeight w:val="871"/>
        </w:trPr>
        <w:tc>
          <w:tcPr>
            <w:tcW w:w="1310" w:type="dxa"/>
            <w:vAlign w:val="center"/>
            <w:textDirection w:val="lrTb"/>
            <w:noWrap w:val="false"/>
          </w:tcPr>
          <w:p>
            <w:pPr>
              <w:jc w:val="center"/>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p>
        </w:tc>
        <w:tc>
          <w:tcPr>
            <w:tcW w:w="3148" w:type="dxa"/>
            <w:vAlign w:val="center"/>
            <w:textDirection w:val="lrTb"/>
            <w:noWrap w:val="false"/>
          </w:tcPr>
          <w:p>
            <w:pPr>
              <w:jc w:val="center"/>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十里新村</w:t>
            </w:r>
            <w:r/>
          </w:p>
        </w:tc>
        <w:tc>
          <w:tcPr>
            <w:tcW w:w="1317" w:type="dxa"/>
            <w:vAlign w:val="center"/>
            <w:textDirection w:val="lrTb"/>
            <w:noWrap w:val="false"/>
          </w:tcPr>
          <w:p>
            <w:pPr>
              <w:jc w:val="center"/>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9</w:t>
            </w:r>
            <w:r/>
          </w:p>
        </w:tc>
        <w:tc>
          <w:tcPr>
            <w:tcW w:w="3145" w:type="dxa"/>
            <w:vAlign w:val="center"/>
            <w:textDirection w:val="lrTb"/>
            <w:noWrap w:val="false"/>
          </w:tcPr>
          <w:p>
            <w:pPr>
              <w:jc w:val="center"/>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新民新村</w:t>
            </w:r>
            <w:r/>
          </w:p>
        </w:tc>
      </w:tr>
      <w:tr>
        <w:trPr>
          <w:trHeight w:val="871"/>
        </w:trPr>
        <w:tc>
          <w:tcPr>
            <w:tcW w:w="1310" w:type="dxa"/>
            <w:vAlign w:val="center"/>
            <w:textDirection w:val="lrTb"/>
            <w:noWrap w:val="false"/>
          </w:tcPr>
          <w:p>
            <w:pPr>
              <w:jc w:val="center"/>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w:t>
            </w:r>
            <w:r/>
          </w:p>
        </w:tc>
        <w:tc>
          <w:tcPr>
            <w:tcW w:w="3148" w:type="dxa"/>
            <w:vAlign w:val="center"/>
            <w:textDirection w:val="lrTb"/>
            <w:noWrap w:val="false"/>
          </w:tcPr>
          <w:p>
            <w:pPr>
              <w:jc w:val="center"/>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城西新村一期</w:t>
            </w:r>
            <w:r/>
          </w:p>
        </w:tc>
        <w:tc>
          <w:tcPr>
            <w:tcW w:w="1317" w:type="dxa"/>
            <w:vAlign w:val="center"/>
            <w:textDirection w:val="lrTb"/>
            <w:noWrap w:val="false"/>
          </w:tcPr>
          <w:p>
            <w:pPr>
              <w:jc w:val="center"/>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10</w:t>
            </w:r>
            <w:r/>
          </w:p>
        </w:tc>
        <w:tc>
          <w:tcPr>
            <w:tcW w:w="3145" w:type="dxa"/>
            <w:vAlign w:val="center"/>
            <w:textDirection w:val="lrTb"/>
            <w:noWrap w:val="false"/>
          </w:tcPr>
          <w:p>
            <w:pPr>
              <w:jc w:val="center"/>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红旗新村</w:t>
            </w:r>
            <w:r/>
          </w:p>
        </w:tc>
      </w:tr>
      <w:tr>
        <w:trPr>
          <w:trHeight w:val="871"/>
        </w:trPr>
        <w:tc>
          <w:tcPr>
            <w:tcW w:w="1310" w:type="dxa"/>
            <w:vAlign w:val="center"/>
            <w:textDirection w:val="lrTb"/>
            <w:noWrap w:val="false"/>
          </w:tcPr>
          <w:p>
            <w:pPr>
              <w:jc w:val="center"/>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w:t>
            </w:r>
            <w:r/>
          </w:p>
        </w:tc>
        <w:tc>
          <w:tcPr>
            <w:tcW w:w="3148" w:type="dxa"/>
            <w:vAlign w:val="center"/>
            <w:textDirection w:val="lrTb"/>
            <w:noWrap w:val="false"/>
          </w:tcPr>
          <w:p>
            <w:pPr>
              <w:jc w:val="center"/>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城西新村二期</w:t>
            </w:r>
            <w:r/>
          </w:p>
        </w:tc>
        <w:tc>
          <w:tcPr>
            <w:tcW w:w="1317" w:type="dxa"/>
            <w:vAlign w:val="center"/>
            <w:textDirection w:val="lrTb"/>
            <w:noWrap w:val="false"/>
          </w:tcPr>
          <w:p>
            <w:pPr>
              <w:jc w:val="center"/>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11</w:t>
            </w:r>
            <w:r/>
          </w:p>
        </w:tc>
        <w:tc>
          <w:tcPr>
            <w:tcW w:w="3145" w:type="dxa"/>
            <w:vAlign w:val="center"/>
            <w:textDirection w:val="lrTb"/>
            <w:noWrap w:val="false"/>
          </w:tcPr>
          <w:p>
            <w:pPr>
              <w:jc w:val="center"/>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紫光新村三期</w:t>
            </w:r>
            <w:r/>
          </w:p>
        </w:tc>
      </w:tr>
      <w:tr>
        <w:trPr>
          <w:trHeight w:val="871"/>
        </w:trPr>
        <w:tc>
          <w:tcPr>
            <w:tcW w:w="1310" w:type="dxa"/>
            <w:vAlign w:val="center"/>
            <w:textDirection w:val="lrTb"/>
            <w:noWrap w:val="false"/>
          </w:tcPr>
          <w:p>
            <w:pPr>
              <w:jc w:val="center"/>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w:t>
            </w:r>
            <w:r/>
          </w:p>
        </w:tc>
        <w:tc>
          <w:tcPr>
            <w:tcW w:w="3148" w:type="dxa"/>
            <w:vAlign w:val="center"/>
            <w:textDirection w:val="lrTb"/>
            <w:noWrap w:val="false"/>
          </w:tcPr>
          <w:p>
            <w:pPr>
              <w:jc w:val="center"/>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新华新村一期</w:t>
            </w:r>
            <w:r/>
          </w:p>
        </w:tc>
        <w:tc>
          <w:tcPr>
            <w:tcW w:w="1317" w:type="dxa"/>
            <w:vAlign w:val="center"/>
            <w:textDirection w:val="lrTb"/>
            <w:noWrap w:val="false"/>
          </w:tcPr>
          <w:p>
            <w:pPr>
              <w:jc w:val="center"/>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12</w:t>
            </w:r>
            <w:r/>
          </w:p>
        </w:tc>
        <w:tc>
          <w:tcPr>
            <w:tcW w:w="3145" w:type="dxa"/>
            <w:vAlign w:val="center"/>
            <w:textDirection w:val="lrTb"/>
            <w:noWrap w:val="false"/>
          </w:tcPr>
          <w:p>
            <w:pPr>
              <w:jc w:val="center"/>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紫光新村一期</w:t>
            </w:r>
            <w:r/>
          </w:p>
        </w:tc>
      </w:tr>
      <w:tr>
        <w:trPr>
          <w:trHeight w:val="871"/>
        </w:trPr>
        <w:tc>
          <w:tcPr>
            <w:tcW w:w="1310" w:type="dxa"/>
            <w:vAlign w:val="center"/>
            <w:textDirection w:val="lrTb"/>
            <w:noWrap w:val="false"/>
          </w:tcPr>
          <w:p>
            <w:pPr>
              <w:jc w:val="center"/>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w:t>
            </w:r>
            <w:r/>
          </w:p>
        </w:tc>
        <w:tc>
          <w:tcPr>
            <w:tcW w:w="3148" w:type="dxa"/>
            <w:vAlign w:val="center"/>
            <w:textDirection w:val="lrTb"/>
            <w:noWrap w:val="false"/>
          </w:tcPr>
          <w:p>
            <w:pPr>
              <w:jc w:val="center"/>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新华新村二期</w:t>
            </w:r>
            <w:r/>
          </w:p>
        </w:tc>
        <w:tc>
          <w:tcPr>
            <w:tcW w:w="1317" w:type="dxa"/>
            <w:vAlign w:val="center"/>
            <w:textDirection w:val="lrTb"/>
            <w:noWrap w:val="false"/>
          </w:tcPr>
          <w:p>
            <w:pPr>
              <w:jc w:val="center"/>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13</w:t>
            </w:r>
            <w:r/>
          </w:p>
        </w:tc>
        <w:tc>
          <w:tcPr>
            <w:tcW w:w="3145" w:type="dxa"/>
            <w:vAlign w:val="center"/>
            <w:textDirection w:val="lrTb"/>
            <w:noWrap w:val="false"/>
          </w:tcPr>
          <w:p>
            <w:pPr>
              <w:jc w:val="center"/>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紫光新村二期</w:t>
            </w:r>
            <w:r/>
          </w:p>
        </w:tc>
      </w:tr>
      <w:tr>
        <w:trPr>
          <w:trHeight w:val="871"/>
        </w:trPr>
        <w:tc>
          <w:tcPr>
            <w:tcW w:w="1310" w:type="dxa"/>
            <w:vAlign w:val="center"/>
            <w:textDirection w:val="lrTb"/>
            <w:noWrap w:val="false"/>
          </w:tcPr>
          <w:p>
            <w:pPr>
              <w:jc w:val="center"/>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w:t>
            </w:r>
            <w:r/>
          </w:p>
        </w:tc>
        <w:tc>
          <w:tcPr>
            <w:tcW w:w="3148" w:type="dxa"/>
            <w:vAlign w:val="center"/>
            <w:textDirection w:val="lrTb"/>
            <w:noWrap w:val="false"/>
          </w:tcPr>
          <w:p>
            <w:pPr>
              <w:jc w:val="center"/>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长安新村</w:t>
            </w:r>
            <w:r/>
          </w:p>
        </w:tc>
        <w:tc>
          <w:tcPr>
            <w:tcW w:w="1317" w:type="dxa"/>
            <w:vAlign w:val="center"/>
            <w:textDirection w:val="lrTb"/>
            <w:noWrap w:val="false"/>
          </w:tcPr>
          <w:p>
            <w:pPr>
              <w:jc w:val="center"/>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14</w:t>
            </w:r>
            <w:r/>
          </w:p>
        </w:tc>
        <w:tc>
          <w:tcPr>
            <w:tcW w:w="3145" w:type="dxa"/>
            <w:vAlign w:val="center"/>
            <w:textDirection w:val="lrTb"/>
            <w:noWrap w:val="false"/>
          </w:tcPr>
          <w:p>
            <w:pPr>
              <w:jc w:val="center"/>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沿河新村</w:t>
            </w:r>
            <w:r/>
          </w:p>
        </w:tc>
      </w:tr>
      <w:tr>
        <w:trPr>
          <w:trHeight w:val="871"/>
        </w:trPr>
        <w:tc>
          <w:tcPr>
            <w:tcW w:w="1310" w:type="dxa"/>
            <w:vAlign w:val="center"/>
            <w:textDirection w:val="lrTb"/>
            <w:noWrap w:val="false"/>
          </w:tcPr>
          <w:p>
            <w:pPr>
              <w:jc w:val="center"/>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7</w:t>
            </w:r>
            <w:r/>
          </w:p>
        </w:tc>
        <w:tc>
          <w:tcPr>
            <w:tcW w:w="3148" w:type="dxa"/>
            <w:vAlign w:val="center"/>
            <w:textDirection w:val="lrTb"/>
            <w:noWrap w:val="false"/>
          </w:tcPr>
          <w:p>
            <w:pPr>
              <w:jc w:val="center"/>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纪庄新村</w:t>
            </w:r>
            <w:r/>
          </w:p>
        </w:tc>
        <w:tc>
          <w:tcPr>
            <w:tcW w:w="1317" w:type="dxa"/>
            <w:vAlign w:val="center"/>
            <w:textDirection w:val="lrTb"/>
            <w:noWrap w:val="false"/>
          </w:tcPr>
          <w:p>
            <w:pPr>
              <w:jc w:val="center"/>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15</w:t>
            </w:r>
            <w:r/>
          </w:p>
        </w:tc>
        <w:tc>
          <w:tcPr>
            <w:tcW w:w="3145" w:type="dxa"/>
            <w:vAlign w:val="center"/>
            <w:textDirection w:val="lrTb"/>
            <w:noWrap w:val="false"/>
          </w:tcPr>
          <w:p>
            <w:pPr>
              <w:jc w:val="center"/>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东郡丽水B区</w:t>
            </w:r>
            <w:r/>
          </w:p>
        </w:tc>
      </w:tr>
      <w:tr>
        <w:trPr>
          <w:trHeight w:val="894"/>
        </w:trPr>
        <w:tc>
          <w:tcPr>
            <w:tcW w:w="1310" w:type="dxa"/>
            <w:vAlign w:val="center"/>
            <w:textDirection w:val="lrTb"/>
            <w:noWrap w:val="false"/>
          </w:tcPr>
          <w:p>
            <w:pPr>
              <w:jc w:val="center"/>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8</w:t>
            </w:r>
            <w:r/>
          </w:p>
        </w:tc>
        <w:tc>
          <w:tcPr>
            <w:tcW w:w="3148" w:type="dxa"/>
            <w:vAlign w:val="center"/>
            <w:textDirection w:val="lrTb"/>
            <w:noWrap w:val="false"/>
          </w:tcPr>
          <w:p>
            <w:pPr>
              <w:jc w:val="center"/>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凌青新村</w:t>
            </w:r>
            <w:r/>
          </w:p>
        </w:tc>
        <w:tc>
          <w:tcPr>
            <w:tcW w:w="1317" w:type="dxa"/>
            <w:vAlign w:val="center"/>
            <w:textDirection w:val="lrTb"/>
            <w:noWrap w:val="false"/>
          </w:tcPr>
          <w:p>
            <w:pPr>
              <w:jc w:val="center"/>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16</w:t>
            </w:r>
            <w:r/>
          </w:p>
        </w:tc>
        <w:tc>
          <w:tcPr>
            <w:tcW w:w="3145" w:type="dxa"/>
            <w:vAlign w:val="center"/>
            <w:textDirection w:val="lrTb"/>
            <w:noWrap w:val="false"/>
          </w:tcPr>
          <w:p>
            <w:pPr>
              <w:jc w:val="center"/>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东郡丽水C区</w:t>
            </w:r>
            <w:r/>
          </w:p>
        </w:tc>
      </w:tr>
    </w:tbl>
    <w:p>
      <w:r/>
      <w:r/>
    </w:p>
    <w:p>
      <w:pPr>
        <w:pStyle w:val="707"/>
        <w:rPr>
          <w:rFonts w:asciiTheme="minorEastAsia" w:hAnsiTheme="minorEastAsia" w:eastAsiaTheme="minorEastAsia"/>
          <w:sz w:val="32"/>
          <w:szCs w:val="32"/>
        </w:rPr>
      </w:pPr>
      <w:r>
        <w:rPr>
          <w:rFonts w:asciiTheme="minorEastAsia" w:hAnsiTheme="minorEastAsia" w:eastAsiaTheme="minorEastAsia"/>
          <w:sz w:val="32"/>
          <w:szCs w:val="32"/>
        </w:rPr>
      </w:r>
      <w:r/>
    </w:p>
    <w:p>
      <w:pPr>
        <w:jc w:val="left"/>
        <w:widowControl/>
        <w:rPr>
          <w:rFonts w:asciiTheme="minorEastAsia" w:hAnsiTheme="minorEastAsia" w:eastAsiaTheme="minorEastAsia"/>
          <w:sz w:val="32"/>
          <w:szCs w:val="32"/>
        </w:rPr>
      </w:pPr>
      <w:r>
        <w:rPr>
          <w:rFonts w:asciiTheme="minorEastAsia" w:hAnsiTheme="minorEastAsia" w:eastAsiaTheme="minorEastAsia"/>
          <w:sz w:val="32"/>
          <w:szCs w:val="32"/>
        </w:rPr>
        <w:br w:type="page" w:clear="all"/>
      </w:r>
      <w:r/>
    </w:p>
    <w:p>
      <w:pPr>
        <w:pStyle w:val="707"/>
        <w:rPr>
          <w:rFonts w:asciiTheme="minorEastAsia" w:hAnsiTheme="minorEastAsia" w:eastAsiaTheme="minorEastAsia"/>
          <w:sz w:val="32"/>
          <w:szCs w:val="32"/>
        </w:rPr>
      </w:pPr>
      <w:r>
        <w:rPr>
          <w:rFonts w:hint="eastAsia" w:asciiTheme="minorEastAsia" w:hAnsiTheme="minorEastAsia" w:eastAsiaTheme="minorEastAsia"/>
          <w:sz w:val="32"/>
          <w:szCs w:val="32"/>
        </w:rPr>
        <w:t xml:space="preserve">附件2</w:t>
      </w:r>
      <w:r/>
    </w:p>
    <w:p>
      <w:pPr>
        <w:pStyle w:val="707"/>
        <w:jc w:val="center"/>
        <w:rPr>
          <w:sz w:val="32"/>
          <w:szCs w:val="32"/>
        </w:rPr>
      </w:pPr>
      <w:r>
        <w:rPr>
          <w:rFonts w:hint="eastAsia"/>
          <w:sz w:val="32"/>
          <w:szCs w:val="32"/>
        </w:rPr>
        <w:t xml:space="preserve">如城街道安置区垃圾收集运输考核标准</w:t>
      </w:r>
      <w:r/>
    </w:p>
    <w:tbl>
      <w:tblPr>
        <w:tblStyle w:val="706"/>
        <w:tblW w:w="96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23"/>
        <w:gridCol w:w="3832"/>
        <w:gridCol w:w="3188"/>
        <w:gridCol w:w="1254"/>
      </w:tblGrid>
      <w:tr>
        <w:trPr>
          <w:jc w:val="center"/>
          <w:trHeight w:val="472"/>
        </w:trPr>
        <w:tc>
          <w:tcPr>
            <w:tcW w:w="1423" w:type="dxa"/>
            <w:vAlign w:val="center"/>
            <w:textDirection w:val="lrTb"/>
            <w:noWrap w:val="false"/>
          </w:tcPr>
          <w:p>
            <w:pPr>
              <w:jc w:val="center"/>
              <w:spacing w:line="240" w:lineRule="exact"/>
              <w:widowControl/>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项目</w:t>
            </w:r>
            <w:r/>
          </w:p>
        </w:tc>
        <w:tc>
          <w:tcPr>
            <w:tcW w:w="3832" w:type="dxa"/>
            <w:vAlign w:val="center"/>
            <w:textDirection w:val="lrTb"/>
            <w:noWrap w:val="false"/>
          </w:tcPr>
          <w:p>
            <w:pPr>
              <w:jc w:val="center"/>
              <w:spacing w:line="240" w:lineRule="exact"/>
              <w:widowControl/>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考 核 内 容</w:t>
            </w:r>
            <w:r/>
          </w:p>
        </w:tc>
        <w:tc>
          <w:tcPr>
            <w:tcW w:w="3188" w:type="dxa"/>
            <w:vAlign w:val="center"/>
            <w:textDirection w:val="lrTb"/>
            <w:noWrap w:val="false"/>
          </w:tcPr>
          <w:p>
            <w:pPr>
              <w:jc w:val="center"/>
              <w:spacing w:line="240" w:lineRule="exact"/>
              <w:widowControl/>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扣 分 细 则</w:t>
            </w:r>
            <w:r/>
          </w:p>
        </w:tc>
        <w:tc>
          <w:tcPr>
            <w:tcW w:w="1254" w:type="dxa"/>
            <w:vAlign w:val="center"/>
            <w:textDirection w:val="lrTb"/>
            <w:noWrap w:val="false"/>
          </w:tcPr>
          <w:p>
            <w:pPr>
              <w:jc w:val="center"/>
              <w:spacing w:line="240" w:lineRule="exact"/>
              <w:widowControl/>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扣分情况</w:t>
            </w:r>
            <w:r/>
          </w:p>
        </w:tc>
      </w:tr>
      <w:tr>
        <w:trPr>
          <w:jc w:val="center"/>
          <w:trHeight w:val="1094"/>
        </w:trPr>
        <w:tc>
          <w:tcPr>
            <w:tcW w:w="1423" w:type="dxa"/>
            <w:vAlign w:val="center"/>
            <w:vMerge w:val="restart"/>
            <w:textDirection w:val="lrTb"/>
            <w:noWrap w:val="false"/>
          </w:tcPr>
          <w:p>
            <w:pPr>
              <w:jc w:val="center"/>
              <w:spacing w:line="24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           收集质</w:t>
            </w:r>
            <w:r/>
          </w:p>
          <w:p>
            <w:pPr>
              <w:jc w:val="center"/>
              <w:spacing w:line="24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量及车辆管理</w:t>
            </w:r>
            <w:r/>
          </w:p>
          <w:p>
            <w:pPr>
              <w:jc w:val="center"/>
              <w:spacing w:line="24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（80分）</w:t>
            </w:r>
            <w:r/>
          </w:p>
        </w:tc>
        <w:tc>
          <w:tcPr>
            <w:tcW w:w="3832" w:type="dxa"/>
            <w:vAlign w:val="center"/>
            <w:textDirection w:val="lrTb"/>
            <w:noWrap w:val="false"/>
          </w:tcPr>
          <w:p>
            <w:pPr>
              <w:spacing w:line="26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1、及时收运。每天对各安置小区的生活垃圾要及时收集清运，确保垃圾日产日清。</w:t>
            </w:r>
            <w:r/>
          </w:p>
        </w:tc>
        <w:tc>
          <w:tcPr>
            <w:tcW w:w="3188" w:type="dxa"/>
            <w:vAlign w:val="center"/>
            <w:textDirection w:val="lrTb"/>
            <w:noWrap w:val="false"/>
          </w:tcPr>
          <w:p>
            <w:pPr>
              <w:spacing w:line="26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发现积存垃圾，每处扣0.5分，依此类推。</w:t>
            </w:r>
            <w:r/>
          </w:p>
        </w:tc>
        <w:tc>
          <w:tcPr>
            <w:tcW w:w="1254" w:type="dxa"/>
            <w:vAlign w:val="center"/>
            <w:textDirection w:val="lrTb"/>
            <w:noWrap w:val="false"/>
          </w:tcPr>
          <w:p>
            <w:pPr>
              <w:spacing w:line="24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1490"/>
        </w:trPr>
        <w:tc>
          <w:tcPr>
            <w:tcW w:w="1423" w:type="dxa"/>
            <w:vAlign w:val="center"/>
            <w:vMerge w:val="continue"/>
            <w:textDirection w:val="lrTb"/>
            <w:noWrap w:val="false"/>
          </w:tcPr>
          <w:p>
            <w:pPr>
              <w:jc w:val="center"/>
              <w:spacing w:line="24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3832" w:type="dxa"/>
            <w:vAlign w:val="center"/>
            <w:textDirection w:val="lrTb"/>
            <w:noWrap w:val="false"/>
          </w:tcPr>
          <w:p>
            <w:pPr>
              <w:spacing w:line="26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2、全面收运。每天在安置小区内指定位置进行垃圾收运，不得漏收、不收；垃圾收集后，随车人员负责收集点清扫保洁到位、无明显散落垃圾。</w:t>
            </w:r>
            <w:r/>
          </w:p>
        </w:tc>
        <w:tc>
          <w:tcPr>
            <w:tcW w:w="3188" w:type="dxa"/>
            <w:vAlign w:val="center"/>
            <w:textDirection w:val="lrTb"/>
            <w:noWrap w:val="false"/>
          </w:tcPr>
          <w:p>
            <w:pPr>
              <w:spacing w:line="26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漏收一处扣0.5分；有明显散落垃圾，每处扣1分。</w:t>
            </w:r>
            <w:r/>
          </w:p>
        </w:tc>
        <w:tc>
          <w:tcPr>
            <w:tcW w:w="1254" w:type="dxa"/>
            <w:vAlign w:val="center"/>
            <w:textDirection w:val="lrTb"/>
            <w:noWrap w:val="false"/>
          </w:tcPr>
          <w:p>
            <w:pPr>
              <w:spacing w:line="24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1328"/>
        </w:trPr>
        <w:tc>
          <w:tcPr>
            <w:tcW w:w="1423" w:type="dxa"/>
            <w:vAlign w:val="center"/>
            <w:vMerge w:val="continue"/>
            <w:textDirection w:val="lrTb"/>
            <w:noWrap w:val="false"/>
          </w:tcPr>
          <w:p>
            <w:pPr>
              <w:jc w:val="center"/>
              <w:spacing w:line="24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3832" w:type="dxa"/>
            <w:vAlign w:val="center"/>
            <w:textDirection w:val="lrTb"/>
            <w:noWrap w:val="false"/>
          </w:tcPr>
          <w:p>
            <w:pPr>
              <w:spacing w:line="26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3、定向处置。生活垃圾送至如城街道指定生活垃圾中转站（新民、沿河、钱长），不得将垃圾外运或随意处置。</w:t>
            </w:r>
            <w:r/>
          </w:p>
        </w:tc>
        <w:tc>
          <w:tcPr>
            <w:tcW w:w="3188" w:type="dxa"/>
            <w:vAlign w:val="center"/>
            <w:textDirection w:val="lrTb"/>
            <w:noWrap w:val="false"/>
          </w:tcPr>
          <w:p>
            <w:pPr>
              <w:spacing w:line="26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发现生活垃圾外运、偷倒、偷埋等随意处置现象，发现一次扣10分。</w:t>
            </w:r>
            <w:r/>
          </w:p>
        </w:tc>
        <w:tc>
          <w:tcPr>
            <w:tcW w:w="1254" w:type="dxa"/>
            <w:vAlign w:val="center"/>
            <w:textDirection w:val="lrTb"/>
            <w:noWrap w:val="false"/>
          </w:tcPr>
          <w:p>
            <w:pPr>
              <w:spacing w:line="24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1456"/>
        </w:trPr>
        <w:tc>
          <w:tcPr>
            <w:tcW w:w="1423" w:type="dxa"/>
            <w:vAlign w:val="center"/>
            <w:vMerge w:val="continue"/>
            <w:textDirection w:val="lrTb"/>
            <w:noWrap w:val="false"/>
          </w:tcPr>
          <w:p>
            <w:pPr>
              <w:jc w:val="center"/>
              <w:spacing w:line="24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3832" w:type="dxa"/>
            <w:vAlign w:val="center"/>
            <w:textDirection w:val="lrTb"/>
            <w:noWrap w:val="false"/>
          </w:tcPr>
          <w:p>
            <w:pPr>
              <w:spacing w:line="26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4、爱护设备。不得随意扔、砸、摔垃圾桶。发现小区垃圾桶破损、脏污严重或者垃圾桶挪作他用等现象及时向物业及村（社区）等相关部门反应。</w:t>
            </w:r>
            <w:r/>
          </w:p>
        </w:tc>
        <w:tc>
          <w:tcPr>
            <w:tcW w:w="3188" w:type="dxa"/>
            <w:vAlign w:val="center"/>
            <w:textDirection w:val="lrTb"/>
            <w:noWrap w:val="false"/>
          </w:tcPr>
          <w:p>
            <w:pPr>
              <w:spacing w:line="26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发现故意破坏垃圾桶的，发现一次扣1分；清运过程中发现问题不回报或不积极配合处理的，酌情扣分。</w:t>
            </w:r>
            <w:r/>
          </w:p>
        </w:tc>
        <w:tc>
          <w:tcPr>
            <w:tcW w:w="1254" w:type="dxa"/>
            <w:vAlign w:val="center"/>
            <w:textDirection w:val="lrTb"/>
            <w:noWrap w:val="false"/>
          </w:tcPr>
          <w:p>
            <w:pPr>
              <w:spacing w:line="24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1556"/>
        </w:trPr>
        <w:tc>
          <w:tcPr>
            <w:tcW w:w="1423" w:type="dxa"/>
            <w:vAlign w:val="center"/>
            <w:vMerge w:val="continue"/>
            <w:textDirection w:val="lrTb"/>
            <w:noWrap w:val="false"/>
          </w:tcPr>
          <w:p>
            <w:pPr>
              <w:jc w:val="center"/>
              <w:spacing w:line="24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3832" w:type="dxa"/>
            <w:vAlign w:val="center"/>
            <w:textDirection w:val="lrTb"/>
            <w:noWrap w:val="false"/>
          </w:tcPr>
          <w:p>
            <w:pPr>
              <w:spacing w:line="26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5、确保垃圾质量。垃圾桶内如有外来建筑、装潢及季节性农作物秸秆、废旧物品等非生活垃圾，拒绝收运并及时向相关部门领导回报情况，拍照取证。</w:t>
            </w:r>
            <w:r/>
          </w:p>
        </w:tc>
        <w:tc>
          <w:tcPr>
            <w:tcW w:w="3188" w:type="dxa"/>
            <w:vAlign w:val="center"/>
            <w:textDirection w:val="lrTb"/>
            <w:noWrap w:val="false"/>
          </w:tcPr>
          <w:p>
            <w:pPr>
              <w:spacing w:line="26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如发现问题不回报或不积极配合清理，酌情扣分。</w:t>
            </w:r>
            <w:r/>
          </w:p>
        </w:tc>
        <w:tc>
          <w:tcPr>
            <w:tcW w:w="1254" w:type="dxa"/>
            <w:vAlign w:val="center"/>
            <w:textDirection w:val="lrTb"/>
            <w:noWrap w:val="false"/>
          </w:tcPr>
          <w:p>
            <w:pPr>
              <w:spacing w:line="24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1247"/>
        </w:trPr>
        <w:tc>
          <w:tcPr>
            <w:tcW w:w="1423" w:type="dxa"/>
            <w:vAlign w:val="center"/>
            <w:vMerge w:val="continue"/>
            <w:textDirection w:val="lrTb"/>
            <w:noWrap w:val="false"/>
          </w:tcPr>
          <w:p>
            <w:pPr>
              <w:jc w:val="center"/>
              <w:spacing w:line="24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3832" w:type="dxa"/>
            <w:vAlign w:val="center"/>
            <w:textDirection w:val="lrTb"/>
            <w:noWrap w:val="false"/>
          </w:tcPr>
          <w:p>
            <w:pPr>
              <w:spacing w:line="26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6、分类收集运输。严格执行生活垃圾分类要求，禁止建筑垃圾、厨余垃圾、农业垃圾、有害垃圾随车进入中转站。</w:t>
            </w:r>
            <w:r/>
          </w:p>
        </w:tc>
        <w:tc>
          <w:tcPr>
            <w:tcW w:w="3188" w:type="dxa"/>
            <w:vAlign w:val="center"/>
            <w:textDirection w:val="lrTb"/>
            <w:noWrap w:val="false"/>
          </w:tcPr>
          <w:p>
            <w:pPr>
              <w:spacing w:line="26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未按要求进行分类收集运输，情况严重的扣5-10分。</w:t>
            </w:r>
            <w:r/>
          </w:p>
        </w:tc>
        <w:tc>
          <w:tcPr>
            <w:tcW w:w="1254" w:type="dxa"/>
            <w:vAlign w:val="center"/>
            <w:textDirection w:val="lrTb"/>
            <w:noWrap w:val="false"/>
          </w:tcPr>
          <w:p>
            <w:pPr>
              <w:spacing w:line="24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1557"/>
        </w:trPr>
        <w:tc>
          <w:tcPr>
            <w:tcW w:w="1423" w:type="dxa"/>
            <w:vAlign w:val="center"/>
            <w:vMerge w:val="continue"/>
            <w:textDirection w:val="lrTb"/>
            <w:noWrap w:val="false"/>
          </w:tcPr>
          <w:p>
            <w:pPr>
              <w:jc w:val="center"/>
              <w:spacing w:line="24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3832" w:type="dxa"/>
            <w:vAlign w:val="center"/>
            <w:textDirection w:val="lrTb"/>
            <w:noWrap w:val="false"/>
          </w:tcPr>
          <w:p>
            <w:pPr>
              <w:spacing w:line="24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7、车辆管理。垃圾收集运输车统一规范，外观完好整洁，清运过程中无抛、洒、滴、漏现象。</w:t>
            </w:r>
            <w:r/>
          </w:p>
        </w:tc>
        <w:tc>
          <w:tcPr>
            <w:tcW w:w="3188" w:type="dxa"/>
            <w:vAlign w:val="center"/>
            <w:textDirection w:val="lrTb"/>
            <w:noWrap w:val="false"/>
          </w:tcPr>
          <w:p>
            <w:pPr>
              <w:spacing w:line="24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未按规定配备统一格式的收集车及工具，每例扣0.5分，外观不整洁、破损或发生抛、洒、滴、漏影响文明城市形象，发现一例扣5-10分。</w:t>
            </w:r>
            <w:r/>
          </w:p>
        </w:tc>
        <w:tc>
          <w:tcPr>
            <w:tcW w:w="1254" w:type="dxa"/>
            <w:vAlign w:val="center"/>
            <w:textDirection w:val="lrTb"/>
            <w:noWrap w:val="false"/>
          </w:tcPr>
          <w:p>
            <w:pPr>
              <w:spacing w:line="24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1002"/>
        </w:trPr>
        <w:tc>
          <w:tcPr>
            <w:tcW w:w="1423" w:type="dxa"/>
            <w:vAlign w:val="center"/>
            <w:vMerge w:val="continue"/>
            <w:textDirection w:val="lrTb"/>
            <w:noWrap w:val="false"/>
          </w:tcPr>
          <w:p>
            <w:pPr>
              <w:jc w:val="center"/>
              <w:spacing w:line="24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3832" w:type="dxa"/>
            <w:vAlign w:val="center"/>
            <w:textDirection w:val="lrTb"/>
            <w:noWrap w:val="false"/>
          </w:tcPr>
          <w:p>
            <w:pPr>
              <w:spacing w:line="24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8、人员配置。根据垃圾清运相关考核要求及合同要求，配足车辆辅助人员。</w:t>
            </w:r>
            <w:r/>
          </w:p>
        </w:tc>
        <w:tc>
          <w:tcPr>
            <w:tcW w:w="3188" w:type="dxa"/>
            <w:vAlign w:val="center"/>
            <w:textDirection w:val="lrTb"/>
            <w:noWrap w:val="false"/>
          </w:tcPr>
          <w:p>
            <w:pPr>
              <w:spacing w:line="24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未按标准足额配置随车辅助人员导致工作不利，根据实际情况酌情扣分。</w:t>
            </w:r>
            <w:r/>
          </w:p>
        </w:tc>
        <w:tc>
          <w:tcPr>
            <w:tcW w:w="1254" w:type="dxa"/>
            <w:vAlign w:val="center"/>
            <w:textDirection w:val="lrTb"/>
            <w:noWrap w:val="false"/>
          </w:tcPr>
          <w:p>
            <w:pPr>
              <w:spacing w:line="24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1002"/>
        </w:trPr>
        <w:tc>
          <w:tcPr>
            <w:tcW w:w="1423" w:type="dxa"/>
            <w:vAlign w:val="center"/>
            <w:vMerge w:val="continue"/>
            <w:textDirection w:val="lrTb"/>
            <w:noWrap w:val="false"/>
          </w:tcPr>
          <w:p>
            <w:pPr>
              <w:jc w:val="center"/>
              <w:spacing w:line="24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3832" w:type="dxa"/>
            <w:vAlign w:val="center"/>
            <w:textDirection w:val="lrTb"/>
            <w:noWrap w:val="false"/>
          </w:tcPr>
          <w:p>
            <w:pPr>
              <w:spacing w:line="24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9、问题整改。上一轮考核中出现的问题得到解决或好转。</w:t>
            </w:r>
            <w:r/>
          </w:p>
        </w:tc>
        <w:tc>
          <w:tcPr>
            <w:tcW w:w="3188" w:type="dxa"/>
            <w:vAlign w:val="center"/>
            <w:textDirection w:val="lrTb"/>
            <w:noWrap w:val="false"/>
          </w:tcPr>
          <w:p>
            <w:pPr>
              <w:spacing w:line="24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未能解决或未有所好转且无正当理由的每例扣3分。</w:t>
            </w:r>
            <w:r/>
          </w:p>
        </w:tc>
        <w:tc>
          <w:tcPr>
            <w:tcW w:w="1254" w:type="dxa"/>
            <w:vAlign w:val="center"/>
            <w:textDirection w:val="lrTb"/>
            <w:noWrap w:val="false"/>
          </w:tcPr>
          <w:p>
            <w:pPr>
              <w:spacing w:line="240" w:lineRule="exact"/>
              <w:widowControl/>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862"/>
        </w:trPr>
        <w:tc>
          <w:tcPr>
            <w:tcW w:w="1423" w:type="dxa"/>
            <w:vAlign w:val="center"/>
            <w:vMerge w:val="restart"/>
            <w:textDirection w:val="lrTb"/>
            <w:noWrap w:val="false"/>
          </w:tcPr>
          <w:p>
            <w:pPr>
              <w:jc w:val="center"/>
              <w:spacing w:line="240" w:lineRule="exact"/>
              <w:widowControl/>
              <w:rPr>
                <w:rFonts w:ascii="宋体" w:hAnsi="宋体" w:cs="宋体"/>
                <w:sz w:val="24"/>
              </w:rPr>
            </w:pPr>
            <w:r>
              <w:rPr>
                <w:rFonts w:hint="eastAsia" w:ascii="宋体" w:hAnsi="宋体" w:cs="宋体"/>
                <w:sz w:val="24"/>
              </w:rPr>
              <w:t xml:space="preserve">综</w:t>
            </w:r>
            <w:r/>
          </w:p>
          <w:p>
            <w:pPr>
              <w:ind w:firstLine="480"/>
              <w:spacing w:line="240" w:lineRule="exact"/>
              <w:widowControl/>
              <w:rPr>
                <w:rFonts w:ascii="宋体" w:hAnsi="宋体" w:cs="宋体"/>
                <w:sz w:val="24"/>
              </w:rPr>
            </w:pPr>
            <w:r>
              <w:rPr>
                <w:rFonts w:hint="eastAsia" w:ascii="宋体" w:hAnsi="宋体" w:cs="宋体"/>
                <w:sz w:val="24"/>
              </w:rPr>
              <w:t xml:space="preserve">合</w:t>
            </w:r>
            <w:r/>
          </w:p>
          <w:p>
            <w:pPr>
              <w:ind w:firstLine="480"/>
              <w:spacing w:line="240" w:lineRule="exact"/>
              <w:widowControl/>
              <w:rPr>
                <w:rFonts w:ascii="宋体" w:hAnsi="宋体" w:cs="宋体"/>
                <w:sz w:val="24"/>
              </w:rPr>
            </w:pPr>
            <w:r>
              <w:rPr>
                <w:rFonts w:hint="eastAsia" w:ascii="宋体" w:hAnsi="宋体" w:cs="宋体"/>
                <w:sz w:val="24"/>
              </w:rPr>
              <w:t xml:space="preserve">考</w:t>
            </w:r>
            <w:r/>
          </w:p>
          <w:p>
            <w:pPr>
              <w:ind w:firstLine="480"/>
              <w:spacing w:line="240" w:lineRule="exact"/>
              <w:widowControl/>
              <w:rPr>
                <w:rFonts w:ascii="宋体" w:hAnsi="宋体" w:cs="宋体"/>
                <w:sz w:val="24"/>
              </w:rPr>
            </w:pPr>
            <w:r>
              <w:rPr>
                <w:rFonts w:hint="eastAsia" w:ascii="宋体" w:hAnsi="宋体" w:cs="宋体"/>
                <w:sz w:val="24"/>
              </w:rPr>
              <w:t xml:space="preserve">评</w:t>
            </w:r>
            <w:r/>
          </w:p>
          <w:p>
            <w:pPr>
              <w:ind w:firstLine="480"/>
              <w:jc w:val="center"/>
              <w:spacing w:line="240" w:lineRule="exact"/>
              <w:widowControl/>
              <w:rPr>
                <w:rFonts w:ascii="宋体" w:hAnsi="宋体" w:cs="宋体"/>
                <w:sz w:val="24"/>
              </w:rPr>
            </w:pPr>
            <w:r>
              <w:rPr>
                <w:rFonts w:ascii="宋体" w:hAnsi="宋体" w:cs="宋体"/>
                <w:sz w:val="24"/>
              </w:rPr>
            </w:r>
            <w:r/>
          </w:p>
          <w:p>
            <w:pPr>
              <w:jc w:val="center"/>
              <w:spacing w:line="240" w:lineRule="exact"/>
              <w:widowControl/>
              <w:rPr>
                <w:rFonts w:ascii="宋体" w:hAnsi="宋体" w:cs="宋体"/>
                <w:sz w:val="24"/>
              </w:rPr>
            </w:pPr>
            <w:r>
              <w:rPr>
                <w:rFonts w:hint="eastAsia" w:ascii="宋体" w:hAnsi="宋体" w:cs="宋体"/>
                <w:sz w:val="24"/>
              </w:rPr>
              <w:t xml:space="preserve">（20分）</w:t>
            </w:r>
            <w:r/>
          </w:p>
        </w:tc>
        <w:tc>
          <w:tcPr>
            <w:tcW w:w="3832" w:type="dxa"/>
            <w:vAlign w:val="center"/>
            <w:textDirection w:val="lrTb"/>
            <w:noWrap w:val="false"/>
          </w:tcPr>
          <w:p>
            <w:pPr>
              <w:spacing w:line="240" w:lineRule="exact"/>
              <w:widowControl/>
              <w:rPr>
                <w:rFonts w:ascii="宋体" w:hAnsi="宋体" w:cs="宋体"/>
                <w:sz w:val="24"/>
              </w:rPr>
            </w:pPr>
            <w:r>
              <w:rPr>
                <w:rFonts w:hint="eastAsia" w:ascii="宋体" w:hAnsi="宋体" w:cs="宋体"/>
                <w:sz w:val="24"/>
              </w:rPr>
              <w:t xml:space="preserve">10、突击保障。遇到各项创建及重大活动等环节服务质量到位。</w:t>
            </w:r>
            <w:r/>
          </w:p>
        </w:tc>
        <w:tc>
          <w:tcPr>
            <w:tcW w:w="3188" w:type="dxa"/>
            <w:vAlign w:val="center"/>
            <w:textDirection w:val="lrTb"/>
            <w:noWrap w:val="false"/>
          </w:tcPr>
          <w:p>
            <w:pPr>
              <w:spacing w:line="240" w:lineRule="exact"/>
              <w:widowControl/>
              <w:rPr>
                <w:rFonts w:ascii="宋体" w:hAnsi="宋体" w:cs="宋体"/>
                <w:sz w:val="24"/>
              </w:rPr>
            </w:pPr>
            <w:r>
              <w:rPr>
                <w:rFonts w:hint="eastAsia" w:ascii="宋体" w:hAnsi="宋体" w:cs="宋体"/>
                <w:sz w:val="24"/>
              </w:rPr>
              <w:t xml:space="preserve">各项创建及重大活动环节服务质量未到位扣3分。</w:t>
            </w:r>
            <w:r/>
          </w:p>
        </w:tc>
        <w:tc>
          <w:tcPr>
            <w:tcW w:w="1254" w:type="dxa"/>
            <w:vAlign w:val="center"/>
            <w:textDirection w:val="lrTb"/>
            <w:noWrap w:val="false"/>
          </w:tcPr>
          <w:p>
            <w:pPr>
              <w:spacing w:line="240" w:lineRule="exact"/>
              <w:widowControl/>
              <w:rPr>
                <w:rFonts w:ascii="宋体" w:hAnsi="宋体" w:cs="宋体"/>
                <w:sz w:val="24"/>
              </w:rPr>
            </w:pPr>
            <w:r>
              <w:rPr>
                <w:rFonts w:ascii="宋体" w:hAnsi="宋体" w:cs="宋体"/>
                <w:sz w:val="24"/>
              </w:rPr>
            </w:r>
            <w:r/>
          </w:p>
        </w:tc>
      </w:tr>
      <w:tr>
        <w:trPr>
          <w:jc w:val="center"/>
          <w:trHeight w:val="1210"/>
        </w:trPr>
        <w:tc>
          <w:tcPr>
            <w:tcW w:w="1423" w:type="dxa"/>
            <w:vAlign w:val="center"/>
            <w:vMerge w:val="continue"/>
            <w:textDirection w:val="lrTb"/>
            <w:noWrap w:val="false"/>
          </w:tcPr>
          <w:p>
            <w:pPr>
              <w:jc w:val="center"/>
              <w:spacing w:line="240" w:lineRule="exact"/>
              <w:widowControl/>
              <w:rPr>
                <w:rFonts w:ascii="宋体" w:hAnsi="宋体" w:cs="宋体"/>
                <w:sz w:val="24"/>
              </w:rPr>
            </w:pPr>
            <w:r>
              <w:rPr>
                <w:rFonts w:ascii="宋体" w:hAnsi="宋体" w:cs="宋体"/>
                <w:sz w:val="24"/>
              </w:rPr>
            </w:r>
            <w:r/>
          </w:p>
        </w:tc>
        <w:tc>
          <w:tcPr>
            <w:tcW w:w="3832" w:type="dxa"/>
            <w:vAlign w:val="center"/>
            <w:textDirection w:val="lrTb"/>
            <w:noWrap w:val="false"/>
          </w:tcPr>
          <w:p>
            <w:pPr>
              <w:spacing w:line="240" w:lineRule="exact"/>
              <w:widowControl/>
              <w:rPr>
                <w:rFonts w:ascii="宋体" w:hAnsi="宋体" w:cs="宋体"/>
                <w:sz w:val="24"/>
              </w:rPr>
            </w:pPr>
            <w:r>
              <w:rPr>
                <w:rFonts w:hint="eastAsia" w:ascii="宋体" w:hAnsi="宋体" w:cs="宋体"/>
                <w:sz w:val="24"/>
              </w:rPr>
              <w:t xml:space="preserve">11、坚决服从上级领导的统一部署和安排。</w:t>
            </w:r>
            <w:r/>
          </w:p>
        </w:tc>
        <w:tc>
          <w:tcPr>
            <w:tcW w:w="3188" w:type="dxa"/>
            <w:vAlign w:val="center"/>
            <w:textDirection w:val="lrTb"/>
            <w:noWrap w:val="false"/>
          </w:tcPr>
          <w:p>
            <w:pPr>
              <w:spacing w:line="240" w:lineRule="exact"/>
              <w:widowControl/>
              <w:rPr>
                <w:rFonts w:ascii="宋体" w:hAnsi="宋体" w:cs="宋体"/>
                <w:sz w:val="24"/>
              </w:rPr>
            </w:pPr>
            <w:r>
              <w:rPr>
                <w:rFonts w:hint="eastAsia" w:ascii="宋体" w:hAnsi="宋体" w:cs="宋体"/>
                <w:sz w:val="24"/>
              </w:rPr>
              <w:t xml:space="preserve">未服从统一部署和安排，每例扣5分，造成重大失误或严重后果的终止合同并取消今后竞标资格。</w:t>
            </w:r>
            <w:r/>
          </w:p>
        </w:tc>
        <w:tc>
          <w:tcPr>
            <w:tcW w:w="1254" w:type="dxa"/>
            <w:vAlign w:val="center"/>
            <w:textDirection w:val="lrTb"/>
            <w:noWrap w:val="false"/>
          </w:tcPr>
          <w:p>
            <w:pPr>
              <w:spacing w:line="240" w:lineRule="exact"/>
              <w:widowControl/>
              <w:rPr>
                <w:rFonts w:ascii="宋体" w:hAnsi="宋体" w:cs="宋体"/>
                <w:sz w:val="24"/>
              </w:rPr>
            </w:pPr>
            <w:r>
              <w:rPr>
                <w:rFonts w:ascii="宋体" w:hAnsi="宋体" w:cs="宋体"/>
                <w:sz w:val="24"/>
              </w:rPr>
            </w:r>
            <w:r/>
          </w:p>
        </w:tc>
      </w:tr>
      <w:tr>
        <w:trPr>
          <w:jc w:val="center"/>
          <w:trHeight w:val="987"/>
        </w:trPr>
        <w:tc>
          <w:tcPr>
            <w:tcW w:w="1423" w:type="dxa"/>
            <w:vAlign w:val="center"/>
            <w:vMerge w:val="continue"/>
            <w:textDirection w:val="lrTb"/>
            <w:noWrap w:val="false"/>
          </w:tcPr>
          <w:p>
            <w:pPr>
              <w:jc w:val="center"/>
              <w:spacing w:line="240" w:lineRule="exact"/>
              <w:widowControl/>
              <w:rPr>
                <w:rFonts w:ascii="宋体" w:hAnsi="宋体" w:cs="宋体"/>
                <w:sz w:val="24"/>
              </w:rPr>
            </w:pPr>
            <w:r>
              <w:rPr>
                <w:rFonts w:ascii="宋体" w:hAnsi="宋体" w:cs="宋体"/>
                <w:sz w:val="24"/>
              </w:rPr>
            </w:r>
            <w:r/>
          </w:p>
        </w:tc>
        <w:tc>
          <w:tcPr>
            <w:tcW w:w="3832" w:type="dxa"/>
            <w:vAlign w:val="center"/>
            <w:textDirection w:val="lrTb"/>
            <w:noWrap w:val="false"/>
          </w:tcPr>
          <w:p>
            <w:pPr>
              <w:spacing w:line="240" w:lineRule="exact"/>
              <w:widowControl/>
              <w:rPr>
                <w:rFonts w:ascii="宋体" w:hAnsi="宋体" w:cs="宋体"/>
                <w:sz w:val="24"/>
              </w:rPr>
            </w:pPr>
            <w:r>
              <w:rPr>
                <w:rFonts w:hint="eastAsia" w:ascii="宋体" w:hAnsi="宋体" w:cs="宋体"/>
                <w:sz w:val="24"/>
              </w:rPr>
              <w:t xml:space="preserve">12、落实安全保障责任制，采取有力措施确保不发生安全生产责任事故。</w:t>
            </w:r>
            <w:r/>
          </w:p>
        </w:tc>
        <w:tc>
          <w:tcPr>
            <w:tcW w:w="3188" w:type="dxa"/>
            <w:vAlign w:val="center"/>
            <w:textDirection w:val="lrTb"/>
            <w:noWrap w:val="false"/>
          </w:tcPr>
          <w:p>
            <w:pPr>
              <w:spacing w:line="240" w:lineRule="exact"/>
              <w:widowControl/>
              <w:rPr>
                <w:rFonts w:ascii="宋体" w:hAnsi="宋体" w:cs="宋体"/>
                <w:sz w:val="24"/>
              </w:rPr>
            </w:pPr>
            <w:r>
              <w:rPr>
                <w:rFonts w:hint="eastAsia" w:ascii="宋体" w:hAnsi="宋体" w:cs="宋体"/>
                <w:sz w:val="24"/>
              </w:rPr>
              <w:t xml:space="preserve">未落实责任制或措施不扎实，造成安全生产责任制事故的扣10分</w:t>
            </w:r>
            <w:r/>
          </w:p>
        </w:tc>
        <w:tc>
          <w:tcPr>
            <w:tcW w:w="1254" w:type="dxa"/>
            <w:vAlign w:val="center"/>
            <w:textDirection w:val="lrTb"/>
            <w:noWrap w:val="false"/>
          </w:tcPr>
          <w:p>
            <w:pPr>
              <w:spacing w:line="240" w:lineRule="exact"/>
              <w:widowControl/>
              <w:rPr>
                <w:rFonts w:ascii="宋体" w:hAnsi="宋体" w:cs="宋体"/>
                <w:sz w:val="24"/>
              </w:rPr>
            </w:pPr>
            <w:r>
              <w:rPr>
                <w:rFonts w:ascii="宋体" w:hAnsi="宋体" w:cs="宋体"/>
                <w:sz w:val="24"/>
              </w:rPr>
            </w:r>
            <w:r/>
          </w:p>
        </w:tc>
      </w:tr>
      <w:tr>
        <w:trPr>
          <w:jc w:val="center"/>
          <w:trHeight w:val="1047"/>
        </w:trPr>
        <w:tc>
          <w:tcPr>
            <w:tcW w:w="1423" w:type="dxa"/>
            <w:vAlign w:val="center"/>
            <w:vMerge w:val="continue"/>
            <w:textDirection w:val="lrTb"/>
            <w:noWrap w:val="false"/>
          </w:tcPr>
          <w:p>
            <w:pPr>
              <w:jc w:val="center"/>
              <w:spacing w:line="240" w:lineRule="exact"/>
              <w:widowControl/>
              <w:rPr>
                <w:rFonts w:ascii="宋体" w:hAnsi="宋体" w:cs="宋体"/>
                <w:sz w:val="24"/>
              </w:rPr>
            </w:pPr>
            <w:r>
              <w:rPr>
                <w:rFonts w:ascii="宋体" w:hAnsi="宋体" w:cs="宋体"/>
                <w:sz w:val="24"/>
              </w:rPr>
            </w:r>
            <w:r/>
          </w:p>
        </w:tc>
        <w:tc>
          <w:tcPr>
            <w:tcW w:w="3832" w:type="dxa"/>
            <w:vAlign w:val="center"/>
            <w:textDirection w:val="lrTb"/>
            <w:noWrap w:val="false"/>
          </w:tcPr>
          <w:p>
            <w:pPr>
              <w:spacing w:line="240" w:lineRule="exact"/>
              <w:widowControl/>
              <w:rPr>
                <w:rFonts w:ascii="宋体" w:hAnsi="宋体" w:cs="宋体"/>
                <w:sz w:val="24"/>
              </w:rPr>
            </w:pPr>
            <w:r>
              <w:rPr>
                <w:rFonts w:hint="eastAsia" w:ascii="宋体" w:hAnsi="宋体" w:cs="宋体"/>
                <w:sz w:val="24"/>
              </w:rPr>
              <w:t xml:space="preserve">13、无群众投诉、举报，无领导批评和媒体曝光。</w:t>
            </w:r>
            <w:r/>
          </w:p>
        </w:tc>
        <w:tc>
          <w:tcPr>
            <w:tcW w:w="3188" w:type="dxa"/>
            <w:vAlign w:val="center"/>
            <w:textDirection w:val="lrTb"/>
            <w:noWrap w:val="false"/>
          </w:tcPr>
          <w:p>
            <w:pPr>
              <w:spacing w:line="240" w:lineRule="exact"/>
              <w:widowControl/>
              <w:rPr>
                <w:rFonts w:ascii="宋体" w:hAnsi="宋体" w:cs="宋体"/>
                <w:sz w:val="24"/>
              </w:rPr>
            </w:pPr>
            <w:r>
              <w:rPr>
                <w:rFonts w:hint="eastAsia" w:ascii="宋体" w:hAnsi="宋体" w:cs="宋体"/>
                <w:sz w:val="24"/>
              </w:rPr>
              <w:t xml:space="preserve">经查实为作业中的责任问题，每发现一起扣1分，可视情节加重处罚</w:t>
            </w:r>
            <w:r/>
          </w:p>
        </w:tc>
        <w:tc>
          <w:tcPr>
            <w:tcW w:w="1254" w:type="dxa"/>
            <w:vAlign w:val="center"/>
            <w:textDirection w:val="lrTb"/>
            <w:noWrap w:val="false"/>
          </w:tcPr>
          <w:p>
            <w:pPr>
              <w:spacing w:line="240" w:lineRule="exact"/>
              <w:widowControl/>
              <w:rPr>
                <w:rFonts w:ascii="宋体" w:hAnsi="宋体" w:cs="宋体"/>
                <w:sz w:val="24"/>
              </w:rPr>
            </w:pPr>
            <w:r>
              <w:rPr>
                <w:rFonts w:ascii="宋体" w:hAnsi="宋体" w:cs="宋体"/>
                <w:sz w:val="24"/>
              </w:rPr>
            </w:r>
            <w:r/>
          </w:p>
        </w:tc>
      </w:tr>
      <w:tr>
        <w:trPr>
          <w:jc w:val="center"/>
          <w:trHeight w:val="862"/>
        </w:trPr>
        <w:tc>
          <w:tcPr>
            <w:tcW w:w="1423" w:type="dxa"/>
            <w:vAlign w:val="center"/>
            <w:vMerge w:val="continue"/>
            <w:textDirection w:val="lrTb"/>
            <w:noWrap w:val="false"/>
          </w:tcPr>
          <w:p>
            <w:pPr>
              <w:jc w:val="center"/>
              <w:spacing w:line="240" w:lineRule="exact"/>
              <w:widowControl/>
              <w:rPr>
                <w:rFonts w:ascii="宋体" w:hAnsi="宋体" w:cs="宋体"/>
                <w:sz w:val="24"/>
              </w:rPr>
            </w:pPr>
            <w:r>
              <w:rPr>
                <w:rFonts w:ascii="宋体" w:hAnsi="宋体" w:cs="宋体"/>
                <w:sz w:val="24"/>
              </w:rPr>
            </w:r>
            <w:r/>
          </w:p>
        </w:tc>
        <w:tc>
          <w:tcPr>
            <w:tcW w:w="3832" w:type="dxa"/>
            <w:vAlign w:val="center"/>
            <w:textDirection w:val="lrTb"/>
            <w:noWrap w:val="false"/>
          </w:tcPr>
          <w:p>
            <w:pPr>
              <w:spacing w:line="240" w:lineRule="exact"/>
              <w:widowControl/>
              <w:rPr>
                <w:rFonts w:ascii="宋体" w:hAnsi="宋体" w:cs="宋体"/>
                <w:sz w:val="24"/>
              </w:rPr>
            </w:pPr>
            <w:r>
              <w:rPr>
                <w:rFonts w:hint="eastAsia" w:ascii="宋体" w:hAnsi="宋体" w:cs="宋体"/>
                <w:sz w:val="24"/>
              </w:rPr>
              <w:t xml:space="preserve">合计得分：</w:t>
            </w:r>
            <w:r/>
          </w:p>
        </w:tc>
        <w:tc>
          <w:tcPr>
            <w:tcW w:w="3188" w:type="dxa"/>
            <w:vAlign w:val="center"/>
            <w:textDirection w:val="lrTb"/>
            <w:noWrap w:val="false"/>
          </w:tcPr>
          <w:p>
            <w:pPr>
              <w:spacing w:line="240" w:lineRule="exact"/>
              <w:widowControl/>
              <w:rPr>
                <w:rFonts w:ascii="宋体" w:hAnsi="宋体" w:cs="宋体"/>
                <w:sz w:val="24"/>
              </w:rPr>
            </w:pPr>
            <w:r>
              <w:rPr>
                <w:rFonts w:hint="eastAsia" w:ascii="宋体" w:hAnsi="宋体" w:cs="宋体"/>
                <w:sz w:val="24"/>
              </w:rPr>
              <w:t xml:space="preserve">合计扣分：</w:t>
            </w:r>
            <w:r/>
          </w:p>
        </w:tc>
        <w:tc>
          <w:tcPr>
            <w:tcW w:w="1254" w:type="dxa"/>
            <w:vAlign w:val="center"/>
            <w:textDirection w:val="lrTb"/>
            <w:noWrap w:val="false"/>
          </w:tcPr>
          <w:p>
            <w:pPr>
              <w:spacing w:line="240" w:lineRule="exact"/>
              <w:widowControl/>
              <w:rPr>
                <w:rFonts w:ascii="宋体" w:hAnsi="宋体" w:cs="宋体"/>
                <w:sz w:val="24"/>
              </w:rPr>
            </w:pPr>
            <w:r>
              <w:rPr>
                <w:rFonts w:ascii="宋体" w:hAnsi="宋体" w:cs="宋体"/>
                <w:sz w:val="24"/>
              </w:rPr>
            </w:r>
            <w:r/>
          </w:p>
        </w:tc>
      </w:tr>
      <w:tr>
        <w:trPr>
          <w:jc w:val="center"/>
          <w:trHeight w:val="1465"/>
        </w:trPr>
        <w:tc>
          <w:tcPr>
            <w:gridSpan w:val="4"/>
            <w:tcW w:w="9697" w:type="dxa"/>
            <w:vAlign w:val="center"/>
            <w:textDirection w:val="lrTb"/>
            <w:noWrap w:val="false"/>
          </w:tcPr>
          <w:p>
            <w:pPr>
              <w:spacing w:line="500" w:lineRule="exact"/>
              <w:rPr>
                <w:rFonts w:ascii="宋体" w:hAnsi="宋体"/>
                <w:szCs w:val="21"/>
              </w:rPr>
            </w:pPr>
            <w:r>
              <w:rPr>
                <w:rFonts w:hint="eastAsia" w:ascii="宋体" w:hAnsi="宋体" w:cs="宋体"/>
                <w:sz w:val="24"/>
              </w:rPr>
              <w:t xml:space="preserve"> </w:t>
            </w:r>
            <w:r>
              <w:rPr>
                <w:rFonts w:hint="eastAsia" w:ascii="宋体" w:hAnsi="宋体" w:cs="宋体"/>
                <w:sz w:val="28"/>
                <w:szCs w:val="28"/>
              </w:rPr>
              <w:t xml:space="preserve">平时抽查汇总记入月度考核，当月累计扣分按400元/分计算罚款，在当月承包费中扣除，每季度结算一次。</w:t>
            </w:r>
            <w:r/>
          </w:p>
          <w:p>
            <w:pPr>
              <w:spacing w:line="240" w:lineRule="exact"/>
              <w:widowControl/>
              <w:rPr>
                <w:rFonts w:ascii="宋体" w:hAnsi="宋体" w:cs="宋体"/>
                <w:sz w:val="24"/>
              </w:rPr>
            </w:pPr>
            <w:r>
              <w:rPr>
                <w:rFonts w:ascii="宋体" w:hAnsi="宋体" w:cs="宋体"/>
                <w:sz w:val="24"/>
              </w:rPr>
            </w:r>
            <w:r/>
          </w:p>
        </w:tc>
      </w:tr>
    </w:tbl>
    <w:p>
      <w:pPr>
        <w:ind w:firstLine="480"/>
        <w:rPr>
          <w:rFonts w:ascii="仿宋_GB2312" w:hAnsi="宋体" w:eastAsia="仿宋_GB2312"/>
          <w:color w:val="auto"/>
          <w:sz w:val="24"/>
          <w:highlight w:val="none"/>
        </w:rPr>
      </w:pPr>
      <w:r>
        <w:rPr>
          <w:rFonts w:ascii="仿宋_GB2312" w:hAnsi="宋体" w:eastAsia="仿宋_GB2312"/>
          <w:color w:val="auto"/>
          <w:sz w:val="24"/>
          <w:highlight w:val="none"/>
        </w:rPr>
      </w:r>
      <w:r/>
    </w:p>
    <w:p>
      <w:pPr>
        <w:pStyle w:val="891"/>
        <w:ind w:firstLine="560"/>
        <w:spacing w:line="240" w:lineRule="auto"/>
        <w:rPr>
          <w:rFonts w:ascii="黑体" w:hAnsi="黑体" w:eastAsia="黑体"/>
          <w:color w:val="auto"/>
          <w:sz w:val="28"/>
          <w:szCs w:val="28"/>
          <w:highlight w:val="none"/>
        </w:rPr>
      </w:pPr>
      <w:r>
        <w:rPr>
          <w:rFonts w:ascii="黑体" w:hAnsi="黑体" w:eastAsia="黑体"/>
          <w:color w:val="auto"/>
          <w:sz w:val="28"/>
          <w:szCs w:val="28"/>
          <w:highlight w:val="none"/>
        </w:rPr>
      </w:r>
      <w:r/>
    </w:p>
    <w:p>
      <w:pPr>
        <w:pStyle w:val="891"/>
        <w:ind w:firstLine="0"/>
        <w:jc w:val="center"/>
        <w:spacing w:line="240" w:lineRule="auto"/>
        <w:rPr>
          <w:b/>
          <w:color w:val="auto"/>
          <w:highlight w:val="none"/>
        </w:rPr>
        <w:outlineLvl w:val="0"/>
      </w:pPr>
      <w:r>
        <w:rPr>
          <w:rFonts w:ascii="黑体" w:hAnsi="黑体" w:eastAsia="黑体"/>
          <w:color w:val="auto"/>
          <w:sz w:val="28"/>
          <w:szCs w:val="28"/>
          <w:highlight w:val="none"/>
        </w:rPr>
        <w:br w:type="page" w:clear="all"/>
      </w:r>
      <w:bookmarkStart w:id="101" w:name="_Toc13403"/>
      <w:r>
        <w:rPr>
          <w:rFonts w:hint="eastAsia" w:ascii="微软雅黑" w:eastAsia="微软雅黑"/>
          <w:bCs/>
          <w:color w:val="auto"/>
          <w:sz w:val="32"/>
          <w:szCs w:val="32"/>
          <w:highlight w:val="none"/>
        </w:rPr>
        <w:t xml:space="preserve">第5章 评审标准和方法</w:t>
      </w:r>
      <w:bookmarkEnd w:id="100"/>
      <w:r/>
      <w:bookmarkEnd w:id="101"/>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 评审方法为综合评分法，即磋商响应文件能够最大限度的满足磋商文件规定的各项综合评价标准且经评审得分最高的供应商为成交候选人的评标方法。</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磋商小组将对通过资格及符合性检查的各合格磋商人根据磋商响应文件和磋商货物的性能、价格、商务等因素进行评分，总分为100分(不含清单内产品加分)。磋商人的最终得分是所有评委给其的评分(不含报价得分)的算术平均值加价格分和清单内产品加分，分数计算取至小数点后2位。</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 评审因素：价格、技术、商务、财务状况、信誉、业绩、服务、对磋商文件的响应程度，以及相应的比重或者权值等。</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 价格分采用低价优先法计算，即满足磋商文件要求且最后报价中最低报价为评审基准价，其价格分为满分。其他响应供应商的价格分统一按照下列公式计算：</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最后报价得分=(评审基准价／最后报价)×价格分分值</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磋商过程中，不得去掉报价中的最高报价和最低报价。因落实政府采购政策进行价格调整的，以调整后的价格计算评审基准价和最后报价。</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 评分表</w:t>
      </w:r>
      <w:r/>
    </w:p>
    <w:tbl>
      <w:tblPr>
        <w:tblStyle w:val="706"/>
        <w:tblW w:w="9570"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92"/>
        <w:gridCol w:w="1293"/>
        <w:gridCol w:w="1050"/>
        <w:gridCol w:w="5756"/>
        <w:gridCol w:w="779"/>
      </w:tblGrid>
      <w:tr>
        <w:trPr>
          <w:trHeight w:val="420"/>
        </w:trPr>
        <w:tc>
          <w:tcPr>
            <w:tcW w:w="692" w:type="dxa"/>
            <w:vAlign w:val="center"/>
            <w:textDirection w:val="lrTb"/>
            <w:noWrap/>
          </w:tcPr>
          <w:p>
            <w:pPr>
              <w:jc w:val="center"/>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序号</w:t>
            </w:r>
            <w:r/>
          </w:p>
        </w:tc>
        <w:tc>
          <w:tcPr>
            <w:tcW w:w="1293" w:type="dxa"/>
            <w:vAlign w:val="center"/>
            <w:textDirection w:val="lrTb"/>
            <w:noWrap/>
          </w:tcPr>
          <w:p>
            <w:pPr>
              <w:jc w:val="center"/>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评审因素</w:t>
            </w:r>
            <w:r/>
          </w:p>
        </w:tc>
        <w:tc>
          <w:tcPr>
            <w:tcW w:w="1050" w:type="dxa"/>
            <w:vAlign w:val="center"/>
            <w:textDirection w:val="lrTb"/>
            <w:noWrap/>
          </w:tcPr>
          <w:p>
            <w:pPr>
              <w:jc w:val="center"/>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分值</w:t>
            </w:r>
            <w:r/>
          </w:p>
        </w:tc>
        <w:tc>
          <w:tcPr>
            <w:tcW w:w="5756" w:type="dxa"/>
            <w:vAlign w:val="center"/>
            <w:textDirection w:val="lrTb"/>
            <w:noWrap/>
          </w:tcPr>
          <w:p>
            <w:pPr>
              <w:jc w:val="center"/>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评审要求或标准</w:t>
            </w:r>
            <w:r/>
          </w:p>
        </w:tc>
        <w:tc>
          <w:tcPr>
            <w:tcW w:w="779" w:type="dxa"/>
            <w:vAlign w:val="center"/>
            <w:textDirection w:val="lrTb"/>
            <w:noWrap/>
          </w:tcPr>
          <w:p>
            <w:pPr>
              <w:jc w:val="center"/>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得分</w:t>
            </w:r>
            <w:r/>
          </w:p>
        </w:tc>
      </w:tr>
      <w:tr>
        <w:trPr>
          <w:trHeight w:val="409"/>
        </w:trPr>
        <w:tc>
          <w:tcPr>
            <w:tcW w:w="692" w:type="dxa"/>
            <w:vAlign w:val="center"/>
            <w:textDirection w:val="lrTb"/>
            <w:noWrap/>
          </w:tcPr>
          <w:p>
            <w:pPr>
              <w:jc w:val="center"/>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shd w:val="clear" w:color="auto" w:fill="auto"/>
            <w:tcW w:w="1293" w:type="dxa"/>
            <w:vAlign w:val="center"/>
            <w:textDirection w:val="lrTb"/>
            <w:noWrap/>
          </w:tcPr>
          <w:p>
            <w:pPr>
              <w:jc w:val="center"/>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管理制度</w:t>
            </w:r>
            <w:r/>
          </w:p>
        </w:tc>
        <w:tc>
          <w:tcPr>
            <w:shd w:val="clear" w:color="auto" w:fill="auto"/>
            <w:tcW w:w="1050" w:type="dxa"/>
            <w:vAlign w:val="center"/>
            <w:textDirection w:val="lrTb"/>
            <w:noWrap/>
          </w:tcPr>
          <w:p>
            <w:pPr>
              <w:jc w:val="center"/>
              <w:spacing w:line="30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p>
        </w:tc>
        <w:tc>
          <w:tcPr>
            <w:shd w:val="clear" w:color="auto" w:fill="auto"/>
            <w:tcW w:w="5756" w:type="dxa"/>
            <w:vAlign w:val="center"/>
            <w:textDirection w:val="lrTb"/>
            <w:noWrap/>
          </w:tcPr>
          <w:p>
            <w:pPr>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响应供应商需根据项目需求，提供相关的管理制度，内容包括但不限于：</w:t>
            </w:r>
            <w:r/>
          </w:p>
          <w:p>
            <w:pPr>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（1）管理组织架构；</w:t>
            </w:r>
            <w:r/>
          </w:p>
          <w:p>
            <w:pPr>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（2）员工管理制度；</w:t>
            </w:r>
            <w:r/>
          </w:p>
          <w:p>
            <w:pPr>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（3）教育培训制度；</w:t>
            </w:r>
            <w:r/>
          </w:p>
          <w:p>
            <w:pPr>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（4）员工录用、培训、考核和淘汰制度；</w:t>
            </w:r>
            <w:r/>
          </w:p>
          <w:p>
            <w:pPr>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（5）垃圾收运管理制度；</w:t>
            </w:r>
            <w:r/>
          </w:p>
          <w:p>
            <w:pPr>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响应供应商对上述5方面展开详细的阐述，内容能够适用于本项目实际，内容中每缺少一项内容扣</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分，每有一处需求分析内容存在缺陷或不足的扣</w:t>
            </w:r>
            <w:r>
              <w:rPr>
                <w:rFonts w:hint="eastAsia" w:ascii="仿宋" w:hAnsi="仿宋" w:eastAsia="仿宋" w:cs="仿宋"/>
                <w:color w:val="auto"/>
                <w:sz w:val="24"/>
                <w:highlight w:val="none"/>
                <w:lang w:val="en-US" w:eastAsia="zh-CN"/>
              </w:rPr>
              <w:t xml:space="preserve">0.5</w:t>
            </w:r>
            <w:r>
              <w:rPr>
                <w:rFonts w:hint="eastAsia" w:ascii="仿宋" w:hAnsi="仿宋" w:eastAsia="仿宋" w:cs="仿宋"/>
                <w:color w:val="auto"/>
                <w:sz w:val="24"/>
                <w:highlight w:val="none"/>
              </w:rPr>
              <w:t xml:space="preserve">分，扣完为止。（本项最多得</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w:t>
            </w:r>
            <w:r/>
          </w:p>
          <w:p>
            <w:pPr>
              <w:spacing w:line="300" w:lineRule="exact"/>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注：制度内容存在缺陷或不足是指以下任意一种情形：</w:t>
            </w:r>
            <w:r/>
          </w:p>
          <w:p>
            <w:pPr>
              <w:spacing w:line="300" w:lineRule="exact"/>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方案内容不切合行业实际、不符合国家法规政策；或方案内容生搬硬套，与实际情况不符，存在偏差；或方案内容过于简略；或存在与项目无关的文字内容；或内容不适用项目实际情况；或内容逻辑漏洞或原理错误。</w:t>
            </w:r>
            <w:r/>
          </w:p>
        </w:tc>
        <w:tc>
          <w:tcPr>
            <w:tcW w:w="779" w:type="dxa"/>
            <w:textDirection w:val="lrTb"/>
            <w:noWrap/>
          </w:tcPr>
          <w:p>
            <w:pPr>
              <w:jc w:val="center"/>
              <w:spacing w:line="30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420"/>
        </w:trPr>
        <w:tc>
          <w:tcPr>
            <w:tcW w:w="692" w:type="dxa"/>
            <w:vAlign w:val="center"/>
            <w:textDirection w:val="lrTb"/>
            <w:noWrap/>
          </w:tcPr>
          <w:p>
            <w:pPr>
              <w:jc w:val="center"/>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shd w:val="clear" w:color="auto" w:fill="auto"/>
            <w:tcW w:w="1293" w:type="dxa"/>
            <w:vAlign w:val="center"/>
            <w:textDirection w:val="lrTb"/>
            <w:noWrap/>
          </w:tcPr>
          <w:p>
            <w:pPr>
              <w:jc w:val="center"/>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服务方案</w:t>
            </w:r>
            <w:r/>
          </w:p>
        </w:tc>
        <w:tc>
          <w:tcPr>
            <w:shd w:val="clear" w:color="auto" w:fill="auto"/>
            <w:tcW w:w="1050" w:type="dxa"/>
            <w:vAlign w:val="center"/>
            <w:textDirection w:val="lrTb"/>
            <w:noWrap/>
          </w:tcPr>
          <w:p>
            <w:pPr>
              <w:jc w:val="center"/>
              <w:spacing w:line="30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10</w:t>
            </w:r>
            <w:r/>
          </w:p>
        </w:tc>
        <w:tc>
          <w:tcPr>
            <w:shd w:val="clear" w:color="auto" w:fill="auto"/>
            <w:tcW w:w="5756" w:type="dxa"/>
            <w:vAlign w:val="center"/>
            <w:textDirection w:val="lrTb"/>
            <w:noWrap/>
          </w:tcPr>
          <w:p>
            <w:pPr>
              <w:jc w:val="left"/>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针对本项目制定详细服务方案，包括但不限于：</w:t>
            </w:r>
            <w:r/>
          </w:p>
          <w:p>
            <w:pPr>
              <w:jc w:val="left"/>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（1）对本项目的服务特点、难点进行情况分析，并提出解决措施。</w:t>
            </w:r>
            <w:r/>
          </w:p>
          <w:p>
            <w:pPr>
              <w:jc w:val="left"/>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（2）进退场交接措施；</w:t>
            </w:r>
            <w:r/>
          </w:p>
          <w:p>
            <w:pPr>
              <w:jc w:val="left"/>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（3）机械化垃圾清运方案；</w:t>
            </w:r>
            <w:r/>
          </w:p>
          <w:p>
            <w:pPr>
              <w:jc w:val="left"/>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（4）人工垃圾清运方案；</w:t>
            </w:r>
            <w:r/>
          </w:p>
          <w:p>
            <w:pPr>
              <w:jc w:val="left"/>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（5）垃圾渗漏液处置方案；</w:t>
            </w:r>
            <w:r/>
          </w:p>
          <w:p>
            <w:pPr>
              <w:jc w:val="left"/>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上述5方面内容中每缺少一项内容扣</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分，每有一处需求分析内容存在缺陷或不足的扣1分，扣完为止。（本项最多得</w:t>
            </w:r>
            <w:r>
              <w:rPr>
                <w:rFonts w:hint="eastAsia" w:ascii="仿宋" w:hAnsi="仿宋" w:eastAsia="仿宋" w:cs="仿宋"/>
                <w:color w:val="auto"/>
                <w:sz w:val="24"/>
                <w:highlight w:val="none"/>
                <w:lang w:val="en-US" w:eastAsia="zh-CN"/>
              </w:rPr>
              <w:t xml:space="preserve">10</w:t>
            </w:r>
            <w:r>
              <w:rPr>
                <w:rFonts w:hint="eastAsia" w:ascii="仿宋" w:hAnsi="仿宋" w:eastAsia="仿宋" w:cs="仿宋"/>
                <w:color w:val="auto"/>
                <w:sz w:val="24"/>
                <w:highlight w:val="none"/>
              </w:rPr>
              <w:t xml:space="preserve">分）</w:t>
            </w:r>
            <w:r/>
          </w:p>
          <w:p>
            <w:pPr>
              <w:jc w:val="left"/>
              <w:spacing w:line="300" w:lineRule="exact"/>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注：制度内容存在缺陷或不足是指以下任意一种情形：</w:t>
            </w:r>
            <w:r/>
          </w:p>
          <w:p>
            <w:pPr>
              <w:jc w:val="left"/>
              <w:spacing w:line="300" w:lineRule="exact"/>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方案内容不切合行业实际、不符合国家法规政策；或方案内容生搬硬套，与实际情况不符，存在偏差；或方案内容过于简略；或存在与项目无关的文字内容；或内容不适用项目实际情况；或内容逻辑漏洞或原理错误。</w:t>
            </w:r>
            <w:r/>
          </w:p>
        </w:tc>
        <w:tc>
          <w:tcPr>
            <w:tcW w:w="779" w:type="dxa"/>
            <w:textDirection w:val="lrTb"/>
            <w:noWrap/>
          </w:tcPr>
          <w:p>
            <w:pPr>
              <w:jc w:val="center"/>
              <w:spacing w:line="30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420"/>
        </w:trPr>
        <w:tc>
          <w:tcPr>
            <w:tcW w:w="692" w:type="dxa"/>
            <w:vAlign w:val="center"/>
            <w:textDirection w:val="lrTb"/>
            <w:noWrap/>
          </w:tcPr>
          <w:p>
            <w:pPr>
              <w:jc w:val="center"/>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shd w:val="clear" w:color="auto" w:fill="auto"/>
            <w:tcW w:w="1293" w:type="dxa"/>
            <w:vAlign w:val="center"/>
            <w:textDirection w:val="lrTb"/>
            <w:noWrap/>
          </w:tcPr>
          <w:p>
            <w:pPr>
              <w:jc w:val="center"/>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应急预案</w:t>
            </w:r>
            <w:r/>
          </w:p>
        </w:tc>
        <w:tc>
          <w:tcPr>
            <w:shd w:val="clear" w:color="auto" w:fill="auto"/>
            <w:tcW w:w="1050" w:type="dxa"/>
            <w:vAlign w:val="center"/>
            <w:textDirection w:val="lrTb"/>
            <w:noWrap/>
          </w:tcPr>
          <w:p>
            <w:pPr>
              <w:jc w:val="center"/>
              <w:spacing w:line="30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p>
        </w:tc>
        <w:tc>
          <w:tcPr>
            <w:shd w:val="clear" w:color="auto" w:fill="auto"/>
            <w:tcW w:w="5756" w:type="dxa"/>
            <w:vAlign w:val="center"/>
            <w:textDirection w:val="lrTb"/>
            <w:noWrap/>
          </w:tcPr>
          <w:p>
            <w:pPr>
              <w:jc w:val="left"/>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针对本项目制定详细应急预案，包括但不限于：</w:t>
            </w:r>
            <w:r/>
          </w:p>
          <w:p>
            <w:pPr>
              <w:jc w:val="left"/>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（1）重大交通事故或重大安全事故处理方案；</w:t>
            </w:r>
            <w:r/>
          </w:p>
          <w:p>
            <w:pPr>
              <w:jc w:val="left"/>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（2）重大活动保障应急预案；</w:t>
            </w:r>
            <w:r/>
          </w:p>
          <w:p>
            <w:pPr>
              <w:jc w:val="left"/>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（3）重要节日等应急保障方案；</w:t>
            </w:r>
            <w:r/>
          </w:p>
          <w:p>
            <w:pPr>
              <w:jc w:val="left"/>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（4）台风暴雨降雪等恶劣天气应急预案；</w:t>
            </w:r>
            <w:r/>
          </w:p>
          <w:p>
            <w:pPr>
              <w:jc w:val="left"/>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（5）应急物资储备清单。</w:t>
            </w:r>
            <w:r/>
          </w:p>
          <w:p>
            <w:pPr>
              <w:jc w:val="left"/>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上述5方面内容中每缺少一项内容扣1分，每有一处需求分析内容存在缺陷或不足的扣</w:t>
            </w:r>
            <w:r>
              <w:rPr>
                <w:rFonts w:hint="eastAsia" w:ascii="仿宋" w:hAnsi="仿宋" w:eastAsia="仿宋" w:cs="仿宋"/>
                <w:color w:val="auto"/>
                <w:sz w:val="24"/>
                <w:highlight w:val="none"/>
                <w:lang w:val="en-US" w:eastAsia="zh-CN"/>
              </w:rPr>
              <w:t xml:space="preserve">0.5</w:t>
            </w:r>
            <w:r>
              <w:rPr>
                <w:rFonts w:hint="eastAsia" w:ascii="仿宋" w:hAnsi="仿宋" w:eastAsia="仿宋" w:cs="仿宋"/>
                <w:color w:val="auto"/>
                <w:sz w:val="24"/>
                <w:highlight w:val="none"/>
              </w:rPr>
              <w:t xml:space="preserve">分，扣完为止。（本项最多得5分）</w:t>
            </w:r>
            <w:r/>
          </w:p>
          <w:p>
            <w:pPr>
              <w:jc w:val="left"/>
              <w:spacing w:line="300" w:lineRule="exact"/>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注：制度内容存在缺陷或不足是指以下任意一种情形：</w:t>
            </w:r>
            <w:r/>
          </w:p>
          <w:p>
            <w:pPr>
              <w:jc w:val="left"/>
              <w:spacing w:line="300" w:lineRule="exact"/>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方案内容不切合行业实际、不符合国家法规政策；或方案内容生搬硬套，与实际情况不符，存在偏差；或方案内容过于简略；或存在与项目无关的文字内容；或内容不适用项目实际情况；或内容逻辑漏洞或原理错误。</w:t>
            </w:r>
            <w:r/>
          </w:p>
        </w:tc>
        <w:tc>
          <w:tcPr>
            <w:tcW w:w="779" w:type="dxa"/>
            <w:textDirection w:val="lrTb"/>
            <w:noWrap/>
          </w:tcPr>
          <w:p>
            <w:pPr>
              <w:jc w:val="center"/>
              <w:spacing w:line="30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420"/>
        </w:trPr>
        <w:tc>
          <w:tcPr>
            <w:shd w:val="clear" w:color="auto" w:fill="auto"/>
            <w:tcW w:w="692" w:type="dxa"/>
            <w:vAlign w:val="center"/>
            <w:textDirection w:val="lrTb"/>
            <w:noWrap/>
          </w:tcPr>
          <w:p>
            <w:pPr>
              <w:jc w:val="center"/>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shd w:val="clear" w:color="auto" w:fill="auto"/>
            <w:tcW w:w="1293" w:type="dxa"/>
            <w:vAlign w:val="center"/>
            <w:textDirection w:val="lrTb"/>
            <w:noWrap/>
          </w:tcPr>
          <w:p>
            <w:pPr>
              <w:jc w:val="center"/>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安全作业保障</w:t>
            </w:r>
            <w:r/>
          </w:p>
        </w:tc>
        <w:tc>
          <w:tcPr>
            <w:shd w:val="clear" w:color="auto" w:fill="auto"/>
            <w:tcW w:w="1050" w:type="dxa"/>
            <w:vAlign w:val="center"/>
            <w:textDirection w:val="lrTb"/>
            <w:noWrap/>
          </w:tcPr>
          <w:p>
            <w:pPr>
              <w:jc w:val="center"/>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5</w:t>
            </w:r>
            <w:r/>
          </w:p>
        </w:tc>
        <w:tc>
          <w:tcPr>
            <w:shd w:val="clear" w:color="auto" w:fill="auto"/>
            <w:tcW w:w="5756" w:type="dxa"/>
            <w:vAlign w:val="center"/>
            <w:textDirection w:val="lrTb"/>
            <w:noWrap/>
          </w:tcPr>
          <w:p>
            <w:pPr>
              <w:jc w:val="left"/>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针对本项目制定详细服务方案，包括但不限于：</w:t>
            </w:r>
            <w:r/>
          </w:p>
          <w:p>
            <w:pPr>
              <w:jc w:val="left"/>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（1）安全管理体系；</w:t>
            </w:r>
            <w:r/>
          </w:p>
          <w:p>
            <w:pPr>
              <w:jc w:val="left"/>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（2）安全管理制度；</w:t>
            </w:r>
            <w:r/>
          </w:p>
          <w:p>
            <w:pPr>
              <w:jc w:val="left"/>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（3）安全人员及设施设备配备；</w:t>
            </w:r>
            <w:r/>
          </w:p>
          <w:p>
            <w:pPr>
              <w:jc w:val="left"/>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（4）安全文明保障措施；</w:t>
            </w:r>
            <w:r/>
          </w:p>
          <w:p>
            <w:pPr>
              <w:jc w:val="left"/>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（5）安全风险规避措施。</w:t>
            </w:r>
            <w:r/>
          </w:p>
          <w:p>
            <w:pPr>
              <w:jc w:val="left"/>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上述5方面内容中每缺少一项内容扣1分，每有一处需求分析内容存在缺陷或不足的扣</w:t>
            </w:r>
            <w:r>
              <w:rPr>
                <w:rFonts w:hint="eastAsia" w:ascii="仿宋" w:hAnsi="仿宋" w:eastAsia="仿宋" w:cs="仿宋"/>
                <w:color w:val="auto"/>
                <w:sz w:val="24"/>
                <w:highlight w:val="none"/>
                <w:lang w:val="en-US" w:eastAsia="zh-CN"/>
              </w:rPr>
              <w:t xml:space="preserve">0.5</w:t>
            </w:r>
            <w:r>
              <w:rPr>
                <w:rFonts w:hint="eastAsia" w:ascii="仿宋" w:hAnsi="仿宋" w:eastAsia="仿宋" w:cs="仿宋"/>
                <w:color w:val="auto"/>
                <w:sz w:val="24"/>
                <w:highlight w:val="none"/>
              </w:rPr>
              <w:t xml:space="preserve">分，扣完为止。（本项最多得5分）</w:t>
            </w:r>
            <w:r/>
          </w:p>
          <w:p>
            <w:pPr>
              <w:jc w:val="left"/>
              <w:spacing w:line="300" w:lineRule="exact"/>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注：制度内容存在缺陷或不足是指以下任意一种情形：</w:t>
            </w:r>
            <w:r/>
          </w:p>
          <w:p>
            <w:pPr>
              <w:jc w:val="left"/>
              <w:spacing w:line="300" w:lineRule="exact"/>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方案内容不切合行业实际、不符合国家法规政策；或方案内容生搬硬套，与实际情况不符，存在偏差；或方案内容过于简略；或存在与项目无关的文字内容；或内容不适用项目实际情况；或内容逻辑漏洞或原理错误。</w:t>
            </w:r>
            <w:r/>
          </w:p>
        </w:tc>
        <w:tc>
          <w:tcPr>
            <w:tcW w:w="779" w:type="dxa"/>
            <w:textDirection w:val="lrTb"/>
            <w:noWrap/>
          </w:tcPr>
          <w:p>
            <w:pPr>
              <w:jc w:val="center"/>
              <w:spacing w:line="30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420"/>
        </w:trPr>
        <w:tc>
          <w:tcPr>
            <w:shd w:val="clear" w:color="auto" w:fill="auto"/>
            <w:tcW w:w="692" w:type="dxa"/>
            <w:vAlign w:val="center"/>
            <w:textDirection w:val="lrTb"/>
            <w:noWrap/>
          </w:tcPr>
          <w:p>
            <w:pPr>
              <w:jc w:val="center"/>
              <w:spacing w:line="3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shd w:val="clear" w:color="auto" w:fill="auto"/>
            <w:tcW w:w="1293" w:type="dxa"/>
            <w:vAlign w:val="center"/>
            <w:textDirection w:val="lrTb"/>
            <w:noWrap/>
          </w:tcPr>
          <w:p>
            <w:pPr>
              <w:jc w:val="center"/>
              <w:spacing w:line="3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管理体系认证</w:t>
            </w:r>
            <w:r/>
          </w:p>
        </w:tc>
        <w:tc>
          <w:tcPr>
            <w:shd w:val="clear" w:color="auto" w:fill="auto"/>
            <w:tcW w:w="1050" w:type="dxa"/>
            <w:vAlign w:val="center"/>
            <w:textDirection w:val="lrTb"/>
            <w:noWrap/>
          </w:tcPr>
          <w:p>
            <w:pPr>
              <w:jc w:val="center"/>
              <w:spacing w:line="3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shd w:val="clear" w:color="auto" w:fill="auto"/>
            <w:tcW w:w="5756" w:type="dxa"/>
            <w:vAlign w:val="center"/>
            <w:textDirection w:val="lrTb"/>
            <w:noWrap/>
          </w:tcPr>
          <w:p>
            <w:pPr>
              <w:ind w:firstLine="480"/>
              <w:jc w:val="left"/>
              <w:spacing w:line="300" w:lineRule="exact"/>
              <w:widowControl/>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响应供应商具有有效期内的ISO9001质量管理体系认证、ISO14001环境管理体系认证、ISO45001职业健康安全管理体系认证，有一项得1分，最高得3分。</w:t>
            </w:r>
            <w:r/>
          </w:p>
          <w:p>
            <w:pPr>
              <w:ind w:firstLine="482"/>
              <w:jc w:val="left"/>
              <w:spacing w:line="300" w:lineRule="exact"/>
              <w:widowControl/>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注：须提供</w:t>
            </w:r>
            <w:r>
              <w:rPr>
                <w:rFonts w:hint="eastAsia" w:ascii="仿宋" w:hAnsi="仿宋" w:eastAsia="仿宋" w:cs="仿宋"/>
                <w:b/>
                <w:bCs/>
                <w:color w:val="auto"/>
                <w:sz w:val="24"/>
                <w:highlight w:val="none"/>
                <w:lang w:val="en-US" w:eastAsia="zh-CN"/>
              </w:rPr>
              <w:t xml:space="preserve">证书</w:t>
            </w:r>
            <w:r>
              <w:rPr>
                <w:rFonts w:hint="eastAsia" w:ascii="仿宋" w:hAnsi="仿宋" w:eastAsia="仿宋" w:cs="仿宋"/>
                <w:b/>
                <w:bCs/>
                <w:color w:val="auto"/>
                <w:sz w:val="24"/>
                <w:highlight w:val="none"/>
              </w:rPr>
              <w:t xml:space="preserve">原件</w:t>
            </w:r>
            <w:r>
              <w:rPr>
                <w:rFonts w:hint="eastAsia" w:ascii="仿宋" w:hAnsi="仿宋" w:eastAsia="仿宋" w:cs="仿宋"/>
                <w:b/>
                <w:bCs/>
                <w:color w:val="auto"/>
                <w:sz w:val="24"/>
                <w:highlight w:val="none"/>
                <w:lang w:val="en-US" w:eastAsia="zh-CN"/>
              </w:rPr>
              <w:t xml:space="preserve">扫描</w:t>
            </w:r>
            <w:r>
              <w:rPr>
                <w:rFonts w:hint="eastAsia" w:ascii="仿宋" w:hAnsi="仿宋" w:eastAsia="仿宋" w:cs="仿宋"/>
                <w:b/>
                <w:bCs/>
                <w:color w:val="auto"/>
                <w:sz w:val="24"/>
                <w:highlight w:val="none"/>
              </w:rPr>
              <w:t xml:space="preserve">件及全国认证认可信息公共服务平台上的完整查询页面截图证明并加盖公章，未提供或认证过期或提供的材料无法佐证的不得分。</w:t>
            </w:r>
            <w:r/>
          </w:p>
        </w:tc>
        <w:tc>
          <w:tcPr>
            <w:tcW w:w="779" w:type="dxa"/>
            <w:textDirection w:val="lrTb"/>
            <w:noWrap/>
          </w:tcPr>
          <w:p>
            <w:pPr>
              <w:jc w:val="center"/>
              <w:spacing w:line="30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420"/>
        </w:trPr>
        <w:tc>
          <w:tcPr>
            <w:shd w:val="clear" w:color="auto" w:fill="auto"/>
            <w:tcW w:w="692" w:type="dxa"/>
            <w:vAlign w:val="center"/>
            <w:textDirection w:val="lrTb"/>
            <w:noWrap/>
          </w:tcPr>
          <w:p>
            <w:pPr>
              <w:jc w:val="center"/>
              <w:spacing w:line="3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6</w:t>
            </w:r>
            <w:r/>
          </w:p>
        </w:tc>
        <w:tc>
          <w:tcPr>
            <w:shd w:val="clear" w:color="auto" w:fill="auto"/>
            <w:tcW w:w="1293" w:type="dxa"/>
            <w:vAlign w:val="center"/>
            <w:textDirection w:val="lrTb"/>
            <w:noWrap/>
          </w:tcPr>
          <w:p>
            <w:pPr>
              <w:jc w:val="center"/>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创新管理</w:t>
            </w:r>
            <w:r/>
          </w:p>
        </w:tc>
        <w:tc>
          <w:tcPr>
            <w:shd w:val="clear" w:color="auto" w:fill="auto"/>
            <w:tcW w:w="1050" w:type="dxa"/>
            <w:vAlign w:val="center"/>
            <w:textDirection w:val="lrTb"/>
            <w:noWrap/>
          </w:tcPr>
          <w:p>
            <w:pPr>
              <w:jc w:val="center"/>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shd w:val="clear" w:color="auto" w:fill="auto"/>
            <w:tcW w:w="5756" w:type="dxa"/>
            <w:vAlign w:val="center"/>
            <w:textDirection w:val="lrTb"/>
            <w:noWrap/>
          </w:tcPr>
          <w:p>
            <w:pPr>
              <w:ind w:firstLine="480"/>
              <w:jc w:val="left"/>
              <w:spacing w:line="300" w:lineRule="exact"/>
              <w:widowControl/>
              <w:rPr>
                <w:rFonts w:ascii="仿宋" w:hAnsi="仿宋" w:eastAsia="仿宋" w:cs="仿宋"/>
                <w:bCs/>
                <w:color w:val="auto"/>
                <w:sz w:val="24"/>
                <w:highlight w:val="none"/>
              </w:rPr>
            </w:pPr>
            <w:r>
              <w:rPr>
                <w:rFonts w:hint="eastAsia" w:ascii="仿宋" w:hAnsi="仿宋" w:eastAsia="仿宋" w:cs="仿宋"/>
                <w:color w:val="auto"/>
                <w:sz w:val="24"/>
                <w:highlight w:val="none"/>
              </w:rPr>
              <w:t xml:space="preserve">响应供应商</w:t>
            </w:r>
            <w:r>
              <w:rPr>
                <w:rFonts w:hint="eastAsia" w:ascii="仿宋" w:hAnsi="仿宋" w:eastAsia="仿宋" w:cs="仿宋"/>
                <w:bCs/>
                <w:color w:val="auto"/>
                <w:sz w:val="24"/>
                <w:highlight w:val="none"/>
              </w:rPr>
              <w:t xml:space="preserve">具有智慧环卫管理软件平台（拥有所有权，后台数据须对招标人开放），软件平台包含但不限于以下功能：垃圾清运作业监测、环卫作业车辆轨迹监测记录、环卫作业大数据管理、环卫作业路径规划、环卫品质监管（项目巡检管理）等，具有其中一项功能得1分，</w:t>
            </w:r>
            <w:r>
              <w:rPr>
                <w:rFonts w:hint="eastAsia" w:ascii="仿宋" w:hAnsi="仿宋" w:eastAsia="仿宋" w:cs="仿宋"/>
                <w:color w:val="auto"/>
                <w:sz w:val="24"/>
                <w:highlight w:val="none"/>
              </w:rPr>
              <w:t xml:space="preserve">本项最多得5分，不提供不得分（提供项目经理级别以上人员系统账户及登录密码、网址）。</w:t>
            </w:r>
            <w:r/>
          </w:p>
          <w:p>
            <w:pPr>
              <w:ind w:firstLine="482"/>
              <w:jc w:val="left"/>
              <w:spacing w:line="30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注：①平台如为购买须提供平台购买合同、发票扫描件、资金支付凭证及登录后相关功能截图，加盖</w:t>
            </w:r>
            <w:r>
              <w:rPr>
                <w:rFonts w:hint="eastAsia" w:ascii="仿宋" w:hAnsi="仿宋" w:eastAsia="仿宋" w:cs="仿宋"/>
                <w:b/>
                <w:color w:val="auto"/>
                <w:sz w:val="24"/>
                <w:highlight w:val="none"/>
                <w:lang w:val="en-US" w:eastAsia="zh-CN"/>
              </w:rPr>
              <w:t xml:space="preserve">供应商单位</w:t>
            </w:r>
            <w:r>
              <w:rPr>
                <w:rFonts w:hint="eastAsia" w:ascii="仿宋" w:hAnsi="仿宋" w:eastAsia="仿宋" w:cs="仿宋"/>
                <w:b/>
                <w:color w:val="auto"/>
                <w:sz w:val="24"/>
                <w:highlight w:val="none"/>
              </w:rPr>
              <w:t xml:space="preserve">公章；如为自有须提供自有研发证书。不提供或提供不全不得分。</w:t>
            </w:r>
            <w:r/>
          </w:p>
          <w:p>
            <w:pPr>
              <w:ind w:firstLine="482"/>
              <w:jc w:val="left"/>
              <w:spacing w:line="300" w:lineRule="exact"/>
              <w:widowControl/>
              <w:rPr>
                <w:rFonts w:ascii="仿宋" w:hAnsi="仿宋" w:eastAsia="仿宋" w:cs="仿宋"/>
                <w:color w:val="auto"/>
                <w:sz w:val="24"/>
                <w:highlight w:val="none"/>
              </w:rPr>
            </w:pPr>
            <w:r>
              <w:rPr>
                <w:rFonts w:hint="eastAsia" w:ascii="仿宋" w:hAnsi="仿宋" w:eastAsia="仿宋" w:cs="仿宋"/>
                <w:b/>
                <w:color w:val="auto"/>
                <w:sz w:val="24"/>
                <w:highlight w:val="none"/>
              </w:rPr>
              <w:t xml:space="preserve">②</w:t>
            </w:r>
            <w:r>
              <w:rPr>
                <w:rFonts w:hint="eastAsia" w:ascii="仿宋" w:hAnsi="仿宋" w:eastAsia="仿宋" w:cs="仿宋"/>
                <w:b/>
                <w:bCs/>
                <w:color w:val="auto"/>
                <w:sz w:val="24"/>
                <w:highlight w:val="none"/>
              </w:rPr>
              <w:t xml:space="preserve">响应供应商需提供承诺函（格式自拟），承诺后台数据对采购人开放，不提供或提供不全不得分。</w:t>
            </w:r>
            <w:r/>
          </w:p>
        </w:tc>
        <w:tc>
          <w:tcPr>
            <w:tcW w:w="779" w:type="dxa"/>
            <w:textDirection w:val="lrTb"/>
            <w:noWrap/>
          </w:tcPr>
          <w:p>
            <w:pPr>
              <w:jc w:val="center"/>
              <w:spacing w:line="30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420"/>
        </w:trPr>
        <w:tc>
          <w:tcPr>
            <w:shd w:val="clear" w:color="auto" w:fill="auto"/>
            <w:tcW w:w="692" w:type="dxa"/>
            <w:vAlign w:val="center"/>
            <w:textDirection w:val="lrTb"/>
            <w:noWrap/>
          </w:tcPr>
          <w:p>
            <w:pPr>
              <w:jc w:val="center"/>
              <w:spacing w:line="3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7</w:t>
            </w:r>
            <w:r/>
          </w:p>
        </w:tc>
        <w:tc>
          <w:tcPr>
            <w:shd w:val="clear" w:color="auto" w:fill="auto"/>
            <w:tcW w:w="1293" w:type="dxa"/>
            <w:vAlign w:val="center"/>
            <w:textDirection w:val="lrTb"/>
            <w:noWrap/>
          </w:tcPr>
          <w:p>
            <w:pPr>
              <w:jc w:val="center"/>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服务水平</w:t>
            </w:r>
            <w:r/>
          </w:p>
        </w:tc>
        <w:tc>
          <w:tcPr>
            <w:shd w:val="clear" w:color="auto" w:fill="auto"/>
            <w:tcW w:w="1050" w:type="dxa"/>
            <w:vAlign w:val="center"/>
            <w:textDirection w:val="lrTb"/>
            <w:noWrap/>
          </w:tcPr>
          <w:p>
            <w:pPr>
              <w:jc w:val="center"/>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9</w:t>
            </w:r>
            <w:r/>
          </w:p>
        </w:tc>
        <w:tc>
          <w:tcPr>
            <w:shd w:val="clear" w:color="auto" w:fill="auto"/>
            <w:tcW w:w="5756" w:type="dxa"/>
            <w:vAlign w:val="center"/>
            <w:textDirection w:val="lrTb"/>
            <w:noWrap/>
          </w:tcPr>
          <w:p>
            <w:pPr>
              <w:jc w:val="left"/>
              <w:spacing w:line="300" w:lineRule="exact"/>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1.自2021年1月1日以来响应供应商获得县（区）、市级及以上政府部门颁发的</w:t>
            </w:r>
            <w:r>
              <w:rPr>
                <w:rFonts w:hint="eastAsia" w:ascii="仿宋" w:hAnsi="仿宋" w:eastAsia="仿宋" w:cs="仿宋"/>
                <w:b/>
                <w:bCs/>
                <w:color w:val="auto"/>
                <w:sz w:val="24"/>
                <w:highlight w:val="none"/>
              </w:rPr>
              <w:t xml:space="preserve">与</w:t>
            </w:r>
            <w:r>
              <w:rPr>
                <w:rFonts w:hint="eastAsia" w:ascii="仿宋" w:hAnsi="仿宋" w:eastAsia="仿宋" w:cs="仿宋"/>
                <w:b/>
                <w:bCs/>
                <w:color w:val="auto"/>
                <w:sz w:val="24"/>
                <w:highlight w:val="none"/>
                <w:lang w:val="en-US" w:eastAsia="zh-CN"/>
              </w:rPr>
              <w:t xml:space="preserve">环境整治相关的</w:t>
            </w:r>
            <w:r>
              <w:rPr>
                <w:rFonts w:hint="eastAsia" w:ascii="仿宋" w:hAnsi="仿宋" w:eastAsia="仿宋" w:cs="仿宋"/>
                <w:color w:val="auto"/>
                <w:sz w:val="24"/>
                <w:highlight w:val="none"/>
              </w:rPr>
              <w:t xml:space="preserve">荣誉或表彰的有一个得2分。本项最多6分，不提供不得分。</w:t>
            </w:r>
            <w:r/>
          </w:p>
          <w:p>
            <w:pPr>
              <w:jc w:val="left"/>
              <w:spacing w:line="300" w:lineRule="exact"/>
              <w:widowControl/>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注：须提供获奖证书或红头文件扫描件加盖响应供应商公章，未提供不得分。</w:t>
            </w:r>
            <w:r/>
          </w:p>
          <w:p>
            <w:pPr>
              <w:jc w:val="left"/>
              <w:spacing w:line="3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2.响应供应商获得人力资源和社会保障部门颁发的劳动保障信用（诚信）表彰的，得3分。</w:t>
            </w:r>
            <w:r/>
          </w:p>
          <w:p>
            <w:pPr>
              <w:jc w:val="left"/>
              <w:spacing w:line="300" w:lineRule="exact"/>
              <w:widowControl/>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注：须提供证书或荣誉证明资料扫描件等加盖响应供应商公章，不提供不得分。</w:t>
            </w:r>
            <w:r/>
          </w:p>
        </w:tc>
        <w:tc>
          <w:tcPr>
            <w:tcW w:w="779" w:type="dxa"/>
            <w:textDirection w:val="lrTb"/>
            <w:noWrap/>
          </w:tcPr>
          <w:p>
            <w:pPr>
              <w:jc w:val="center"/>
              <w:spacing w:line="30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90"/>
        </w:trPr>
        <w:tc>
          <w:tcPr>
            <w:shd w:val="clear" w:color="auto" w:fill="auto"/>
            <w:tcW w:w="692" w:type="dxa"/>
            <w:vAlign w:val="center"/>
            <w:textDirection w:val="lrTb"/>
            <w:noWrap/>
          </w:tcPr>
          <w:p>
            <w:pPr>
              <w:jc w:val="center"/>
              <w:spacing w:line="3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8</w:t>
            </w:r>
            <w:r/>
          </w:p>
        </w:tc>
        <w:tc>
          <w:tcPr>
            <w:shd w:val="clear" w:color="auto" w:fill="auto"/>
            <w:tcW w:w="1293" w:type="dxa"/>
            <w:vAlign w:val="center"/>
            <w:textDirection w:val="lrTb"/>
            <w:noWrap/>
          </w:tcPr>
          <w:p>
            <w:pPr>
              <w:jc w:val="center"/>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业绩</w:t>
            </w:r>
            <w:r/>
          </w:p>
        </w:tc>
        <w:tc>
          <w:tcPr>
            <w:shd w:val="clear" w:color="auto" w:fill="auto"/>
            <w:tcW w:w="1050" w:type="dxa"/>
            <w:vAlign w:val="center"/>
            <w:textDirection w:val="lrTb"/>
            <w:noWrap/>
          </w:tcPr>
          <w:p>
            <w:pPr>
              <w:jc w:val="center"/>
              <w:spacing w:line="3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6</w:t>
            </w:r>
            <w:r/>
          </w:p>
        </w:tc>
        <w:tc>
          <w:tcPr>
            <w:shd w:val="clear" w:color="auto" w:fill="auto"/>
            <w:tcW w:w="5756" w:type="dxa"/>
            <w:vAlign w:val="center"/>
            <w:textDirection w:val="lrTb"/>
            <w:noWrap/>
          </w:tcPr>
          <w:p>
            <w:pPr>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2021年1月1日以来（以合同签订时间为准）响应供应商承担过类似含垃圾清运项目业绩的，有一个得</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分，最高得1</w:t>
            </w:r>
            <w:r>
              <w:rPr>
                <w:rFonts w:hint="eastAsia" w:ascii="仿宋" w:hAnsi="仿宋" w:eastAsia="仿宋" w:cs="仿宋"/>
                <w:color w:val="auto"/>
                <w:sz w:val="24"/>
                <w:highlight w:val="none"/>
                <w:lang w:val="en-US" w:eastAsia="zh-CN"/>
              </w:rPr>
              <w:t xml:space="preserve">6</w:t>
            </w:r>
            <w:r>
              <w:rPr>
                <w:rFonts w:hint="eastAsia" w:ascii="仿宋" w:hAnsi="仿宋" w:eastAsia="仿宋" w:cs="仿宋"/>
                <w:color w:val="auto"/>
                <w:sz w:val="24"/>
                <w:highlight w:val="none"/>
              </w:rPr>
              <w:t xml:space="preserve">分。</w:t>
            </w:r>
            <w:r/>
          </w:p>
          <w:p>
            <w:pPr>
              <w:spacing w:line="300" w:lineRule="exact"/>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注：须提供中标（成交）通知书、合同原件</w:t>
            </w:r>
            <w:r>
              <w:rPr>
                <w:rFonts w:hint="eastAsia" w:ascii="仿宋" w:hAnsi="仿宋" w:eastAsia="仿宋" w:cs="仿宋"/>
                <w:b/>
                <w:bCs/>
                <w:color w:val="auto"/>
                <w:sz w:val="24"/>
                <w:highlight w:val="none"/>
                <w:lang w:val="en-US" w:eastAsia="zh-CN"/>
              </w:rPr>
              <w:t xml:space="preserve">扫描</w:t>
            </w:r>
            <w:r>
              <w:rPr>
                <w:rFonts w:hint="eastAsia" w:ascii="仿宋" w:hAnsi="仿宋" w:eastAsia="仿宋" w:cs="仿宋"/>
                <w:b/>
                <w:bCs/>
                <w:color w:val="auto"/>
                <w:sz w:val="24"/>
                <w:highlight w:val="none"/>
              </w:rPr>
              <w:t xml:space="preserve">件、合同所属期至少一张发票并加盖响应供应商公章，未提供或未按要求提供的不得分。</w:t>
            </w:r>
            <w:r/>
          </w:p>
        </w:tc>
        <w:tc>
          <w:tcPr>
            <w:tcW w:w="779" w:type="dxa"/>
            <w:textDirection w:val="lrTb"/>
            <w:noWrap/>
          </w:tcPr>
          <w:p>
            <w:pPr>
              <w:jc w:val="center"/>
              <w:spacing w:line="30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420"/>
        </w:trPr>
        <w:tc>
          <w:tcPr>
            <w:shd w:val="clear" w:color="auto" w:fill="auto"/>
            <w:tcW w:w="692" w:type="dxa"/>
            <w:vAlign w:val="center"/>
            <w:textDirection w:val="lrTb"/>
            <w:noWrap/>
          </w:tcPr>
          <w:p>
            <w:pPr>
              <w:jc w:val="center"/>
              <w:spacing w:line="300" w:lineRule="exact"/>
              <w:widowControl/>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9</w:t>
            </w:r>
            <w:r/>
          </w:p>
        </w:tc>
        <w:tc>
          <w:tcPr>
            <w:shd w:val="clear" w:color="auto" w:fill="auto"/>
            <w:tcW w:w="1293" w:type="dxa"/>
            <w:vAlign w:val="center"/>
            <w:textDirection w:val="lrTb"/>
            <w:noWrap/>
          </w:tcPr>
          <w:p>
            <w:pPr>
              <w:jc w:val="center"/>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设备配置</w:t>
            </w:r>
            <w:r/>
          </w:p>
        </w:tc>
        <w:tc>
          <w:tcPr>
            <w:shd w:val="clear" w:color="auto" w:fill="auto"/>
            <w:tcW w:w="1050" w:type="dxa"/>
            <w:vAlign w:val="center"/>
            <w:textDirection w:val="lrTb"/>
            <w:noWrap/>
          </w:tcPr>
          <w:p>
            <w:pPr>
              <w:jc w:val="center"/>
              <w:spacing w:line="30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8</w:t>
            </w:r>
            <w:r/>
          </w:p>
        </w:tc>
        <w:tc>
          <w:tcPr>
            <w:shd w:val="clear" w:color="auto" w:fill="auto"/>
            <w:tcW w:w="5756" w:type="dxa"/>
            <w:vAlign w:val="center"/>
            <w:textDirection w:val="lrTb"/>
            <w:noWrap/>
          </w:tcPr>
          <w:p>
            <w:pPr>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在满足本项目设备设施最低配置的基础上，对供应商另能投入</w:t>
            </w:r>
            <w:r>
              <w:rPr>
                <w:rFonts w:hint="eastAsia" w:ascii="仿宋" w:hAnsi="仿宋" w:eastAsia="仿宋" w:cs="仿宋"/>
                <w:color w:val="auto"/>
                <w:sz w:val="24"/>
                <w:highlight w:val="none"/>
              </w:rPr>
              <w:t xml:space="preserve">的自有</w:t>
            </w:r>
            <w:r>
              <w:rPr>
                <w:rFonts w:hint="eastAsia" w:ascii="仿宋" w:hAnsi="仿宋" w:eastAsia="仿宋" w:cs="仿宋"/>
                <w:color w:val="auto"/>
                <w:sz w:val="24"/>
                <w:highlight w:val="none"/>
                <w:lang w:val="en-US" w:eastAsia="zh-CN"/>
              </w:rPr>
              <w:t xml:space="preserve">设备进行评分，具体如下</w:t>
            </w:r>
            <w:r>
              <w:rPr>
                <w:rFonts w:hint="eastAsia" w:ascii="仿宋" w:hAnsi="仿宋" w:eastAsia="仿宋" w:cs="仿宋"/>
                <w:color w:val="auto"/>
                <w:sz w:val="24"/>
                <w:highlight w:val="none"/>
              </w:rPr>
              <w:t xml:space="preserve">：</w:t>
            </w:r>
            <w:r/>
          </w:p>
          <w:p>
            <w:pPr>
              <w:numPr>
                <w:ilvl w:val="0"/>
                <w:numId w:val="0"/>
              </w:numPr>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自有总质量18000kg及以上压缩式垃圾车，有1辆得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分，本项最高得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w:t>
            </w:r>
            <w:r/>
          </w:p>
          <w:p>
            <w:pPr>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2.自有总质量4吨及以上新能源路面养护车，有1辆得</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分，本项最高得</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分。</w:t>
            </w:r>
            <w:r/>
          </w:p>
          <w:p>
            <w:pPr>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3.自有装载机有1辆得</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分，本项最高得</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分。</w:t>
            </w:r>
            <w:r/>
          </w:p>
          <w:p>
            <w:pPr>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4.自有轮式挖掘机有1辆得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分，本项最高得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w:t>
            </w:r>
            <w:r/>
          </w:p>
          <w:p>
            <w:pPr>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5.自有移动式垃圾压缩机有1台得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分，本项最高得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w:t>
            </w:r>
            <w:r/>
          </w:p>
          <w:p>
            <w:pPr>
              <w:spacing w:line="300" w:lineRule="exact"/>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注：提供车辆有效登记证（登记日期须在响应文件提交截止日前）、行驶证、保险单据、购置发票、车辆带牌照的清晰照片；装载机、轮式挖掘机、移动式垃圾压缩机提供购置发票及照片。以上须提供相关证明材料扫描件并加盖公章，不提供或提供不全不得分。</w:t>
            </w:r>
            <w:r/>
          </w:p>
          <w:p>
            <w:pPr>
              <w:spacing w:line="300" w:lineRule="exact"/>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补充说明：承诺以上设备成交后用于本项目，提供承诺书，格式自拟，否则本项不得分。</w:t>
            </w:r>
            <w:r/>
          </w:p>
        </w:tc>
        <w:tc>
          <w:tcPr>
            <w:tcW w:w="779" w:type="dxa"/>
            <w:textDirection w:val="lrTb"/>
            <w:noWrap/>
          </w:tcPr>
          <w:p>
            <w:pPr>
              <w:jc w:val="center"/>
              <w:spacing w:line="30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420"/>
        </w:trPr>
        <w:tc>
          <w:tcPr>
            <w:shd w:val="clear" w:color="auto" w:fill="auto"/>
            <w:tcW w:w="692" w:type="dxa"/>
            <w:vAlign w:val="center"/>
            <w:textDirection w:val="lrTb"/>
            <w:noWrap/>
          </w:tcPr>
          <w:p>
            <w:pPr>
              <w:jc w:val="center"/>
              <w:spacing w:line="300" w:lineRule="exact"/>
              <w:widowControl/>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10</w:t>
            </w:r>
            <w:r/>
          </w:p>
        </w:tc>
        <w:tc>
          <w:tcPr>
            <w:shd w:val="clear" w:color="auto" w:fill="auto"/>
            <w:tcW w:w="1293" w:type="dxa"/>
            <w:vAlign w:val="center"/>
            <w:textDirection w:val="lrTb"/>
            <w:noWrap/>
          </w:tcPr>
          <w:p>
            <w:pPr>
              <w:jc w:val="center"/>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人员配置</w:t>
            </w:r>
            <w:r/>
          </w:p>
        </w:tc>
        <w:tc>
          <w:tcPr>
            <w:shd w:val="clear" w:color="auto" w:fill="auto"/>
            <w:tcW w:w="1050" w:type="dxa"/>
            <w:vAlign w:val="center"/>
            <w:textDirection w:val="lrTb"/>
            <w:noWrap/>
          </w:tcPr>
          <w:p>
            <w:pPr>
              <w:jc w:val="center"/>
              <w:spacing w:line="30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9</w:t>
            </w:r>
            <w:r/>
          </w:p>
        </w:tc>
        <w:tc>
          <w:tcPr>
            <w:shd w:val="clear" w:color="auto" w:fill="auto"/>
            <w:tcW w:w="5756" w:type="dxa"/>
            <w:vAlign w:val="center"/>
            <w:textDirection w:val="lrTb"/>
            <w:noWrap/>
          </w:tcPr>
          <w:p>
            <w:pPr>
              <w:spacing w:line="300" w:lineRule="exact"/>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w:t>
            </w:r>
            <w:r>
              <w:rPr>
                <w:rFonts w:hint="eastAsia" w:ascii="仿宋" w:hAnsi="仿宋" w:eastAsia="仿宋" w:cs="仿宋"/>
                <w:b/>
                <w:bCs/>
                <w:color w:val="auto"/>
                <w:sz w:val="24"/>
                <w:highlight w:val="none"/>
                <w:lang w:val="en-US" w:eastAsia="zh-CN"/>
              </w:rPr>
              <w:t xml:space="preserve">项</w:t>
            </w:r>
            <w:r>
              <w:rPr>
                <w:rFonts w:hint="eastAsia" w:ascii="仿宋" w:hAnsi="仿宋" w:eastAsia="仿宋" w:cs="仿宋"/>
                <w:b/>
                <w:bCs/>
                <w:color w:val="auto"/>
                <w:sz w:val="24"/>
                <w:highlight w:val="none"/>
              </w:rPr>
              <w:t xml:space="preserve">目经理（</w:t>
            </w:r>
            <w:r>
              <w:rPr>
                <w:rFonts w:hint="eastAsia" w:ascii="仿宋" w:hAnsi="仿宋" w:eastAsia="仿宋" w:cs="仿宋"/>
                <w:b/>
                <w:bCs/>
                <w:color w:val="auto"/>
                <w:sz w:val="24"/>
                <w:highlight w:val="none"/>
                <w:lang w:val="en-US" w:eastAsia="zh-CN"/>
              </w:rPr>
              <w:t xml:space="preserve">3</w:t>
            </w:r>
            <w:r>
              <w:rPr>
                <w:rFonts w:hint="eastAsia" w:ascii="仿宋" w:hAnsi="仿宋" w:eastAsia="仿宋" w:cs="仿宋"/>
                <w:b/>
                <w:bCs/>
                <w:color w:val="auto"/>
                <w:sz w:val="24"/>
                <w:highlight w:val="none"/>
              </w:rPr>
              <w:t xml:space="preserve">分）：</w:t>
            </w:r>
            <w:r/>
          </w:p>
          <w:p>
            <w:pPr>
              <w:ind w:firstLine="480"/>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具有人社部门颁发的</w:t>
            </w:r>
            <w:r>
              <w:rPr>
                <w:rFonts w:hint="eastAsia" w:ascii="仿宋" w:hAnsi="仿宋" w:eastAsia="仿宋" w:cs="仿宋"/>
                <w:color w:val="auto"/>
                <w:sz w:val="24"/>
                <w:highlight w:val="none"/>
                <w:lang w:val="en-US" w:eastAsia="zh-CN"/>
              </w:rPr>
              <w:t xml:space="preserve">相关专业</w:t>
            </w:r>
            <w:r>
              <w:rPr>
                <w:rFonts w:hint="eastAsia" w:ascii="仿宋" w:hAnsi="仿宋" w:eastAsia="仿宋" w:cs="仿宋"/>
                <w:color w:val="auto"/>
                <w:sz w:val="24"/>
                <w:highlight w:val="none"/>
              </w:rPr>
              <w:t xml:space="preserve">中级及以上职称</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具有B2及以上驾驶证</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具有安全生产考核合格证书（A/B/C）（或安全培训合格证书），</w:t>
            </w:r>
            <w:r>
              <w:rPr>
                <w:rFonts w:hint="eastAsia" w:ascii="仿宋" w:hAnsi="仿宋" w:eastAsia="仿宋" w:cs="仿宋"/>
                <w:color w:val="auto"/>
                <w:sz w:val="24"/>
                <w:highlight w:val="none"/>
                <w:lang w:val="en-US" w:eastAsia="zh-CN"/>
              </w:rPr>
              <w:t xml:space="preserve">有一个得1分</w:t>
            </w:r>
            <w:r>
              <w:rPr>
                <w:rFonts w:hint="eastAsia" w:ascii="仿宋" w:hAnsi="仿宋" w:eastAsia="仿宋" w:cs="仿宋"/>
                <w:color w:val="auto"/>
                <w:sz w:val="24"/>
                <w:highlight w:val="none"/>
              </w:rPr>
              <w:t xml:space="preserve">。本项最高得</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w:t>
            </w:r>
            <w:r/>
          </w:p>
          <w:p>
            <w:pPr>
              <w:spacing w:line="300" w:lineRule="exact"/>
              <w:rPr>
                <w:rFonts w:hint="eastAsia" w:ascii="仿宋" w:hAnsi="仿宋" w:eastAsia="仿宋" w:cs="仿宋"/>
                <w:b/>
                <w:bCs/>
                <w:color w:val="auto"/>
                <w:sz w:val="24"/>
                <w:highlight w:val="none"/>
                <w:lang w:eastAsia="zh-CN"/>
              </w:rPr>
            </w:pPr>
            <w:r>
              <w:rPr>
                <w:rFonts w:hint="eastAsia" w:ascii="仿宋" w:hAnsi="仿宋" w:eastAsia="仿宋" w:cs="仿宋"/>
                <w:b/>
                <w:bCs/>
                <w:color w:val="auto"/>
                <w:sz w:val="24"/>
                <w:highlight w:val="none"/>
                <w:lang w:val="en-US" w:eastAsia="zh-CN"/>
              </w:rPr>
              <w:t xml:space="preserve">注：</w:t>
            </w:r>
            <w:r>
              <w:rPr>
                <w:rFonts w:hint="eastAsia" w:ascii="仿宋" w:hAnsi="仿宋" w:eastAsia="仿宋" w:cs="仿宋"/>
                <w:b/>
                <w:bCs/>
                <w:color w:val="auto"/>
                <w:sz w:val="24"/>
                <w:highlight w:val="none"/>
              </w:rPr>
              <w:t xml:space="preserve">响应文件中提供身份证、职称证书、</w:t>
            </w:r>
            <w:r>
              <w:rPr>
                <w:rFonts w:hint="eastAsia" w:ascii="仿宋" w:hAnsi="仿宋" w:eastAsia="仿宋" w:cs="仿宋"/>
                <w:b/>
                <w:bCs/>
                <w:color w:val="auto"/>
                <w:sz w:val="24"/>
                <w:highlight w:val="none"/>
                <w:lang w:val="en-US" w:eastAsia="zh-CN"/>
              </w:rPr>
              <w:t xml:space="preserve">驾驶证、</w:t>
            </w:r>
            <w:r>
              <w:rPr>
                <w:rFonts w:hint="eastAsia" w:ascii="仿宋" w:hAnsi="仿宋" w:eastAsia="仿宋" w:cs="仿宋"/>
                <w:b/>
                <w:bCs/>
                <w:color w:val="auto"/>
                <w:sz w:val="24"/>
                <w:highlight w:val="none"/>
              </w:rPr>
              <w:t xml:space="preserve">安全证书加盖供应商单位公章</w:t>
            </w:r>
            <w:r>
              <w:rPr>
                <w:rFonts w:hint="eastAsia" w:ascii="仿宋" w:hAnsi="仿宋" w:eastAsia="仿宋" w:cs="仿宋"/>
                <w:b/>
                <w:bCs/>
                <w:color w:val="auto"/>
                <w:sz w:val="24"/>
                <w:highlight w:val="none"/>
                <w:lang w:eastAsia="zh-CN"/>
              </w:rPr>
              <w:t xml:space="preserve">。</w:t>
            </w:r>
            <w:r/>
          </w:p>
          <w:p>
            <w:pPr>
              <w:spacing w:line="300" w:lineRule="exact"/>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2.</w:t>
            </w:r>
            <w:r>
              <w:rPr>
                <w:rFonts w:hint="eastAsia" w:ascii="仿宋" w:hAnsi="仿宋" w:eastAsia="仿宋" w:cs="仿宋"/>
                <w:color w:val="auto"/>
                <w:sz w:val="24"/>
                <w:highlight w:val="none"/>
                <w:lang w:val="en-US" w:eastAsia="zh-CN"/>
              </w:rPr>
              <w:t xml:space="preserve">在满足本项目基本人员配置的基础上，对供应商另能投入</w:t>
            </w:r>
            <w:r>
              <w:rPr>
                <w:rFonts w:hint="eastAsia" w:ascii="仿宋" w:hAnsi="仿宋" w:eastAsia="仿宋" w:cs="仿宋"/>
                <w:color w:val="auto"/>
                <w:sz w:val="24"/>
                <w:highlight w:val="none"/>
              </w:rPr>
              <w:t xml:space="preserve">的</w:t>
            </w:r>
            <w:r>
              <w:rPr>
                <w:rFonts w:hint="eastAsia" w:ascii="仿宋" w:hAnsi="仿宋" w:eastAsia="仿宋" w:cs="仿宋"/>
                <w:b/>
                <w:bCs/>
                <w:color w:val="auto"/>
                <w:sz w:val="24"/>
                <w:highlight w:val="none"/>
              </w:rPr>
              <w:t xml:space="preserve">项目组成员</w:t>
            </w:r>
            <w:r>
              <w:rPr>
                <w:rFonts w:hint="eastAsia" w:ascii="仿宋" w:hAnsi="仿宋" w:eastAsia="仿宋" w:cs="仿宋"/>
                <w:color w:val="auto"/>
                <w:sz w:val="24"/>
                <w:highlight w:val="none"/>
                <w:lang w:val="en-US" w:eastAsia="zh-CN"/>
              </w:rPr>
              <w:t xml:space="preserve">进行评分</w:t>
            </w:r>
            <w:r>
              <w:rPr>
                <w:rFonts w:hint="eastAsia" w:ascii="仿宋" w:hAnsi="仿宋" w:eastAsia="仿宋" w:cs="仿宋"/>
                <w:b/>
                <w:bCs/>
                <w:color w:val="auto"/>
                <w:sz w:val="24"/>
                <w:highlight w:val="none"/>
              </w:rPr>
              <w:t xml:space="preserve">（</w:t>
            </w:r>
            <w:r>
              <w:rPr>
                <w:rFonts w:hint="eastAsia" w:ascii="仿宋" w:hAnsi="仿宋" w:eastAsia="仿宋" w:cs="仿宋"/>
                <w:b/>
                <w:bCs/>
                <w:color w:val="auto"/>
                <w:sz w:val="24"/>
                <w:highlight w:val="none"/>
                <w:lang w:val="en-US" w:eastAsia="zh-CN"/>
              </w:rPr>
              <w:t xml:space="preserve">6</w:t>
            </w:r>
            <w:r>
              <w:rPr>
                <w:rFonts w:hint="eastAsia" w:ascii="仿宋" w:hAnsi="仿宋" w:eastAsia="仿宋" w:cs="仿宋"/>
                <w:b/>
                <w:bCs/>
                <w:color w:val="auto"/>
                <w:sz w:val="24"/>
                <w:highlight w:val="none"/>
              </w:rPr>
              <w:t xml:space="preserve">分）：</w:t>
            </w:r>
            <w:r/>
          </w:p>
          <w:p>
            <w:pPr>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安全员：</w:t>
            </w:r>
            <w:r>
              <w:rPr>
                <w:rFonts w:hint="eastAsia" w:ascii="仿宋" w:hAnsi="仿宋" w:eastAsia="仿宋" w:cs="仿宋"/>
                <w:color w:val="auto"/>
                <w:sz w:val="24"/>
                <w:highlight w:val="none"/>
              </w:rPr>
              <w:t xml:space="preserve">具备安全员C2或安全培训合格证书的得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分，本项最高得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w:t>
            </w:r>
            <w:r/>
          </w:p>
          <w:p>
            <w:pPr>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（2）文员</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信息化管理员</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具有人力资源社会保障部或工业和信息化部颁发的计算机技术与软件专业技术资格证书或教育部门颁发的计算机等级考试合格证书的得2分。本项最高得2分。</w:t>
            </w:r>
            <w:r/>
          </w:p>
          <w:p>
            <w:pPr>
              <w:spacing w:line="300" w:lineRule="exact"/>
              <w:rPr>
                <w:rFonts w:ascii="仿宋" w:hAnsi="仿宋" w:eastAsia="仿宋" w:cs="仿宋"/>
                <w:strike w:val="0"/>
                <w:color w:val="auto"/>
                <w:sz w:val="24"/>
                <w:highlight w:val="none"/>
              </w:rPr>
            </w:pPr>
            <w:r>
              <w:rPr>
                <w:rFonts w:hint="eastAsia" w:ascii="仿宋" w:hAnsi="仿宋" w:eastAsia="仿宋" w:cs="仿宋"/>
                <w:strike w:val="0"/>
                <w:color w:val="auto"/>
                <w:sz w:val="24"/>
                <w:highlight w:val="none"/>
              </w:rPr>
              <w:t xml:space="preserve">（3）装载机驾驶员</w:t>
            </w:r>
            <w:r>
              <w:rPr>
                <w:rFonts w:hint="eastAsia" w:ascii="仿宋" w:hAnsi="仿宋" w:eastAsia="仿宋" w:cs="仿宋"/>
                <w:strike w:val="0"/>
                <w:color w:val="auto"/>
                <w:sz w:val="24"/>
                <w:highlight w:val="none"/>
                <w:lang w:eastAsia="zh-CN"/>
              </w:rPr>
              <w:t xml:space="preserve">：</w:t>
            </w:r>
            <w:r>
              <w:rPr>
                <w:rFonts w:hint="eastAsia" w:ascii="仿宋" w:hAnsi="仿宋" w:eastAsia="仿宋" w:cs="仿宋"/>
                <w:strike w:val="0"/>
                <w:color w:val="auto"/>
                <w:sz w:val="24"/>
                <w:highlight w:val="none"/>
              </w:rPr>
              <w:t xml:space="preserve">具有装载机操作证书得</w:t>
            </w:r>
            <w:r>
              <w:rPr>
                <w:rFonts w:hint="eastAsia" w:ascii="仿宋" w:hAnsi="仿宋" w:eastAsia="仿宋" w:cs="仿宋"/>
                <w:strike w:val="0"/>
                <w:color w:val="auto"/>
                <w:sz w:val="24"/>
                <w:highlight w:val="none"/>
                <w:lang w:val="en-US" w:eastAsia="zh-CN"/>
              </w:rPr>
              <w:t xml:space="preserve">2</w:t>
            </w:r>
            <w:r>
              <w:rPr>
                <w:rFonts w:hint="eastAsia" w:ascii="仿宋" w:hAnsi="仿宋" w:eastAsia="仿宋" w:cs="仿宋"/>
                <w:strike w:val="0"/>
                <w:color w:val="auto"/>
                <w:sz w:val="24"/>
                <w:highlight w:val="none"/>
              </w:rPr>
              <w:t xml:space="preserve">分。本项最高得</w:t>
            </w:r>
            <w:r>
              <w:rPr>
                <w:rFonts w:hint="eastAsia" w:ascii="仿宋" w:hAnsi="仿宋" w:eastAsia="仿宋" w:cs="仿宋"/>
                <w:strike w:val="0"/>
                <w:color w:val="auto"/>
                <w:sz w:val="24"/>
                <w:highlight w:val="none"/>
                <w:lang w:val="en-US" w:eastAsia="zh-CN"/>
              </w:rPr>
              <w:t xml:space="preserve">2</w:t>
            </w:r>
            <w:r>
              <w:rPr>
                <w:rFonts w:hint="eastAsia" w:ascii="仿宋" w:hAnsi="仿宋" w:eastAsia="仿宋" w:cs="仿宋"/>
                <w:strike w:val="0"/>
                <w:color w:val="auto"/>
                <w:sz w:val="24"/>
                <w:highlight w:val="none"/>
              </w:rPr>
              <w:t xml:space="preserve">分。</w:t>
            </w:r>
            <w:r/>
          </w:p>
          <w:p>
            <w:pPr>
              <w:spacing w:line="300" w:lineRule="exact"/>
              <w:rPr>
                <w:rFonts w:hint="eastAsia" w:ascii="仿宋" w:hAnsi="仿宋" w:eastAsia="仿宋" w:cs="仿宋"/>
                <w:color w:val="auto"/>
                <w:sz w:val="24"/>
                <w:highlight w:val="none"/>
                <w:lang w:eastAsia="zh-CN"/>
              </w:rPr>
            </w:pPr>
            <w:r>
              <w:rPr>
                <w:rFonts w:hint="eastAsia" w:ascii="仿宋" w:hAnsi="仿宋" w:eastAsia="仿宋" w:cs="仿宋"/>
                <w:b/>
                <w:bCs/>
                <w:color w:val="auto"/>
                <w:sz w:val="24"/>
                <w:highlight w:val="none"/>
              </w:rPr>
              <w:t xml:space="preserve">注：响应文件中提供身份证、岗位相关证书</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rPr>
              <w:t xml:space="preserve">操作证加盖供应商单位公章</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lang w:val="en-US" w:eastAsia="zh-CN"/>
              </w:rPr>
              <w:t xml:space="preserve">同时提供响应文件提交截止日前最近1个月响应供应商为以上增加人员缴纳社保的证明。</w:t>
            </w:r>
            <w:r/>
          </w:p>
        </w:tc>
        <w:tc>
          <w:tcPr>
            <w:tcW w:w="779" w:type="dxa"/>
            <w:textDirection w:val="lrTb"/>
            <w:noWrap/>
          </w:tcPr>
          <w:p>
            <w:pPr>
              <w:jc w:val="center"/>
              <w:spacing w:line="30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420"/>
        </w:trPr>
        <w:tc>
          <w:tcPr>
            <w:shd w:val="clear" w:color="auto" w:fill="auto"/>
            <w:tcW w:w="692" w:type="dxa"/>
            <w:vAlign w:val="center"/>
            <w:textDirection w:val="lrTb"/>
            <w:noWrap/>
          </w:tcPr>
          <w:p>
            <w:pPr>
              <w:jc w:val="center"/>
              <w:spacing w:line="3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11</w:t>
            </w:r>
            <w:r/>
          </w:p>
        </w:tc>
        <w:tc>
          <w:tcPr>
            <w:shd w:val="clear" w:color="auto" w:fill="auto"/>
            <w:tcW w:w="1293" w:type="dxa"/>
            <w:vAlign w:val="center"/>
            <w:textDirection w:val="lrTb"/>
            <w:noWrap/>
          </w:tcPr>
          <w:p>
            <w:pPr>
              <w:jc w:val="center"/>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价格</w:t>
            </w:r>
            <w:r/>
          </w:p>
        </w:tc>
        <w:tc>
          <w:tcPr>
            <w:shd w:val="clear" w:color="auto" w:fill="auto"/>
            <w:tcW w:w="1050" w:type="dxa"/>
            <w:vAlign w:val="center"/>
            <w:textDirection w:val="lrTb"/>
            <w:noWrap/>
          </w:tcPr>
          <w:p>
            <w:pPr>
              <w:jc w:val="center"/>
              <w:spacing w:line="30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25</w:t>
            </w:r>
            <w:r/>
          </w:p>
        </w:tc>
        <w:tc>
          <w:tcPr>
            <w:shd w:val="clear" w:color="auto" w:fill="auto"/>
            <w:tcW w:w="5756" w:type="dxa"/>
            <w:vAlign w:val="center"/>
            <w:textDirection w:val="lrTb"/>
            <w:noWrap/>
          </w:tcPr>
          <w:p>
            <w:pPr>
              <w:ind w:firstLine="480"/>
              <w:jc w:val="left"/>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价格分采用低价优先法计算，即满足磋商文件要求且最后报价中最低报价为评审基准价，其价格分为满分。其他响应供应商的价格分统一按照下列公式计算：</w:t>
            </w:r>
            <w:r/>
          </w:p>
          <w:p>
            <w:pPr>
              <w:ind w:firstLine="480"/>
              <w:jc w:val="left"/>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最后报价得分=(评审基准价／最后报价)×价格分分值</w:t>
            </w:r>
            <w:r/>
          </w:p>
          <w:p>
            <w:pPr>
              <w:ind w:firstLine="480"/>
              <w:jc w:val="left"/>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磋商过程中，不得去掉报价中的最高报价和最低报价。因落实政府采购政策进行价格调整的，以调整后的价格计算评审基准价和最后报价。</w:t>
            </w:r>
            <w:r/>
          </w:p>
        </w:tc>
        <w:tc>
          <w:tcPr>
            <w:tcW w:w="779" w:type="dxa"/>
            <w:textDirection w:val="lrTb"/>
            <w:noWrap/>
          </w:tcPr>
          <w:p>
            <w:pPr>
              <w:jc w:val="center"/>
              <w:spacing w:line="30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420"/>
        </w:trPr>
        <w:tc>
          <w:tcPr>
            <w:gridSpan w:val="2"/>
            <w:tcW w:w="1985" w:type="dxa"/>
            <w:vAlign w:val="center"/>
            <w:textDirection w:val="lrTb"/>
            <w:noWrap/>
          </w:tcPr>
          <w:p>
            <w:pPr>
              <w:jc w:val="center"/>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合计</w:t>
            </w:r>
            <w:r/>
          </w:p>
        </w:tc>
        <w:tc>
          <w:tcPr>
            <w:tcW w:w="1050" w:type="dxa"/>
            <w:vAlign w:val="center"/>
            <w:textDirection w:val="lrTb"/>
            <w:noWrap/>
          </w:tcPr>
          <w:p>
            <w:pPr>
              <w:jc w:val="center"/>
              <w:spacing w:line="3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100</w:t>
            </w:r>
            <w:r/>
          </w:p>
        </w:tc>
        <w:tc>
          <w:tcPr>
            <w:tcW w:w="5756" w:type="dxa"/>
            <w:vAlign w:val="center"/>
            <w:textDirection w:val="lrTb"/>
            <w:noWrap/>
          </w:tcPr>
          <w:p>
            <w:pPr>
              <w:jc w:val="center"/>
              <w:spacing w:line="30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779" w:type="dxa"/>
            <w:textDirection w:val="lrTb"/>
            <w:noWrap/>
          </w:tcPr>
          <w:p>
            <w:pPr>
              <w:jc w:val="center"/>
              <w:spacing w:line="300" w:lineRule="exact"/>
              <w:rPr>
                <w:rFonts w:ascii="仿宋" w:hAnsi="仿宋" w:eastAsia="仿宋" w:cs="仿宋"/>
                <w:color w:val="auto"/>
                <w:sz w:val="24"/>
                <w:highlight w:val="none"/>
              </w:rPr>
            </w:pPr>
            <w:r>
              <w:rPr>
                <w:rFonts w:ascii="仿宋" w:hAnsi="仿宋" w:eastAsia="仿宋" w:cs="仿宋"/>
                <w:color w:val="auto"/>
                <w:sz w:val="24"/>
                <w:highlight w:val="none"/>
              </w:rPr>
            </w:r>
            <w:r/>
          </w:p>
        </w:tc>
      </w:tr>
    </w:tbl>
    <w:p>
      <w:pPr>
        <w:ind w:firstLine="560"/>
        <w:rPr>
          <w:rFonts w:ascii="仿宋" w:hAnsi="仿宋" w:eastAsia="仿宋"/>
          <w:b/>
          <w:bCs/>
          <w:color w:val="auto"/>
          <w:sz w:val="24"/>
          <w:szCs w:val="24"/>
          <w:highlight w:val="none"/>
        </w:rPr>
      </w:pPr>
      <w:r>
        <w:rPr>
          <w:rFonts w:hint="eastAsia" w:ascii="仿宋" w:hAnsi="仿宋" w:eastAsia="仿宋"/>
          <w:b/>
          <w:bCs/>
          <w:color w:val="auto"/>
          <w:sz w:val="24"/>
          <w:szCs w:val="24"/>
          <w:highlight w:val="none"/>
        </w:rPr>
        <w:t xml:space="preserve">备注：</w:t>
      </w:r>
      <w:r/>
    </w:p>
    <w:p>
      <w:pPr>
        <w:ind w:firstLine="560"/>
        <w:rPr>
          <w:rFonts w:ascii="仿宋" w:hAnsi="仿宋" w:eastAsia="仿宋"/>
          <w:b/>
          <w:bCs/>
          <w:color w:val="auto"/>
          <w:sz w:val="24"/>
          <w:szCs w:val="24"/>
          <w:highlight w:val="none"/>
        </w:rPr>
      </w:pPr>
      <w:r>
        <w:rPr>
          <w:rFonts w:hint="eastAsia" w:ascii="仿宋" w:hAnsi="仿宋" w:eastAsia="仿宋"/>
          <w:b/>
          <w:bCs/>
          <w:color w:val="auto"/>
          <w:sz w:val="24"/>
          <w:szCs w:val="24"/>
          <w:highlight w:val="none"/>
        </w:rPr>
        <w:t xml:space="preserve">1.上述响应文件中所提供的相关证书等证明材料如有有效期的均须在有效期内。</w:t>
      </w:r>
      <w:r/>
    </w:p>
    <w:p>
      <w:pPr>
        <w:ind w:firstLine="560"/>
        <w:rPr>
          <w:rFonts w:ascii="仿宋" w:hAnsi="仿宋" w:eastAsia="仿宋"/>
          <w:b/>
          <w:bCs/>
          <w:color w:val="auto"/>
          <w:sz w:val="24"/>
          <w:szCs w:val="24"/>
          <w:highlight w:val="none"/>
        </w:rPr>
      </w:pPr>
      <w:r>
        <w:rPr>
          <w:rFonts w:hint="eastAsia" w:ascii="仿宋" w:hAnsi="仿宋" w:eastAsia="仿宋"/>
          <w:b/>
          <w:bCs/>
          <w:color w:val="auto"/>
          <w:sz w:val="24"/>
          <w:szCs w:val="24"/>
          <w:highlight w:val="none"/>
        </w:rPr>
        <w:t xml:space="preserve">2.上述响应文件中所提供的相关合同业绩、获奖证书、获奖文件、证明及报告等必须与原件一致。采购结束后，在确认采购结果之前，采购人将对成交供应商响应文件中所提供的证明文件进行核实，如发现不一致，则另行确定成交结果。</w:t>
      </w:r>
      <w:r/>
    </w:p>
    <w:p>
      <w:pPr>
        <w:ind w:firstLine="560"/>
        <w:rPr>
          <w:rFonts w:ascii="仿宋" w:hAnsi="仿宋" w:eastAsia="仿宋"/>
          <w:color w:val="auto"/>
          <w:sz w:val="28"/>
          <w:szCs w:val="28"/>
          <w:highlight w:val="none"/>
        </w:rPr>
      </w:pPr>
      <w:r>
        <w:rPr>
          <w:rFonts w:hint="eastAsia" w:ascii="仿宋" w:hAnsi="仿宋" w:eastAsia="仿宋"/>
          <w:b/>
          <w:bCs/>
          <w:color w:val="auto"/>
          <w:sz w:val="24"/>
          <w:szCs w:val="24"/>
          <w:highlight w:val="none"/>
        </w:rPr>
        <w:t xml:space="preserve">3.本项目商务技术评分标准中须提供的相关得分佐证材料较多，响应供应商需有序放置于相应响应文件中，并注明如评分点 1，评分点 2……，条理清晰，对重点部分着重标注标识，便于评委检索。若因错放，漏放造成的不得分情况由响应供应商自行承担。</w:t>
      </w:r>
      <w:r/>
    </w:p>
    <w:p>
      <w:pPr>
        <w:pStyle w:val="891"/>
        <w:ind w:firstLine="0"/>
        <w:jc w:val="center"/>
        <w:spacing w:line="240" w:lineRule="auto"/>
        <w:rPr>
          <w:rFonts w:ascii="微软雅黑" w:eastAsia="微软雅黑"/>
          <w:bCs/>
          <w:color w:val="auto"/>
          <w:sz w:val="32"/>
          <w:szCs w:val="32"/>
          <w:highlight w:val="none"/>
        </w:rPr>
        <w:outlineLvl w:val="0"/>
      </w:pPr>
      <w:r>
        <w:rPr>
          <w:rFonts w:ascii="微软雅黑" w:eastAsia="微软雅黑"/>
          <w:bCs/>
          <w:color w:val="auto"/>
          <w:sz w:val="44"/>
          <w:szCs w:val="28"/>
          <w:highlight w:val="none"/>
        </w:rPr>
        <w:br w:type="page" w:clear="all"/>
      </w:r>
      <w:bookmarkStart w:id="102" w:name="_Toc15850"/>
      <w:r/>
      <w:bookmarkStart w:id="103" w:name="_Toc30435"/>
      <w:r>
        <w:rPr>
          <w:rFonts w:hint="eastAsia" w:ascii="微软雅黑" w:eastAsia="微软雅黑"/>
          <w:bCs/>
          <w:color w:val="auto"/>
          <w:sz w:val="32"/>
          <w:szCs w:val="32"/>
          <w:highlight w:val="none"/>
        </w:rPr>
        <w:t xml:space="preserve">第6章 竞争性磋商响应文件组成</w:t>
      </w:r>
      <w:bookmarkEnd w:id="102"/>
      <w:r/>
      <w:bookmarkEnd w:id="103"/>
      <w:r/>
      <w:r/>
    </w:p>
    <w:p>
      <w:pPr>
        <w:pStyle w:val="891"/>
        <w:ind w:firstLine="0"/>
        <w:jc w:val="center"/>
        <w:spacing w:line="240" w:lineRule="auto"/>
        <w:rPr>
          <w:rFonts w:ascii="微软雅黑" w:eastAsia="微软雅黑"/>
          <w:bCs/>
          <w:color w:val="auto"/>
          <w:sz w:val="32"/>
          <w:szCs w:val="32"/>
          <w:highlight w:val="none"/>
        </w:rPr>
      </w:pPr>
      <w:r>
        <w:rPr>
          <w:rFonts w:ascii="微软雅黑" w:eastAsia="微软雅黑"/>
          <w:bCs/>
          <w:color w:val="auto"/>
          <w:sz w:val="32"/>
          <w:szCs w:val="32"/>
          <w:highlight w:val="none"/>
        </w:rPr>
      </w:r>
      <w:r/>
    </w:p>
    <w:p>
      <w:pPr>
        <w:ind w:firstLine="880"/>
        <w:jc w:val="center"/>
        <w:rPr>
          <w:rFonts w:ascii="微软雅黑" w:hAnsi="仿宋" w:eastAsia="微软雅黑"/>
          <w:color w:val="auto"/>
          <w:sz w:val="44"/>
          <w:szCs w:val="44"/>
          <w:highlight w:val="none"/>
        </w:rPr>
      </w:pPr>
      <w:r>
        <w:rPr>
          <w:rFonts w:hint="eastAsia" w:ascii="微软雅黑" w:hAnsi="仿宋" w:eastAsia="微软雅黑"/>
          <w:color w:val="auto"/>
          <w:sz w:val="44"/>
          <w:szCs w:val="44"/>
          <w:highlight w:val="none"/>
        </w:rPr>
        <w:t xml:space="preserve">如皋市政府采购竞争性磋商响应文件</w:t>
      </w:r>
      <w:r/>
    </w:p>
    <w:p>
      <w:pPr>
        <w:ind w:firstLine="1434"/>
        <w:rPr>
          <w:rFonts w:ascii="宋体" w:hAnsi="宋体"/>
          <w:b/>
          <w:color w:val="auto"/>
          <w:sz w:val="24"/>
          <w:highlight w:val="none"/>
        </w:rPr>
      </w:pPr>
      <w:r>
        <w:rPr>
          <w:rFonts w:ascii="宋体" w:hAnsi="宋体"/>
          <w:b/>
          <w:color w:val="auto"/>
          <w:sz w:val="24"/>
          <w:highlight w:val="none"/>
        </w:rPr>
      </w:r>
      <w:r/>
    </w:p>
    <w:p>
      <w:pPr>
        <w:ind w:firstLine="2072"/>
        <w:rPr>
          <w:rFonts w:ascii="宋体" w:hAnsi="宋体"/>
          <w:b/>
          <w:color w:val="auto"/>
          <w:sz w:val="32"/>
          <w:szCs w:val="32"/>
          <w:highlight w:val="none"/>
        </w:rPr>
      </w:pPr>
      <w:r>
        <w:rPr>
          <w:rFonts w:ascii="宋体" w:hAnsi="宋体"/>
          <w:b/>
          <w:color w:val="auto"/>
          <w:sz w:val="32"/>
          <w:szCs w:val="32"/>
          <w:highlight w:val="none"/>
        </w:rPr>
      </w:r>
      <w:r/>
    </w:p>
    <w:p>
      <w:pPr>
        <w:ind w:firstLine="2072"/>
        <w:rPr>
          <w:rFonts w:ascii="宋体" w:hAnsi="宋体"/>
          <w:b/>
          <w:color w:val="auto"/>
          <w:sz w:val="32"/>
          <w:szCs w:val="32"/>
          <w:highlight w:val="none"/>
        </w:rPr>
      </w:pPr>
      <w:r>
        <w:rPr>
          <w:rFonts w:hint="eastAsia" w:ascii="宋体" w:hAnsi="宋体"/>
          <w:b/>
          <w:color w:val="auto"/>
          <w:sz w:val="32"/>
          <w:szCs w:val="32"/>
          <w:highlight w:val="none"/>
        </w:rPr>
        <w:t xml:space="preserve">项目名称： 如城街道安置区生活垃圾清运外包</w:t>
      </w:r>
      <w:r/>
    </w:p>
    <w:p>
      <w:pPr>
        <w:ind w:firstLine="2072"/>
        <w:rPr>
          <w:rFonts w:ascii="宋体" w:hAnsi="宋体"/>
          <w:b/>
          <w:color w:val="auto"/>
          <w:sz w:val="32"/>
          <w:szCs w:val="32"/>
          <w:highlight w:val="none"/>
          <w:u w:val="single"/>
        </w:rPr>
      </w:pPr>
      <w:r>
        <w:rPr>
          <w:rFonts w:hint="eastAsia" w:ascii="宋体" w:hAnsi="宋体"/>
          <w:b/>
          <w:color w:val="auto"/>
          <w:sz w:val="32"/>
          <w:szCs w:val="32"/>
          <w:highlight w:val="none"/>
        </w:rPr>
        <w:t xml:space="preserve">项目编号：</w:t>
      </w:r>
      <w:r>
        <w:rPr>
          <w:rFonts w:hint="eastAsia"/>
          <w:b/>
          <w:bCs/>
          <w:color w:val="auto"/>
          <w:sz w:val="32"/>
          <w:highlight w:val="none"/>
        </w:rPr>
        <w:t xml:space="preserve">JSZC-320682-NTJW-C2026-0027</w:t>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pStyle w:val="714"/>
        <w:spacing w:line="240" w:lineRule="auto"/>
        <w:rPr>
          <w:rFonts w:ascii="文鼎CS楷体" w:eastAsia="文鼎CS楷体"/>
          <w:b/>
          <w:bCs/>
          <w:color w:val="auto"/>
          <w:sz w:val="32"/>
          <w:szCs w:val="32"/>
          <w:highlight w:val="none"/>
        </w:rPr>
      </w:pPr>
      <w:r>
        <w:rPr>
          <w:rFonts w:ascii="文鼎CS楷体" w:eastAsia="文鼎CS楷体"/>
          <w:b/>
          <w:bCs/>
          <w:color w:val="auto"/>
          <w:sz w:val="32"/>
          <w:szCs w:val="32"/>
          <w:highlight w:val="none"/>
        </w:rPr>
      </w:r>
      <w:r/>
    </w:p>
    <w:p>
      <w:pPr>
        <w:pStyle w:val="714"/>
        <w:spacing w:line="240" w:lineRule="auto"/>
        <w:rPr>
          <w:rFonts w:ascii="文鼎CS楷体" w:eastAsia="文鼎CS楷体"/>
          <w:b/>
          <w:bCs/>
          <w:color w:val="auto"/>
          <w:sz w:val="32"/>
          <w:szCs w:val="32"/>
          <w:highlight w:val="none"/>
        </w:rPr>
      </w:pPr>
      <w:r>
        <w:rPr>
          <w:rFonts w:ascii="文鼎CS楷体" w:eastAsia="文鼎CS楷体"/>
          <w:b/>
          <w:bCs/>
          <w:color w:val="auto"/>
          <w:sz w:val="32"/>
          <w:szCs w:val="32"/>
          <w:highlight w:val="none"/>
        </w:rPr>
      </w:r>
      <w:r/>
    </w:p>
    <w:p>
      <w:pPr>
        <w:rPr>
          <w:color w:val="auto"/>
          <w:sz w:val="32"/>
          <w:szCs w:val="32"/>
          <w:highlight w:val="none"/>
          <w:u w:val="single"/>
        </w:rPr>
      </w:pPr>
      <w:r>
        <w:rPr>
          <w:rFonts w:hint="eastAsia"/>
          <w:b/>
          <w:color w:val="auto"/>
          <w:sz w:val="32"/>
          <w:szCs w:val="32"/>
          <w:highlight w:val="none"/>
        </w:rPr>
        <w:t xml:space="preserve">供应商名称：</w:t>
      </w:r>
      <w:r/>
    </w:p>
    <w:p>
      <w:pPr>
        <w:rPr>
          <w:rFonts w:ascii="宋体" w:hAnsi="宋体"/>
          <w:b/>
          <w:color w:val="auto"/>
          <w:sz w:val="32"/>
          <w:szCs w:val="32"/>
          <w:highlight w:val="none"/>
        </w:rPr>
      </w:pPr>
      <w:r>
        <w:rPr>
          <w:rFonts w:hint="eastAsia" w:ascii="宋体" w:hAnsi="宋体"/>
          <w:b/>
          <w:color w:val="auto"/>
          <w:sz w:val="32"/>
          <w:szCs w:val="32"/>
          <w:highlight w:val="none"/>
        </w:rPr>
        <w:t xml:space="preserve">地址： </w:t>
      </w:r>
      <w:r/>
    </w:p>
    <w:p>
      <w:pPr>
        <w:rPr>
          <w:rFonts w:ascii="宋体" w:hAnsi="宋体"/>
          <w:b/>
          <w:color w:val="auto"/>
          <w:sz w:val="32"/>
          <w:szCs w:val="32"/>
          <w:highlight w:val="none"/>
        </w:rPr>
      </w:pPr>
      <w:r>
        <w:rPr>
          <w:rFonts w:hint="eastAsia"/>
          <w:b/>
          <w:color w:val="auto"/>
          <w:sz w:val="32"/>
          <w:szCs w:val="32"/>
          <w:highlight w:val="none"/>
        </w:rPr>
        <w:t xml:space="preserve">联系</w:t>
      </w:r>
      <w:r>
        <w:rPr>
          <w:rFonts w:hint="eastAsia" w:ascii="宋体" w:hAnsi="宋体"/>
          <w:b/>
          <w:color w:val="auto"/>
          <w:sz w:val="32"/>
          <w:szCs w:val="32"/>
          <w:highlight w:val="none"/>
        </w:rPr>
        <w:t xml:space="preserve">电话： </w:t>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年月日</w:t>
      </w:r>
      <w:r/>
    </w:p>
    <w:p>
      <w:pPr>
        <w:ind w:firstLine="954"/>
        <w:rPr>
          <w:rFonts w:ascii="宋体" w:hAnsi="宋体"/>
          <w:b/>
          <w:color w:val="auto"/>
          <w:sz w:val="24"/>
          <w:highlight w:val="none"/>
        </w:rPr>
      </w:pPr>
      <w:r>
        <w:rPr>
          <w:rFonts w:ascii="宋体" w:hAnsi="宋体"/>
          <w:b/>
          <w:color w:val="auto"/>
          <w:sz w:val="24"/>
          <w:highlight w:val="none"/>
        </w:rPr>
      </w:r>
      <w:r/>
    </w:p>
    <w:p>
      <w:pPr>
        <w:rPr>
          <w:rFonts w:ascii="黑体" w:hAnsi="黑体" w:eastAsia="黑体"/>
          <w:color w:val="auto"/>
          <w:sz w:val="28"/>
          <w:szCs w:val="28"/>
          <w:highlight w:val="none"/>
        </w:rPr>
      </w:pPr>
      <w:r>
        <w:rPr>
          <w:rFonts w:hint="eastAsia" w:ascii="黑体" w:hAnsi="黑体" w:eastAsia="黑体"/>
          <w:color w:val="auto"/>
          <w:sz w:val="28"/>
          <w:szCs w:val="28"/>
          <w:highlight w:val="none"/>
        </w:rPr>
        <w:br w:type="page" w:clear="all"/>
      </w:r>
      <w:r/>
    </w:p>
    <w:p>
      <w:pPr>
        <w:ind w:firstLine="560"/>
        <w:rPr>
          <w:rFonts w:ascii="仿宋" w:hAnsi="仿宋" w:eastAsia="仿宋"/>
          <w:color w:val="auto"/>
          <w:sz w:val="28"/>
          <w:szCs w:val="28"/>
          <w:highlight w:val="none"/>
        </w:rPr>
        <w:outlineLvl w:val="1"/>
      </w:pPr>
      <w:r/>
      <w:bookmarkStart w:id="104" w:name="_Toc17987"/>
      <w:r/>
      <w:bookmarkStart w:id="105" w:name="_Toc4984"/>
      <w:r>
        <w:rPr>
          <w:rFonts w:hint="eastAsia" w:ascii="黑体" w:hAnsi="黑体" w:eastAsia="黑体"/>
          <w:color w:val="auto"/>
          <w:sz w:val="28"/>
          <w:szCs w:val="28"/>
          <w:highlight w:val="none"/>
        </w:rPr>
        <w:t xml:space="preserve">一、资格证明文件</w:t>
      </w:r>
      <w:bookmarkEnd w:id="104"/>
      <w:r/>
      <w:bookmarkEnd w:id="105"/>
      <w:r/>
      <w:r/>
    </w:p>
    <w:p>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（一）</w:t>
      </w:r>
      <w:r>
        <w:rPr>
          <w:rFonts w:hint="eastAsia" w:ascii="仿宋" w:hAnsi="仿宋" w:eastAsia="仿宋" w:cs="Arial"/>
          <w:color w:val="auto"/>
          <w:sz w:val="28"/>
          <w:szCs w:val="28"/>
          <w:highlight w:val="none"/>
        </w:rPr>
        <w:t xml:space="preserve">法人或者其他组织的营业执照，自然人的身份证（复印件）。</w:t>
      </w:r>
      <w:r/>
    </w:p>
    <w:p>
      <w:p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（二）参加本次政府采购活动前的会计报表</w:t>
      </w:r>
      <w:r>
        <w:rPr>
          <w:rFonts w:hint="eastAsia" w:ascii="仿宋" w:hAnsi="仿宋" w:eastAsia="仿宋" w:cs="Arial"/>
          <w:color w:val="auto"/>
          <w:sz w:val="28"/>
          <w:szCs w:val="28"/>
          <w:highlight w:val="none"/>
        </w:rPr>
        <w:t xml:space="preserve">（复印件，成立不满一年不需提供）。</w:t>
      </w:r>
      <w:r/>
    </w:p>
    <w:p>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color w:val="auto"/>
          <w:sz w:val="28"/>
          <w:szCs w:val="28"/>
          <w:highlight w:val="none"/>
        </w:rPr>
        <w:t xml:space="preserve">（复印件）。</w:t>
      </w:r>
      <w:r/>
    </w:p>
    <w:p>
      <w:pPr>
        <w:ind w:firstLine="560"/>
        <w:jc w:val="left"/>
        <w:spacing w:before="50"/>
        <w:rPr>
          <w:rFonts w:ascii="仿宋" w:hAnsi="仿宋" w:eastAsia="仿宋" w:cs="Arial"/>
          <w:color w:val="auto"/>
          <w:sz w:val="28"/>
          <w:szCs w:val="28"/>
          <w:highlight w:val="none"/>
        </w:rPr>
      </w:pPr>
      <w:r>
        <w:rPr>
          <w:rFonts w:ascii="仿宋" w:hAnsi="仿宋" w:eastAsia="仿宋"/>
          <w:color w:val="auto"/>
          <w:sz w:val="28"/>
          <w:szCs w:val="28"/>
          <w:highlight w:val="none"/>
        </w:rPr>
        <w:br w:type="page" w:clear="all"/>
      </w:r>
      <w:r>
        <w:rPr>
          <w:rFonts w:hint="eastAsia" w:ascii="仿宋" w:hAnsi="仿宋" w:eastAsia="仿宋"/>
          <w:color w:val="auto"/>
          <w:sz w:val="28"/>
          <w:szCs w:val="28"/>
          <w:highlight w:val="none"/>
        </w:rPr>
        <w:t xml:space="preserve">（四）根据项目需求提供履行合同</w:t>
      </w:r>
      <w:r>
        <w:rPr>
          <w:rFonts w:hint="eastAsia" w:ascii="仿宋" w:hAnsi="仿宋" w:eastAsia="仿宋" w:cs="Arial"/>
          <w:color w:val="auto"/>
          <w:sz w:val="28"/>
          <w:szCs w:val="28"/>
          <w:highlight w:val="none"/>
        </w:rPr>
        <w:t xml:space="preserve">必需的设备和专业技术能力的声明及证明材料。</w:t>
      </w:r>
      <w:r/>
    </w:p>
    <w:p>
      <w:pPr>
        <w:jc w:val="center"/>
        <w:rPr>
          <w:rFonts w:ascii="微软雅黑" w:hAnsi="仿宋" w:eastAsia="微软雅黑"/>
          <w:color w:val="auto"/>
          <w:sz w:val="36"/>
          <w:szCs w:val="36"/>
          <w:highlight w:val="none"/>
        </w:rPr>
      </w:pPr>
      <w:r>
        <w:rPr>
          <w:rFonts w:hint="eastAsia" w:ascii="微软雅黑" w:hAnsi="仿宋" w:eastAsia="微软雅黑"/>
          <w:color w:val="auto"/>
          <w:sz w:val="36"/>
          <w:szCs w:val="36"/>
          <w:highlight w:val="none"/>
        </w:rPr>
        <w:t xml:space="preserve">声  明</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主要设备有：________。</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主要专业技术能力有：________。</w:t>
      </w:r>
      <w:r/>
    </w:p>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252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授权代表签字：_________________</w:t>
      </w:r>
      <w:r/>
    </w:p>
    <w:p>
      <w:pPr>
        <w:ind w:firstLine="560"/>
        <w:jc w:val="left"/>
        <w:spacing w:before="50"/>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                           日期：______年 月日</w:t>
      </w:r>
      <w:r/>
    </w:p>
    <w:p>
      <w:pPr>
        <w:ind w:firstLine="560"/>
        <w:rPr>
          <w:rFonts w:ascii="仿宋" w:hAnsi="仿宋" w:eastAsia="仿宋" w:cs="Arial"/>
          <w:color w:val="auto"/>
          <w:sz w:val="28"/>
          <w:szCs w:val="28"/>
          <w:highlight w:val="none"/>
        </w:rPr>
      </w:pPr>
      <w:r>
        <w:rPr>
          <w:rFonts w:ascii="仿宋" w:hAnsi="仿宋" w:eastAsia="仿宋"/>
          <w:color w:val="auto"/>
          <w:sz w:val="28"/>
          <w:szCs w:val="28"/>
          <w:highlight w:val="none"/>
        </w:rPr>
        <w:br w:type="page" w:clear="all"/>
      </w:r>
      <w:r>
        <w:rPr>
          <w:rFonts w:hint="eastAsia" w:ascii="仿宋" w:hAnsi="仿宋" w:eastAsia="仿宋"/>
          <w:color w:val="auto"/>
          <w:sz w:val="28"/>
          <w:szCs w:val="28"/>
          <w:highlight w:val="none"/>
        </w:rPr>
        <w:t xml:space="preserve">（五）</w:t>
      </w:r>
      <w:r>
        <w:rPr>
          <w:rFonts w:hint="eastAsia" w:ascii="仿宋" w:hAnsi="仿宋" w:eastAsia="仿宋" w:cs="Arial"/>
          <w:color w:val="auto"/>
          <w:sz w:val="28"/>
          <w:szCs w:val="28"/>
          <w:highlight w:val="none"/>
        </w:rPr>
        <w:t xml:space="preserve">参加本次政府采购活动前 3 年内在经营活动中没有重大违法记录的书面声明。</w:t>
      </w:r>
      <w:r/>
    </w:p>
    <w:p>
      <w:pPr>
        <w:jc w:val="center"/>
        <w:rPr>
          <w:rFonts w:ascii="微软雅黑" w:hAnsi="仿宋" w:eastAsia="微软雅黑"/>
          <w:color w:val="auto"/>
          <w:sz w:val="36"/>
          <w:szCs w:val="36"/>
          <w:highlight w:val="none"/>
        </w:rPr>
      </w:pPr>
      <w:r>
        <w:rPr>
          <w:rFonts w:hint="eastAsia" w:ascii="微软雅黑" w:hAnsi="仿宋" w:eastAsia="微软雅黑"/>
          <w:color w:val="auto"/>
          <w:sz w:val="36"/>
          <w:szCs w:val="36"/>
          <w:highlight w:val="none"/>
        </w:rPr>
        <w:t xml:space="preserve">声  明</w:t>
      </w:r>
      <w:r/>
    </w:p>
    <w:p>
      <w:pPr>
        <w:ind w:firstLine="482"/>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在响应文件提交截止时间前，没有被“信用中国”（</w:t>
      </w:r>
      <w:r>
        <w:rPr>
          <w:rFonts w:ascii="仿宋" w:hAnsi="仿宋" w:eastAsia="仿宋"/>
          <w:color w:val="auto"/>
          <w:sz w:val="28"/>
          <w:szCs w:val="28"/>
          <w:highlight w:val="none"/>
        </w:rPr>
        <w:t xml:space="preserve">www.creditchina.gov.cn</w:t>
      </w:r>
      <w:r>
        <w:rPr>
          <w:rFonts w:hint="eastAsia" w:ascii="仿宋" w:hAnsi="仿宋" w:eastAsia="仿宋"/>
          <w:color w:val="auto"/>
          <w:sz w:val="28"/>
          <w:szCs w:val="28"/>
          <w:highlight w:val="none"/>
        </w:rPr>
        <w:t xml:space="preserve">）、“中国政府采购网”（</w:t>
      </w:r>
      <w:r>
        <w:rPr>
          <w:rFonts w:ascii="仿宋" w:hAnsi="仿宋" w:eastAsia="仿宋"/>
          <w:color w:val="auto"/>
          <w:sz w:val="28"/>
          <w:szCs w:val="28"/>
          <w:highlight w:val="none"/>
        </w:rPr>
        <w:t xml:space="preserve">www.ccgp.gov.cn</w:t>
      </w:r>
      <w:r>
        <w:rPr>
          <w:rFonts w:hint="eastAsia" w:ascii="仿宋" w:hAnsi="仿宋" w:eastAsia="仿宋"/>
          <w:color w:val="auto"/>
          <w:sz w:val="28"/>
          <w:szCs w:val="28"/>
          <w:highlight w:val="none"/>
        </w:rPr>
        <w:t xml:space="preserve">）网站列入失信被执行人、重大税收违法案件当事人名单、政府采购严重违法失信行为记录名单。</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供应商名称（公章）：</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授权代表签字：_________________</w:t>
      </w:r>
      <w:r/>
    </w:p>
    <w:p>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                           日期：______年 月日</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br w:type="page" w:clear="all"/>
      </w:r>
      <w:r/>
    </w:p>
    <w:p>
      <w:p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六</w:t>
      </w:r>
      <w:r>
        <w:rPr>
          <w:rFonts w:hint="eastAsia" w:ascii="仿宋" w:hAnsi="仿宋" w:eastAsia="仿宋"/>
          <w:color w:val="auto"/>
          <w:sz w:val="28"/>
          <w:szCs w:val="28"/>
          <w:highlight w:val="none"/>
        </w:rPr>
        <w:t xml:space="preserve">）法定代表人身份证明及身份证复印件</w:t>
      </w:r>
      <w:r/>
    </w:p>
    <w:p>
      <w:pPr>
        <w:ind w:firstLine="562"/>
        <w:jc w:val="center"/>
        <w:spacing w:before="50" w:after="156"/>
        <w:rPr>
          <w:rFonts w:ascii="仿宋" w:hAnsi="仿宋" w:eastAsia="仿宋"/>
          <w:color w:val="auto"/>
          <w:sz w:val="28"/>
          <w:szCs w:val="28"/>
          <w:highlight w:val="none"/>
        </w:rPr>
      </w:pPr>
      <w:r>
        <w:rPr>
          <w:rFonts w:hint="eastAsia" w:ascii="仿宋" w:hAnsi="仿宋" w:eastAsia="仿宋"/>
          <w:b/>
          <w:bCs/>
          <w:color w:val="auto"/>
          <w:sz w:val="28"/>
          <w:szCs w:val="28"/>
          <w:highlight w:val="none"/>
        </w:rPr>
        <w:t xml:space="preserve">法定代表人身份证明</w:t>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 </w:t>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单位性质： </w:t>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地址：</w:t>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成立时间：年月日 </w:t>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经营期限：</w:t>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姓名：性别： </w:t>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年龄：职务：</w:t>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系（供应商名称）的法定代表人。 特此证明。 </w:t>
      </w:r>
      <w:r/>
    </w:p>
    <w:p>
      <w:pPr>
        <w:ind w:firstLine="560"/>
        <w:jc w:val="left"/>
        <w:spacing w:before="50" w:after="156"/>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jc w:val="lef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法定代表人身份证</w:t>
      </w:r>
      <w:r/>
    </w:p>
    <w:p>
      <w:pPr>
        <w:ind w:firstLine="560"/>
        <w:jc w:val="right"/>
        <w:spacing w:before="50" w:after="156"/>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jc w:val="right"/>
        <w:spacing w:before="50" w:after="156"/>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供应商名称（公章）：</w:t>
      </w:r>
      <w:r/>
    </w:p>
    <w:p>
      <w:pPr>
        <w:jc w:val="right"/>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日期：年 月日</w:t>
      </w:r>
      <w:r>
        <w:rPr>
          <w:rFonts w:ascii="仿宋" w:hAnsi="仿宋" w:eastAsia="仿宋"/>
          <w:color w:val="auto"/>
          <w:sz w:val="28"/>
          <w:szCs w:val="28"/>
          <w:highlight w:val="none"/>
        </w:rPr>
        <w:br w:type="page" w:clear="all"/>
      </w:r>
      <w:r/>
    </w:p>
    <w:p>
      <w:p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七</w:t>
      </w:r>
      <w:r>
        <w:rPr>
          <w:rFonts w:hint="eastAsia" w:ascii="仿宋" w:hAnsi="仿宋" w:eastAsia="仿宋"/>
          <w:color w:val="auto"/>
          <w:sz w:val="28"/>
          <w:szCs w:val="28"/>
          <w:highlight w:val="none"/>
        </w:rPr>
        <w:t xml:space="preserve">）法定代表人</w:t>
      </w:r>
      <w:r>
        <w:rPr>
          <w:rFonts w:ascii="仿宋" w:hAnsi="仿宋" w:eastAsia="仿宋"/>
          <w:color w:val="auto"/>
          <w:sz w:val="28"/>
          <w:szCs w:val="28"/>
          <w:highlight w:val="none"/>
        </w:rPr>
        <w:t xml:space="preserve">授权</w:t>
      </w:r>
      <w:r>
        <w:rPr>
          <w:rFonts w:hint="eastAsia" w:ascii="仿宋" w:hAnsi="仿宋" w:eastAsia="仿宋"/>
          <w:color w:val="auto"/>
          <w:sz w:val="28"/>
          <w:szCs w:val="28"/>
          <w:highlight w:val="none"/>
        </w:rPr>
        <w:t xml:space="preserve">委托</w:t>
      </w:r>
      <w:r>
        <w:rPr>
          <w:rFonts w:ascii="仿宋" w:hAnsi="仿宋" w:eastAsia="仿宋"/>
          <w:color w:val="auto"/>
          <w:sz w:val="28"/>
          <w:szCs w:val="28"/>
          <w:highlight w:val="none"/>
        </w:rPr>
        <w:t xml:space="preserve">书</w:t>
      </w:r>
      <w:r>
        <w:rPr>
          <w:rFonts w:hint="eastAsia" w:ascii="仿宋" w:hAnsi="仿宋" w:eastAsia="仿宋"/>
          <w:color w:val="auto"/>
          <w:sz w:val="28"/>
          <w:szCs w:val="28"/>
          <w:highlight w:val="none"/>
        </w:rPr>
        <w:t xml:space="preserve">。（法定代表人参加磋商采购活动的，无需提供）</w:t>
      </w:r>
      <w:r/>
    </w:p>
    <w:p>
      <w:pPr>
        <w:jc w:val="center"/>
        <w:rPr>
          <w:rFonts w:ascii="微软雅黑" w:eastAsia="微软雅黑"/>
          <w:i/>
          <w:color w:val="auto"/>
          <w:sz w:val="36"/>
          <w:szCs w:val="36"/>
          <w:highlight w:val="none"/>
        </w:rPr>
      </w:pPr>
      <w:r>
        <w:rPr>
          <w:rFonts w:hint="eastAsia" w:ascii="微软雅黑" w:eastAsia="微软雅黑"/>
          <w:color w:val="auto"/>
          <w:sz w:val="36"/>
          <w:szCs w:val="36"/>
          <w:highlight w:val="none"/>
        </w:rPr>
        <w:t xml:space="preserve">法定代表人授权委托书</w:t>
      </w:r>
      <w:r/>
    </w:p>
    <w:p>
      <w:pPr>
        <w:pStyle w:val="897"/>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本授权书声明：_______________（供应商名称）授权________________（代理人的姓名）为我方就项目名称：</w:t>
      </w:r>
      <w:r>
        <w:rPr>
          <w:rFonts w:hint="eastAsia" w:ascii="仿宋" w:hAnsi="仿宋" w:eastAsia="仿宋"/>
          <w:color w:val="auto"/>
          <w:sz w:val="28"/>
          <w:szCs w:val="28"/>
          <w:highlight w:val="none"/>
          <w:u w:val="single"/>
        </w:rPr>
        <w:t xml:space="preserve"> 如城街道安置区生活垃圾清运外包</w:t>
      </w:r>
      <w:r>
        <w:rPr>
          <w:rFonts w:hint="eastAsia" w:ascii="仿宋" w:hAnsi="仿宋" w:eastAsia="仿宋"/>
          <w:color w:val="auto"/>
          <w:sz w:val="28"/>
          <w:szCs w:val="28"/>
          <w:highlight w:val="none"/>
        </w:rPr>
        <w:t xml:space="preserve">项目编号:</w:t>
      </w:r>
      <w:r>
        <w:rPr>
          <w:rFonts w:hint="eastAsia" w:ascii="仿宋" w:hAnsi="仿宋" w:eastAsia="仿宋"/>
          <w:color w:val="auto"/>
          <w:sz w:val="28"/>
          <w:szCs w:val="28"/>
          <w:highlight w:val="none"/>
          <w:u w:val="single"/>
        </w:rPr>
        <w:t xml:space="preserve">JSZC-320682-NTJW-C2026-0027</w:t>
      </w:r>
      <w:r>
        <w:rPr>
          <w:rFonts w:hint="eastAsia" w:ascii="仿宋" w:hAnsi="仿宋" w:eastAsia="仿宋"/>
          <w:color w:val="auto"/>
          <w:sz w:val="28"/>
          <w:szCs w:val="28"/>
          <w:highlight w:val="none"/>
        </w:rPr>
        <w:t xml:space="preserve">采购活动的合法代理人，以本公司名义全权处理一切与该项目采购有关的事务。</w:t>
      </w:r>
      <w:r/>
    </w:p>
    <w:p>
      <w:pPr>
        <w:pStyle w:val="897"/>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本授权书于______年____月____日起生效，特此声明。</w:t>
      </w:r>
      <w:r/>
    </w:p>
    <w:p>
      <w:pPr>
        <w:pStyle w:val="897"/>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897"/>
        <w:ind w:firstLine="48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法定代表人（签字）： </w:t>
      </w:r>
      <w:r/>
    </w:p>
    <w:p>
      <w:pPr>
        <w:pStyle w:val="897"/>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w:t>
      </w:r>
      <w:r/>
    </w:p>
    <w:p>
      <w:pPr>
        <w:pStyle w:val="897"/>
        <w:ind w:firstLine="232"/>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联系电话（手机）：</w:t>
      </w:r>
      <w:r/>
    </w:p>
    <w:p>
      <w:pPr>
        <w:pStyle w:val="897"/>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897"/>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代理人姓名：</w:t>
      </w:r>
      <w:r/>
    </w:p>
    <w:p>
      <w:pPr>
        <w:pStyle w:val="897"/>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                         </w:t>
      </w:r>
      <w:r/>
    </w:p>
    <w:p>
      <w:pPr>
        <w:pStyle w:val="897"/>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联系电话（手机）：                    </w:t>
      </w:r>
      <w:r/>
    </w:p>
    <w:p>
      <w:pPr>
        <w:pStyle w:val="897"/>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897"/>
        <w:ind w:firstLine="12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供应商名称（加盖公章）：</w:t>
      </w:r>
      <w:r/>
    </w:p>
    <w:p>
      <w:pPr>
        <w:pStyle w:val="897"/>
        <w:ind w:firstLine="602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年   月   日</w:t>
      </w:r>
      <w:r/>
    </w:p>
    <w:p>
      <w:pPr>
        <w:pStyle w:val="897"/>
        <w:ind w:firstLine="480"/>
        <w:spacing w:line="500" w:lineRule="exact"/>
        <w:rPr>
          <w:rFonts w:ascii="仿宋" w:hAnsi="仿宋" w:eastAsia="仿宋"/>
          <w:color w:val="auto"/>
          <w:sz w:val="28"/>
          <w:szCs w:val="28"/>
          <w:highlight w:val="none"/>
        </w:rPr>
      </w:pPr>
      <w:r/>
      <w:bookmarkStart w:id="106" w:name="_Hlt26955070"/>
      <w:r/>
      <w:bookmarkEnd w:id="106"/>
      <w:r/>
      <w:bookmarkStart w:id="107" w:name="_Hlt26671380"/>
      <w:r/>
      <w:bookmarkEnd w:id="107"/>
      <w:r/>
      <w:bookmarkStart w:id="108" w:name="_格式3__银行出具的资信证明"/>
      <w:r/>
      <w:bookmarkEnd w:id="108"/>
      <w:r/>
      <w:r/>
    </w:p>
    <w:p>
      <w:pPr>
        <w:pStyle w:val="709"/>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法定代表人身份证复印件</w:t>
      </w:r>
      <w:r/>
    </w:p>
    <w:p>
      <w:pPr>
        <w:pStyle w:val="709"/>
        <w:ind w:firstLine="140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709"/>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709"/>
        <w:ind w:firstLine="49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代理人身份证复印件</w:t>
      </w:r>
      <w:r/>
    </w:p>
    <w:p>
      <w:pPr>
        <w:pStyle w:val="709"/>
        <w:rPr>
          <w:rFonts w:ascii="宋体" w:hAnsi="宋体"/>
          <w:color w:val="auto"/>
          <w:sz w:val="24"/>
          <w:highlight w:val="none"/>
        </w:rPr>
      </w:pPr>
      <w:r>
        <w:rPr>
          <w:rFonts w:ascii="宋体" w:hAnsi="宋体"/>
          <w:color w:val="auto"/>
          <w:sz w:val="24"/>
          <w:highlight w:val="none"/>
        </w:rPr>
      </w:r>
      <w:r/>
    </w:p>
    <w:p>
      <w:pPr>
        <w:ind w:firstLine="480"/>
        <w:jc w:val="left"/>
        <w:spacing w:before="50"/>
        <w:rPr>
          <w:rFonts w:ascii="仿宋" w:hAnsi="仿宋" w:eastAsia="仿宋"/>
          <w:color w:val="auto"/>
          <w:sz w:val="24"/>
          <w:highlight w:val="none"/>
        </w:rPr>
      </w:pPr>
      <w:r>
        <w:rPr>
          <w:rFonts w:ascii="仿宋" w:hAnsi="仿宋" w:eastAsia="仿宋"/>
          <w:color w:val="auto"/>
          <w:sz w:val="24"/>
          <w:highlight w:val="none"/>
        </w:rPr>
      </w:r>
      <w:r/>
    </w:p>
    <w:p>
      <w:pPr>
        <w:ind w:firstLine="480"/>
        <w:jc w:val="left"/>
        <w:spacing w:before="50"/>
        <w:rPr>
          <w:rFonts w:ascii="仿宋" w:hAnsi="仿宋" w:eastAsia="仿宋" w:cs="Arial"/>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lang w:val="en-US" w:eastAsia="zh-CN"/>
        </w:rPr>
        <w:t xml:space="preserve">八</w:t>
      </w:r>
      <w:r>
        <w:rPr>
          <w:rFonts w:hint="eastAsia" w:ascii="仿宋" w:hAnsi="仿宋" w:eastAsia="仿宋"/>
          <w:bCs/>
          <w:color w:val="auto"/>
          <w:sz w:val="28"/>
          <w:szCs w:val="28"/>
          <w:highlight w:val="none"/>
        </w:rPr>
        <w:t xml:space="preserve">）</w:t>
      </w:r>
      <w:r>
        <w:rPr>
          <w:rFonts w:hint="eastAsia" w:ascii="仿宋" w:hAnsi="仿宋" w:eastAsia="仿宋" w:cs="Arial"/>
          <w:color w:val="auto"/>
          <w:sz w:val="28"/>
          <w:szCs w:val="28"/>
          <w:highlight w:val="none"/>
        </w:rPr>
        <w:t xml:space="preserve">磋商响应函</w:t>
      </w:r>
      <w:r/>
    </w:p>
    <w:p>
      <w:pPr>
        <w:jc w:val="center"/>
        <w:spacing w:before="50"/>
        <w:rPr>
          <w:rFonts w:ascii="微软雅黑" w:eastAsia="微软雅黑"/>
          <w:color w:val="auto"/>
          <w:sz w:val="36"/>
          <w:szCs w:val="36"/>
          <w:highlight w:val="none"/>
        </w:rPr>
      </w:pPr>
      <w:r>
        <w:rPr>
          <w:rFonts w:hint="eastAsia" w:ascii="微软雅黑" w:eastAsia="微软雅黑"/>
          <w:color w:val="auto"/>
          <w:sz w:val="36"/>
          <w:szCs w:val="36"/>
          <w:highlight w:val="none"/>
        </w:rPr>
        <w:t xml:space="preserve">竞争性磋商响应函</w:t>
      </w:r>
      <w:r/>
    </w:p>
    <w:p>
      <w:pPr>
        <w:pStyle w:val="897"/>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致：如皋市人民政府如城街道办事处</w:t>
      </w:r>
      <w:r/>
    </w:p>
    <w:p>
      <w:pPr>
        <w:pStyle w:val="897"/>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根据贵方的</w:t>
      </w:r>
      <w:r>
        <w:rPr>
          <w:rFonts w:hint="eastAsia" w:ascii="仿宋" w:hAnsi="仿宋" w:eastAsia="仿宋"/>
          <w:color w:val="auto"/>
          <w:sz w:val="28"/>
          <w:szCs w:val="28"/>
          <w:highlight w:val="none"/>
          <w:u w:val="single"/>
        </w:rPr>
        <w:t xml:space="preserve"> 如城街道安置区生活垃圾清运外包</w:t>
      </w:r>
      <w:r>
        <w:rPr>
          <w:rFonts w:hint="eastAsia" w:ascii="仿宋" w:hAnsi="仿宋" w:eastAsia="仿宋"/>
          <w:color w:val="auto"/>
          <w:sz w:val="28"/>
          <w:szCs w:val="28"/>
          <w:highlight w:val="none"/>
        </w:rPr>
        <w:t xml:space="preserve">（项目编号：</w:t>
      </w:r>
      <w:r>
        <w:rPr>
          <w:rFonts w:hint="eastAsia" w:ascii="仿宋" w:hAnsi="仿宋" w:eastAsia="仿宋"/>
          <w:color w:val="auto"/>
          <w:sz w:val="28"/>
          <w:szCs w:val="28"/>
          <w:highlight w:val="none"/>
          <w:u w:val="single"/>
        </w:rPr>
        <w:t xml:space="preserve">JSZC-320682-NTJW-C2026-0027</w:t>
      </w:r>
      <w:r>
        <w:rPr>
          <w:rFonts w:hint="eastAsia" w:ascii="仿宋" w:hAnsi="仿宋" w:eastAsia="仿宋"/>
          <w:color w:val="auto"/>
          <w:sz w:val="28"/>
          <w:szCs w:val="28"/>
          <w:highlight w:val="none"/>
        </w:rPr>
        <w:t xml:space="preserve">）竞争性磋商文件，正式授权下述签字人_________ (姓名和职务)代表我方______________（供应商的名称），全权处理本次项目磋商采购的有关事宜。</w:t>
      </w:r>
      <w:r/>
    </w:p>
    <w:p>
      <w:pPr>
        <w:pStyle w:val="897"/>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据此函，__________（签字人）兹宣布同意如下：</w:t>
      </w:r>
      <w:r/>
    </w:p>
    <w:p>
      <w:pPr>
        <w:pStyle w:val="897"/>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1.按磋商文件规定的各项要求，向买方提供所需货物、服务。</w:t>
      </w:r>
      <w:r/>
    </w:p>
    <w:p>
      <w:pPr>
        <w:pStyle w:val="897"/>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2.我们已详细审核全部磋商文件及其有效补充文件，我们知道必须放弃提出含糊不清或误解问题的权利。</w:t>
      </w:r>
      <w:r/>
    </w:p>
    <w:p>
      <w:pPr>
        <w:pStyle w:val="897"/>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3.我们同意从规定的响应文件接收截止时间起遵循本响应文件，并在规定的磋商有效期期满之前均具有约束力。</w:t>
      </w:r>
      <w:r/>
    </w:p>
    <w:p>
      <w:pPr>
        <w:pStyle w:val="897"/>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4.同意向贵方提供贵方可能另外要求的与竞争性磋商活动有关的任何证据或资料，并保证我方已提供和将要提供的文件是真实的、准确的。</w:t>
      </w:r>
      <w:r/>
    </w:p>
    <w:p>
      <w:pPr>
        <w:pStyle w:val="897"/>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5.如果我方成交，我方将在法定期限内签订合同，否则将承担相应法律责任。</w:t>
      </w:r>
      <w:r/>
    </w:p>
    <w:p>
      <w:pPr>
        <w:pStyle w:val="897"/>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6.我方将根据竞争性磋商文件的规定，严格履行合同的责任和义务，并保证在磋商文件规定的时间完成项目。</w:t>
      </w:r>
      <w:r/>
    </w:p>
    <w:p>
      <w:pPr>
        <w:pStyle w:val="897"/>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7.遵守竞争性磋商文件中要求的收费项目和标准。</w:t>
      </w:r>
      <w:r/>
    </w:p>
    <w:p>
      <w:pPr>
        <w:pStyle w:val="897"/>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8.与本次竞争性磋商活动有关的正式通讯地址为：</w:t>
      </w:r>
      <w:r/>
    </w:p>
    <w:p>
      <w:pPr>
        <w:pStyle w:val="897"/>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 址：                         邮 编：</w:t>
      </w:r>
      <w:r/>
    </w:p>
    <w:p>
      <w:pPr>
        <w:pStyle w:val="897"/>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电 话：                         传 真：</w:t>
      </w:r>
      <w:r/>
    </w:p>
    <w:p>
      <w:pPr>
        <w:pStyle w:val="897"/>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供应商开户行：                  账 户： </w:t>
      </w:r>
      <w:r/>
    </w:p>
    <w:p>
      <w:pPr>
        <w:pStyle w:val="897"/>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            </w:t>
      </w:r>
      <w:r/>
    </w:p>
    <w:p>
      <w:pPr>
        <w:pStyle w:val="897"/>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 期：________年____月____日</w:t>
      </w:r>
      <w:r/>
    </w:p>
    <w:p>
      <w:pPr>
        <w:numPr>
          <w:ilvl w:val="0"/>
          <w:numId w:val="0"/>
        </w:numPr>
        <w:jc w:val="left"/>
        <w:rPr>
          <w:rFonts w:ascii="仿宋" w:hAnsi="仿宋" w:eastAsia="仿宋"/>
          <w:bCs/>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lang w:val="en-US" w:eastAsia="zh-CN"/>
        </w:rPr>
        <w:t xml:space="preserve">  </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lang w:val="en-US" w:eastAsia="zh-CN"/>
        </w:rPr>
        <w:t xml:space="preserve">九）</w:t>
      </w:r>
      <w:r>
        <w:rPr>
          <w:rFonts w:hint="eastAsia" w:ascii="仿宋" w:hAnsi="仿宋" w:eastAsia="仿宋"/>
          <w:bCs/>
          <w:color w:val="auto"/>
          <w:sz w:val="28"/>
          <w:szCs w:val="28"/>
          <w:highlight w:val="none"/>
        </w:rPr>
        <w:t xml:space="preserve">中小企业声明函</w:t>
      </w:r>
      <w:r/>
    </w:p>
    <w:p>
      <w:pPr>
        <w:jc w:val="center"/>
        <w:rPr>
          <w:rFonts w:ascii="微软雅黑" w:eastAsia="微软雅黑"/>
          <w:color w:val="auto"/>
          <w:sz w:val="36"/>
          <w:szCs w:val="36"/>
          <w:highlight w:val="none"/>
        </w:rPr>
      </w:pPr>
      <w:r>
        <w:rPr>
          <w:rFonts w:hint="eastAsia" w:ascii="微软雅黑" w:eastAsia="微软雅黑"/>
          <w:color w:val="auto"/>
          <w:sz w:val="36"/>
          <w:szCs w:val="36"/>
          <w:highlight w:val="none"/>
        </w:rPr>
        <w:t xml:space="preserve">中小企业声明函（工程、服务）</w:t>
      </w:r>
      <w:r/>
    </w:p>
    <w:p>
      <w:pPr>
        <w:ind w:firstLine="560"/>
        <w:spacing w:line="500" w:lineRule="exact"/>
        <w:rPr>
          <w:rFonts w:ascii="仿宋" w:hAnsi="仿宋" w:eastAsia="仿宋"/>
          <w:iCs/>
          <w:color w:val="auto"/>
          <w:sz w:val="28"/>
          <w:szCs w:val="28"/>
          <w:highlight w:val="none"/>
        </w:rPr>
      </w:pPr>
      <w:r>
        <w:rPr>
          <w:rFonts w:hint="eastAsia" w:ascii="仿宋" w:hAnsi="仿宋" w:eastAsia="仿宋"/>
          <w:color w:val="auto"/>
          <w:sz w:val="28"/>
          <w:szCs w:val="28"/>
          <w:highlight w:val="none"/>
        </w:rPr>
        <w:t xml:space="preserve">本公司（联合体）郑重声明，根据《政府采购促进中小企业发展管理办法》（财库﹝2020﹞46 号）的规定，本公司（联合体）参加</w:t>
      </w:r>
      <w:r>
        <w:rPr>
          <w:rFonts w:hint="eastAsia" w:ascii="仿宋" w:hAnsi="仿宋" w:eastAsia="仿宋"/>
          <w:iCs/>
          <w:color w:val="auto"/>
          <w:sz w:val="28"/>
          <w:szCs w:val="28"/>
          <w:highlight w:val="none"/>
          <w:u w:val="single"/>
        </w:rPr>
        <w:t xml:space="preserve">如皋市人民政府如城街道办事处</w:t>
      </w:r>
      <w:r>
        <w:rPr>
          <w:rFonts w:hint="eastAsia" w:ascii="仿宋" w:hAnsi="仿宋" w:eastAsia="仿宋"/>
          <w:iCs/>
          <w:color w:val="auto"/>
          <w:sz w:val="28"/>
          <w:szCs w:val="28"/>
          <w:highlight w:val="none"/>
        </w:rPr>
        <w:t xml:space="preserve">的</w:t>
      </w:r>
      <w:r>
        <w:rPr>
          <w:rFonts w:hint="eastAsia" w:ascii="仿宋" w:hAnsi="仿宋" w:eastAsia="仿宋"/>
          <w:iCs/>
          <w:color w:val="auto"/>
          <w:sz w:val="28"/>
          <w:szCs w:val="28"/>
          <w:highlight w:val="none"/>
          <w:u w:val="single"/>
        </w:rPr>
        <w:t xml:space="preserve"> 如城街道安置区生活垃圾清运外包项目</w:t>
      </w:r>
      <w:r>
        <w:rPr>
          <w:rFonts w:hint="eastAsia" w:ascii="仿宋" w:hAnsi="仿宋" w:eastAsia="仿宋"/>
          <w:iCs/>
          <w:color w:val="auto"/>
          <w:sz w:val="28"/>
          <w:szCs w:val="28"/>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560"/>
        <w:spacing w:line="500" w:lineRule="exact"/>
        <w:rPr>
          <w:rFonts w:ascii="仿宋" w:hAnsi="仿宋" w:eastAsia="仿宋"/>
          <w:iCs/>
          <w:color w:val="auto"/>
          <w:sz w:val="28"/>
          <w:szCs w:val="28"/>
          <w:highlight w:val="none"/>
        </w:rPr>
      </w:pPr>
      <w:r>
        <w:rPr>
          <w:rFonts w:hint="eastAsia" w:ascii="仿宋" w:hAnsi="仿宋" w:eastAsia="仿宋"/>
          <w:iCs/>
          <w:color w:val="auto"/>
          <w:sz w:val="28"/>
          <w:szCs w:val="28"/>
          <w:highlight w:val="none"/>
        </w:rPr>
        <w:t xml:space="preserve">1.</w:t>
      </w:r>
      <w:r>
        <w:rPr>
          <w:rFonts w:hint="eastAsia" w:ascii="仿宋" w:hAnsi="仿宋" w:eastAsia="仿宋"/>
          <w:iCs/>
          <w:color w:val="auto"/>
          <w:sz w:val="28"/>
          <w:szCs w:val="28"/>
          <w:highlight w:val="none"/>
          <w:u w:val="single"/>
        </w:rPr>
        <w:t xml:space="preserve"> 如城街道安置区生活垃圾清运外包</w:t>
      </w:r>
      <w:r>
        <w:rPr>
          <w:rFonts w:hint="eastAsia" w:ascii="仿宋" w:hAnsi="仿宋" w:eastAsia="仿宋"/>
          <w:iCs/>
          <w:color w:val="auto"/>
          <w:sz w:val="28"/>
          <w:szCs w:val="28"/>
          <w:highlight w:val="none"/>
        </w:rPr>
        <w:t xml:space="preserve">，属于</w:t>
      </w:r>
      <w:r>
        <w:rPr>
          <w:rFonts w:hint="eastAsia" w:ascii="仿宋" w:hAnsi="仿宋" w:eastAsia="仿宋"/>
          <w:iCs/>
          <w:color w:val="auto"/>
          <w:sz w:val="28"/>
          <w:szCs w:val="28"/>
          <w:highlight w:val="none"/>
          <w:u w:val="single"/>
        </w:rPr>
        <w:t xml:space="preserve">（其他未列明行业）</w:t>
      </w:r>
      <w:r>
        <w:rPr>
          <w:rFonts w:hint="eastAsia" w:ascii="仿宋" w:hAnsi="仿宋" w:eastAsia="仿宋"/>
          <w:iCs/>
          <w:color w:val="auto"/>
          <w:sz w:val="28"/>
          <w:szCs w:val="28"/>
          <w:highlight w:val="none"/>
        </w:rPr>
        <w:t xml:space="preserve"> ；承建（承接）企业为 </w:t>
      </w:r>
      <w:r>
        <w:rPr>
          <w:rFonts w:hint="eastAsia" w:ascii="仿宋" w:hAnsi="仿宋" w:eastAsia="仿宋"/>
          <w:iCs/>
          <w:color w:val="auto"/>
          <w:sz w:val="28"/>
          <w:szCs w:val="28"/>
          <w:highlight w:val="none"/>
          <w:u w:val="single"/>
        </w:rPr>
        <w:t xml:space="preserve">（企业名称）</w:t>
      </w:r>
      <w:r>
        <w:rPr>
          <w:rFonts w:hint="eastAsia" w:ascii="仿宋" w:hAnsi="仿宋" w:eastAsia="仿宋"/>
          <w:iCs/>
          <w:color w:val="auto"/>
          <w:sz w:val="28"/>
          <w:szCs w:val="28"/>
          <w:highlight w:val="none"/>
        </w:rPr>
        <w:t xml:space="preserve"> ，从业人员人，营业收入为万元，资产总额为万元</w:t>
      </w:r>
      <w:r>
        <w:rPr>
          <w:rFonts w:hint="eastAsia" w:ascii="仿宋" w:hAnsi="仿宋" w:eastAsia="仿宋"/>
          <w:iCs/>
          <w:color w:val="auto"/>
          <w:sz w:val="28"/>
          <w:szCs w:val="28"/>
          <w:highlight w:val="none"/>
          <w:vertAlign w:val="superscript"/>
        </w:rPr>
        <w:t xml:space="preserve">1</w:t>
      </w:r>
      <w:r>
        <w:rPr>
          <w:rFonts w:hint="eastAsia" w:ascii="仿宋" w:hAnsi="仿宋" w:eastAsia="仿宋"/>
          <w:iCs/>
          <w:color w:val="auto"/>
          <w:sz w:val="28"/>
          <w:szCs w:val="28"/>
          <w:highlight w:val="none"/>
        </w:rPr>
        <w:t xml:space="preserve"> ，属于</w:t>
      </w:r>
      <w:r>
        <w:rPr>
          <w:rFonts w:hint="eastAsia" w:ascii="仿宋" w:hAnsi="仿宋" w:eastAsia="仿宋"/>
          <w:iCs/>
          <w:color w:val="auto"/>
          <w:sz w:val="28"/>
          <w:szCs w:val="28"/>
          <w:highlight w:val="none"/>
          <w:u w:val="single"/>
        </w:rPr>
        <w:t xml:space="preserve"> （中型企业、小型企业、微型企业） </w:t>
      </w:r>
      <w:r>
        <w:rPr>
          <w:rFonts w:hint="eastAsia" w:ascii="仿宋" w:hAnsi="仿宋" w:eastAsia="仿宋"/>
          <w:iCs/>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以上企业，不属于大企业的分支机构，不存在控股股东为大企业的情形，也不存在与大企业的负责人为同一人的情形。</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本企业对上述声明内容的真实性负责。如有虚假，将依法承担相应责任。</w:t>
      </w:r>
      <w:r/>
    </w:p>
    <w:p>
      <w:pPr>
        <w:ind w:firstLine="560"/>
        <w:jc w:val="righ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企业名称（盖章）：          </w:t>
      </w:r>
      <w:r/>
    </w:p>
    <w:p>
      <w:pPr>
        <w:ind w:firstLine="560"/>
        <w:jc w:val="righ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 期：             </w:t>
      </w:r>
      <w:r/>
    </w:p>
    <w:p>
      <w:pPr>
        <w:ind w:right="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注</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：从业人员、营业收入、资产总额填报上一年度数据，无上一年度数据的新成立企业可不填报。</w:t>
      </w:r>
      <w:r/>
    </w:p>
    <w:p>
      <w:pPr>
        <w:ind w:firstLine="480"/>
        <w:jc w:val="left"/>
        <w:spacing w:before="50"/>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480"/>
        <w:jc w:val="left"/>
        <w:spacing w:before="50"/>
        <w:rPr>
          <w:rFonts w:ascii="仿宋" w:hAnsi="仿宋" w:eastAsia="仿宋"/>
          <w:b/>
          <w:bCs/>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（十）</w:t>
      </w:r>
      <w:r>
        <w:rPr>
          <w:rFonts w:hint="eastAsia" w:ascii="仿宋" w:hAnsi="仿宋" w:eastAsia="仿宋"/>
          <w:color w:val="auto"/>
          <w:sz w:val="28"/>
          <w:szCs w:val="28"/>
          <w:highlight w:val="none"/>
        </w:rPr>
        <w:t xml:space="preserve">其他资格证明材料</w:t>
      </w:r>
      <w:r/>
    </w:p>
    <w:p>
      <w:pPr>
        <w:ind w:firstLine="562"/>
        <w:rPr>
          <w:rFonts w:hint="eastAsia" w:ascii="仿宋" w:hAnsi="仿宋" w:eastAsia="仿宋"/>
          <w:b/>
          <w:color w:val="auto"/>
          <w:sz w:val="28"/>
          <w:szCs w:val="28"/>
          <w:highlight w:val="none"/>
          <w:lang w:val="en-US" w:eastAsia="zh-CN"/>
        </w:rPr>
      </w:pPr>
      <w:r>
        <w:rPr>
          <w:rFonts w:hint="eastAsia" w:ascii="仿宋" w:hAnsi="仿宋" w:eastAsia="仿宋"/>
          <w:b/>
          <w:color w:val="auto"/>
          <w:sz w:val="28"/>
          <w:szCs w:val="28"/>
          <w:highlight w:val="none"/>
          <w:lang w:val="en-US" w:eastAsia="zh-CN"/>
        </w:rPr>
      </w:r>
      <w:r/>
    </w:p>
    <w:p>
      <w:pPr>
        <w:ind w:firstLine="562"/>
        <w:rPr>
          <w:rFonts w:hint="eastAsia" w:ascii="仿宋" w:hAnsi="仿宋" w:eastAsia="仿宋"/>
          <w:b w:val="0"/>
          <w:bCs/>
          <w:color w:val="auto"/>
          <w:sz w:val="28"/>
          <w:szCs w:val="28"/>
          <w:highlight w:val="none"/>
          <w:lang w:val="en-US" w:eastAsia="zh-CN"/>
        </w:rPr>
      </w:pPr>
      <w:r>
        <w:rPr>
          <w:rFonts w:hint="eastAsia" w:ascii="仿宋" w:hAnsi="仿宋" w:eastAsia="仿宋"/>
          <w:b w:val="0"/>
          <w:bCs/>
          <w:color w:val="auto"/>
          <w:sz w:val="28"/>
          <w:szCs w:val="28"/>
          <w:highlight w:val="none"/>
          <w:lang w:val="en-US" w:eastAsia="zh-CN"/>
        </w:rPr>
      </w:r>
      <w:r/>
    </w:p>
    <w:p>
      <w:pPr>
        <w:ind w:firstLine="562"/>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ind w:firstLine="562"/>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注意：以上资格证明文件中要求加盖公章的，必须加盖公章；如供应商组成联合体参加磋商，则联合体各方均须加盖公章，否则视为无效磋商响应文件。</w:t>
      </w:r>
      <w:r/>
    </w:p>
    <w:p>
      <w:pPr>
        <w:ind w:firstLine="560"/>
        <w:rPr>
          <w:rFonts w:ascii="黑体" w:hAnsi="黑体" w:eastAsia="黑体"/>
          <w:bCs/>
          <w:color w:val="auto"/>
          <w:sz w:val="28"/>
          <w:szCs w:val="28"/>
          <w:highlight w:val="none"/>
        </w:rPr>
        <w:outlineLvl w:val="1"/>
      </w:pPr>
      <w:r>
        <w:rPr>
          <w:rFonts w:ascii="黑体" w:hAnsi="黑体" w:eastAsia="黑体"/>
          <w:color w:val="auto"/>
          <w:sz w:val="28"/>
          <w:szCs w:val="28"/>
          <w:highlight w:val="none"/>
        </w:rPr>
        <w:br w:type="page" w:clear="all"/>
      </w:r>
      <w:bookmarkStart w:id="109" w:name="_Toc17633"/>
      <w:r/>
      <w:bookmarkStart w:id="110" w:name="_Toc24169"/>
      <w:r>
        <w:rPr>
          <w:rFonts w:hint="eastAsia" w:ascii="黑体" w:hAnsi="黑体" w:eastAsia="黑体"/>
          <w:color w:val="auto"/>
          <w:sz w:val="28"/>
          <w:szCs w:val="28"/>
          <w:highlight w:val="none"/>
        </w:rPr>
        <w:t xml:space="preserve">二、商务技术文件</w:t>
      </w:r>
      <w:bookmarkEnd w:id="109"/>
      <w:r/>
      <w:bookmarkEnd w:id="110"/>
      <w:r/>
      <w:r/>
    </w:p>
    <w:p>
      <w:pPr>
        <w:numPr>
          <w:ilvl w:val="0"/>
          <w:numId w:val="0"/>
        </w:numPr>
        <w:ind w:firstLine="280"/>
        <w:rPr>
          <w:rFonts w:hint="eastAsia" w:ascii="仿宋" w:hAnsi="仿宋" w:eastAsia="仿宋"/>
          <w:bCs/>
          <w:color w:val="auto"/>
          <w:sz w:val="28"/>
          <w:szCs w:val="28"/>
          <w:highlight w:val="none"/>
          <w:lang w:eastAsia="zh-CN"/>
        </w:rPr>
      </w:pPr>
      <w:r>
        <w:rPr>
          <w:rFonts w:hint="eastAsia" w:ascii="仿宋" w:hAnsi="仿宋" w:eastAsia="仿宋"/>
          <w:bCs/>
          <w:color w:val="auto"/>
          <w:sz w:val="28"/>
          <w:szCs w:val="28"/>
          <w:highlight w:val="none"/>
          <w:lang w:eastAsia="zh-CN"/>
        </w:rPr>
      </w:r>
      <w:r/>
    </w:p>
    <w:p>
      <w:pPr>
        <w:numPr>
          <w:ilvl w:val="0"/>
          <w:numId w:val="0"/>
        </w:numPr>
        <w:ind w:firstLine="280"/>
        <w:rPr>
          <w:rFonts w:ascii="仿宋" w:hAnsi="仿宋" w:eastAsia="仿宋" w:cs="仿宋"/>
          <w:color w:val="auto"/>
          <w:sz w:val="28"/>
          <w:szCs w:val="28"/>
          <w:highlight w:val="none"/>
        </w:rPr>
      </w:pP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lang w:val="en-US" w:eastAsia="zh-CN"/>
        </w:rPr>
        <w:t xml:space="preserve">一</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服务要求的相关证明材料</w:t>
      </w:r>
      <w:r/>
    </w:p>
    <w:p>
      <w:pPr>
        <w:ind w:firstLine="560"/>
        <w:spacing w:line="50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1.第三章采购需求中</w:t>
      </w:r>
      <w:r>
        <w:rPr>
          <w:rFonts w:hint="eastAsia" w:ascii="仿宋" w:hAnsi="仿宋" w:eastAsia="仿宋" w:cs="仿宋"/>
          <w:b w:val="0"/>
          <w:bCs w:val="0"/>
          <w:color w:val="auto"/>
          <w:sz w:val="28"/>
          <w:szCs w:val="28"/>
          <w:highlight w:val="none"/>
        </w:rPr>
        <w:t xml:space="preserve">人员配置为</w:t>
      </w:r>
      <w:r>
        <w:rPr>
          <w:rFonts w:hint="eastAsia" w:ascii="仿宋" w:hAnsi="仿宋" w:eastAsia="仿宋" w:cs="仿宋"/>
          <w:b w:val="0"/>
          <w:bCs w:val="0"/>
          <w:color w:val="auto"/>
          <w:sz w:val="28"/>
          <w:szCs w:val="28"/>
          <w:highlight w:val="none"/>
          <w:lang w:val="en-US" w:eastAsia="zh-CN"/>
        </w:rPr>
        <w:t xml:space="preserve">基本</w:t>
      </w:r>
      <w:r>
        <w:rPr>
          <w:rFonts w:hint="eastAsia" w:ascii="仿宋" w:hAnsi="仿宋" w:eastAsia="仿宋" w:cs="仿宋"/>
          <w:b w:val="0"/>
          <w:bCs w:val="0"/>
          <w:color w:val="auto"/>
          <w:sz w:val="28"/>
          <w:szCs w:val="28"/>
          <w:highlight w:val="none"/>
        </w:rPr>
        <w:t xml:space="preserve">配置要求</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lang w:val="en-US" w:eastAsia="zh-CN"/>
        </w:rPr>
        <w:t xml:space="preserve">响应文件</w:t>
      </w:r>
      <w:r>
        <w:rPr>
          <w:rFonts w:hint="eastAsia" w:ascii="仿宋" w:hAnsi="仿宋" w:eastAsia="仿宋" w:cs="仿宋"/>
          <w:b w:val="0"/>
          <w:bCs w:val="0"/>
          <w:color w:val="auto"/>
          <w:sz w:val="28"/>
          <w:szCs w:val="28"/>
          <w:highlight w:val="none"/>
        </w:rPr>
        <w:t xml:space="preserve">须</w:t>
      </w:r>
      <w:r>
        <w:rPr>
          <w:rFonts w:hint="eastAsia" w:ascii="仿宋" w:hAnsi="仿宋" w:eastAsia="仿宋" w:cs="仿宋"/>
          <w:b w:val="0"/>
          <w:bCs w:val="0"/>
          <w:color w:val="auto"/>
          <w:sz w:val="28"/>
          <w:szCs w:val="28"/>
          <w:highlight w:val="none"/>
          <w:lang w:val="en-US" w:eastAsia="zh-CN"/>
        </w:rPr>
        <w:t xml:space="preserve">提供</w:t>
      </w:r>
      <w:r>
        <w:rPr>
          <w:rFonts w:hint="eastAsia" w:ascii="仿宋" w:hAnsi="仿宋" w:eastAsia="仿宋" w:cs="仿宋"/>
          <w:b w:val="0"/>
          <w:bCs w:val="0"/>
          <w:color w:val="auto"/>
          <w:sz w:val="28"/>
          <w:szCs w:val="28"/>
          <w:highlight w:val="none"/>
        </w:rPr>
        <w:t xml:space="preserve">《项目人员配备表》拟派人员名单</w:t>
      </w:r>
      <w:r>
        <w:rPr>
          <w:rFonts w:hint="eastAsia" w:ascii="仿宋" w:hAnsi="仿宋" w:eastAsia="仿宋" w:cs="仿宋"/>
          <w:b w:val="0"/>
          <w:bCs w:val="0"/>
          <w:color w:val="auto"/>
          <w:sz w:val="28"/>
          <w:szCs w:val="28"/>
          <w:highlight w:val="none"/>
          <w:lang w:val="en-US" w:eastAsia="zh-CN"/>
        </w:rPr>
        <w:t xml:space="preserve">；同时提供</w:t>
      </w:r>
      <w:r>
        <w:rPr>
          <w:rFonts w:hint="eastAsia" w:ascii="仿宋" w:hAnsi="仿宋" w:eastAsia="仿宋" w:cs="仿宋"/>
          <w:b w:val="0"/>
          <w:bCs w:val="0"/>
          <w:color w:val="auto"/>
          <w:sz w:val="28"/>
          <w:szCs w:val="28"/>
          <w:highlight w:val="none"/>
        </w:rPr>
        <w:t xml:space="preserve">响应文件提交截止日前最近1个月响应供应商为</w:t>
      </w:r>
      <w:r>
        <w:rPr>
          <w:rFonts w:hint="eastAsia" w:ascii="仿宋" w:hAnsi="仿宋" w:eastAsia="仿宋" w:cs="仿宋"/>
          <w:b w:val="0"/>
          <w:bCs w:val="0"/>
          <w:color w:val="auto"/>
          <w:sz w:val="28"/>
          <w:szCs w:val="28"/>
          <w:highlight w:val="none"/>
          <w:lang w:val="en-US" w:eastAsia="zh-CN"/>
        </w:rPr>
        <w:t xml:space="preserve">16名</w:t>
      </w:r>
      <w:r>
        <w:rPr>
          <w:rFonts w:hint="eastAsia" w:ascii="仿宋" w:hAnsi="仿宋" w:eastAsia="仿宋" w:cs="仿宋"/>
          <w:b w:val="0"/>
          <w:bCs w:val="0"/>
          <w:color w:val="auto"/>
          <w:sz w:val="28"/>
          <w:szCs w:val="28"/>
          <w:highlight w:val="none"/>
        </w:rPr>
        <w:t xml:space="preserve">服务人员缴纳社保的证明</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rPr>
        <w:t xml:space="preserve">未按要求提供或提供不全</w:t>
      </w:r>
      <w:r>
        <w:rPr>
          <w:rFonts w:hint="eastAsia" w:ascii="仿宋" w:hAnsi="仿宋" w:eastAsia="仿宋" w:cs="仿宋"/>
          <w:b w:val="0"/>
          <w:bCs w:val="0"/>
          <w:color w:val="auto"/>
          <w:sz w:val="28"/>
          <w:szCs w:val="28"/>
          <w:highlight w:val="none"/>
          <w:lang w:val="en-US" w:eastAsia="zh-CN"/>
        </w:rPr>
        <w:t xml:space="preserve">视为无效响应。</w:t>
      </w:r>
      <w:r/>
    </w:p>
    <w:p>
      <w:pPr>
        <w:ind w:firstLine="560"/>
        <w:spacing w:line="50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2.</w:t>
      </w:r>
      <w:r>
        <w:rPr>
          <w:rFonts w:hint="eastAsia" w:ascii="仿宋" w:hAnsi="仿宋" w:eastAsia="仿宋" w:cs="仿宋"/>
          <w:b w:val="0"/>
          <w:bCs w:val="0"/>
          <w:color w:val="auto"/>
          <w:sz w:val="28"/>
          <w:szCs w:val="28"/>
          <w:highlight w:val="none"/>
        </w:rPr>
        <w:t xml:space="preserve">响应文件须</w:t>
      </w:r>
      <w:r>
        <w:rPr>
          <w:rFonts w:hint="eastAsia" w:ascii="仿宋" w:hAnsi="仿宋" w:eastAsia="仿宋" w:cs="仿宋"/>
          <w:b w:val="0"/>
          <w:bCs w:val="0"/>
          <w:color w:val="auto"/>
          <w:sz w:val="28"/>
          <w:szCs w:val="28"/>
          <w:highlight w:val="none"/>
          <w:lang w:val="en-US" w:eastAsia="zh-CN"/>
        </w:rPr>
        <w:t xml:space="preserve">按第三章基本机械设备配置要求</w:t>
      </w:r>
      <w:r>
        <w:rPr>
          <w:rFonts w:hint="eastAsia" w:ascii="仿宋" w:hAnsi="仿宋" w:eastAsia="仿宋" w:cs="仿宋"/>
          <w:b w:val="0"/>
          <w:bCs w:val="0"/>
          <w:color w:val="auto"/>
          <w:sz w:val="28"/>
          <w:szCs w:val="28"/>
          <w:highlight w:val="none"/>
        </w:rPr>
        <w:t xml:space="preserve">提供作业设备清单、车辆有效登记证（登记日期须在响应文件提交截止日前）、行驶证、保险单据、购置发票、车辆带牌照的清晰照片</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rPr>
        <w:t xml:space="preserve">未按要求提供或提供不全视为无效响应。</w:t>
      </w:r>
      <w:r/>
    </w:p>
    <w:p>
      <w:pPr>
        <w:numPr>
          <w:ilvl w:val="0"/>
          <w:numId w:val="0"/>
        </w:numPr>
        <w:ind w:firstLine="560"/>
        <w:spacing w:line="50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3.</w:t>
      </w:r>
      <w:r>
        <w:rPr>
          <w:rFonts w:hint="eastAsia" w:ascii="仿宋" w:hAnsi="仿宋" w:eastAsia="仿宋" w:cs="仿宋"/>
          <w:b w:val="0"/>
          <w:bCs w:val="0"/>
          <w:color w:val="auto"/>
          <w:sz w:val="28"/>
          <w:szCs w:val="28"/>
          <w:highlight w:val="none"/>
        </w:rPr>
        <w:t xml:space="preserve">供应商须承诺成交后合同签订前人员和设备组织到位。承诺函格式自拟，未按要求提供视为无效响应。</w:t>
      </w:r>
      <w:r/>
    </w:p>
    <w:p>
      <w:pPr>
        <w:ind w:firstLine="560"/>
        <w:spacing w:line="50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br w:type="page" w:clear="all"/>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lang w:val="en-US" w:eastAsia="zh-CN"/>
        </w:rPr>
        <w:t xml:space="preserve">二</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rPr>
        <w:t xml:space="preserve">商务部分正负偏离表</w:t>
      </w:r>
      <w:r/>
    </w:p>
    <w:p>
      <w:pPr>
        <w:jc w:val="center"/>
        <w:rPr>
          <w:rFonts w:ascii="微软雅黑" w:hAnsi="宋体" w:eastAsia="微软雅黑"/>
          <w:color w:val="auto"/>
          <w:sz w:val="32"/>
          <w:szCs w:val="32"/>
          <w:highlight w:val="none"/>
        </w:rPr>
      </w:pPr>
      <w:r>
        <w:rPr>
          <w:rFonts w:hint="eastAsia" w:ascii="微软雅黑" w:hAnsi="宋体" w:eastAsia="微软雅黑"/>
          <w:color w:val="auto"/>
          <w:sz w:val="32"/>
          <w:szCs w:val="32"/>
          <w:highlight w:val="none"/>
        </w:rPr>
        <w:t xml:space="preserve">商务部分正负偏离表</w:t>
      </w:r>
      <w:r/>
    </w:p>
    <w:tbl>
      <w:tblPr>
        <w:tblStyle w:val="706"/>
        <w:tblW w:w="9871"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86"/>
        <w:gridCol w:w="1755"/>
        <w:gridCol w:w="4860"/>
        <w:gridCol w:w="1125"/>
        <w:gridCol w:w="960"/>
        <w:gridCol w:w="585"/>
      </w:tblGrid>
      <w:tr>
        <w:trPr/>
        <w:tc>
          <w:tcPr>
            <w:tcBorders>
              <w:top w:val="single" w:color="auto" w:sz="4" w:space="0"/>
              <w:left w:val="single" w:color="auto" w:sz="4" w:space="0"/>
              <w:bottom w:val="single" w:color="auto" w:sz="4" w:space="0"/>
              <w:right w:val="single" w:color="auto" w:sz="4" w:space="0"/>
            </w:tcBorders>
            <w:tcW w:w="586"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商务条款</w:t>
            </w:r>
            <w:r/>
          </w:p>
        </w:tc>
        <w:tc>
          <w:tcPr>
            <w:tcBorders>
              <w:top w:val="single" w:color="auto" w:sz="4" w:space="0"/>
              <w:left w:val="single" w:color="auto" w:sz="4" w:space="0"/>
              <w:bottom w:val="single" w:color="auto" w:sz="4" w:space="0"/>
              <w:right w:val="single" w:color="auto" w:sz="4" w:space="0"/>
            </w:tcBorders>
            <w:tcW w:w="4860"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竞争性磋商文件要求</w:t>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585"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586" w:type="dxa"/>
            <w:vAlign w:val="center"/>
            <w:textDirection w:val="lrTb"/>
            <w:noWrap/>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基本服务要求</w:t>
            </w:r>
            <w:r/>
          </w:p>
          <w:p>
            <w:pPr>
              <w:rPr>
                <w:rFonts w:hint="default" w:ascii="仿宋" w:hAnsi="仿宋" w:eastAsia="仿宋"/>
                <w:sz w:val="24"/>
                <w:szCs w:val="24"/>
              </w:rPr>
            </w:pPr>
            <w:r>
              <w:rPr>
                <w:rFonts w:hint="default" w:ascii="仿宋" w:hAnsi="仿宋" w:eastAsia="仿宋"/>
                <w:sz w:val="24"/>
                <w:szCs w:val="24"/>
              </w:rPr>
            </w:r>
            <w:r>
              <w:rPr>
                <w:rFonts w:hint="default" w:ascii="仿宋" w:hAnsi="仿宋" w:eastAsia="仿宋"/>
                <w:sz w:val="24"/>
                <w:szCs w:val="24"/>
              </w:rPr>
            </w:r>
            <w:r/>
          </w:p>
          <w:p>
            <w:pPr>
              <w:rPr>
                <w:rFonts w:hint="default" w:ascii="仿宋" w:hAnsi="仿宋" w:eastAsia="仿宋"/>
                <w:sz w:val="24"/>
                <w:szCs w:val="24"/>
              </w:rPr>
            </w:pPr>
            <w:r>
              <w:rPr>
                <w:rFonts w:hint="default" w:ascii="仿宋" w:hAnsi="仿宋" w:eastAsia="仿宋"/>
                <w:sz w:val="24"/>
                <w:szCs w:val="24"/>
              </w:rPr>
            </w:r>
            <w:r>
              <w:rPr>
                <w:rFonts w:hint="default" w:ascii="仿宋" w:hAnsi="仿宋" w:eastAsia="仿宋"/>
                <w:sz w:val="24"/>
                <w:szCs w:val="24"/>
              </w:rPr>
            </w:r>
            <w:r/>
          </w:p>
          <w:p>
            <w:pPr>
              <w:rPr>
                <w:rFonts w:hint="default" w:ascii="仿宋" w:hAnsi="仿宋" w:eastAsia="仿宋"/>
                <w:sz w:val="24"/>
                <w:szCs w:val="24"/>
              </w:rPr>
            </w:pPr>
            <w:r>
              <w:rPr>
                <w:rFonts w:hint="default" w:ascii="仿宋" w:hAnsi="仿宋" w:eastAsia="仿宋"/>
                <w:sz w:val="24"/>
                <w:szCs w:val="24"/>
              </w:rPr>
            </w:r>
            <w:r>
              <w:rPr>
                <w:rFonts w:hint="default" w:ascii="仿宋" w:hAnsi="仿宋" w:eastAsia="仿宋"/>
                <w:sz w:val="24"/>
                <w:szCs w:val="24"/>
              </w:rPr>
            </w:r>
            <w:r/>
          </w:p>
          <w:p>
            <w:pPr>
              <w:rPr>
                <w:rFonts w:hint="default" w:ascii="仿宋" w:hAnsi="仿宋" w:eastAsia="仿宋"/>
                <w:sz w:val="24"/>
                <w:szCs w:val="24"/>
              </w:rPr>
            </w:pPr>
            <w:r>
              <w:rPr>
                <w:rFonts w:hint="default" w:ascii="仿宋" w:hAnsi="仿宋" w:eastAsia="仿宋"/>
                <w:sz w:val="24"/>
                <w:szCs w:val="24"/>
              </w:rPr>
            </w:r>
            <w:r>
              <w:rPr>
                <w:rFonts w:hint="default" w:ascii="仿宋" w:hAnsi="仿宋" w:eastAsia="仿宋"/>
                <w:sz w:val="24"/>
                <w:szCs w:val="24"/>
              </w:rPr>
            </w:r>
            <w:r/>
          </w:p>
          <w:p>
            <w:pPr>
              <w:rPr>
                <w:rFonts w:hint="default" w:ascii="仿宋" w:hAnsi="仿宋" w:eastAsia="仿宋"/>
                <w:sz w:val="24"/>
                <w:szCs w:val="24"/>
              </w:rPr>
            </w:pPr>
            <w:r>
              <w:rPr>
                <w:rFonts w:hint="default" w:ascii="仿宋" w:hAnsi="仿宋" w:eastAsia="仿宋"/>
                <w:sz w:val="24"/>
                <w:szCs w:val="24"/>
              </w:rPr>
            </w:r>
            <w:r>
              <w:rPr>
                <w:rFonts w:hint="default" w:ascii="仿宋" w:hAnsi="仿宋" w:eastAsia="仿宋"/>
                <w:sz w:val="24"/>
                <w:szCs w:val="24"/>
              </w:rPr>
            </w:r>
            <w:r/>
          </w:p>
          <w:p>
            <w:pPr>
              <w:rPr>
                <w:rFonts w:hint="default" w:ascii="仿宋" w:hAnsi="仿宋" w:eastAsia="仿宋"/>
                <w:sz w:val="24"/>
                <w:szCs w:val="24"/>
              </w:rPr>
            </w:pPr>
            <w:r>
              <w:rPr>
                <w:rFonts w:hint="default" w:ascii="仿宋" w:hAnsi="仿宋" w:eastAsia="仿宋"/>
                <w:sz w:val="24"/>
                <w:szCs w:val="24"/>
              </w:rPr>
            </w:r>
            <w:r>
              <w:rPr>
                <w:rFonts w:hint="default" w:ascii="仿宋" w:hAnsi="仿宋" w:eastAsia="仿宋"/>
                <w:sz w:val="24"/>
                <w:szCs w:val="24"/>
              </w:rPr>
            </w:r>
            <w:r/>
          </w:p>
          <w:p>
            <w:pPr>
              <w:rPr>
                <w:rFonts w:hint="default" w:ascii="仿宋" w:hAnsi="仿宋" w:eastAsia="仿宋"/>
                <w:sz w:val="24"/>
                <w:szCs w:val="24"/>
              </w:rPr>
            </w:pPr>
            <w:r>
              <w:rPr>
                <w:rFonts w:hint="default" w:ascii="仿宋" w:hAnsi="仿宋" w:eastAsia="仿宋"/>
                <w:sz w:val="24"/>
                <w:szCs w:val="24"/>
              </w:rPr>
            </w:r>
            <w:r>
              <w:rPr>
                <w:rFonts w:hint="default" w:ascii="仿宋" w:hAnsi="仿宋" w:eastAsia="仿宋"/>
                <w:sz w:val="24"/>
                <w:szCs w:val="24"/>
              </w:rPr>
            </w:r>
            <w:r/>
          </w:p>
          <w:p>
            <w:pPr>
              <w:rPr>
                <w:rFonts w:hint="default" w:ascii="仿宋" w:hAnsi="仿宋" w:eastAsia="仿宋"/>
                <w:sz w:val="24"/>
                <w:szCs w:val="24"/>
              </w:rPr>
            </w:pPr>
            <w:r>
              <w:rPr>
                <w:rFonts w:hint="default" w:ascii="仿宋" w:hAnsi="仿宋" w:eastAsia="仿宋"/>
                <w:sz w:val="24"/>
                <w:szCs w:val="24"/>
              </w:rPr>
            </w:r>
            <w:r>
              <w:rPr>
                <w:rFonts w:hint="default" w:ascii="仿宋" w:hAnsi="仿宋" w:eastAsia="仿宋"/>
                <w:sz w:val="24"/>
                <w:szCs w:val="24"/>
              </w:rPr>
            </w:r>
            <w:r/>
          </w:p>
          <w:p>
            <w:pPr>
              <w:rPr>
                <w:rFonts w:hint="default" w:ascii="仿宋" w:hAnsi="仿宋" w:eastAsia="仿宋"/>
                <w:sz w:val="24"/>
                <w:szCs w:val="24"/>
              </w:rPr>
            </w:pPr>
            <w:r>
              <w:rPr>
                <w:rFonts w:hint="default" w:ascii="仿宋" w:hAnsi="仿宋" w:eastAsia="仿宋"/>
                <w:sz w:val="24"/>
                <w:szCs w:val="24"/>
              </w:rPr>
            </w:r>
            <w:r>
              <w:rPr>
                <w:rFonts w:hint="default" w:ascii="仿宋" w:hAnsi="仿宋" w:eastAsia="仿宋"/>
                <w:sz w:val="24"/>
                <w:szCs w:val="24"/>
              </w:rPr>
            </w:r>
            <w:r/>
          </w:p>
          <w:p>
            <w:pPr>
              <w:rPr>
                <w:rFonts w:hint="default" w:ascii="仿宋" w:hAnsi="仿宋" w:eastAsia="仿宋"/>
                <w:sz w:val="24"/>
                <w:szCs w:val="24"/>
              </w:rPr>
            </w:pPr>
            <w:r>
              <w:rPr>
                <w:rFonts w:hint="default" w:ascii="仿宋" w:hAnsi="仿宋" w:eastAsia="仿宋"/>
                <w:sz w:val="24"/>
                <w:szCs w:val="24"/>
              </w:rPr>
            </w:r>
            <w:r>
              <w:rPr>
                <w:rFonts w:hint="default" w:ascii="仿宋" w:hAnsi="仿宋" w:eastAsia="仿宋"/>
                <w:sz w:val="24"/>
                <w:szCs w:val="24"/>
              </w:rPr>
            </w:r>
            <w:r/>
          </w:p>
          <w:p>
            <w:pPr>
              <w:rPr>
                <w:rFonts w:hint="default" w:ascii="仿宋" w:hAnsi="仿宋" w:eastAsia="仿宋"/>
                <w:sz w:val="24"/>
                <w:szCs w:val="24"/>
              </w:rPr>
            </w:pPr>
            <w:r>
              <w:rPr>
                <w:rFonts w:hint="default" w:ascii="仿宋" w:hAnsi="仿宋" w:eastAsia="仿宋"/>
                <w:sz w:val="24"/>
                <w:szCs w:val="24"/>
              </w:rPr>
            </w:r>
            <w:r>
              <w:rPr>
                <w:rFonts w:hint="default" w:ascii="仿宋" w:hAnsi="仿宋" w:eastAsia="仿宋"/>
                <w:sz w:val="24"/>
                <w:szCs w:val="24"/>
              </w:rPr>
            </w:r>
            <w:r/>
          </w:p>
          <w:p>
            <w:pPr>
              <w:rPr>
                <w:rFonts w:hint="default" w:ascii="仿宋" w:hAnsi="仿宋" w:eastAsia="仿宋"/>
                <w:sz w:val="24"/>
                <w:szCs w:val="24"/>
              </w:rPr>
            </w:pPr>
            <w:r>
              <w:rPr>
                <w:rFonts w:hint="default" w:ascii="仿宋" w:hAnsi="仿宋" w:eastAsia="仿宋"/>
                <w:sz w:val="24"/>
                <w:szCs w:val="24"/>
              </w:rPr>
            </w:r>
            <w:r>
              <w:rPr>
                <w:rFonts w:hint="default" w:ascii="仿宋" w:hAnsi="仿宋" w:eastAsia="仿宋"/>
                <w:sz w:val="24"/>
                <w:szCs w:val="24"/>
              </w:rPr>
            </w:r>
            <w:r/>
          </w:p>
          <w:p>
            <w:pPr>
              <w:rPr>
                <w:rFonts w:hint="default" w:ascii="仿宋" w:hAnsi="仿宋" w:eastAsia="仿宋"/>
                <w:sz w:val="24"/>
                <w:szCs w:val="24"/>
              </w:rPr>
            </w:pPr>
            <w:r>
              <w:rPr>
                <w:rFonts w:hint="default" w:ascii="仿宋" w:hAnsi="仿宋" w:eastAsia="仿宋"/>
                <w:sz w:val="24"/>
                <w:szCs w:val="24"/>
              </w:rPr>
            </w:r>
            <w:r>
              <w:rPr>
                <w:rFonts w:hint="default" w:ascii="仿宋" w:hAnsi="仿宋" w:eastAsia="仿宋"/>
                <w:sz w:val="24"/>
                <w:szCs w:val="24"/>
              </w:rPr>
            </w:r>
            <w:r/>
          </w:p>
          <w:p>
            <w:pPr>
              <w:rPr>
                <w:rFonts w:hint="default" w:ascii="仿宋" w:hAnsi="仿宋" w:eastAsia="仿宋"/>
                <w:sz w:val="24"/>
                <w:szCs w:val="24"/>
              </w:rPr>
            </w:pPr>
            <w:r>
              <w:rPr>
                <w:rFonts w:hint="default" w:ascii="仿宋" w:hAnsi="仿宋" w:eastAsia="仿宋"/>
                <w:sz w:val="24"/>
                <w:szCs w:val="24"/>
              </w:rPr>
            </w:r>
            <w:r>
              <w:rPr>
                <w:rFonts w:hint="default" w:ascii="仿宋" w:hAnsi="仿宋" w:eastAsia="仿宋"/>
                <w:sz w:val="24"/>
                <w:szCs w:val="24"/>
              </w:rPr>
            </w:r>
            <w:r/>
          </w:p>
          <w:p>
            <w:pPr>
              <w:rPr>
                <w:rFonts w:hint="default" w:ascii="仿宋" w:hAnsi="仿宋" w:eastAsia="仿宋"/>
                <w:sz w:val="24"/>
                <w:szCs w:val="24"/>
              </w:rPr>
            </w:pPr>
            <w:r>
              <w:rPr>
                <w:rFonts w:hint="default" w:ascii="仿宋" w:hAnsi="仿宋" w:eastAsia="仿宋"/>
                <w:sz w:val="24"/>
                <w:szCs w:val="24"/>
              </w:rPr>
            </w:r>
            <w:r>
              <w:rPr>
                <w:rFonts w:hint="default" w:ascii="仿宋" w:hAnsi="仿宋" w:eastAsia="仿宋"/>
                <w:sz w:val="24"/>
                <w:szCs w:val="24"/>
              </w:rPr>
            </w:r>
            <w:r/>
          </w:p>
          <w:p>
            <w:pPr>
              <w:rPr>
                <w:rFonts w:hint="default" w:ascii="仿宋" w:hAnsi="仿宋" w:eastAsia="仿宋"/>
                <w:sz w:val="24"/>
                <w:szCs w:val="24"/>
              </w:rPr>
            </w:pPr>
            <w:r>
              <w:rPr>
                <w:rFonts w:hint="default" w:ascii="仿宋" w:hAnsi="仿宋" w:eastAsia="仿宋"/>
                <w:sz w:val="24"/>
                <w:szCs w:val="24"/>
              </w:rPr>
            </w:r>
            <w:r>
              <w:rPr>
                <w:rFonts w:hint="default" w:ascii="仿宋" w:hAnsi="仿宋" w:eastAsia="仿宋"/>
                <w:sz w:val="24"/>
                <w:szCs w:val="24"/>
              </w:rPr>
            </w:r>
            <w:r/>
          </w:p>
          <w:p>
            <w:pPr>
              <w:rPr>
                <w:rFonts w:hint="default" w:ascii="仿宋" w:hAnsi="仿宋" w:eastAsia="仿宋"/>
                <w:sz w:val="24"/>
                <w:szCs w:val="24"/>
              </w:rPr>
            </w:pPr>
            <w:r>
              <w:rPr>
                <w:rFonts w:hint="default" w:ascii="仿宋" w:hAnsi="仿宋" w:eastAsia="仿宋"/>
                <w:sz w:val="24"/>
                <w:szCs w:val="24"/>
              </w:rPr>
            </w:r>
            <w:r>
              <w:rPr>
                <w:rFonts w:hint="default" w:ascii="仿宋" w:hAnsi="仿宋" w:eastAsia="仿宋"/>
                <w:sz w:val="24"/>
                <w:szCs w:val="24"/>
              </w:rPr>
            </w:r>
            <w:r/>
          </w:p>
          <w:p>
            <w:pPr>
              <w:rPr>
                <w:rFonts w:hint="default" w:ascii="仿宋" w:hAnsi="仿宋" w:eastAsia="仿宋"/>
                <w:sz w:val="24"/>
                <w:szCs w:val="24"/>
              </w:rPr>
            </w:pPr>
            <w:r>
              <w:rPr>
                <w:rFonts w:hint="default" w:ascii="仿宋" w:hAnsi="仿宋" w:eastAsia="仿宋"/>
                <w:sz w:val="24"/>
                <w:szCs w:val="24"/>
              </w:rPr>
            </w:r>
            <w:r>
              <w:rPr>
                <w:rFonts w:hint="default" w:ascii="仿宋" w:hAnsi="仿宋" w:eastAsia="仿宋"/>
                <w:sz w:val="24"/>
                <w:szCs w:val="24"/>
              </w:rPr>
            </w:r>
            <w:r/>
          </w:p>
          <w:p>
            <w:pPr>
              <w:jc w:val="center"/>
              <w:rPr>
                <w:rFonts w:hint="default" w:ascii="仿宋" w:hAnsi="仿宋" w:eastAsia="仿宋"/>
                <w:sz w:val="24"/>
                <w:szCs w:val="24"/>
              </w:rPr>
            </w:pPr>
            <w:r>
              <w:rPr>
                <w:rFonts w:hint="default" w:ascii="仿宋" w:hAnsi="仿宋" w:eastAsia="仿宋"/>
                <w:sz w:val="24"/>
                <w:szCs w:val="24"/>
              </w:rPr>
            </w:r>
            <w:r>
              <w:rPr>
                <w:rFonts w:hint="default" w:ascii="仿宋" w:hAnsi="仿宋" w:eastAsia="仿宋"/>
                <w:sz w:val="24"/>
                <w:szCs w:val="24"/>
              </w:rPr>
            </w:r>
            <w:r/>
          </w:p>
          <w:p>
            <w:pPr>
              <w:jc w:val="center"/>
              <w:rPr>
                <w:rFonts w:hint="default" w:ascii="仿宋" w:hAnsi="仿宋" w:eastAsia="仿宋"/>
                <w:sz w:val="24"/>
                <w:szCs w:val="24"/>
              </w:rPr>
            </w:pPr>
            <w:r>
              <w:rPr>
                <w:rFonts w:hint="default" w:ascii="仿宋" w:hAnsi="仿宋" w:eastAsia="仿宋"/>
                <w:sz w:val="24"/>
                <w:szCs w:val="24"/>
              </w:rPr>
            </w:r>
            <w:r>
              <w:rPr>
                <w:rFonts w:hint="default" w:ascii="仿宋" w:hAnsi="仿宋" w:eastAsia="仿宋"/>
                <w:sz w:val="24"/>
                <w:szCs w:val="24"/>
              </w:rPr>
            </w:r>
            <w:r/>
          </w:p>
        </w:tc>
        <w:tc>
          <w:tcPr>
            <w:tcBorders>
              <w:top w:val="single" w:color="auto" w:sz="4" w:space="0"/>
              <w:left w:val="single" w:color="auto" w:sz="4" w:space="0"/>
              <w:bottom w:val="single" w:color="auto" w:sz="4" w:space="0"/>
              <w:right w:val="single" w:color="auto" w:sz="4" w:space="0"/>
            </w:tcBorders>
            <w:tcW w:w="4860" w:type="dxa"/>
            <w:textDirection w:val="lrTb"/>
            <w:noWrap/>
          </w:tcPr>
          <w:p>
            <w:pPr>
              <w:jc w:val="left"/>
              <w:rPr>
                <w:rFonts w:hint="eastAsia" w:ascii="仿宋" w:hAnsi="仿宋" w:eastAsia="仿宋" w:cs="Times New Roman"/>
                <w:strike w:val="0"/>
                <w:color w:val="auto"/>
                <w:sz w:val="24"/>
                <w:highlight w:val="none"/>
              </w:rPr>
            </w:pPr>
            <w:r>
              <w:rPr>
                <w:rFonts w:hint="eastAsia" w:ascii="仿宋" w:hAnsi="仿宋" w:eastAsia="仿宋" w:cs="Times New Roman"/>
                <w:strike w:val="0"/>
                <w:color w:val="auto"/>
                <w:sz w:val="24"/>
                <w:highlight w:val="none"/>
              </w:rPr>
              <w:t xml:space="preserve">（一）垃圾收集清运要求</w:t>
            </w:r>
            <w:r/>
          </w:p>
          <w:p>
            <w:pPr>
              <w:jc w:val="left"/>
              <w:rPr>
                <w:rFonts w:hint="eastAsia" w:ascii="仿宋" w:hAnsi="仿宋" w:eastAsia="仿宋" w:cs="Times New Roman"/>
                <w:strike w:val="0"/>
                <w:color w:val="auto"/>
                <w:sz w:val="24"/>
                <w:highlight w:val="none"/>
              </w:rPr>
            </w:pPr>
            <w:r>
              <w:rPr>
                <w:rFonts w:hint="eastAsia" w:ascii="仿宋" w:hAnsi="仿宋" w:eastAsia="仿宋" w:cs="Times New Roman"/>
                <w:strike w:val="0"/>
                <w:color w:val="auto"/>
                <w:sz w:val="24"/>
                <w:highlight w:val="none"/>
              </w:rPr>
              <w:t xml:space="preserve">1.按垃圾分类要求配置垃圾收集桶，做到分类收集、分类转运，转运垃圾量100%，做到日产日清无积存，垃圾桶无外溢。</w:t>
            </w:r>
            <w:r/>
          </w:p>
          <w:p>
            <w:pPr>
              <w:jc w:val="left"/>
              <w:rPr>
                <w:rFonts w:hint="eastAsia" w:ascii="仿宋" w:hAnsi="仿宋" w:eastAsia="仿宋" w:cs="Times New Roman"/>
                <w:strike w:val="0"/>
                <w:color w:val="auto"/>
                <w:sz w:val="24"/>
                <w:highlight w:val="none"/>
              </w:rPr>
            </w:pPr>
            <w:r>
              <w:rPr>
                <w:rFonts w:hint="eastAsia" w:ascii="仿宋" w:hAnsi="仿宋" w:eastAsia="仿宋" w:cs="Times New Roman"/>
                <w:strike w:val="0"/>
                <w:color w:val="auto"/>
                <w:sz w:val="24"/>
                <w:highlight w:val="none"/>
              </w:rPr>
              <w:t xml:space="preserve">2.垃圾运输做到车走地净。</w:t>
            </w:r>
            <w:r/>
          </w:p>
          <w:p>
            <w:pPr>
              <w:jc w:val="left"/>
              <w:rPr>
                <w:rFonts w:hint="eastAsia" w:ascii="仿宋" w:hAnsi="仿宋" w:eastAsia="仿宋" w:cs="Times New Roman"/>
                <w:strike w:val="0"/>
                <w:color w:val="auto"/>
                <w:sz w:val="24"/>
                <w:highlight w:val="none"/>
              </w:rPr>
            </w:pPr>
            <w:r>
              <w:rPr>
                <w:rFonts w:hint="eastAsia" w:ascii="仿宋" w:hAnsi="仿宋" w:eastAsia="仿宋" w:cs="Times New Roman"/>
                <w:strike w:val="0"/>
                <w:color w:val="auto"/>
                <w:sz w:val="24"/>
                <w:highlight w:val="none"/>
              </w:rPr>
              <w:t xml:space="preserve">3.车容整洁，车体外无污物、灰垢，实行密封运输，垃圾车辆运输途中不得有“滴、泼、洒、漏”现象。车辆外严禁挂垃圾袋，保持车容车貌整洁。</w:t>
            </w:r>
            <w:r/>
          </w:p>
          <w:p>
            <w:pPr>
              <w:jc w:val="left"/>
              <w:rPr>
                <w:rFonts w:hint="eastAsia" w:ascii="仿宋" w:hAnsi="仿宋" w:eastAsia="仿宋" w:cs="Times New Roman"/>
                <w:strike w:val="0"/>
                <w:color w:val="auto"/>
                <w:sz w:val="24"/>
                <w:highlight w:val="none"/>
              </w:rPr>
            </w:pPr>
            <w:r>
              <w:rPr>
                <w:rFonts w:hint="eastAsia" w:ascii="仿宋" w:hAnsi="仿宋" w:eastAsia="仿宋" w:cs="Times New Roman"/>
                <w:strike w:val="0"/>
                <w:color w:val="auto"/>
                <w:sz w:val="24"/>
                <w:highlight w:val="none"/>
              </w:rPr>
              <w:t xml:space="preserve">4.垃圾按指定的转运站运送。</w:t>
            </w:r>
            <w:r/>
          </w:p>
          <w:p>
            <w:pPr>
              <w:jc w:val="left"/>
              <w:rPr>
                <w:rFonts w:hint="eastAsia" w:ascii="仿宋" w:hAnsi="仿宋" w:eastAsia="仿宋" w:cs="Times New Roman"/>
                <w:strike w:val="0"/>
                <w:color w:val="auto"/>
                <w:sz w:val="24"/>
                <w:highlight w:val="none"/>
              </w:rPr>
            </w:pPr>
            <w:r>
              <w:rPr>
                <w:rFonts w:hint="eastAsia" w:ascii="仿宋" w:hAnsi="仿宋" w:eastAsia="仿宋" w:cs="Times New Roman"/>
                <w:strike w:val="0"/>
                <w:color w:val="auto"/>
                <w:sz w:val="24"/>
                <w:highlight w:val="none"/>
              </w:rPr>
              <w:t xml:space="preserve">5.垃圾处置合格，无填埋，无焚烧。</w:t>
            </w:r>
            <w:r/>
          </w:p>
          <w:p>
            <w:pPr>
              <w:jc w:val="left"/>
              <w:rPr>
                <w:rFonts w:hint="eastAsia" w:ascii="仿宋" w:hAnsi="仿宋" w:eastAsia="仿宋" w:cs="Times New Roman"/>
                <w:strike w:val="0"/>
                <w:color w:val="auto"/>
                <w:sz w:val="24"/>
                <w:highlight w:val="none"/>
              </w:rPr>
            </w:pPr>
            <w:r>
              <w:rPr>
                <w:rFonts w:hint="eastAsia" w:ascii="仿宋" w:hAnsi="仿宋" w:eastAsia="仿宋" w:cs="Times New Roman"/>
                <w:strike w:val="0"/>
                <w:color w:val="auto"/>
                <w:sz w:val="24"/>
                <w:highlight w:val="none"/>
              </w:rPr>
              <w:t xml:space="preserve">6.垃圾进中转站，须服从中转站管理。</w:t>
            </w:r>
            <w:r/>
          </w:p>
          <w:p>
            <w:pPr>
              <w:jc w:val="left"/>
              <w:rPr>
                <w:rFonts w:hint="eastAsia" w:ascii="仿宋" w:hAnsi="仿宋" w:eastAsia="仿宋" w:cs="Times New Roman"/>
                <w:strike w:val="0"/>
                <w:color w:val="auto"/>
                <w:sz w:val="24"/>
                <w:highlight w:val="none"/>
              </w:rPr>
            </w:pPr>
            <w:r>
              <w:rPr>
                <w:rFonts w:hint="eastAsia" w:ascii="仿宋" w:hAnsi="仿宋" w:eastAsia="仿宋" w:cs="Times New Roman"/>
                <w:strike w:val="0"/>
                <w:color w:val="auto"/>
                <w:sz w:val="24"/>
                <w:highlight w:val="none"/>
              </w:rPr>
              <w:t xml:space="preserve">7.垃圾运送员需穿着全装上岗，严格遵守交规。</w:t>
            </w:r>
            <w:r/>
          </w:p>
          <w:p>
            <w:pPr>
              <w:jc w:val="left"/>
              <w:rPr>
                <w:rFonts w:hint="eastAsia" w:ascii="仿宋" w:hAnsi="仿宋" w:eastAsia="仿宋" w:cs="Times New Roman"/>
                <w:strike w:val="0"/>
                <w:color w:val="auto"/>
                <w:sz w:val="24"/>
                <w:highlight w:val="none"/>
              </w:rPr>
            </w:pPr>
            <w:r>
              <w:rPr>
                <w:rFonts w:hint="eastAsia" w:ascii="仿宋" w:hAnsi="仿宋" w:eastAsia="仿宋" w:cs="Times New Roman"/>
                <w:strike w:val="0"/>
                <w:color w:val="auto"/>
                <w:sz w:val="24"/>
                <w:highlight w:val="none"/>
              </w:rPr>
              <w:t xml:space="preserve">8.及时冲洗垃圾容器，不得出现作业人员故意破坏垃圾容器的现象。</w:t>
            </w:r>
            <w:r/>
          </w:p>
          <w:p>
            <w:pPr>
              <w:jc w:val="left"/>
              <w:rPr>
                <w:rFonts w:hint="eastAsia" w:ascii="仿宋" w:hAnsi="仿宋" w:eastAsia="仿宋" w:cs="Times New Roman"/>
                <w:strike w:val="0"/>
                <w:color w:val="auto"/>
                <w:sz w:val="24"/>
                <w:highlight w:val="none"/>
              </w:rPr>
            </w:pPr>
            <w:r>
              <w:rPr>
                <w:rFonts w:hint="eastAsia" w:ascii="仿宋" w:hAnsi="仿宋" w:eastAsia="仿宋" w:cs="Times New Roman"/>
                <w:strike w:val="0"/>
                <w:color w:val="auto"/>
                <w:sz w:val="24"/>
                <w:highlight w:val="none"/>
              </w:rPr>
              <w:t xml:space="preserve">9.有效应对突击性活动，配备应急处置和突击整治力量配合采购人处理突击性任务等。</w:t>
            </w:r>
            <w:r/>
          </w:p>
          <w:p>
            <w:pPr>
              <w:jc w:val="left"/>
              <w:rPr>
                <w:rFonts w:hint="eastAsia" w:ascii="仿宋" w:hAnsi="仿宋" w:eastAsia="仿宋" w:cs="Times New Roman"/>
                <w:strike w:val="0"/>
                <w:color w:val="auto"/>
                <w:sz w:val="24"/>
                <w:highlight w:val="none"/>
              </w:rPr>
            </w:pPr>
            <w:r>
              <w:rPr>
                <w:rFonts w:hint="eastAsia" w:ascii="仿宋" w:hAnsi="仿宋" w:eastAsia="仿宋" w:cs="Times New Roman"/>
                <w:strike w:val="0"/>
                <w:color w:val="auto"/>
                <w:sz w:val="24"/>
                <w:highlight w:val="none"/>
              </w:rPr>
              <w:t xml:space="preserve">（二）人员、设备要求</w:t>
            </w:r>
            <w:r/>
          </w:p>
          <w:p>
            <w:pPr>
              <w:jc w:val="left"/>
              <w:rPr>
                <w:rFonts w:hint="eastAsia" w:ascii="仿宋" w:hAnsi="仿宋" w:eastAsia="仿宋" w:cs="Times New Roman"/>
                <w:strike w:val="0"/>
                <w:color w:val="auto"/>
                <w:sz w:val="24"/>
                <w:highlight w:val="none"/>
              </w:rPr>
            </w:pPr>
            <w:r>
              <w:rPr>
                <w:rFonts w:hint="eastAsia" w:ascii="仿宋" w:hAnsi="仿宋" w:eastAsia="仿宋" w:cs="Times New Roman"/>
                <w:strike w:val="0"/>
                <w:color w:val="auto"/>
                <w:sz w:val="24"/>
                <w:highlight w:val="none"/>
              </w:rPr>
              <w:t xml:space="preserve">1.基本人员配置要求：</w:t>
            </w:r>
            <w:r/>
          </w:p>
          <w:p>
            <w:pPr>
              <w:jc w:val="left"/>
              <w:rPr>
                <w:rFonts w:hint="eastAsia" w:ascii="仿宋" w:hAnsi="仿宋" w:eastAsia="仿宋" w:cs="Times New Roman"/>
                <w:strike w:val="0"/>
                <w:color w:val="auto"/>
                <w:sz w:val="24"/>
                <w:highlight w:val="none"/>
              </w:rPr>
            </w:pPr>
            <w:r>
              <w:rPr>
                <w:rFonts w:hint="eastAsia" w:ascii="仿宋" w:hAnsi="仿宋" w:eastAsia="仿宋" w:cs="Times New Roman"/>
                <w:strike w:val="0"/>
                <w:color w:val="auto"/>
                <w:sz w:val="24"/>
                <w:highlight w:val="none"/>
              </w:rPr>
              <w:t xml:space="preserve">本项目至少配备人员共1</w:t>
            </w:r>
            <w:r>
              <w:rPr>
                <w:rFonts w:hint="eastAsia" w:ascii="仿宋" w:hAnsi="仿宋" w:eastAsia="仿宋" w:cs="Times New Roman"/>
                <w:strike w:val="0"/>
                <w:color w:val="auto"/>
                <w:sz w:val="24"/>
                <w:highlight w:val="none"/>
                <w:lang w:val="en-US" w:eastAsia="zh-CN"/>
              </w:rPr>
              <w:t xml:space="preserve">6</w:t>
            </w:r>
            <w:r>
              <w:rPr>
                <w:rFonts w:hint="eastAsia" w:ascii="仿宋" w:hAnsi="仿宋" w:eastAsia="仿宋" w:cs="Times New Roman"/>
                <w:strike w:val="0"/>
                <w:color w:val="auto"/>
                <w:sz w:val="24"/>
                <w:highlight w:val="none"/>
              </w:rPr>
              <w:t xml:space="preserve">人（项目经理1人、驾驶员5人、随车人员10人）。响应供应商依法为以上人员缴纳保险，工资不低于江苏省最低工资标准。</w:t>
            </w:r>
            <w:r/>
          </w:p>
          <w:p>
            <w:pPr>
              <w:jc w:val="left"/>
              <w:rPr>
                <w:rFonts w:hint="eastAsia" w:ascii="仿宋" w:hAnsi="仿宋" w:eastAsia="仿宋" w:cs="Times New Roman"/>
                <w:strike w:val="0"/>
                <w:color w:val="auto"/>
                <w:sz w:val="24"/>
                <w:highlight w:val="none"/>
              </w:rPr>
            </w:pPr>
            <w:r>
              <w:rPr>
                <w:rFonts w:hint="eastAsia" w:ascii="仿宋" w:hAnsi="仿宋" w:eastAsia="仿宋" w:cs="Times New Roman"/>
                <w:strike w:val="0"/>
                <w:color w:val="auto"/>
                <w:sz w:val="24"/>
                <w:highlight w:val="none"/>
              </w:rPr>
              <w:t xml:space="preserve">项目人员配备表</w:t>
            </w:r>
            <w:r/>
          </w:p>
          <w:tbl>
            <w:tblPr>
              <w:tblStyle w:val="706"/>
              <w:tblW w:w="493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1636"/>
              <w:gridCol w:w="2028"/>
            </w:tblGrid>
            <w:tr>
              <w:trPr>
                <w:trHeight w:val="600"/>
              </w:trPr>
              <w:tc>
                <w:tcPr>
                  <w:tcW w:w="998" w:type="pct"/>
                  <w:vAlign w:val="center"/>
                  <w:textDirection w:val="lrTb"/>
                  <w:noWrap/>
                </w:tcPr>
                <w:p>
                  <w:pPr>
                    <w:jc w:val="center"/>
                    <w:rPr>
                      <w:rFonts w:hint="eastAsia" w:ascii="仿宋" w:hAnsi="仿宋" w:eastAsia="仿宋" w:cs="Times New Roman"/>
                      <w:strike w:val="0"/>
                      <w:color w:val="auto"/>
                      <w:sz w:val="24"/>
                      <w:highlight w:val="none"/>
                    </w:rPr>
                  </w:pPr>
                  <w:r>
                    <w:rPr>
                      <w:rFonts w:hint="eastAsia" w:ascii="仿宋" w:hAnsi="仿宋" w:eastAsia="仿宋" w:cs="Times New Roman"/>
                      <w:strike w:val="0"/>
                      <w:color w:val="auto"/>
                      <w:sz w:val="24"/>
                      <w:highlight w:val="none"/>
                    </w:rPr>
                    <w:t xml:space="preserve">序号</w:t>
                  </w:r>
                  <w:r/>
                </w:p>
              </w:tc>
              <w:tc>
                <w:tcPr>
                  <w:tcW w:w="1786" w:type="pct"/>
                  <w:vAlign w:val="center"/>
                  <w:textDirection w:val="lrTb"/>
                  <w:noWrap/>
                </w:tcPr>
                <w:p>
                  <w:pPr>
                    <w:jc w:val="center"/>
                    <w:rPr>
                      <w:rFonts w:hint="eastAsia" w:ascii="仿宋" w:hAnsi="仿宋" w:eastAsia="仿宋" w:cs="Times New Roman"/>
                      <w:strike w:val="0"/>
                      <w:color w:val="auto"/>
                      <w:sz w:val="24"/>
                      <w:highlight w:val="none"/>
                    </w:rPr>
                  </w:pPr>
                  <w:r>
                    <w:rPr>
                      <w:rFonts w:hint="eastAsia" w:ascii="仿宋" w:hAnsi="仿宋" w:eastAsia="仿宋" w:cs="Times New Roman"/>
                      <w:strike w:val="0"/>
                      <w:color w:val="auto"/>
                      <w:sz w:val="24"/>
                      <w:highlight w:val="none"/>
                    </w:rPr>
                    <w:t xml:space="preserve">岗位名称</w:t>
                  </w:r>
                  <w:r/>
                </w:p>
              </w:tc>
              <w:tc>
                <w:tcPr>
                  <w:tcW w:w="2214" w:type="pct"/>
                  <w:vAlign w:val="center"/>
                  <w:textDirection w:val="lrTb"/>
                  <w:noWrap/>
                </w:tcPr>
                <w:p>
                  <w:pPr>
                    <w:jc w:val="center"/>
                    <w:rPr>
                      <w:rFonts w:hint="eastAsia" w:ascii="仿宋" w:hAnsi="仿宋" w:eastAsia="仿宋" w:cs="Times New Roman"/>
                      <w:strike w:val="0"/>
                      <w:color w:val="auto"/>
                      <w:sz w:val="24"/>
                      <w:highlight w:val="none"/>
                    </w:rPr>
                  </w:pPr>
                  <w:r>
                    <w:rPr>
                      <w:rFonts w:hint="eastAsia" w:ascii="仿宋" w:hAnsi="仿宋" w:eastAsia="仿宋" w:cs="Times New Roman"/>
                      <w:strike w:val="0"/>
                      <w:color w:val="auto"/>
                      <w:sz w:val="24"/>
                      <w:highlight w:val="none"/>
                    </w:rPr>
                    <w:t xml:space="preserve">人数</w:t>
                  </w:r>
                  <w:r/>
                </w:p>
              </w:tc>
            </w:tr>
            <w:tr>
              <w:trPr>
                <w:trHeight w:val="600"/>
              </w:trPr>
              <w:tc>
                <w:tcPr>
                  <w:shd w:val="clear" w:color="auto" w:fill="auto"/>
                  <w:tcW w:w="998" w:type="pct"/>
                  <w:vAlign w:val="center"/>
                  <w:textDirection w:val="lrTb"/>
                  <w:noWrap/>
                </w:tcPr>
                <w:p>
                  <w:pPr>
                    <w:jc w:val="center"/>
                    <w:rPr>
                      <w:rFonts w:hint="eastAsia" w:ascii="仿宋" w:hAnsi="仿宋" w:eastAsia="仿宋" w:cs="Times New Roman"/>
                      <w:strike w:val="0"/>
                      <w:color w:val="auto"/>
                      <w:sz w:val="24"/>
                      <w:highlight w:val="none"/>
                    </w:rPr>
                  </w:pPr>
                  <w:r>
                    <w:rPr>
                      <w:rFonts w:hint="eastAsia" w:ascii="仿宋" w:hAnsi="仿宋" w:eastAsia="仿宋" w:cs="Times New Roman"/>
                      <w:strike w:val="0"/>
                      <w:color w:val="auto"/>
                      <w:sz w:val="24"/>
                      <w:highlight w:val="none"/>
                    </w:rPr>
                    <w:t xml:space="preserve">1</w:t>
                  </w:r>
                  <w:r/>
                </w:p>
              </w:tc>
              <w:tc>
                <w:tcPr>
                  <w:shd w:val="clear" w:color="auto" w:fill="auto"/>
                  <w:tcW w:w="1786" w:type="pct"/>
                  <w:vAlign w:val="center"/>
                  <w:textDirection w:val="lrTb"/>
                  <w:noWrap/>
                </w:tcPr>
                <w:p>
                  <w:pPr>
                    <w:jc w:val="center"/>
                    <w:rPr>
                      <w:rFonts w:hint="eastAsia" w:ascii="仿宋" w:hAnsi="仿宋" w:eastAsia="仿宋" w:cs="Times New Roman"/>
                      <w:strike w:val="0"/>
                      <w:color w:val="auto"/>
                      <w:sz w:val="24"/>
                      <w:highlight w:val="none"/>
                    </w:rPr>
                  </w:pPr>
                  <w:r>
                    <w:rPr>
                      <w:rFonts w:hint="eastAsia" w:ascii="仿宋" w:hAnsi="仿宋" w:eastAsia="仿宋" w:cs="Times New Roman"/>
                      <w:strike w:val="0"/>
                      <w:color w:val="auto"/>
                      <w:sz w:val="24"/>
                      <w:highlight w:val="none"/>
                    </w:rPr>
                    <w:t xml:space="preserve">项目经理</w:t>
                  </w:r>
                  <w:r/>
                </w:p>
              </w:tc>
              <w:tc>
                <w:tcPr>
                  <w:shd w:val="clear" w:color="auto" w:fill="auto"/>
                  <w:tcW w:w="2214" w:type="pct"/>
                  <w:vAlign w:val="center"/>
                  <w:textDirection w:val="lrTb"/>
                  <w:noWrap/>
                </w:tcPr>
                <w:p>
                  <w:pPr>
                    <w:jc w:val="center"/>
                    <w:rPr>
                      <w:rFonts w:hint="eastAsia" w:ascii="仿宋" w:hAnsi="仿宋" w:eastAsia="仿宋" w:cs="Times New Roman"/>
                      <w:strike w:val="0"/>
                      <w:color w:val="auto"/>
                      <w:sz w:val="24"/>
                      <w:highlight w:val="none"/>
                    </w:rPr>
                  </w:pPr>
                  <w:r>
                    <w:rPr>
                      <w:rFonts w:hint="eastAsia" w:ascii="仿宋" w:hAnsi="仿宋" w:eastAsia="仿宋" w:cs="Times New Roman"/>
                      <w:strike w:val="0"/>
                      <w:color w:val="auto"/>
                      <w:sz w:val="24"/>
                      <w:highlight w:val="none"/>
                    </w:rPr>
                    <w:t xml:space="preserve">1</w:t>
                  </w:r>
                  <w:r/>
                </w:p>
              </w:tc>
            </w:tr>
            <w:tr>
              <w:trPr>
                <w:trHeight w:val="348"/>
              </w:trPr>
              <w:tc>
                <w:tcPr>
                  <w:shd w:val="clear" w:color="auto" w:fill="auto"/>
                  <w:tcW w:w="998" w:type="pct"/>
                  <w:vAlign w:val="center"/>
                  <w:textDirection w:val="lrTb"/>
                  <w:noWrap/>
                </w:tcPr>
                <w:p>
                  <w:pPr>
                    <w:jc w:val="center"/>
                    <w:rPr>
                      <w:rFonts w:hint="eastAsia" w:ascii="仿宋" w:hAnsi="仿宋" w:eastAsia="仿宋" w:cs="Times New Roman"/>
                      <w:strike w:val="0"/>
                      <w:color w:val="auto"/>
                      <w:sz w:val="24"/>
                      <w:highlight w:val="none"/>
                      <w:lang w:val="en-US" w:eastAsia="zh-CN"/>
                    </w:rPr>
                  </w:pPr>
                  <w:r>
                    <w:rPr>
                      <w:rFonts w:hint="eastAsia" w:ascii="仿宋" w:hAnsi="仿宋" w:eastAsia="仿宋" w:cs="Times New Roman"/>
                      <w:strike w:val="0"/>
                      <w:color w:val="auto"/>
                      <w:sz w:val="24"/>
                      <w:highlight w:val="none"/>
                    </w:rPr>
                    <w:t xml:space="preserve">4</w:t>
                  </w:r>
                  <w:r/>
                </w:p>
              </w:tc>
              <w:tc>
                <w:tcPr>
                  <w:shd w:val="clear" w:color="auto" w:fill="auto"/>
                  <w:tcW w:w="1786" w:type="pct"/>
                  <w:vAlign w:val="center"/>
                  <w:textDirection w:val="lrTb"/>
                  <w:noWrap/>
                </w:tcPr>
                <w:p>
                  <w:pPr>
                    <w:jc w:val="center"/>
                    <w:rPr>
                      <w:rFonts w:hint="eastAsia" w:ascii="仿宋" w:hAnsi="仿宋" w:eastAsia="仿宋" w:cs="Times New Roman"/>
                      <w:strike w:val="0"/>
                      <w:color w:val="auto"/>
                      <w:sz w:val="24"/>
                      <w:highlight w:val="none"/>
                      <w:lang w:val="en-US" w:eastAsia="zh-CN"/>
                    </w:rPr>
                  </w:pPr>
                  <w:r>
                    <w:rPr>
                      <w:rFonts w:hint="eastAsia" w:ascii="仿宋" w:hAnsi="仿宋" w:eastAsia="仿宋" w:cs="Times New Roman"/>
                      <w:strike w:val="0"/>
                      <w:color w:val="auto"/>
                      <w:sz w:val="24"/>
                      <w:highlight w:val="none"/>
                    </w:rPr>
                    <w:t xml:space="preserve">驾驶员</w:t>
                  </w:r>
                  <w:r/>
                </w:p>
              </w:tc>
              <w:tc>
                <w:tcPr>
                  <w:shd w:val="clear" w:color="auto" w:fill="auto"/>
                  <w:tcW w:w="2214" w:type="pct"/>
                  <w:vAlign w:val="center"/>
                  <w:textDirection w:val="lrTb"/>
                  <w:noWrap/>
                </w:tcPr>
                <w:p>
                  <w:pPr>
                    <w:jc w:val="center"/>
                    <w:rPr>
                      <w:rFonts w:hint="eastAsia" w:ascii="仿宋" w:hAnsi="仿宋" w:eastAsia="仿宋" w:cs="Times New Roman"/>
                      <w:strike w:val="0"/>
                      <w:color w:val="auto"/>
                      <w:sz w:val="24"/>
                      <w:highlight w:val="none"/>
                      <w:lang w:val="en-US" w:eastAsia="zh-CN"/>
                    </w:rPr>
                  </w:pPr>
                  <w:r>
                    <w:rPr>
                      <w:rFonts w:hint="eastAsia" w:ascii="仿宋" w:hAnsi="仿宋" w:eastAsia="仿宋" w:cs="Times New Roman"/>
                      <w:strike w:val="0"/>
                      <w:color w:val="auto"/>
                      <w:sz w:val="24"/>
                      <w:highlight w:val="none"/>
                    </w:rPr>
                    <w:t xml:space="preserve">5</w:t>
                  </w:r>
                  <w:r/>
                </w:p>
              </w:tc>
            </w:tr>
            <w:tr>
              <w:trPr>
                <w:trHeight w:val="600"/>
              </w:trPr>
              <w:tc>
                <w:tcPr>
                  <w:shd w:val="clear" w:color="auto" w:fill="auto"/>
                  <w:tcW w:w="998" w:type="pct"/>
                  <w:vAlign w:val="center"/>
                  <w:textDirection w:val="lrTb"/>
                  <w:noWrap/>
                </w:tcPr>
                <w:p>
                  <w:pPr>
                    <w:jc w:val="center"/>
                    <w:rPr>
                      <w:rFonts w:hint="eastAsia" w:ascii="仿宋" w:hAnsi="仿宋" w:eastAsia="仿宋" w:cs="Times New Roman"/>
                      <w:strike w:val="0"/>
                      <w:color w:val="auto"/>
                      <w:sz w:val="24"/>
                      <w:highlight w:val="none"/>
                      <w:lang w:val="en-US" w:eastAsia="zh-CN"/>
                    </w:rPr>
                  </w:pPr>
                  <w:r>
                    <w:rPr>
                      <w:rFonts w:hint="eastAsia" w:ascii="仿宋" w:hAnsi="仿宋" w:eastAsia="仿宋" w:cs="Times New Roman"/>
                      <w:strike w:val="0"/>
                      <w:color w:val="auto"/>
                      <w:sz w:val="24"/>
                      <w:highlight w:val="none"/>
                    </w:rPr>
                    <w:t xml:space="preserve">5</w:t>
                  </w:r>
                  <w:r/>
                </w:p>
              </w:tc>
              <w:tc>
                <w:tcPr>
                  <w:shd w:val="clear" w:color="auto" w:fill="auto"/>
                  <w:tcW w:w="1786" w:type="pct"/>
                  <w:vAlign w:val="center"/>
                  <w:textDirection w:val="lrTb"/>
                  <w:noWrap/>
                </w:tcPr>
                <w:p>
                  <w:pPr>
                    <w:jc w:val="center"/>
                    <w:rPr>
                      <w:rFonts w:hint="eastAsia" w:ascii="仿宋" w:hAnsi="仿宋" w:eastAsia="仿宋" w:cs="Times New Roman"/>
                      <w:strike w:val="0"/>
                      <w:color w:val="auto"/>
                      <w:sz w:val="24"/>
                      <w:highlight w:val="none"/>
                      <w:lang w:val="en-US" w:eastAsia="zh-CN"/>
                    </w:rPr>
                  </w:pPr>
                  <w:r>
                    <w:rPr>
                      <w:rFonts w:hint="eastAsia" w:ascii="仿宋" w:hAnsi="仿宋" w:eastAsia="仿宋" w:cs="Times New Roman"/>
                      <w:strike w:val="0"/>
                      <w:color w:val="auto"/>
                      <w:sz w:val="24"/>
                      <w:highlight w:val="none"/>
                    </w:rPr>
                    <w:t xml:space="preserve">随车人员</w:t>
                  </w:r>
                  <w:r/>
                </w:p>
              </w:tc>
              <w:tc>
                <w:tcPr>
                  <w:shd w:val="clear" w:color="auto" w:fill="auto"/>
                  <w:tcW w:w="2214" w:type="pct"/>
                  <w:vAlign w:val="center"/>
                  <w:textDirection w:val="lrTb"/>
                  <w:noWrap/>
                </w:tcPr>
                <w:p>
                  <w:pPr>
                    <w:jc w:val="center"/>
                    <w:rPr>
                      <w:rFonts w:hint="eastAsia" w:ascii="仿宋" w:hAnsi="仿宋" w:eastAsia="仿宋" w:cs="Times New Roman"/>
                      <w:strike w:val="0"/>
                      <w:color w:val="auto"/>
                      <w:sz w:val="24"/>
                      <w:highlight w:val="none"/>
                      <w:lang w:val="en-US" w:eastAsia="zh-CN"/>
                    </w:rPr>
                  </w:pPr>
                  <w:r>
                    <w:rPr>
                      <w:rFonts w:hint="eastAsia" w:ascii="仿宋" w:hAnsi="仿宋" w:eastAsia="仿宋" w:cs="Times New Roman"/>
                      <w:strike w:val="0"/>
                      <w:color w:val="auto"/>
                      <w:sz w:val="24"/>
                      <w:highlight w:val="none"/>
                    </w:rPr>
                    <w:t xml:space="preserve">10</w:t>
                  </w:r>
                  <w:r/>
                </w:p>
              </w:tc>
            </w:tr>
            <w:tr>
              <w:trPr>
                <w:trHeight w:val="373"/>
              </w:trPr>
              <w:tc>
                <w:tcPr>
                  <w:gridSpan w:val="2"/>
                  <w:tcW w:w="2785" w:type="pct"/>
                  <w:vAlign w:val="center"/>
                  <w:textDirection w:val="lrTb"/>
                  <w:noWrap/>
                </w:tcPr>
                <w:p>
                  <w:pPr>
                    <w:jc w:val="center"/>
                    <w:rPr>
                      <w:rFonts w:hint="eastAsia" w:ascii="仿宋" w:hAnsi="仿宋" w:eastAsia="仿宋" w:cs="Times New Roman"/>
                      <w:strike w:val="0"/>
                      <w:color w:val="auto"/>
                      <w:sz w:val="24"/>
                      <w:highlight w:val="none"/>
                    </w:rPr>
                  </w:pPr>
                  <w:r>
                    <w:rPr>
                      <w:rFonts w:hint="eastAsia" w:ascii="仿宋" w:hAnsi="仿宋" w:eastAsia="仿宋" w:cs="Times New Roman"/>
                      <w:strike w:val="0"/>
                      <w:color w:val="auto"/>
                      <w:sz w:val="24"/>
                      <w:highlight w:val="none"/>
                    </w:rPr>
                    <w:t xml:space="preserve">合计</w:t>
                  </w:r>
                  <w:r/>
                </w:p>
              </w:tc>
              <w:tc>
                <w:tcPr>
                  <w:tcW w:w="2214" w:type="pct"/>
                  <w:vAlign w:val="center"/>
                  <w:textDirection w:val="lrTb"/>
                  <w:noWrap/>
                </w:tcPr>
                <w:p>
                  <w:pPr>
                    <w:jc w:val="center"/>
                    <w:rPr>
                      <w:rFonts w:hint="default" w:ascii="仿宋" w:hAnsi="仿宋" w:eastAsia="仿宋" w:cs="Times New Roman"/>
                      <w:strike w:val="0"/>
                      <w:color w:val="auto"/>
                      <w:sz w:val="24"/>
                      <w:highlight w:val="none"/>
                      <w:lang w:val="en-US" w:eastAsia="zh-CN"/>
                    </w:rPr>
                  </w:pPr>
                  <w:r>
                    <w:rPr>
                      <w:rFonts w:hint="eastAsia" w:ascii="仿宋" w:hAnsi="仿宋" w:eastAsia="仿宋" w:cs="Times New Roman"/>
                      <w:strike w:val="0"/>
                      <w:color w:val="auto"/>
                      <w:sz w:val="24"/>
                      <w:highlight w:val="none"/>
                      <w:lang w:val="en-US" w:eastAsia="zh-CN"/>
                    </w:rPr>
                    <w:t xml:space="preserve">16</w:t>
                  </w:r>
                  <w:r/>
                </w:p>
              </w:tc>
            </w:tr>
          </w:tbl>
          <w:p>
            <w:pPr>
              <w:jc w:val="left"/>
              <w:rPr>
                <w:rFonts w:hint="eastAsia" w:ascii="仿宋" w:hAnsi="仿宋" w:eastAsia="仿宋" w:cs="Times New Roman"/>
                <w:strike w:val="0"/>
                <w:color w:val="auto"/>
                <w:sz w:val="24"/>
                <w:highlight w:val="none"/>
              </w:rPr>
            </w:pPr>
            <w:r>
              <w:rPr>
                <w:rFonts w:hint="eastAsia" w:ascii="仿宋" w:hAnsi="仿宋" w:eastAsia="仿宋" w:cs="Times New Roman"/>
                <w:strike w:val="0"/>
                <w:color w:val="auto"/>
                <w:sz w:val="24"/>
                <w:highlight w:val="none"/>
                <w:lang w:val="en-US" w:eastAsia="zh-CN"/>
              </w:rPr>
              <w:t xml:space="preserve">注：</w:t>
            </w:r>
            <w:r>
              <w:rPr>
                <w:rFonts w:hint="eastAsia" w:ascii="仿宋" w:hAnsi="仿宋" w:eastAsia="仿宋" w:cs="Times New Roman"/>
                <w:strike w:val="0"/>
                <w:color w:val="auto"/>
                <w:sz w:val="24"/>
                <w:highlight w:val="none"/>
              </w:rPr>
              <w:t xml:space="preserve">上</w:t>
            </w:r>
            <w:r>
              <w:rPr>
                <w:rFonts w:hint="eastAsia" w:ascii="仿宋" w:hAnsi="仿宋" w:eastAsia="仿宋" w:cs="Times New Roman"/>
                <w:strike w:val="0"/>
                <w:color w:val="auto"/>
                <w:sz w:val="24"/>
                <w:highlight w:val="none"/>
                <w:lang w:val="en-US" w:eastAsia="zh-CN"/>
              </w:rPr>
              <w:t xml:space="preserve">述</w:t>
            </w:r>
            <w:r>
              <w:rPr>
                <w:rFonts w:hint="eastAsia" w:ascii="仿宋" w:hAnsi="仿宋" w:eastAsia="仿宋" w:cs="Times New Roman"/>
                <w:strike w:val="0"/>
                <w:color w:val="auto"/>
                <w:sz w:val="24"/>
                <w:highlight w:val="none"/>
              </w:rPr>
              <w:t xml:space="preserve">人员配置为</w:t>
            </w:r>
            <w:r>
              <w:rPr>
                <w:rFonts w:hint="eastAsia" w:ascii="仿宋" w:hAnsi="仿宋" w:eastAsia="仿宋" w:cs="Times New Roman"/>
                <w:strike w:val="0"/>
                <w:color w:val="auto"/>
                <w:sz w:val="24"/>
                <w:highlight w:val="none"/>
                <w:lang w:val="en-US" w:eastAsia="zh-CN"/>
              </w:rPr>
              <w:t xml:space="preserve">基本</w:t>
            </w:r>
            <w:r>
              <w:rPr>
                <w:rFonts w:hint="eastAsia" w:ascii="仿宋" w:hAnsi="仿宋" w:eastAsia="仿宋" w:cs="Times New Roman"/>
                <w:strike w:val="0"/>
                <w:color w:val="auto"/>
                <w:sz w:val="24"/>
                <w:highlight w:val="none"/>
              </w:rPr>
              <w:t xml:space="preserve">配置要求</w:t>
            </w:r>
            <w:r>
              <w:rPr>
                <w:rFonts w:hint="eastAsia" w:ascii="仿宋" w:hAnsi="仿宋" w:eastAsia="仿宋" w:cs="Times New Roman"/>
                <w:strike w:val="0"/>
                <w:color w:val="auto"/>
                <w:sz w:val="24"/>
                <w:highlight w:val="none"/>
                <w:lang w:eastAsia="zh-CN"/>
              </w:rPr>
              <w:t xml:space="preserve">，</w:t>
            </w:r>
            <w:r>
              <w:rPr>
                <w:rFonts w:hint="eastAsia" w:ascii="仿宋" w:hAnsi="仿宋" w:eastAsia="仿宋" w:cs="Times New Roman"/>
                <w:strike w:val="0"/>
                <w:color w:val="auto"/>
                <w:sz w:val="24"/>
                <w:highlight w:val="none"/>
                <w:lang w:val="en-US" w:eastAsia="zh-CN"/>
              </w:rPr>
              <w:t xml:space="preserve">响应文件中</w:t>
            </w:r>
            <w:r>
              <w:rPr>
                <w:rFonts w:hint="eastAsia" w:ascii="仿宋" w:hAnsi="仿宋" w:eastAsia="仿宋" w:cs="Times New Roman"/>
                <w:strike w:val="0"/>
                <w:color w:val="auto"/>
                <w:sz w:val="24"/>
                <w:highlight w:val="none"/>
              </w:rPr>
              <w:t xml:space="preserve">须</w:t>
            </w:r>
            <w:r>
              <w:rPr>
                <w:rFonts w:hint="eastAsia" w:ascii="仿宋" w:hAnsi="仿宋" w:eastAsia="仿宋" w:cs="Times New Roman"/>
                <w:strike w:val="0"/>
                <w:color w:val="auto"/>
                <w:sz w:val="24"/>
                <w:highlight w:val="none"/>
                <w:lang w:val="en-US" w:eastAsia="zh-CN"/>
              </w:rPr>
              <w:t xml:space="preserve">提供</w:t>
            </w:r>
            <w:r>
              <w:rPr>
                <w:rFonts w:hint="eastAsia" w:ascii="仿宋" w:hAnsi="仿宋" w:eastAsia="仿宋" w:cs="Times New Roman"/>
                <w:strike w:val="0"/>
                <w:color w:val="auto"/>
                <w:sz w:val="24"/>
                <w:highlight w:val="none"/>
              </w:rPr>
              <w:t xml:space="preserve">《项目人员配备表》拟派人员名单</w:t>
            </w:r>
            <w:r>
              <w:rPr>
                <w:rFonts w:hint="eastAsia" w:ascii="仿宋" w:hAnsi="仿宋" w:eastAsia="仿宋" w:cs="Times New Roman"/>
                <w:strike w:val="0"/>
                <w:color w:val="auto"/>
                <w:sz w:val="24"/>
                <w:highlight w:val="none"/>
                <w:lang w:val="en-US" w:eastAsia="zh-CN"/>
              </w:rPr>
              <w:t xml:space="preserve">；同时提供</w:t>
            </w:r>
            <w:r>
              <w:rPr>
                <w:rFonts w:hint="eastAsia" w:ascii="仿宋" w:hAnsi="仿宋" w:eastAsia="仿宋" w:cs="Times New Roman"/>
                <w:strike w:val="0"/>
                <w:color w:val="auto"/>
                <w:sz w:val="24"/>
                <w:highlight w:val="none"/>
              </w:rPr>
              <w:t xml:space="preserve">响应文件提交截止日前最近1个月响应供应商为</w:t>
            </w:r>
            <w:r>
              <w:rPr>
                <w:rFonts w:hint="eastAsia" w:ascii="仿宋" w:hAnsi="仿宋" w:eastAsia="仿宋" w:cs="Times New Roman"/>
                <w:strike w:val="0"/>
                <w:color w:val="auto"/>
                <w:sz w:val="24"/>
                <w:highlight w:val="none"/>
                <w:lang w:val="en-US" w:eastAsia="zh-CN"/>
              </w:rPr>
              <w:t xml:space="preserve">16名</w:t>
            </w:r>
            <w:r>
              <w:rPr>
                <w:rFonts w:hint="eastAsia" w:ascii="仿宋" w:hAnsi="仿宋" w:eastAsia="仿宋" w:cs="Times New Roman"/>
                <w:strike w:val="0"/>
                <w:color w:val="auto"/>
                <w:sz w:val="24"/>
                <w:highlight w:val="none"/>
              </w:rPr>
              <w:t xml:space="preserve">服务人员缴纳社保的证明</w:t>
            </w:r>
            <w:r>
              <w:rPr>
                <w:rFonts w:hint="eastAsia" w:ascii="仿宋" w:hAnsi="仿宋" w:eastAsia="仿宋" w:cs="Times New Roman"/>
                <w:strike w:val="0"/>
                <w:color w:val="auto"/>
                <w:sz w:val="24"/>
                <w:highlight w:val="none"/>
                <w:lang w:eastAsia="zh-CN"/>
              </w:rPr>
              <w:t xml:space="preserve">。</w:t>
            </w:r>
            <w:r>
              <w:rPr>
                <w:rFonts w:hint="eastAsia" w:ascii="仿宋" w:hAnsi="仿宋" w:eastAsia="仿宋" w:cs="Times New Roman"/>
                <w:b/>
                <w:bCs/>
                <w:strike w:val="0"/>
                <w:color w:val="auto"/>
                <w:sz w:val="24"/>
                <w:highlight w:val="none"/>
              </w:rPr>
              <w:t xml:space="preserve">未按要求提供或提供不全</w:t>
            </w:r>
            <w:r>
              <w:rPr>
                <w:rFonts w:hint="eastAsia" w:ascii="仿宋" w:hAnsi="仿宋" w:eastAsia="仿宋" w:cs="Times New Roman"/>
                <w:b/>
                <w:bCs/>
                <w:strike w:val="0"/>
                <w:color w:val="auto"/>
                <w:sz w:val="24"/>
                <w:highlight w:val="none"/>
                <w:lang w:val="en-US" w:eastAsia="zh-CN"/>
              </w:rPr>
              <w:t xml:space="preserve">视为无效响应。</w:t>
            </w:r>
            <w:r/>
          </w:p>
          <w:p>
            <w:pPr>
              <w:jc w:val="left"/>
              <w:rPr>
                <w:rFonts w:hint="eastAsia" w:ascii="仿宋" w:hAnsi="仿宋" w:eastAsia="仿宋" w:cs="Times New Roman"/>
                <w:strike w:val="0"/>
                <w:color w:val="auto"/>
                <w:sz w:val="24"/>
                <w:highlight w:val="none"/>
              </w:rPr>
            </w:pPr>
            <w:r>
              <w:rPr>
                <w:rFonts w:hint="eastAsia" w:ascii="仿宋" w:hAnsi="仿宋" w:eastAsia="仿宋" w:cs="Times New Roman"/>
                <w:strike w:val="0"/>
                <w:color w:val="auto"/>
                <w:sz w:val="24"/>
                <w:highlight w:val="none"/>
              </w:rPr>
            </w:r>
            <w:r/>
          </w:p>
          <w:p>
            <w:pPr>
              <w:jc w:val="left"/>
              <w:rPr>
                <w:rFonts w:hint="eastAsia" w:ascii="仿宋" w:hAnsi="仿宋" w:eastAsia="仿宋" w:cs="Times New Roman"/>
                <w:strike w:val="0"/>
                <w:color w:val="auto"/>
                <w:sz w:val="24"/>
                <w:highlight w:val="none"/>
              </w:rPr>
            </w:pPr>
            <w:r>
              <w:rPr>
                <w:rFonts w:hint="eastAsia" w:ascii="仿宋" w:hAnsi="仿宋" w:eastAsia="仿宋" w:cs="Times New Roman"/>
                <w:strike w:val="0"/>
                <w:color w:val="auto"/>
                <w:sz w:val="24"/>
                <w:highlight w:val="none"/>
              </w:rPr>
              <w:t xml:space="preserve">2.基本机械设备配置要求：</w:t>
            </w:r>
            <w:r/>
          </w:p>
          <w:p>
            <w:pPr>
              <w:jc w:val="left"/>
              <w:rPr>
                <w:rFonts w:hint="eastAsia" w:ascii="仿宋" w:hAnsi="仿宋" w:eastAsia="仿宋" w:cs="Times New Roman"/>
                <w:strike w:val="0"/>
                <w:color w:val="auto"/>
                <w:sz w:val="24"/>
                <w:highlight w:val="none"/>
              </w:rPr>
            </w:pPr>
            <w:r>
              <w:rPr>
                <w:rFonts w:hint="eastAsia" w:ascii="仿宋" w:hAnsi="仿宋" w:eastAsia="仿宋" w:cs="Times New Roman"/>
                <w:strike w:val="0"/>
                <w:color w:val="auto"/>
                <w:sz w:val="24"/>
                <w:highlight w:val="none"/>
              </w:rPr>
              <w:t xml:space="preserve">设备设施最低配置一览表</w:t>
            </w:r>
            <w:r/>
          </w:p>
          <w:tbl>
            <w:tblPr>
              <w:tblStyle w:val="706"/>
              <w:tblW w:w="46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3"/>
              <w:gridCol w:w="919"/>
              <w:gridCol w:w="1833"/>
              <w:gridCol w:w="821"/>
              <w:gridCol w:w="626"/>
            </w:tblGrid>
            <w:tr>
              <w:trPr>
                <w:jc w:val="center"/>
                <w:trHeight w:val="449"/>
              </w:trPr>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textDirection w:val="lrTb"/>
                  <w:noWrap/>
                </w:tcPr>
                <w:p>
                  <w:pPr>
                    <w:jc w:val="center"/>
                    <w:rPr>
                      <w:rFonts w:hint="eastAsia" w:ascii="仿宋" w:hAnsi="仿宋" w:eastAsia="仿宋" w:cs="Times New Roman"/>
                      <w:strike w:val="0"/>
                      <w:color w:val="auto"/>
                      <w:sz w:val="24"/>
                      <w:highlight w:val="none"/>
                    </w:rPr>
                  </w:pPr>
                  <w:r>
                    <w:rPr>
                      <w:rFonts w:hint="eastAsia" w:ascii="仿宋" w:hAnsi="仿宋" w:eastAsia="仿宋" w:cs="Times New Roman"/>
                      <w:strike w:val="0"/>
                      <w:color w:val="auto"/>
                      <w:sz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rPr>
                      <w:rFonts w:hint="eastAsia" w:ascii="仿宋" w:hAnsi="仿宋" w:eastAsia="仿宋" w:cs="Times New Roman"/>
                      <w:strike w:val="0"/>
                      <w:color w:val="auto"/>
                      <w:sz w:val="24"/>
                      <w:highlight w:val="none"/>
                    </w:rPr>
                  </w:pPr>
                  <w:r>
                    <w:rPr>
                      <w:rFonts w:hint="eastAsia" w:ascii="仿宋" w:hAnsi="仿宋" w:eastAsia="仿宋" w:cs="Times New Roman"/>
                      <w:strike w:val="0"/>
                      <w:color w:val="auto"/>
                      <w:sz w:val="24"/>
                      <w:highlight w:val="none"/>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rPr>
                      <w:rFonts w:hint="eastAsia" w:ascii="仿宋" w:hAnsi="仿宋" w:eastAsia="仿宋" w:cs="Times New Roman"/>
                      <w:strike w:val="0"/>
                      <w:color w:val="auto"/>
                      <w:sz w:val="24"/>
                      <w:highlight w:val="none"/>
                    </w:rPr>
                  </w:pPr>
                  <w:r>
                    <w:rPr>
                      <w:rFonts w:hint="eastAsia" w:ascii="仿宋" w:hAnsi="仿宋" w:eastAsia="仿宋" w:cs="Times New Roman"/>
                      <w:strike w:val="0"/>
                      <w:color w:val="auto"/>
                      <w:sz w:val="24"/>
                      <w:highlight w:val="none"/>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rPr>
                      <w:rFonts w:hint="eastAsia" w:ascii="仿宋" w:hAnsi="仿宋" w:eastAsia="仿宋" w:cs="Times New Roman"/>
                      <w:strike w:val="0"/>
                      <w:color w:val="auto"/>
                      <w:sz w:val="24"/>
                      <w:highlight w:val="none"/>
                    </w:rPr>
                  </w:pPr>
                  <w:r>
                    <w:rPr>
                      <w:rFonts w:hint="eastAsia" w:ascii="仿宋" w:hAnsi="仿宋" w:eastAsia="仿宋" w:cs="Times New Roman"/>
                      <w:strike w:val="0"/>
                      <w:color w:val="auto"/>
                      <w:sz w:val="24"/>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jc w:val="center"/>
                    <w:rPr>
                      <w:rFonts w:hint="eastAsia" w:ascii="仿宋" w:hAnsi="仿宋" w:eastAsia="仿宋" w:cs="Times New Roman"/>
                      <w:strike w:val="0"/>
                      <w:color w:val="auto"/>
                      <w:sz w:val="24"/>
                      <w:highlight w:val="none"/>
                    </w:rPr>
                  </w:pPr>
                  <w:r>
                    <w:rPr>
                      <w:rFonts w:hint="eastAsia" w:ascii="仿宋" w:hAnsi="仿宋" w:eastAsia="仿宋" w:cs="Times New Roman"/>
                      <w:strike w:val="0"/>
                      <w:color w:val="auto"/>
                      <w:sz w:val="24"/>
                      <w:highlight w:val="none"/>
                    </w:rPr>
                    <w:t xml:space="preserve">单位</w:t>
                  </w:r>
                  <w:r/>
                </w:p>
              </w:tc>
            </w:tr>
            <w:tr>
              <w:trPr>
                <w:jc w:val="center"/>
                <w:trHeight w:val="1577"/>
              </w:trPr>
              <w:tc>
                <w:tcPr>
                  <w:shd w:val="clear" w:color="auto" w:fill="auto"/>
                  <w:tcBorders>
                    <w:top w:val="single" w:color="000000" w:sz="4" w:space="0"/>
                    <w:left w:val="single" w:color="000000" w:sz="4" w:space="0"/>
                    <w:bottom w:val="single" w:color="000000" w:sz="4" w:space="0"/>
                    <w:right w:val="single" w:color="000000" w:sz="4" w:space="0"/>
                  </w:tcBorders>
                  <w:tcW w:w="413" w:type="dxa"/>
                  <w:vAlign w:val="center"/>
                  <w:textDirection w:val="lrTb"/>
                  <w:noWrap/>
                </w:tcPr>
                <w:p>
                  <w:pPr>
                    <w:jc w:val="center"/>
                    <w:rPr>
                      <w:rFonts w:hint="eastAsia" w:ascii="仿宋" w:hAnsi="仿宋" w:eastAsia="仿宋" w:cs="Times New Roman"/>
                      <w:strike w:val="0"/>
                      <w:color w:val="auto"/>
                      <w:sz w:val="24"/>
                      <w:highlight w:val="none"/>
                    </w:rPr>
                  </w:pPr>
                  <w:r>
                    <w:rPr>
                      <w:rFonts w:hint="eastAsia" w:ascii="仿宋" w:hAnsi="仿宋" w:eastAsia="仿宋" w:cs="Times New Roman"/>
                      <w:strike w:val="0"/>
                      <w:color w:val="auto"/>
                      <w:sz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9" w:type="dxa"/>
                  <w:vAlign w:val="center"/>
                  <w:textDirection w:val="lrTb"/>
                  <w:noWrap/>
                </w:tcPr>
                <w:p>
                  <w:pPr>
                    <w:jc w:val="center"/>
                    <w:tabs>
                      <w:tab w:val="right" w:pos="2272" w:leader="none"/>
                    </w:tabs>
                    <w:rPr>
                      <w:rFonts w:hint="eastAsia" w:ascii="仿宋" w:hAnsi="仿宋" w:eastAsia="仿宋" w:cs="Times New Roman"/>
                      <w:strike w:val="0"/>
                      <w:color w:val="auto"/>
                      <w:sz w:val="24"/>
                      <w:highlight w:val="none"/>
                    </w:rPr>
                  </w:pPr>
                  <w:r>
                    <w:rPr>
                      <w:rFonts w:hint="eastAsia" w:ascii="仿宋" w:hAnsi="仿宋" w:eastAsia="仿宋" w:cs="Times New Roman"/>
                      <w:strike w:val="0"/>
                      <w:color w:val="auto"/>
                      <w:sz w:val="24"/>
                      <w:highlight w:val="none"/>
                    </w:rPr>
                    <w:t xml:space="preserve">压缩式垃圾车</w:t>
                  </w:r>
                  <w:r>
                    <w:tab/>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tcPr>
                <w:p>
                  <w:pPr>
                    <w:jc w:val="center"/>
                    <w:rPr>
                      <w:rFonts w:hint="eastAsia" w:ascii="仿宋" w:hAnsi="仿宋" w:eastAsia="仿宋" w:cs="Times New Roman"/>
                      <w:strike w:val="0"/>
                      <w:color w:val="auto"/>
                      <w:sz w:val="24"/>
                      <w:highlight w:val="none"/>
                    </w:rPr>
                  </w:pPr>
                  <w:r>
                    <w:rPr>
                      <w:rFonts w:hint="eastAsia" w:ascii="仿宋" w:hAnsi="仿宋" w:eastAsia="仿宋" w:cs="Times New Roman"/>
                      <w:strike w:val="0"/>
                      <w:color w:val="auto"/>
                      <w:sz w:val="24"/>
                      <w:highlight w:val="none"/>
                    </w:rPr>
                    <w:t xml:space="preserve">总质量≥7000kg</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rPr>
                      <w:rFonts w:hint="eastAsia" w:ascii="仿宋" w:hAnsi="仿宋" w:eastAsia="仿宋" w:cs="Times New Roman"/>
                      <w:strike w:val="0"/>
                      <w:color w:val="auto"/>
                      <w:sz w:val="24"/>
                      <w:highlight w:val="none"/>
                    </w:rPr>
                  </w:pPr>
                  <w:r>
                    <w:rPr>
                      <w:rFonts w:hint="eastAsia" w:ascii="仿宋" w:hAnsi="仿宋" w:eastAsia="仿宋" w:cs="Times New Roman"/>
                      <w:strike w:val="0"/>
                      <w:color w:val="auto"/>
                      <w:sz w:val="24"/>
                      <w:highlight w:val="none"/>
                    </w:rPr>
                    <w:t xml:space="preserve">5</w:t>
                  </w:r>
                  <w:r/>
                </w:p>
                <w:p>
                  <w:pPr>
                    <w:rPr>
                      <w:rFonts w:hint="eastAsia" w:ascii="仿宋" w:hAnsi="仿宋" w:eastAsia="仿宋" w:cs="Times New Roman"/>
                      <w:sz w:val="24"/>
                      <w:szCs w:val="24"/>
                    </w:rPr>
                  </w:pPr>
                  <w:r>
                    <w:rPr>
                      <w:rFonts w:hint="eastAsia" w:ascii="仿宋" w:hAnsi="仿宋" w:eastAsia="仿宋" w:cs="Times New Roman"/>
                      <w:sz w:val="24"/>
                      <w:szCs w:val="24"/>
                    </w:rPr>
                  </w:r>
                  <w:r>
                    <w:rPr>
                      <w:rFonts w:hint="eastAsia" w:ascii="仿宋" w:hAnsi="仿宋" w:eastAsia="仿宋" w:cs="Times New Roman"/>
                      <w:sz w:val="24"/>
                      <w:szCs w:val="24"/>
                    </w:rPr>
                  </w:r>
                  <w:r/>
                </w:p>
                <w:p>
                  <w:pPr>
                    <w:rPr>
                      <w:rFonts w:hint="eastAsia" w:ascii="仿宋" w:hAnsi="仿宋" w:eastAsia="仿宋" w:cs="Times New Roman"/>
                      <w:sz w:val="24"/>
                      <w:szCs w:val="24"/>
                    </w:rPr>
                  </w:pPr>
                  <w:r>
                    <w:rPr>
                      <w:rFonts w:hint="eastAsia" w:ascii="仿宋" w:hAnsi="仿宋" w:eastAsia="仿宋" w:cs="Times New Roman"/>
                      <w:sz w:val="24"/>
                      <w:szCs w:val="24"/>
                    </w:rPr>
                  </w:r>
                  <w:r>
                    <w:rPr>
                      <w:rFonts w:hint="eastAsia" w:ascii="仿宋" w:hAnsi="仿宋" w:eastAsia="仿宋" w:cs="Times New Roman"/>
                      <w:sz w:val="24"/>
                      <w:szCs w:val="24"/>
                    </w:rPr>
                  </w:r>
                  <w:r/>
                </w:p>
                <w:p>
                  <w:pPr>
                    <w:rPr>
                      <w:rFonts w:hint="eastAsia" w:ascii="仿宋" w:hAnsi="仿宋" w:eastAsia="仿宋" w:cs="Times New Roman"/>
                      <w:sz w:val="24"/>
                      <w:szCs w:val="24"/>
                    </w:rPr>
                  </w:pPr>
                  <w:r>
                    <w:rPr>
                      <w:rFonts w:hint="eastAsia" w:ascii="仿宋" w:hAnsi="仿宋" w:eastAsia="仿宋" w:cs="Times New Roman"/>
                      <w:sz w:val="24"/>
                      <w:szCs w:val="24"/>
                    </w:rPr>
                  </w:r>
                  <w:r>
                    <w:rPr>
                      <w:rFonts w:hint="eastAsia" w:ascii="仿宋" w:hAnsi="仿宋" w:eastAsia="仿宋" w:cs="Times New Roman"/>
                      <w:sz w:val="24"/>
                      <w:szCs w:val="24"/>
                    </w:rPr>
                  </w:r>
                  <w:r/>
                </w:p>
                <w:p>
                  <w:pPr>
                    <w:rPr>
                      <w:rFonts w:hint="eastAsia" w:ascii="仿宋" w:hAnsi="仿宋" w:eastAsia="仿宋" w:cs="Times New Roman"/>
                      <w:sz w:val="24"/>
                      <w:szCs w:val="24"/>
                    </w:rPr>
                  </w:pPr>
                  <w:r>
                    <w:rPr>
                      <w:rFonts w:hint="eastAsia" w:ascii="仿宋" w:hAnsi="仿宋" w:eastAsia="仿宋" w:cs="Times New Roman"/>
                      <w:sz w:val="24"/>
                      <w:szCs w:val="24"/>
                    </w:rPr>
                  </w:r>
                  <w:r>
                    <w:rPr>
                      <w:rFonts w:hint="eastAsia" w:ascii="仿宋" w:hAnsi="仿宋" w:eastAsia="仿宋" w:cs="Times New Roman"/>
                      <w:sz w:val="24"/>
                      <w:szCs w:val="24"/>
                    </w:rPr>
                  </w:r>
                  <w:r/>
                </w:p>
                <w:p>
                  <w:pPr>
                    <w:jc w:val="center"/>
                    <w:rPr>
                      <w:rFonts w:hint="eastAsia" w:ascii="仿宋" w:hAnsi="仿宋" w:eastAsia="仿宋" w:cs="Times New Roman"/>
                      <w:sz w:val="24"/>
                      <w:szCs w:val="24"/>
                    </w:rPr>
                  </w:pPr>
                  <w:r>
                    <w:rPr>
                      <w:rFonts w:hint="eastAsia" w:ascii="仿宋" w:hAnsi="仿宋" w:eastAsia="仿宋" w:cs="Times New Roman"/>
                      <w:sz w:val="24"/>
                      <w:szCs w:val="24"/>
                    </w:rPr>
                  </w:r>
                  <w:r>
                    <w:rPr>
                      <w:rFonts w:hint="eastAsia" w:ascii="仿宋" w:hAnsi="仿宋" w:eastAsia="仿宋" w:cs="Times New Roman"/>
                      <w:sz w:val="24"/>
                      <w:szCs w:val="24"/>
                    </w:rPr>
                  </w:r>
                  <w:r/>
                </w:p>
                <w:p>
                  <w:pPr>
                    <w:jc w:val="center"/>
                    <w:rPr>
                      <w:rFonts w:hint="eastAsia" w:ascii="仿宋" w:hAnsi="仿宋" w:eastAsia="仿宋" w:cs="Times New Roman"/>
                      <w:sz w:val="24"/>
                      <w:szCs w:val="24"/>
                    </w:rPr>
                  </w:pPr>
                  <w:r>
                    <w:rPr>
                      <w:rFonts w:hint="eastAsia" w:ascii="仿宋" w:hAnsi="仿宋" w:eastAsia="仿宋" w:cs="Times New Roman"/>
                      <w:sz w:val="24"/>
                      <w:szCs w:val="24"/>
                    </w:rPr>
                  </w:r>
                  <w:r>
                    <w:rPr>
                      <w:rFonts w:hint="eastAsia" w:ascii="仿宋" w:hAnsi="仿宋" w:eastAsia="仿宋"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jc w:val="center"/>
                    <w:rPr>
                      <w:rFonts w:hint="eastAsia" w:ascii="仿宋" w:hAnsi="仿宋" w:eastAsia="仿宋" w:cs="Times New Roman"/>
                      <w:strike w:val="0"/>
                      <w:color w:val="auto"/>
                      <w:sz w:val="24"/>
                      <w:highlight w:val="none"/>
                    </w:rPr>
                  </w:pPr>
                  <w:r>
                    <w:rPr>
                      <w:rFonts w:hint="eastAsia" w:ascii="仿宋" w:hAnsi="仿宋" w:eastAsia="仿宋" w:cs="Times New Roman"/>
                      <w:strike w:val="0"/>
                      <w:color w:val="auto"/>
                      <w:sz w:val="24"/>
                      <w:highlight w:val="none"/>
                    </w:rPr>
                    <w:t xml:space="preserve">辆</w:t>
                  </w:r>
                  <w:r/>
                </w:p>
              </w:tc>
            </w:tr>
            <w:tr>
              <w:trPr>
                <w:jc w:val="center"/>
                <w:trHeight w:val="255"/>
              </w:trPr>
              <w:tc>
                <w:tcPr>
                  <w:gridSpan w:val="3"/>
                  <w:shd w:val="clear" w:color="auto" w:fill="auto"/>
                  <w:tcBorders>
                    <w:top w:val="single" w:color="000000" w:sz="4" w:space="0"/>
                    <w:left w:val="single" w:color="000000" w:sz="4" w:space="0"/>
                    <w:bottom w:val="single" w:color="000000" w:sz="4" w:space="0"/>
                    <w:right w:val="single" w:color="000000" w:sz="4" w:space="0"/>
                  </w:tcBorders>
                  <w:tcW w:w="3166" w:type="dxa"/>
                  <w:vAlign w:val="center"/>
                  <w:textDirection w:val="lrTb"/>
                  <w:noWrap/>
                </w:tcPr>
                <w:p>
                  <w:pPr>
                    <w:jc w:val="center"/>
                    <w:rPr>
                      <w:rFonts w:hint="eastAsia" w:ascii="仿宋" w:hAnsi="仿宋" w:eastAsia="仿宋" w:cs="Times New Roman"/>
                      <w:strike w:val="0"/>
                      <w:color w:val="auto"/>
                      <w:sz w:val="24"/>
                      <w:highlight w:val="none"/>
                    </w:rPr>
                  </w:pPr>
                  <w:r>
                    <w:rPr>
                      <w:rFonts w:hint="eastAsia" w:ascii="仿宋" w:hAnsi="仿宋" w:eastAsia="仿宋" w:cs="Times New Roman"/>
                      <w:strike w:val="0"/>
                      <w:color w:val="auto"/>
                      <w:sz w:val="24"/>
                      <w:highlight w:val="none"/>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821" w:type="dxa"/>
                  <w:vAlign w:val="center"/>
                  <w:textDirection w:val="lrTb"/>
                  <w:noWrap/>
                </w:tcPr>
                <w:p>
                  <w:pPr>
                    <w:jc w:val="center"/>
                    <w:rPr>
                      <w:rFonts w:hint="eastAsia" w:ascii="仿宋" w:hAnsi="仿宋" w:eastAsia="仿宋" w:cs="Times New Roman"/>
                      <w:strike w:val="0"/>
                      <w:color w:val="auto"/>
                      <w:sz w:val="24"/>
                      <w:highlight w:val="none"/>
                    </w:rPr>
                  </w:pPr>
                  <w:r>
                    <w:rPr>
                      <w:rFonts w:hint="eastAsia" w:ascii="仿宋" w:hAnsi="仿宋" w:eastAsia="仿宋" w:cs="Times New Roman"/>
                      <w:strike w:val="0"/>
                      <w:color w:val="auto"/>
                      <w:sz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26" w:type="dxa"/>
                  <w:vAlign w:val="center"/>
                  <w:textDirection w:val="lrTb"/>
                  <w:noWrap/>
                </w:tcPr>
                <w:p>
                  <w:pPr>
                    <w:jc w:val="center"/>
                    <w:rPr>
                      <w:rFonts w:hint="eastAsia" w:ascii="仿宋" w:hAnsi="仿宋" w:eastAsia="仿宋" w:cs="Times New Roman"/>
                      <w:strike w:val="0"/>
                      <w:color w:val="auto"/>
                      <w:sz w:val="24"/>
                      <w:highlight w:val="none"/>
                    </w:rPr>
                  </w:pPr>
                  <w:r>
                    <w:rPr>
                      <w:rFonts w:hint="eastAsia" w:ascii="仿宋" w:hAnsi="仿宋" w:eastAsia="仿宋" w:cs="Times New Roman"/>
                      <w:strike w:val="0"/>
                      <w:color w:val="auto"/>
                      <w:sz w:val="24"/>
                      <w:highlight w:val="none"/>
                    </w:rPr>
                    <w:t xml:space="preserve">辆</w:t>
                  </w:r>
                  <w:r/>
                </w:p>
              </w:tc>
            </w:tr>
          </w:tbl>
          <w:p>
            <w:pPr>
              <w:jc w:val="left"/>
              <w:rPr>
                <w:rFonts w:hint="eastAsia" w:ascii="仿宋" w:hAnsi="仿宋" w:eastAsia="仿宋" w:cs="Times New Roman"/>
                <w:strike w:val="0"/>
                <w:color w:val="auto"/>
                <w:sz w:val="24"/>
                <w:highlight w:val="none"/>
              </w:rPr>
            </w:pPr>
            <w:r>
              <w:rPr>
                <w:rFonts w:hint="eastAsia" w:ascii="仿宋" w:hAnsi="仿宋" w:eastAsia="仿宋" w:cs="Times New Roman"/>
                <w:strike w:val="0"/>
                <w:color w:val="auto"/>
                <w:sz w:val="24"/>
                <w:highlight w:val="none"/>
              </w:rPr>
            </w:r>
            <w:r/>
          </w:p>
          <w:p>
            <w:pPr>
              <w:jc w:val="left"/>
              <w:rPr>
                <w:rFonts w:hint="eastAsia" w:ascii="仿宋" w:hAnsi="仿宋" w:eastAsia="仿宋" w:cs="Times New Roman"/>
                <w:strike w:val="0"/>
                <w:color w:val="auto"/>
                <w:sz w:val="24"/>
                <w:highlight w:val="none"/>
              </w:rPr>
            </w:pPr>
            <w:r>
              <w:rPr>
                <w:rFonts w:hint="eastAsia" w:ascii="仿宋" w:hAnsi="仿宋" w:eastAsia="仿宋" w:cs="Times New Roman"/>
                <w:strike w:val="0"/>
                <w:color w:val="auto"/>
                <w:sz w:val="24"/>
                <w:highlight w:val="none"/>
                <w:lang w:val="en-US" w:eastAsia="zh-CN"/>
              </w:rPr>
              <w:t xml:space="preserve">1.</w:t>
            </w:r>
            <w:r>
              <w:rPr>
                <w:rFonts w:hint="eastAsia" w:ascii="仿宋" w:hAnsi="仿宋" w:eastAsia="仿宋" w:cs="Times New Roman"/>
                <w:strike w:val="0"/>
                <w:color w:val="auto"/>
                <w:sz w:val="24"/>
                <w:highlight w:val="none"/>
              </w:rPr>
              <w:t xml:space="preserve">响应文件中须提供作业设备清单、以上车辆有效登记证（登记日期须在响应文件提交截止日前）、行驶证、保险单据、购置发票、车辆带牌照的清晰照片</w:t>
            </w:r>
            <w:r>
              <w:rPr>
                <w:rFonts w:hint="eastAsia" w:ascii="仿宋" w:hAnsi="仿宋" w:eastAsia="仿宋" w:cs="Times New Roman"/>
                <w:strike w:val="0"/>
                <w:color w:val="auto"/>
                <w:sz w:val="24"/>
                <w:highlight w:val="none"/>
                <w:lang w:eastAsia="zh-CN"/>
              </w:rPr>
              <w:t xml:space="preserve">。</w:t>
            </w:r>
            <w:r>
              <w:rPr>
                <w:rFonts w:hint="eastAsia" w:ascii="仿宋" w:hAnsi="仿宋" w:eastAsia="仿宋" w:cs="Times New Roman"/>
                <w:b/>
                <w:bCs/>
                <w:strike w:val="0"/>
                <w:color w:val="auto"/>
                <w:sz w:val="24"/>
                <w:highlight w:val="none"/>
              </w:rPr>
              <w:t xml:space="preserve">未按要求提供或提供不全视为无效响应。</w:t>
            </w:r>
            <w:r/>
          </w:p>
          <w:p>
            <w:pPr>
              <w:jc w:val="left"/>
              <w:rPr>
                <w:rFonts w:hint="eastAsia" w:ascii="仿宋" w:hAnsi="仿宋" w:eastAsia="仿宋" w:cs="Times New Roman"/>
                <w:strike w:val="0"/>
                <w:color w:val="auto"/>
                <w:sz w:val="24"/>
                <w:highlight w:val="none"/>
              </w:rPr>
            </w:pPr>
            <w:r>
              <w:rPr>
                <w:rFonts w:hint="eastAsia" w:ascii="仿宋" w:hAnsi="仿宋" w:eastAsia="仿宋" w:cs="Times New Roman"/>
                <w:strike w:val="0"/>
                <w:color w:val="auto"/>
                <w:sz w:val="24"/>
                <w:highlight w:val="none"/>
                <w:lang w:val="en-US" w:eastAsia="zh-CN"/>
              </w:rPr>
              <w:t xml:space="preserve">2.</w:t>
            </w:r>
            <w:r>
              <w:rPr>
                <w:rFonts w:hint="eastAsia" w:ascii="仿宋" w:hAnsi="仿宋" w:eastAsia="仿宋" w:cs="Times New Roman"/>
                <w:strike w:val="0"/>
                <w:color w:val="auto"/>
                <w:sz w:val="24"/>
                <w:highlight w:val="none"/>
              </w:rPr>
              <w:t xml:space="preserve">供应商须承诺成交后合同签订前人员和设备组织到位。承诺函格式自拟，</w:t>
            </w:r>
            <w:r>
              <w:rPr>
                <w:rFonts w:hint="eastAsia" w:ascii="仿宋" w:hAnsi="仿宋" w:eastAsia="仿宋" w:cs="Times New Roman"/>
                <w:b/>
                <w:bCs/>
                <w:strike w:val="0"/>
                <w:color w:val="auto"/>
                <w:sz w:val="24"/>
                <w:highlight w:val="none"/>
              </w:rPr>
              <w:t xml:space="preserve">未按要求提供视为无效响应。</w:t>
            </w:r>
            <w:r/>
          </w:p>
          <w:p>
            <w:pPr>
              <w:jc w:val="left"/>
              <w:rPr>
                <w:rFonts w:hint="eastAsia" w:ascii="仿宋" w:hAnsi="仿宋" w:eastAsia="仿宋" w:cs="Times New Roman"/>
                <w:strike w:val="0"/>
                <w:color w:val="auto"/>
                <w:sz w:val="24"/>
                <w:highlight w:val="none"/>
              </w:rPr>
            </w:pPr>
            <w:r>
              <w:rPr>
                <w:rFonts w:hint="eastAsia" w:ascii="仿宋" w:hAnsi="仿宋" w:eastAsia="仿宋" w:cs="Times New Roman"/>
                <w:strike w:val="0"/>
                <w:color w:val="auto"/>
                <w:sz w:val="24"/>
                <w:highlight w:val="none"/>
              </w:rPr>
              <w:t xml:space="preserve">（三）其他要求</w:t>
            </w:r>
            <w:r/>
          </w:p>
          <w:p>
            <w:pPr>
              <w:jc w:val="left"/>
              <w:rPr>
                <w:rFonts w:hint="eastAsia" w:ascii="仿宋" w:hAnsi="仿宋" w:eastAsia="仿宋" w:cs="Times New Roman"/>
                <w:strike w:val="0"/>
                <w:color w:val="auto"/>
                <w:sz w:val="24"/>
                <w:highlight w:val="none"/>
              </w:rPr>
            </w:pPr>
            <w:r>
              <w:rPr>
                <w:rFonts w:hint="eastAsia" w:ascii="仿宋" w:hAnsi="仿宋" w:eastAsia="仿宋" w:cs="Times New Roman"/>
                <w:strike w:val="0"/>
                <w:color w:val="auto"/>
                <w:sz w:val="24"/>
                <w:highlight w:val="none"/>
              </w:rPr>
              <w:t xml:space="preserve">1.成交供应商承诺拟投入本项目的全部设备、人员均为本项目专属资源，仅用于履行本项目合同工作内容，未经采购人书面批准，不得擅自调换、撤离、转借或挪作其他项目使用。自愿无条件接受采购人按月开展的人员在岗、设备到位情况核查与履约考核，严格服从采购人监督管理，若违反上述承诺，自愿承担相应违约责任。</w:t>
            </w:r>
            <w:r/>
          </w:p>
          <w:p>
            <w:pPr>
              <w:jc w:val="left"/>
              <w:rPr>
                <w:rFonts w:hint="eastAsia" w:ascii="仿宋" w:hAnsi="仿宋" w:eastAsia="仿宋" w:cs="Times New Roman"/>
                <w:strike w:val="0"/>
                <w:color w:val="auto"/>
                <w:sz w:val="24"/>
                <w:highlight w:val="none"/>
                <w:lang w:eastAsia="zh-CN"/>
              </w:rPr>
            </w:pPr>
            <w:r>
              <w:rPr>
                <w:rFonts w:hint="eastAsia" w:ascii="仿宋" w:hAnsi="仿宋" w:eastAsia="仿宋" w:cs="Times New Roman"/>
                <w:strike w:val="0"/>
                <w:color w:val="auto"/>
                <w:sz w:val="24"/>
                <w:highlight w:val="none"/>
              </w:rPr>
              <w:t xml:space="preserve">2.成交供应商与项目管理人员、驾驶员及随车辅助人员的劳动合同关系由成交供应商全权负责，所配车辆及人员如发生工伤、安全等事故以及由此产生的经济赔偿等一切事项均由成交供应商自行处理，与采购人无关</w:t>
            </w:r>
            <w:r>
              <w:rPr>
                <w:rFonts w:hint="eastAsia" w:ascii="仿宋" w:hAnsi="仿宋" w:eastAsia="仿宋" w:cs="Times New Roman"/>
                <w:strike w:val="0"/>
                <w:color w:val="auto"/>
                <w:sz w:val="24"/>
                <w:highlight w:val="none"/>
                <w:lang w:eastAsia="zh-CN"/>
              </w:rPr>
              <w:t xml:space="preserve">。</w:t>
            </w:r>
            <w:r/>
          </w:p>
          <w:p>
            <w:pPr>
              <w:jc w:val="left"/>
              <w:rPr>
                <w:rFonts w:hint="eastAsia" w:ascii="仿宋" w:hAnsi="仿宋" w:eastAsia="仿宋" w:cs="Times New Roman"/>
                <w:strike w:val="0"/>
                <w:color w:val="auto"/>
                <w:sz w:val="24"/>
                <w:highlight w:val="none"/>
              </w:rPr>
            </w:pPr>
            <w:r>
              <w:rPr>
                <w:rFonts w:hint="eastAsia" w:ascii="仿宋" w:hAnsi="仿宋" w:eastAsia="仿宋" w:cs="Times New Roman"/>
                <w:strike w:val="0"/>
                <w:color w:val="auto"/>
                <w:sz w:val="24"/>
                <w:highlight w:val="none"/>
              </w:rPr>
              <w:t xml:space="preserve">3.成交供应商</w:t>
            </w:r>
            <w:r>
              <w:rPr>
                <w:rFonts w:hint="eastAsia" w:ascii="仿宋" w:hAnsi="仿宋" w:eastAsia="仿宋" w:cs="Times New Roman"/>
                <w:strike w:val="0"/>
                <w:color w:val="auto"/>
                <w:sz w:val="24"/>
                <w:highlight w:val="none"/>
                <w:lang w:val="en-US" w:eastAsia="zh-CN"/>
              </w:rPr>
              <w:t xml:space="preserve">须</w:t>
            </w:r>
            <w:r>
              <w:rPr>
                <w:rFonts w:hint="eastAsia" w:ascii="仿宋" w:hAnsi="仿宋" w:eastAsia="仿宋" w:cs="Times New Roman"/>
                <w:strike w:val="0"/>
                <w:color w:val="auto"/>
                <w:sz w:val="24"/>
                <w:highlight w:val="none"/>
              </w:rPr>
              <w:t xml:space="preserve">合法用工</w:t>
            </w:r>
            <w:r>
              <w:rPr>
                <w:rFonts w:hint="eastAsia" w:ascii="仿宋" w:hAnsi="仿宋" w:eastAsia="仿宋" w:cs="Times New Roman"/>
                <w:strike w:val="0"/>
                <w:color w:val="auto"/>
                <w:sz w:val="24"/>
                <w:highlight w:val="none"/>
                <w:lang w:eastAsia="zh-CN"/>
              </w:rPr>
              <w:t xml:space="preserve">，</w:t>
            </w:r>
            <w:r>
              <w:rPr>
                <w:rFonts w:hint="eastAsia" w:ascii="仿宋" w:hAnsi="仿宋" w:eastAsia="仿宋" w:cs="Times New Roman"/>
                <w:strike w:val="0"/>
                <w:color w:val="auto"/>
                <w:sz w:val="24"/>
                <w:highlight w:val="none"/>
              </w:rPr>
              <w:t xml:space="preserve">为该项目所</w:t>
            </w:r>
            <w:r>
              <w:rPr>
                <w:rFonts w:hint="eastAsia" w:ascii="仿宋" w:hAnsi="仿宋" w:eastAsia="仿宋" w:cs="Times New Roman"/>
                <w:strike w:val="0"/>
                <w:color w:val="auto"/>
                <w:sz w:val="24"/>
                <w:highlight w:val="none"/>
                <w:lang w:val="en-US" w:eastAsia="zh-CN"/>
              </w:rPr>
              <w:t xml:space="preserve">有服务</w:t>
            </w:r>
            <w:r>
              <w:rPr>
                <w:rFonts w:hint="eastAsia" w:ascii="仿宋" w:hAnsi="仿宋" w:eastAsia="仿宋" w:cs="Times New Roman"/>
                <w:strike w:val="0"/>
                <w:color w:val="auto"/>
                <w:sz w:val="24"/>
                <w:highlight w:val="none"/>
              </w:rPr>
              <w:t xml:space="preserve">人员缴纳五险，不符合缴纳五险的人员须缴纳工伤保险或者缴纳雇主责任险</w:t>
            </w:r>
            <w:r>
              <w:rPr>
                <w:rFonts w:hint="eastAsia" w:ascii="仿宋" w:hAnsi="仿宋" w:eastAsia="仿宋" w:cs="Times New Roman"/>
                <w:strike w:val="0"/>
                <w:color w:val="auto"/>
                <w:sz w:val="24"/>
                <w:highlight w:val="none"/>
                <w:lang w:eastAsia="zh-CN"/>
              </w:rPr>
              <w:t xml:space="preserve">。</w:t>
            </w:r>
            <w:r>
              <w:rPr>
                <w:rFonts w:hint="eastAsia" w:ascii="仿宋" w:hAnsi="仿宋" w:eastAsia="仿宋" w:cs="Times New Roman"/>
                <w:strike w:val="0"/>
                <w:color w:val="auto"/>
                <w:sz w:val="24"/>
                <w:highlight w:val="none"/>
              </w:rPr>
              <w:t xml:space="preserve">因违法用工造成的一切后果由中标人承担。</w:t>
            </w:r>
            <w:r/>
          </w:p>
          <w:p>
            <w:pPr>
              <w:jc w:val="left"/>
              <w:rPr>
                <w:rFonts w:hint="eastAsia" w:ascii="仿宋" w:hAnsi="仿宋" w:eastAsia="仿宋" w:cs="Times New Roman"/>
                <w:strike w:val="0"/>
                <w:color w:val="auto"/>
                <w:sz w:val="24"/>
                <w:highlight w:val="none"/>
              </w:rPr>
            </w:pPr>
            <w:r>
              <w:rPr>
                <w:rFonts w:hint="eastAsia" w:ascii="仿宋" w:hAnsi="仿宋" w:eastAsia="仿宋" w:cs="Times New Roman"/>
                <w:strike w:val="0"/>
                <w:color w:val="auto"/>
                <w:sz w:val="24"/>
                <w:highlight w:val="none"/>
              </w:rPr>
              <w:t xml:space="preserve">4.项目服务期间，</w:t>
            </w:r>
            <w:r>
              <w:rPr>
                <w:rFonts w:hint="eastAsia" w:ascii="仿宋" w:hAnsi="仿宋" w:eastAsia="仿宋" w:cs="Times New Roman"/>
                <w:strike w:val="0"/>
                <w:color w:val="auto"/>
                <w:sz w:val="24"/>
                <w:highlight w:val="none"/>
              </w:rPr>
              <w:t xml:space="preserve">成交供应商须严格按照本项目合同约定、采购人工作安排及现场作业规范执行服务时间，全程保障项目常态化履约作业，不得擅自停工、离岗、拖延。成交供应商需根据项目工作需求、节假日值守、应急保障等工作安排，合理调配增加人员、设备在岗参与应急作业，确保服务时间全覆盖、无空缺。未经采购人书面同意，成交供应商不得擅自暂停项目服务或提前终止清运作业。若因成交供应商擅自调整工作时间、脱岗停工导致项目工作延误、服务中断、作业滞后等问题，成交供应商需承担全部履约责任及由此产生的一切损失，采购人有权依据合同约定追究成交供应商违约责任。</w:t>
            </w:r>
            <w:r/>
          </w:p>
          <w:p>
            <w:pPr>
              <w:jc w:val="left"/>
              <w:rPr>
                <w:rFonts w:hint="eastAsia" w:ascii="仿宋" w:hAnsi="仿宋" w:eastAsia="仿宋" w:cs="Times New Roman"/>
                <w:strike w:val="0"/>
                <w:color w:val="auto"/>
                <w:sz w:val="24"/>
                <w:highlight w:val="none"/>
              </w:rPr>
            </w:pPr>
            <w:r>
              <w:rPr>
                <w:rFonts w:hint="eastAsia" w:ascii="仿宋" w:hAnsi="仿宋" w:eastAsia="仿宋" w:cs="Times New Roman"/>
                <w:strike w:val="0"/>
                <w:color w:val="auto"/>
                <w:sz w:val="24"/>
                <w:highlight w:val="none"/>
              </w:rPr>
              <w:t xml:space="preserve">5.驾驶人员必须严格遵守各项规章制度，认真履行垃圾清运职责，听从采购人工作安排和垃圾清运调度，不得以任何理由拒绝采购人的要求。严格按照采购人的调度方案调运生活垃圾，保持通信畅通，随时准备处理应急、突击任务，确保无积存生活垃圾。</w:t>
            </w:r>
            <w:r/>
          </w:p>
          <w:p>
            <w:pPr>
              <w:jc w:val="left"/>
              <w:rPr>
                <w:rFonts w:hint="eastAsia" w:ascii="仿宋" w:hAnsi="仿宋" w:eastAsia="仿宋" w:cs="Times New Roman"/>
                <w:strike w:val="0"/>
                <w:color w:val="auto"/>
                <w:sz w:val="24"/>
                <w:highlight w:val="none"/>
              </w:rPr>
            </w:pPr>
            <w:r>
              <w:rPr>
                <w:rFonts w:hint="eastAsia" w:ascii="仿宋" w:hAnsi="仿宋" w:eastAsia="仿宋" w:cs="Times New Roman"/>
                <w:strike w:val="0"/>
                <w:color w:val="auto"/>
                <w:sz w:val="24"/>
                <w:highlight w:val="none"/>
                <w:lang w:val="en-US" w:eastAsia="zh-CN"/>
              </w:rPr>
              <w:t xml:space="preserve">6.响应供应商须确保垃圾运输车辆及作业人员合规上路、安全运营。</w:t>
            </w:r>
            <w:r>
              <w:rPr>
                <w:rFonts w:hint="eastAsia" w:ascii="仿宋" w:hAnsi="仿宋" w:eastAsia="仿宋" w:cs="Times New Roman"/>
                <w:strike w:val="0"/>
                <w:color w:val="auto"/>
                <w:sz w:val="24"/>
                <w:highlight w:val="none"/>
              </w:rPr>
              <w:t xml:space="preserve">专职驾驶人员必须持证（驾驶证）上岗，驾驶适证车辆。保证安全、文明驾驶，进站、装载、运输、倾倒等作业保证文明有序。严格遵守《</w:t>
            </w:r>
            <w:r>
              <w:rPr>
                <w:rFonts w:hint="eastAsia" w:ascii="仿宋" w:hAnsi="仿宋" w:eastAsia="仿宋" w:cs="Times New Roman"/>
                <w:strike w:val="0"/>
                <w:color w:val="auto"/>
                <w:sz w:val="24"/>
                <w:highlight w:val="none"/>
                <w:lang w:eastAsia="zh-CN"/>
              </w:rPr>
              <w:t xml:space="preserve">中华人民共和国道路交通安全法</w:t>
            </w:r>
            <w:r>
              <w:rPr>
                <w:rFonts w:hint="eastAsia" w:ascii="仿宋" w:hAnsi="仿宋" w:eastAsia="仿宋" w:cs="Times New Roman"/>
                <w:strike w:val="0"/>
                <w:color w:val="auto"/>
                <w:sz w:val="24"/>
                <w:highlight w:val="none"/>
              </w:rPr>
              <w:t xml:space="preserve">》</w:t>
            </w:r>
            <w:r>
              <w:rPr>
                <w:rFonts w:hint="eastAsia" w:ascii="仿宋" w:hAnsi="仿宋" w:eastAsia="仿宋" w:cs="Times New Roman"/>
                <w:strike w:val="0"/>
                <w:color w:val="auto"/>
                <w:sz w:val="24"/>
                <w:highlight w:val="none"/>
                <w:lang w:val="en-US" w:eastAsia="zh-CN"/>
              </w:rPr>
              <w:t xml:space="preserve">及</w:t>
            </w:r>
            <w:r>
              <w:rPr>
                <w:rFonts w:hint="eastAsia" w:ascii="仿宋" w:hAnsi="仿宋" w:eastAsia="仿宋" w:cs="Times New Roman"/>
                <w:strike w:val="0"/>
                <w:color w:val="auto"/>
                <w:sz w:val="24"/>
                <w:highlight w:val="none"/>
              </w:rPr>
              <w:t xml:space="preserve">操作规程，严禁开快车、病车、赌气车；严禁疲劳驾驶、酒后开车；在转运过程中应保持车辆号牌清晰，不得遮挡公司标识及车辆号牌；每天作业完成后应清洗干净按规定停放运输车辆；要自觉接受媒体及社会的监督。</w:t>
            </w:r>
            <w:r/>
          </w:p>
        </w:tc>
        <w:tc>
          <w:tcPr>
            <w:tcBorders>
              <w:top w:val="single" w:color="auto" w:sz="4" w:space="0"/>
              <w:left w:val="single" w:color="auto" w:sz="4" w:space="0"/>
              <w:bottom w:val="single" w:color="auto" w:sz="4" w:space="0"/>
              <w:right w:val="single" w:color="auto" w:sz="4" w:space="0"/>
            </w:tcBorders>
            <w:tcW w:w="1125" w:type="dxa"/>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60" w:type="dxa"/>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585" w:type="dxa"/>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586" w:type="dxa"/>
            <w:vAlign w:val="center"/>
            <w:textDirection w:val="lrTb"/>
            <w:noWrap/>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tcPr>
          <w:p>
            <w:pPr>
              <w:jc w:val="center"/>
              <w:rPr>
                <w:rFonts w:hint="default"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服务标准</w:t>
            </w:r>
            <w:r/>
          </w:p>
        </w:tc>
        <w:tc>
          <w:tcPr>
            <w:tcBorders>
              <w:top w:val="single" w:color="auto" w:sz="4" w:space="0"/>
              <w:left w:val="single" w:color="auto" w:sz="4" w:space="0"/>
              <w:bottom w:val="single" w:color="auto" w:sz="4" w:space="0"/>
              <w:right w:val="single" w:color="auto" w:sz="4" w:space="0"/>
            </w:tcBorders>
            <w:tcW w:w="4860" w:type="dxa"/>
            <w:textDirection w:val="lrTb"/>
            <w:noWrap/>
          </w:tcPr>
          <w:p>
            <w:pPr>
              <w:jc w:val="left"/>
              <w:rPr>
                <w:rFonts w:ascii="仿宋" w:hAnsi="仿宋" w:eastAsia="仿宋"/>
                <w:strike/>
                <w:color w:val="auto"/>
                <w:sz w:val="24"/>
                <w:highlight w:val="none"/>
              </w:rPr>
            </w:pPr>
            <w:r>
              <w:rPr>
                <w:rFonts w:hint="eastAsia" w:ascii="仿宋" w:hAnsi="仿宋" w:eastAsia="仿宋" w:cs="Times New Roman"/>
                <w:strike w:val="0"/>
                <w:color w:val="auto"/>
                <w:sz w:val="24"/>
                <w:highlight w:val="none"/>
              </w:rPr>
              <w:t xml:space="preserve">合格，按采购人要求及时、安全、合规地完成服务内容，符合《如城街道安置区垃圾收集运输考核标准》。</w:t>
            </w:r>
            <w:r/>
          </w:p>
        </w:tc>
        <w:tc>
          <w:tcPr>
            <w:tcBorders>
              <w:top w:val="single" w:color="auto" w:sz="4" w:space="0"/>
              <w:left w:val="single" w:color="auto" w:sz="4" w:space="0"/>
              <w:bottom w:val="single" w:color="auto" w:sz="4" w:space="0"/>
              <w:right w:val="single" w:color="auto" w:sz="4" w:space="0"/>
            </w:tcBorders>
            <w:tcW w:w="1125" w:type="dxa"/>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60" w:type="dxa"/>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585" w:type="dxa"/>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586" w:type="dxa"/>
            <w:vAlign w:val="center"/>
            <w:textDirection w:val="lrTb"/>
            <w:noWrap/>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755" w:type="dxa"/>
            <w:textDirection w:val="lrTb"/>
            <w:noWrap/>
          </w:tcPr>
          <w:p>
            <w:pPr>
              <w:jc w:val="center"/>
              <w:rPr>
                <w:rFonts w:hint="default"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服务期限</w:t>
            </w:r>
            <w:r/>
          </w:p>
        </w:tc>
        <w:tc>
          <w:tcPr>
            <w:tcBorders>
              <w:top w:val="single" w:color="auto" w:sz="4" w:space="0"/>
              <w:left w:val="single" w:color="auto" w:sz="4" w:space="0"/>
              <w:bottom w:val="single" w:color="auto" w:sz="4" w:space="0"/>
              <w:right w:val="single" w:color="auto" w:sz="4" w:space="0"/>
            </w:tcBorders>
            <w:tcW w:w="4860" w:type="dxa"/>
            <w:textDirection w:val="lrTb"/>
            <w:noWrap/>
          </w:tcPr>
          <w:p>
            <w:pPr>
              <w:jc w:val="left"/>
              <w:rPr>
                <w:rFonts w:hint="eastAsia" w:ascii="仿宋" w:hAnsi="仿宋" w:eastAsia="仿宋" w:cs="Times New Roman"/>
                <w:strike w:val="0"/>
                <w:color w:val="auto"/>
                <w:sz w:val="24"/>
                <w:highlight w:val="none"/>
              </w:rPr>
            </w:pPr>
            <w:r>
              <w:rPr>
                <w:rFonts w:hint="eastAsia" w:ascii="仿宋" w:hAnsi="仿宋" w:eastAsia="仿宋" w:cs="Times New Roman"/>
                <w:strike w:val="0"/>
                <w:color w:val="auto"/>
                <w:sz w:val="24"/>
                <w:highlight w:val="none"/>
              </w:rPr>
              <w:t xml:space="preserve">服务期限：服务期拟定三年，合同一年一签，具体时间以采购人通知为准。第一年合同期满后，经采购人组织相关部门对履约情况进行验收，如服务良好，在不改变服务要求和服务价格前提下，采购人可与成交人按年续签合同，续签不超过两次。</w:t>
            </w:r>
            <w:r/>
          </w:p>
        </w:tc>
        <w:tc>
          <w:tcPr>
            <w:tcBorders>
              <w:top w:val="single" w:color="auto" w:sz="4" w:space="0"/>
              <w:left w:val="single" w:color="auto" w:sz="4" w:space="0"/>
              <w:bottom w:val="single" w:color="auto" w:sz="4" w:space="0"/>
              <w:right w:val="single" w:color="auto" w:sz="4" w:space="0"/>
            </w:tcBorders>
            <w:tcW w:w="1125" w:type="dxa"/>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60" w:type="dxa"/>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585" w:type="dxa"/>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586" w:type="dxa"/>
            <w:vAlign w:val="center"/>
            <w:textDirection w:val="lrTb"/>
            <w:noWrap/>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755" w:type="dxa"/>
            <w:textDirection w:val="lrTb"/>
            <w:noWrap/>
          </w:tcPr>
          <w:p>
            <w:pPr>
              <w:jc w:val="center"/>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地点</w:t>
            </w:r>
            <w:r/>
          </w:p>
        </w:tc>
        <w:tc>
          <w:tcPr>
            <w:tcBorders>
              <w:top w:val="single" w:color="auto" w:sz="4" w:space="0"/>
              <w:left w:val="single" w:color="auto" w:sz="4" w:space="0"/>
              <w:bottom w:val="single" w:color="auto" w:sz="4" w:space="0"/>
              <w:right w:val="single" w:color="auto" w:sz="4" w:space="0"/>
            </w:tcBorders>
            <w:tcW w:w="4860" w:type="dxa"/>
            <w:textDirection w:val="lrTb"/>
            <w:noWrap/>
          </w:tcPr>
          <w:p>
            <w:pPr>
              <w:jc w:val="left"/>
              <w:rPr>
                <w:rFonts w:hint="eastAsia" w:ascii="仿宋" w:hAnsi="仿宋" w:eastAsia="仿宋" w:cs="Times New Roman"/>
                <w:strike w:val="0"/>
                <w:color w:val="auto"/>
                <w:sz w:val="24"/>
                <w:highlight w:val="none"/>
              </w:rPr>
            </w:pPr>
            <w:r>
              <w:rPr>
                <w:rFonts w:hint="eastAsia" w:ascii="仿宋" w:hAnsi="仿宋" w:eastAsia="仿宋" w:cs="Times New Roman"/>
                <w:strike w:val="0"/>
                <w:color w:val="auto"/>
                <w:sz w:val="24"/>
                <w:highlight w:val="none"/>
              </w:rPr>
              <w:t xml:space="preserve">采购人指定地点</w:t>
            </w:r>
            <w:r/>
          </w:p>
        </w:tc>
        <w:tc>
          <w:tcPr>
            <w:tcBorders>
              <w:top w:val="single" w:color="auto" w:sz="4" w:space="0"/>
              <w:left w:val="single" w:color="auto" w:sz="4" w:space="0"/>
              <w:bottom w:val="single" w:color="auto" w:sz="4" w:space="0"/>
              <w:right w:val="single" w:color="auto" w:sz="4" w:space="0"/>
            </w:tcBorders>
            <w:tcW w:w="1125" w:type="dxa"/>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60" w:type="dxa"/>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585" w:type="dxa"/>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586" w:type="dxa"/>
            <w:vAlign w:val="center"/>
            <w:textDirection w:val="lrTb"/>
            <w:noWrap/>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755" w:type="dxa"/>
            <w:textDirection w:val="lrTb"/>
            <w:noWrap/>
          </w:tcPr>
          <w:p>
            <w:pPr>
              <w:jc w:val="center"/>
              <w:rPr>
                <w:rFonts w:hint="default"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考核方案</w:t>
            </w:r>
            <w:r/>
          </w:p>
        </w:tc>
        <w:tc>
          <w:tcPr>
            <w:tcBorders>
              <w:top w:val="single" w:color="auto" w:sz="4" w:space="0"/>
              <w:left w:val="single" w:color="auto" w:sz="4" w:space="0"/>
              <w:bottom w:val="single" w:color="auto" w:sz="4" w:space="0"/>
              <w:right w:val="single" w:color="auto" w:sz="4" w:space="0"/>
            </w:tcBorders>
            <w:tcW w:w="4860" w:type="dxa"/>
            <w:textDirection w:val="lrTb"/>
            <w:noWrap/>
          </w:tcPr>
          <w:p>
            <w:pPr>
              <w:jc w:val="left"/>
              <w:rPr>
                <w:rFonts w:hint="eastAsia" w:ascii="仿宋" w:hAnsi="仿宋" w:eastAsia="仿宋" w:cs="Times New Roman"/>
                <w:strike w:val="0"/>
                <w:color w:val="auto"/>
                <w:sz w:val="24"/>
                <w:highlight w:val="none"/>
              </w:rPr>
            </w:pPr>
            <w:r>
              <w:rPr>
                <w:rFonts w:hint="eastAsia" w:ascii="仿宋" w:hAnsi="仿宋" w:eastAsia="仿宋" w:cs="Times New Roman"/>
                <w:strike w:val="0"/>
                <w:color w:val="auto"/>
                <w:sz w:val="24"/>
                <w:highlight w:val="none"/>
              </w:rPr>
              <w:t xml:space="preserve">考核方案见附件2《如城街道安置区垃圾收集运输考核标准》。</w:t>
            </w:r>
            <w:r/>
          </w:p>
        </w:tc>
        <w:tc>
          <w:tcPr>
            <w:tcBorders>
              <w:top w:val="single" w:color="auto" w:sz="4" w:space="0"/>
              <w:left w:val="single" w:color="auto" w:sz="4" w:space="0"/>
              <w:bottom w:val="single" w:color="auto" w:sz="4" w:space="0"/>
              <w:right w:val="single" w:color="auto" w:sz="4" w:space="0"/>
            </w:tcBorders>
            <w:tcW w:w="1125" w:type="dxa"/>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60" w:type="dxa"/>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585" w:type="dxa"/>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586" w:type="dxa"/>
            <w:vAlign w:val="center"/>
            <w:textDirection w:val="lrTb"/>
            <w:noWrap/>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755" w:type="dxa"/>
            <w:textDirection w:val="lrTb"/>
            <w:noWrap/>
          </w:tcPr>
          <w:p>
            <w:pPr>
              <w:jc w:val="center"/>
              <w:rPr>
                <w:rFonts w:hint="default"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付款方式</w:t>
            </w:r>
            <w:r/>
          </w:p>
        </w:tc>
        <w:tc>
          <w:tcPr>
            <w:tcBorders>
              <w:top w:val="single" w:color="auto" w:sz="4" w:space="0"/>
              <w:left w:val="single" w:color="auto" w:sz="4" w:space="0"/>
              <w:bottom w:val="single" w:color="auto" w:sz="4" w:space="0"/>
              <w:right w:val="single" w:color="auto" w:sz="4" w:space="0"/>
            </w:tcBorders>
            <w:tcW w:w="4860" w:type="dxa"/>
            <w:textDirection w:val="lrTb"/>
            <w:noWrap/>
          </w:tcPr>
          <w:p>
            <w:pPr>
              <w:jc w:val="left"/>
              <w:rPr>
                <w:rFonts w:hint="eastAsia" w:ascii="仿宋" w:hAnsi="仿宋" w:eastAsia="仿宋" w:cs="Times New Roman"/>
                <w:strike w:val="0"/>
                <w:color w:val="auto"/>
                <w:sz w:val="24"/>
                <w:highlight w:val="none"/>
              </w:rPr>
            </w:pPr>
            <w:r>
              <w:rPr>
                <w:rFonts w:hint="eastAsia" w:ascii="仿宋" w:hAnsi="仿宋" w:eastAsia="仿宋" w:cs="Times New Roman"/>
                <w:strike w:val="0"/>
                <w:color w:val="auto"/>
                <w:sz w:val="24"/>
                <w:highlight w:val="none"/>
              </w:rPr>
              <w:t xml:space="preserve">按季度付款，结合季度绩效考核结果支付。支付前，成交供应商应出具符合采购人财务规定以及开票报税要求的相应金额的正式发票。</w:t>
            </w:r>
            <w:r/>
          </w:p>
        </w:tc>
        <w:tc>
          <w:tcPr>
            <w:tcBorders>
              <w:top w:val="single" w:color="auto" w:sz="4" w:space="0"/>
              <w:left w:val="single" w:color="auto" w:sz="4" w:space="0"/>
              <w:bottom w:val="single" w:color="auto" w:sz="4" w:space="0"/>
              <w:right w:val="single" w:color="auto" w:sz="4" w:space="0"/>
            </w:tcBorders>
            <w:tcW w:w="1125" w:type="dxa"/>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60" w:type="dxa"/>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585" w:type="dxa"/>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586" w:type="dxa"/>
            <w:vAlign w:val="center"/>
            <w:textDirection w:val="lrTb"/>
            <w:noWrap/>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755" w:type="dxa"/>
            <w:textDirection w:val="lrTb"/>
            <w:noWrap/>
          </w:tcPr>
          <w:p>
            <w:pPr>
              <w:jc w:val="center"/>
              <w:rPr>
                <w:rFonts w:hint="default"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磋商过程中可能会实质性变动的内容</w:t>
            </w:r>
            <w:r/>
          </w:p>
        </w:tc>
        <w:tc>
          <w:tcPr>
            <w:tcBorders>
              <w:top w:val="single" w:color="auto" w:sz="4" w:space="0"/>
              <w:left w:val="single" w:color="auto" w:sz="4" w:space="0"/>
              <w:bottom w:val="single" w:color="auto" w:sz="4" w:space="0"/>
              <w:right w:val="single" w:color="auto" w:sz="4" w:space="0"/>
            </w:tcBorders>
            <w:tcW w:w="4860" w:type="dxa"/>
            <w:textDirection w:val="lrTb"/>
            <w:noWrap/>
          </w:tcPr>
          <w:p>
            <w:pPr>
              <w:jc w:val="left"/>
              <w:rPr>
                <w:rFonts w:hint="eastAsia" w:ascii="仿宋" w:hAnsi="仿宋" w:eastAsia="仿宋" w:cs="Times New Roman"/>
                <w:strike w:val="0"/>
                <w:color w:val="auto"/>
                <w:sz w:val="24"/>
                <w:highlight w:val="none"/>
              </w:rPr>
            </w:pPr>
            <w:r>
              <w:rPr>
                <w:rFonts w:hint="eastAsia" w:ascii="仿宋" w:hAnsi="仿宋" w:eastAsia="仿宋" w:cs="Times New Roman"/>
                <w:strike w:val="0"/>
                <w:color w:val="auto"/>
                <w:sz w:val="24"/>
                <w:highlight w:val="none"/>
              </w:rPr>
              <w:t xml:space="preserve">采购需求中的技术、服务要求以及合同草案条款。</w:t>
            </w:r>
            <w:r/>
          </w:p>
        </w:tc>
        <w:tc>
          <w:tcPr>
            <w:tcBorders>
              <w:top w:val="single" w:color="auto" w:sz="4" w:space="0"/>
              <w:left w:val="single" w:color="auto" w:sz="4" w:space="0"/>
              <w:bottom w:val="single" w:color="auto" w:sz="4" w:space="0"/>
              <w:right w:val="single" w:color="auto" w:sz="4" w:space="0"/>
            </w:tcBorders>
            <w:tcW w:w="1125" w:type="dxa"/>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60" w:type="dxa"/>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585" w:type="dxa"/>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586" w:type="dxa"/>
            <w:vAlign w:val="center"/>
            <w:textDirection w:val="lrTb"/>
            <w:noWrap/>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755" w:type="dxa"/>
            <w:textDirection w:val="lrTb"/>
            <w:noWrap/>
          </w:tcPr>
          <w:p>
            <w:pPr>
              <w:jc w:val="center"/>
              <w:rPr>
                <w:rFonts w:hint="default"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报价要求</w:t>
            </w:r>
            <w:r/>
          </w:p>
        </w:tc>
        <w:tc>
          <w:tcPr>
            <w:tcBorders>
              <w:top w:val="single" w:color="auto" w:sz="4" w:space="0"/>
              <w:left w:val="single" w:color="auto" w:sz="4" w:space="0"/>
              <w:bottom w:val="single" w:color="auto" w:sz="4" w:space="0"/>
              <w:right w:val="single" w:color="auto" w:sz="4" w:space="0"/>
            </w:tcBorders>
            <w:tcW w:w="4860" w:type="dxa"/>
            <w:textDirection w:val="lrTb"/>
            <w:noWrap/>
          </w:tcPr>
          <w:p>
            <w:pPr>
              <w:jc w:val="left"/>
              <w:rPr>
                <w:rFonts w:hint="eastAsia" w:ascii="仿宋" w:hAnsi="仿宋" w:eastAsia="仿宋" w:cs="Times New Roman"/>
                <w:strike w:val="0"/>
                <w:color w:val="auto"/>
                <w:sz w:val="24"/>
                <w:highlight w:val="none"/>
              </w:rPr>
            </w:pPr>
            <w:r>
              <w:rPr>
                <w:rFonts w:hint="eastAsia" w:ascii="仿宋" w:hAnsi="仿宋" w:eastAsia="仿宋" w:cs="Times New Roman"/>
                <w:strike w:val="0"/>
                <w:color w:val="auto"/>
                <w:sz w:val="24"/>
                <w:highlight w:val="none"/>
              </w:rPr>
              <w:t xml:space="preserve">本项目为总价报价。响应供应商报价应包含运输、装卸、保险、验收、人员培训、设备运行维护、检验、税金、代理服务费等与本项目相关的一切费用。成交价之外采购人不再支付任何费用。报价含响应供应商为完成采购文件全部要求内容应承担的一切成本、费用和支出以及供应商的合理利润等交付使用前一切费用。不接受选择性报价。响应供应商成交后不得将成交项目分包或者转让给其他主体实施。</w:t>
            </w:r>
            <w:r/>
          </w:p>
        </w:tc>
        <w:tc>
          <w:tcPr>
            <w:tcBorders>
              <w:top w:val="single" w:color="auto" w:sz="4" w:space="0"/>
              <w:left w:val="single" w:color="auto" w:sz="4" w:space="0"/>
              <w:bottom w:val="single" w:color="auto" w:sz="4" w:space="0"/>
              <w:right w:val="single" w:color="auto" w:sz="4" w:space="0"/>
            </w:tcBorders>
            <w:tcW w:w="1125" w:type="dxa"/>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960" w:type="dxa"/>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585" w:type="dxa"/>
            <w:textDirection w:val="lrTb"/>
            <w:noWrap/>
          </w:tcPr>
          <w:p>
            <w:pPr>
              <w:jc w:val="center"/>
              <w:rPr>
                <w:rFonts w:ascii="仿宋" w:hAnsi="仿宋" w:eastAsia="仿宋"/>
                <w:color w:val="auto"/>
                <w:sz w:val="24"/>
                <w:highlight w:val="none"/>
              </w:rPr>
            </w:pPr>
            <w:r>
              <w:rPr>
                <w:rFonts w:ascii="仿宋" w:hAnsi="仿宋" w:eastAsia="仿宋"/>
                <w:color w:val="auto"/>
                <w:sz w:val="24"/>
                <w:highlight w:val="none"/>
              </w:rPr>
            </w:r>
            <w:r/>
          </w:p>
        </w:tc>
      </w:tr>
    </w:tbl>
    <w:p>
      <w:pPr>
        <w:rPr>
          <w:rFonts w:hint="eastAsia" w:ascii="仿宋" w:hAnsi="仿宋" w:eastAsia="仿宋"/>
          <w:color w:val="auto"/>
          <w:szCs w:val="21"/>
          <w:highlight w:val="none"/>
        </w:rPr>
      </w:pPr>
      <w:r>
        <w:rPr>
          <w:rFonts w:hint="eastAsia" w:ascii="仿宋" w:hAnsi="仿宋" w:eastAsia="仿宋"/>
          <w:color w:val="auto"/>
          <w:szCs w:val="21"/>
          <w:highlight w:val="none"/>
        </w:rPr>
        <w:t xml:space="preserve">注：按照竞争性磋商文件要求详细填列，可增减行。</w:t>
      </w:r>
      <w:r/>
    </w:p>
    <w:p>
      <w:pPr>
        <w:rPr>
          <w:rFonts w:hint="eastAsia" w:ascii="仿宋" w:hAnsi="仿宋" w:eastAsia="仿宋"/>
          <w:color w:val="auto"/>
          <w:szCs w:val="21"/>
          <w:highlight w:val="none"/>
        </w:rPr>
      </w:pPr>
      <w:r>
        <w:rPr>
          <w:rFonts w:hint="eastAsia" w:ascii="仿宋" w:hAnsi="仿宋" w:eastAsia="仿宋"/>
          <w:color w:val="auto"/>
          <w:szCs w:val="21"/>
          <w:highlight w:val="none"/>
        </w:rPr>
        <w:br w:type="page" w:clear="all"/>
      </w:r>
      <w:r/>
    </w:p>
    <w:p>
      <w:pPr>
        <w:rPr>
          <w:rFonts w:hint="eastAsia" w:ascii="仿宋" w:hAnsi="仿宋" w:eastAsia="仿宋"/>
          <w:color w:val="auto"/>
          <w:szCs w:val="21"/>
          <w:highlight w:val="none"/>
        </w:rPr>
      </w:pPr>
      <w:r>
        <w:rPr>
          <w:rFonts w:hint="eastAsia" w:ascii="仿宋" w:hAnsi="仿宋" w:eastAsia="仿宋"/>
          <w:color w:val="auto"/>
          <w:szCs w:val="21"/>
          <w:highlight w:val="none"/>
        </w:rPr>
      </w:r>
      <w:r/>
    </w:p>
    <w:p>
      <w:pPr>
        <w:ind w:firstLine="560"/>
        <w:rPr>
          <w:rFonts w:ascii="仿宋" w:hAnsi="仿宋" w:eastAsia="仿宋"/>
          <w:bCs/>
          <w:color w:val="auto"/>
          <w:sz w:val="28"/>
          <w:szCs w:val="28"/>
          <w:highlight w:val="none"/>
        </w:rPr>
      </w:pPr>
      <w:r>
        <w:rPr>
          <w:rFonts w:ascii="仿宋" w:hAnsi="仿宋" w:eastAsia="仿宋"/>
          <w:bCs/>
          <w:color w:val="auto"/>
          <w:sz w:val="28"/>
          <w:szCs w:val="28"/>
          <w:highlight w:val="none"/>
        </w:rPr>
      </w:r>
      <w:r/>
    </w:p>
    <w:p>
      <w:pPr>
        <w:ind w:firstLine="560"/>
        <w:spacing w:line="500" w:lineRule="exact"/>
        <w:rPr>
          <w:rFonts w:ascii="黑体" w:hAnsi="黑体" w:eastAsia="黑体"/>
          <w:bCs/>
          <w:color w:val="auto"/>
          <w:sz w:val="28"/>
          <w:szCs w:val="28"/>
          <w:highlight w:val="none"/>
        </w:rPr>
        <w:outlineLvl w:val="1"/>
      </w:pPr>
      <w:r/>
      <w:bookmarkStart w:id="111" w:name="_Toc24985"/>
      <w:r/>
      <w:bookmarkStart w:id="112" w:name="_Toc25883"/>
      <w:r>
        <w:rPr>
          <w:rFonts w:hint="eastAsia" w:ascii="黑体" w:hAnsi="黑体" w:eastAsia="黑体"/>
          <w:color w:val="auto"/>
          <w:sz w:val="28"/>
          <w:szCs w:val="28"/>
          <w:highlight w:val="none"/>
        </w:rPr>
        <w:t xml:space="preserve">三、报价文件</w:t>
      </w:r>
      <w:bookmarkEnd w:id="111"/>
      <w:r/>
      <w:bookmarkEnd w:id="112"/>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（一）竞争性磋商响应报价表</w:t>
      </w:r>
      <w:r/>
    </w:p>
    <w:p>
      <w:pPr>
        <w:ind w:firstLine="3040"/>
        <w:rPr>
          <w:rFonts w:ascii="微软雅黑" w:hAnsi="宋体" w:eastAsia="微软雅黑"/>
          <w:color w:val="auto"/>
          <w:sz w:val="32"/>
          <w:szCs w:val="32"/>
          <w:highlight w:val="none"/>
        </w:rPr>
      </w:pPr>
      <w:r>
        <w:rPr>
          <w:rFonts w:hint="eastAsia" w:ascii="微软雅黑" w:hAnsi="宋体" w:eastAsia="微软雅黑"/>
          <w:color w:val="auto"/>
          <w:sz w:val="32"/>
          <w:szCs w:val="32"/>
          <w:highlight w:val="none"/>
        </w:rPr>
        <w:t xml:space="preserve">竞争性磋商响应报价表</w:t>
      </w:r>
      <w:r/>
    </w:p>
    <w:tbl>
      <w:tblPr>
        <w:tblStyle w:val="706"/>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4087"/>
        <w:gridCol w:w="2220"/>
        <w:gridCol w:w="2500"/>
      </w:tblGrid>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供应商名称（加盖公章）：</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项目名称： 如城街道安置区生活垃圾清运外包</w:t>
            </w:r>
            <w:r/>
          </w:p>
        </w:tc>
      </w:tr>
      <w:tr>
        <w:trPr>
          <w:trHeight w:val="420"/>
        </w:trPr>
        <w:tc>
          <w:tcPr>
            <w:gridSpan w:val="2"/>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项目编号：JSZC-320682-NTJW-C2026-0027</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分包号：</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竞争性磋商响应报价（元/年）</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小写：元/年</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tcPr>
          <w:p>
            <w:pPr>
              <w:jc w:val="left"/>
              <w:widowControl/>
              <w:rPr>
                <w:rFonts w:ascii="仿宋" w:hAnsi="仿宋" w:eastAsia="仿宋" w:cs="宋体"/>
                <w:color w:val="auto"/>
                <w:sz w:val="24"/>
                <w:highlight w:val="none"/>
              </w:rPr>
            </w:pPr>
            <w:r>
              <w:rPr>
                <w:rFonts w:ascii="仿宋" w:hAnsi="仿宋" w:eastAsia="仿宋" w:cs="宋体"/>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color w:val="auto"/>
                <w:sz w:val="24"/>
                <w:highlight w:val="none"/>
                <w:u w:val="single"/>
              </w:rPr>
            </w:pPr>
            <w:r>
              <w:rPr>
                <w:rFonts w:hint="eastAsia" w:ascii="仿宋" w:hAnsi="仿宋" w:eastAsia="仿宋" w:cs="宋体"/>
                <w:color w:val="auto"/>
                <w:sz w:val="24"/>
                <w:highlight w:val="none"/>
              </w:rPr>
              <w:t xml:space="preserve">大写：</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tcPr>
          <w:p>
            <w:pPr>
              <w:ind w:firstLine="420"/>
              <w:jc w:val="left"/>
              <w:widowControl/>
              <w:rPr>
                <w:rFonts w:ascii="仿宋" w:hAnsi="仿宋" w:eastAsia="仿宋" w:cs="宋体"/>
                <w:color w:val="auto"/>
                <w:szCs w:val="21"/>
                <w:highlight w:val="none"/>
              </w:rPr>
            </w:pPr>
            <w:r>
              <w:rPr>
                <w:rFonts w:ascii="仿宋" w:hAnsi="仿宋" w:eastAsia="仿宋" w:cs="宋体"/>
                <w:color w:val="auto"/>
                <w:szCs w:val="21"/>
                <w:highlight w:val="none"/>
              </w:rPr>
            </w:r>
            <w:r/>
          </w:p>
        </w:tc>
      </w:tr>
    </w:tbl>
    <w:p>
      <w:pPr>
        <w:ind w:firstLine="560"/>
        <w:rPr>
          <w:rFonts w:ascii="仿宋" w:hAnsi="仿宋" w:eastAsia="仿宋"/>
          <w:bCs/>
          <w:color w:val="auto"/>
          <w:sz w:val="28"/>
          <w:szCs w:val="28"/>
          <w:highlight w:val="none"/>
        </w:rPr>
      </w:pPr>
      <w:r>
        <w:rPr>
          <w:rFonts w:ascii="仿宋" w:hAnsi="仿宋" w:eastAsia="仿宋"/>
          <w:bCs/>
          <w:color w:val="auto"/>
          <w:sz w:val="28"/>
          <w:szCs w:val="28"/>
          <w:highlight w:val="none"/>
        </w:rPr>
      </w:r>
      <w:r/>
    </w:p>
    <w:p>
      <w:pPr>
        <w:rPr>
          <w:rFonts w:ascii="仿宋" w:hAnsi="仿宋" w:eastAsia="仿宋" w:cs="Arial"/>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lang w:val="en-US" w:eastAsia="zh-CN"/>
        </w:rPr>
        <w:t xml:space="preserve">  </w:t>
      </w:r>
      <w:r>
        <w:rPr>
          <w:rFonts w:hint="eastAsia" w:ascii="仿宋" w:hAnsi="仿宋" w:eastAsia="仿宋"/>
          <w:bCs/>
          <w:color w:val="auto"/>
          <w:sz w:val="28"/>
          <w:szCs w:val="28"/>
          <w:highlight w:val="none"/>
        </w:rPr>
        <w:t xml:space="preserve">（二）</w:t>
      </w:r>
      <w:r>
        <w:rPr>
          <w:rFonts w:hint="eastAsia" w:ascii="仿宋" w:hAnsi="仿宋" w:eastAsia="仿宋" w:cs="Arial"/>
          <w:color w:val="auto"/>
          <w:sz w:val="28"/>
          <w:szCs w:val="28"/>
          <w:highlight w:val="none"/>
        </w:rPr>
        <w:t xml:space="preserve">残疾人福利性单位声明函</w:t>
      </w:r>
      <w:r/>
    </w:p>
    <w:p>
      <w:pPr>
        <w:jc w:val="center"/>
        <w:rPr>
          <w:rFonts w:ascii="微软雅黑" w:eastAsia="微软雅黑"/>
          <w:i/>
          <w:color w:val="auto"/>
          <w:sz w:val="36"/>
          <w:szCs w:val="36"/>
          <w:highlight w:val="none"/>
        </w:rPr>
      </w:pPr>
      <w:r>
        <w:rPr>
          <w:rFonts w:hint="eastAsia" w:ascii="微软雅黑" w:eastAsia="微软雅黑"/>
          <w:color w:val="auto"/>
          <w:sz w:val="36"/>
          <w:szCs w:val="36"/>
          <w:highlight w:val="none"/>
        </w:rPr>
        <w:t xml:space="preserve">残疾人福利性单位声明函</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141号）的规定，本单位为符合条件的残疾人福利性单位，且本单位参加如皋市人民政府如城街道办事处的项目编号为</w:t>
      </w:r>
      <w:r>
        <w:rPr>
          <w:rFonts w:hint="eastAsia" w:ascii="仿宋" w:hAnsi="仿宋" w:eastAsia="仿宋"/>
          <w:color w:val="auto"/>
          <w:sz w:val="28"/>
          <w:szCs w:val="28"/>
          <w:highlight w:val="none"/>
          <w:u w:val="single"/>
        </w:rPr>
        <w:t xml:space="preserve">JSZC-320682-NTJW-C2026-0027的 如城街道安置区生活垃圾清运外包</w:t>
      </w:r>
      <w:r>
        <w:rPr>
          <w:rFonts w:hint="eastAsia" w:ascii="仿宋" w:hAnsi="仿宋" w:eastAsia="仿宋"/>
          <w:color w:val="auto"/>
          <w:sz w:val="28"/>
          <w:szCs w:val="28"/>
          <w:highlight w:val="none"/>
        </w:rPr>
        <w:t xml:space="preserve">的项目采购活动提供本单位制造的货物（由本单位承担工程/提供服务），或者提供其他残疾人福</w:t>
      </w:r>
      <w:bookmarkStart w:id="113" w:name="_GoBack"/>
      <w:r/>
      <w:bookmarkEnd w:id="113"/>
      <w:r>
        <w:rPr>
          <w:rFonts w:hint="eastAsia" w:ascii="仿宋" w:hAnsi="仿宋" w:eastAsia="仿宋"/>
          <w:color w:val="auto"/>
          <w:sz w:val="28"/>
          <w:szCs w:val="28"/>
          <w:highlight w:val="none"/>
        </w:rPr>
        <w:t xml:space="preserve">利性单位制造的货物（不包括使用非残疾人福利性单位注册商标的货物）。</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本单位在本次政府采购活动中提供的残疾人福利单位产品报价合计为人民币（大写）元整（￥：）。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本单位对上述声明的真实性负责。如有虚假，将依法承担相应责任。</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right="1560" w:firstLine="560"/>
        <w:jc w:val="center"/>
        <w:spacing w:line="500" w:lineRule="exact"/>
        <w:tabs>
          <w:tab w:val="left" w:pos="48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供应商全称（盖章）：</w:t>
      </w:r>
      <w:r/>
    </w:p>
    <w:p>
      <w:pPr>
        <w:ind w:right="1560" w:firstLine="560"/>
        <w:jc w:val="center"/>
        <w:spacing w:line="500" w:lineRule="exact"/>
        <w:tabs>
          <w:tab w:val="left" w:pos="48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日  期：</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2"/>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注意：成交供应商提供的《中小企业声明函》、《残疾人福利性单位声明函》将随成交结果同时公告，接受社会监督。</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br w:type="page" w:clear="all"/>
      </w:r>
      <w:r/>
    </w:p>
    <w:p>
      <w:pPr>
        <w:pStyle w:val="891"/>
        <w:ind w:firstLine="0"/>
        <w:jc w:val="center"/>
        <w:spacing w:line="240" w:lineRule="auto"/>
        <w:rPr>
          <w:rFonts w:hint="default" w:ascii="微软雅黑" w:eastAsia="微软雅黑"/>
          <w:bCs/>
          <w:color w:val="auto"/>
          <w:sz w:val="32"/>
          <w:szCs w:val="32"/>
          <w:highlight w:val="none"/>
          <w:lang w:val="en-US" w:eastAsia="zh-CN"/>
        </w:rPr>
        <w:outlineLvl w:val="0"/>
      </w:pPr>
      <w:r>
        <w:rPr>
          <w:rFonts w:hint="eastAsia" w:ascii="微软雅黑" w:eastAsia="微软雅黑"/>
          <w:bCs/>
          <w:color w:val="auto"/>
          <w:sz w:val="32"/>
          <w:szCs w:val="32"/>
          <w:highlight w:val="none"/>
          <w:lang w:val="en-US" w:eastAsia="zh-CN"/>
        </w:rPr>
        <w:t xml:space="preserve">第7章  附件</w:t>
      </w:r>
      <w:r/>
    </w:p>
    <w:p>
      <w:pPr>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附件1:</w:t>
      </w:r>
      <w:r/>
    </w:p>
    <w:p>
      <w:pPr>
        <w:pStyle w:val="707"/>
        <w:ind w:firstLine="2239"/>
        <w:spacing w:before="108" w:line="219" w:lineRule="auto"/>
        <w:rPr>
          <w:b/>
          <w:bCs/>
          <w:color w:val="auto"/>
          <w:sz w:val="28"/>
          <w:highlight w:val="none"/>
        </w:rPr>
      </w:pPr>
      <w:r>
        <w:rPr>
          <w:rFonts w:hint="eastAsia"/>
          <w:b/>
          <w:bCs/>
          <w:color w:val="auto"/>
          <w:spacing w:val="-11"/>
          <w:sz w:val="28"/>
          <w:highlight w:val="none"/>
        </w:rPr>
        <w:t xml:space="preserve">如城街道办事处所辖安置区清单</w:t>
      </w:r>
      <w:r/>
    </w:p>
    <w:p>
      <w:pPr>
        <w:spacing w:line="179" w:lineRule="exact"/>
        <w:rPr>
          <w:color w:val="auto"/>
          <w:highlight w:val="none"/>
        </w:rPr>
      </w:pPr>
      <w:r>
        <w:rPr>
          <w:color w:val="auto"/>
          <w:highlight w:val="none"/>
        </w:rPr>
      </w:r>
      <w:r/>
    </w:p>
    <w:tbl>
      <w:tblPr>
        <w:tblStyle w:val="902"/>
        <w:tblW w:w="847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44"/>
        <w:gridCol w:w="3026"/>
        <w:gridCol w:w="1238"/>
        <w:gridCol w:w="2962"/>
      </w:tblGrid>
      <w:tr>
        <w:trPr>
          <w:trHeight w:val="784"/>
        </w:trPr>
        <w:tc>
          <w:tcPr>
            <w:tcW w:w="1244" w:type="dxa"/>
            <w:textDirection w:val="lrTb"/>
            <w:noWrap w:val="false"/>
          </w:tcPr>
          <w:p>
            <w:pPr>
              <w:pStyle w:val="901"/>
              <w:ind w:left="344"/>
              <w:spacing w:before="267" w:line="221" w:lineRule="auto"/>
              <w:rPr>
                <w:rFonts w:ascii="仿宋" w:hAnsi="仿宋" w:eastAsia="仿宋" w:cs="仿宋"/>
                <w:color w:val="auto"/>
                <w:highlight w:val="none"/>
              </w:rPr>
            </w:pPr>
            <w:r>
              <w:rPr>
                <w:rFonts w:hint="eastAsia" w:ascii="仿宋" w:hAnsi="仿宋" w:eastAsia="仿宋" w:cs="仿宋"/>
                <w:color w:val="auto"/>
                <w:spacing w:val="8"/>
                <w:highlight w:val="none"/>
              </w:rPr>
              <w:t xml:space="preserve">序号</w:t>
            </w:r>
            <w:r/>
          </w:p>
        </w:tc>
        <w:tc>
          <w:tcPr>
            <w:tcW w:w="3026" w:type="dxa"/>
            <w:textDirection w:val="lrTb"/>
            <w:noWrap w:val="false"/>
          </w:tcPr>
          <w:p>
            <w:pPr>
              <w:pStyle w:val="901"/>
              <w:ind w:left="960"/>
              <w:spacing w:before="267" w:line="221" w:lineRule="auto"/>
              <w:rPr>
                <w:rFonts w:ascii="仿宋" w:hAnsi="仿宋" w:eastAsia="仿宋" w:cs="仿宋"/>
                <w:color w:val="auto"/>
                <w:highlight w:val="none"/>
              </w:rPr>
            </w:pPr>
            <w:r>
              <w:rPr>
                <w:rFonts w:hint="eastAsia" w:ascii="仿宋" w:hAnsi="仿宋" w:eastAsia="仿宋" w:cs="仿宋"/>
                <w:color w:val="auto"/>
                <w:spacing w:val="5"/>
                <w:highlight w:val="none"/>
              </w:rPr>
              <w:t xml:space="preserve">安置小区</w:t>
            </w:r>
            <w:r/>
          </w:p>
        </w:tc>
        <w:tc>
          <w:tcPr>
            <w:tcW w:w="1238" w:type="dxa"/>
            <w:textDirection w:val="lrTb"/>
            <w:noWrap w:val="false"/>
          </w:tcPr>
          <w:p>
            <w:pPr>
              <w:pStyle w:val="901"/>
              <w:ind w:left="345"/>
              <w:spacing w:before="267" w:line="221" w:lineRule="auto"/>
              <w:rPr>
                <w:rFonts w:ascii="仿宋" w:hAnsi="仿宋" w:eastAsia="仿宋" w:cs="仿宋"/>
                <w:color w:val="auto"/>
                <w:highlight w:val="none"/>
              </w:rPr>
            </w:pPr>
            <w:r>
              <w:rPr>
                <w:rFonts w:hint="eastAsia" w:ascii="仿宋" w:hAnsi="仿宋" w:eastAsia="仿宋" w:cs="仿宋"/>
                <w:color w:val="auto"/>
                <w:spacing w:val="8"/>
                <w:highlight w:val="none"/>
              </w:rPr>
              <w:t xml:space="preserve">序号</w:t>
            </w:r>
            <w:r/>
          </w:p>
        </w:tc>
        <w:tc>
          <w:tcPr>
            <w:tcW w:w="2962" w:type="dxa"/>
            <w:textDirection w:val="lrTb"/>
            <w:noWrap w:val="false"/>
          </w:tcPr>
          <w:p>
            <w:pPr>
              <w:pStyle w:val="901"/>
              <w:ind w:left="937"/>
              <w:spacing w:before="267" w:line="221" w:lineRule="auto"/>
              <w:rPr>
                <w:rFonts w:ascii="仿宋" w:hAnsi="仿宋" w:eastAsia="仿宋" w:cs="仿宋"/>
                <w:color w:val="auto"/>
                <w:highlight w:val="none"/>
              </w:rPr>
            </w:pPr>
            <w:r>
              <w:rPr>
                <w:rFonts w:hint="eastAsia" w:ascii="仿宋" w:hAnsi="仿宋" w:eastAsia="仿宋" w:cs="仿宋"/>
                <w:color w:val="auto"/>
                <w:spacing w:val="5"/>
                <w:highlight w:val="none"/>
              </w:rPr>
              <w:t xml:space="preserve">安置小区</w:t>
            </w:r>
            <w:r/>
          </w:p>
        </w:tc>
      </w:tr>
      <w:tr>
        <w:trPr>
          <w:trHeight w:val="779"/>
        </w:trPr>
        <w:tc>
          <w:tcPr>
            <w:tcW w:w="1244" w:type="dxa"/>
            <w:textDirection w:val="lrTb"/>
            <w:noWrap w:val="false"/>
          </w:tcPr>
          <w:p>
            <w:pPr>
              <w:pStyle w:val="901"/>
              <w:ind w:left="545"/>
              <w:spacing w:before="289" w:line="241" w:lineRule="auto"/>
              <w:rPr>
                <w:rFonts w:ascii="仿宋" w:hAnsi="仿宋" w:eastAsia="仿宋" w:cs="仿宋"/>
                <w:color w:val="auto"/>
                <w:highlight w:val="none"/>
              </w:rPr>
            </w:pPr>
            <w:r>
              <w:rPr>
                <w:rFonts w:hint="eastAsia" w:ascii="仿宋" w:hAnsi="仿宋" w:eastAsia="仿宋" w:cs="仿宋"/>
                <w:color w:val="auto"/>
                <w:highlight w:val="none"/>
              </w:rPr>
              <w:t xml:space="preserve">1</w:t>
            </w:r>
            <w:r/>
          </w:p>
        </w:tc>
        <w:tc>
          <w:tcPr>
            <w:tcW w:w="3026" w:type="dxa"/>
            <w:textDirection w:val="lrTb"/>
            <w:noWrap w:val="false"/>
          </w:tcPr>
          <w:p>
            <w:pPr>
              <w:pStyle w:val="901"/>
              <w:jc w:val="center"/>
              <w:spacing w:before="260" w:line="219" w:lineRule="auto"/>
              <w:rPr>
                <w:rFonts w:ascii="仿宋" w:hAnsi="仿宋" w:eastAsia="仿宋" w:cs="仿宋"/>
                <w:color w:val="auto"/>
                <w:highlight w:val="none"/>
              </w:rPr>
            </w:pPr>
            <w:r>
              <w:rPr>
                <w:rFonts w:hint="eastAsia" w:ascii="仿宋" w:hAnsi="仿宋" w:eastAsia="仿宋" w:cs="仿宋"/>
                <w:color w:val="auto"/>
                <w:spacing w:val="3"/>
                <w:highlight w:val="none"/>
              </w:rPr>
              <w:t xml:space="preserve">十里新村</w:t>
            </w:r>
            <w:r/>
          </w:p>
        </w:tc>
        <w:tc>
          <w:tcPr>
            <w:tcW w:w="1238" w:type="dxa"/>
            <w:textDirection w:val="lrTb"/>
            <w:noWrap w:val="false"/>
          </w:tcPr>
          <w:p>
            <w:pPr>
              <w:pStyle w:val="901"/>
              <w:ind w:left="545"/>
              <w:spacing w:before="288"/>
              <w:rPr>
                <w:rFonts w:ascii="仿宋" w:hAnsi="仿宋" w:eastAsia="仿宋" w:cs="仿宋"/>
                <w:color w:val="auto"/>
                <w:highlight w:val="none"/>
              </w:rPr>
            </w:pPr>
            <w:r>
              <w:rPr>
                <w:rFonts w:hint="eastAsia" w:ascii="仿宋" w:hAnsi="仿宋" w:eastAsia="仿宋" w:cs="仿宋"/>
                <w:color w:val="auto"/>
                <w:highlight w:val="none"/>
              </w:rPr>
              <w:t xml:space="preserve">9</w:t>
            </w:r>
            <w:r/>
          </w:p>
        </w:tc>
        <w:tc>
          <w:tcPr>
            <w:tcW w:w="2962" w:type="dxa"/>
            <w:textDirection w:val="lrTb"/>
            <w:noWrap w:val="false"/>
          </w:tcPr>
          <w:p>
            <w:pPr>
              <w:pStyle w:val="901"/>
              <w:ind w:left="937"/>
              <w:spacing w:before="260" w:line="219" w:lineRule="auto"/>
              <w:rPr>
                <w:rFonts w:ascii="仿宋" w:hAnsi="仿宋" w:eastAsia="仿宋" w:cs="仿宋"/>
                <w:color w:val="auto"/>
                <w:highlight w:val="none"/>
              </w:rPr>
            </w:pPr>
            <w:r>
              <w:rPr>
                <w:rFonts w:hint="eastAsia" w:ascii="仿宋" w:hAnsi="仿宋" w:eastAsia="仿宋" w:cs="仿宋"/>
                <w:color w:val="auto"/>
                <w:spacing w:val="3"/>
                <w:highlight w:val="none"/>
              </w:rPr>
              <w:t xml:space="preserve">新民新村</w:t>
            </w:r>
            <w:r/>
          </w:p>
        </w:tc>
      </w:tr>
      <w:tr>
        <w:trPr>
          <w:trHeight w:val="779"/>
        </w:trPr>
        <w:tc>
          <w:tcPr>
            <w:tcW w:w="1244" w:type="dxa"/>
            <w:textDirection w:val="lrTb"/>
            <w:noWrap w:val="false"/>
          </w:tcPr>
          <w:p>
            <w:pPr>
              <w:pStyle w:val="901"/>
              <w:ind w:left="545"/>
              <w:spacing w:before="290" w:line="241" w:lineRule="auto"/>
              <w:rPr>
                <w:rFonts w:ascii="仿宋" w:hAnsi="仿宋" w:eastAsia="仿宋" w:cs="仿宋"/>
                <w:color w:val="auto"/>
                <w:highlight w:val="none"/>
              </w:rPr>
            </w:pPr>
            <w:r>
              <w:rPr>
                <w:rFonts w:hint="eastAsia" w:ascii="仿宋" w:hAnsi="仿宋" w:eastAsia="仿宋" w:cs="仿宋"/>
                <w:color w:val="auto"/>
                <w:highlight w:val="none"/>
              </w:rPr>
              <w:t xml:space="preserve">2</w:t>
            </w:r>
            <w:r/>
          </w:p>
        </w:tc>
        <w:tc>
          <w:tcPr>
            <w:tcW w:w="3026" w:type="dxa"/>
            <w:textDirection w:val="lrTb"/>
            <w:noWrap w:val="false"/>
          </w:tcPr>
          <w:p>
            <w:pPr>
              <w:pStyle w:val="901"/>
              <w:ind w:left="691"/>
              <w:spacing w:before="261" w:line="219" w:lineRule="auto"/>
              <w:rPr>
                <w:rFonts w:ascii="仿宋" w:hAnsi="仿宋" w:eastAsia="仿宋" w:cs="仿宋"/>
                <w:color w:val="auto"/>
                <w:highlight w:val="none"/>
              </w:rPr>
            </w:pPr>
            <w:r>
              <w:rPr>
                <w:rFonts w:hint="eastAsia" w:ascii="仿宋" w:hAnsi="仿宋" w:eastAsia="仿宋" w:cs="仿宋"/>
                <w:color w:val="auto"/>
                <w:spacing w:val="2"/>
                <w:highlight w:val="none"/>
              </w:rPr>
              <w:t xml:space="preserve">城西新村一期</w:t>
            </w:r>
            <w:r/>
          </w:p>
        </w:tc>
        <w:tc>
          <w:tcPr>
            <w:tcW w:w="1238" w:type="dxa"/>
            <w:textDirection w:val="lrTb"/>
            <w:noWrap w:val="false"/>
          </w:tcPr>
          <w:p>
            <w:pPr>
              <w:pStyle w:val="901"/>
              <w:ind w:left="475"/>
              <w:spacing w:before="289"/>
              <w:rPr>
                <w:rFonts w:ascii="仿宋" w:hAnsi="仿宋" w:eastAsia="仿宋" w:cs="仿宋"/>
                <w:color w:val="auto"/>
                <w:highlight w:val="none"/>
              </w:rPr>
            </w:pPr>
            <w:r>
              <w:rPr>
                <w:rFonts w:hint="eastAsia" w:ascii="仿宋" w:hAnsi="仿宋" w:eastAsia="仿宋" w:cs="仿宋"/>
                <w:color w:val="auto"/>
                <w:spacing w:val="-8"/>
                <w:highlight w:val="none"/>
              </w:rPr>
              <w:t xml:space="preserve">10</w:t>
            </w:r>
            <w:r/>
          </w:p>
        </w:tc>
        <w:tc>
          <w:tcPr>
            <w:tcW w:w="2962" w:type="dxa"/>
            <w:textDirection w:val="lrTb"/>
            <w:noWrap w:val="false"/>
          </w:tcPr>
          <w:p>
            <w:pPr>
              <w:pStyle w:val="901"/>
              <w:ind w:left="937"/>
              <w:spacing w:before="261" w:line="219" w:lineRule="auto"/>
              <w:rPr>
                <w:rFonts w:ascii="仿宋" w:hAnsi="仿宋" w:eastAsia="仿宋" w:cs="仿宋"/>
                <w:color w:val="auto"/>
                <w:highlight w:val="none"/>
              </w:rPr>
            </w:pPr>
            <w:r>
              <w:rPr>
                <w:rFonts w:hint="eastAsia" w:ascii="仿宋" w:hAnsi="仿宋" w:eastAsia="仿宋" w:cs="仿宋"/>
                <w:color w:val="auto"/>
                <w:spacing w:val="3"/>
                <w:highlight w:val="none"/>
              </w:rPr>
              <w:t xml:space="preserve">红旗新村</w:t>
            </w:r>
            <w:r/>
          </w:p>
        </w:tc>
      </w:tr>
      <w:tr>
        <w:trPr>
          <w:trHeight w:val="779"/>
        </w:trPr>
        <w:tc>
          <w:tcPr>
            <w:tcW w:w="1244" w:type="dxa"/>
            <w:textDirection w:val="lrTb"/>
            <w:noWrap w:val="false"/>
          </w:tcPr>
          <w:p>
            <w:pPr>
              <w:pStyle w:val="901"/>
              <w:ind w:left="545"/>
              <w:spacing w:before="290"/>
              <w:rPr>
                <w:rFonts w:ascii="仿宋" w:hAnsi="仿宋" w:eastAsia="仿宋" w:cs="仿宋"/>
                <w:color w:val="auto"/>
                <w:highlight w:val="none"/>
              </w:rPr>
            </w:pPr>
            <w:r>
              <w:rPr>
                <w:rFonts w:hint="eastAsia" w:ascii="仿宋" w:hAnsi="仿宋" w:eastAsia="仿宋" w:cs="仿宋"/>
                <w:color w:val="auto"/>
                <w:highlight w:val="none"/>
              </w:rPr>
              <w:t xml:space="preserve">3</w:t>
            </w:r>
            <w:r/>
          </w:p>
        </w:tc>
        <w:tc>
          <w:tcPr>
            <w:tcW w:w="3026" w:type="dxa"/>
            <w:textDirection w:val="lrTb"/>
            <w:noWrap w:val="false"/>
          </w:tcPr>
          <w:p>
            <w:pPr>
              <w:pStyle w:val="901"/>
              <w:ind w:left="691"/>
              <w:spacing w:before="262" w:line="219" w:lineRule="auto"/>
              <w:rPr>
                <w:rFonts w:ascii="仿宋" w:hAnsi="仿宋" w:eastAsia="仿宋" w:cs="仿宋"/>
                <w:color w:val="auto"/>
                <w:highlight w:val="none"/>
              </w:rPr>
            </w:pPr>
            <w:r>
              <w:rPr>
                <w:rFonts w:hint="eastAsia" w:ascii="仿宋" w:hAnsi="仿宋" w:eastAsia="仿宋" w:cs="仿宋"/>
                <w:color w:val="auto"/>
                <w:spacing w:val="2"/>
                <w:highlight w:val="none"/>
              </w:rPr>
              <w:t xml:space="preserve">城西新村二期</w:t>
            </w:r>
            <w:r/>
          </w:p>
        </w:tc>
        <w:tc>
          <w:tcPr>
            <w:tcW w:w="1238" w:type="dxa"/>
            <w:textDirection w:val="lrTb"/>
            <w:noWrap w:val="false"/>
          </w:tcPr>
          <w:p>
            <w:pPr>
              <w:pStyle w:val="901"/>
              <w:ind w:left="475"/>
              <w:spacing w:before="291" w:line="241" w:lineRule="auto"/>
              <w:rPr>
                <w:rFonts w:ascii="仿宋" w:hAnsi="仿宋" w:eastAsia="仿宋" w:cs="仿宋"/>
                <w:color w:val="auto"/>
                <w:highlight w:val="none"/>
              </w:rPr>
            </w:pPr>
            <w:r>
              <w:rPr>
                <w:rFonts w:hint="eastAsia" w:ascii="仿宋" w:hAnsi="仿宋" w:eastAsia="仿宋" w:cs="仿宋"/>
                <w:color w:val="auto"/>
                <w:spacing w:val="-8"/>
                <w:highlight w:val="none"/>
              </w:rPr>
              <w:t xml:space="preserve">11</w:t>
            </w:r>
            <w:r/>
          </w:p>
        </w:tc>
        <w:tc>
          <w:tcPr>
            <w:tcW w:w="2962" w:type="dxa"/>
            <w:textDirection w:val="lrTb"/>
            <w:noWrap w:val="false"/>
          </w:tcPr>
          <w:p>
            <w:pPr>
              <w:pStyle w:val="901"/>
              <w:ind w:left="667"/>
              <w:spacing w:before="262" w:line="219" w:lineRule="auto"/>
              <w:rPr>
                <w:rFonts w:ascii="仿宋" w:hAnsi="仿宋" w:eastAsia="仿宋" w:cs="仿宋"/>
                <w:color w:val="auto"/>
                <w:highlight w:val="none"/>
              </w:rPr>
            </w:pPr>
            <w:r>
              <w:rPr>
                <w:rFonts w:hint="eastAsia" w:ascii="仿宋" w:hAnsi="仿宋" w:eastAsia="仿宋" w:cs="仿宋"/>
                <w:color w:val="auto"/>
                <w:spacing w:val="2"/>
                <w:highlight w:val="none"/>
              </w:rPr>
              <w:t xml:space="preserve">紫光新村三期</w:t>
            </w:r>
            <w:r/>
          </w:p>
        </w:tc>
      </w:tr>
      <w:tr>
        <w:trPr>
          <w:trHeight w:val="768"/>
        </w:trPr>
        <w:tc>
          <w:tcPr>
            <w:tcW w:w="1244" w:type="dxa"/>
            <w:textDirection w:val="lrTb"/>
            <w:noWrap w:val="false"/>
          </w:tcPr>
          <w:p>
            <w:pPr>
              <w:pStyle w:val="901"/>
              <w:ind w:left="545"/>
              <w:spacing w:before="282" w:line="241" w:lineRule="auto"/>
              <w:rPr>
                <w:rFonts w:ascii="仿宋" w:hAnsi="仿宋" w:eastAsia="仿宋" w:cs="仿宋"/>
                <w:color w:val="auto"/>
                <w:highlight w:val="none"/>
              </w:rPr>
            </w:pPr>
            <w:r>
              <w:rPr>
                <w:rFonts w:hint="eastAsia" w:ascii="仿宋" w:hAnsi="仿宋" w:eastAsia="仿宋" w:cs="仿宋"/>
                <w:color w:val="auto"/>
                <w:highlight w:val="none"/>
              </w:rPr>
              <w:t xml:space="preserve">4</w:t>
            </w:r>
            <w:r/>
          </w:p>
        </w:tc>
        <w:tc>
          <w:tcPr>
            <w:tcW w:w="3026" w:type="dxa"/>
            <w:textDirection w:val="lrTb"/>
            <w:noWrap w:val="false"/>
          </w:tcPr>
          <w:p>
            <w:pPr>
              <w:pStyle w:val="901"/>
              <w:ind w:left="691"/>
              <w:spacing w:before="253" w:line="219" w:lineRule="auto"/>
              <w:rPr>
                <w:rFonts w:ascii="仿宋" w:hAnsi="仿宋" w:eastAsia="仿宋" w:cs="仿宋"/>
                <w:color w:val="auto"/>
                <w:highlight w:val="none"/>
              </w:rPr>
            </w:pPr>
            <w:r>
              <w:rPr>
                <w:rFonts w:hint="eastAsia" w:ascii="仿宋" w:hAnsi="仿宋" w:eastAsia="仿宋" w:cs="仿宋"/>
                <w:color w:val="auto"/>
                <w:spacing w:val="2"/>
                <w:highlight w:val="none"/>
              </w:rPr>
              <w:t xml:space="preserve">新华新村一期</w:t>
            </w:r>
            <w:r/>
          </w:p>
        </w:tc>
        <w:tc>
          <w:tcPr>
            <w:tcW w:w="1238" w:type="dxa"/>
            <w:textDirection w:val="lrTb"/>
            <w:noWrap w:val="false"/>
          </w:tcPr>
          <w:p>
            <w:pPr>
              <w:pStyle w:val="901"/>
              <w:ind w:left="475"/>
              <w:spacing w:before="282" w:line="241" w:lineRule="auto"/>
              <w:rPr>
                <w:rFonts w:ascii="仿宋" w:hAnsi="仿宋" w:eastAsia="仿宋" w:cs="仿宋"/>
                <w:color w:val="auto"/>
                <w:highlight w:val="none"/>
              </w:rPr>
            </w:pPr>
            <w:r>
              <w:rPr>
                <w:rFonts w:hint="eastAsia" w:ascii="仿宋" w:hAnsi="仿宋" w:eastAsia="仿宋" w:cs="仿宋"/>
                <w:color w:val="auto"/>
                <w:spacing w:val="-8"/>
                <w:highlight w:val="none"/>
              </w:rPr>
              <w:t xml:space="preserve">12</w:t>
            </w:r>
            <w:r/>
          </w:p>
        </w:tc>
        <w:tc>
          <w:tcPr>
            <w:tcW w:w="2962" w:type="dxa"/>
            <w:textDirection w:val="lrTb"/>
            <w:noWrap w:val="false"/>
          </w:tcPr>
          <w:p>
            <w:pPr>
              <w:pStyle w:val="901"/>
              <w:ind w:left="667"/>
              <w:spacing w:before="253" w:line="219" w:lineRule="auto"/>
              <w:rPr>
                <w:rFonts w:ascii="仿宋" w:hAnsi="仿宋" w:eastAsia="仿宋" w:cs="仿宋"/>
                <w:color w:val="auto"/>
                <w:highlight w:val="none"/>
              </w:rPr>
            </w:pPr>
            <w:r>
              <w:rPr>
                <w:rFonts w:hint="eastAsia" w:ascii="仿宋" w:hAnsi="仿宋" w:eastAsia="仿宋" w:cs="仿宋"/>
                <w:color w:val="auto"/>
                <w:spacing w:val="2"/>
                <w:highlight w:val="none"/>
              </w:rPr>
              <w:t xml:space="preserve">紫光新村一期</w:t>
            </w:r>
            <w:r/>
          </w:p>
        </w:tc>
      </w:tr>
      <w:tr>
        <w:trPr>
          <w:trHeight w:val="779"/>
        </w:trPr>
        <w:tc>
          <w:tcPr>
            <w:tcW w:w="1244" w:type="dxa"/>
            <w:textDirection w:val="lrTb"/>
            <w:noWrap w:val="false"/>
          </w:tcPr>
          <w:p>
            <w:pPr>
              <w:pStyle w:val="901"/>
              <w:ind w:left="545"/>
              <w:spacing w:before="293"/>
              <w:rPr>
                <w:rFonts w:ascii="仿宋" w:hAnsi="仿宋" w:eastAsia="仿宋" w:cs="仿宋"/>
                <w:color w:val="auto"/>
                <w:highlight w:val="none"/>
              </w:rPr>
            </w:pPr>
            <w:r>
              <w:rPr>
                <w:rFonts w:hint="eastAsia" w:ascii="仿宋" w:hAnsi="仿宋" w:eastAsia="仿宋" w:cs="仿宋"/>
                <w:color w:val="auto"/>
                <w:highlight w:val="none"/>
              </w:rPr>
              <w:t xml:space="preserve">5</w:t>
            </w:r>
            <w:r/>
          </w:p>
        </w:tc>
        <w:tc>
          <w:tcPr>
            <w:tcW w:w="3026" w:type="dxa"/>
            <w:textDirection w:val="lrTb"/>
            <w:noWrap w:val="false"/>
          </w:tcPr>
          <w:p>
            <w:pPr>
              <w:pStyle w:val="901"/>
              <w:ind w:left="691"/>
              <w:spacing w:before="265" w:line="219" w:lineRule="auto"/>
              <w:rPr>
                <w:rFonts w:ascii="仿宋" w:hAnsi="仿宋" w:eastAsia="仿宋" w:cs="仿宋"/>
                <w:color w:val="auto"/>
                <w:highlight w:val="none"/>
              </w:rPr>
            </w:pPr>
            <w:r>
              <w:rPr>
                <w:rFonts w:hint="eastAsia" w:ascii="仿宋" w:hAnsi="仿宋" w:eastAsia="仿宋" w:cs="仿宋"/>
                <w:color w:val="auto"/>
                <w:spacing w:val="2"/>
                <w:highlight w:val="none"/>
              </w:rPr>
              <w:t xml:space="preserve">新华新村二期</w:t>
            </w:r>
            <w:r/>
          </w:p>
        </w:tc>
        <w:tc>
          <w:tcPr>
            <w:tcW w:w="1238" w:type="dxa"/>
            <w:textDirection w:val="lrTb"/>
            <w:noWrap w:val="false"/>
          </w:tcPr>
          <w:p>
            <w:pPr>
              <w:pStyle w:val="901"/>
              <w:ind w:left="475"/>
              <w:spacing w:before="293"/>
              <w:rPr>
                <w:rFonts w:ascii="仿宋" w:hAnsi="仿宋" w:eastAsia="仿宋" w:cs="仿宋"/>
                <w:color w:val="auto"/>
                <w:highlight w:val="none"/>
              </w:rPr>
            </w:pPr>
            <w:r>
              <w:rPr>
                <w:rFonts w:hint="eastAsia" w:ascii="仿宋" w:hAnsi="仿宋" w:eastAsia="仿宋" w:cs="仿宋"/>
                <w:color w:val="auto"/>
                <w:spacing w:val="-8"/>
                <w:highlight w:val="none"/>
              </w:rPr>
              <w:t xml:space="preserve">13</w:t>
            </w:r>
            <w:r/>
          </w:p>
        </w:tc>
        <w:tc>
          <w:tcPr>
            <w:tcW w:w="2962" w:type="dxa"/>
            <w:textDirection w:val="lrTb"/>
            <w:noWrap w:val="false"/>
          </w:tcPr>
          <w:p>
            <w:pPr>
              <w:pStyle w:val="901"/>
              <w:ind w:left="667"/>
              <w:spacing w:before="265" w:line="219" w:lineRule="auto"/>
              <w:rPr>
                <w:rFonts w:ascii="仿宋" w:hAnsi="仿宋" w:eastAsia="仿宋" w:cs="仿宋"/>
                <w:color w:val="auto"/>
                <w:highlight w:val="none"/>
              </w:rPr>
            </w:pPr>
            <w:r>
              <w:rPr>
                <w:rFonts w:hint="eastAsia" w:ascii="仿宋" w:hAnsi="仿宋" w:eastAsia="仿宋" w:cs="仿宋"/>
                <w:color w:val="auto"/>
                <w:spacing w:val="2"/>
                <w:highlight w:val="none"/>
              </w:rPr>
              <w:t xml:space="preserve">紫光新村二期</w:t>
            </w:r>
            <w:r/>
          </w:p>
        </w:tc>
      </w:tr>
      <w:tr>
        <w:trPr>
          <w:trHeight w:val="789"/>
        </w:trPr>
        <w:tc>
          <w:tcPr>
            <w:tcW w:w="1244" w:type="dxa"/>
            <w:textDirection w:val="lrTb"/>
            <w:noWrap w:val="false"/>
          </w:tcPr>
          <w:p>
            <w:pPr>
              <w:pStyle w:val="901"/>
              <w:ind w:left="545"/>
              <w:spacing w:before="294"/>
              <w:rPr>
                <w:rFonts w:ascii="仿宋" w:hAnsi="仿宋" w:eastAsia="仿宋" w:cs="仿宋"/>
                <w:color w:val="auto"/>
                <w:highlight w:val="none"/>
              </w:rPr>
            </w:pPr>
            <w:r>
              <w:rPr>
                <w:rFonts w:hint="eastAsia" w:ascii="仿宋" w:hAnsi="仿宋" w:eastAsia="仿宋" w:cs="仿宋"/>
                <w:color w:val="auto"/>
                <w:highlight w:val="none"/>
              </w:rPr>
              <w:t xml:space="preserve">6</w:t>
            </w:r>
            <w:r/>
          </w:p>
        </w:tc>
        <w:tc>
          <w:tcPr>
            <w:tcW w:w="3026" w:type="dxa"/>
            <w:textDirection w:val="lrTb"/>
            <w:noWrap w:val="false"/>
          </w:tcPr>
          <w:p>
            <w:pPr>
              <w:pStyle w:val="901"/>
              <w:ind w:left="960"/>
              <w:spacing w:before="266" w:line="219" w:lineRule="auto"/>
              <w:rPr>
                <w:rFonts w:ascii="仿宋" w:hAnsi="仿宋" w:eastAsia="仿宋" w:cs="仿宋"/>
                <w:color w:val="auto"/>
                <w:highlight w:val="none"/>
              </w:rPr>
            </w:pPr>
            <w:r>
              <w:rPr>
                <w:rFonts w:hint="eastAsia" w:ascii="仿宋" w:hAnsi="仿宋" w:eastAsia="仿宋" w:cs="仿宋"/>
                <w:color w:val="auto"/>
                <w:spacing w:val="3"/>
                <w:highlight w:val="none"/>
              </w:rPr>
              <w:t xml:space="preserve">长安新村</w:t>
            </w:r>
            <w:r/>
          </w:p>
        </w:tc>
        <w:tc>
          <w:tcPr>
            <w:tcW w:w="1238" w:type="dxa"/>
            <w:textDirection w:val="lrTb"/>
            <w:noWrap w:val="false"/>
          </w:tcPr>
          <w:p>
            <w:pPr>
              <w:pStyle w:val="901"/>
              <w:ind w:left="475"/>
              <w:spacing w:before="295" w:line="241" w:lineRule="auto"/>
              <w:rPr>
                <w:rFonts w:ascii="仿宋" w:hAnsi="仿宋" w:eastAsia="仿宋" w:cs="仿宋"/>
                <w:color w:val="auto"/>
                <w:highlight w:val="none"/>
              </w:rPr>
            </w:pPr>
            <w:r>
              <w:rPr>
                <w:rFonts w:hint="eastAsia" w:ascii="仿宋" w:hAnsi="仿宋" w:eastAsia="仿宋" w:cs="仿宋"/>
                <w:color w:val="auto"/>
                <w:spacing w:val="-8"/>
                <w:highlight w:val="none"/>
              </w:rPr>
              <w:t xml:space="preserve">14</w:t>
            </w:r>
            <w:r/>
          </w:p>
        </w:tc>
        <w:tc>
          <w:tcPr>
            <w:tcW w:w="2962" w:type="dxa"/>
            <w:textDirection w:val="lrTb"/>
            <w:noWrap w:val="false"/>
          </w:tcPr>
          <w:p>
            <w:pPr>
              <w:pStyle w:val="901"/>
              <w:ind w:left="937"/>
              <w:spacing w:before="266" w:line="219" w:lineRule="auto"/>
              <w:rPr>
                <w:rFonts w:ascii="仿宋" w:hAnsi="仿宋" w:eastAsia="仿宋" w:cs="仿宋"/>
                <w:color w:val="auto"/>
                <w:highlight w:val="none"/>
              </w:rPr>
            </w:pPr>
            <w:r>
              <w:rPr>
                <w:rFonts w:hint="eastAsia" w:ascii="仿宋" w:hAnsi="仿宋" w:eastAsia="仿宋" w:cs="仿宋"/>
                <w:color w:val="auto"/>
                <w:spacing w:val="3"/>
                <w:highlight w:val="none"/>
              </w:rPr>
              <w:t xml:space="preserve">沿河新村</w:t>
            </w:r>
            <w:r/>
          </w:p>
        </w:tc>
      </w:tr>
      <w:tr>
        <w:trPr>
          <w:trHeight w:val="779"/>
        </w:trPr>
        <w:tc>
          <w:tcPr>
            <w:tcW w:w="1244" w:type="dxa"/>
            <w:textDirection w:val="lrTb"/>
            <w:noWrap w:val="false"/>
          </w:tcPr>
          <w:p>
            <w:pPr>
              <w:pStyle w:val="901"/>
              <w:ind w:left="545"/>
              <w:spacing w:before="295"/>
              <w:rPr>
                <w:rFonts w:ascii="仿宋" w:hAnsi="仿宋" w:eastAsia="仿宋" w:cs="仿宋"/>
                <w:color w:val="auto"/>
                <w:highlight w:val="none"/>
              </w:rPr>
            </w:pPr>
            <w:r>
              <w:rPr>
                <w:rFonts w:hint="eastAsia" w:ascii="仿宋" w:hAnsi="仿宋" w:eastAsia="仿宋" w:cs="仿宋"/>
                <w:color w:val="auto"/>
                <w:highlight w:val="none"/>
              </w:rPr>
              <w:t xml:space="preserve">7</w:t>
            </w:r>
            <w:r/>
          </w:p>
        </w:tc>
        <w:tc>
          <w:tcPr>
            <w:tcW w:w="3026" w:type="dxa"/>
            <w:textDirection w:val="lrTb"/>
            <w:noWrap w:val="false"/>
          </w:tcPr>
          <w:p>
            <w:pPr>
              <w:pStyle w:val="901"/>
              <w:ind w:left="960"/>
              <w:spacing w:before="267" w:line="219" w:lineRule="auto"/>
              <w:rPr>
                <w:rFonts w:ascii="仿宋" w:hAnsi="仿宋" w:eastAsia="仿宋" w:cs="仿宋"/>
                <w:color w:val="auto"/>
                <w:highlight w:val="none"/>
              </w:rPr>
            </w:pPr>
            <w:r>
              <w:rPr>
                <w:rFonts w:hint="eastAsia" w:ascii="仿宋" w:hAnsi="仿宋" w:eastAsia="仿宋" w:cs="仿宋"/>
                <w:color w:val="auto"/>
                <w:spacing w:val="3"/>
                <w:highlight w:val="none"/>
              </w:rPr>
              <w:t xml:space="preserve">纪庄新村</w:t>
            </w:r>
            <w:r/>
          </w:p>
        </w:tc>
        <w:tc>
          <w:tcPr>
            <w:tcW w:w="1238" w:type="dxa"/>
            <w:textDirection w:val="lrTb"/>
            <w:noWrap w:val="false"/>
          </w:tcPr>
          <w:p>
            <w:pPr>
              <w:pStyle w:val="901"/>
              <w:ind w:left="475"/>
              <w:spacing w:before="295"/>
              <w:rPr>
                <w:rFonts w:ascii="仿宋" w:hAnsi="仿宋" w:eastAsia="仿宋" w:cs="仿宋"/>
                <w:color w:val="auto"/>
                <w:highlight w:val="none"/>
              </w:rPr>
            </w:pPr>
            <w:r>
              <w:rPr>
                <w:rFonts w:hint="eastAsia" w:ascii="仿宋" w:hAnsi="仿宋" w:eastAsia="仿宋" w:cs="仿宋"/>
                <w:color w:val="auto"/>
                <w:spacing w:val="-8"/>
                <w:highlight w:val="none"/>
              </w:rPr>
              <w:t xml:space="preserve">15</w:t>
            </w:r>
            <w:r/>
          </w:p>
        </w:tc>
        <w:tc>
          <w:tcPr>
            <w:tcW w:w="2962" w:type="dxa"/>
            <w:textDirection w:val="lrTb"/>
            <w:noWrap w:val="false"/>
          </w:tcPr>
          <w:p>
            <w:pPr>
              <w:pStyle w:val="901"/>
              <w:ind w:left="727"/>
              <w:spacing w:before="269" w:line="219" w:lineRule="auto"/>
              <w:rPr>
                <w:rFonts w:ascii="仿宋" w:hAnsi="仿宋" w:eastAsia="仿宋" w:cs="仿宋"/>
                <w:color w:val="auto"/>
                <w:highlight w:val="none"/>
              </w:rPr>
            </w:pPr>
            <w:r>
              <w:rPr>
                <w:rFonts w:hint="eastAsia" w:ascii="仿宋" w:hAnsi="仿宋" w:eastAsia="仿宋" w:cs="仿宋"/>
                <w:color w:val="auto"/>
                <w:spacing w:val="4"/>
                <w:highlight w:val="none"/>
              </w:rPr>
              <w:t xml:space="preserve">东郡丽水B区</w:t>
            </w:r>
            <w:r/>
          </w:p>
        </w:tc>
      </w:tr>
      <w:tr>
        <w:trPr>
          <w:trHeight w:val="774"/>
        </w:trPr>
        <w:tc>
          <w:tcPr>
            <w:tcW w:w="1244" w:type="dxa"/>
            <w:textDirection w:val="lrTb"/>
            <w:noWrap w:val="false"/>
          </w:tcPr>
          <w:p>
            <w:pPr>
              <w:pStyle w:val="901"/>
              <w:ind w:left="545"/>
              <w:spacing w:before="286"/>
              <w:rPr>
                <w:rFonts w:ascii="仿宋" w:hAnsi="仿宋" w:eastAsia="仿宋" w:cs="仿宋"/>
                <w:color w:val="auto"/>
                <w:highlight w:val="none"/>
              </w:rPr>
            </w:pPr>
            <w:r>
              <w:rPr>
                <w:rFonts w:hint="eastAsia" w:ascii="仿宋" w:hAnsi="仿宋" w:eastAsia="仿宋" w:cs="仿宋"/>
                <w:color w:val="auto"/>
                <w:highlight w:val="none"/>
              </w:rPr>
              <w:t xml:space="preserve">8</w:t>
            </w:r>
            <w:r/>
          </w:p>
        </w:tc>
        <w:tc>
          <w:tcPr>
            <w:tcW w:w="3026" w:type="dxa"/>
            <w:textDirection w:val="lrTb"/>
            <w:noWrap w:val="false"/>
          </w:tcPr>
          <w:p>
            <w:pPr>
              <w:pStyle w:val="901"/>
              <w:ind w:left="960"/>
              <w:spacing w:before="258" w:line="219" w:lineRule="auto"/>
              <w:rPr>
                <w:rFonts w:ascii="仿宋" w:hAnsi="仿宋" w:eastAsia="仿宋" w:cs="仿宋"/>
                <w:color w:val="auto"/>
                <w:highlight w:val="none"/>
              </w:rPr>
            </w:pPr>
            <w:r>
              <w:rPr>
                <w:rFonts w:hint="eastAsia" w:ascii="仿宋" w:hAnsi="仿宋" w:eastAsia="仿宋" w:cs="仿宋"/>
                <w:color w:val="auto"/>
                <w:spacing w:val="3"/>
                <w:highlight w:val="none"/>
              </w:rPr>
              <w:t xml:space="preserve">凌青新村</w:t>
            </w:r>
            <w:r/>
          </w:p>
        </w:tc>
        <w:tc>
          <w:tcPr>
            <w:tcW w:w="1238" w:type="dxa"/>
            <w:textDirection w:val="lrTb"/>
            <w:noWrap w:val="false"/>
          </w:tcPr>
          <w:p>
            <w:pPr>
              <w:pStyle w:val="901"/>
              <w:ind w:left="475"/>
              <w:spacing w:before="286"/>
              <w:rPr>
                <w:rFonts w:ascii="仿宋" w:hAnsi="仿宋" w:eastAsia="仿宋" w:cs="仿宋"/>
                <w:color w:val="auto"/>
                <w:highlight w:val="none"/>
              </w:rPr>
            </w:pPr>
            <w:r>
              <w:rPr>
                <w:rFonts w:hint="eastAsia" w:ascii="仿宋" w:hAnsi="仿宋" w:eastAsia="仿宋" w:cs="仿宋"/>
                <w:color w:val="auto"/>
                <w:spacing w:val="-8"/>
                <w:highlight w:val="none"/>
              </w:rPr>
              <w:t xml:space="preserve">16</w:t>
            </w:r>
            <w:r/>
          </w:p>
        </w:tc>
        <w:tc>
          <w:tcPr>
            <w:tcW w:w="2962" w:type="dxa"/>
            <w:textDirection w:val="lrTb"/>
            <w:noWrap w:val="false"/>
          </w:tcPr>
          <w:p>
            <w:pPr>
              <w:pStyle w:val="901"/>
              <w:ind w:left="727"/>
              <w:spacing w:before="260" w:line="219" w:lineRule="auto"/>
              <w:rPr>
                <w:rFonts w:ascii="仿宋" w:hAnsi="仿宋" w:eastAsia="仿宋" w:cs="仿宋"/>
                <w:color w:val="auto"/>
                <w:highlight w:val="none"/>
              </w:rPr>
            </w:pPr>
            <w:r>
              <w:rPr>
                <w:rFonts w:hint="eastAsia" w:ascii="仿宋" w:hAnsi="仿宋" w:eastAsia="仿宋" w:cs="仿宋"/>
                <w:color w:val="auto"/>
                <w:spacing w:val="4"/>
                <w:highlight w:val="none"/>
              </w:rPr>
              <w:t xml:space="preserve">东郡丽水C区</w:t>
            </w:r>
            <w:r/>
          </w:p>
        </w:tc>
      </w:tr>
    </w:tbl>
    <w:p>
      <w:pPr>
        <w:rPr>
          <w:rFonts w:ascii="宋体" w:hAnsi="宋体" w:cs="宋体"/>
          <w:color w:val="auto"/>
          <w:sz w:val="28"/>
          <w:szCs w:val="28"/>
          <w:highlight w:val="none"/>
        </w:rPr>
      </w:pPr>
      <w:r>
        <w:rPr>
          <w:rFonts w:hint="eastAsia" w:ascii="宋体" w:hAnsi="宋体" w:cs="宋体"/>
          <w:color w:val="auto"/>
          <w:sz w:val="28"/>
          <w:szCs w:val="28"/>
          <w:highlight w:val="none"/>
        </w:rPr>
        <w:br w:type="page" w:clear="all"/>
      </w:r>
      <w:r/>
    </w:p>
    <w:p>
      <w:pPr>
        <w:rPr>
          <w:rFonts w:hint="eastAsia" w:ascii="宋体" w:hAnsi="宋体" w:eastAsia="宋体" w:cs="宋体"/>
          <w:b/>
          <w:bCs/>
          <w:color w:val="auto"/>
          <w:sz w:val="28"/>
          <w:szCs w:val="28"/>
          <w:highlight w:val="none"/>
          <w:lang w:eastAsia="zh-CN"/>
        </w:rPr>
      </w:pPr>
      <w:r>
        <w:rPr>
          <w:rFonts w:hint="eastAsia" w:ascii="宋体" w:hAnsi="宋体" w:cs="宋体"/>
          <w:b/>
          <w:bCs/>
          <w:color w:val="auto"/>
          <w:sz w:val="28"/>
          <w:szCs w:val="28"/>
          <w:highlight w:val="none"/>
        </w:rPr>
        <w:t xml:space="preserve">附件2</w:t>
      </w:r>
      <w:r>
        <w:rPr>
          <w:rFonts w:hint="eastAsia" w:ascii="宋体" w:hAnsi="宋体" w:cs="宋体"/>
          <w:b/>
          <w:bCs/>
          <w:color w:val="auto"/>
          <w:sz w:val="28"/>
          <w:szCs w:val="28"/>
          <w:highlight w:val="none"/>
          <w:lang w:eastAsia="zh-CN"/>
        </w:rPr>
        <w:t xml:space="preserve">：</w:t>
      </w:r>
      <w:r/>
    </w:p>
    <w:p>
      <w:pPr>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《如城街道安置区垃圾收集运输考核标准》</w:t>
      </w:r>
      <w:r/>
    </w:p>
    <w:tbl>
      <w:tblPr>
        <w:tblStyle w:val="902"/>
        <w:tblW w:w="8826" w:type="dxa"/>
        <w:tblInd w:w="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3"/>
        <w:gridCol w:w="3673"/>
        <w:gridCol w:w="3380"/>
        <w:gridCol w:w="960"/>
      </w:tblGrid>
      <w:tr>
        <w:trPr>
          <w:trHeight w:val="474"/>
        </w:trPr>
        <w:tc>
          <w:tcPr>
            <w:tcBorders>
              <w:bottom w:val="single" w:color="auto" w:sz="4" w:space="0"/>
              <w:right w:val="single" w:color="000000" w:sz="2" w:space="0"/>
            </w:tcBorders>
            <w:tcW w:w="813" w:type="dxa"/>
            <w:vAlign w:val="center"/>
            <w:textDirection w:val="lrTb"/>
            <w:noWrap w:val="false"/>
          </w:tcPr>
          <w:p>
            <w:pPr>
              <w:jc w:val="center"/>
              <w:spacing w:line="360" w:lineRule="auto"/>
              <w:rPr>
                <w:rFonts w:ascii="仿宋" w:hAnsi="仿宋" w:eastAsia="仿宋" w:cs="仿宋"/>
                <w:b/>
                <w:bCs/>
                <w:color w:val="auto"/>
                <w:highlight w:val="none"/>
              </w:rPr>
            </w:pPr>
            <w:r>
              <w:rPr>
                <w:rFonts w:hint="eastAsia" w:ascii="仿宋" w:hAnsi="仿宋" w:eastAsia="仿宋" w:cs="仿宋"/>
                <w:b/>
                <w:bCs/>
                <w:color w:val="auto"/>
                <w:highlight w:val="none"/>
              </w:rPr>
              <w:t xml:space="preserve">项目</w:t>
            </w:r>
            <w:r/>
          </w:p>
        </w:tc>
        <w:tc>
          <w:tcPr>
            <w:tcBorders>
              <w:left w:val="single" w:color="000000" w:sz="2" w:space="0"/>
            </w:tcBorders>
            <w:tcW w:w="3673" w:type="dxa"/>
            <w:vAlign w:val="center"/>
            <w:textDirection w:val="lrTb"/>
            <w:noWrap w:val="false"/>
          </w:tcPr>
          <w:p>
            <w:pPr>
              <w:jc w:val="center"/>
              <w:spacing w:line="360" w:lineRule="auto"/>
              <w:rPr>
                <w:rFonts w:ascii="仿宋" w:hAnsi="仿宋" w:eastAsia="仿宋" w:cs="仿宋"/>
                <w:b/>
                <w:bCs/>
                <w:color w:val="auto"/>
                <w:highlight w:val="none"/>
              </w:rPr>
            </w:pPr>
            <w:r>
              <w:rPr>
                <w:rFonts w:hint="eastAsia" w:ascii="仿宋" w:hAnsi="仿宋" w:eastAsia="仿宋" w:cs="仿宋"/>
                <w:b/>
                <w:bCs/>
                <w:color w:val="auto"/>
                <w:highlight w:val="none"/>
              </w:rPr>
              <w:t xml:space="preserve">考核内容</w:t>
            </w:r>
            <w:r/>
          </w:p>
        </w:tc>
        <w:tc>
          <w:tcPr>
            <w:tcW w:w="3380" w:type="dxa"/>
            <w:vAlign w:val="center"/>
            <w:textDirection w:val="lrTb"/>
            <w:noWrap w:val="false"/>
          </w:tcPr>
          <w:p>
            <w:pPr>
              <w:jc w:val="center"/>
              <w:spacing w:line="360" w:lineRule="auto"/>
              <w:rPr>
                <w:rFonts w:ascii="仿宋" w:hAnsi="仿宋" w:eastAsia="仿宋" w:cs="仿宋"/>
                <w:b/>
                <w:bCs/>
                <w:color w:val="auto"/>
                <w:highlight w:val="none"/>
              </w:rPr>
            </w:pPr>
            <w:r>
              <w:rPr>
                <w:rFonts w:hint="eastAsia" w:ascii="仿宋" w:hAnsi="仿宋" w:eastAsia="仿宋" w:cs="仿宋"/>
                <w:b/>
                <w:bCs/>
                <w:color w:val="auto"/>
                <w:highlight w:val="none"/>
              </w:rPr>
              <w:t xml:space="preserve">扣分细则</w:t>
            </w:r>
            <w:r/>
          </w:p>
        </w:tc>
        <w:tc>
          <w:tcPr>
            <w:tcW w:w="960" w:type="dxa"/>
            <w:vAlign w:val="center"/>
            <w:textDirection w:val="lrTb"/>
            <w:noWrap w:val="false"/>
          </w:tcPr>
          <w:p>
            <w:pPr>
              <w:jc w:val="center"/>
              <w:spacing w:line="360" w:lineRule="auto"/>
              <w:rPr>
                <w:rFonts w:ascii="仿宋" w:hAnsi="仿宋" w:eastAsia="仿宋" w:cs="仿宋"/>
                <w:b/>
                <w:bCs/>
                <w:color w:val="auto"/>
                <w:highlight w:val="none"/>
              </w:rPr>
            </w:pPr>
            <w:r>
              <w:rPr>
                <w:rFonts w:hint="eastAsia" w:ascii="仿宋" w:hAnsi="仿宋" w:eastAsia="仿宋" w:cs="仿宋"/>
                <w:b/>
                <w:bCs/>
                <w:color w:val="auto"/>
                <w:highlight w:val="none"/>
              </w:rPr>
              <w:t xml:space="preserve">扣分情况</w:t>
            </w:r>
            <w:r/>
          </w:p>
        </w:tc>
      </w:tr>
      <w:tr>
        <w:trPr>
          <w:trHeight w:val="569"/>
        </w:trPr>
        <w:tc>
          <w:tcPr>
            <w:tcBorders>
              <w:top w:val="single" w:color="auto" w:sz="4" w:space="0"/>
              <w:left w:val="single" w:color="auto" w:sz="4" w:space="0"/>
              <w:bottom w:val="single" w:color="auto" w:sz="4" w:space="0"/>
              <w:right w:val="single" w:color="auto" w:sz="4" w:space="0"/>
            </w:tcBorders>
            <w:tcW w:w="813" w:type="dxa"/>
            <w:vAlign w:val="center"/>
            <w:vMerge w:val="restart"/>
            <w:textDirection w:val="lrTb"/>
            <w:noWrap w:val="false"/>
          </w:tcPr>
          <w:p>
            <w:pPr>
              <w:jc w:val="center"/>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收集质量及车辆管理</w:t>
            </w:r>
            <w:r/>
          </w:p>
          <w:p>
            <w:pPr>
              <w:jc w:val="center"/>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（80分）</w:t>
            </w:r>
            <w:r/>
          </w:p>
        </w:tc>
        <w:tc>
          <w:tcPr>
            <w:tcBorders>
              <w:left w:val="single" w:color="auto" w:sz="4" w:space="0"/>
            </w:tcBorders>
            <w:tcW w:w="3673" w:type="dxa"/>
            <w:textDirection w:val="lrTb"/>
            <w:noWrap w:val="false"/>
          </w:tcPr>
          <w:p>
            <w:pPr>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1.及时收运。每天对各安置小区的生活垃圾要及时收集清运，确保垃圾日产日清。</w:t>
            </w:r>
            <w:r/>
          </w:p>
        </w:tc>
        <w:tc>
          <w:tcPr>
            <w:tcW w:w="3380" w:type="dxa"/>
            <w:textDirection w:val="lrTb"/>
            <w:noWrap w:val="false"/>
          </w:tcPr>
          <w:p>
            <w:pPr>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发现积存垃圾，每处扣0.5分，以此类推。</w:t>
            </w:r>
            <w:r/>
          </w:p>
        </w:tc>
        <w:tc>
          <w:tcPr>
            <w:tcW w:w="960" w:type="dxa"/>
            <w:textDirection w:val="lrTb"/>
            <w:noWrap w:val="false"/>
          </w:tcPr>
          <w:p>
            <w:pPr>
              <w:spacing w:line="360" w:lineRule="auto"/>
              <w:rPr>
                <w:rFonts w:ascii="仿宋" w:hAnsi="仿宋" w:eastAsia="仿宋" w:cs="仿宋"/>
                <w:color w:val="auto"/>
                <w:highlight w:val="none"/>
              </w:rPr>
            </w:pPr>
            <w:r>
              <w:rPr>
                <w:rFonts w:ascii="仿宋" w:hAnsi="仿宋" w:eastAsia="仿宋" w:cs="仿宋"/>
                <w:color w:val="auto"/>
                <w:highlight w:val="none"/>
              </w:rPr>
            </w:r>
            <w:r/>
          </w:p>
        </w:tc>
      </w:tr>
      <w:tr>
        <w:trPr>
          <w:trHeight w:val="1229"/>
        </w:trPr>
        <w:tc>
          <w:tcPr>
            <w:tcBorders>
              <w:top w:val="single" w:color="auto" w:sz="4" w:space="0"/>
              <w:left w:val="single" w:color="auto" w:sz="4" w:space="0"/>
              <w:bottom w:val="single" w:color="auto" w:sz="4" w:space="0"/>
              <w:right w:val="single" w:color="auto" w:sz="4" w:space="0"/>
            </w:tcBorders>
            <w:tcW w:w="813" w:type="dxa"/>
            <w:vMerge w:val="continue"/>
            <w:textDirection w:val="lrTb"/>
            <w:noWrap w:val="false"/>
          </w:tcPr>
          <w:p>
            <w:pPr>
              <w:spacing w:line="360" w:lineRule="auto"/>
              <w:rPr>
                <w:rFonts w:ascii="仿宋" w:hAnsi="仿宋" w:eastAsia="仿宋" w:cs="仿宋"/>
                <w:color w:val="auto"/>
                <w:highlight w:val="none"/>
              </w:rPr>
            </w:pPr>
            <w:r>
              <w:rPr>
                <w:rFonts w:ascii="仿宋" w:hAnsi="仿宋" w:eastAsia="仿宋" w:cs="仿宋"/>
                <w:color w:val="auto"/>
                <w:highlight w:val="none"/>
              </w:rPr>
            </w:r>
            <w:r/>
          </w:p>
        </w:tc>
        <w:tc>
          <w:tcPr>
            <w:tcBorders>
              <w:left w:val="single" w:color="auto" w:sz="4" w:space="0"/>
            </w:tcBorders>
            <w:tcW w:w="3673" w:type="dxa"/>
            <w:textDirection w:val="lrTb"/>
            <w:noWrap w:val="false"/>
          </w:tcPr>
          <w:p>
            <w:pPr>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2.全面收运。每天在安置小区内指定位置进行垃圾收运，不得漏收、不收；垃圾收集后，随车人员负责收集点清扫保洁到位、无明显散落垃圾。</w:t>
            </w:r>
            <w:r/>
          </w:p>
        </w:tc>
        <w:tc>
          <w:tcPr>
            <w:tcW w:w="3380" w:type="dxa"/>
            <w:textDirection w:val="lrTb"/>
            <w:noWrap w:val="false"/>
          </w:tcPr>
          <w:p>
            <w:pPr>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漏收一处扣0.5分；有明显散落垃圾，每处扣1分。</w:t>
            </w:r>
            <w:r/>
          </w:p>
        </w:tc>
        <w:tc>
          <w:tcPr>
            <w:tcW w:w="960" w:type="dxa"/>
            <w:textDirection w:val="lrTb"/>
            <w:noWrap w:val="false"/>
          </w:tcPr>
          <w:p>
            <w:pPr>
              <w:spacing w:line="360" w:lineRule="auto"/>
              <w:rPr>
                <w:rFonts w:ascii="仿宋" w:hAnsi="仿宋" w:eastAsia="仿宋" w:cs="仿宋"/>
                <w:color w:val="auto"/>
                <w:highlight w:val="none"/>
              </w:rPr>
            </w:pPr>
            <w:r>
              <w:rPr>
                <w:rFonts w:ascii="仿宋" w:hAnsi="仿宋" w:eastAsia="仿宋" w:cs="仿宋"/>
                <w:color w:val="auto"/>
                <w:highlight w:val="none"/>
              </w:rPr>
            </w:r>
            <w:r/>
          </w:p>
        </w:tc>
      </w:tr>
      <w:tr>
        <w:trPr>
          <w:trHeight w:val="969"/>
        </w:trPr>
        <w:tc>
          <w:tcPr>
            <w:tcBorders>
              <w:top w:val="single" w:color="auto" w:sz="4" w:space="0"/>
              <w:left w:val="single" w:color="auto" w:sz="4" w:space="0"/>
              <w:bottom w:val="single" w:color="auto" w:sz="4" w:space="0"/>
              <w:right w:val="single" w:color="auto" w:sz="4" w:space="0"/>
            </w:tcBorders>
            <w:tcW w:w="813" w:type="dxa"/>
            <w:vMerge w:val="continue"/>
            <w:textDirection w:val="lrTb"/>
            <w:noWrap w:val="false"/>
          </w:tcPr>
          <w:p>
            <w:pPr>
              <w:spacing w:line="360" w:lineRule="auto"/>
              <w:rPr>
                <w:rFonts w:ascii="仿宋" w:hAnsi="仿宋" w:eastAsia="仿宋" w:cs="仿宋"/>
                <w:color w:val="auto"/>
                <w:highlight w:val="none"/>
              </w:rPr>
            </w:pPr>
            <w:r>
              <w:rPr>
                <w:rFonts w:ascii="仿宋" w:hAnsi="仿宋" w:eastAsia="仿宋" w:cs="仿宋"/>
                <w:color w:val="auto"/>
                <w:highlight w:val="none"/>
              </w:rPr>
            </w:r>
            <w:r/>
          </w:p>
        </w:tc>
        <w:tc>
          <w:tcPr>
            <w:tcBorders>
              <w:left w:val="single" w:color="auto" w:sz="4" w:space="0"/>
            </w:tcBorders>
            <w:tcW w:w="3673" w:type="dxa"/>
            <w:textDirection w:val="lrTb"/>
            <w:noWrap w:val="false"/>
          </w:tcPr>
          <w:p>
            <w:pPr>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3.定向处置。生活垃圾送至如城街道指定生活垃圾中转站（新民、沿河、钱长），不得将垃圾外运或随意处置。</w:t>
            </w:r>
            <w:r/>
          </w:p>
        </w:tc>
        <w:tc>
          <w:tcPr>
            <w:tcW w:w="3380" w:type="dxa"/>
            <w:textDirection w:val="lrTb"/>
            <w:noWrap w:val="false"/>
          </w:tcPr>
          <w:p>
            <w:pPr>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发现生活垃圾外运、偷倒、偷埋等随意处置现象，发现一次扣10分。</w:t>
            </w:r>
            <w:r/>
          </w:p>
        </w:tc>
        <w:tc>
          <w:tcPr>
            <w:tcW w:w="960" w:type="dxa"/>
            <w:textDirection w:val="lrTb"/>
            <w:noWrap w:val="false"/>
          </w:tcPr>
          <w:p>
            <w:pPr>
              <w:spacing w:line="360" w:lineRule="auto"/>
              <w:rPr>
                <w:rFonts w:ascii="仿宋" w:hAnsi="仿宋" w:eastAsia="仿宋" w:cs="仿宋"/>
                <w:color w:val="auto"/>
                <w:highlight w:val="none"/>
              </w:rPr>
            </w:pPr>
            <w:r>
              <w:rPr>
                <w:rFonts w:ascii="仿宋" w:hAnsi="仿宋" w:eastAsia="仿宋" w:cs="仿宋"/>
                <w:color w:val="auto"/>
                <w:highlight w:val="none"/>
              </w:rPr>
            </w:r>
            <w:r/>
          </w:p>
        </w:tc>
      </w:tr>
      <w:tr>
        <w:trPr>
          <w:trHeight w:val="1179"/>
        </w:trPr>
        <w:tc>
          <w:tcPr>
            <w:tcBorders>
              <w:top w:val="single" w:color="auto" w:sz="4" w:space="0"/>
              <w:left w:val="single" w:color="auto" w:sz="4" w:space="0"/>
              <w:bottom w:val="single" w:color="auto" w:sz="4" w:space="0"/>
              <w:right w:val="single" w:color="auto" w:sz="4" w:space="0"/>
            </w:tcBorders>
            <w:tcW w:w="813" w:type="dxa"/>
            <w:vMerge w:val="continue"/>
            <w:textDirection w:val="lrTb"/>
            <w:noWrap w:val="false"/>
          </w:tcPr>
          <w:p>
            <w:pPr>
              <w:spacing w:line="360" w:lineRule="auto"/>
              <w:rPr>
                <w:rFonts w:ascii="仿宋" w:hAnsi="仿宋" w:eastAsia="仿宋" w:cs="仿宋"/>
                <w:color w:val="auto"/>
                <w:highlight w:val="none"/>
              </w:rPr>
            </w:pPr>
            <w:r>
              <w:rPr>
                <w:rFonts w:ascii="仿宋" w:hAnsi="仿宋" w:eastAsia="仿宋" w:cs="仿宋"/>
                <w:color w:val="auto"/>
                <w:highlight w:val="none"/>
              </w:rPr>
            </w:r>
            <w:r/>
          </w:p>
        </w:tc>
        <w:tc>
          <w:tcPr>
            <w:tcBorders>
              <w:left w:val="single" w:color="auto" w:sz="4" w:space="0"/>
            </w:tcBorders>
            <w:tcW w:w="3673" w:type="dxa"/>
            <w:textDirection w:val="lrTb"/>
            <w:noWrap w:val="false"/>
          </w:tcPr>
          <w:p>
            <w:pPr>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4.爱护设备。不得随意扔、砸、摔垃圾桶。发现小区垃圾桶破损、脏污严重或者垃圾桶挪作他用等现象及时向物业及村（社区）等相关部门反映。</w:t>
            </w:r>
            <w:r/>
          </w:p>
        </w:tc>
        <w:tc>
          <w:tcPr>
            <w:tcW w:w="3380" w:type="dxa"/>
            <w:textDirection w:val="lrTb"/>
            <w:noWrap w:val="false"/>
          </w:tcPr>
          <w:p>
            <w:pPr>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发现故意破坏垃圾桶的，发现一次扣1分；清运过程中发现问题不汇报或不积极配合处理的，酌情扣分。</w:t>
            </w:r>
            <w:r/>
          </w:p>
        </w:tc>
        <w:tc>
          <w:tcPr>
            <w:tcW w:w="960" w:type="dxa"/>
            <w:textDirection w:val="lrTb"/>
            <w:noWrap w:val="false"/>
          </w:tcPr>
          <w:p>
            <w:pPr>
              <w:spacing w:line="360" w:lineRule="auto"/>
              <w:rPr>
                <w:rFonts w:ascii="仿宋" w:hAnsi="仿宋" w:eastAsia="仿宋" w:cs="仿宋"/>
                <w:color w:val="auto"/>
                <w:highlight w:val="none"/>
              </w:rPr>
            </w:pPr>
            <w:r>
              <w:rPr>
                <w:rFonts w:ascii="仿宋" w:hAnsi="仿宋" w:eastAsia="仿宋" w:cs="仿宋"/>
                <w:color w:val="auto"/>
                <w:highlight w:val="none"/>
              </w:rPr>
            </w:r>
            <w:r/>
          </w:p>
        </w:tc>
      </w:tr>
      <w:tr>
        <w:trPr>
          <w:trHeight w:val="1229"/>
        </w:trPr>
        <w:tc>
          <w:tcPr>
            <w:tcBorders>
              <w:top w:val="single" w:color="auto" w:sz="4" w:space="0"/>
              <w:left w:val="single" w:color="auto" w:sz="4" w:space="0"/>
              <w:bottom w:val="single" w:color="auto" w:sz="4" w:space="0"/>
              <w:right w:val="single" w:color="auto" w:sz="4" w:space="0"/>
            </w:tcBorders>
            <w:tcW w:w="813" w:type="dxa"/>
            <w:vMerge w:val="continue"/>
            <w:textDirection w:val="lrTb"/>
            <w:noWrap w:val="false"/>
          </w:tcPr>
          <w:p>
            <w:pPr>
              <w:spacing w:line="360" w:lineRule="auto"/>
              <w:rPr>
                <w:rFonts w:ascii="仿宋" w:hAnsi="仿宋" w:eastAsia="仿宋" w:cs="仿宋"/>
                <w:color w:val="auto"/>
                <w:highlight w:val="none"/>
              </w:rPr>
            </w:pPr>
            <w:r>
              <w:rPr>
                <w:rFonts w:ascii="仿宋" w:hAnsi="仿宋" w:eastAsia="仿宋" w:cs="仿宋"/>
                <w:color w:val="auto"/>
                <w:highlight w:val="none"/>
              </w:rPr>
            </w:r>
            <w:r/>
          </w:p>
        </w:tc>
        <w:tc>
          <w:tcPr>
            <w:tcBorders>
              <w:left w:val="single" w:color="auto" w:sz="4" w:space="0"/>
            </w:tcBorders>
            <w:tcW w:w="3673" w:type="dxa"/>
            <w:textDirection w:val="lrTb"/>
            <w:noWrap w:val="false"/>
          </w:tcPr>
          <w:p>
            <w:pPr>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5.确保垃圾质量。垃圾桶内如有建筑、装潢及季节性农作物秸秆、废旧物品等非生活垃圾，拒绝收运并及时向相关部门领导汇报情况，拍照取证。</w:t>
            </w:r>
            <w:r/>
          </w:p>
        </w:tc>
        <w:tc>
          <w:tcPr>
            <w:tcW w:w="3380" w:type="dxa"/>
            <w:textDirection w:val="lrTb"/>
            <w:noWrap w:val="false"/>
          </w:tcPr>
          <w:p>
            <w:pPr>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如发现问题不汇报或不积极配合清理，酌情扣分。</w:t>
            </w:r>
            <w:r/>
          </w:p>
        </w:tc>
        <w:tc>
          <w:tcPr>
            <w:tcW w:w="960" w:type="dxa"/>
            <w:textDirection w:val="lrTb"/>
            <w:noWrap w:val="false"/>
          </w:tcPr>
          <w:p>
            <w:pPr>
              <w:spacing w:line="360" w:lineRule="auto"/>
              <w:rPr>
                <w:rFonts w:ascii="仿宋" w:hAnsi="仿宋" w:eastAsia="仿宋" w:cs="仿宋"/>
                <w:color w:val="auto"/>
                <w:highlight w:val="none"/>
              </w:rPr>
            </w:pPr>
            <w:r>
              <w:rPr>
                <w:rFonts w:ascii="仿宋" w:hAnsi="仿宋" w:eastAsia="仿宋" w:cs="仿宋"/>
                <w:color w:val="auto"/>
                <w:highlight w:val="none"/>
              </w:rPr>
            </w:r>
            <w:r/>
          </w:p>
        </w:tc>
      </w:tr>
      <w:tr>
        <w:trPr>
          <w:trHeight w:val="989"/>
        </w:trPr>
        <w:tc>
          <w:tcPr>
            <w:tcBorders>
              <w:top w:val="single" w:color="auto" w:sz="4" w:space="0"/>
              <w:left w:val="single" w:color="auto" w:sz="4" w:space="0"/>
              <w:bottom w:val="single" w:color="auto" w:sz="4" w:space="0"/>
              <w:right w:val="single" w:color="auto" w:sz="4" w:space="0"/>
            </w:tcBorders>
            <w:tcW w:w="813" w:type="dxa"/>
            <w:vMerge w:val="continue"/>
            <w:textDirection w:val="lrTb"/>
            <w:noWrap w:val="false"/>
          </w:tcPr>
          <w:p>
            <w:pPr>
              <w:spacing w:line="360" w:lineRule="auto"/>
              <w:rPr>
                <w:rFonts w:ascii="仿宋" w:hAnsi="仿宋" w:eastAsia="仿宋" w:cs="仿宋"/>
                <w:color w:val="auto"/>
                <w:highlight w:val="none"/>
              </w:rPr>
            </w:pPr>
            <w:r>
              <w:rPr>
                <w:rFonts w:ascii="仿宋" w:hAnsi="仿宋" w:eastAsia="仿宋" w:cs="仿宋"/>
                <w:color w:val="auto"/>
                <w:highlight w:val="none"/>
              </w:rPr>
            </w:r>
            <w:r/>
          </w:p>
        </w:tc>
        <w:tc>
          <w:tcPr>
            <w:tcBorders>
              <w:left w:val="single" w:color="auto" w:sz="4" w:space="0"/>
            </w:tcBorders>
            <w:tcW w:w="3673" w:type="dxa"/>
            <w:textDirection w:val="lrTb"/>
            <w:noWrap w:val="false"/>
          </w:tcPr>
          <w:p>
            <w:pPr>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6.分类收集运输。严格执行生活垃圾分类要求，禁止建筑垃圾、厨余垃圾、农业垃圾、有害垃圾随车进入中转站。</w:t>
            </w:r>
            <w:r/>
          </w:p>
        </w:tc>
        <w:tc>
          <w:tcPr>
            <w:tcW w:w="3380" w:type="dxa"/>
            <w:textDirection w:val="lrTb"/>
            <w:noWrap w:val="false"/>
          </w:tcPr>
          <w:p>
            <w:pPr>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未按要求进行分类收集运输，情况严重的扣5—10分。</w:t>
            </w:r>
            <w:r/>
          </w:p>
        </w:tc>
        <w:tc>
          <w:tcPr>
            <w:tcW w:w="960" w:type="dxa"/>
            <w:textDirection w:val="lrTb"/>
            <w:noWrap w:val="false"/>
          </w:tcPr>
          <w:p>
            <w:pPr>
              <w:spacing w:line="360" w:lineRule="auto"/>
              <w:rPr>
                <w:rFonts w:ascii="仿宋" w:hAnsi="仿宋" w:eastAsia="仿宋" w:cs="仿宋"/>
                <w:color w:val="auto"/>
                <w:highlight w:val="none"/>
              </w:rPr>
            </w:pPr>
            <w:r>
              <w:rPr>
                <w:rFonts w:ascii="仿宋" w:hAnsi="仿宋" w:eastAsia="仿宋" w:cs="仿宋"/>
                <w:color w:val="auto"/>
                <w:highlight w:val="none"/>
              </w:rPr>
            </w:r>
            <w:r/>
          </w:p>
        </w:tc>
      </w:tr>
      <w:tr>
        <w:trPr>
          <w:trHeight w:val="1148"/>
        </w:trPr>
        <w:tc>
          <w:tcPr>
            <w:tcBorders>
              <w:top w:val="single" w:color="auto" w:sz="4" w:space="0"/>
              <w:left w:val="single" w:color="auto" w:sz="4" w:space="0"/>
              <w:bottom w:val="single" w:color="auto" w:sz="4" w:space="0"/>
              <w:right w:val="single" w:color="auto" w:sz="4" w:space="0"/>
            </w:tcBorders>
            <w:tcW w:w="813" w:type="dxa"/>
            <w:vMerge w:val="continue"/>
            <w:textDirection w:val="lrTb"/>
            <w:noWrap w:val="false"/>
          </w:tcPr>
          <w:p>
            <w:pPr>
              <w:spacing w:line="360" w:lineRule="auto"/>
              <w:rPr>
                <w:rFonts w:ascii="仿宋" w:hAnsi="仿宋" w:eastAsia="仿宋" w:cs="仿宋"/>
                <w:color w:val="auto"/>
                <w:highlight w:val="none"/>
              </w:rPr>
            </w:pPr>
            <w:r>
              <w:rPr>
                <w:rFonts w:ascii="仿宋" w:hAnsi="仿宋" w:eastAsia="仿宋" w:cs="仿宋"/>
                <w:color w:val="auto"/>
                <w:highlight w:val="none"/>
              </w:rPr>
            </w:r>
            <w:r/>
          </w:p>
        </w:tc>
        <w:tc>
          <w:tcPr>
            <w:tcBorders>
              <w:left w:val="single" w:color="auto" w:sz="4" w:space="0"/>
            </w:tcBorders>
            <w:tcW w:w="3673" w:type="dxa"/>
            <w:textDirection w:val="lrTb"/>
            <w:noWrap w:val="false"/>
          </w:tcPr>
          <w:p>
            <w:pPr>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7.车辆管理。垃圾收集运输车辆统一规范，外观完好整洁，清运过程中无抛、洒、滴、漏现象。</w:t>
            </w:r>
            <w:r/>
          </w:p>
        </w:tc>
        <w:tc>
          <w:tcPr>
            <w:tcW w:w="3380" w:type="dxa"/>
            <w:textDirection w:val="lrTb"/>
            <w:noWrap w:val="false"/>
          </w:tcPr>
          <w:p>
            <w:pPr>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未按规定配备统一格式的收集车及工具，每例扣0.5分，外观不整洁、破损或发生抛、洒、滴、漏影响文明城市形象，发现一例扣5—10分。</w:t>
            </w:r>
            <w:r/>
          </w:p>
        </w:tc>
        <w:tc>
          <w:tcPr>
            <w:tcW w:w="960" w:type="dxa"/>
            <w:textDirection w:val="lrTb"/>
            <w:noWrap w:val="false"/>
          </w:tcPr>
          <w:p>
            <w:pPr>
              <w:spacing w:line="360" w:lineRule="auto"/>
              <w:rPr>
                <w:rFonts w:ascii="仿宋" w:hAnsi="仿宋" w:eastAsia="仿宋" w:cs="仿宋"/>
                <w:color w:val="auto"/>
                <w:highlight w:val="none"/>
              </w:rPr>
            </w:pPr>
            <w:r>
              <w:rPr>
                <w:rFonts w:ascii="仿宋" w:hAnsi="仿宋" w:eastAsia="仿宋" w:cs="仿宋"/>
                <w:color w:val="auto"/>
                <w:highlight w:val="none"/>
              </w:rPr>
            </w:r>
            <w:r/>
          </w:p>
        </w:tc>
      </w:tr>
      <w:tr>
        <w:trPr>
          <w:trHeight w:val="419"/>
        </w:trPr>
        <w:tc>
          <w:tcPr>
            <w:tcBorders>
              <w:top w:val="single" w:color="auto" w:sz="4" w:space="0"/>
              <w:left w:val="single" w:color="auto" w:sz="4" w:space="0"/>
              <w:bottom w:val="single" w:color="auto" w:sz="4" w:space="0"/>
              <w:right w:val="single" w:color="auto" w:sz="4" w:space="0"/>
            </w:tcBorders>
            <w:tcW w:w="813" w:type="dxa"/>
            <w:vMerge w:val="continue"/>
            <w:textDirection w:val="lrTb"/>
            <w:noWrap w:val="false"/>
          </w:tcPr>
          <w:p>
            <w:pPr>
              <w:spacing w:line="360" w:lineRule="auto"/>
              <w:rPr>
                <w:rFonts w:ascii="仿宋" w:hAnsi="仿宋" w:eastAsia="仿宋" w:cs="仿宋"/>
                <w:color w:val="auto"/>
                <w:highlight w:val="none"/>
              </w:rPr>
            </w:pPr>
            <w:r>
              <w:rPr>
                <w:rFonts w:ascii="仿宋" w:hAnsi="仿宋" w:eastAsia="仿宋" w:cs="仿宋"/>
                <w:color w:val="auto"/>
                <w:highlight w:val="none"/>
              </w:rPr>
            </w:r>
            <w:r/>
          </w:p>
        </w:tc>
        <w:tc>
          <w:tcPr>
            <w:tcBorders>
              <w:left w:val="single" w:color="auto" w:sz="4" w:space="0"/>
            </w:tcBorders>
            <w:tcW w:w="3673" w:type="dxa"/>
            <w:textDirection w:val="lrTb"/>
            <w:noWrap w:val="false"/>
          </w:tcPr>
          <w:p>
            <w:pPr>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8.人员配置。根据垃圾清运相关考核要求及合同要求，配足车辆辅助人员。</w:t>
            </w:r>
            <w:r/>
          </w:p>
        </w:tc>
        <w:tc>
          <w:tcPr>
            <w:tcW w:w="3380" w:type="dxa"/>
            <w:textDirection w:val="lrTb"/>
            <w:noWrap w:val="false"/>
          </w:tcPr>
          <w:p>
            <w:pPr>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未按标准足额配置随车辅助人员导致工作不力，根据实际情况酌情扣分。</w:t>
            </w:r>
            <w:r/>
          </w:p>
        </w:tc>
        <w:tc>
          <w:tcPr>
            <w:tcW w:w="960" w:type="dxa"/>
            <w:textDirection w:val="lrTb"/>
            <w:noWrap w:val="false"/>
          </w:tcPr>
          <w:p>
            <w:pPr>
              <w:spacing w:line="360" w:lineRule="auto"/>
              <w:rPr>
                <w:rFonts w:ascii="仿宋" w:hAnsi="仿宋" w:eastAsia="仿宋" w:cs="仿宋"/>
                <w:color w:val="auto"/>
                <w:highlight w:val="none"/>
              </w:rPr>
            </w:pPr>
            <w:r>
              <w:rPr>
                <w:rFonts w:ascii="仿宋" w:hAnsi="仿宋" w:eastAsia="仿宋" w:cs="仿宋"/>
                <w:color w:val="auto"/>
                <w:highlight w:val="none"/>
              </w:rPr>
            </w:r>
            <w:r/>
          </w:p>
        </w:tc>
      </w:tr>
      <w:tr>
        <w:trPr>
          <w:trHeight w:val="654"/>
        </w:trPr>
        <w:tc>
          <w:tcPr>
            <w:tcBorders>
              <w:top w:val="single" w:color="auto" w:sz="4" w:space="0"/>
              <w:left w:val="single" w:color="auto" w:sz="4" w:space="0"/>
              <w:bottom w:val="single" w:color="auto" w:sz="4" w:space="0"/>
              <w:right w:val="single" w:color="auto" w:sz="4" w:space="0"/>
            </w:tcBorders>
            <w:tcW w:w="813" w:type="dxa"/>
            <w:vMerge w:val="continue"/>
            <w:textDirection w:val="lrTb"/>
            <w:noWrap w:val="false"/>
          </w:tcPr>
          <w:p>
            <w:pPr>
              <w:spacing w:line="360" w:lineRule="auto"/>
              <w:rPr>
                <w:rFonts w:ascii="仿宋" w:hAnsi="仿宋" w:eastAsia="仿宋" w:cs="仿宋"/>
                <w:color w:val="auto"/>
                <w:highlight w:val="none"/>
              </w:rPr>
            </w:pPr>
            <w:r>
              <w:rPr>
                <w:rFonts w:ascii="仿宋" w:hAnsi="仿宋" w:eastAsia="仿宋" w:cs="仿宋"/>
                <w:color w:val="auto"/>
                <w:highlight w:val="none"/>
              </w:rPr>
            </w:r>
            <w:r/>
          </w:p>
        </w:tc>
        <w:tc>
          <w:tcPr>
            <w:tcBorders>
              <w:left w:val="single" w:color="auto" w:sz="4" w:space="0"/>
            </w:tcBorders>
            <w:tcW w:w="3673" w:type="dxa"/>
            <w:textDirection w:val="lrTb"/>
            <w:noWrap w:val="false"/>
          </w:tcPr>
          <w:p>
            <w:pPr>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9.问题整改。上一轮考核中出现的问题得到解决或好转。</w:t>
            </w:r>
            <w:r/>
          </w:p>
        </w:tc>
        <w:tc>
          <w:tcPr>
            <w:tcW w:w="3380" w:type="dxa"/>
            <w:textDirection w:val="lrTb"/>
            <w:noWrap w:val="false"/>
          </w:tcPr>
          <w:p>
            <w:pPr>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未能解决或未有所好转且无正当理由的每例扣3分。</w:t>
            </w:r>
            <w:r/>
          </w:p>
        </w:tc>
        <w:tc>
          <w:tcPr>
            <w:tcW w:w="960" w:type="dxa"/>
            <w:textDirection w:val="lrTb"/>
            <w:noWrap w:val="false"/>
          </w:tcPr>
          <w:p>
            <w:pPr>
              <w:spacing w:line="360" w:lineRule="auto"/>
              <w:rPr>
                <w:rFonts w:ascii="仿宋" w:hAnsi="仿宋" w:eastAsia="仿宋" w:cs="仿宋"/>
                <w:color w:val="auto"/>
                <w:highlight w:val="none"/>
              </w:rPr>
            </w:pPr>
            <w:r>
              <w:rPr>
                <w:rFonts w:ascii="仿宋" w:hAnsi="仿宋" w:eastAsia="仿宋" w:cs="仿宋"/>
                <w:color w:val="auto"/>
                <w:highlight w:val="none"/>
              </w:rPr>
            </w:r>
            <w:r/>
          </w:p>
        </w:tc>
      </w:tr>
      <w:tr>
        <w:trPr>
          <w:trHeight w:val="654"/>
        </w:trPr>
        <w:tc>
          <w:tcPr>
            <w:tcBorders>
              <w:top w:val="single" w:color="auto" w:sz="4" w:space="0"/>
              <w:left w:val="single" w:color="auto" w:sz="4" w:space="0"/>
              <w:bottom w:val="single" w:color="auto" w:sz="4" w:space="0"/>
              <w:right w:val="single" w:color="auto" w:sz="4" w:space="0"/>
            </w:tcBorders>
            <w:tcW w:w="813" w:type="dxa"/>
            <w:vAlign w:val="center"/>
            <w:vMerge w:val="restart"/>
            <w:textDirection w:val="lrTb"/>
            <w:noWrap w:val="false"/>
          </w:tcPr>
          <w:p>
            <w:pPr>
              <w:jc w:val="center"/>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综</w:t>
            </w:r>
            <w:r/>
          </w:p>
          <w:p>
            <w:pPr>
              <w:jc w:val="center"/>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合</w:t>
            </w:r>
            <w:r/>
          </w:p>
          <w:p>
            <w:pPr>
              <w:jc w:val="center"/>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考</w:t>
            </w:r>
            <w:r/>
          </w:p>
          <w:p>
            <w:pPr>
              <w:jc w:val="center"/>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评</w:t>
            </w:r>
            <w:r/>
          </w:p>
        </w:tc>
        <w:tc>
          <w:tcPr>
            <w:shd w:val="clear" w:color="auto" w:fill="auto"/>
            <w:tcBorders>
              <w:left w:val="single" w:color="auto" w:sz="4" w:space="0"/>
            </w:tcBorders>
            <w:tcW w:w="3673" w:type="dxa"/>
            <w:textDirection w:val="lrTb"/>
            <w:noWrap w:val="false"/>
          </w:tcPr>
          <w:p>
            <w:pPr>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10.突击保障。遇到各项创建及重大活动等环节服务质量到位。</w:t>
            </w:r>
            <w:r/>
          </w:p>
        </w:tc>
        <w:tc>
          <w:tcPr>
            <w:shd w:val="clear" w:color="auto" w:fill="auto"/>
            <w:tcW w:w="3380" w:type="dxa"/>
            <w:textDirection w:val="lrTb"/>
            <w:noWrap w:val="false"/>
          </w:tcPr>
          <w:p>
            <w:pPr>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各项创建及重大活动环节服务质量未到位扣3分。</w:t>
            </w:r>
            <w:r/>
          </w:p>
        </w:tc>
        <w:tc>
          <w:tcPr>
            <w:tcW w:w="960" w:type="dxa"/>
            <w:textDirection w:val="lrTb"/>
            <w:noWrap w:val="false"/>
          </w:tcPr>
          <w:p>
            <w:pPr>
              <w:spacing w:line="360" w:lineRule="auto"/>
              <w:rPr>
                <w:rFonts w:ascii="仿宋" w:hAnsi="仿宋" w:eastAsia="仿宋" w:cs="仿宋"/>
                <w:color w:val="auto"/>
                <w:highlight w:val="none"/>
              </w:rPr>
            </w:pPr>
            <w:r>
              <w:rPr>
                <w:rFonts w:ascii="仿宋" w:hAnsi="仿宋" w:eastAsia="仿宋" w:cs="仿宋"/>
                <w:color w:val="auto"/>
                <w:highlight w:val="none"/>
              </w:rPr>
            </w:r>
            <w:r/>
          </w:p>
        </w:tc>
      </w:tr>
      <w:tr>
        <w:trPr>
          <w:trHeight w:val="654"/>
        </w:trPr>
        <w:tc>
          <w:tcPr>
            <w:tcBorders>
              <w:top w:val="single" w:color="auto" w:sz="4" w:space="0"/>
              <w:left w:val="single" w:color="auto" w:sz="4" w:space="0"/>
              <w:bottom w:val="single" w:color="auto" w:sz="4" w:space="0"/>
              <w:right w:val="single" w:color="auto" w:sz="4" w:space="0"/>
            </w:tcBorders>
            <w:tcW w:w="813" w:type="dxa"/>
            <w:vMerge w:val="continue"/>
            <w:textDirection w:val="lrTb"/>
            <w:noWrap w:val="false"/>
          </w:tcPr>
          <w:p>
            <w:pPr>
              <w:spacing w:line="360" w:lineRule="auto"/>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Borders>
              <w:left w:val="single" w:color="auto" w:sz="4" w:space="0"/>
            </w:tcBorders>
            <w:tcW w:w="3673" w:type="dxa"/>
            <w:textDirection w:val="lrTb"/>
            <w:noWrap w:val="false"/>
          </w:tcPr>
          <w:p>
            <w:pPr>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11.坚决服从上级领导的统一部署和安排。</w:t>
            </w:r>
            <w:r/>
          </w:p>
        </w:tc>
        <w:tc>
          <w:tcPr>
            <w:shd w:val="clear" w:color="auto" w:fill="auto"/>
            <w:tcW w:w="3380" w:type="dxa"/>
            <w:textDirection w:val="lrTb"/>
            <w:noWrap w:val="false"/>
          </w:tcPr>
          <w:p>
            <w:pPr>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未服从统一部署和安排，每例扣5分，造成重大失误或严重后果的终止合同并取消今后竞标资格。</w:t>
            </w:r>
            <w:r/>
          </w:p>
        </w:tc>
        <w:tc>
          <w:tcPr>
            <w:tcW w:w="960" w:type="dxa"/>
            <w:textDirection w:val="lrTb"/>
            <w:noWrap w:val="false"/>
          </w:tcPr>
          <w:p>
            <w:pPr>
              <w:spacing w:line="360" w:lineRule="auto"/>
              <w:rPr>
                <w:rFonts w:ascii="仿宋" w:hAnsi="仿宋" w:eastAsia="仿宋" w:cs="仿宋"/>
                <w:color w:val="auto"/>
                <w:highlight w:val="none"/>
              </w:rPr>
            </w:pPr>
            <w:r>
              <w:rPr>
                <w:rFonts w:ascii="仿宋" w:hAnsi="仿宋" w:eastAsia="仿宋" w:cs="仿宋"/>
                <w:color w:val="auto"/>
                <w:highlight w:val="none"/>
              </w:rPr>
            </w:r>
            <w:r/>
          </w:p>
        </w:tc>
      </w:tr>
      <w:tr>
        <w:trPr>
          <w:trHeight w:val="654"/>
        </w:trPr>
        <w:tc>
          <w:tcPr>
            <w:tcBorders>
              <w:top w:val="single" w:color="auto" w:sz="4" w:space="0"/>
              <w:left w:val="single" w:color="auto" w:sz="4" w:space="0"/>
              <w:bottom w:val="single" w:color="auto" w:sz="4" w:space="0"/>
              <w:right w:val="single" w:color="auto" w:sz="4" w:space="0"/>
            </w:tcBorders>
            <w:tcW w:w="813" w:type="dxa"/>
            <w:vMerge w:val="continue"/>
            <w:textDirection w:val="lrTb"/>
            <w:noWrap w:val="false"/>
          </w:tcPr>
          <w:p>
            <w:pPr>
              <w:spacing w:line="360" w:lineRule="auto"/>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Borders>
              <w:left w:val="single" w:color="auto" w:sz="4" w:space="0"/>
            </w:tcBorders>
            <w:tcW w:w="3673" w:type="dxa"/>
            <w:textDirection w:val="lrTb"/>
            <w:noWrap w:val="false"/>
          </w:tcPr>
          <w:p>
            <w:pPr>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12.落实安全生产责任制，采取有力措施确保不发生安全生产责任事故。</w:t>
            </w:r>
            <w:r/>
          </w:p>
        </w:tc>
        <w:tc>
          <w:tcPr>
            <w:shd w:val="clear" w:color="auto" w:fill="auto"/>
            <w:tcW w:w="3380" w:type="dxa"/>
            <w:textDirection w:val="lrTb"/>
            <w:noWrap w:val="false"/>
          </w:tcPr>
          <w:p>
            <w:pPr>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未落实责任制或措施不扎实，造成安全生产责任制事故的扣10分。</w:t>
            </w:r>
            <w:r/>
          </w:p>
        </w:tc>
        <w:tc>
          <w:tcPr>
            <w:tcW w:w="960" w:type="dxa"/>
            <w:textDirection w:val="lrTb"/>
            <w:noWrap w:val="false"/>
          </w:tcPr>
          <w:p>
            <w:pPr>
              <w:spacing w:line="360" w:lineRule="auto"/>
              <w:rPr>
                <w:rFonts w:ascii="仿宋" w:hAnsi="仿宋" w:eastAsia="仿宋" w:cs="仿宋"/>
                <w:color w:val="auto"/>
                <w:highlight w:val="none"/>
              </w:rPr>
            </w:pPr>
            <w:r>
              <w:rPr>
                <w:rFonts w:ascii="仿宋" w:hAnsi="仿宋" w:eastAsia="仿宋" w:cs="仿宋"/>
                <w:color w:val="auto"/>
                <w:highlight w:val="none"/>
              </w:rPr>
            </w:r>
            <w:r/>
          </w:p>
        </w:tc>
      </w:tr>
      <w:tr>
        <w:trPr>
          <w:trHeight w:val="654"/>
        </w:trPr>
        <w:tc>
          <w:tcPr>
            <w:tcBorders>
              <w:top w:val="single" w:color="auto" w:sz="4" w:space="0"/>
              <w:left w:val="single" w:color="auto" w:sz="4" w:space="0"/>
              <w:bottom w:val="single" w:color="auto" w:sz="4" w:space="0"/>
              <w:right w:val="single" w:color="auto" w:sz="4" w:space="0"/>
            </w:tcBorders>
            <w:tcW w:w="813" w:type="dxa"/>
            <w:vMerge w:val="continue"/>
            <w:textDirection w:val="lrTb"/>
            <w:noWrap w:val="false"/>
          </w:tcPr>
          <w:p>
            <w:pPr>
              <w:spacing w:line="360" w:lineRule="auto"/>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Borders>
              <w:left w:val="single" w:color="auto" w:sz="4" w:space="0"/>
            </w:tcBorders>
            <w:tcW w:w="3673" w:type="dxa"/>
            <w:textDirection w:val="lrTb"/>
            <w:noWrap w:val="false"/>
          </w:tcPr>
          <w:p>
            <w:pPr>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13.无群众投诉、举报，无领导批评和媒体曝光。</w:t>
            </w:r>
            <w:r/>
          </w:p>
        </w:tc>
        <w:tc>
          <w:tcPr>
            <w:shd w:val="clear" w:color="auto" w:fill="auto"/>
            <w:tcW w:w="3380" w:type="dxa"/>
            <w:textDirection w:val="lrTb"/>
            <w:noWrap w:val="false"/>
          </w:tcPr>
          <w:p>
            <w:pPr>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经查实为作业中的责任问题，每发现一起扣1分，可视情节加重处罚。</w:t>
            </w:r>
            <w:r/>
          </w:p>
        </w:tc>
        <w:tc>
          <w:tcPr>
            <w:tcW w:w="960" w:type="dxa"/>
            <w:textDirection w:val="lrTb"/>
            <w:noWrap w:val="false"/>
          </w:tcPr>
          <w:p>
            <w:pPr>
              <w:spacing w:line="360" w:lineRule="auto"/>
              <w:rPr>
                <w:rFonts w:ascii="仿宋" w:hAnsi="仿宋" w:eastAsia="仿宋" w:cs="仿宋"/>
                <w:color w:val="auto"/>
                <w:highlight w:val="none"/>
              </w:rPr>
            </w:pPr>
            <w:r>
              <w:rPr>
                <w:rFonts w:ascii="仿宋" w:hAnsi="仿宋" w:eastAsia="仿宋" w:cs="仿宋"/>
                <w:color w:val="auto"/>
                <w:highlight w:val="none"/>
              </w:rPr>
            </w:r>
            <w:r/>
          </w:p>
        </w:tc>
      </w:tr>
      <w:tr>
        <w:trPr>
          <w:trHeight w:val="654"/>
        </w:trPr>
        <w:tc>
          <w:tcPr>
            <w:tcBorders>
              <w:top w:val="single" w:color="auto" w:sz="4" w:space="0"/>
              <w:left w:val="single" w:color="auto" w:sz="4" w:space="0"/>
              <w:bottom w:val="single" w:color="auto" w:sz="4" w:space="0"/>
              <w:right w:val="single" w:color="auto" w:sz="4" w:space="0"/>
            </w:tcBorders>
            <w:tcW w:w="813" w:type="dxa"/>
            <w:vMerge w:val="continue"/>
            <w:textDirection w:val="lrTb"/>
            <w:noWrap w:val="false"/>
          </w:tcPr>
          <w:p>
            <w:pPr>
              <w:spacing w:line="360" w:lineRule="auto"/>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Borders>
              <w:left w:val="single" w:color="auto" w:sz="4" w:space="0"/>
            </w:tcBorders>
            <w:tcW w:w="3673" w:type="dxa"/>
            <w:textDirection w:val="lrTb"/>
            <w:noWrap w:val="false"/>
          </w:tcPr>
          <w:p>
            <w:pPr>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合计得分：</w:t>
            </w:r>
            <w:r/>
          </w:p>
        </w:tc>
        <w:tc>
          <w:tcPr>
            <w:shd w:val="clear" w:color="auto" w:fill="auto"/>
            <w:tcW w:w="3380" w:type="dxa"/>
            <w:textDirection w:val="lrTb"/>
            <w:noWrap w:val="false"/>
          </w:tcPr>
          <w:p>
            <w:pPr>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合计扣分：</w:t>
            </w:r>
            <w:r/>
          </w:p>
        </w:tc>
        <w:tc>
          <w:tcPr>
            <w:tcW w:w="960" w:type="dxa"/>
            <w:textDirection w:val="lrTb"/>
            <w:noWrap w:val="false"/>
          </w:tcPr>
          <w:p>
            <w:pPr>
              <w:spacing w:line="360" w:lineRule="auto"/>
              <w:rPr>
                <w:rFonts w:ascii="仿宋" w:hAnsi="仿宋" w:eastAsia="仿宋" w:cs="仿宋"/>
                <w:color w:val="auto"/>
                <w:highlight w:val="none"/>
              </w:rPr>
            </w:pPr>
            <w:r>
              <w:rPr>
                <w:rFonts w:ascii="仿宋" w:hAnsi="仿宋" w:eastAsia="仿宋" w:cs="仿宋"/>
                <w:color w:val="auto"/>
                <w:highlight w:val="none"/>
              </w:rPr>
            </w:r>
            <w:r/>
          </w:p>
        </w:tc>
      </w:tr>
      <w:tr>
        <w:trPr>
          <w:trHeight w:val="654"/>
        </w:trPr>
        <w:tc>
          <w:tcPr>
            <w:gridSpan w:val="4"/>
            <w:tcBorders>
              <w:top w:val="single" w:color="auto" w:sz="4" w:space="0"/>
              <w:left w:val="single" w:color="auto" w:sz="4" w:space="0"/>
              <w:bottom w:val="single" w:color="auto" w:sz="4" w:space="0"/>
            </w:tcBorders>
            <w:tcW w:w="8826" w:type="dxa"/>
            <w:textDirection w:val="lrTb"/>
            <w:noWrap w:val="false"/>
          </w:tcPr>
          <w:p>
            <w:pPr>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平时抽查汇总计入月度考核，当月累计扣分按400元/分计算罚款，在当月承包费中扣除，每季度结算一次。</w:t>
            </w:r>
            <w:r/>
          </w:p>
        </w:tc>
      </w:tr>
    </w:tbl>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sectPr>
      <w:footerReference w:type="default" r:id="rId10"/>
      <w:footnotePr/>
      <w:endnotePr/>
      <w:type w:val="nextPage"/>
      <w:pgSz w:w="11906" w:h="16838" w:orient="portrait"/>
      <w:pgMar w:top="1418" w:right="1134" w:bottom="1134" w:left="1418"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文鼎CS楷体">
    <w:panose1 w:val="020B0503020202020204"/>
  </w:font>
  <w:font w:name="微软雅黑">
    <w:panose1 w:val="020B0503020204020204"/>
  </w:font>
  <w:font w:name="方正仿宋_GB2312">
    <w:panose1 w:val="020B0503020202020204"/>
  </w:font>
  <w:font w:name="Courier New">
    <w:panose1 w:val="02070309020205020404"/>
  </w:font>
  <w:font w:name="新宋体">
    <w:panose1 w:val="02010609030101010101"/>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rPr>
        <w:rStyle w:val="736"/>
      </w:rPr>
      <w:framePr w:wrap="around" w:vAnchor="text" w:hAnchor="margin" w:xAlign="center" w:y="1"/>
    </w:pPr>
    <w:r>
      <w:fldChar w:fldCharType="begin"/>
    </w:r>
    <w:r>
      <w:rPr>
        <w:rStyle w:val="736"/>
      </w:rPr>
      <w:instrText xml:space="preserve">PAGE  </w:instrText>
    </w:r>
    <w:r>
      <w:fldChar w:fldCharType="end"/>
    </w:r>
    <w:r/>
  </w:p>
  <w:p>
    <w:pPr>
      <w:pStyle w:val="71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rPr>
        <w:rStyle w:val="736"/>
      </w:rPr>
      <w:framePr w:wrap="around" w:vAnchor="text" w:hAnchor="margin" w:xAlign="center" w:y="1"/>
    </w:pPr>
    <w:r>
      <w:fldChar w:fldCharType="begin"/>
    </w:r>
    <w:r>
      <w:rPr>
        <w:rStyle w:val="736"/>
      </w:rPr>
      <w:instrText xml:space="preserve">PAGE  </w:instrText>
    </w:r>
    <w:r>
      <w:fldChar w:fldCharType="separate"/>
    </w:r>
    <w:r>
      <w:rPr>
        <w:rStyle w:val="736"/>
      </w:rPr>
      <w:t xml:space="preserve">55</w:t>
    </w:r>
    <w:r>
      <w:fldChar w:fldCharType="end"/>
    </w:r>
    <w:r/>
  </w:p>
  <w:p>
    <w:pPr>
      <w:pStyle w:val="71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pPr>
    <w:r>
      <w:rPr>
        <w:rFonts w:hint="eastAsia"/>
      </w:rPr>
      <w:t xml:space="preserve">如</w:t>
    </w:r>
    <w:r>
      <w:t xml:space="preserve">皋市政府采购</w:t>
    </w:r>
    <w:r>
      <w:rPr>
        <w:rFonts w:hint="eastAsia"/>
      </w:rPr>
      <w:t xml:space="preserve">竞争性磋商</w:t>
    </w:r>
    <w:r>
      <w:t xml:space="preserve">文件</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1">
    <w:name w:val="Heading 1 Char"/>
    <w:basedOn w:val="705"/>
    <w:link w:val="696"/>
    <w:uiPriority w:val="9"/>
    <w:rPr>
      <w:rFonts w:ascii="Arial" w:hAnsi="Arial" w:eastAsia="Arial" w:cs="Arial"/>
      <w:sz w:val="40"/>
      <w:szCs w:val="40"/>
    </w:rPr>
  </w:style>
  <w:style w:type="character" w:styleId="682">
    <w:name w:val="Heading 3 Char"/>
    <w:basedOn w:val="705"/>
    <w:link w:val="698"/>
    <w:uiPriority w:val="9"/>
    <w:rPr>
      <w:rFonts w:ascii="Arial" w:hAnsi="Arial" w:eastAsia="Arial" w:cs="Arial"/>
      <w:sz w:val="30"/>
      <w:szCs w:val="30"/>
    </w:rPr>
  </w:style>
  <w:style w:type="character" w:styleId="683">
    <w:name w:val="Heading 5 Char"/>
    <w:basedOn w:val="705"/>
    <w:link w:val="700"/>
    <w:uiPriority w:val="9"/>
    <w:rPr>
      <w:rFonts w:ascii="Arial" w:hAnsi="Arial" w:eastAsia="Arial" w:cs="Arial"/>
      <w:b/>
      <w:bCs/>
      <w:sz w:val="24"/>
      <w:szCs w:val="24"/>
    </w:rPr>
  </w:style>
  <w:style w:type="character" w:styleId="684">
    <w:name w:val="Heading 6 Char"/>
    <w:basedOn w:val="705"/>
    <w:link w:val="701"/>
    <w:uiPriority w:val="9"/>
    <w:rPr>
      <w:rFonts w:ascii="Arial" w:hAnsi="Arial" w:eastAsia="Arial" w:cs="Arial"/>
      <w:b/>
      <w:bCs/>
      <w:sz w:val="22"/>
      <w:szCs w:val="22"/>
    </w:rPr>
  </w:style>
  <w:style w:type="character" w:styleId="685">
    <w:name w:val="Heading 7 Char"/>
    <w:basedOn w:val="705"/>
    <w:link w:val="702"/>
    <w:uiPriority w:val="9"/>
    <w:rPr>
      <w:rFonts w:ascii="Arial" w:hAnsi="Arial" w:eastAsia="Arial" w:cs="Arial"/>
      <w:b/>
      <w:bCs/>
      <w:i/>
      <w:iCs/>
      <w:sz w:val="22"/>
      <w:szCs w:val="22"/>
    </w:rPr>
  </w:style>
  <w:style w:type="character" w:styleId="686">
    <w:name w:val="Heading 8 Char"/>
    <w:basedOn w:val="705"/>
    <w:link w:val="703"/>
    <w:uiPriority w:val="9"/>
    <w:rPr>
      <w:rFonts w:ascii="Arial" w:hAnsi="Arial" w:eastAsia="Arial" w:cs="Arial"/>
      <w:i/>
      <w:iCs/>
      <w:sz w:val="22"/>
      <w:szCs w:val="22"/>
    </w:rPr>
  </w:style>
  <w:style w:type="character" w:styleId="687">
    <w:name w:val="Heading 9 Char"/>
    <w:basedOn w:val="705"/>
    <w:link w:val="704"/>
    <w:uiPriority w:val="9"/>
    <w:rPr>
      <w:rFonts w:ascii="Arial" w:hAnsi="Arial" w:eastAsia="Arial" w:cs="Arial"/>
      <w:i/>
      <w:iCs/>
      <w:sz w:val="21"/>
      <w:szCs w:val="21"/>
    </w:rPr>
  </w:style>
  <w:style w:type="character" w:styleId="688">
    <w:name w:val="Title Char"/>
    <w:basedOn w:val="705"/>
    <w:link w:val="731"/>
    <w:uiPriority w:val="10"/>
    <w:rPr>
      <w:sz w:val="48"/>
      <w:szCs w:val="48"/>
    </w:rPr>
  </w:style>
  <w:style w:type="character" w:styleId="689">
    <w:name w:val="Subtitle Char"/>
    <w:basedOn w:val="705"/>
    <w:link w:val="722"/>
    <w:uiPriority w:val="11"/>
    <w:rPr>
      <w:sz w:val="24"/>
      <w:szCs w:val="24"/>
    </w:rPr>
  </w:style>
  <w:style w:type="character" w:styleId="690">
    <w:name w:val="Quote Char"/>
    <w:link w:val="754"/>
    <w:uiPriority w:val="29"/>
    <w:rPr>
      <w:i/>
    </w:rPr>
  </w:style>
  <w:style w:type="character" w:styleId="691">
    <w:name w:val="Intense Quote Char"/>
    <w:link w:val="756"/>
    <w:uiPriority w:val="30"/>
    <w:rPr>
      <w:i/>
    </w:rPr>
  </w:style>
  <w:style w:type="character" w:styleId="692">
    <w:name w:val="Footnote Text Char"/>
    <w:link w:val="723"/>
    <w:uiPriority w:val="99"/>
    <w:rPr>
      <w:sz w:val="18"/>
    </w:rPr>
  </w:style>
  <w:style w:type="character" w:styleId="693">
    <w:name w:val="Endnote Text Char"/>
    <w:link w:val="717"/>
    <w:uiPriority w:val="99"/>
    <w:rPr>
      <w:sz w:val="20"/>
    </w:rPr>
  </w:style>
  <w:style w:type="paragraph" w:styleId="694">
    <w:name w:val="TOC Heading"/>
    <w:uiPriority w:val="39"/>
    <w:unhideWhenUsed/>
  </w:style>
  <w:style w:type="paragraph" w:styleId="695" w:default="1">
    <w:name w:val="Normal"/>
    <w:next w:val="707"/>
    <w:uiPriority w:val="0"/>
    <w:qFormat/>
    <w:pPr>
      <w:jc w:val="both"/>
      <w:widowControl w:val="off"/>
    </w:pPr>
    <w:rPr>
      <w:rFonts w:ascii="Times New Roman" w:hAnsi="Times New Roman" w:eastAsia="宋体" w:cs="Times New Roman"/>
      <w:sz w:val="21"/>
      <w:szCs w:val="24"/>
      <w:lang w:val="en-US" w:eastAsia="zh-CN" w:bidi="ar-SA"/>
    </w:rPr>
  </w:style>
  <w:style w:type="paragraph" w:styleId="696">
    <w:name w:val="Heading 1"/>
    <w:basedOn w:val="695"/>
    <w:next w:val="695"/>
    <w:link w:val="741"/>
    <w:uiPriority w:val="9"/>
    <w:qFormat/>
    <w:pPr>
      <w:keepLines/>
      <w:keepNext/>
      <w:spacing w:before="480" w:after="200"/>
      <w:outlineLvl w:val="0"/>
    </w:pPr>
    <w:rPr>
      <w:rFonts w:ascii="Arial" w:hAnsi="Arial" w:eastAsia="Arial" w:cs="Arial"/>
      <w:sz w:val="40"/>
      <w:szCs w:val="40"/>
    </w:rPr>
  </w:style>
  <w:style w:type="paragraph" w:styleId="697">
    <w:name w:val="Heading 2"/>
    <w:basedOn w:val="695"/>
    <w:next w:val="695"/>
    <w:uiPriority w:val="0"/>
    <w:qFormat/>
    <w:pPr>
      <w:keepLines/>
      <w:keepNext/>
      <w:spacing w:before="260" w:after="260" w:line="416" w:lineRule="auto"/>
      <w:outlineLvl w:val="1"/>
    </w:pPr>
    <w:rPr>
      <w:rFonts w:ascii="Arial" w:hAnsi="Arial" w:eastAsia="黑体"/>
      <w:b/>
      <w:bCs/>
      <w:sz w:val="32"/>
      <w:szCs w:val="32"/>
    </w:rPr>
  </w:style>
  <w:style w:type="paragraph" w:styleId="698">
    <w:name w:val="Heading 3"/>
    <w:basedOn w:val="695"/>
    <w:next w:val="695"/>
    <w:link w:val="743"/>
    <w:uiPriority w:val="9"/>
    <w:unhideWhenUsed/>
    <w:qFormat/>
    <w:pPr>
      <w:keepLines/>
      <w:keepNext/>
      <w:spacing w:before="320" w:after="200"/>
      <w:outlineLvl w:val="2"/>
    </w:pPr>
    <w:rPr>
      <w:rFonts w:ascii="Arial" w:hAnsi="Arial" w:eastAsia="Arial" w:cs="Arial"/>
      <w:sz w:val="30"/>
      <w:szCs w:val="30"/>
    </w:rPr>
  </w:style>
  <w:style w:type="paragraph" w:styleId="699">
    <w:name w:val="Heading 4"/>
    <w:basedOn w:val="695"/>
    <w:next w:val="695"/>
    <w:uiPriority w:val="0"/>
    <w:qFormat/>
    <w:pPr>
      <w:jc w:val="center"/>
      <w:keepNext/>
      <w:outlineLvl w:val="3"/>
    </w:pPr>
    <w:rPr>
      <w:rFonts w:eastAsia="新宋体"/>
      <w:sz w:val="30"/>
      <w:szCs w:val="21"/>
    </w:rPr>
  </w:style>
  <w:style w:type="paragraph" w:styleId="700">
    <w:name w:val="Heading 5"/>
    <w:basedOn w:val="695"/>
    <w:next w:val="695"/>
    <w:link w:val="745"/>
    <w:uiPriority w:val="9"/>
    <w:unhideWhenUsed/>
    <w:qFormat/>
    <w:pPr>
      <w:keepLines/>
      <w:keepNext/>
      <w:spacing w:before="320" w:after="200"/>
      <w:outlineLvl w:val="4"/>
    </w:pPr>
    <w:rPr>
      <w:rFonts w:ascii="Arial" w:hAnsi="Arial" w:eastAsia="Arial" w:cs="Arial"/>
      <w:b/>
      <w:bCs/>
      <w:sz w:val="24"/>
    </w:rPr>
  </w:style>
  <w:style w:type="paragraph" w:styleId="701">
    <w:name w:val="Heading 6"/>
    <w:basedOn w:val="695"/>
    <w:next w:val="695"/>
    <w:link w:val="746"/>
    <w:uiPriority w:val="9"/>
    <w:unhideWhenUsed/>
    <w:qFormat/>
    <w:pPr>
      <w:keepLines/>
      <w:keepNext/>
      <w:spacing w:before="320" w:after="200"/>
      <w:outlineLvl w:val="5"/>
    </w:pPr>
    <w:rPr>
      <w:rFonts w:ascii="Arial" w:hAnsi="Arial" w:eastAsia="Arial" w:cs="Arial"/>
      <w:b/>
      <w:bCs/>
      <w:sz w:val="22"/>
      <w:szCs w:val="22"/>
    </w:rPr>
  </w:style>
  <w:style w:type="paragraph" w:styleId="702">
    <w:name w:val="Heading 7"/>
    <w:basedOn w:val="695"/>
    <w:next w:val="695"/>
    <w:link w:val="747"/>
    <w:uiPriority w:val="9"/>
    <w:unhideWhenUsed/>
    <w:qFormat/>
    <w:pPr>
      <w:keepLines/>
      <w:keepNext/>
      <w:spacing w:before="320" w:after="200"/>
      <w:outlineLvl w:val="6"/>
    </w:pPr>
    <w:rPr>
      <w:rFonts w:ascii="Arial" w:hAnsi="Arial" w:eastAsia="Arial" w:cs="Arial"/>
      <w:b/>
      <w:bCs/>
      <w:i/>
      <w:iCs/>
      <w:sz w:val="22"/>
      <w:szCs w:val="22"/>
    </w:rPr>
  </w:style>
  <w:style w:type="paragraph" w:styleId="703">
    <w:name w:val="Heading 8"/>
    <w:basedOn w:val="695"/>
    <w:next w:val="695"/>
    <w:link w:val="748"/>
    <w:uiPriority w:val="9"/>
    <w:unhideWhenUsed/>
    <w:qFormat/>
    <w:pPr>
      <w:keepLines/>
      <w:keepNext/>
      <w:spacing w:before="320" w:after="200"/>
      <w:outlineLvl w:val="7"/>
    </w:pPr>
    <w:rPr>
      <w:rFonts w:ascii="Arial" w:hAnsi="Arial" w:eastAsia="Arial" w:cs="Arial"/>
      <w:i/>
      <w:iCs/>
      <w:sz w:val="22"/>
      <w:szCs w:val="22"/>
    </w:rPr>
  </w:style>
  <w:style w:type="paragraph" w:styleId="704">
    <w:name w:val="Heading 9"/>
    <w:basedOn w:val="695"/>
    <w:next w:val="695"/>
    <w:link w:val="749"/>
    <w:uiPriority w:val="9"/>
    <w:unhideWhenUsed/>
    <w:qFormat/>
    <w:pPr>
      <w:keepLines/>
      <w:keepNext/>
      <w:spacing w:before="320" w:after="200"/>
      <w:outlineLvl w:val="8"/>
    </w:pPr>
    <w:rPr>
      <w:rFonts w:ascii="Arial" w:hAnsi="Arial" w:eastAsia="Arial" w:cs="Arial"/>
      <w:i/>
      <w:iCs/>
      <w:szCs w:val="21"/>
    </w:rPr>
  </w:style>
  <w:style w:type="character" w:styleId="705" w:default="1">
    <w:name w:val="Default Paragraph Font"/>
    <w:uiPriority w:val="1"/>
    <w:semiHidden/>
    <w:unhideWhenUsed/>
    <w:qFormat/>
  </w:style>
  <w:style w:type="table" w:styleId="706" w:default="1">
    <w:name w:val="Normal Table"/>
    <w:uiPriority w:val="99"/>
    <w:semiHidden/>
    <w:unhideWhenUsed/>
    <w:qFormat/>
    <w:tblPr>
      <w:tblCellMar>
        <w:left w:w="108" w:type="dxa"/>
        <w:top w:w="0" w:type="dxa"/>
        <w:right w:w="108" w:type="dxa"/>
        <w:bottom w:w="0" w:type="dxa"/>
      </w:tblCellMar>
    </w:tblPr>
  </w:style>
  <w:style w:type="paragraph" w:styleId="707">
    <w:name w:val="Body Text"/>
    <w:basedOn w:val="695"/>
    <w:uiPriority w:val="0"/>
    <w:qFormat/>
    <w:pPr>
      <w:ind w:firstLine="560"/>
      <w:jc w:val="left"/>
      <w:spacing w:line="360" w:lineRule="auto"/>
    </w:pPr>
    <w:rPr>
      <w:rFonts w:ascii="宋体" w:hAnsi="宋体"/>
      <w:sz w:val="24"/>
      <w:szCs w:val="28"/>
    </w:rPr>
  </w:style>
  <w:style w:type="paragraph" w:styleId="708">
    <w:name w:val="toc 7"/>
    <w:basedOn w:val="695"/>
    <w:next w:val="695"/>
    <w:uiPriority w:val="39"/>
    <w:unhideWhenUsed/>
    <w:qFormat/>
    <w:pPr>
      <w:ind w:left="1701"/>
      <w:spacing w:after="57"/>
    </w:pPr>
  </w:style>
  <w:style w:type="paragraph" w:styleId="709">
    <w:name w:val="Normal Indent"/>
    <w:basedOn w:val="695"/>
    <w:uiPriority w:val="0"/>
    <w:qFormat/>
    <w:pPr>
      <w:ind w:firstLine="420"/>
    </w:pPr>
  </w:style>
  <w:style w:type="paragraph" w:styleId="710">
    <w:name w:val="Caption"/>
    <w:basedOn w:val="695"/>
    <w:next w:val="695"/>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11">
    <w:name w:val="annotation text"/>
    <w:basedOn w:val="695"/>
    <w:uiPriority w:val="99"/>
    <w:unhideWhenUsed/>
    <w:qFormat/>
    <w:pPr>
      <w:jc w:val="left"/>
    </w:pPr>
  </w:style>
  <w:style w:type="paragraph" w:styleId="712">
    <w:name w:val="toc 5"/>
    <w:basedOn w:val="695"/>
    <w:next w:val="695"/>
    <w:uiPriority w:val="39"/>
    <w:unhideWhenUsed/>
    <w:qFormat/>
    <w:pPr>
      <w:ind w:left="1134"/>
      <w:spacing w:after="57"/>
    </w:pPr>
  </w:style>
  <w:style w:type="paragraph" w:styleId="713">
    <w:name w:val="toc 3"/>
    <w:basedOn w:val="695"/>
    <w:next w:val="695"/>
    <w:uiPriority w:val="39"/>
    <w:unhideWhenUsed/>
    <w:qFormat/>
    <w:pPr>
      <w:ind w:left="567"/>
      <w:spacing w:after="57"/>
    </w:pPr>
  </w:style>
  <w:style w:type="paragraph" w:styleId="714">
    <w:name w:val="Plain Text"/>
    <w:basedOn w:val="695"/>
    <w:uiPriority w:val="0"/>
    <w:qFormat/>
    <w:pPr>
      <w:jc w:val="left"/>
      <w:spacing w:after="200" w:line="252" w:lineRule="auto"/>
      <w:widowControl/>
    </w:pPr>
    <w:rPr>
      <w:rFonts w:ascii="宋体" w:hAnsi="Courier New"/>
      <w:szCs w:val="20"/>
    </w:rPr>
  </w:style>
  <w:style w:type="paragraph" w:styleId="715">
    <w:name w:val="toc 8"/>
    <w:basedOn w:val="695"/>
    <w:next w:val="695"/>
    <w:uiPriority w:val="39"/>
    <w:unhideWhenUsed/>
    <w:qFormat/>
    <w:pPr>
      <w:ind w:left="1984"/>
      <w:spacing w:after="57"/>
    </w:pPr>
  </w:style>
  <w:style w:type="paragraph" w:styleId="716">
    <w:name w:val="Date"/>
    <w:basedOn w:val="695"/>
    <w:next w:val="695"/>
    <w:uiPriority w:val="0"/>
    <w:qFormat/>
    <w:rPr>
      <w:sz w:val="24"/>
      <w:szCs w:val="20"/>
    </w:rPr>
  </w:style>
  <w:style w:type="paragraph" w:styleId="717">
    <w:name w:val="endnote text"/>
    <w:basedOn w:val="695"/>
    <w:link w:val="887"/>
    <w:uiPriority w:val="99"/>
    <w:semiHidden/>
    <w:unhideWhenUsed/>
    <w:qFormat/>
    <w:rPr>
      <w:sz w:val="20"/>
    </w:rPr>
  </w:style>
  <w:style w:type="paragraph" w:styleId="718">
    <w:name w:val="Footer"/>
    <w:basedOn w:val="695"/>
    <w:uiPriority w:val="0"/>
    <w:qFormat/>
    <w:pPr>
      <w:jc w:val="left"/>
      <w:tabs>
        <w:tab w:val="center" w:pos="4153" w:leader="none"/>
        <w:tab w:val="right" w:pos="8306" w:leader="none"/>
      </w:tabs>
    </w:pPr>
    <w:rPr>
      <w:sz w:val="18"/>
      <w:szCs w:val="18"/>
    </w:rPr>
  </w:style>
  <w:style w:type="paragraph" w:styleId="719">
    <w:name w:val="Header"/>
    <w:basedOn w:val="695"/>
    <w:uiPriority w:val="99"/>
    <w:qFormat/>
    <w:pPr>
      <w:jc w:val="center"/>
      <w:tabs>
        <w:tab w:val="center" w:pos="4153" w:leader="none"/>
        <w:tab w:val="right" w:pos="8306" w:leader="none"/>
      </w:tabs>
      <w:pBdr>
        <w:bottom w:val="single" w:color="auto" w:sz="6" w:space="1"/>
      </w:pBdr>
    </w:pPr>
    <w:rPr>
      <w:sz w:val="18"/>
      <w:szCs w:val="18"/>
    </w:rPr>
  </w:style>
  <w:style w:type="paragraph" w:styleId="720">
    <w:name w:val="toc 1"/>
    <w:basedOn w:val="695"/>
    <w:next w:val="695"/>
    <w:uiPriority w:val="0"/>
    <w:qFormat/>
  </w:style>
  <w:style w:type="paragraph" w:styleId="721">
    <w:name w:val="toc 4"/>
    <w:basedOn w:val="695"/>
    <w:next w:val="695"/>
    <w:uiPriority w:val="39"/>
    <w:unhideWhenUsed/>
    <w:qFormat/>
    <w:pPr>
      <w:ind w:left="850"/>
      <w:spacing w:after="57"/>
    </w:pPr>
  </w:style>
  <w:style w:type="paragraph" w:styleId="722">
    <w:name w:val="Subtitle"/>
    <w:basedOn w:val="695"/>
    <w:next w:val="695"/>
    <w:link w:val="753"/>
    <w:uiPriority w:val="11"/>
    <w:qFormat/>
    <w:pPr>
      <w:spacing w:before="200" w:after="200"/>
    </w:pPr>
    <w:rPr>
      <w:sz w:val="24"/>
    </w:rPr>
  </w:style>
  <w:style w:type="paragraph" w:styleId="723">
    <w:name w:val="footnote text"/>
    <w:basedOn w:val="695"/>
    <w:link w:val="886"/>
    <w:uiPriority w:val="99"/>
    <w:semiHidden/>
    <w:unhideWhenUsed/>
    <w:qFormat/>
    <w:pPr>
      <w:spacing w:after="40"/>
    </w:pPr>
    <w:rPr>
      <w:sz w:val="18"/>
    </w:rPr>
  </w:style>
  <w:style w:type="paragraph" w:styleId="724">
    <w:name w:val="toc 6"/>
    <w:basedOn w:val="695"/>
    <w:next w:val="695"/>
    <w:uiPriority w:val="39"/>
    <w:unhideWhenUsed/>
    <w:qFormat/>
    <w:pPr>
      <w:ind w:left="1417"/>
      <w:spacing w:after="57"/>
    </w:pPr>
  </w:style>
  <w:style w:type="paragraph" w:styleId="725">
    <w:name w:val="Body Text Indent 3"/>
    <w:basedOn w:val="695"/>
    <w:uiPriority w:val="0"/>
    <w:qFormat/>
    <w:pPr>
      <w:ind w:left="420"/>
      <w:spacing w:after="120"/>
    </w:pPr>
    <w:rPr>
      <w:sz w:val="16"/>
      <w:szCs w:val="16"/>
    </w:rPr>
  </w:style>
  <w:style w:type="paragraph" w:styleId="726">
    <w:name w:val="table of figures"/>
    <w:basedOn w:val="695"/>
    <w:next w:val="695"/>
    <w:uiPriority w:val="99"/>
    <w:unhideWhenUsed/>
    <w:qFormat/>
  </w:style>
  <w:style w:type="paragraph" w:styleId="727">
    <w:name w:val="toc 2"/>
    <w:basedOn w:val="695"/>
    <w:next w:val="695"/>
    <w:uiPriority w:val="0"/>
    <w:qFormat/>
    <w:pPr>
      <w:ind w:left="420"/>
    </w:pPr>
  </w:style>
  <w:style w:type="paragraph" w:styleId="728">
    <w:name w:val="toc 9"/>
    <w:basedOn w:val="695"/>
    <w:next w:val="695"/>
    <w:uiPriority w:val="39"/>
    <w:unhideWhenUsed/>
    <w:qFormat/>
    <w:pPr>
      <w:ind w:left="2268"/>
      <w:spacing w:after="57"/>
    </w:pPr>
  </w:style>
  <w:style w:type="paragraph" w:styleId="729">
    <w:name w:val="HTML Preformatted"/>
    <w:basedOn w:val="695"/>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730">
    <w:name w:val="Normal (Web)"/>
    <w:basedOn w:val="695"/>
    <w:uiPriority w:val="99"/>
    <w:unhideWhenUsed/>
    <w:qFormat/>
    <w:pPr>
      <w:jc w:val="left"/>
      <w:spacing w:before="100" w:beforeAutospacing="1" w:after="100" w:afterAutospacing="1"/>
      <w:widowControl/>
    </w:pPr>
    <w:rPr>
      <w:rFonts w:ascii="宋体" w:hAnsi="宋体" w:cs="宋体"/>
      <w:sz w:val="24"/>
    </w:rPr>
  </w:style>
  <w:style w:type="paragraph" w:styleId="731">
    <w:name w:val="Title"/>
    <w:basedOn w:val="695"/>
    <w:next w:val="695"/>
    <w:link w:val="752"/>
    <w:uiPriority w:val="10"/>
    <w:qFormat/>
    <w:pPr>
      <w:contextualSpacing/>
      <w:spacing w:before="300" w:after="200"/>
    </w:pPr>
    <w:rPr>
      <w:sz w:val="48"/>
      <w:szCs w:val="48"/>
    </w:rPr>
  </w:style>
  <w:style w:type="paragraph" w:styleId="732">
    <w:name w:val="Body Text First Indent"/>
    <w:basedOn w:val="707"/>
    <w:uiPriority w:val="99"/>
    <w:qFormat/>
    <w:pPr>
      <w:ind w:firstLine="200"/>
    </w:pPr>
    <w:rPr>
      <w:rFonts w:ascii="仿宋_GB2312" w:eastAsia="仿宋_GB2312"/>
      <w:sz w:val="30"/>
      <w:szCs w:val="30"/>
    </w:rPr>
  </w:style>
  <w:style w:type="table" w:styleId="733">
    <w:name w:val="Table Grid"/>
    <w:basedOn w:val="70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4">
    <w:name w:val="Strong"/>
    <w:basedOn w:val="705"/>
    <w:uiPriority w:val="0"/>
    <w:qFormat/>
    <w:rPr>
      <w:b/>
    </w:rPr>
  </w:style>
  <w:style w:type="character" w:styleId="735">
    <w:name w:val="endnote reference"/>
    <w:basedOn w:val="705"/>
    <w:uiPriority w:val="99"/>
    <w:semiHidden/>
    <w:unhideWhenUsed/>
    <w:qFormat/>
    <w:rPr>
      <w:vertAlign w:val="superscript"/>
    </w:rPr>
  </w:style>
  <w:style w:type="character" w:styleId="736">
    <w:name w:val="page number"/>
    <w:basedOn w:val="705"/>
    <w:uiPriority w:val="0"/>
    <w:qFormat/>
  </w:style>
  <w:style w:type="character" w:styleId="737">
    <w:name w:val="Emphasis"/>
    <w:basedOn w:val="705"/>
    <w:uiPriority w:val="20"/>
    <w:qFormat/>
    <w:rPr>
      <w:i/>
      <w:iCs/>
    </w:rPr>
  </w:style>
  <w:style w:type="character" w:styleId="738">
    <w:name w:val="Hyperlink"/>
    <w:basedOn w:val="705"/>
    <w:uiPriority w:val="0"/>
    <w:qFormat/>
    <w:rPr>
      <w:color w:val="0000ff"/>
      <w:u w:val="single"/>
    </w:rPr>
  </w:style>
  <w:style w:type="character" w:styleId="739">
    <w:name w:val="footnote reference"/>
    <w:basedOn w:val="705"/>
    <w:uiPriority w:val="99"/>
    <w:unhideWhenUsed/>
    <w:qFormat/>
    <w:rPr>
      <w:vertAlign w:val="superscript"/>
    </w:rPr>
  </w:style>
  <w:style w:type="paragraph" w:styleId="740" w:customStyle="1">
    <w:name w:val="目录 82"/>
    <w:next w:val="695"/>
    <w:uiPriority w:val="0"/>
    <w:qFormat/>
    <w:pPr>
      <w:ind w:left="2550"/>
      <w:jc w:val="both"/>
    </w:pPr>
    <w:rPr>
      <w:rFonts w:ascii="Times New Roman" w:hAnsi="Times New Roman" w:eastAsia="宋体" w:cs="Times New Roman"/>
      <w:sz w:val="21"/>
      <w:lang w:val="en-US" w:eastAsia="zh-CN" w:bidi="ar-SA"/>
    </w:rPr>
  </w:style>
  <w:style w:type="character" w:styleId="741" w:customStyle="1">
    <w:name w:val="标题 1 Char"/>
    <w:basedOn w:val="705"/>
    <w:link w:val="696"/>
    <w:uiPriority w:val="9"/>
    <w:qFormat/>
    <w:rPr>
      <w:rFonts w:ascii="Arial" w:hAnsi="Arial" w:eastAsia="Arial" w:cs="Arial"/>
      <w:sz w:val="40"/>
      <w:szCs w:val="40"/>
    </w:rPr>
  </w:style>
  <w:style w:type="character" w:styleId="742" w:customStyle="1">
    <w:name w:val="Heading 2 Char"/>
    <w:basedOn w:val="705"/>
    <w:uiPriority w:val="9"/>
    <w:qFormat/>
    <w:rPr>
      <w:rFonts w:ascii="Arial" w:hAnsi="Arial" w:eastAsia="Arial" w:cs="Arial"/>
      <w:sz w:val="34"/>
    </w:rPr>
  </w:style>
  <w:style w:type="character" w:styleId="743" w:customStyle="1">
    <w:name w:val="标题 3 Char"/>
    <w:basedOn w:val="705"/>
    <w:link w:val="698"/>
    <w:uiPriority w:val="9"/>
    <w:qFormat/>
    <w:rPr>
      <w:rFonts w:ascii="Arial" w:hAnsi="Arial" w:eastAsia="Arial" w:cs="Arial"/>
      <w:sz w:val="30"/>
      <w:szCs w:val="30"/>
    </w:rPr>
  </w:style>
  <w:style w:type="character" w:styleId="744" w:customStyle="1">
    <w:name w:val="Heading 4 Char"/>
    <w:basedOn w:val="705"/>
    <w:uiPriority w:val="9"/>
    <w:qFormat/>
    <w:rPr>
      <w:rFonts w:ascii="Arial" w:hAnsi="Arial" w:eastAsia="Arial" w:cs="Arial"/>
      <w:b/>
      <w:bCs/>
      <w:sz w:val="26"/>
      <w:szCs w:val="26"/>
    </w:rPr>
  </w:style>
  <w:style w:type="character" w:styleId="745" w:customStyle="1">
    <w:name w:val="标题 5 Char"/>
    <w:basedOn w:val="705"/>
    <w:link w:val="700"/>
    <w:uiPriority w:val="9"/>
    <w:qFormat/>
    <w:rPr>
      <w:rFonts w:ascii="Arial" w:hAnsi="Arial" w:eastAsia="Arial" w:cs="Arial"/>
      <w:b/>
      <w:bCs/>
      <w:sz w:val="24"/>
      <w:szCs w:val="24"/>
    </w:rPr>
  </w:style>
  <w:style w:type="character" w:styleId="746" w:customStyle="1">
    <w:name w:val="标题 6 Char"/>
    <w:basedOn w:val="705"/>
    <w:link w:val="701"/>
    <w:uiPriority w:val="9"/>
    <w:qFormat/>
    <w:rPr>
      <w:rFonts w:ascii="Arial" w:hAnsi="Arial" w:eastAsia="Arial" w:cs="Arial"/>
      <w:b/>
      <w:bCs/>
      <w:sz w:val="22"/>
      <w:szCs w:val="22"/>
    </w:rPr>
  </w:style>
  <w:style w:type="character" w:styleId="747" w:customStyle="1">
    <w:name w:val="标题 7 Char"/>
    <w:basedOn w:val="705"/>
    <w:link w:val="702"/>
    <w:uiPriority w:val="9"/>
    <w:qFormat/>
    <w:rPr>
      <w:rFonts w:ascii="Arial" w:hAnsi="Arial" w:eastAsia="Arial" w:cs="Arial"/>
      <w:b/>
      <w:bCs/>
      <w:i/>
      <w:iCs/>
      <w:sz w:val="22"/>
      <w:szCs w:val="22"/>
    </w:rPr>
  </w:style>
  <w:style w:type="character" w:styleId="748" w:customStyle="1">
    <w:name w:val="标题 8 Char"/>
    <w:basedOn w:val="705"/>
    <w:link w:val="703"/>
    <w:uiPriority w:val="9"/>
    <w:qFormat/>
    <w:rPr>
      <w:rFonts w:ascii="Arial" w:hAnsi="Arial" w:eastAsia="Arial" w:cs="Arial"/>
      <w:i/>
      <w:iCs/>
      <w:sz w:val="22"/>
      <w:szCs w:val="22"/>
    </w:rPr>
  </w:style>
  <w:style w:type="character" w:styleId="749" w:customStyle="1">
    <w:name w:val="标题 9 Char"/>
    <w:basedOn w:val="705"/>
    <w:link w:val="704"/>
    <w:uiPriority w:val="9"/>
    <w:qFormat/>
    <w:rPr>
      <w:rFonts w:ascii="Arial" w:hAnsi="Arial" w:eastAsia="Arial" w:cs="Arial"/>
      <w:i/>
      <w:iCs/>
      <w:sz w:val="21"/>
      <w:szCs w:val="21"/>
    </w:rPr>
  </w:style>
  <w:style w:type="paragraph" w:styleId="750">
    <w:name w:val="List Paragraph"/>
    <w:basedOn w:val="695"/>
    <w:uiPriority w:val="34"/>
    <w:qFormat/>
    <w:pPr>
      <w:contextualSpacing/>
      <w:ind w:left="720"/>
    </w:pPr>
  </w:style>
  <w:style w:type="paragraph" w:styleId="751">
    <w:name w:val="No Spacing"/>
    <w:uiPriority w:val="1"/>
    <w:qFormat/>
    <w:rPr>
      <w:rFonts w:ascii="Times New Roman" w:hAnsi="Times New Roman" w:eastAsia="宋体" w:cs="Times New Roman"/>
      <w:lang w:val="en-US" w:eastAsia="zh-CN" w:bidi="ar-SA"/>
    </w:rPr>
  </w:style>
  <w:style w:type="character" w:styleId="752" w:customStyle="1">
    <w:name w:val="标题 Char"/>
    <w:basedOn w:val="705"/>
    <w:link w:val="731"/>
    <w:uiPriority w:val="10"/>
    <w:qFormat/>
    <w:rPr>
      <w:sz w:val="48"/>
      <w:szCs w:val="48"/>
    </w:rPr>
  </w:style>
  <w:style w:type="character" w:styleId="753" w:customStyle="1">
    <w:name w:val="副标题 Char"/>
    <w:basedOn w:val="705"/>
    <w:link w:val="722"/>
    <w:uiPriority w:val="11"/>
    <w:qFormat/>
    <w:rPr>
      <w:sz w:val="24"/>
      <w:szCs w:val="24"/>
    </w:rPr>
  </w:style>
  <w:style w:type="paragraph" w:styleId="754">
    <w:name w:val="Quote"/>
    <w:basedOn w:val="695"/>
    <w:next w:val="695"/>
    <w:link w:val="755"/>
    <w:uiPriority w:val="29"/>
    <w:qFormat/>
    <w:pPr>
      <w:ind w:left="720" w:right="720"/>
    </w:pPr>
    <w:rPr>
      <w:i/>
    </w:rPr>
  </w:style>
  <w:style w:type="character" w:styleId="755" w:customStyle="1">
    <w:name w:val="引用 Char"/>
    <w:link w:val="754"/>
    <w:uiPriority w:val="29"/>
    <w:qFormat/>
    <w:rPr>
      <w:i/>
    </w:rPr>
  </w:style>
  <w:style w:type="paragraph" w:styleId="756">
    <w:name w:val="Intense Quote"/>
    <w:basedOn w:val="695"/>
    <w:next w:val="695"/>
    <w:link w:val="7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7" w:customStyle="1">
    <w:name w:val="明显引用 Char"/>
    <w:link w:val="756"/>
    <w:uiPriority w:val="30"/>
    <w:qFormat/>
    <w:rPr>
      <w:i/>
    </w:rPr>
  </w:style>
  <w:style w:type="character" w:styleId="758" w:customStyle="1">
    <w:name w:val="Header Char"/>
    <w:basedOn w:val="705"/>
    <w:uiPriority w:val="99"/>
    <w:qFormat/>
  </w:style>
  <w:style w:type="character" w:styleId="759" w:customStyle="1">
    <w:name w:val="Footer Char"/>
    <w:basedOn w:val="705"/>
    <w:uiPriority w:val="99"/>
    <w:qFormat/>
  </w:style>
  <w:style w:type="character" w:styleId="760" w:customStyle="1">
    <w:name w:val="Caption Char"/>
    <w:uiPriority w:val="99"/>
    <w:qFormat/>
  </w:style>
  <w:style w:type="table" w:styleId="761" w:customStyle="1">
    <w:name w:val="Table Grid Light"/>
    <w:basedOn w:val="70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2" w:customStyle="1">
    <w:name w:val="Plain Table 1"/>
    <w:basedOn w:val="70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2"/>
    <w:basedOn w:val="70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3"/>
    <w:basedOn w:val="70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customStyle="1">
    <w:name w:val="Plain Table 4"/>
    <w:basedOn w:val="70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customStyle="1">
    <w:name w:val="Plain Table 5"/>
    <w:basedOn w:val="70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7" w:customStyle="1">
    <w:name w:val="Grid Table 1 Light"/>
    <w:basedOn w:val="70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1"/>
    <w:basedOn w:val="706"/>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2"/>
    <w:basedOn w:val="706"/>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3"/>
    <w:basedOn w:val="706"/>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4"/>
    <w:basedOn w:val="706"/>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5"/>
    <w:basedOn w:val="706"/>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6"/>
    <w:basedOn w:val="706"/>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74" w:customStyle="1">
    <w:name w:val="Grid Table 2"/>
    <w:basedOn w:val="70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5" w:customStyle="1">
    <w:name w:val="Grid Table 2 - Accent 1"/>
    <w:basedOn w:val="706"/>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76" w:customStyle="1">
    <w:name w:val="Grid Table 2 - Accent 2"/>
    <w:basedOn w:val="706"/>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77" w:customStyle="1">
    <w:name w:val="Grid Table 2 - Accent 3"/>
    <w:basedOn w:val="706"/>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78" w:customStyle="1">
    <w:name w:val="Grid Table 2 - Accent 4"/>
    <w:basedOn w:val="706"/>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79" w:customStyle="1">
    <w:name w:val="Grid Table 2 - Accent 5"/>
    <w:basedOn w:val="706"/>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80" w:customStyle="1">
    <w:name w:val="Grid Table 2 - Accent 6"/>
    <w:basedOn w:val="706"/>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81" w:customStyle="1">
    <w:name w:val="Grid Table 3"/>
    <w:basedOn w:val="70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1"/>
    <w:basedOn w:val="706"/>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2"/>
    <w:basedOn w:val="706"/>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3"/>
    <w:basedOn w:val="706"/>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4"/>
    <w:basedOn w:val="706"/>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5"/>
    <w:basedOn w:val="706"/>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6"/>
    <w:basedOn w:val="706"/>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4"/>
    <w:basedOn w:val="70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customStyle="1">
    <w:name w:val="Grid Table 4 - Accent 1"/>
    <w:basedOn w:val="706"/>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90" w:customStyle="1">
    <w:name w:val="Grid Table 4 - Accent 2"/>
    <w:basedOn w:val="706"/>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91" w:customStyle="1">
    <w:name w:val="Grid Table 4 - Accent 3"/>
    <w:basedOn w:val="706"/>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92" w:customStyle="1">
    <w:name w:val="Grid Table 4 - Accent 4"/>
    <w:basedOn w:val="706"/>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93" w:customStyle="1">
    <w:name w:val="Grid Table 4 - Accent 5"/>
    <w:basedOn w:val="706"/>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94" w:customStyle="1">
    <w:name w:val="Grid Table 4 - Accent 6"/>
    <w:basedOn w:val="706"/>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95" w:customStyle="1">
    <w:name w:val="Grid Table 5 Dark"/>
    <w:basedOn w:val="7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6" w:customStyle="1">
    <w:name w:val="Grid Table 5 Dark- Accent 1"/>
    <w:basedOn w:val="7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97" w:customStyle="1">
    <w:name w:val="Grid Table 5 Dark - Accent 2"/>
    <w:basedOn w:val="7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98" w:customStyle="1">
    <w:name w:val="Grid Table 5 Dark - Accent 3"/>
    <w:basedOn w:val="7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99" w:customStyle="1">
    <w:name w:val="Grid Table 5 Dark- Accent 4"/>
    <w:basedOn w:val="7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00" w:customStyle="1">
    <w:name w:val="Grid Table 5 Dark - Accent 5"/>
    <w:basedOn w:val="7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01" w:customStyle="1">
    <w:name w:val="Grid Table 5 Dark - Accent 6"/>
    <w:basedOn w:val="7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02" w:customStyle="1">
    <w:name w:val="Grid Table 6 Colorful"/>
    <w:basedOn w:val="70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3" w:customStyle="1">
    <w:name w:val="Grid Table 6 Colorful - Accent 1"/>
    <w:basedOn w:val="706"/>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04" w:customStyle="1">
    <w:name w:val="Grid Table 6 Colorful - Accent 2"/>
    <w:basedOn w:val="706"/>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05" w:customStyle="1">
    <w:name w:val="Grid Table 6 Colorful - Accent 3"/>
    <w:basedOn w:val="706"/>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06" w:customStyle="1">
    <w:name w:val="Grid Table 6 Colorful - Accent 4"/>
    <w:basedOn w:val="706"/>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07" w:customStyle="1">
    <w:name w:val="Grid Table 6 Colorful - Accent 5"/>
    <w:basedOn w:val="706"/>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08" w:customStyle="1">
    <w:name w:val="Grid Table 6 Colorful - Accent 6"/>
    <w:basedOn w:val="706"/>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09" w:customStyle="1">
    <w:name w:val="Grid Table 7 Colorful"/>
    <w:basedOn w:val="70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0" w:customStyle="1">
    <w:name w:val="Grid Table 7 Colorful - Accent 1"/>
    <w:basedOn w:val="706"/>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11" w:customStyle="1">
    <w:name w:val="Grid Table 7 Colorful - Accent 2"/>
    <w:basedOn w:val="706"/>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12" w:customStyle="1">
    <w:name w:val="Grid Table 7 Colorful - Accent 3"/>
    <w:basedOn w:val="706"/>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13" w:customStyle="1">
    <w:name w:val="Grid Table 7 Colorful - Accent 4"/>
    <w:basedOn w:val="706"/>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14" w:customStyle="1">
    <w:name w:val="Grid Table 7 Colorful - Accent 5"/>
    <w:basedOn w:val="706"/>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15" w:customStyle="1">
    <w:name w:val="Grid Table 7 Colorful - Accent 6"/>
    <w:basedOn w:val="706"/>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16" w:customStyle="1">
    <w:name w:val="List Table 1 Light"/>
    <w:basedOn w:val="706"/>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customStyle="1">
    <w:name w:val="List Table 1 Light - Accent 1"/>
    <w:basedOn w:val="706"/>
    <w:uiPriority w:val="99"/>
    <w:qFormat/>
    <w:tblPr>
      <w:tblCellMar>
        <w:left w:w="108" w:type="dxa"/>
        <w:top w:w="0" w:type="dxa"/>
        <w:right w:w="108" w:type="dxa"/>
        <w:bottom w:w="0" w:type="dxa"/>
      </w:tblCellMa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18" w:customStyle="1">
    <w:name w:val="List Table 1 Light - Accent 2"/>
    <w:basedOn w:val="706"/>
    <w:uiPriority w:val="99"/>
    <w:qFormat/>
    <w:tblPr>
      <w:tblCellMar>
        <w:left w:w="108" w:type="dxa"/>
        <w:top w:w="0" w:type="dxa"/>
        <w:right w:w="108" w:type="dxa"/>
        <w:bottom w:w="0" w:type="dxa"/>
      </w:tblCellMa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19" w:customStyle="1">
    <w:name w:val="List Table 1 Light - Accent 3"/>
    <w:basedOn w:val="706"/>
    <w:uiPriority w:val="99"/>
    <w:qFormat/>
    <w:tblPr>
      <w:tblCellMar>
        <w:left w:w="108" w:type="dxa"/>
        <w:top w:w="0" w:type="dxa"/>
        <w:right w:w="108" w:type="dxa"/>
        <w:bottom w:w="0" w:type="dxa"/>
      </w:tblCellMa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20" w:customStyle="1">
    <w:name w:val="List Table 1 Light - Accent 4"/>
    <w:basedOn w:val="706"/>
    <w:uiPriority w:val="99"/>
    <w:qFormat/>
    <w:tblPr>
      <w:tblCellMar>
        <w:left w:w="108" w:type="dxa"/>
        <w:top w:w="0" w:type="dxa"/>
        <w:right w:w="108" w:type="dxa"/>
        <w:bottom w:w="0" w:type="dxa"/>
      </w:tblCellMa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21" w:customStyle="1">
    <w:name w:val="List Table 1 Light - Accent 5"/>
    <w:basedOn w:val="706"/>
    <w:uiPriority w:val="99"/>
    <w:qFormat/>
    <w:tblPr>
      <w:tblCellMar>
        <w:left w:w="108" w:type="dxa"/>
        <w:top w:w="0" w:type="dxa"/>
        <w:right w:w="108" w:type="dxa"/>
        <w:bottom w:w="0" w:type="dxa"/>
      </w:tblCellMa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22" w:customStyle="1">
    <w:name w:val="List Table 1 Light - Accent 6"/>
    <w:basedOn w:val="706"/>
    <w:uiPriority w:val="99"/>
    <w:qFormat/>
    <w:tblPr>
      <w:tblCellMar>
        <w:left w:w="108" w:type="dxa"/>
        <w:top w:w="0" w:type="dxa"/>
        <w:right w:w="108" w:type="dxa"/>
        <w:bottom w:w="0" w:type="dxa"/>
      </w:tblCellMa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23" w:customStyle="1">
    <w:name w:val="List Table 2"/>
    <w:basedOn w:val="70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4" w:customStyle="1">
    <w:name w:val="List Table 2 - Accent 1"/>
    <w:basedOn w:val="706"/>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25" w:customStyle="1">
    <w:name w:val="List Table 2 - Accent 2"/>
    <w:basedOn w:val="706"/>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26" w:customStyle="1">
    <w:name w:val="List Table 2 - Accent 3"/>
    <w:basedOn w:val="706"/>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27" w:customStyle="1">
    <w:name w:val="List Table 2 - Accent 4"/>
    <w:basedOn w:val="706"/>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28" w:customStyle="1">
    <w:name w:val="List Table 2 - Accent 5"/>
    <w:basedOn w:val="706"/>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29" w:customStyle="1">
    <w:name w:val="List Table 2 - Accent 6"/>
    <w:basedOn w:val="706"/>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30" w:customStyle="1">
    <w:name w:val="List Table 3"/>
    <w:basedOn w:val="70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3 - Accent 1"/>
    <w:basedOn w:val="706"/>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32" w:customStyle="1">
    <w:name w:val="List Table 3 - Accent 2"/>
    <w:basedOn w:val="706"/>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33" w:customStyle="1">
    <w:name w:val="List Table 3 - Accent 3"/>
    <w:basedOn w:val="706"/>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34" w:customStyle="1">
    <w:name w:val="List Table 3 - Accent 4"/>
    <w:basedOn w:val="706"/>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35" w:customStyle="1">
    <w:name w:val="List Table 3 - Accent 5"/>
    <w:basedOn w:val="706"/>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36" w:customStyle="1">
    <w:name w:val="List Table 3 - Accent 6"/>
    <w:basedOn w:val="706"/>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37" w:customStyle="1">
    <w:name w:val="List Table 4"/>
    <w:basedOn w:val="70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4 - Accent 1"/>
    <w:basedOn w:val="706"/>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39" w:customStyle="1">
    <w:name w:val="List Table 4 - Accent 2"/>
    <w:basedOn w:val="706"/>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40" w:customStyle="1">
    <w:name w:val="List Table 4 - Accent 3"/>
    <w:basedOn w:val="706"/>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41" w:customStyle="1">
    <w:name w:val="List Table 4 - Accent 4"/>
    <w:basedOn w:val="706"/>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42" w:customStyle="1">
    <w:name w:val="List Table 4 - Accent 5"/>
    <w:basedOn w:val="706"/>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43" w:customStyle="1">
    <w:name w:val="List Table 4 - Accent 6"/>
    <w:basedOn w:val="706"/>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44" w:customStyle="1">
    <w:name w:val="List Table 5 Dark"/>
    <w:basedOn w:val="70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1"/>
    <w:basedOn w:val="706"/>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CellMar>
        <w:left w:w="108" w:type="dxa"/>
        <w:top w:w="0" w:type="dxa"/>
        <w:right w:w="108" w:type="dxa"/>
        <w:bottom w:w="0" w:type="dxa"/>
      </w:tblCellMar>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2"/>
    <w:basedOn w:val="706"/>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CellMar>
        <w:left w:w="108" w:type="dxa"/>
        <w:top w:w="0" w:type="dxa"/>
        <w:right w:w="108" w:type="dxa"/>
        <w:bottom w:w="0" w:type="dxa"/>
      </w:tblCellMar>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3"/>
    <w:basedOn w:val="706"/>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CellMar>
        <w:left w:w="108" w:type="dxa"/>
        <w:top w:w="0" w:type="dxa"/>
        <w:right w:w="108" w:type="dxa"/>
        <w:bottom w:w="0" w:type="dxa"/>
      </w:tblCellMar>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4"/>
    <w:basedOn w:val="706"/>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CellMar>
        <w:left w:w="108" w:type="dxa"/>
        <w:top w:w="0" w:type="dxa"/>
        <w:right w:w="108" w:type="dxa"/>
        <w:bottom w:w="0" w:type="dxa"/>
      </w:tblCellMar>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5"/>
    <w:basedOn w:val="706"/>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CellMar>
        <w:left w:w="108" w:type="dxa"/>
        <w:top w:w="0" w:type="dxa"/>
        <w:right w:w="108" w:type="dxa"/>
        <w:bottom w:w="0" w:type="dxa"/>
      </w:tblCellMar>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6"/>
    <w:basedOn w:val="706"/>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CellMar>
        <w:left w:w="108" w:type="dxa"/>
        <w:top w:w="0" w:type="dxa"/>
        <w:right w:w="108" w:type="dxa"/>
        <w:bottom w:w="0" w:type="dxa"/>
      </w:tblCellMar>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6 Colorful"/>
    <w:basedOn w:val="70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2" w:customStyle="1">
    <w:name w:val="List Table 6 Colorful - Accent 1"/>
    <w:basedOn w:val="706"/>
    <w:uiPriority w:val="99"/>
    <w:qFormat/>
    <w:tblPr>
      <w:tblBorders>
        <w:top w:val="single" w:color="4874CB" w:themeColor="accent1" w:sz="4" w:space="0"/>
        <w:bottom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53" w:customStyle="1">
    <w:name w:val="List Table 6 Colorful - Accent 2"/>
    <w:basedOn w:val="706"/>
    <w:uiPriority w:val="99"/>
    <w:qFormat/>
    <w:tblPr>
      <w:tblBorders>
        <w:top w:val="single" w:color="F4B483" w:themeColor="accent2" w:themeTint="97" w:sz="4" w:space="0"/>
        <w:bottom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54" w:customStyle="1">
    <w:name w:val="List Table 6 Colorful - Accent 3"/>
    <w:basedOn w:val="706"/>
    <w:uiPriority w:val="99"/>
    <w:qFormat/>
    <w:tblPr>
      <w:tblBorders>
        <w:top w:val="single" w:color="FDD961" w:themeColor="accent3" w:themeTint="98" w:sz="4" w:space="0"/>
        <w:bottom w:val="single" w:color="FDD961" w:themeColor="accent3" w:themeTint="98" w:sz="4" w:space="0"/>
      </w:tblBorders>
      <w:tblCellMar>
        <w:left w:w="108" w:type="dxa"/>
        <w:top w:w="0" w:type="dxa"/>
        <w:right w:w="108" w:type="dxa"/>
        <w:bottom w:w="0" w:type="dxa"/>
      </w:tblCellMar>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55" w:customStyle="1">
    <w:name w:val="List Table 6 Colorful - Accent 4"/>
    <w:basedOn w:val="706"/>
    <w:uiPriority w:val="99"/>
    <w:qFormat/>
    <w:tblPr>
      <w:tblBorders>
        <w:top w:val="single" w:color="ABD78C" w:themeColor="accent4" w:themeTint="9A" w:sz="4" w:space="0"/>
        <w:bottom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56" w:customStyle="1">
    <w:name w:val="List Table 6 Colorful - Accent 5"/>
    <w:basedOn w:val="706"/>
    <w:uiPriority w:val="99"/>
    <w:qFormat/>
    <w:tblPr>
      <w:tblBorders>
        <w:top w:val="single" w:color="7CDED6" w:themeColor="accent5" w:themeTint="9A" w:sz="4" w:space="0"/>
        <w:bottom w:val="single" w:color="7CDED6" w:themeColor="accent5" w:themeTint="9A" w:sz="4" w:space="0"/>
      </w:tblBorders>
      <w:tblCellMar>
        <w:left w:w="108" w:type="dxa"/>
        <w:top w:w="0" w:type="dxa"/>
        <w:right w:w="108" w:type="dxa"/>
        <w:bottom w:w="0" w:type="dxa"/>
      </w:tblCellMar>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57" w:customStyle="1">
    <w:name w:val="List Table 6 Colorful - Accent 6"/>
    <w:basedOn w:val="706"/>
    <w:uiPriority w:val="99"/>
    <w:qFormat/>
    <w:tblPr>
      <w:tblBorders>
        <w:top w:val="single" w:color="EF949F" w:themeColor="accent6" w:themeTint="98" w:sz="4" w:space="0"/>
        <w:bottom w:val="single" w:color="EF949F" w:themeColor="accent6" w:themeTint="98" w:sz="4" w:space="0"/>
      </w:tblBorders>
      <w:tblCellMar>
        <w:left w:w="108" w:type="dxa"/>
        <w:top w:w="0" w:type="dxa"/>
        <w:right w:w="108" w:type="dxa"/>
        <w:bottom w:w="0" w:type="dxa"/>
      </w:tblCellMar>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58" w:customStyle="1">
    <w:name w:val="List Table 7 Colorful"/>
    <w:basedOn w:val="70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List Table 7 Colorful - Accent 1"/>
    <w:basedOn w:val="706"/>
    <w:uiPriority w:val="99"/>
    <w:qFormat/>
    <w:tblPr>
      <w:tblBorders>
        <w:right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60" w:customStyle="1">
    <w:name w:val="List Table 7 Colorful - Accent 2"/>
    <w:basedOn w:val="706"/>
    <w:uiPriority w:val="99"/>
    <w:qFormat/>
    <w:tblPr>
      <w:tblBorders>
        <w:right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61" w:customStyle="1">
    <w:name w:val="List Table 7 Colorful - Accent 3"/>
    <w:basedOn w:val="706"/>
    <w:uiPriority w:val="99"/>
    <w:qFormat/>
    <w:tblPr>
      <w:tblBorders>
        <w:right w:val="single" w:color="FDD961" w:themeColor="accent3" w:themeTint="98" w:sz="4" w:space="0"/>
      </w:tblBorders>
      <w:tblCellMar>
        <w:left w:w="108" w:type="dxa"/>
        <w:top w:w="0" w:type="dxa"/>
        <w:right w:w="108" w:type="dxa"/>
        <w:bottom w:w="0" w:type="dxa"/>
      </w:tblCellMar>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62" w:customStyle="1">
    <w:name w:val="List Table 7 Colorful - Accent 4"/>
    <w:basedOn w:val="706"/>
    <w:uiPriority w:val="99"/>
    <w:qFormat/>
    <w:tblPr>
      <w:tblBorders>
        <w:right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63" w:customStyle="1">
    <w:name w:val="List Table 7 Colorful - Accent 5"/>
    <w:basedOn w:val="706"/>
    <w:uiPriority w:val="99"/>
    <w:qFormat/>
    <w:tblPr>
      <w:tblBorders>
        <w:right w:val="single" w:color="7CDED6" w:themeColor="accent5" w:themeTint="9A" w:sz="4" w:space="0"/>
      </w:tblBorders>
      <w:tblCellMar>
        <w:left w:w="108" w:type="dxa"/>
        <w:top w:w="0" w:type="dxa"/>
        <w:right w:w="108" w:type="dxa"/>
        <w:bottom w:w="0" w:type="dxa"/>
      </w:tblCellMar>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64" w:customStyle="1">
    <w:name w:val="List Table 7 Colorful - Accent 6"/>
    <w:basedOn w:val="706"/>
    <w:uiPriority w:val="99"/>
    <w:qFormat/>
    <w:tblPr>
      <w:tblBorders>
        <w:right w:val="single" w:color="EF949F" w:themeColor="accent6" w:themeTint="98" w:sz="4" w:space="0"/>
      </w:tblBorders>
      <w:tblCellMar>
        <w:left w:w="108" w:type="dxa"/>
        <w:top w:w="0" w:type="dxa"/>
        <w:right w:w="108" w:type="dxa"/>
        <w:bottom w:w="0" w:type="dxa"/>
      </w:tblCellMar>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65" w:customStyle="1">
    <w:name w:val="Lined - Accent"/>
    <w:basedOn w:val="70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6" w:customStyle="1">
    <w:name w:val="Lined - Accent 1"/>
    <w:basedOn w:val="70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67" w:customStyle="1">
    <w:name w:val="Lined - Accent 2"/>
    <w:basedOn w:val="70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68" w:customStyle="1">
    <w:name w:val="Lined - Accent 3"/>
    <w:basedOn w:val="70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69" w:customStyle="1">
    <w:name w:val="Lined - Accent 4"/>
    <w:basedOn w:val="70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70" w:customStyle="1">
    <w:name w:val="Lined - Accent 5"/>
    <w:basedOn w:val="70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71" w:customStyle="1">
    <w:name w:val="Lined - Accent 6"/>
    <w:basedOn w:val="70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72" w:customStyle="1">
    <w:name w:val="Bordered &amp; Lined - Accent"/>
    <w:basedOn w:val="70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3" w:customStyle="1">
    <w:name w:val="Bordered &amp; Lined - Accent 1"/>
    <w:basedOn w:val="706"/>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74" w:customStyle="1">
    <w:name w:val="Bordered &amp; Lined - Accent 2"/>
    <w:basedOn w:val="706"/>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75" w:customStyle="1">
    <w:name w:val="Bordered &amp; Lined - Accent 3"/>
    <w:basedOn w:val="706"/>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76" w:customStyle="1">
    <w:name w:val="Bordered &amp; Lined - Accent 4"/>
    <w:basedOn w:val="706"/>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77" w:customStyle="1">
    <w:name w:val="Bordered &amp; Lined - Accent 5"/>
    <w:basedOn w:val="706"/>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78" w:customStyle="1">
    <w:name w:val="Bordered &amp; Lined - Accent 6"/>
    <w:basedOn w:val="706"/>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79" w:customStyle="1">
    <w:name w:val="Bordered"/>
    <w:basedOn w:val="70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0" w:customStyle="1">
    <w:name w:val="Bordered - Accent 1"/>
    <w:basedOn w:val="706"/>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81" w:customStyle="1">
    <w:name w:val="Bordered - Accent 2"/>
    <w:basedOn w:val="706"/>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82" w:customStyle="1">
    <w:name w:val="Bordered - Accent 3"/>
    <w:basedOn w:val="706"/>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83" w:customStyle="1">
    <w:name w:val="Bordered - Accent 4"/>
    <w:basedOn w:val="706"/>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84" w:customStyle="1">
    <w:name w:val="Bordered - Accent 5"/>
    <w:basedOn w:val="706"/>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85" w:customStyle="1">
    <w:name w:val="Bordered - Accent 6"/>
    <w:basedOn w:val="706"/>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86" w:customStyle="1">
    <w:name w:val="脚注文本 Char"/>
    <w:link w:val="723"/>
    <w:uiPriority w:val="99"/>
    <w:qFormat/>
    <w:rPr>
      <w:sz w:val="18"/>
    </w:rPr>
  </w:style>
  <w:style w:type="character" w:styleId="887" w:customStyle="1">
    <w:name w:val="尾注文本 Char"/>
    <w:link w:val="717"/>
    <w:uiPriority w:val="99"/>
    <w:qFormat/>
    <w:rPr>
      <w:sz w:val="20"/>
    </w:rPr>
  </w:style>
  <w:style w:type="paragraph" w:styleId="888" w:customStyle="1">
    <w:name w:val="TOC 标题1"/>
    <w:uiPriority w:val="39"/>
    <w:unhideWhenUsed/>
    <w:qFormat/>
    <w:rPr>
      <w:rFonts w:ascii="Times New Roman" w:hAnsi="Times New Roman" w:eastAsia="宋体" w:cs="Times New Roman"/>
      <w:lang w:val="en-US" w:eastAsia="zh-CN" w:bidi="ar-SA"/>
    </w:rPr>
  </w:style>
  <w:style w:type="paragraph" w:styleId="889" w:customStyle="1">
    <w:name w:val="style4"/>
    <w:basedOn w:val="695"/>
    <w:next w:val="890"/>
    <w:uiPriority w:val="0"/>
    <w:qFormat/>
    <w:pPr>
      <w:jc w:val="left"/>
      <w:spacing w:before="100" w:beforeAutospacing="1" w:after="100" w:afterAutospacing="1"/>
      <w:widowControl/>
    </w:pPr>
    <w:rPr>
      <w:rFonts w:ascii="Arial Unicode MS" w:hAnsi="Arial Unicode MS" w:eastAsia="Arial Unicode MS" w:cs="Arial Unicode MS"/>
      <w:color w:val="0000ff"/>
      <w:sz w:val="20"/>
    </w:rPr>
  </w:style>
  <w:style w:type="paragraph" w:styleId="890" w:customStyle="1">
    <w:name w:val="2"/>
    <w:next w:val="695"/>
    <w:uiPriority w:val="99"/>
    <w:qFormat/>
    <w:pPr>
      <w:jc w:val="both"/>
      <w:widowControl w:val="off"/>
    </w:pPr>
    <w:rPr>
      <w:rFonts w:ascii="Times New Roman" w:hAnsi="Times New Roman" w:eastAsia="宋体" w:cs="Times New Roman"/>
      <w:sz w:val="21"/>
      <w:szCs w:val="21"/>
      <w:lang w:val="en-US" w:eastAsia="zh-CN" w:bidi="ar-SA"/>
    </w:rPr>
  </w:style>
  <w:style w:type="paragraph" w:styleId="891" w:customStyle="1">
    <w:name w:val="普通正文"/>
    <w:basedOn w:val="695"/>
    <w:uiPriority w:val="0"/>
    <w:qFormat/>
    <w:pPr>
      <w:ind w:firstLine="480"/>
      <w:jc w:val="left"/>
      <w:spacing w:before="120" w:after="120" w:line="360" w:lineRule="auto"/>
    </w:pPr>
    <w:rPr>
      <w:rFonts w:ascii="Arial" w:hAnsi="Arial"/>
      <w:sz w:val="24"/>
    </w:rPr>
  </w:style>
  <w:style w:type="paragraph" w:styleId="892" w:customStyle="1">
    <w:name w:val="*正文"/>
    <w:basedOn w:val="695"/>
    <w:uiPriority w:val="99"/>
    <w:qFormat/>
    <w:pPr>
      <w:ind w:firstLine="482"/>
      <w:spacing w:line="360" w:lineRule="auto"/>
    </w:pPr>
    <w:rPr>
      <w:rFonts w:eastAsia="仿宋_GB2312"/>
      <w:sz w:val="28"/>
    </w:rPr>
  </w:style>
  <w:style w:type="character" w:styleId="893" w:customStyle="1">
    <w:name w:val="font11"/>
    <w:basedOn w:val="705"/>
    <w:uiPriority w:val="0"/>
    <w:qFormat/>
    <w:rPr>
      <w:rFonts w:hint="eastAsia" w:ascii="方正仿宋_GB2312" w:hAnsi="方正仿宋_GB2312" w:eastAsia="方正仿宋_GB2312" w:cs="方正仿宋_GB2312"/>
      <w:color w:val="000000"/>
      <w:sz w:val="20"/>
      <w:szCs w:val="20"/>
      <w:u w:val="none"/>
    </w:rPr>
  </w:style>
  <w:style w:type="character" w:styleId="894" w:customStyle="1">
    <w:name w:val="font61"/>
    <w:basedOn w:val="705"/>
    <w:uiPriority w:val="0"/>
    <w:qFormat/>
    <w:rPr>
      <w:rFonts w:hint="eastAsia" w:ascii="方正仿宋_GB2312" w:hAnsi="方正仿宋_GB2312" w:eastAsia="方正仿宋_GB2312" w:cs="方正仿宋_GB2312"/>
      <w:color w:val="000000"/>
      <w:sz w:val="20"/>
      <w:szCs w:val="20"/>
      <w:u w:val="none"/>
    </w:rPr>
  </w:style>
  <w:style w:type="character" w:styleId="895" w:customStyle="1">
    <w:name w:val="font71"/>
    <w:basedOn w:val="705"/>
    <w:uiPriority w:val="0"/>
    <w:qFormat/>
    <w:rPr>
      <w:rFonts w:hint="default" w:ascii="Times New Roman" w:hAnsi="Times New Roman" w:cs="Times New Roman"/>
      <w:color w:val="000000"/>
      <w:sz w:val="20"/>
      <w:szCs w:val="20"/>
      <w:u w:val="none"/>
    </w:rPr>
  </w:style>
  <w:style w:type="paragraph" w:styleId="896" w:customStyle="1">
    <w:name w:val="首行缩进"/>
    <w:basedOn w:val="695"/>
    <w:uiPriority w:val="0"/>
    <w:qFormat/>
    <w:pPr>
      <w:ind w:firstLine="480"/>
      <w:jc w:val="left"/>
    </w:pPr>
    <w:rPr>
      <w:rFonts w:ascii="宋体" w:hAnsi="宋体"/>
    </w:rPr>
  </w:style>
  <w:style w:type="paragraph" w:styleId="897" w:customStyle="1">
    <w:name w:val="Char1"/>
    <w:basedOn w:val="695"/>
    <w:uiPriority w:val="0"/>
    <w:qFormat/>
    <w:pPr>
      <w:tabs>
        <w:tab w:val="left" w:pos="360" w:leader="none"/>
      </w:tabs>
    </w:pPr>
    <w:rPr>
      <w:color w:val="000000"/>
      <w:sz w:val="24"/>
    </w:rPr>
  </w:style>
  <w:style w:type="paragraph" w:styleId="898" w:customStyle="1">
    <w:name w:val="正文1"/>
    <w:basedOn w:val="695"/>
    <w:uiPriority w:val="0"/>
    <w:qFormat/>
    <w:pPr>
      <w:ind w:firstLine="361"/>
      <w:spacing w:line="360" w:lineRule="auto"/>
    </w:pPr>
    <w:rPr>
      <w:rFonts w:ascii="宋体" w:hAnsi="宋体" w:eastAsia="仿宋_GB2312"/>
    </w:rPr>
  </w:style>
  <w:style w:type="paragraph" w:styleId="899" w:customStyle="1">
    <w:name w:val="正文文本111"/>
    <w:basedOn w:val="695"/>
    <w:next w:val="695"/>
    <w:uiPriority w:val="0"/>
    <w:qFormat/>
    <w:pPr>
      <w:spacing w:after="120"/>
    </w:pPr>
    <w:rPr>
      <w:sz w:val="28"/>
    </w:rPr>
  </w:style>
  <w:style w:type="character" w:styleId="900" w:customStyle="1">
    <w:name w:val="NormalCharacter"/>
    <w:uiPriority w:val="0"/>
    <w:qFormat/>
  </w:style>
  <w:style w:type="paragraph" w:styleId="901" w:customStyle="1">
    <w:name w:val="Table Text"/>
    <w:basedOn w:val="695"/>
    <w:uiPriority w:val="0"/>
    <w:semiHidden/>
    <w:qFormat/>
    <w:rPr>
      <w:rFonts w:ascii="宋体" w:hAnsi="宋体" w:cs="宋体"/>
      <w:sz w:val="27"/>
      <w:szCs w:val="27"/>
      <w:lang w:eastAsia="en-US"/>
    </w:rPr>
  </w:style>
  <w:style w:type="table" w:styleId="902" w:customStyle="1">
    <w:name w:val="Table Normal"/>
    <w:uiPriority w:val="0"/>
    <w:semiHidden/>
    <w:unhideWhenUsed/>
    <w:qFormat/>
    <w:tblPr>
      <w:tblCellMar>
        <w:left w:w="0" w:type="dxa"/>
        <w:top w:w="0" w:type="dxa"/>
        <w:right w:w="0" w:type="dxa"/>
        <w:bottom w:w="0" w:type="dxa"/>
      </w:tblCellMar>
    </w:tblPr>
  </w:style>
  <w:style w:type="numbering" w:styleId="9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宗海燕</cp:lastModifiedBy>
  <cp:revision>7</cp:revision>
  <dcterms:created xsi:type="dcterms:W3CDTF">2026-07-22T23:26:00Z</dcterms:created>
  <dcterms:modified xsi:type="dcterms:W3CDTF">2026-08-07T10:47:27Z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F1F5063825AD43409E1C28A4870109C1_13</vt:lpwstr>
  </property>
  <property fmtid="{D5CDD505-2E9C-101B-9397-08002B2CF9AE}" pid="4" name="KSOTemplateDocerSaveRecord">
    <vt:lpwstr>eyJoZGlkIjoiZTdlNmQ0ZmU4N2Y0NjJlOGZkMDg1ODcyYzU5ZGI5YmYiLCJ1c2VySWQiOiIxMDMxNTEzNjU1In0=</vt:lpwstr>
  </property>
</Properties>
</file>