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F31E1">
      <w:pPr>
        <w:pageBreakBefore w:val="0"/>
        <w:widowControl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b/>
          <w:color w:val="000000" w:themeColor="text1"/>
          <w:kern w:val="0"/>
          <w:sz w:val="30"/>
          <w:szCs w:val="21"/>
          <w:lang w:eastAsia="zh-CN"/>
          <w14:textFill>
            <w14:solidFill>
              <w14:schemeClr w14:val="tx1"/>
            </w14:solidFill>
          </w14:textFill>
        </w:rPr>
      </w:pPr>
      <w:bookmarkStart w:id="0" w:name="_Toc155086567"/>
      <w:r>
        <w:rPr>
          <w:rFonts w:hint="eastAsia" w:ascii="宋体" w:hAnsi="宋体" w:eastAsia="宋体" w:cs="宋体"/>
          <w:b/>
          <w:color w:val="000000" w:themeColor="text1"/>
          <w:kern w:val="0"/>
          <w:sz w:val="30"/>
          <w:szCs w:val="21"/>
          <w14:textFill>
            <w14:solidFill>
              <w14:schemeClr w14:val="tx1"/>
            </w14:solidFill>
          </w14:textFill>
        </w:rPr>
        <w:t>宿迁学院智能建造专业建设项目</w:t>
      </w:r>
      <w:r>
        <w:rPr>
          <w:rFonts w:hint="eastAsia" w:ascii="宋体" w:hAnsi="宋体" w:eastAsia="宋体" w:cs="宋体"/>
          <w:b/>
          <w:color w:val="000000" w:themeColor="text1"/>
          <w:kern w:val="0"/>
          <w:sz w:val="30"/>
          <w:szCs w:val="21"/>
          <w:lang w:eastAsia="zh-CN"/>
          <w14:textFill>
            <w14:solidFill>
              <w14:schemeClr w14:val="tx1"/>
            </w14:solidFill>
          </w14:textFill>
        </w:rPr>
        <w:t>（采购包4）</w:t>
      </w:r>
    </w:p>
    <w:p w14:paraId="7D082CB2">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b/>
          <w:bCs/>
          <w:color w:val="000000" w:themeColor="text1"/>
          <w:kern w:val="0"/>
          <w:sz w:val="30"/>
          <w:szCs w:val="20"/>
          <w14:textFill>
            <w14:solidFill>
              <w14:schemeClr w14:val="tx1"/>
            </w14:solidFill>
          </w14:textFill>
        </w:rPr>
      </w:pPr>
      <w:r>
        <w:rPr>
          <w:rFonts w:hint="eastAsia" w:ascii="宋体" w:hAnsi="宋体" w:eastAsia="宋体" w:cs="宋体"/>
          <w:b/>
          <w:color w:val="000000" w:themeColor="text1"/>
          <w:kern w:val="0"/>
          <w:sz w:val="30"/>
          <w:szCs w:val="21"/>
          <w14:textFill>
            <w14:solidFill>
              <w14:schemeClr w14:val="tx1"/>
            </w14:solidFill>
          </w14:textFill>
        </w:rPr>
        <w:t>政府采购合同</w:t>
      </w:r>
      <w:bookmarkEnd w:id="0"/>
    </w:p>
    <w:p w14:paraId="3DA7B4B5">
      <w:pPr>
        <w:pageBreakBefore w:val="0"/>
        <w:widowControl w:val="0"/>
        <w:kinsoku/>
        <w:wordWrap/>
        <w:overflowPunct/>
        <w:topLinePunct w:val="0"/>
        <w:autoSpaceDE/>
        <w:autoSpaceDN/>
        <w:bidi w:val="0"/>
        <w:spacing w:line="360" w:lineRule="auto"/>
        <w:ind w:firstLine="0" w:firstLineChars="0"/>
        <w:textAlignment w:val="auto"/>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项目名称：</w:t>
      </w:r>
      <w:r>
        <w:rPr>
          <w:rFonts w:hint="eastAsia" w:ascii="宋体" w:hAnsi="宋体" w:eastAsia="宋体" w:cs="宋体"/>
          <w:color w:val="000000" w:themeColor="text1"/>
          <w:kern w:val="0"/>
          <w:sz w:val="24"/>
          <w:lang w:eastAsia="zh-CN"/>
          <w14:textFill>
            <w14:solidFill>
              <w14:schemeClr w14:val="tx1"/>
            </w14:solidFill>
          </w14:textFill>
        </w:rPr>
        <w:t>宿迁学院智能建造专业建设项目</w:t>
      </w:r>
    </w:p>
    <w:p w14:paraId="65CC49F6">
      <w:pPr>
        <w:pageBreakBefore w:val="0"/>
        <w:widowControl w:val="0"/>
        <w:kinsoku/>
        <w:wordWrap/>
        <w:overflowPunct/>
        <w:topLinePunct w:val="0"/>
        <w:autoSpaceDE/>
        <w:autoSpaceDN/>
        <w:bidi w:val="0"/>
        <w:spacing w:line="360" w:lineRule="auto"/>
        <w:ind w:firstLine="0" w:firstLineChars="0"/>
        <w:textAlignment w:val="auto"/>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项目编号：</w:t>
      </w:r>
      <w:r>
        <w:rPr>
          <w:rFonts w:hint="eastAsia" w:ascii="宋体" w:hAnsi="宋体" w:eastAsia="宋体" w:cs="宋体"/>
          <w:color w:val="000000" w:themeColor="text1"/>
          <w:kern w:val="0"/>
          <w:sz w:val="24"/>
          <w:lang w:eastAsia="zh-CN"/>
          <w14:textFill>
            <w14:solidFill>
              <w14:schemeClr w14:val="tx1"/>
            </w14:solidFill>
          </w14:textFill>
        </w:rPr>
        <w:t>JSZC-321300-JING-G2026-0023</w:t>
      </w:r>
    </w:p>
    <w:p w14:paraId="693E43C6">
      <w:pPr>
        <w:pageBreakBefore w:val="0"/>
        <w:widowControl w:val="0"/>
        <w:kinsoku/>
        <w:wordWrap/>
        <w:overflowPunct/>
        <w:topLinePunct w:val="0"/>
        <w:autoSpaceDE/>
        <w:autoSpaceDN/>
        <w:bidi w:val="0"/>
        <w:spacing w:line="360" w:lineRule="auto"/>
        <w:ind w:firstLine="0" w:firstLineChars="0"/>
        <w:textAlignment w:val="auto"/>
        <w:rPr>
          <w:rFonts w:hint="default"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采购包号：</w:t>
      </w:r>
      <w:r>
        <w:rPr>
          <w:rFonts w:hint="eastAsia" w:ascii="宋体" w:hAnsi="宋体" w:eastAsia="宋体" w:cs="宋体"/>
          <w:color w:val="000000" w:themeColor="text1"/>
          <w:kern w:val="0"/>
          <w:sz w:val="24"/>
          <w:u w:val="single"/>
          <w:lang w:val="en-US" w:eastAsia="zh-CN"/>
          <w14:textFill>
            <w14:solidFill>
              <w14:schemeClr w14:val="tx1"/>
            </w14:solidFill>
          </w14:textFill>
        </w:rPr>
        <w:t>采购包4</w:t>
      </w:r>
    </w:p>
    <w:p w14:paraId="14BAE1DE">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甲方：（买方）</w:t>
      </w:r>
      <w:r>
        <w:rPr>
          <w:rFonts w:hint="eastAsia" w:ascii="宋体" w:hAnsi="宋体" w:eastAsia="宋体" w:cs="宋体"/>
          <w:color w:val="000000" w:themeColor="text1"/>
          <w:kern w:val="0"/>
          <w:sz w:val="24"/>
          <w:u w:val="single"/>
          <w14:textFill>
            <w14:solidFill>
              <w14:schemeClr w14:val="tx1"/>
            </w14:solidFill>
          </w14:textFill>
        </w:rPr>
        <w:t>宿迁学院</w:t>
      </w:r>
    </w:p>
    <w:p w14:paraId="6077BA71">
      <w:pPr>
        <w:pageBreakBefore w:val="0"/>
        <w:widowControl w:val="0"/>
        <w:kinsoku/>
        <w:wordWrap/>
        <w:overflowPunct/>
        <w:topLinePunct w:val="0"/>
        <w:autoSpaceDE/>
        <w:autoSpaceDN/>
        <w:bidi w:val="0"/>
        <w:spacing w:line="360" w:lineRule="auto"/>
        <w:ind w:firstLine="0" w:firstLineChars="0"/>
        <w:textAlignment w:val="auto"/>
        <w:rPr>
          <w:rFonts w:hint="eastAsia" w:ascii="宋体" w:hAnsi="宋体" w:eastAsia="宋体" w:cs="宋体"/>
          <w:color w:val="000000" w:themeColor="text1"/>
          <w:kern w:val="0"/>
          <w:sz w:val="24"/>
          <w:u w:val="single"/>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乙方：（卖方）</w:t>
      </w:r>
      <w:r>
        <w:rPr>
          <w:rFonts w:hint="eastAsia" w:ascii="宋体" w:hAnsi="宋体" w:eastAsia="宋体" w:cs="宋体"/>
          <w:color w:val="000000" w:themeColor="text1"/>
          <w:kern w:val="0"/>
          <w:sz w:val="24"/>
          <w:u w:val="single"/>
          <w:lang w:eastAsia="zh-CN"/>
          <w14:textFill>
            <w14:solidFill>
              <w14:schemeClr w14:val="tx1"/>
            </w14:solidFill>
          </w14:textFill>
        </w:rPr>
        <w:t>广联达科技股份有限公司</w:t>
      </w:r>
    </w:p>
    <w:p w14:paraId="6C38751D">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kern w:val="0"/>
          <w:sz w:val="24"/>
          <w:szCs w:val="21"/>
          <w14:textFill>
            <w14:solidFill>
              <w14:schemeClr w14:val="tx1"/>
            </w14:solidFill>
          </w14:textFill>
        </w:rPr>
      </w:pPr>
      <w:r>
        <w:rPr>
          <w:rFonts w:hint="eastAsia" w:ascii="宋体" w:hAnsi="宋体" w:eastAsia="宋体" w:cs="宋体"/>
          <w:color w:val="000000" w:themeColor="text1"/>
          <w:kern w:val="0"/>
          <w:sz w:val="24"/>
          <w:szCs w:val="21"/>
          <w14:textFill>
            <w14:solidFill>
              <w14:schemeClr w14:val="tx1"/>
            </w14:solidFill>
          </w14:textFill>
        </w:rPr>
        <w:t>依照《中华人民共和国政府采购法》《中华人民共和国民法典》及其他有关法律、行政法规，遵循平等、自愿、公平和诚实信用的原则，双方就</w:t>
      </w:r>
      <w:r>
        <w:rPr>
          <w:rFonts w:hint="eastAsia" w:ascii="宋体" w:hAnsi="宋体" w:eastAsia="宋体" w:cs="宋体"/>
          <w:bCs/>
          <w:color w:val="000000" w:themeColor="text1"/>
          <w:kern w:val="0"/>
          <w:sz w:val="24"/>
          <w:szCs w:val="21"/>
          <w14:textFill>
            <w14:solidFill>
              <w14:schemeClr w14:val="tx1"/>
            </w14:solidFill>
          </w14:textFill>
        </w:rPr>
        <w:t>相关</w:t>
      </w:r>
      <w:r>
        <w:rPr>
          <w:rFonts w:hint="eastAsia" w:ascii="宋体" w:hAnsi="宋体" w:eastAsia="宋体" w:cs="宋体"/>
          <w:color w:val="000000" w:themeColor="text1"/>
          <w:kern w:val="0"/>
          <w:sz w:val="24"/>
          <w:szCs w:val="21"/>
          <w14:textFill>
            <w14:solidFill>
              <w14:schemeClr w14:val="tx1"/>
            </w14:solidFill>
          </w14:textFill>
        </w:rPr>
        <w:t>事项协商一致，达成如下合同条款：</w:t>
      </w:r>
    </w:p>
    <w:p w14:paraId="4CF1C13C">
      <w:pPr>
        <w:pageBreakBefore w:val="0"/>
        <w:widowControl w:val="0"/>
        <w:numPr>
          <w:ilvl w:val="0"/>
          <w:numId w:val="1"/>
        </w:numPr>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乙方向甲方提供总价值为</w:t>
      </w:r>
      <w:r>
        <w:rPr>
          <w:rFonts w:hint="eastAsia" w:ascii="宋体" w:hAnsi="宋体" w:eastAsia="宋体" w:cs="宋体"/>
          <w:b/>
          <w:color w:val="000000" w:themeColor="text1"/>
          <w:sz w:val="24"/>
          <w:szCs w:val="21"/>
          <w:u w:val="single"/>
          <w:lang w:val="en-US" w:eastAsia="zh-CN"/>
          <w14:textFill>
            <w14:solidFill>
              <w14:schemeClr w14:val="tx1"/>
            </w14:solidFill>
          </w14:textFill>
        </w:rPr>
        <w:t>伍万贰仟元整</w:t>
      </w:r>
      <w:r>
        <w:rPr>
          <w:rFonts w:hint="eastAsia" w:ascii="宋体" w:hAnsi="宋体" w:eastAsia="宋体" w:cs="宋体"/>
          <w:b/>
          <w:color w:val="000000" w:themeColor="text1"/>
          <w:sz w:val="24"/>
          <w:szCs w:val="21"/>
          <w:u w:val="single"/>
          <w14:textFill>
            <w14:solidFill>
              <w14:schemeClr w14:val="tx1"/>
            </w14:solidFill>
          </w14:textFill>
        </w:rPr>
        <w:t>（</w:t>
      </w:r>
      <w:r>
        <w:rPr>
          <w:rFonts w:hint="eastAsia" w:ascii="宋体" w:hAnsi="宋体" w:eastAsia="宋体" w:cs="宋体"/>
          <w:b/>
          <w:color w:val="000000" w:themeColor="text1"/>
          <w:sz w:val="24"/>
          <w:szCs w:val="21"/>
          <w:u w:val="single"/>
          <w:lang w:val="en-US" w:eastAsia="zh-CN"/>
          <w14:textFill>
            <w14:solidFill>
              <w14:schemeClr w14:val="tx1"/>
            </w14:solidFill>
          </w14:textFill>
        </w:rPr>
        <w:t>¥：52000.00</w:t>
      </w:r>
      <w:r>
        <w:rPr>
          <w:rFonts w:hint="eastAsia" w:ascii="宋体" w:hAnsi="宋体" w:eastAsia="宋体" w:cs="宋体"/>
          <w:b/>
          <w:color w:val="000000" w:themeColor="text1"/>
          <w:sz w:val="24"/>
          <w:szCs w:val="21"/>
          <w14:textFill>
            <w14:solidFill>
              <w14:schemeClr w14:val="tx1"/>
            </w14:solidFill>
          </w14:textFill>
        </w:rPr>
        <w:t>元）的标的货物</w:t>
      </w:r>
    </w:p>
    <w:p w14:paraId="718F039E">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标的清单</w:t>
      </w:r>
    </w:p>
    <w:tbl>
      <w:tblPr>
        <w:tblStyle w:val="2"/>
        <w:tblW w:w="9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759"/>
        <w:gridCol w:w="1082"/>
        <w:gridCol w:w="1659"/>
        <w:gridCol w:w="895"/>
        <w:gridCol w:w="895"/>
        <w:gridCol w:w="1500"/>
        <w:gridCol w:w="1260"/>
      </w:tblGrid>
      <w:tr w14:paraId="3F80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09" w:hRule="atLeast"/>
          <w:jc w:val="center"/>
        </w:trPr>
        <w:tc>
          <w:tcPr>
            <w:tcW w:w="847" w:type="dxa"/>
            <w:vAlign w:val="center"/>
          </w:tcPr>
          <w:p w14:paraId="4C081714">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序号</w:t>
            </w:r>
          </w:p>
        </w:tc>
        <w:tc>
          <w:tcPr>
            <w:tcW w:w="1759" w:type="dxa"/>
            <w:vAlign w:val="center"/>
          </w:tcPr>
          <w:p w14:paraId="6D6A2C9C">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w:t>
            </w:r>
          </w:p>
        </w:tc>
        <w:tc>
          <w:tcPr>
            <w:tcW w:w="1082" w:type="dxa"/>
            <w:vAlign w:val="center"/>
          </w:tcPr>
          <w:p w14:paraId="1D3E4E6A">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w:t>
            </w:r>
          </w:p>
        </w:tc>
        <w:tc>
          <w:tcPr>
            <w:tcW w:w="1659" w:type="dxa"/>
            <w:vAlign w:val="center"/>
          </w:tcPr>
          <w:p w14:paraId="7A530827">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w:t>
            </w:r>
          </w:p>
        </w:tc>
        <w:tc>
          <w:tcPr>
            <w:tcW w:w="895" w:type="dxa"/>
            <w:vAlign w:val="center"/>
          </w:tcPr>
          <w:p w14:paraId="5E6CC397">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w:t>
            </w:r>
          </w:p>
        </w:tc>
        <w:tc>
          <w:tcPr>
            <w:tcW w:w="895" w:type="dxa"/>
            <w:vAlign w:val="center"/>
          </w:tcPr>
          <w:p w14:paraId="0D9868C7">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w:t>
            </w:r>
          </w:p>
        </w:tc>
        <w:tc>
          <w:tcPr>
            <w:tcW w:w="1500" w:type="dxa"/>
            <w:vAlign w:val="center"/>
          </w:tcPr>
          <w:p w14:paraId="2AF84381">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w:t>
            </w:r>
          </w:p>
        </w:tc>
        <w:tc>
          <w:tcPr>
            <w:tcW w:w="1260" w:type="dxa"/>
            <w:vAlign w:val="center"/>
          </w:tcPr>
          <w:p w14:paraId="114281F6">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w:t>
            </w:r>
          </w:p>
        </w:tc>
      </w:tr>
      <w:tr w14:paraId="57D3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847" w:type="dxa"/>
            <w:vAlign w:val="center"/>
          </w:tcPr>
          <w:p w14:paraId="3B50BCAB">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w:t>
            </w:r>
          </w:p>
        </w:tc>
        <w:tc>
          <w:tcPr>
            <w:tcW w:w="1759" w:type="dxa"/>
            <w:vAlign w:val="center"/>
          </w:tcPr>
          <w:p w14:paraId="2362CDFB">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产品</w:t>
            </w:r>
          </w:p>
          <w:p w14:paraId="2084D234">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名称</w:t>
            </w:r>
          </w:p>
        </w:tc>
        <w:tc>
          <w:tcPr>
            <w:tcW w:w="1082" w:type="dxa"/>
            <w:vAlign w:val="center"/>
          </w:tcPr>
          <w:p w14:paraId="2280DB53">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品牌</w:t>
            </w:r>
          </w:p>
        </w:tc>
        <w:tc>
          <w:tcPr>
            <w:tcW w:w="1659" w:type="dxa"/>
            <w:vAlign w:val="center"/>
          </w:tcPr>
          <w:p w14:paraId="446ACF1A">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规格</w:t>
            </w:r>
          </w:p>
          <w:p w14:paraId="5097EB04">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型号</w:t>
            </w:r>
          </w:p>
        </w:tc>
        <w:tc>
          <w:tcPr>
            <w:tcW w:w="895" w:type="dxa"/>
            <w:vAlign w:val="center"/>
          </w:tcPr>
          <w:p w14:paraId="6F1FD8BC">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产地</w:t>
            </w:r>
          </w:p>
        </w:tc>
        <w:tc>
          <w:tcPr>
            <w:tcW w:w="895" w:type="dxa"/>
            <w:vAlign w:val="center"/>
          </w:tcPr>
          <w:p w14:paraId="33CA8DCC">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数量</w:t>
            </w:r>
          </w:p>
        </w:tc>
        <w:tc>
          <w:tcPr>
            <w:tcW w:w="1500" w:type="dxa"/>
            <w:vAlign w:val="center"/>
          </w:tcPr>
          <w:p w14:paraId="7CAE9B5B">
            <w:pPr>
              <w:pageBreakBefore w:val="0"/>
              <w:widowControl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分项单价</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元</w:t>
            </w:r>
            <w:r>
              <w:rPr>
                <w:rFonts w:hint="eastAsia" w:ascii="宋体" w:hAnsi="宋体" w:eastAsia="宋体" w:cs="宋体"/>
                <w:color w:val="000000" w:themeColor="text1"/>
                <w:sz w:val="24"/>
                <w:lang w:eastAsia="zh-CN"/>
                <w14:textFill>
                  <w14:solidFill>
                    <w14:schemeClr w14:val="tx1"/>
                  </w14:solidFill>
                </w14:textFill>
              </w:rPr>
              <w:t>）</w:t>
            </w:r>
          </w:p>
        </w:tc>
        <w:tc>
          <w:tcPr>
            <w:tcW w:w="1260" w:type="dxa"/>
            <w:vAlign w:val="center"/>
          </w:tcPr>
          <w:p w14:paraId="518AE081">
            <w:pPr>
              <w:pageBreakBefore w:val="0"/>
              <w:widowControl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分项总价</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元</w:t>
            </w:r>
            <w:r>
              <w:rPr>
                <w:rFonts w:hint="eastAsia" w:ascii="宋体" w:hAnsi="宋体" w:eastAsia="宋体" w:cs="宋体"/>
                <w:color w:val="000000" w:themeColor="text1"/>
                <w:sz w:val="24"/>
                <w:lang w:eastAsia="zh-CN"/>
                <w14:textFill>
                  <w14:solidFill>
                    <w14:schemeClr w14:val="tx1"/>
                  </w14:solidFill>
                </w14:textFill>
              </w:rPr>
              <w:t>）</w:t>
            </w:r>
          </w:p>
        </w:tc>
      </w:tr>
      <w:tr w14:paraId="6C8C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847" w:type="dxa"/>
            <w:vAlign w:val="center"/>
          </w:tcPr>
          <w:p w14:paraId="689AF222">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w:t>
            </w:r>
          </w:p>
        </w:tc>
        <w:tc>
          <w:tcPr>
            <w:tcW w:w="1759" w:type="dxa"/>
            <w:vAlign w:val="center"/>
          </w:tcPr>
          <w:p w14:paraId="1B47E2A3">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碳排放计量平台</w:t>
            </w:r>
          </w:p>
        </w:tc>
        <w:tc>
          <w:tcPr>
            <w:tcW w:w="1082" w:type="dxa"/>
            <w:vAlign w:val="center"/>
          </w:tcPr>
          <w:p w14:paraId="2FCE4A5A">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广联达</w:t>
            </w:r>
          </w:p>
        </w:tc>
        <w:tc>
          <w:tcPr>
            <w:tcW w:w="1659" w:type="dxa"/>
            <w:vAlign w:val="center"/>
          </w:tcPr>
          <w:p w14:paraId="18072EF2">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广联达</w:t>
            </w:r>
            <w:r>
              <w:rPr>
                <w:rFonts w:hint="eastAsia" w:ascii="宋体" w:hAnsi="宋体" w:eastAsia="宋体" w:cs="宋体"/>
                <w:color w:val="000000" w:themeColor="text1"/>
                <w:sz w:val="22"/>
                <w:szCs w:val="22"/>
                <w14:textFill>
                  <w14:solidFill>
                    <w14:schemeClr w14:val="tx1"/>
                  </w14:solidFill>
                </w14:textFill>
              </w:rPr>
              <w:t>碳排放计量平台</w:t>
            </w:r>
            <w:r>
              <w:rPr>
                <w:rFonts w:hint="eastAsia" w:ascii="宋体" w:hAnsi="宋体" w:eastAsia="宋体" w:cs="宋体"/>
                <w:color w:val="000000" w:themeColor="text1"/>
                <w:sz w:val="22"/>
                <w:szCs w:val="22"/>
                <w:lang w:val="en-US" w:eastAsia="zh-CN"/>
                <w14:textFill>
                  <w14:solidFill>
                    <w14:schemeClr w14:val="tx1"/>
                  </w14:solidFill>
                </w14:textFill>
              </w:rPr>
              <w:t>V1.0</w:t>
            </w:r>
          </w:p>
        </w:tc>
        <w:tc>
          <w:tcPr>
            <w:tcW w:w="895" w:type="dxa"/>
            <w:vAlign w:val="center"/>
          </w:tcPr>
          <w:p w14:paraId="66A0C1FE">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北京</w:t>
            </w:r>
          </w:p>
        </w:tc>
        <w:tc>
          <w:tcPr>
            <w:tcW w:w="895" w:type="dxa"/>
            <w:vAlign w:val="center"/>
          </w:tcPr>
          <w:p w14:paraId="403F2370">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1套</w:t>
            </w:r>
          </w:p>
        </w:tc>
        <w:tc>
          <w:tcPr>
            <w:tcW w:w="1500" w:type="dxa"/>
            <w:vAlign w:val="center"/>
          </w:tcPr>
          <w:p w14:paraId="513F4452">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52000</w:t>
            </w:r>
          </w:p>
        </w:tc>
        <w:tc>
          <w:tcPr>
            <w:tcW w:w="1260" w:type="dxa"/>
            <w:vAlign w:val="center"/>
          </w:tcPr>
          <w:p w14:paraId="032CE651">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52000</w:t>
            </w:r>
          </w:p>
        </w:tc>
      </w:tr>
      <w:tr w14:paraId="40C5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jc w:val="center"/>
        </w:trPr>
        <w:tc>
          <w:tcPr>
            <w:tcW w:w="8637" w:type="dxa"/>
            <w:gridSpan w:val="7"/>
            <w:vAlign w:val="center"/>
          </w:tcPr>
          <w:p w14:paraId="4C260ECC">
            <w:pPr>
              <w:pageBreakBefore w:val="0"/>
              <w:widowControl w:val="0"/>
              <w:kinsoku/>
              <w:wordWrap/>
              <w:overflowPunct/>
              <w:topLinePunct w:val="0"/>
              <w:autoSpaceDE/>
              <w:autoSpaceDN/>
              <w:bidi w:val="0"/>
              <w:spacing w:line="360" w:lineRule="auto"/>
              <w:ind w:firstLine="0" w:firstLineChars="0"/>
              <w:jc w:val="left"/>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投标总报价（人民币：</w:t>
            </w:r>
            <w:r>
              <w:rPr>
                <w:rFonts w:hint="eastAsia" w:ascii="宋体" w:hAnsi="宋体" w:eastAsia="宋体" w:cs="宋体"/>
                <w:color w:val="000000" w:themeColor="text1"/>
                <w:sz w:val="24"/>
                <w:lang w:val="en-US" w:eastAsia="zh-CN"/>
                <w14:textFill>
                  <w14:solidFill>
                    <w14:schemeClr w14:val="tx1"/>
                  </w14:solidFill>
                </w14:textFill>
              </w:rPr>
              <w:t>52000</w:t>
            </w:r>
            <w:r>
              <w:rPr>
                <w:rFonts w:hint="eastAsia" w:ascii="宋体" w:hAnsi="宋体" w:eastAsia="宋体" w:cs="宋体"/>
                <w:color w:val="000000" w:themeColor="text1"/>
                <w:sz w:val="24"/>
                <w14:textFill>
                  <w14:solidFill>
                    <w14:schemeClr w14:val="tx1"/>
                  </w14:solidFill>
                </w14:textFill>
              </w:rPr>
              <w:t>元）</w:t>
            </w:r>
          </w:p>
        </w:tc>
        <w:tc>
          <w:tcPr>
            <w:tcW w:w="1260" w:type="dxa"/>
            <w:vAlign w:val="center"/>
          </w:tcPr>
          <w:p w14:paraId="6B1286AB">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p>
        </w:tc>
      </w:tr>
    </w:tbl>
    <w:p w14:paraId="654EB22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二、交货时间、地点</w:t>
      </w:r>
    </w:p>
    <w:p w14:paraId="1714C3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（一）合同履行期限：</w:t>
      </w:r>
      <w:r>
        <w:rPr>
          <w:rFonts w:hint="eastAsia" w:ascii="宋体" w:hAnsi="宋体" w:eastAsia="宋体" w:cs="宋体"/>
          <w:color w:val="000000" w:themeColor="text1"/>
          <w:sz w:val="24"/>
          <w:u w:val="single"/>
          <w14:textFill>
            <w14:solidFill>
              <w14:schemeClr w14:val="tx1"/>
            </w14:solidFill>
          </w14:textFill>
        </w:rPr>
        <w:t>采购包</w:t>
      </w:r>
      <w:r>
        <w:rPr>
          <w:rFonts w:hint="eastAsia" w:ascii="宋体" w:hAnsi="宋体" w:eastAsia="宋体" w:cs="宋体"/>
          <w:color w:val="000000" w:themeColor="text1"/>
          <w:sz w:val="24"/>
          <w:u w:val="single"/>
          <w:lang w:val="en-US" w:eastAsia="zh-CN"/>
          <w14:textFill>
            <w14:solidFill>
              <w14:schemeClr w14:val="tx1"/>
            </w14:solidFill>
          </w14:textFill>
        </w:rPr>
        <w:t>4</w:t>
      </w:r>
      <w:r>
        <w:rPr>
          <w:rFonts w:hint="eastAsia" w:ascii="宋体" w:hAnsi="宋体" w:eastAsia="宋体" w:cs="宋体"/>
          <w:color w:val="000000" w:themeColor="text1"/>
          <w:sz w:val="24"/>
          <w:u w:val="single"/>
          <w14:textFill>
            <w14:solidFill>
              <w14:schemeClr w14:val="tx1"/>
            </w14:solidFill>
          </w14:textFill>
        </w:rPr>
        <w:t>：</w:t>
      </w:r>
      <w:r>
        <w:rPr>
          <w:rFonts w:hint="eastAsia" w:ascii="宋体" w:hAnsi="宋体" w:eastAsia="宋体" w:cs="宋体"/>
          <w:color w:val="000000" w:themeColor="text1"/>
          <w:sz w:val="24"/>
          <w:u w:val="single"/>
          <w:lang w:val="en-US" w:eastAsia="zh-CN"/>
          <w14:textFill>
            <w14:solidFill>
              <w14:schemeClr w14:val="tx1"/>
            </w14:solidFill>
          </w14:textFill>
        </w:rPr>
        <w:t>30</w:t>
      </w:r>
      <w:r>
        <w:rPr>
          <w:rFonts w:hint="eastAsia" w:ascii="宋体" w:hAnsi="宋体" w:eastAsia="宋体" w:cs="宋体"/>
          <w:color w:val="000000" w:themeColor="text1"/>
          <w:sz w:val="24"/>
          <w:u w:val="single"/>
          <w14:textFill>
            <w14:solidFill>
              <w14:schemeClr w14:val="tx1"/>
            </w14:solidFill>
          </w14:textFill>
        </w:rPr>
        <w:t>日历天。</w:t>
      </w:r>
    </w:p>
    <w:p w14:paraId="128CB2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（二）交货地点：</w:t>
      </w:r>
      <w:r>
        <w:rPr>
          <w:rFonts w:hint="eastAsia" w:ascii="宋体" w:hAnsi="宋体" w:eastAsia="宋体" w:cs="宋体"/>
          <w:color w:val="000000" w:themeColor="text1"/>
          <w:sz w:val="24"/>
          <w:szCs w:val="21"/>
          <w:u w:val="single"/>
          <w14:textFill>
            <w14:solidFill>
              <w14:schemeClr w14:val="tx1"/>
            </w14:solidFill>
          </w14:textFill>
        </w:rPr>
        <w:t>甲方指定地点</w:t>
      </w:r>
      <w:r>
        <w:rPr>
          <w:rFonts w:hint="eastAsia" w:ascii="宋体" w:hAnsi="宋体" w:eastAsia="宋体" w:cs="宋体"/>
          <w:color w:val="000000" w:themeColor="text1"/>
          <w:sz w:val="24"/>
          <w:szCs w:val="21"/>
          <w14:textFill>
            <w14:solidFill>
              <w14:schemeClr w14:val="tx1"/>
            </w14:solidFill>
          </w14:textFill>
        </w:rPr>
        <w:t>。</w:t>
      </w:r>
    </w:p>
    <w:p w14:paraId="3AA3099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三、质量技术标准</w:t>
      </w:r>
    </w:p>
    <w:p w14:paraId="1BB429CC">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乙方提供的产品性能及质量有国家标准的应符合国家标准。无国家标准的应符合行业标准或企业标准，并满足招标文件要求，实现投标文件承诺条款。</w:t>
      </w:r>
    </w:p>
    <w:p w14:paraId="69B42A3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四、产品的包装、运输方式及费用</w:t>
      </w:r>
    </w:p>
    <w:p w14:paraId="3FC42E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1.由乙方视情况自定运输方式，费用自负。</w:t>
      </w:r>
    </w:p>
    <w:p w14:paraId="6444A9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为助力打好污染防治攻坚战，推广使用绿色包装，本项目中涉及的商品包装和快递包装执行《关于印发〈商品包装政府采购需求标准（试行）〉、〈快递包装政府采购需求标准（试行）〉的通知》（财办库〔2020〕123号）、《江苏省财政厅关于加强政府绿色采购有关事项的通知》（苏财购〔2023〕65号）的要求，投标人应当提供符合需求标准的产品及相关快递服务的包装。</w:t>
      </w:r>
    </w:p>
    <w:p w14:paraId="391BAF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3.使用说明书、质量检验证明书、随配附件和工具以及清单一并附于货物内。</w:t>
      </w:r>
    </w:p>
    <w:p w14:paraId="762938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4.乙方在产品发运手续办理完毕后24小时内或货到招标人48小时前通知甲方，以准备接货。</w:t>
      </w:r>
    </w:p>
    <w:p w14:paraId="26623B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5.产品在交付甲方前发生的风险均由投标人负责。</w:t>
      </w:r>
    </w:p>
    <w:p w14:paraId="218B50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6.产品在规定的交付期限内由乙方送达甲方指定的地点视为交付，乙方同时需通知甲方产品已送达。</w:t>
      </w:r>
    </w:p>
    <w:p w14:paraId="789074F6">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五、验收</w:t>
      </w:r>
    </w:p>
    <w:p w14:paraId="58E409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1.在货物进场</w:t>
      </w:r>
      <w:r>
        <w:rPr>
          <w:rFonts w:hint="eastAsia" w:ascii="宋体" w:hAnsi="宋体" w:eastAsia="宋体" w:cs="宋体"/>
          <w:bCs/>
          <w:color w:val="000000" w:themeColor="text1"/>
          <w:sz w:val="24"/>
          <w:szCs w:val="20"/>
          <w14:textFill>
            <w14:solidFill>
              <w14:schemeClr w14:val="tx1"/>
            </w14:solidFill>
          </w14:textFill>
        </w:rPr>
        <w:t>安装调试完毕、检定/校准完成</w:t>
      </w:r>
      <w:r>
        <w:rPr>
          <w:rFonts w:hint="eastAsia" w:ascii="宋体" w:hAnsi="宋体" w:eastAsia="宋体" w:cs="宋体"/>
          <w:color w:val="000000" w:themeColor="text1"/>
          <w:sz w:val="24"/>
          <w14:textFill>
            <w14:solidFill>
              <w14:schemeClr w14:val="tx1"/>
            </w14:solidFill>
          </w14:textFill>
        </w:rPr>
        <w:t>，甲方根据技术要求组织验收，验收内容包括：型号、规格、数量、外观质量，以及货物包装是否完好，质量是否合格，所提供货物的清单是否齐全。货物最终验收后，乙方应对由于设计、工艺或材料的缺陷而发生的任何不足负责，并承担由此引起的一切后果。</w:t>
      </w:r>
    </w:p>
    <w:p w14:paraId="3F5381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2.采购单位组建验收小组，验收时间由甲方确定，并出具验收报告。</w:t>
      </w:r>
    </w:p>
    <w:p w14:paraId="01A81E9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六、付款方式</w:t>
      </w:r>
    </w:p>
    <w:p w14:paraId="29A9933E">
      <w:pPr>
        <w:keepNext w:val="0"/>
        <w:keepLines w:val="0"/>
        <w:pageBreakBefore w:val="0"/>
        <w:widowControl w:val="0"/>
        <w:tabs>
          <w:tab w:val="left" w:pos="2020"/>
        </w:tabs>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按照付款方式，采购人及时办理付款手续。对于满足合同约定支付条件的，自收到发票后10个工作日内将资金支付到合同约定的投标人账户或投标人数字人民币账户。</w:t>
      </w:r>
    </w:p>
    <w:p w14:paraId="698280F2">
      <w:pPr>
        <w:keepNext w:val="0"/>
        <w:keepLines w:val="0"/>
        <w:pageBreakBefore w:val="0"/>
        <w:widowControl w:val="0"/>
        <w:tabs>
          <w:tab w:val="left" w:pos="2020"/>
        </w:tabs>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预付款：合同金额的30%，合同签订后按规定支付；</w:t>
      </w:r>
    </w:p>
    <w:p w14:paraId="4E99BDEF">
      <w:pPr>
        <w:keepNext w:val="0"/>
        <w:keepLines w:val="0"/>
        <w:pageBreakBefore w:val="0"/>
        <w:widowControl w:val="0"/>
        <w:tabs>
          <w:tab w:val="left" w:pos="2020"/>
        </w:tabs>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进度款：货物安装调试完成并经验收合格后付至合同价款的100%。</w:t>
      </w:r>
    </w:p>
    <w:p w14:paraId="7B185F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注：在签订合同时，中标人明确表示无需预付款或者主动要求降低预付款比例的，采购人可不适用前述规定。</w:t>
      </w:r>
    </w:p>
    <w:p w14:paraId="710BFE62">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0"/>
          <w14:textFill>
            <w14:solidFill>
              <w14:schemeClr w14:val="tx1"/>
            </w14:solidFill>
          </w14:textFill>
        </w:rPr>
      </w:pPr>
      <w:r>
        <w:rPr>
          <w:rFonts w:hint="eastAsia" w:ascii="宋体" w:hAnsi="宋体" w:eastAsia="宋体" w:cs="宋体"/>
          <w:b/>
          <w:color w:val="000000" w:themeColor="text1"/>
          <w:sz w:val="24"/>
          <w:szCs w:val="20"/>
          <w14:textFill>
            <w14:solidFill>
              <w14:schemeClr w14:val="tx1"/>
            </w14:solidFill>
          </w14:textFill>
        </w:rPr>
        <w:t>七、售后服务要求</w:t>
      </w:r>
    </w:p>
    <w:p w14:paraId="742ADC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1.质保期：</w:t>
      </w:r>
    </w:p>
    <w:p w14:paraId="62433D40">
      <w:pPr>
        <w:spacing w:line="360" w:lineRule="auto"/>
        <w:ind w:firstLine="480" w:firstLineChars="200"/>
        <w:rPr>
          <w:rFonts w:hint="eastAsia" w:ascii="宋体" w:hAnsi="宋体" w:eastAsia="宋体" w:cs="宋体"/>
          <w:color w:val="000000" w:themeColor="text1"/>
          <w:kern w:val="0"/>
          <w:sz w:val="24"/>
          <w:szCs w:val="22"/>
          <w:lang w:eastAsia="zh-CN"/>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采购包4：碳排放计量平台（永久授权）</w:t>
      </w:r>
      <w:r>
        <w:rPr>
          <w:rFonts w:hint="eastAsia" w:ascii="宋体" w:hAnsi="宋体" w:eastAsia="宋体" w:cs="宋体"/>
          <w:color w:val="000000" w:themeColor="text1"/>
          <w:kern w:val="0"/>
          <w:sz w:val="24"/>
          <w:szCs w:val="22"/>
          <w:lang w:eastAsia="zh-CN"/>
          <w14:textFill>
            <w14:solidFill>
              <w14:schemeClr w14:val="tx1"/>
            </w14:solidFill>
          </w14:textFill>
        </w:rPr>
        <w:t>。</w:t>
      </w:r>
    </w:p>
    <w:p w14:paraId="1F6006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2.中标人对所售出的产品实行三包：即产品在正常使用情况下发生质量问题时，供方应按使用方的要求，负责对产品实行包修、包换、包退（费用包含在本次报价中）。</w:t>
      </w:r>
    </w:p>
    <w:p w14:paraId="41DC80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中标人对由于产品设计、工艺、材料、配套件的缺陷而造成的任何产品质量问题或故障负责。在质量保证期内，中标人负责修理和替换不合格的部件并承担费用，包括部件调换的运输费用。在质量保证期内，更换后的部件或零件质量保证期为更换之日起顺延12个月。</w:t>
      </w:r>
    </w:p>
    <w:p w14:paraId="433E1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中标人需提供售后技术支持服务，运行中出现故障时，由采购人通知中标人。疑难问题（不危及运行）在24小时内答复用户。重大问题（危及运行）在2小时内到现场处理。特大问题（系统不能正常运行）在2小时内恢复运行，并在24小时内派技术人员到现场解决。现场予以排除故障、修复或更换零部件，或启用替代品。如需更换设备或送修，在2个工作日内解决。采购人不承担所产生的任何费用。</w:t>
      </w:r>
    </w:p>
    <w:p w14:paraId="40B8176F">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0"/>
          <w14:textFill>
            <w14:solidFill>
              <w14:schemeClr w14:val="tx1"/>
            </w14:solidFill>
          </w14:textFill>
        </w:rPr>
      </w:pPr>
      <w:r>
        <w:rPr>
          <w:rFonts w:hint="eastAsia" w:ascii="宋体" w:hAnsi="宋体" w:eastAsia="宋体" w:cs="宋体"/>
          <w:b/>
          <w:color w:val="000000" w:themeColor="text1"/>
          <w:sz w:val="24"/>
          <w:szCs w:val="20"/>
          <w14:textFill>
            <w14:solidFill>
              <w14:schemeClr w14:val="tx1"/>
            </w14:solidFill>
          </w14:textFill>
        </w:rPr>
        <w:t>八、其他要求</w:t>
      </w:r>
    </w:p>
    <w:p w14:paraId="7167CC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1.设备安装完成并交付使用前非采购单位原因造成的设备损坏、遗失由中标单位承担责任。</w:t>
      </w:r>
    </w:p>
    <w:p w14:paraId="361E0A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2.中标单位所提供的产品须为原厂全新正品，品牌、型号、参数、功能须全部满足采购单位要求，否则视为无效标。</w:t>
      </w:r>
    </w:p>
    <w:p w14:paraId="397DC2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3.投标人报价时应充分考虑所有可能影响到报价的因素，一旦评标结束最终中标，总价将包定，不予调整。如发生漏、缺、少项，都将被认为是成交投标人的报价让利行为，损失自负。</w:t>
      </w:r>
    </w:p>
    <w:p w14:paraId="2896C2A1">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0"/>
          <w14:textFill>
            <w14:solidFill>
              <w14:schemeClr w14:val="tx1"/>
            </w14:solidFill>
          </w14:textFill>
        </w:rPr>
      </w:pPr>
      <w:r>
        <w:rPr>
          <w:rFonts w:hint="eastAsia" w:ascii="宋体" w:hAnsi="宋体" w:eastAsia="宋体" w:cs="宋体"/>
          <w:b/>
          <w:color w:val="000000" w:themeColor="text1"/>
          <w:sz w:val="24"/>
          <w:szCs w:val="20"/>
          <w14:textFill>
            <w14:solidFill>
              <w14:schemeClr w14:val="tx1"/>
            </w14:solidFill>
          </w14:textFill>
        </w:rPr>
        <w:t>九、违约条款</w:t>
      </w:r>
    </w:p>
    <w:p w14:paraId="3AB567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1.甲方无正当理由拒收货物的，甲方应当按照中国人民银行授权全国银行间同业拆借中心发布的贷款市场报价利率承担违约金。</w:t>
      </w:r>
    </w:p>
    <w:p w14:paraId="5C53E2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 乙方逾期交付货物的，乙方应按逾期交货总额每日</w:t>
      </w:r>
      <w:r>
        <w:rPr>
          <w:rFonts w:hint="eastAsia" w:ascii="宋体" w:hAnsi="宋体" w:eastAsia="宋体" w:cs="宋体"/>
          <w:color w:val="000000" w:themeColor="text1"/>
          <w:sz w:val="24"/>
          <w:u w:val="single"/>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向甲方支付违约金，由甲方从待付货款中扣除。乙方未按照工期要求进行安装调试导致合同超期的，每超过1天乙方按合同总额每日</w:t>
      </w:r>
      <w:r>
        <w:rPr>
          <w:rFonts w:hint="eastAsia" w:ascii="宋体" w:hAnsi="宋体" w:eastAsia="宋体" w:cs="宋体"/>
          <w:color w:val="000000" w:themeColor="text1"/>
          <w:sz w:val="24"/>
          <w:u w:val="single"/>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向甲方支付违约金。逾期超过约定日期10个工作日不能交货（或未能按工期完工）的，甲方可解除本合同。乙方因逾期交货或因其他违约行为导致甲方解除合同的，乙方应向甲方支付合同总值</w:t>
      </w:r>
      <w:r>
        <w:rPr>
          <w:rFonts w:hint="eastAsia" w:ascii="宋体" w:hAnsi="宋体" w:eastAsia="宋体" w:cs="宋体"/>
          <w:color w:val="000000" w:themeColor="text1"/>
          <w:sz w:val="24"/>
          <w:u w:val="single"/>
          <w14:textFill>
            <w14:solidFill>
              <w14:schemeClr w14:val="tx1"/>
            </w14:solidFill>
          </w14:textFill>
        </w:rPr>
        <w:t xml:space="preserve"> 10% </w:t>
      </w:r>
      <w:r>
        <w:rPr>
          <w:rFonts w:hint="eastAsia" w:ascii="宋体" w:hAnsi="宋体" w:eastAsia="宋体" w:cs="宋体"/>
          <w:color w:val="000000" w:themeColor="text1"/>
          <w:sz w:val="24"/>
          <w14:textFill>
            <w14:solidFill>
              <w14:schemeClr w14:val="tx1"/>
            </w14:solidFill>
          </w14:textFill>
        </w:rPr>
        <w:t>的违约金，如造成甲方损失超过违约金的，超出部分由乙方继续承担赔偿责任。</w:t>
      </w:r>
    </w:p>
    <w:p w14:paraId="191895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乙方所交的货物品种、型号、规格、技术参数、质量不符合合同规定及招标文件规定标准的，甲方有权拒收该货物，乙方愿意更换货物但逾期交货的，按乙方逾期交货处理。乙方拒绝更换货物的，甲方可单方面解除合同。若甲方选择解除合同，乙方无条件将收取的全部货款全部退还甲方，且乙方应在甲方限制时间内将货物全部清场，逾期视为乙方自愿放弃，甲方有权对货物进行任意处置。乙方还应另行按合同总价10%标准向甲方支付违约金。</w:t>
      </w:r>
    </w:p>
    <w:p w14:paraId="5F28DE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4.因一方违约，另一方为实现权益产生律师费、诉讼费、保全费、保全保险费、差旅费等由违约方承担。</w:t>
      </w:r>
    </w:p>
    <w:p w14:paraId="3DF70E8C">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十、知识产权</w:t>
      </w:r>
    </w:p>
    <w:p w14:paraId="49F5E8AD">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应保证甲方免除并承担由于甲方在其本国使用该项目时而引起第三方提出的侵犯专利权、知识产权或设计权的起诉、行动、行政程序索赔、请求等以及甲方为此而产生的损失和损害、费用和支出（包括律师费）。</w:t>
      </w:r>
    </w:p>
    <w:p w14:paraId="79EC0A30">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十一、合同生效及审核</w:t>
      </w:r>
    </w:p>
    <w:p w14:paraId="6F4FCF5E">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本合同经甲方、乙方签字盖章后生效，合同签订的内容不能超出招标文件和投标文件的实质性内容。</w:t>
      </w:r>
    </w:p>
    <w:p w14:paraId="63D333C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十二、合同的组成部分</w:t>
      </w:r>
    </w:p>
    <w:p w14:paraId="3875F8B0">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本合同条款、中标通知书、招标文件、投标文件及投标人在开标时的书面承诺等构成合同的组成部分。</w:t>
      </w:r>
    </w:p>
    <w:p w14:paraId="20D255E6">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十三、本合同壹式肆份，以中文书写，甲方、乙方各执贰份。</w:t>
      </w:r>
    </w:p>
    <w:p w14:paraId="403629D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十四、本合同一切未尽事宜，按民法典有关规定执行，无相关规定的，由甲乙双方协商解决。</w:t>
      </w:r>
    </w:p>
    <w:p w14:paraId="78F06D1A">
      <w:pPr>
        <w:keepNext/>
        <w:keepLines/>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b/>
          <w:bCs/>
          <w:color w:val="000000" w:themeColor="text1"/>
          <w:sz w:val="24"/>
          <w14:textFill>
            <w14:solidFill>
              <w14:schemeClr w14:val="tx1"/>
            </w14:solidFill>
          </w14:textFill>
        </w:rPr>
      </w:pPr>
      <w:bookmarkStart w:id="1" w:name="_Toc394939153"/>
      <w:bookmarkStart w:id="2" w:name="_Toc17969"/>
      <w:bookmarkStart w:id="3" w:name="_Toc24653762"/>
      <w:bookmarkStart w:id="4" w:name="_Toc514426472"/>
      <w:bookmarkStart w:id="5" w:name="_Toc19622844"/>
      <w:bookmarkStart w:id="6" w:name="_Toc473126882"/>
      <w:bookmarkStart w:id="7" w:name="_Toc24658094"/>
      <w:bookmarkStart w:id="8" w:name="_Toc394939096"/>
      <w:r>
        <w:rPr>
          <w:rFonts w:hint="eastAsia" w:ascii="宋体" w:hAnsi="宋体" w:eastAsia="宋体" w:cs="宋体"/>
          <w:b/>
          <w:bCs/>
          <w:color w:val="000000" w:themeColor="text1"/>
          <w:sz w:val="24"/>
          <w14:textFill>
            <w14:solidFill>
              <w14:schemeClr w14:val="tx1"/>
            </w14:solidFill>
          </w14:textFill>
        </w:rPr>
        <w:t>通用条款</w:t>
      </w:r>
      <w:bookmarkEnd w:id="1"/>
      <w:bookmarkEnd w:id="2"/>
      <w:bookmarkEnd w:id="3"/>
      <w:bookmarkEnd w:id="4"/>
      <w:bookmarkEnd w:id="5"/>
      <w:bookmarkEnd w:id="6"/>
      <w:bookmarkEnd w:id="7"/>
      <w:bookmarkEnd w:id="8"/>
    </w:p>
    <w:p w14:paraId="3A9687A4">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十五、词语涵义</w:t>
      </w:r>
    </w:p>
    <w:p w14:paraId="3BDE68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（一）合同：甲乙双方签署的、合同格式中载明的甲方与乙方所达成的协议，包括所有的附件、附录和构成合同的所有文件。</w:t>
      </w:r>
    </w:p>
    <w:p w14:paraId="5E5D0D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（二）合同价：根据合同规定，乙方在正确地完全履行合同义务后甲方应支付给卖方的价格。</w:t>
      </w:r>
    </w:p>
    <w:p w14:paraId="32ED67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（三）服务：根据合同规定乙方承担与项目有关的辅助</w:t>
      </w:r>
      <w:bookmarkStart w:id="9" w:name="_GoBack"/>
      <w:bookmarkEnd w:id="9"/>
      <w:r>
        <w:rPr>
          <w:rFonts w:hint="eastAsia" w:ascii="宋体" w:hAnsi="宋体" w:eastAsia="宋体" w:cs="宋体"/>
          <w:color w:val="000000" w:themeColor="text1"/>
          <w:sz w:val="24"/>
          <w14:textFill>
            <w14:solidFill>
              <w14:schemeClr w14:val="tx1"/>
            </w14:solidFill>
          </w14:textFill>
        </w:rPr>
        <w:t>服务，如运输、保险以及其它的伴随服务，比如提供技术援助、培训和其他类似的应承担的义务。</w:t>
      </w:r>
    </w:p>
    <w:p w14:paraId="5897C2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（五）甲方：采购单位，即</w:t>
      </w:r>
      <w:r>
        <w:rPr>
          <w:rFonts w:hint="eastAsia" w:ascii="宋体" w:hAnsi="宋体" w:eastAsia="宋体" w:cs="宋体"/>
          <w:color w:val="000000" w:themeColor="text1"/>
          <w:sz w:val="24"/>
          <w:u w:val="single"/>
          <w14:textFill>
            <w14:solidFill>
              <w14:schemeClr w14:val="tx1"/>
            </w14:solidFill>
          </w14:textFill>
        </w:rPr>
        <w:t>宿迁学院</w:t>
      </w:r>
      <w:r>
        <w:rPr>
          <w:rFonts w:hint="eastAsia" w:ascii="宋体" w:hAnsi="宋体" w:eastAsia="宋体" w:cs="宋体"/>
          <w:color w:val="000000" w:themeColor="text1"/>
          <w:sz w:val="24"/>
          <w14:textFill>
            <w14:solidFill>
              <w14:schemeClr w14:val="tx1"/>
            </w14:solidFill>
          </w14:textFill>
        </w:rPr>
        <w:t>。</w:t>
      </w:r>
    </w:p>
    <w:p w14:paraId="511550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（六）乙方：提供服务的公司或实体，即</w:t>
      </w:r>
      <w:r>
        <w:rPr>
          <w:rFonts w:hint="eastAsia" w:ascii="宋体" w:hAnsi="宋体" w:eastAsia="宋体" w:cs="宋体"/>
          <w:color w:val="000000" w:themeColor="text1"/>
          <w:kern w:val="0"/>
          <w:sz w:val="24"/>
          <w:u w:val="single"/>
          <w:lang w:eastAsia="zh-CN"/>
          <w14:textFill>
            <w14:solidFill>
              <w14:schemeClr w14:val="tx1"/>
            </w14:solidFill>
          </w14:textFill>
        </w:rPr>
        <w:t>广联达科技股份有限公司</w:t>
      </w:r>
      <w:r>
        <w:rPr>
          <w:rFonts w:hint="eastAsia" w:ascii="宋体" w:hAnsi="宋体" w:eastAsia="宋体" w:cs="宋体"/>
          <w:color w:val="000000" w:themeColor="text1"/>
          <w:sz w:val="24"/>
          <w14:textFill>
            <w14:solidFill>
              <w14:schemeClr w14:val="tx1"/>
            </w14:solidFill>
          </w14:textFill>
        </w:rPr>
        <w:t>。</w:t>
      </w:r>
    </w:p>
    <w:p w14:paraId="39CA9B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（七）不可抗力：指不能预见、不能避免和不能克服的客观情况，如战争、动乱、空中飞行物体坠落或其它非甲乙方责任造成的爆炸、火灾，以及协议条款约定等级以上的风、雨、雪、地震等。</w:t>
      </w:r>
    </w:p>
    <w:p w14:paraId="2CCB99F4">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十六、技术规格</w:t>
      </w:r>
    </w:p>
    <w:p w14:paraId="19DDDF7D">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乙方所提供货物的技术规格应与招标文件规定的技术规格以及所附的技术规格响应表相一致。</w:t>
      </w:r>
    </w:p>
    <w:p w14:paraId="6FD37A9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十七、专利权</w:t>
      </w:r>
    </w:p>
    <w:p w14:paraId="1F125423">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乙方应保证甲方在使用该货物或其任何一部分时不受第三方提出侵犯其专利权、商标权和工业设计权的起诉。一旦出现专利侵权，乙方应负全部责任。</w:t>
      </w:r>
    </w:p>
    <w:p w14:paraId="1D328A9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十八、付款</w:t>
      </w:r>
    </w:p>
    <w:p w14:paraId="36FAE4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（一）本合同以人民币付款。</w:t>
      </w:r>
    </w:p>
    <w:p w14:paraId="521508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（二）乙方应按照与甲方签订的合同规定服务。</w:t>
      </w:r>
    </w:p>
    <w:p w14:paraId="0BF809B7">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十九、误期赔偿</w:t>
      </w:r>
    </w:p>
    <w:p w14:paraId="45995812">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除合同规定外，如果乙方没有按照合同规定的时间提供货物，甲方将从货款中扣除误期赔偿费而不影响合同项目的其他补救方法，赔偿费按每周未提供服务费用的0.5%计收，直至提供服务为止，一周按7天计算，不足7天按一周计算。但误期赔偿费的最高限为误期服务合同价的5%。一旦达到误期赔偿的最高限额，甲方可考虑终止合同。</w:t>
      </w:r>
    </w:p>
    <w:p w14:paraId="26D472EC">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二十、不可抗力</w:t>
      </w:r>
    </w:p>
    <w:p w14:paraId="3F498D0B">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在不可抗力事件发生后，乙方应尽快以书面形式将不可抗力的情况和原因通知甲方，同时应尽实际可能继续履行合同义务，以及寻求采取合理的方案履行不受不可抗力影响的其他事项。如果不可抗力事件影响时间持续120天以上时，双方应通过友好协商在合理的时间内达成进一步履行合同的协议。</w:t>
      </w:r>
    </w:p>
    <w:p w14:paraId="03B4B98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二十一、税费</w:t>
      </w:r>
    </w:p>
    <w:p w14:paraId="473D9A40">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中国政府根据现行税法规定对甲方征收的与本合同有关的一切税费由甲方负担；规定对乙方征收的与本合同有关的一切税费由乙方负担。</w:t>
      </w:r>
    </w:p>
    <w:p w14:paraId="215363E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二十二、合同争议</w:t>
      </w:r>
    </w:p>
    <w:p w14:paraId="172CD99C">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甲乙双方应通过友好协商，解决在执行本合同中所发生的或与本合同有关的一切争议。如果协商仍得不到解决，任何一方均可按“《中华人民共和国政府采购法》”“《中华人民共和国民法典》”等规定提交调解和仲裁。</w:t>
      </w:r>
    </w:p>
    <w:p w14:paraId="2EA4E1BB">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二十三、适用法律</w:t>
      </w:r>
    </w:p>
    <w:p w14:paraId="06749549">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本合同应按照中华人民共和国的现行法律进行解释。</w:t>
      </w:r>
    </w:p>
    <w:tbl>
      <w:tblPr>
        <w:tblStyle w:val="4"/>
        <w:tblpPr w:leftFromText="180" w:rightFromText="180" w:vertAnchor="text" w:horzAnchor="page" w:tblpXSpec="center" w:tblpY="27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54"/>
        <w:gridCol w:w="4745"/>
      </w:tblGrid>
      <w:tr w14:paraId="4651A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418FB689">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甲方：（盖章）</w:t>
            </w:r>
          </w:p>
        </w:tc>
        <w:tc>
          <w:tcPr>
            <w:tcW w:w="4745" w:type="dxa"/>
            <w:vAlign w:val="center"/>
          </w:tcPr>
          <w:p w14:paraId="415A754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乙方：（盖章）</w:t>
            </w:r>
          </w:p>
        </w:tc>
      </w:tr>
      <w:tr w14:paraId="335A2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4587D572">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地址：</w:t>
            </w:r>
          </w:p>
        </w:tc>
        <w:tc>
          <w:tcPr>
            <w:tcW w:w="4745" w:type="dxa"/>
            <w:vAlign w:val="center"/>
          </w:tcPr>
          <w:p w14:paraId="07145DAB">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地址：</w:t>
            </w:r>
          </w:p>
        </w:tc>
      </w:tr>
      <w:tr w14:paraId="774A9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24C29757">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法定（授权）代表人（签字或盖章）：</w:t>
            </w:r>
          </w:p>
        </w:tc>
        <w:tc>
          <w:tcPr>
            <w:tcW w:w="4745" w:type="dxa"/>
            <w:vAlign w:val="center"/>
          </w:tcPr>
          <w:p w14:paraId="5834A92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法定（授权）代表人（签字或盖章）：</w:t>
            </w:r>
          </w:p>
        </w:tc>
      </w:tr>
      <w:tr w14:paraId="38D79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02C8C570">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联系电话：</w:t>
            </w:r>
          </w:p>
        </w:tc>
        <w:tc>
          <w:tcPr>
            <w:tcW w:w="4745" w:type="dxa"/>
            <w:vAlign w:val="center"/>
          </w:tcPr>
          <w:p w14:paraId="6B4B0A50">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联系电话：</w:t>
            </w:r>
          </w:p>
        </w:tc>
      </w:tr>
      <w:tr w14:paraId="45FD6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425C441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年  月  日</w:t>
            </w:r>
          </w:p>
        </w:tc>
        <w:tc>
          <w:tcPr>
            <w:tcW w:w="4745" w:type="dxa"/>
            <w:vAlign w:val="center"/>
          </w:tcPr>
          <w:p w14:paraId="68ACBDE1">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年  月  日</w:t>
            </w:r>
          </w:p>
        </w:tc>
      </w:tr>
    </w:tbl>
    <w:p w14:paraId="5508BEB5">
      <w:pPr>
        <w:pageBreakBefore w:val="0"/>
        <w:widowControl w:val="0"/>
        <w:kinsoku/>
        <w:wordWrap/>
        <w:overflowPunct/>
        <w:topLinePunct w:val="0"/>
        <w:autoSpaceDE/>
        <w:autoSpaceDN/>
        <w:bidi w:val="0"/>
        <w:spacing w:line="360" w:lineRule="auto"/>
        <w:ind w:firstLine="0" w:firstLineChars="0"/>
        <w:textAlignment w:val="auto"/>
      </w:pPr>
    </w:p>
    <w:p w14:paraId="55568103"/>
    <w:sectPr>
      <w:pgSz w:w="11906" w:h="16838"/>
      <w:pgMar w:top="1020" w:right="1474" w:bottom="130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2B54FC"/>
    <w:rsid w:val="15F67FA8"/>
    <w:rsid w:val="24E16D01"/>
    <w:rsid w:val="452B54FC"/>
    <w:rsid w:val="745127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网格型_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2026-08-07T08:39:00Z</dcterms:created>
  <dc:creator>Administrator</dc:creator>
  <cp:lastModifiedBy>Administrator</cp:lastModifiedBy>
  <dcterms:modified xsi:type="dcterms:W3CDTF">2026-08-07T08:57:43Z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A4DB521421784216BA9006F808DF0DDF_11</vt:lpwstr>
  </property>
  <property fmtid="{D5CDD505-2E9C-101B-9397-08002B2CF9AE}" pid="4" name="KSOTemplateDocerSaveRecord">
    <vt:lpwstr>eyJoZGlkIjoiMmQxNzExZGJkYzhjMTQwM2IzY2NhZWNkMmI4YzBiYTEiLCJ1c2VySWQiOiI0MTE0NTUwMjMifQ==</vt:lpwstr>
  </property>
</Properties>
</file>