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rPr>
        <w:t xml:space="preserve">JSZC-320500-HWZX-G2026-0388</w:t>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630"/>
        <w:spacing w:line="360" w:lineRule="auto"/>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：高通量蛋白稳定性分析仪</w:t>
      </w:r>
      <w:r/>
    </w:p>
    <w:p>
      <w:pPr>
        <w:ind w:left="63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pStyle w:val="772"/>
        <w:rPr>
          <w:rFonts w:hint="default"/>
        </w:rPr>
      </w:pPr>
      <w:r>
        <w:rPr>
          <w:rFonts w:hint="default"/>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rPr>
        <w:t xml:space="preserve">七</w:t>
      </w:r>
      <w:r>
        <w:rPr>
          <w:rFonts w:ascii="宋体" w:hAnsi="宋体" w:eastAsia="宋体" w:cs="宋体"/>
          <w:b/>
          <w:sz w:val="28"/>
        </w:rPr>
        <w:t xml:space="preserve">月</w:t>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高通量蛋白稳定性分析仪</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中标供应商应当在合同签订后8个月内将货物运送至采购人指定实验室（采购方另行约定的时间除外，但最迟不得晚于2027年3月31日）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人民币250万元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人民币250万元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接受进口产品投标</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0.945</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2026年08月06日13时30分（北京时间）</w:t>
            </w:r>
            <w:r/>
          </w:p>
        </w:tc>
      </w:tr>
      <w:tr>
        <w:trPr>
          <w:trHeight w:val="399"/>
        </w:trPr>
        <w:tc>
          <w:tcPr>
            <w:shd w:val="clear" w:color="auto" w:fill="auto"/>
            <w:tcW w:w="407"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SimSun" w:hAnsi="SimSun" w:eastAsia="SimSun" w:cs="SimSun"/>
                <w:color w:val="000000"/>
                <w:sz w:val="24"/>
                <w:u w:val="single"/>
              </w:rPr>
              <w:t xml:space="preserve">2026年08月06日13时30分（北京时间）</w:t>
            </w:r>
            <w:r/>
            <w:r/>
          </w:p>
          <w:p>
            <w:pPr>
              <w:jc w:val="both"/>
              <w:spacing w:line="360" w:lineRule="auto"/>
              <w:pBdr>
                <w:top w:val="none" w:color="000000" w:sz="0" w:space="0"/>
                <w:left w:val="none" w:color="000000" w:sz="0" w:space="0"/>
                <w:bottom w:val="none" w:color="000000" w:sz="0" w:space="0"/>
                <w:right w:val="none" w:color="000000" w:sz="0" w:space="0"/>
              </w:pBdr>
            </w:pPr>
            <w: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（√）提交</w:t>
            </w:r>
            <w:r/>
          </w:p>
          <w:p>
            <w:pPr>
              <w:pStyle w:val="753"/>
              <w:spacing w:before="0" w:after="0" w:line="360" w:lineRule="auto"/>
              <w:rPr>
                <w:rFonts w:ascii="宋体" w:hAnsi="宋体" w:eastAsia="宋体" w:cs="宋体"/>
                <w:sz w:val="24"/>
                <w:szCs w:val="24"/>
              </w:rPr>
            </w:pPr>
            <w:r>
              <w:rPr>
                <w:rFonts w:hint="eastAsia" w:ascii="宋体" w:hAnsi="宋体" w:eastAsia="宋体" w:cs="宋体"/>
                <w:sz w:val="24"/>
              </w:rPr>
              <w:t xml:space="preserve">金额：合同金额的10%，相关条款详见招标文件。</w:t>
            </w:r>
            <w:r/>
          </w:p>
          <w:p>
            <w:r>
              <w:rPr>
                <w:rFonts w:hint="eastAsia" w:ascii="宋体" w:hAnsi="宋体" w:eastAsia="宋体" w:cs="宋体"/>
                <w:sz w:val="24"/>
                <w:szCs w:val="24"/>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技术联系人：赵老师　　    电话：13812755546</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电子邮箱：zhaoqh @biobay.com.cn</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高通量蛋白稳定性分析仪</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ascii="SimSun" w:hAnsi="SimSun" w:eastAsia="SimSun" w:cs="SimSun"/>
          <w:color w:val="000000"/>
          <w:sz w:val="24"/>
        </w:rPr>
        <w:t xml:space="preserve">2026年08月06日13时30分</w:t>
      </w:r>
      <w:r>
        <w:rPr>
          <w:rFonts w:ascii="宋体" w:hAnsi="宋体" w:eastAsia="宋体" w:cs="宋体"/>
          <w:sz w:val="24"/>
        </w:rPr>
        <w:t xml:space="preserve">（北京时间）前递交投标文件。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rPr>
        <w:t xml:space="preserve">JSZC-320500-HWZX-G2026-0388</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高通量蛋白稳定性分析仪</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人民币250万元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人民币250万元</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交货地点：苏州大学指定地点</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验收标准：</w:t>
      </w:r>
      <w:r>
        <w:rPr>
          <w:rFonts w:hint="eastAsia" w:ascii="宋体" w:hAnsi="宋体" w:eastAsia="宋体" w:cs="宋体"/>
          <w:sz w:val="24"/>
        </w:rPr>
        <w:t xml:space="preserve">仪器到货安装后，按如下指标进行逐项测试：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1.检测通量：可平行测定≥48 个样品；</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2.检测模块：配置内源荧光检测模块、背反射聚集检测模块、DLS 动态光散射检测模块和SLS 静态光检测模块；</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3.上样方式：高精度石英玻璃毛细管，上样后无需密封；</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4.温度控制范围：18℃~108℃；</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5.升温速率：0.2~6℃/min；</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6.样品浓度范围：0.008mg/mL~240 mg/mL；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7.测定时直接上样，无需添加外源染料，无需标记，通过内源荧光检测。</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rPr>
        <w:t xml:space="preserve">详见招标文件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二、申请人的资格要求：</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 w:val="0"/>
          <w:bCs/>
          <w:color w:val="000000"/>
          <w:sz w:val="24"/>
        </w:rPr>
        <w:t xml:space="preserve">无</w:t>
      </w:r>
      <w:r>
        <w:rPr>
          <w:rFonts w:ascii="宋体" w:hAnsi="宋体" w:cs="宋体"/>
          <w:b w:val="0"/>
          <w:bCs/>
          <w:color w:val="000000"/>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w:t>
      </w:r>
      <w:r>
        <w:rPr>
          <w:rFonts w:hint="eastAsia" w:ascii="宋体" w:hAnsi="宋体" w:eastAsia="宋体" w:cs="宋体"/>
          <w:sz w:val="24"/>
        </w:rPr>
        <w:t xml:space="preserve">具有所投产品的合法代理证明（国产产品投标的可不提供）</w:t>
      </w:r>
      <w:r/>
    </w:p>
    <w:p>
      <w:pPr>
        <w:pStyle w:val="769"/>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SimSun" w:hAnsi="SimSun" w:eastAsia="SimSun" w:cs="SimSun"/>
          <w:color w:val="000000"/>
          <w:sz w:val="24"/>
        </w:rPr>
        <w:t xml:space="preserve">2026年08月06日13时30分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联系人：秦老师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w:t>
      </w:r>
      <w:r>
        <w:rPr>
          <w:rFonts w:hint="eastAsia" w:ascii="宋体" w:hAnsi="宋体" w:eastAsia="宋体" w:cs="宋体"/>
          <w:sz w:val="24"/>
          <w:szCs w:val="24"/>
        </w:rPr>
        <w:t xml:space="preserve">0512-67169460 </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lang w:val="en-US" w:eastAsia="zh-CN"/>
        </w:rPr>
        <w:t xml:space="preserve">8</w:t>
      </w:r>
      <w:r>
        <w:rPr>
          <w:rFonts w:hint="eastAsia" w:ascii="宋体" w:hAnsi="宋体" w:eastAsia="宋体" w:cs="宋体"/>
          <w:spacing w:val="-3"/>
          <w:sz w:val="24"/>
          <w:szCs w:val="24"/>
        </w:rPr>
        <w:t xml:space="preserve">所投产品的合法代理证明的证明材料（国产产品投标的可不提供）</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rPr>
      </w:pPr>
      <w:r>
        <w:rPr>
          <w:rFonts w:hint="eastAsia" w:ascii="宋体" w:hAnsi="宋体"/>
          <w:color w:val="000000"/>
          <w:sz w:val="24"/>
        </w:rPr>
        <w:t xml:space="preserve">价格的折扣：</w:t>
      </w:r>
      <w:r>
        <w:rPr>
          <w:rFonts w:hint="eastAsia" w:ascii="宋体" w:hAnsi="宋体"/>
          <w:b/>
          <w:bCs/>
          <w:color w:val="000000"/>
          <w:sz w:val="24"/>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2"/>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
    </w:p>
    <w:p>
      <w:pPr>
        <w:pStyle w:val="768"/>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4"/>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4"/>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4"/>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4"/>
          <w:rFonts w:hint="eastAsia" w:ascii="宋体" w:hAnsi="宋体" w:eastAsia="宋体" w:cs="宋体"/>
          <w:i w:val="0"/>
          <w:szCs w:val="24"/>
          <w:u w:val="single"/>
          <w:shd w:val="clear" w:color="auto" w:fill="ffffff"/>
        </w:rPr>
        <w:t xml:space="preserve">（产品名称1）</w:t>
      </w:r>
      <w:r>
        <w:rPr>
          <w:rStyle w:val="79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Style w:val="79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Style w:val="79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Style w:val="79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Style w:val="79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高通量蛋白稳定性分析仪</w:t>
      </w:r>
      <w:r>
        <w:rPr>
          <w:rFonts w:hint="eastAsia" w:ascii="宋体" w:hAnsi="宋体" w:eastAsia="宋体" w:cs="宋体"/>
          <w:b/>
          <w:bCs/>
          <w:sz w:val="24"/>
          <w:szCs w:val="24"/>
        </w:rPr>
        <w:t xml:space="preserve">进行国内公开招标。</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JSZC-320500-HWZX-G2026-0388</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Times New Roman" w:hAnsi="Times New Roman" w:eastAsia="宋体" w:cs="Times New Roman"/>
          <w:b/>
          <w:bCs/>
          <w:sz w:val="24"/>
          <w:szCs w:val="24"/>
        </w:rPr>
        <w:t xml:space="preserve">高通量蛋白稳定性分析仪 </w:t>
      </w:r>
      <w:r>
        <w:rPr>
          <w:rFonts w:ascii="Times New Roman" w:hAnsi="Times New Roman" w:eastAsia="宋体" w:cs="Times New Roman"/>
          <w:b/>
          <w:bCs/>
          <w:sz w:val="24"/>
          <w:szCs w:val="24"/>
        </w:rPr>
        <w:t xml:space="preserve">  1</w:t>
      </w:r>
      <w:r>
        <w:rPr>
          <w:rFonts w:hint="eastAsia" w:ascii="Times New Roman" w:hAnsi="Times New Roman" w:eastAsia="宋体" w:cs="Times New Roman"/>
          <w:b/>
          <w:bCs/>
          <w:sz w:val="24"/>
          <w:szCs w:val="24"/>
        </w:rPr>
        <w:t xml:space="preserve">套</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人民币250万元；最高限价：人民币250万元</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（一）主要技术参数要求</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检测通量</w:t>
      </w:r>
      <w:r>
        <w:rPr>
          <w:rFonts w:ascii="宋体" w:hAnsi="宋体" w:eastAsia="宋体" w:cs="Times New Roman"/>
          <w:sz w:val="24"/>
          <w:szCs w:val="24"/>
        </w:rPr>
        <w:t xml:space="preserve">：</w:t>
      </w:r>
      <w:r>
        <w:rPr>
          <w:rFonts w:hint="eastAsia" w:ascii="宋体" w:hAnsi="宋体" w:eastAsia="宋体" w:cs="Times New Roman"/>
          <w:sz w:val="24"/>
          <w:szCs w:val="24"/>
        </w:rPr>
        <w:t xml:space="preserve">要求可平行测定≥48个样品</w:t>
      </w:r>
      <w:r>
        <w:rPr>
          <w:rFonts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2.检测模块：配置荧光检测模块、背反射聚集检测模块、DLS 动态光散射检测模块和SLS 静态光检测模块</w:t>
      </w:r>
      <w:r>
        <w:rPr>
          <w:rFonts w:hint="eastAsia" w:ascii="宋体" w:hAnsi="宋体" w:eastAsia="宋体" w:cs="Times New Roman"/>
          <w:sz w:val="24"/>
          <w:szCs w:val="24"/>
        </w:rPr>
        <w:t xml:space="preserve">，四个检测模块可同时开启且实时检测</w:t>
      </w:r>
      <w:r>
        <w:rPr>
          <w:rFonts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3.上样方式：高精度石英玻璃毛细管或专用样品池；</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4.上样体积≤</w:t>
      </w:r>
      <w:r>
        <w:rPr>
          <w:rFonts w:hint="eastAsia" w:ascii="宋体" w:hAnsi="宋体" w:eastAsia="宋体" w:cs="Times New Roman"/>
          <w:sz w:val="24"/>
          <w:szCs w:val="24"/>
        </w:rPr>
        <w:t xml:space="preserve">12</w:t>
      </w:r>
      <w:r>
        <w:rPr>
          <w:rFonts w:ascii="宋体" w:hAnsi="宋体" w:eastAsia="宋体" w:cs="Times New Roman"/>
          <w:sz w:val="24"/>
          <w:szCs w:val="24"/>
        </w:rPr>
        <w:t xml:space="preserve">μL；</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5.样品浓度范围：</w:t>
      </w:r>
      <w:r>
        <w:rPr>
          <w:rFonts w:hint="eastAsia" w:ascii="宋体" w:hAnsi="宋体" w:eastAsia="宋体" w:cs="Times New Roman"/>
          <w:sz w:val="24"/>
          <w:szCs w:val="24"/>
        </w:rPr>
        <w:t xml:space="preserve">至少满足</w:t>
      </w:r>
      <w:r>
        <w:rPr>
          <w:rFonts w:ascii="宋体" w:hAnsi="宋体" w:eastAsia="宋体" w:cs="Times New Roman"/>
          <w:sz w:val="24"/>
          <w:szCs w:val="24"/>
        </w:rPr>
        <w:t xml:space="preserve">0.</w:t>
      </w:r>
      <w:r>
        <w:rPr>
          <w:rFonts w:hint="eastAsia" w:ascii="宋体" w:hAnsi="宋体" w:eastAsia="宋体" w:cs="Times New Roman"/>
          <w:sz w:val="24"/>
          <w:szCs w:val="24"/>
        </w:rPr>
        <w:t xml:space="preserve">008 </w:t>
      </w:r>
      <w:r>
        <w:rPr>
          <w:rFonts w:ascii="宋体" w:hAnsi="宋体" w:eastAsia="宋体" w:cs="Times New Roman"/>
          <w:sz w:val="24"/>
          <w:szCs w:val="24"/>
        </w:rPr>
        <w:t xml:space="preserve">mg/mL</w:t>
      </w:r>
      <w:bookmarkStart w:id="4" w:name="OLE_LINK6"/>
      <w:r>
        <w:rPr>
          <w:rFonts w:ascii="Times New Roman" w:hAnsi="Times New Roman" w:eastAsia="宋体" w:cs="Times New Roman"/>
          <w:sz w:val="24"/>
          <w:szCs w:val="24"/>
        </w:rPr>
        <w:t xml:space="preserve">~</w:t>
      </w:r>
      <w:bookmarkEnd w:id="4"/>
      <w:r>
        <w:rPr>
          <w:rFonts w:hint="eastAsia" w:ascii="宋体" w:hAnsi="宋体" w:eastAsia="宋体" w:cs="Times New Roman"/>
          <w:sz w:val="24"/>
          <w:szCs w:val="24"/>
        </w:rPr>
        <w:t xml:space="preserve">240</w:t>
      </w:r>
      <w:r>
        <w:rPr>
          <w:rFonts w:ascii="宋体" w:hAnsi="宋体" w:eastAsia="宋体" w:cs="Times New Roman"/>
          <w:sz w:val="24"/>
          <w:szCs w:val="24"/>
        </w:rPr>
        <w:t xml:space="preserve"> mg/mL；</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6.可测定参数：可提供Tm、Tonset、Tturbidity、Tsize、流体力学半径（rH）、多分散指数（PDI）等参数</w:t>
      </w:r>
      <w:r>
        <w:rPr>
          <w:rFonts w:hint="eastAsia"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7.温度控制范围：1</w:t>
      </w:r>
      <w:r>
        <w:rPr>
          <w:rFonts w:hint="eastAsia" w:ascii="宋体" w:hAnsi="宋体" w:eastAsia="宋体" w:cs="Times New Roman"/>
          <w:sz w:val="24"/>
          <w:szCs w:val="24"/>
        </w:rPr>
        <w:t xml:space="preserve">8</w:t>
      </w:r>
      <w:r>
        <w:rPr>
          <w:rFonts w:ascii="宋体" w:hAnsi="宋体" w:eastAsia="宋体" w:cs="Times New Roman"/>
          <w:sz w:val="24"/>
          <w:szCs w:val="24"/>
        </w:rPr>
        <w:t xml:space="preserve">℃</w:t>
      </w:r>
      <w:r>
        <w:rPr>
          <w:rFonts w:ascii="Times New Roman" w:hAnsi="Times New Roman" w:eastAsia="宋体" w:cs="Times New Roman"/>
          <w:sz w:val="24"/>
          <w:szCs w:val="24"/>
        </w:rPr>
        <w:t xml:space="preserve">~</w:t>
      </w:r>
      <w:r>
        <w:rPr>
          <w:rFonts w:hint="eastAsia" w:ascii="宋体" w:hAnsi="宋体" w:eastAsia="宋体" w:cs="Times New Roman"/>
          <w:sz w:val="24"/>
          <w:szCs w:val="24"/>
        </w:rPr>
        <w:t xml:space="preserve">108</w:t>
      </w:r>
      <w:r>
        <w:rPr>
          <w:rFonts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8.温控精度：±0.1℃；</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9.升温速率：0.</w:t>
      </w:r>
      <w:r>
        <w:rPr>
          <w:rFonts w:hint="eastAsia" w:ascii="宋体" w:hAnsi="宋体" w:eastAsia="宋体" w:cs="Times New Roman"/>
          <w:sz w:val="24"/>
          <w:szCs w:val="24"/>
        </w:rPr>
        <w:t xml:space="preserve">2</w:t>
      </w:r>
      <w:r>
        <w:rPr>
          <w:rFonts w:ascii="Times New Roman" w:hAnsi="Times New Roman" w:eastAsia="宋体" w:cs="Times New Roman"/>
          <w:sz w:val="24"/>
          <w:szCs w:val="24"/>
        </w:rPr>
        <w:t xml:space="preserve">~</w:t>
      </w:r>
      <w:r>
        <w:rPr>
          <w:rFonts w:hint="eastAsia" w:ascii="宋体" w:hAnsi="宋体" w:eastAsia="宋体" w:cs="Times New Roman"/>
          <w:sz w:val="24"/>
          <w:szCs w:val="24"/>
        </w:rPr>
        <w:t xml:space="preserve">6</w:t>
      </w:r>
      <w:r>
        <w:rPr>
          <w:rFonts w:ascii="宋体" w:hAnsi="宋体" w:eastAsia="宋体" w:cs="Times New Roman"/>
          <w:sz w:val="24"/>
          <w:szCs w:val="24"/>
        </w:rPr>
        <w:t xml:space="preserve">℃/min；</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10.起始荧光比值重复性＜0.01；</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.静态光散射检测分子量精确度≤10％分子量；</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.DLS检测重复性：在标准蛋白（如BSA）检测中，粒径检测结果应具备良好的重复性，能够区分3nm~5nm的粒径差异</w:t>
      </w:r>
      <w:r>
        <w:rPr>
          <w:rFonts w:hint="eastAsia"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.数据采集时间：</w:t>
      </w:r>
      <w:r>
        <w:rPr>
          <w:rFonts w:hint="eastAsia" w:ascii="宋体" w:hAnsi="宋体" w:eastAsia="宋体" w:cs="Times New Roman"/>
          <w:sz w:val="24"/>
          <w:szCs w:val="24"/>
        </w:rPr>
        <w:t xml:space="preserve">要求48个样品单次</w:t>
      </w:r>
      <w:r>
        <w:rPr>
          <w:rFonts w:ascii="宋体" w:hAnsi="宋体" w:eastAsia="宋体" w:cs="Times New Roman"/>
          <w:sz w:val="24"/>
          <w:szCs w:val="24"/>
        </w:rPr>
        <w:t xml:space="preserve">数据采集时间≤</w:t>
      </w:r>
      <w:r>
        <w:rPr>
          <w:rFonts w:hint="eastAsia" w:ascii="宋体" w:hAnsi="宋体" w:eastAsia="宋体" w:cs="Times New Roman"/>
          <w:sz w:val="24"/>
          <w:szCs w:val="24"/>
        </w:rPr>
        <w:t xml:space="preserve">20秒</w:t>
      </w:r>
      <w:r>
        <w:rPr>
          <w:rFonts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4</w:t>
      </w:r>
      <w:r>
        <w:rPr>
          <w:rFonts w:ascii="宋体" w:hAnsi="宋体" w:eastAsia="宋体" w:cs="Times New Roman"/>
          <w:sz w:val="24"/>
          <w:szCs w:val="24"/>
        </w:rPr>
        <w:t xml:space="preserve">.测定时无需添加外源染料，无需标记；</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.软件采用可视化呈现方式，Tm、Tturbidity、Tsize等数据可在软件中同步展示</w:t>
      </w:r>
      <w:r>
        <w:rPr>
          <w:rFonts w:hint="eastAsia" w:ascii="宋体" w:hAnsi="宋体" w:eastAsia="宋体" w:cs="Times New Roman"/>
          <w:sz w:val="24"/>
          <w:szCs w:val="24"/>
        </w:rPr>
        <w:t xml:space="preserve">，</w:t>
      </w:r>
      <w:r>
        <w:rPr>
          <w:rFonts w:ascii="宋体" w:hAnsi="宋体" w:eastAsia="宋体" w:cs="Times New Roman"/>
          <w:sz w:val="24"/>
          <w:szCs w:val="24"/>
        </w:rPr>
        <w:t xml:space="preserve">可同步分析粒径随温度变化与聚集的对应关系</w:t>
      </w:r>
      <w:r>
        <w:rPr>
          <w:rFonts w:hint="eastAsia" w:ascii="宋体" w:hAnsi="宋体" w:eastAsia="宋体" w:cs="Times New Roman"/>
          <w:sz w:val="24"/>
          <w:szCs w:val="24"/>
        </w:rPr>
        <w:t xml:space="preserve">；</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6</w:t>
      </w:r>
      <w:r>
        <w:rPr>
          <w:rFonts w:ascii="宋体" w:hAnsi="宋体" w:eastAsia="宋体" w:cs="Times New Roman"/>
          <w:sz w:val="24"/>
          <w:szCs w:val="24"/>
        </w:rPr>
        <w:t xml:space="preserve">.仪器无液流系统，实验完成后不需要对仪器进行清洗和维护；</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17</w:t>
      </w:r>
      <w:r>
        <w:rPr>
          <w:rFonts w:ascii="宋体" w:hAnsi="宋体" w:eastAsia="宋体" w:cs="Times New Roman"/>
          <w:sz w:val="24"/>
          <w:szCs w:val="24"/>
        </w:rPr>
        <w:t xml:space="preserve">.配备多功能智能软件包，包含热稳定性、等温稳定性、蛋白去折叠和再折叠动力学等多种测定和分析模式；</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18.样品上样通过毛细作用，无需移液枪移液，避免上样误差；</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19.能够采用背向反射光测定Ttubidity（聚集起始温度），并能通过浊度表征聚集程度；</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20.背反射模块粒径分辨率：半径大于12.5nm；</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21.运行一次至少可直接显示：Tm、Tturbidity、Tonset、Tsize、Tscattering、rH 六个参数。</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（二）配置清单</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1. 仪器主机1台；</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2. 荧光检测模块1套；</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3. 背反射聚集检测模块1套；</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4. 动态光散射（DLS）模块1套；</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5. 静态光散射（SLS）模块1套；</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6. 石英玻璃毛细管（≥24根/组，适配48通量）1套；</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Times New Roman"/>
          <w:sz w:val="24"/>
          <w:szCs w:val="24"/>
        </w:rPr>
        <w:t xml:space="preserve">7. 多功能智能软件包1套；</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8. 数据处理工作站（含显示器）1套</w:t>
      </w:r>
      <w:r>
        <w:rPr>
          <w:rFonts w:hint="eastAsia" w:ascii="宋体" w:hAnsi="宋体" w:eastAsia="宋体" w:cs="Times New Roman"/>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（三）核心产品</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本项目核心产品：高通量蛋白稳定性分析仪。</w:t>
      </w:r>
      <w:r/>
    </w:p>
    <w:p>
      <w:pPr>
        <w:pStyle w:val="963"/>
        <w:ind w:firstLine="482"/>
        <w:spacing w:before="0" w:beforeAutospacing="0" w:after="0" w:afterAutospacing="0" w:line="360" w:lineRule="auto"/>
        <w:shd w:val="clear" w:color="auto" w:fill="ffffff"/>
        <w:rPr>
          <w:rFonts w:ascii="Times New Roman" w:hAnsi="Times New Roman" w:cs="Times New Roman"/>
          <w:b/>
          <w:bCs/>
          <w:color w:val="333333"/>
        </w:rPr>
      </w:pPr>
      <w:r>
        <w:rPr>
          <w:rFonts w:hint="eastAsia" w:ascii="Times New Roman" w:hAnsi="Times New Roman" w:cs="Times New Roman"/>
          <w:b/>
          <w:bCs/>
          <w:color w:val="333333"/>
        </w:rPr>
        <w:t xml:space="preserve">（四）付款方式</w:t>
      </w:r>
      <w:r/>
    </w:p>
    <w:p>
      <w:pPr>
        <w:pStyle w:val="963"/>
        <w:ind w:firstLine="480"/>
        <w:spacing w:before="0" w:beforeAutospacing="0" w:after="0" w:afterAutospacing="0" w:line="360" w:lineRule="auto"/>
        <w:shd w:val="clear" w:color="auto" w:fill="ffffff"/>
        <w:rPr>
          <w:rFonts w:cs="Times New Roman"/>
          <w:bCs/>
        </w:rPr>
      </w:pPr>
      <w:r>
        <w:rPr>
          <w:rFonts w:hint="eastAsia" w:cs="Times New Roman"/>
          <w:bCs/>
        </w:rPr>
        <w:t xml:space="preserve">（</w:t>
      </w:r>
      <w:r>
        <w:rPr>
          <w:rFonts w:cs="Times New Roman"/>
          <w:bCs/>
        </w:rPr>
        <w:t xml:space="preserve">1）在合同签订后30日内，采购人向中标供应商支付</w:t>
      </w:r>
      <w:r>
        <w:rPr>
          <w:rFonts w:hint="eastAsia" w:cs="Times New Roman"/>
          <w:bCs/>
        </w:rPr>
        <w:t xml:space="preserve">合同总价</w:t>
      </w:r>
      <w:r>
        <w:rPr>
          <w:rFonts w:cs="Times New Roman"/>
          <w:bCs/>
        </w:rPr>
        <w:t xml:space="preserve">90%的</w:t>
      </w:r>
      <w:r>
        <w:rPr>
          <w:rFonts w:hint="eastAsia" w:cs="Times New Roman"/>
          <w:bCs/>
        </w:rPr>
        <w:t xml:space="preserve">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w:t>
      </w:r>
      <w:r>
        <w:rPr>
          <w:rFonts w:cs="Times New Roman"/>
          <w:bCs/>
        </w:rPr>
        <w:t xml:space="preserve">30日内无息退还； </w:t>
      </w:r>
      <w:r/>
    </w:p>
    <w:p>
      <w:pPr>
        <w:pStyle w:val="963"/>
        <w:ind w:firstLine="480"/>
        <w:spacing w:before="0" w:beforeAutospacing="0" w:after="0" w:afterAutospacing="0" w:line="360" w:lineRule="auto"/>
        <w:shd w:val="clear" w:color="auto" w:fill="ffffff"/>
        <w:rPr>
          <w:rFonts w:cs="Times New Roman"/>
          <w:bCs/>
        </w:rPr>
      </w:pPr>
      <w:r>
        <w:rPr>
          <w:rFonts w:hint="eastAsia" w:cs="Times New Roman"/>
          <w:bCs/>
        </w:rPr>
        <w:t xml:space="preserve">（</w:t>
      </w:r>
      <w:r>
        <w:rPr>
          <w:rFonts w:cs="Times New Roman"/>
          <w:bCs/>
        </w:rPr>
        <w:t xml:space="preserve">2）</w:t>
      </w:r>
      <w:r>
        <w:rPr>
          <w:rFonts w:hint="eastAsia" w:cs="Times New Roman"/>
          <w:bCs/>
        </w:rPr>
        <w:t xml:space="preserve">全部设备完成安装、调试并正常运行后，经采购人签署最终验收合格证明文件（以采购人统一制式标准及签章为准），采购人再行支付合同总价</w:t>
      </w:r>
      <w:r>
        <w:rPr>
          <w:rFonts w:cs="Times New Roman"/>
          <w:bCs/>
        </w:rPr>
        <w:t xml:space="preserve">10%的尾款；</w:t>
      </w:r>
      <w:r/>
    </w:p>
    <w:p>
      <w:pPr>
        <w:pStyle w:val="963"/>
        <w:ind w:firstLine="480"/>
        <w:spacing w:before="0" w:beforeAutospacing="0" w:after="0" w:afterAutospacing="0" w:line="360" w:lineRule="auto"/>
        <w:shd w:val="clear" w:color="auto" w:fill="ffffff"/>
        <w:rPr>
          <w:rFonts w:cs="Times New Roman"/>
          <w:bCs/>
        </w:rPr>
      </w:pPr>
      <w:r>
        <w:rPr>
          <w:rFonts w:hint="eastAsia" w:cs="Times New Roman"/>
          <w:bCs/>
        </w:rPr>
        <w:t xml:space="preserve">（</w:t>
      </w:r>
      <w:r>
        <w:rPr>
          <w:rFonts w:cs="Times New Roman"/>
          <w:bCs/>
        </w:rPr>
        <w:t xml:space="preserve">3）每次付款前，中标单位均须提供对应</w:t>
      </w:r>
      <w:r>
        <w:rPr>
          <w:rFonts w:hint="eastAsia" w:cs="Times New Roman"/>
          <w:bCs/>
        </w:rPr>
        <w:t xml:space="preserve">金额的、合法有效</w:t>
      </w:r>
      <w:r>
        <w:rPr>
          <w:rFonts w:cs="Times New Roman"/>
          <w:bCs/>
        </w:rPr>
        <w:t xml:space="preserve">增值税专用发票。</w:t>
      </w:r>
      <w:r/>
    </w:p>
    <w:p>
      <w:pPr>
        <w:pStyle w:val="963"/>
        <w:ind w:firstLine="482"/>
        <w:spacing w:before="0" w:beforeAutospacing="0" w:after="0" w:afterAutospacing="0" w:line="360" w:lineRule="auto"/>
        <w:shd w:val="clear" w:color="auto" w:fill="ffffff"/>
        <w:rPr>
          <w:rFonts w:cstheme="minorBidi"/>
          <w:szCs w:val="22"/>
        </w:rPr>
      </w:pPr>
      <w:r>
        <w:rPr>
          <w:rFonts w:hint="eastAsia"/>
          <w:b/>
          <w:bCs/>
          <w:szCs w:val="21"/>
        </w:rPr>
        <w:t xml:space="preserve">（五）</w:t>
      </w:r>
      <w:r>
        <w:rPr>
          <w:rFonts w:hint="eastAsia" w:cstheme="minorBidi"/>
          <w:b/>
          <w:bCs/>
          <w:szCs w:val="22"/>
        </w:rPr>
        <w:t xml:space="preserve">履约保证金</w:t>
      </w:r>
      <w:r/>
    </w:p>
    <w:p>
      <w:pPr>
        <w:pStyle w:val="963"/>
        <w:ind w:firstLine="480"/>
        <w:spacing w:before="0" w:beforeAutospacing="0" w:after="0" w:afterAutospacing="0" w:line="360" w:lineRule="auto"/>
        <w:shd w:val="clear" w:color="auto" w:fill="ffffff"/>
        <w:rPr>
          <w:rFonts w:cstheme="minorBidi"/>
          <w:szCs w:val="22"/>
        </w:rPr>
      </w:pPr>
      <w:r>
        <w:rPr>
          <w:rFonts w:hint="eastAsia" w:cstheme="minorBidi"/>
          <w:szCs w:val="22"/>
        </w:rPr>
        <w:t xml:space="preserve">中标供应商须在签订合同前，向采购人缴纳合同金额的</w:t>
      </w:r>
      <w:r>
        <w:rPr>
          <w:rFonts w:cstheme="minorBidi"/>
          <w:szCs w:val="22"/>
        </w:rPr>
        <w:t xml:space="preserve">10%作为履约保证金，至</w:t>
      </w:r>
      <w:r>
        <w:rPr>
          <w:rFonts w:hint="eastAsia" w:cstheme="minorBidi"/>
          <w:szCs w:val="22"/>
        </w:rPr>
        <w:t xml:space="preserve">采购人</w:t>
      </w:r>
      <w:r>
        <w:rPr>
          <w:rFonts w:cstheme="minorBidi"/>
          <w:szCs w:val="22"/>
        </w:rPr>
        <w:t xml:space="preserve">签署最终验收合格证明之日起稳定运行1年后无息退还。</w:t>
      </w:r>
      <w:r/>
    </w:p>
    <w:p>
      <w:pPr>
        <w:pStyle w:val="963"/>
        <w:ind w:firstLine="480"/>
        <w:spacing w:before="0" w:beforeAutospacing="0" w:after="0" w:afterAutospacing="0" w:line="360" w:lineRule="auto"/>
        <w:shd w:val="clear" w:color="auto" w:fill="ffffff"/>
        <w:rPr>
          <w:rFonts w:ascii="Times New Roman" w:hAnsi="Times New Roman" w:cs="Times New Roman"/>
          <w:color w:val="333333"/>
        </w:rPr>
      </w:pPr>
      <w:r>
        <w:rPr>
          <w:rFonts w:hint="eastAsia" w:ascii="Times New Roman" w:hAnsi="Times New Roman" w:cs="Times New Roman"/>
        </w:rPr>
        <w:t xml:space="preserve">履约保证金形式：以转账、支票、汇票、本票或者金融机构、担保机构出具的见索即付保函等非现金形式提交（保函内容须经学校认可）。</w:t>
      </w:r>
      <w:r/>
    </w:p>
    <w:p>
      <w:pPr>
        <w:pStyle w:val="963"/>
        <w:ind w:firstLine="482"/>
        <w:spacing w:before="0" w:beforeAutospacing="0" w:after="0" w:afterAutospacing="0" w:line="360" w:lineRule="auto"/>
        <w:shd w:val="clear" w:color="auto" w:fill="ffffff"/>
        <w:rPr>
          <w:rFonts w:ascii="Times New Roman" w:hAnsi="Times New Roman" w:cs="Times New Roman"/>
          <w:b/>
          <w:bCs/>
          <w:color w:val="333333"/>
        </w:rPr>
      </w:pPr>
      <w:r>
        <w:rPr>
          <w:rFonts w:hint="eastAsia" w:ascii="Times New Roman" w:hAnsi="Times New Roman" w:cs="Times New Roman"/>
          <w:b/>
          <w:bCs/>
          <w:color w:val="333333"/>
        </w:rPr>
        <w:t xml:space="preserve">（六）交付及安装调试</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1．交付流程：中标供应商应当在合同签订</w:t>
      </w:r>
      <w:r>
        <w:rPr>
          <w:rFonts w:hint="eastAsia"/>
        </w:rPr>
        <w:t xml:space="preserve">后8个月内将</w:t>
      </w:r>
      <w:r>
        <w:rPr>
          <w:rFonts w:hint="eastAsia"/>
          <w:color w:val="333333"/>
        </w:rPr>
        <w:t xml:space="preserve">货物运送至采购人指定</w:t>
      </w:r>
      <w:r>
        <w:rPr>
          <w:rFonts w:hint="eastAsia"/>
          <w:szCs w:val="22"/>
        </w:rPr>
        <w:t xml:space="preserve">实验室（采购方另行约定时间的除外，但最迟不得晚于2027年3月31日）</w:t>
      </w:r>
      <w:r>
        <w:rPr>
          <w:rFonts w:hint="eastAsia"/>
          <w:color w:val="333333"/>
        </w:rPr>
        <w:t xml:space="preserve">。</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2．安装、调试及培训：中标供应商将设备运送至指定地点后的</w:t>
      </w:r>
      <w:r>
        <w:rPr>
          <w:color w:val="333333"/>
        </w:rPr>
        <w:t xml:space="preserve">5</w:t>
      </w:r>
      <w:r>
        <w:rPr>
          <w:rFonts w:hint="eastAsia"/>
          <w:color w:val="333333"/>
        </w:rPr>
        <w:t xml:space="preserve">个工作日内，采购方与中标供应商应确认安装调试日期，采购方应根据中标供应商要求准备好安装调试条件，中标供应商派专人到现场进行安装调试，并对采购方人员进行相关培训。</w:t>
      </w:r>
      <w:r/>
    </w:p>
    <w:p>
      <w:pPr>
        <w:pStyle w:val="963"/>
        <w:ind w:firstLine="482"/>
        <w:spacing w:before="0" w:beforeAutospacing="0" w:after="0" w:afterAutospacing="0" w:line="360" w:lineRule="auto"/>
        <w:shd w:val="clear" w:color="auto" w:fill="ffffff"/>
        <w:rPr>
          <w:b/>
          <w:bCs/>
          <w:color w:val="333333"/>
        </w:rPr>
      </w:pPr>
      <w:r>
        <w:rPr>
          <w:rFonts w:hint="eastAsia"/>
          <w:b/>
          <w:bCs/>
          <w:color w:val="333333"/>
        </w:rPr>
        <w:t xml:space="preserve">（七）验收标准</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货物安装调试完成后，按如下指标进行逐项测试：</w:t>
      </w:r>
      <w:r/>
    </w:p>
    <w:p>
      <w:pPr>
        <w:ind w:firstLine="480"/>
        <w:spacing w:line="360" w:lineRule="auto"/>
        <w:shd w:val="clear" w:color="auto" w:fill="ffffff"/>
        <w:rPr>
          <w:rFonts w:ascii="宋体" w:hAnsi="宋体" w:eastAsia="宋体" w:cs="Times New Roman"/>
          <w:sz w:val="24"/>
          <w:szCs w:val="24"/>
        </w:rPr>
      </w:pPr>
      <w:r>
        <w:rPr>
          <w:rFonts w:hint="eastAsia" w:ascii="宋体" w:hAnsi="宋体" w:eastAsia="宋体" w:cs="宋体"/>
          <w:sz w:val="24"/>
          <w:szCs w:val="24"/>
        </w:rPr>
        <w:t xml:space="preserve">1.检测通量：可平行测定≥48 个样品</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2.检测模块：配置内源荧光检测模块、背反射聚集检测模块、DLS 动态光散射检测模块和SLS 静态光检测模块；</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3.上样方式：高精度石英玻璃毛细管，上样后无需密封；</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4.温度控制范围：18℃</w:t>
      </w:r>
      <w:r>
        <w:rPr>
          <w:rFonts w:ascii="Calibri" w:hAnsi="Calibri" w:eastAsia="宋体" w:cs="Calibri"/>
          <w:sz w:val="24"/>
          <w:szCs w:val="24"/>
        </w:rPr>
        <w:t xml:space="preserve">~</w:t>
      </w:r>
      <w:r>
        <w:rPr>
          <w:rFonts w:ascii="宋体" w:hAnsi="宋体" w:eastAsia="宋体" w:cs="Times New Roman"/>
          <w:sz w:val="24"/>
          <w:szCs w:val="24"/>
        </w:rPr>
        <w:t xml:space="preserve">108℃；</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5.升温速率：0.2</w:t>
      </w:r>
      <w:r>
        <w:rPr>
          <w:rFonts w:ascii="Calibri" w:hAnsi="Calibri" w:eastAsia="宋体" w:cs="Calibri"/>
          <w:sz w:val="24"/>
          <w:szCs w:val="24"/>
        </w:rPr>
        <w:t xml:space="preserve">~</w:t>
      </w:r>
      <w:r>
        <w:rPr>
          <w:rFonts w:ascii="宋体" w:hAnsi="宋体" w:eastAsia="宋体" w:cs="Times New Roman"/>
          <w:sz w:val="24"/>
          <w:szCs w:val="24"/>
        </w:rPr>
        <w:t xml:space="preserve">6℃/min；</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6.样品浓度范围：0.008mg/mL</w:t>
      </w:r>
      <w:r>
        <w:rPr>
          <w:rFonts w:ascii="Calibri" w:hAnsi="Calibri" w:eastAsia="宋体" w:cs="Calibri"/>
          <w:sz w:val="24"/>
          <w:szCs w:val="24"/>
        </w:rPr>
        <w:t xml:space="preserve">~</w:t>
      </w:r>
      <w:r>
        <w:rPr>
          <w:rFonts w:ascii="宋体" w:hAnsi="宋体" w:eastAsia="宋体" w:cs="Times New Roman"/>
          <w:sz w:val="24"/>
          <w:szCs w:val="24"/>
        </w:rPr>
        <w:t xml:space="preserve">240 mg/mL；</w:t>
      </w:r>
      <w:r/>
    </w:p>
    <w:p>
      <w:pPr>
        <w:ind w:firstLine="480"/>
        <w:spacing w:line="360" w:lineRule="auto"/>
        <w:shd w:val="clear" w:color="auto" w:fill="ffffff"/>
        <w:rPr>
          <w:rFonts w:ascii="宋体" w:hAnsi="宋体" w:eastAsia="宋体" w:cs="Times New Roman"/>
          <w:sz w:val="24"/>
          <w:szCs w:val="24"/>
        </w:rPr>
      </w:pPr>
      <w:r>
        <w:rPr>
          <w:rFonts w:ascii="宋体" w:hAnsi="宋体" w:eastAsia="宋体" w:cs="Times New Roman"/>
          <w:sz w:val="24"/>
          <w:szCs w:val="24"/>
        </w:rPr>
        <w:t xml:space="preserve">7.测定时直接上样，无需添加外源染料，无需标记，通过内源荧光检测。</w:t>
      </w:r>
      <w:r/>
    </w:p>
    <w:p>
      <w:pPr>
        <w:pStyle w:val="963"/>
        <w:ind w:firstLine="480"/>
        <w:spacing w:before="0" w:beforeAutospacing="0" w:after="0" w:afterAutospacing="0" w:line="360" w:lineRule="auto"/>
        <w:shd w:val="clear" w:color="auto" w:fill="ffffff"/>
        <w:rPr>
          <w:rFonts w:ascii="Times New Roman" w:hAnsi="Times New Roman" w:cs="Times New Roman"/>
          <w:color w:val="333333"/>
        </w:rPr>
      </w:pPr>
      <w:r>
        <w:rPr>
          <w:rFonts w:hint="eastAsia" w:ascii="Times New Roman" w:hAnsi="Times New Roman" w:cs="Times New Roman"/>
          <w:color w:val="333333"/>
        </w:rPr>
        <w:t xml:space="preserve">除满足上述技术指标外，本合同未规定的其他指标应按国际、国家相关标准、行业通行标准及厂方出厂标准进行验收。</w:t>
      </w:r>
      <w:r/>
    </w:p>
    <w:p>
      <w:pPr>
        <w:pStyle w:val="963"/>
        <w:ind w:firstLine="482"/>
        <w:spacing w:before="0" w:beforeAutospacing="0" w:after="0" w:afterAutospacing="0" w:line="360" w:lineRule="auto"/>
        <w:shd w:val="clear" w:color="auto" w:fill="ffffff"/>
        <w:rPr>
          <w:b/>
          <w:bCs/>
          <w:color w:val="333333"/>
        </w:rPr>
      </w:pPr>
      <w:r>
        <w:rPr>
          <w:rFonts w:hint="eastAsia"/>
          <w:b/>
          <w:bCs/>
          <w:color w:val="333333"/>
        </w:rPr>
        <w:t xml:space="preserve">（八）质保服务要求</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1．设备免费质保期不少于5年，自最终验收完成合格之日起算，</w:t>
      </w:r>
      <w:r>
        <w:rPr>
          <w:rFonts w:hint="eastAsia"/>
        </w:rPr>
        <w:t xml:space="preserve">终身维修</w:t>
      </w:r>
      <w:r>
        <w:rPr>
          <w:rFonts w:hint="eastAsia"/>
          <w:color w:val="333333"/>
        </w:rPr>
        <w:t xml:space="preserve">；</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963"/>
        <w:ind w:firstLine="482"/>
        <w:spacing w:before="0" w:beforeAutospacing="0" w:after="0" w:afterAutospacing="0" w:line="360" w:lineRule="auto"/>
        <w:shd w:val="clear" w:color="auto" w:fill="ffffff"/>
        <w:rPr>
          <w:b/>
          <w:bCs/>
          <w:color w:val="333333"/>
        </w:rPr>
      </w:pPr>
      <w:r>
        <w:rPr>
          <w:rFonts w:hint="eastAsia"/>
          <w:b/>
          <w:bCs/>
          <w:color w:val="333333"/>
        </w:rPr>
        <w:t xml:space="preserve">（九）报价要求</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1.报价币种为人民币。</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2.</w:t>
      </w:r>
      <w:r>
        <w:rPr>
          <w:rFonts w:hint="eastAsia"/>
        </w:rPr>
        <w:t xml:space="preserve">本次采购共一个标段，投标总报价一次报定，</w:t>
      </w:r>
      <w:r>
        <w:rPr>
          <w:rFonts w:hint="eastAsia"/>
          <w:color w:val="333333"/>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963"/>
        <w:ind w:firstLine="480"/>
        <w:spacing w:before="0" w:beforeAutospacing="0" w:after="0" w:afterAutospacing="0" w:line="360" w:lineRule="auto"/>
        <w:shd w:val="clear" w:color="auto" w:fill="ffffff"/>
      </w:pPr>
      <w:r>
        <w:rPr>
          <w:rFonts w:hint="eastAsia"/>
          <w:color w:val="333333"/>
        </w:rPr>
        <w:t xml:space="preserve">3.</w:t>
      </w:r>
      <w:r>
        <w:rPr>
          <w:rFonts w:hint="eastAsia"/>
          <w:b/>
          <w:bCs/>
        </w:rPr>
        <w:t xml:space="preserve">投标产品为进口产品时，报价必须为人民币含税价</w:t>
      </w:r>
      <w:r>
        <w:rPr>
          <w:rFonts w:hint="eastAsia"/>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rPr>
        <w:t xml:space="preserve">安装、调试、培训和检测等的全部费用</w:t>
      </w:r>
      <w:r>
        <w:rPr>
          <w:rFonts w:hint="eastAsia"/>
        </w:rPr>
        <w:t xml:space="preserve">。</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963"/>
        <w:ind w:firstLine="480"/>
        <w:spacing w:before="0" w:beforeAutospacing="0" w:after="0" w:afterAutospacing="0" w:line="360" w:lineRule="auto"/>
        <w:shd w:val="clear" w:color="auto" w:fill="ffffff"/>
        <w:rPr>
          <w:color w:val="333333"/>
        </w:rPr>
      </w:pPr>
      <w:r>
        <w:rPr>
          <w:rFonts w:hint="eastAsia"/>
          <w:color w:val="333333"/>
        </w:rPr>
        <w:t xml:space="preserve">（2）本次采购的产品使用场景不符合免税办理条件，如</w:t>
      </w:r>
      <w:r>
        <w:rPr>
          <w:rFonts w:hint="eastAsia"/>
          <w:b/>
          <w:bCs/>
        </w:rPr>
        <w:t xml:space="preserve">投标产品为</w:t>
      </w:r>
      <w:r>
        <w:rPr>
          <w:rFonts w:hint="eastAsia"/>
          <w:color w:val="333333"/>
        </w:rPr>
        <w:t xml:space="preserve">进口产品，即使在免税清单内，报价也必须为含税价，不接受免税报价。</w:t>
      </w:r>
      <w:r/>
    </w:p>
    <w:p>
      <w:pPr>
        <w:ind w:firstLine="48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（十）</w:t>
      </w:r>
      <w:r>
        <w:rPr>
          <w:rFonts w:hint="eastAsia" w:ascii="宋体" w:hAnsi="宋体" w:eastAsia="宋体" w:cs="宋体"/>
          <w:sz w:val="24"/>
          <w:szCs w:val="24"/>
        </w:rPr>
        <w:t xml:space="preserve">采购主要标的物数量、交付期及交付方式、付款方式、质保期、质保方式及★参数属于实质性响应要求，不得出现负偏离，否则视为无效投标。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五、综合说明</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售后服务</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质保期内根据采购人需要提供免费保养服务，质保期满后每年提供一次免费保养，软件终身免费升级，保证零配件的供给。</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spacing w:line="360" w:lineRule="auto"/>
        <w:rPr>
          <w:rFonts w:hint="eastAsia" w:ascii="宋体" w:hAnsi="宋体" w:eastAsia="宋体" w:cs="宋体"/>
          <w:b w:val="0"/>
          <w:bCs w:val="0"/>
          <w:color w:val="333333"/>
          <w:sz w:val="24"/>
          <w:szCs w:val="24"/>
        </w:rPr>
      </w:pPr>
      <w:r>
        <w:rPr>
          <w:rFonts w:hint="eastAsia" w:ascii="宋体" w:hAnsi="宋体" w:eastAsia="宋体" w:cs="宋体"/>
          <w:b w:val="0"/>
          <w:bCs w:val="0"/>
          <w:color w:val="333333"/>
          <w:sz w:val="24"/>
          <w:szCs w:val="24"/>
        </w:rPr>
        <w:t xml:space="preserve">6</w:t>
      </w:r>
      <w:r>
        <w:rPr>
          <w:rFonts w:hint="eastAsia" w:ascii="宋体" w:hAnsi="宋体" w:eastAsia="宋体" w:cs="宋体"/>
          <w:b w:val="0"/>
          <w:bCs w:val="0"/>
          <w:color w:val="333333"/>
          <w:sz w:val="24"/>
          <w:szCs w:val="24"/>
          <w:lang w:eastAsia="zh-CN"/>
        </w:rPr>
        <w:t xml:space="preserve">.</w:t>
      </w:r>
      <w:r>
        <w:rPr>
          <w:rFonts w:hint="eastAsia" w:ascii="宋体" w:hAnsi="宋体" w:eastAsia="宋体" w:cs="宋体"/>
          <w:b w:val="0"/>
          <w:bCs w:val="0"/>
          <w:color w:val="333333"/>
          <w:sz w:val="24"/>
          <w:szCs w:val="24"/>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 w:val="0"/>
          <w:bCs w:val="0"/>
          <w:color w:val="333333"/>
          <w:sz w:val="24"/>
          <w:szCs w:val="24"/>
        </w:rPr>
      </w:pPr>
      <w:r>
        <w:rPr>
          <w:rFonts w:hint="eastAsia" w:ascii="宋体" w:hAnsi="宋体" w:eastAsia="宋体" w:cs="宋体"/>
          <w:b w:val="0"/>
          <w:bCs w:val="0"/>
          <w:color w:val="333333"/>
          <w:sz w:val="24"/>
          <w:szCs w:val="24"/>
        </w:rPr>
        <w:t xml:space="preserve">7</w:t>
      </w:r>
      <w:r>
        <w:rPr>
          <w:rFonts w:hint="eastAsia" w:ascii="宋体" w:hAnsi="宋体" w:eastAsia="宋体" w:cs="宋体"/>
          <w:b w:val="0"/>
          <w:bCs w:val="0"/>
          <w:color w:val="333333"/>
          <w:sz w:val="24"/>
          <w:szCs w:val="24"/>
          <w:lang w:eastAsia="zh-CN"/>
        </w:rPr>
        <w:t xml:space="preserve">.</w:t>
      </w:r>
      <w:r>
        <w:rPr>
          <w:rFonts w:hint="eastAsia" w:ascii="宋体" w:hAnsi="宋体" w:eastAsia="宋体" w:cs="宋体"/>
          <w:b w:val="0"/>
          <w:bCs w:val="0"/>
          <w:color w:val="333333"/>
          <w:sz w:val="24"/>
          <w:szCs w:val="24"/>
        </w:rPr>
        <w:t xml:space="preserve">为本项目提供整体设计、规范编制或者项目管理、监理、监测等服务的供应商，不得再参加该采购项目的其他采购活动。</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如接受进口产品投标的项目，优先采购向我国企业转让技术、与我国企业签订消化吸收再创新方案的供应商的进口产品。</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采购项目需要落实的政府采购政策：</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9.1根据财政部、工业和信息化部关于印发《政府采购促进中小企业发展管理办法》的规定执行。 </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9.2根据财政部、司法部《关于政府采购支持监狱企业发展有关问题的通知》（财库〔2014〕68号）的规定执行。</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9.3根据财政部、民政部、中国残疾人联合会《关于促进残疾人就业政府采购政策的通知》（财库〔2017〕141号）的规定执行。 </w:t>
      </w:r>
      <w:r/>
    </w:p>
    <w:p>
      <w:pPr>
        <w:ind w:firstLine="480"/>
        <w:spacing w:line="360" w:lineRule="auto"/>
        <w:rPr>
          <w:rFonts w:hint="eastAsia" w:ascii="宋体" w:hAnsi="宋体" w:eastAsia="宋体" w:cs="宋体"/>
          <w:b w:val="0"/>
          <w:bCs w:val="0"/>
          <w:color w:val="333333"/>
          <w:sz w:val="24"/>
          <w:szCs w:val="24"/>
        </w:rPr>
      </w:pPr>
      <w:r>
        <w:rPr>
          <w:rFonts w:hint="eastAsia" w:ascii="宋体" w:hAnsi="宋体" w:eastAsia="宋体" w:cs="宋体"/>
          <w:color w:val="333333"/>
          <w:sz w:val="24"/>
          <w:szCs w:val="24"/>
        </w:rPr>
        <w:t xml:space="preserve">9.4绿色采购</w:t>
      </w:r>
      <w:r>
        <w:rPr>
          <w:rFonts w:hint="eastAsia" w:ascii="宋体" w:hAnsi="宋体" w:eastAsia="宋体" w:cs="宋体"/>
          <w:b w:val="0"/>
          <w:bCs w:val="0"/>
          <w:color w:val="333333"/>
          <w:sz w:val="24"/>
          <w:szCs w:val="24"/>
        </w:rPr>
        <w:t xml:space="preserve">（本项目不涉及节能环保产品采购）</w:t>
      </w:r>
      <w:r/>
    </w:p>
    <w:p>
      <w:pPr>
        <w:ind w:firstLine="480"/>
        <w:spacing w:line="360" w:lineRule="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bCs w:val="0"/>
          <w:color w:val="333333"/>
          <w:sz w:val="24"/>
          <w:szCs w:val="24"/>
        </w:rPr>
      </w:pPr>
      <w:r>
        <w:rPr>
          <w:rFonts w:hint="eastAsia" w:ascii="宋体" w:hAnsi="宋体" w:eastAsia="宋体" w:cs="宋体"/>
          <w:color w:val="333333"/>
          <w:sz w:val="24"/>
          <w:szCs w:val="24"/>
        </w:rPr>
        <w:t xml:space="preserve">10</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凡涉及采购文件的补充说明和修改，均以政府采购网所发布的公告为准</w:t>
      </w:r>
      <w:r>
        <w:rPr>
          <w:rFonts w:hint="eastAsia" w:ascii="宋体" w:hAnsi="宋体" w:eastAsia="宋体" w:cs="宋体"/>
          <w:bCs w:val="0"/>
          <w:color w:val="333333"/>
          <w:sz w:val="24"/>
          <w:szCs w:val="24"/>
        </w:rPr>
        <w:t xml:space="preserve">。</w:t>
      </w:r>
      <w:r/>
    </w:p>
    <w:p>
      <w:pPr>
        <w:ind w:firstLine="643"/>
        <w:spacing w:line="360" w:lineRule="auto"/>
        <w:rPr>
          <w:rFonts w:ascii="宋体" w:hAnsi="宋体" w:eastAsia="宋体" w:cs="宋体"/>
          <w:sz w:val="24"/>
          <w:szCs w:val="24"/>
        </w:rPr>
      </w:pPr>
      <w:r>
        <w:rPr>
          <w:rFonts w:ascii="宋体" w:hAnsi="宋体"/>
          <w:b/>
          <w:bCs/>
          <w:sz w:val="32"/>
          <w:szCs w:val="32"/>
        </w:rPr>
        <w:br w:type="page" w:clear="all"/>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5"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5"/>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ascii="宋体" w:hAnsi="宋体" w:cs="宋体"/>
          <w:szCs w:val="21"/>
        </w:rPr>
      </w:pPr>
      <w:r>
        <w:rPr>
          <w:rFonts w:ascii="宋体" w:hAnsi="宋体" w:cs="宋体"/>
          <w:szCs w:val="21"/>
        </w:rPr>
      </w:r>
      <w:r/>
    </w:p>
    <w:p>
      <w:pPr>
        <w:jc w:val="center"/>
        <w:spacing w:line="360" w:lineRule="auto"/>
        <w:rPr>
          <w:b/>
          <w:sz w:val="24"/>
        </w:rPr>
      </w:pPr>
      <w:r>
        <w:rPr>
          <w:rFonts w:hint="eastAsia"/>
          <w:b/>
          <w:sz w:val="24"/>
        </w:rPr>
        <w:t xml:space="preserve">合同编号：</w:t>
      </w:r>
      <w:r/>
    </w:p>
    <w:p>
      <w:pPr>
        <w:ind w:firstLine="480"/>
        <w:spacing w:line="360" w:lineRule="auto"/>
        <w:rPr>
          <w:sz w:val="24"/>
          <w:szCs w:val="24"/>
        </w:rPr>
      </w:pPr>
      <w:r>
        <w:rPr>
          <w:rFonts w:hAnsi="宋体"/>
          <w:sz w:val="24"/>
          <w:szCs w:val="24"/>
          <w:lang w:val="zh-CN"/>
        </w:rPr>
        <w:t xml:space="preserve">甲方：</w:t>
      </w:r>
      <w:r>
        <w:rPr>
          <w:rFonts w:hint="eastAsia"/>
          <w:sz w:val="24"/>
          <w:szCs w:val="24"/>
          <w:lang w:val="zh-CN"/>
        </w:rPr>
        <w:t xml:space="preserve">苏州大学</w:t>
      </w:r>
      <w:r>
        <w:rPr>
          <w:sz w:val="24"/>
          <w:szCs w:val="24"/>
          <w:lang w:val="zh-CN"/>
        </w:rPr>
        <w:t xml:space="preserve"> </w:t>
      </w:r>
      <w:r/>
    </w:p>
    <w:p>
      <w:pPr>
        <w:ind w:firstLine="480"/>
        <w:spacing w:line="360" w:lineRule="auto"/>
        <w:rPr>
          <w:sz w:val="24"/>
          <w:szCs w:val="24"/>
          <w:u w:val="single"/>
        </w:rPr>
      </w:pPr>
      <w:r>
        <w:rPr>
          <w:rFonts w:hAnsi="宋体"/>
          <w:sz w:val="24"/>
          <w:szCs w:val="24"/>
          <w:lang w:val="zh-CN"/>
        </w:rPr>
        <w:t xml:space="preserve">乙方：</w:t>
      </w:r>
      <w:r/>
    </w:p>
    <w:p>
      <w:pPr>
        <w:ind w:firstLine="480"/>
        <w:spacing w:line="360" w:lineRule="auto"/>
        <w:rPr>
          <w:rFonts w:hAnsi="宋体"/>
          <w:sz w:val="24"/>
          <w:szCs w:val="24"/>
          <w:lang w:val="zh-CN"/>
        </w:rPr>
      </w:pPr>
      <w:r>
        <w:rPr>
          <w:rFonts w:hAnsi="宋体"/>
          <w:sz w:val="24"/>
          <w:szCs w:val="24"/>
          <w:lang w:val="zh-CN"/>
        </w:rPr>
      </w:r>
      <w:r/>
    </w:p>
    <w:p>
      <w:pPr>
        <w:ind w:firstLine="480"/>
        <w:spacing w:line="360" w:lineRule="auto"/>
        <w:rPr>
          <w:sz w:val="24"/>
          <w:szCs w:val="24"/>
        </w:rPr>
      </w:pPr>
      <w:r>
        <w:rPr>
          <w:rFonts w:hAnsi="宋体"/>
          <w:sz w:val="24"/>
          <w:szCs w:val="24"/>
          <w:lang w:val="zh-CN"/>
        </w:rPr>
        <w:t xml:space="preserve">根据政府采购编号</w:t>
      </w:r>
      <w:r>
        <w:rPr>
          <w:rFonts w:hint="eastAsia" w:hAnsi="宋体"/>
          <w:sz w:val="24"/>
          <w:szCs w:val="24"/>
          <w:lang w:val="zh-CN"/>
        </w:rPr>
        <w:t xml:space="preserve">JSZC-320500-HWZX-G2026-0388</w:t>
      </w:r>
      <w:r>
        <w:rPr>
          <w:rFonts w:hint="eastAsia"/>
          <w:sz w:val="24"/>
          <w:szCs w:val="24"/>
          <w:lang w:val="zh-CN"/>
        </w:rPr>
        <w:t xml:space="preserve">号</w:t>
      </w:r>
      <w:r>
        <w:rPr>
          <w:rFonts w:hAnsi="宋体"/>
          <w:sz w:val="24"/>
          <w:szCs w:val="24"/>
          <w:lang w:val="zh-CN"/>
        </w:rPr>
        <w:t xml:space="preserve">采购文件及乙方中标的投标文件和中标通知书，甲乙双方就此次中标的</w:t>
      </w:r>
      <w:r>
        <w:rPr>
          <w:rFonts w:hint="eastAsia" w:hAnsi="宋体"/>
          <w:sz w:val="24"/>
          <w:szCs w:val="24"/>
          <w:lang w:val="zh-CN"/>
        </w:rPr>
        <w:t xml:space="preserve">高通量蛋白稳定性分析仪</w:t>
      </w:r>
      <w:r>
        <w:rPr>
          <w:rFonts w:hAnsi="宋体"/>
          <w:sz w:val="24"/>
          <w:szCs w:val="24"/>
          <w:lang w:val="zh-CN"/>
        </w:rPr>
        <w:t xml:space="preserve">事宜，签订本合同书。</w:t>
      </w:r>
      <w:r/>
    </w:p>
    <w:p>
      <w:pPr>
        <w:ind w:firstLine="482"/>
        <w:spacing w:line="360" w:lineRule="auto"/>
        <w:rPr>
          <w:rFonts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9"/>
        <w:gridCol w:w="1738"/>
        <w:gridCol w:w="868"/>
        <w:gridCol w:w="1550"/>
        <w:gridCol w:w="1491"/>
        <w:gridCol w:w="723"/>
        <w:gridCol w:w="1121"/>
      </w:tblGrid>
      <w:tr>
        <w:trPr/>
        <w:tc>
          <w:tcPr>
            <w:tcW w:w="347" w:type="pct"/>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714" w:type="pct"/>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913" w:type="pct"/>
            <w:textDirection w:val="lrTb"/>
            <w:noWrap w:val="false"/>
          </w:tcPr>
          <w:p>
            <w:pPr>
              <w:jc w:val="center"/>
              <w:rPr>
                <w:rFonts w:ascii="宋体" w:hAnsi="宋体" w:cs="宋体"/>
                <w:sz w:val="24"/>
                <w:szCs w:val="24"/>
              </w:rPr>
            </w:pPr>
            <w:r>
              <w:rPr>
                <w:rFonts w:hint="eastAsia" w:ascii="宋体" w:hAnsi="宋体" w:cs="宋体"/>
                <w:sz w:val="24"/>
                <w:szCs w:val="24"/>
              </w:rPr>
              <w:t xml:space="preserve">型号、规格</w:t>
            </w:r>
            <w:r/>
          </w:p>
        </w:tc>
        <w:tc>
          <w:tcPr>
            <w:tcW w:w="456" w:type="pct"/>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W w:w="814" w:type="pct"/>
            <w:textDirection w:val="lrTb"/>
            <w:noWrap w:val="false"/>
          </w:tcPr>
          <w:p>
            <w:pPr>
              <w:jc w:val="center"/>
              <w:rPr>
                <w:rFonts w:ascii="宋体" w:hAnsi="宋体" w:cs="宋体"/>
                <w:sz w:val="24"/>
                <w:szCs w:val="24"/>
              </w:rPr>
            </w:pPr>
            <w:r>
              <w:rPr>
                <w:rFonts w:hint="eastAsia" w:ascii="宋体" w:hAnsi="宋体" w:cs="宋体"/>
                <w:sz w:val="24"/>
                <w:szCs w:val="24"/>
              </w:rPr>
              <w:t xml:space="preserve">单价（万元人民币）</w:t>
            </w:r>
            <w:r/>
          </w:p>
        </w:tc>
        <w:tc>
          <w:tcPr>
            <w:tcW w:w="783" w:type="pct"/>
            <w:textDirection w:val="lrTb"/>
            <w:noWrap w:val="false"/>
          </w:tcPr>
          <w:p>
            <w:pPr>
              <w:jc w:val="center"/>
              <w:rPr>
                <w:rFonts w:ascii="宋体" w:hAnsi="宋体" w:cs="宋体"/>
                <w:sz w:val="24"/>
                <w:szCs w:val="24"/>
              </w:rPr>
            </w:pPr>
            <w:r>
              <w:rPr>
                <w:rFonts w:hint="eastAsia" w:ascii="宋体" w:hAnsi="宋体" w:cs="宋体"/>
                <w:sz w:val="24"/>
                <w:szCs w:val="24"/>
              </w:rPr>
              <w:t xml:space="preserve">总价（万元人民币）</w:t>
            </w:r>
            <w:r/>
          </w:p>
        </w:tc>
        <w:tc>
          <w:tcPr>
            <w:tcW w:w="380" w:type="pct"/>
            <w:textDirection w:val="lrTb"/>
            <w:noWrap w:val="false"/>
          </w:tcPr>
          <w:p>
            <w:pPr>
              <w:jc w:val="center"/>
              <w:rPr>
                <w:rFonts w:ascii="宋体" w:hAnsi="宋体" w:cs="宋体"/>
                <w:sz w:val="24"/>
                <w:szCs w:val="24"/>
              </w:rPr>
            </w:pPr>
            <w:r>
              <w:rPr>
                <w:rFonts w:hint="eastAsia" w:ascii="宋体" w:hAnsi="宋体" w:cs="宋体"/>
                <w:sz w:val="24"/>
                <w:szCs w:val="24"/>
              </w:rPr>
              <w:t xml:space="preserve">品牌</w:t>
            </w:r>
            <w:r/>
          </w:p>
        </w:tc>
        <w:tc>
          <w:tcPr>
            <w:tcW w:w="5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产地</w:t>
            </w:r>
            <w:r/>
          </w:p>
        </w:tc>
      </w:tr>
      <w:tr>
        <w:trPr>
          <w:trHeight w:val="300"/>
        </w:trPr>
        <w:tc>
          <w:tcPr>
            <w:tcW w:w="347"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714" w:type="pct"/>
            <w:textDirection w:val="lrTb"/>
            <w:noWrap w:val="false"/>
          </w:tcPr>
          <w:p>
            <w:pPr>
              <w:jc w:val="center"/>
              <w:rPr>
                <w:rFonts w:ascii="宋体" w:hAnsi="宋体" w:cs="宋体"/>
                <w:sz w:val="24"/>
                <w:szCs w:val="24"/>
              </w:rPr>
            </w:pPr>
            <w:r>
              <w:rPr>
                <w:rFonts w:ascii="宋体" w:hAnsi="宋体" w:cs="宋体"/>
                <w:sz w:val="24"/>
                <w:szCs w:val="24"/>
              </w:rPr>
            </w:r>
            <w:r/>
          </w:p>
        </w:tc>
        <w:tc>
          <w:tcPr>
            <w:tcW w:w="913" w:type="pct"/>
            <w:textDirection w:val="lrTb"/>
            <w:noWrap w:val="false"/>
          </w:tcPr>
          <w:p>
            <w:pPr>
              <w:jc w:val="center"/>
              <w:rPr>
                <w:rFonts w:ascii="宋体" w:hAnsi="宋体" w:cs="宋体"/>
                <w:sz w:val="24"/>
                <w:szCs w:val="24"/>
              </w:rPr>
            </w:pPr>
            <w:r>
              <w:rPr>
                <w:rFonts w:ascii="宋体" w:hAnsi="宋体" w:cs="宋体"/>
                <w:sz w:val="24"/>
                <w:szCs w:val="24"/>
              </w:rPr>
            </w:r>
            <w:r/>
          </w:p>
        </w:tc>
        <w:tc>
          <w:tcPr>
            <w:tcW w:w="456" w:type="pct"/>
            <w:textDirection w:val="lrTb"/>
            <w:noWrap w:val="false"/>
          </w:tcPr>
          <w:p>
            <w:pPr>
              <w:jc w:val="center"/>
              <w:rPr>
                <w:rFonts w:ascii="宋体" w:hAnsi="宋体" w:cs="宋体"/>
                <w:sz w:val="24"/>
                <w:szCs w:val="24"/>
              </w:rPr>
            </w:pPr>
            <w:r>
              <w:rPr>
                <w:rFonts w:ascii="宋体" w:hAnsi="宋体" w:cs="宋体"/>
                <w:sz w:val="24"/>
                <w:szCs w:val="24"/>
              </w:rPr>
            </w:r>
            <w:r/>
          </w:p>
        </w:tc>
        <w:tc>
          <w:tcPr>
            <w:tcW w:w="814" w:type="pct"/>
            <w:textDirection w:val="lrTb"/>
            <w:noWrap w:val="false"/>
          </w:tcPr>
          <w:p>
            <w:pPr>
              <w:jc w:val="center"/>
              <w:rPr>
                <w:rFonts w:ascii="宋体" w:hAnsi="宋体" w:cs="宋体"/>
                <w:sz w:val="24"/>
                <w:szCs w:val="24"/>
              </w:rPr>
            </w:pPr>
            <w:r>
              <w:rPr>
                <w:rFonts w:ascii="宋体" w:hAnsi="宋体" w:cs="宋体"/>
                <w:sz w:val="24"/>
                <w:szCs w:val="24"/>
              </w:rPr>
            </w:r>
            <w:r/>
          </w:p>
        </w:tc>
        <w:tc>
          <w:tcPr>
            <w:tcW w:w="783" w:type="pct"/>
            <w:textDirection w:val="lrTb"/>
            <w:noWrap w:val="false"/>
          </w:tcPr>
          <w:p>
            <w:pPr>
              <w:jc w:val="center"/>
              <w:rPr>
                <w:rFonts w:ascii="宋体" w:hAnsi="宋体" w:cs="宋体"/>
                <w:sz w:val="24"/>
                <w:szCs w:val="24"/>
              </w:rPr>
            </w:pPr>
            <w:r>
              <w:rPr>
                <w:rFonts w:ascii="宋体" w:hAnsi="宋体" w:cs="宋体"/>
                <w:sz w:val="24"/>
                <w:szCs w:val="24"/>
              </w:rPr>
            </w:r>
            <w:r/>
          </w:p>
        </w:tc>
        <w:tc>
          <w:tcPr>
            <w:tcW w:w="380" w:type="pct"/>
            <w:textDirection w:val="lrTb"/>
            <w:noWrap w:val="false"/>
          </w:tcPr>
          <w:p>
            <w:pPr>
              <w:jc w:val="center"/>
              <w:rPr>
                <w:rFonts w:ascii="宋体" w:hAnsi="宋体" w:cs="宋体"/>
                <w:sz w:val="24"/>
                <w:szCs w:val="24"/>
              </w:rPr>
            </w:pPr>
            <w:r>
              <w:rPr>
                <w:rFonts w:ascii="宋体" w:hAnsi="宋体" w:cs="宋体"/>
                <w:sz w:val="24"/>
                <w:szCs w:val="24"/>
              </w:rPr>
            </w:r>
            <w:r/>
          </w:p>
        </w:tc>
        <w:tc>
          <w:tcPr>
            <w:tcW w:w="589" w:type="pct"/>
            <w:textDirection w:val="lrTb"/>
            <w:noWrap w:val="false"/>
          </w:tcPr>
          <w:p>
            <w:pPr>
              <w:jc w:val="center"/>
              <w:rPr>
                <w:rFonts w:ascii="宋体" w:hAnsi="宋体" w:cs="宋体"/>
                <w:sz w:val="24"/>
                <w:szCs w:val="24"/>
              </w:rPr>
            </w:pPr>
            <w:r>
              <w:rPr>
                <w:rFonts w:ascii="宋体" w:hAnsi="宋体" w:cs="宋体"/>
                <w:sz w:val="24"/>
                <w:szCs w:val="24"/>
              </w:rPr>
            </w:r>
            <w:r/>
          </w:p>
        </w:tc>
      </w:tr>
      <w:tr>
        <w:trPr>
          <w:trHeight w:val="300"/>
        </w:trPr>
        <w:tc>
          <w:tcPr>
            <w:tcW w:w="347" w:type="pc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714" w:type="pct"/>
            <w:textDirection w:val="lrTb"/>
            <w:noWrap w:val="false"/>
          </w:tcPr>
          <w:p>
            <w:pPr>
              <w:jc w:val="center"/>
              <w:rPr>
                <w:rFonts w:ascii="宋体" w:hAnsi="宋体" w:cs="宋体"/>
                <w:sz w:val="24"/>
                <w:szCs w:val="24"/>
              </w:rPr>
            </w:pPr>
            <w:r>
              <w:rPr>
                <w:rFonts w:ascii="宋体" w:hAnsi="宋体" w:cs="宋体"/>
                <w:sz w:val="24"/>
                <w:szCs w:val="24"/>
              </w:rPr>
            </w:r>
            <w:r/>
          </w:p>
        </w:tc>
        <w:tc>
          <w:tcPr>
            <w:tcW w:w="913" w:type="pct"/>
            <w:textDirection w:val="lrTb"/>
            <w:noWrap w:val="false"/>
          </w:tcPr>
          <w:p>
            <w:pPr>
              <w:jc w:val="center"/>
              <w:rPr>
                <w:rFonts w:ascii="宋体" w:hAnsi="宋体" w:cs="宋体"/>
                <w:sz w:val="24"/>
                <w:szCs w:val="24"/>
              </w:rPr>
            </w:pPr>
            <w:r>
              <w:rPr>
                <w:rFonts w:ascii="宋体" w:hAnsi="宋体" w:cs="宋体"/>
                <w:sz w:val="24"/>
                <w:szCs w:val="24"/>
              </w:rPr>
            </w:r>
            <w:r/>
          </w:p>
        </w:tc>
        <w:tc>
          <w:tcPr>
            <w:tcW w:w="456" w:type="pct"/>
            <w:textDirection w:val="lrTb"/>
            <w:noWrap w:val="false"/>
          </w:tcPr>
          <w:p>
            <w:pPr>
              <w:jc w:val="center"/>
              <w:rPr>
                <w:rFonts w:ascii="宋体" w:hAnsi="宋体" w:cs="宋体"/>
                <w:sz w:val="24"/>
                <w:szCs w:val="24"/>
              </w:rPr>
            </w:pPr>
            <w:r>
              <w:rPr>
                <w:rFonts w:ascii="宋体" w:hAnsi="宋体" w:cs="宋体"/>
                <w:sz w:val="24"/>
                <w:szCs w:val="24"/>
              </w:rPr>
            </w:r>
            <w:r/>
          </w:p>
        </w:tc>
        <w:tc>
          <w:tcPr>
            <w:tcW w:w="814" w:type="pct"/>
            <w:textDirection w:val="lrTb"/>
            <w:noWrap w:val="false"/>
          </w:tcPr>
          <w:p>
            <w:pPr>
              <w:jc w:val="center"/>
              <w:rPr>
                <w:rFonts w:ascii="宋体" w:hAnsi="宋体" w:cs="宋体"/>
                <w:sz w:val="24"/>
                <w:szCs w:val="24"/>
              </w:rPr>
            </w:pPr>
            <w:r>
              <w:rPr>
                <w:rFonts w:ascii="宋体" w:hAnsi="宋体" w:cs="宋体"/>
                <w:sz w:val="24"/>
                <w:szCs w:val="24"/>
              </w:rPr>
            </w:r>
            <w:r/>
          </w:p>
        </w:tc>
        <w:tc>
          <w:tcPr>
            <w:tcW w:w="783" w:type="pct"/>
            <w:textDirection w:val="lrTb"/>
            <w:noWrap w:val="false"/>
          </w:tcPr>
          <w:p>
            <w:pPr>
              <w:jc w:val="center"/>
              <w:rPr>
                <w:rFonts w:ascii="宋体" w:hAnsi="宋体" w:cs="宋体"/>
                <w:sz w:val="24"/>
                <w:szCs w:val="24"/>
              </w:rPr>
            </w:pPr>
            <w:r>
              <w:rPr>
                <w:rFonts w:ascii="宋体" w:hAnsi="宋体" w:cs="宋体"/>
                <w:sz w:val="24"/>
                <w:szCs w:val="24"/>
              </w:rPr>
            </w:r>
            <w:r/>
          </w:p>
        </w:tc>
        <w:tc>
          <w:tcPr>
            <w:tcW w:w="380" w:type="pct"/>
            <w:textDirection w:val="lrTb"/>
            <w:noWrap w:val="false"/>
          </w:tcPr>
          <w:p>
            <w:pPr>
              <w:jc w:val="center"/>
              <w:rPr>
                <w:rFonts w:ascii="宋体" w:hAnsi="宋体" w:cs="宋体"/>
                <w:sz w:val="24"/>
                <w:szCs w:val="24"/>
              </w:rPr>
            </w:pPr>
            <w:r>
              <w:rPr>
                <w:rFonts w:ascii="宋体" w:hAnsi="宋体" w:cs="宋体"/>
                <w:sz w:val="24"/>
                <w:szCs w:val="24"/>
              </w:rPr>
            </w:r>
            <w:r/>
          </w:p>
        </w:tc>
        <w:tc>
          <w:tcPr>
            <w:tcW w:w="589" w:type="pct"/>
            <w:textDirection w:val="lrTb"/>
            <w:noWrap w:val="false"/>
          </w:tcPr>
          <w:p>
            <w:pPr>
              <w:jc w:val="center"/>
              <w:rPr>
                <w:rFonts w:ascii="宋体" w:hAnsi="宋体" w:cs="宋体"/>
                <w:sz w:val="24"/>
                <w:szCs w:val="24"/>
              </w:rPr>
            </w:pPr>
            <w:r>
              <w:rPr>
                <w:rFonts w:ascii="宋体" w:hAnsi="宋体" w:cs="宋体"/>
                <w:sz w:val="24"/>
                <w:szCs w:val="24"/>
              </w:rPr>
            </w:r>
            <w:r/>
          </w:p>
        </w:tc>
      </w:tr>
      <w:tr>
        <w:trPr>
          <w:trHeight w:val="150"/>
        </w:trPr>
        <w:tc>
          <w:tcPr>
            <w:tcW w:w="347" w:type="pc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714"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913"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456"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814"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783"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380"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W w:w="589" w:type="pct"/>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r>
    </w:tbl>
    <w:p>
      <w:pPr>
        <w:ind w:firstLine="480"/>
        <w:spacing w:line="360" w:lineRule="auto"/>
        <w:rPr>
          <w:rFonts w:ascii="宋体" w:hAnsi="宋体" w:eastAsia="宋体" w:cs="宋体"/>
          <w:b/>
          <w:sz w:val="24"/>
          <w:szCs w:val="24"/>
        </w:rPr>
      </w:pPr>
      <w:r>
        <w:rPr>
          <w:rFonts w:hint="eastAsia" w:ascii="宋体" w:hAnsi="宋体" w:eastAsia="宋体" w:cs="宋体"/>
          <w:sz w:val="24"/>
        </w:rPr>
        <w:t xml:space="preserve">设备配置、技术指标、安装条件及验收指标等详见附件一技术协议。</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本合同总价款是</w:t>
      </w:r>
      <w:r>
        <w:rPr>
          <w:rFonts w:hint="eastAsia"/>
          <w:color w:val="333333"/>
        </w:rPr>
        <w:t xml:space="preserve">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第三条  履约保证金</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第四条  权利保证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第五条  质量保证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第六条  包装要求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第七条  交货</w:t>
      </w:r>
      <w:r/>
    </w:p>
    <w:p>
      <w:pPr>
        <w:pStyle w:val="963"/>
        <w:ind w:firstLine="480"/>
        <w:spacing w:before="0" w:beforeAutospacing="0" w:after="0" w:afterAutospacing="0" w:line="360" w:lineRule="auto"/>
        <w:shd w:val="clear" w:color="auto" w:fill="ffffff"/>
      </w:pPr>
      <w:r>
        <w:rPr>
          <w:rFonts w:hint="eastAsia"/>
        </w:rPr>
        <w:t xml:space="preserve">1、乙方</w:t>
      </w:r>
      <w:r>
        <w:t xml:space="preserve">应当在合同签订</w:t>
      </w:r>
      <w:r>
        <w:rPr>
          <w:u w:val="single"/>
        </w:rPr>
        <w:t xml:space="preserve">    </w:t>
      </w:r>
      <w:r>
        <w:t xml:space="preserve">个月内将货物运送至采购人指定</w:t>
      </w:r>
      <w:r>
        <w:rPr>
          <w:rFonts w:hint="eastAsia"/>
        </w:rPr>
        <w:t xml:space="preserve">实验室（采购方另行约定的时间除外，但最迟不得晚于2027年3月31日）</w:t>
      </w:r>
      <w: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第八条 安装调试、培训和验收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货物安装调试完成后，按如下指标进行逐项测试：</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a.检测通量：可平行测定≥48个样品；</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b.检测模块：配置内源荧光检测模块、背反射聚集检测模块、DLS动态光散射检测模块和SLS静态光检测模块；</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c.上样方式：高精度石英玻璃毛细管，上样后无需密封；</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d.温度控制范围：18℃~108℃；</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e.升温速率：0.2~6℃/min；</w:t>
      </w:r>
      <w:r/>
    </w:p>
    <w:p>
      <w:pPr>
        <w:ind w:firstLine="56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f.样品浓度范围：0.008mg/mL~240 mg/mL；</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g.测定时直接上样，无需添加外源染料，无需标记，通过内源荧光检测。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如果双方对验收结果有争议，可委托双方一致认可的国家相关权威检测中心进行检测，以检测结果作为最终验收结果，费用由乙方承担。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第九条  伴随服务／售后服务</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482"/>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第十条   货款支付</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（3）每次付款前，乙方均须提供对应金额的、合法有效增值税专用发票。</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乙方开户银行：</w:t>
      </w:r>
      <w:r>
        <w:rPr>
          <w:rFonts w:hint="eastAsia" w:ascii="宋体" w:hAnsi="宋体" w:eastAsia="宋体" w:cs="宋体"/>
          <w:sz w:val="24"/>
          <w:szCs w:val="24"/>
          <w:u w:val="single"/>
        </w:rPr>
        <w:t xml:space="preserve">                           </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u w:val="single"/>
        </w:rPr>
        <w:t xml:space="preserve">                              </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2"/>
        <w:spacing w:before="120" w:line="360" w:lineRule="auto"/>
        <w:rPr>
          <w:rFonts w:ascii="宋体" w:hAnsi="宋体" w:cs="宋体"/>
          <w:b/>
          <w:sz w:val="24"/>
          <w:szCs w:val="24"/>
        </w:rPr>
      </w:pPr>
      <w:r>
        <w:rPr>
          <w:rFonts w:hint="eastAsia" w:ascii="宋体" w:hAnsi="宋体" w:cs="宋体"/>
          <w:b/>
          <w:sz w:val="24"/>
          <w:szCs w:val="24"/>
        </w:rPr>
        <w:t xml:space="preserve">第十一条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1、乙方逾期将货物运送至甲方指定地点的，每逾期1周（不足1周按1周计算），乙方向甲方偿付逾期交货部分货款总额的5‰的滞纳金。如乙方逾期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spacing w:line="360" w:lineRule="auto"/>
        <w:rPr>
          <w:rFonts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第十二条  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第十三条  合同的变更和终止</w:t>
      </w:r>
      <w:r/>
    </w:p>
    <w:p>
      <w:pPr>
        <w:ind w:firstLine="480"/>
        <w:spacing w:line="360" w:lineRule="auto"/>
        <w:rPr>
          <w:rFonts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第十四条  合同的转让</w:t>
      </w:r>
      <w:r/>
    </w:p>
    <w:p>
      <w:pPr>
        <w:ind w:firstLine="480"/>
        <w:spacing w:line="360" w:lineRule="auto"/>
        <w:rPr>
          <w:rFonts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第十五条  争议的解决</w:t>
      </w:r>
      <w:r/>
    </w:p>
    <w:p>
      <w:pPr>
        <w:ind w:firstLine="480"/>
        <w:spacing w:line="360" w:lineRule="auto"/>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第十六条   合同生效及其他</w:t>
      </w:r>
      <w:r/>
    </w:p>
    <w:p>
      <w:pPr>
        <w:ind w:firstLine="480"/>
        <w:spacing w:line="360" w:lineRule="auto"/>
        <w:rPr>
          <w:rFonts w:ascii="宋体" w:hAnsi="宋体" w:cs="宋体"/>
          <w:sz w:val="24"/>
          <w:szCs w:val="24"/>
        </w:rPr>
      </w:pPr>
      <w:r>
        <w:rPr>
          <w:rFonts w:hint="eastAsia" w:ascii="宋体" w:hAnsi="宋体" w:cs="宋体"/>
          <w:sz w:val="24"/>
          <w:szCs w:val="24"/>
        </w:rPr>
        <w:t xml:space="preserve">1、下列文件作为本合同不可分割的部分：</w:t>
      </w:r>
      <w:r/>
    </w:p>
    <w:p>
      <w:pPr>
        <w:ind w:firstLine="480"/>
        <w:spacing w:line="360" w:lineRule="auto"/>
        <w:rPr>
          <w:rFonts w:ascii="宋体" w:hAnsi="宋体" w:cs="宋体"/>
          <w:sz w:val="24"/>
          <w:szCs w:val="24"/>
        </w:rPr>
      </w:pPr>
      <w:r>
        <w:rPr>
          <w:rFonts w:hint="eastAsia" w:ascii="宋体" w:hAnsi="宋体" w:cs="宋体"/>
          <w:sz w:val="24"/>
          <w:szCs w:val="24"/>
        </w:rPr>
        <w:t xml:space="preserve">采购文件及其附件；</w:t>
      </w:r>
      <w:r/>
    </w:p>
    <w:p>
      <w:pPr>
        <w:ind w:firstLine="480"/>
        <w:spacing w:line="360" w:lineRule="auto"/>
        <w:rPr>
          <w:rFonts w:ascii="宋体" w:hAnsi="宋体" w:cs="宋体"/>
          <w:sz w:val="24"/>
          <w:szCs w:val="24"/>
        </w:rPr>
      </w:pPr>
      <w:r>
        <w:rPr>
          <w:rFonts w:hint="eastAsia" w:ascii="宋体" w:hAnsi="宋体" w:cs="宋体"/>
          <w:sz w:val="24"/>
          <w:szCs w:val="24"/>
        </w:rPr>
        <w:t xml:space="preserve">乙方的投标文件；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spacing w:line="360" w:lineRule="auto"/>
        <w:rPr>
          <w:rFonts w:ascii="宋体" w:hAnsi="宋体" w:cs="宋体"/>
          <w:sz w:val="24"/>
          <w:szCs w:val="24"/>
        </w:rPr>
      </w:pPr>
      <w:r>
        <w:rPr>
          <w:rFonts w:hint="eastAsia" w:ascii="宋体" w:hAnsi="宋体" w:cs="宋体"/>
          <w:sz w:val="24"/>
          <w:szCs w:val="24"/>
        </w:rPr>
        <w:t xml:space="preserve">合同附件等。</w:t>
      </w:r>
      <w:r/>
    </w:p>
    <w:p>
      <w:pPr>
        <w:ind w:firstLine="480"/>
        <w:spacing w:line="360" w:lineRule="auto"/>
        <w:rPr>
          <w:rFonts w:ascii="宋体" w:hAnsi="宋体" w:cs="宋体"/>
          <w:sz w:val="24"/>
          <w:szCs w:val="24"/>
        </w:rPr>
      </w:pPr>
      <w:r>
        <w:rPr>
          <w:rFonts w:hint="eastAsia" w:ascii="宋体" w:hAnsi="宋体" w:cs="宋体"/>
          <w:sz w:val="24"/>
          <w:szCs w:val="24"/>
        </w:rPr>
        <w:t xml:space="preserve">2、本合同自合同双方签字、盖章之日起生效。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3、本合同一式5份，甲方执3份，乙方执1份，代理机构执1份，具有同等法律效力。</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甲方（盖章）：                   乙方（盖章）：    </w:t>
      </w:r>
      <w:r/>
    </w:p>
    <w:p>
      <w:pPr>
        <w:ind w:firstLine="480"/>
        <w:spacing w:line="360" w:lineRule="auto"/>
        <w:rPr>
          <w:sz w:val="24"/>
          <w:szCs w:val="24"/>
        </w:rPr>
      </w:pPr>
      <w:r>
        <w:rPr>
          <w:rFonts w:hint="eastAsia"/>
          <w:sz w:val="24"/>
          <w:szCs w:val="24"/>
        </w:rPr>
        <w:t xml:space="preserve">单位地址：                       单位地址： </w:t>
      </w:r>
      <w:r/>
    </w:p>
    <w:p>
      <w:pPr>
        <w:ind w:firstLine="480"/>
        <w:spacing w:line="360" w:lineRule="auto"/>
        <w:rPr>
          <w:sz w:val="24"/>
          <w:szCs w:val="24"/>
        </w:rPr>
      </w:pPr>
      <w:r>
        <w:rPr>
          <w:rFonts w:hint="eastAsia"/>
          <w:sz w:val="24"/>
          <w:szCs w:val="24"/>
        </w:rPr>
        <w:t xml:space="preserve">设备购置负责人：                 授权代表：</w:t>
      </w:r>
      <w:r/>
    </w:p>
    <w:p>
      <w:pPr>
        <w:ind w:firstLine="480"/>
        <w:spacing w:line="360" w:lineRule="auto"/>
        <w:rPr>
          <w:sz w:val="24"/>
          <w:szCs w:val="24"/>
        </w:rPr>
      </w:pPr>
      <w:r>
        <w:rPr>
          <w:rFonts w:hint="eastAsia"/>
          <w:sz w:val="24"/>
          <w:szCs w:val="24"/>
        </w:rPr>
        <w:t xml:space="preserve">电话：                           电话：</w:t>
      </w:r>
      <w:r/>
    </w:p>
    <w:p>
      <w:pPr>
        <w:ind w:firstLine="480"/>
        <w:spacing w:line="360" w:lineRule="auto"/>
        <w:rPr>
          <w:sz w:val="24"/>
          <w:szCs w:val="24"/>
        </w:rPr>
      </w:pPr>
      <w:r>
        <w:rPr>
          <w:rFonts w:hint="eastAsia"/>
          <w:sz w:val="24"/>
          <w:szCs w:val="24"/>
        </w:rPr>
        <w:t xml:space="preserve">采购部门经办人：                 经办人：</w:t>
      </w:r>
      <w:r/>
    </w:p>
    <w:p>
      <w:pPr>
        <w:ind w:firstLine="480"/>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480"/>
        <w:spacing w:line="360" w:lineRule="auto"/>
        <w:rPr>
          <w:sz w:val="24"/>
          <w:szCs w:val="24"/>
        </w:rPr>
      </w:pPr>
      <w:r>
        <w:rPr>
          <w:rFonts w:hint="eastAsia"/>
          <w:sz w:val="24"/>
          <w:szCs w:val="24"/>
        </w:rPr>
        <w:t xml:space="preserve">电话：                           电话：                          </w:t>
      </w:r>
      <w:r/>
    </w:p>
    <w:p>
      <w:pPr>
        <w:ind w:firstLine="480"/>
        <w:spacing w:line="360" w:lineRule="auto"/>
        <w:rPr>
          <w:color w:val="auto"/>
          <w:sz w:val="24"/>
          <w:szCs w:val="24"/>
        </w:rPr>
      </w:pPr>
      <w:r>
        <w:rPr>
          <w:rFonts w:hint="eastAsia"/>
          <w:sz w:val="24"/>
          <w:szCs w:val="24"/>
        </w:rPr>
        <w:t xml:space="preserve">日期：</w:t>
      </w:r>
      <w:r>
        <w:rPr>
          <w:rFonts w:hint="eastAsia"/>
          <w:color w:val="auto"/>
          <w:sz w:val="24"/>
          <w:szCs w:val="24"/>
        </w:rPr>
        <w:t xml:space="preserve">   年     月    日         日期：   年     月    日</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color w:val="auto"/>
          <w:sz w:val="24"/>
          <w:szCs w:val="24"/>
        </w:rPr>
      </w:r>
      <w:r/>
    </w:p>
    <w:p>
      <w:pPr>
        <w:ind w:firstLine="480"/>
        <w:spacing w:line="360" w:lineRule="auto"/>
        <w:rPr>
          <w:color w:val="auto"/>
          <w:sz w:val="24"/>
        </w:rPr>
      </w:pPr>
      <w:r>
        <w:rPr>
          <w:rFonts w:hint="eastAsia"/>
          <w:color w:val="auto"/>
          <w:sz w:val="24"/>
        </w:rPr>
        <w:t xml:space="preserve">特别</w:t>
      </w:r>
      <w:r>
        <w:rPr>
          <w:color w:val="auto"/>
          <w:sz w:val="24"/>
        </w:rPr>
        <w:t xml:space="preserve">提醒：</w:t>
      </w:r>
      <w:r>
        <w:rPr>
          <w:rFonts w:hint="eastAsia"/>
          <w:color w:val="auto"/>
          <w:sz w:val="24"/>
        </w:rPr>
        <w:t xml:space="preserve">合同文本的签字盖章页与合同正文应当同处一面（打印时</w:t>
      </w:r>
      <w:r>
        <w:rPr>
          <w:color w:val="auto"/>
          <w:sz w:val="24"/>
        </w:rPr>
        <w:t xml:space="preserve">请删除此</w:t>
      </w:r>
      <w:r>
        <w:rPr>
          <w:rFonts w:hint="eastAsia"/>
          <w:color w:val="auto"/>
          <w:sz w:val="24"/>
        </w:rPr>
        <w:t xml:space="preserve">行）</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附件一 </w:t>
      </w:r>
      <w:r>
        <w:rPr>
          <w:rFonts w:ascii="宋体" w:hAnsi="宋体" w:cs="宋体"/>
          <w:b/>
          <w:color w:val="auto"/>
          <w:sz w:val="24"/>
        </w:rPr>
        <w:t xml:space="preserve"> </w:t>
      </w:r>
      <w:r>
        <w:rPr>
          <w:rFonts w:hint="eastAsia" w:ascii="宋体" w:hAnsi="宋体" w:cs="宋体"/>
          <w:b/>
          <w:color w:val="auto"/>
          <w:sz w:val="24"/>
        </w:rPr>
        <w:t xml:space="preserve">技术协议</w:t>
      </w:r>
      <w:r/>
    </w:p>
    <w:p>
      <w:pPr>
        <w:ind w:firstLine="420"/>
        <w:spacing w:line="360" w:lineRule="auto"/>
        <w:rPr>
          <w:color w:val="auto"/>
        </w:rPr>
      </w:pPr>
      <w:r>
        <w:rPr>
          <w:color w:val="auto"/>
        </w:rPr>
      </w:r>
      <w:r/>
    </w:p>
    <w:p>
      <w:pPr>
        <w:ind w:firstLine="482"/>
        <w:spacing w:line="360" w:lineRule="auto"/>
        <w:rPr>
          <w:rFonts w:ascii="宋体" w:hAnsi="宋体" w:cs="宋体"/>
          <w:b/>
          <w:color w:val="auto"/>
          <w:sz w:val="24"/>
        </w:rPr>
      </w:pPr>
      <w:r>
        <w:rPr>
          <w:rFonts w:hint="eastAsia" w:ascii="宋体" w:hAnsi="宋体" w:cs="宋体"/>
          <w:b/>
          <w:color w:val="auto"/>
          <w:sz w:val="24"/>
        </w:rPr>
        <w:t xml:space="preserve">附件二  银行保函格式</w:t>
      </w:r>
      <w:r/>
    </w:p>
    <w:p>
      <w:pPr>
        <w:ind w:firstLine="420"/>
        <w:spacing w:line="360" w:lineRule="auto"/>
      </w:pPr>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br w:type="page" w:clear="all"/>
      </w:r>
      <w:r/>
    </w:p>
    <w:p>
      <w:pPr>
        <w:rPr>
          <w:rFonts w:ascii="宋体" w:hAnsi="宋体" w:eastAsia="宋体" w:cs="宋体"/>
          <w:sz w:val="24"/>
          <w:szCs w:val="24"/>
        </w:rPr>
      </w:pPr>
      <w:r>
        <w:rPr>
          <w:rFonts w:hint="eastAsia" w:ascii="宋体" w:hAnsi="宋体" w:cs="宋体"/>
          <w:b/>
          <w:sz w:val="24"/>
        </w:rPr>
        <w:t xml:space="preserve">附件一 </w:t>
      </w:r>
      <w:r>
        <w:rPr>
          <w:rFonts w:ascii="宋体" w:hAnsi="宋体" w:cs="宋体"/>
          <w:b/>
          <w:sz w:val="24"/>
        </w:rPr>
        <w:t xml:space="preserve"> </w:t>
      </w:r>
      <w:r>
        <w:rPr>
          <w:rFonts w:hint="eastAsia" w:ascii="宋体" w:hAnsi="宋体" w:cs="宋体"/>
          <w:b/>
          <w:sz w:val="24"/>
        </w:rPr>
        <w:t xml:space="preserve">技术协议</w:t>
      </w:r>
      <w:r>
        <w:rPr>
          <w:rFonts w:hint="eastAsia" w:ascii="宋体" w:hAnsi="宋体" w:eastAsia="宋体" w:cs="宋体"/>
          <w:sz w:val="24"/>
          <w:szCs w:val="24"/>
        </w:rPr>
        <w:br w:type="page" w:clear="all"/>
      </w:r>
      <w:r/>
    </w:p>
    <w:p>
      <w:pPr>
        <w:rPr>
          <w:rFonts w:ascii="宋体" w:hAnsi="宋体" w:eastAsia="宋体" w:cs="宋体"/>
          <w:b/>
          <w:bCs/>
          <w:spacing w:val="20"/>
          <w:sz w:val="24"/>
          <w:szCs w:val="24"/>
        </w:rPr>
      </w:pPr>
      <w:r/>
      <w:bookmarkStart w:id="6" w:name="_Hlk235092729"/>
      <w:r>
        <w:rPr>
          <w:rFonts w:hint="eastAsia" w:ascii="宋体" w:hAnsi="宋体" w:eastAsia="宋体" w:cs="宋体"/>
          <w:sz w:val="24"/>
          <w:szCs w:val="24"/>
        </w:rPr>
        <w:t xml:space="preserve">附件二、银行保函</w:t>
      </w:r>
      <w:r/>
    </w:p>
    <w:p>
      <w:pPr>
        <w:jc w:val="center"/>
        <w:spacing w:after="96" w:line="360" w:lineRule="exact"/>
        <w:rPr>
          <w:rFonts w:ascii="宋体" w:hAnsi="宋体" w:eastAsia="宋体" w:cs="宋体"/>
          <w:b/>
          <w:bCs/>
          <w:sz w:val="24"/>
          <w:szCs w:val="24"/>
        </w:rPr>
      </w:pPr>
      <w:r>
        <w:rPr>
          <w:rFonts w:hint="eastAsia" w:ascii="宋体" w:hAnsi="宋体" w:eastAsia="宋体" w:cs="宋体"/>
          <w:b/>
          <w:bCs/>
          <w:sz w:val="24"/>
          <w:szCs w:val="24"/>
        </w:rPr>
        <w:t xml:space="preserve">银行保函</w:t>
      </w:r>
      <w:r/>
    </w:p>
    <w:p>
      <w:pPr>
        <w:spacing w:before="96" w:after="96" w:line="360" w:lineRule="exact"/>
        <w:rPr>
          <w:rFonts w:ascii="宋体" w:hAnsi="宋体" w:eastAsia="宋体" w:cs="宋体"/>
          <w:sz w:val="24"/>
          <w:szCs w:val="24"/>
        </w:rPr>
      </w:pP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鉴于，_________________公司（中标人、保函申请人）参加了____________项目（招标项目编号：______________，下称“本项目”）投标并中标，其承诺将严格按照招投标文件以及与贵校校签订的《________________》（下称“合同”）履行义务，并向我行申请开具担保总金额为合同金额____%的履约保函作为对贵校校的履约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我行应保函申请人申请，向贵校（采购人、保函受益人）提供履约担保如下：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在索赔金额总和不超过上述担保总金额的情况下，贵校有权基于保函申请人的违约或过错情况，分次、分情形向我行发出要求承担担保责任的书面通知。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我行承诺在收到贵校的上述通知后五个工作日内即予支付，无需贵校出具违约和/或损失证明，亦无需与保函申请人联系确认。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本担保为</w:t>
      </w:r>
      <w:r>
        <w:rPr>
          <w:rFonts w:hint="eastAsia" w:ascii="宋体" w:hAnsi="宋体" w:eastAsia="宋体" w:cs="宋体"/>
          <w:b/>
          <w:bCs/>
          <w:sz w:val="24"/>
          <w:szCs w:val="24"/>
        </w:rPr>
        <w:t xml:space="preserve">见索即付保函</w:t>
      </w:r>
      <w:r>
        <w:rPr>
          <w:rFonts w:hint="eastAsia" w:ascii="宋体" w:hAnsi="宋体" w:eastAsia="宋体" w:cs="宋体"/>
          <w:sz w:val="24"/>
          <w:szCs w:val="24"/>
        </w:rPr>
        <w:t xml:space="preserve">，我行放弃贵校应首先向保函申请人主张书面通知所述金额再向我行提出支付要求的权利。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合同项下的任何条件、条款发生任何修改、补充或被撤销、解除或提前终止的，我行承担的本保函项下的担保责任不变，前述关于合同的有关变化也无须通知我行。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本保函一经开具即持续有效且不可撤销，有效期自本保函开具之日起至设备验收合格后三十（30）日。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担保银行：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法定代表人或其授权的代理人：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（职务）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（姓名）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（签章）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bookmarkEnd w:id="6"/>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7" w:name="_Toc9204"/>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7"/>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w:t>
      </w:r>
      <w:bookmarkStart w:id="8" w:name="_GoBack"/>
      <w:r/>
      <w:bookmarkEnd w:id="8"/>
      <w:r>
        <w:rPr>
          <w:rFonts w:ascii="宋体" w:hAnsi="宋体" w:eastAsia="宋体" w:cs="宋体"/>
          <w:sz w:val="24"/>
        </w:rPr>
        <w:t xml:space="preserve">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792"/>
          <w:rFonts w:ascii="宋体" w:hAnsi="宋体" w:eastAsia="宋体" w:cs="宋体"/>
          <w:sz w:val="24"/>
          <w:szCs w:val="24"/>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三、评分标准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（一）价格分（30分）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第一步：投标报价低于或等于财政预算价格（或最高限价）的，为有效投标报价。超财政预算（或最高限价）的投标报价为无效投标报价。</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第二步：在所有有效投标报价中满足招标文件要求，且投标价格最低的投标报价为评标基准价，其他投标方的价格分按照下列公式计算（计算结果四舍五入保留两位小数）。</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投标报价得分＝（评标基准价/投标报价）×30％×100。</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（二）技术参数及技术方案（29分）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1、技术参数及配置（20分）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以供应商提供的能直接反映该产品技术参数的彩页或产品说明书等作为主要评判依据，其他情况由评标委员会根据实际情况进行评判。</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技术参数中“</w:t>
      </w:r>
      <w:r>
        <w:rPr>
          <w:rFonts w:hint="eastAsia" w:ascii="宋体" w:hAnsi="宋体" w:eastAsia="宋体" w:cs="Times New Roman"/>
          <w:sz w:val="24"/>
          <w:szCs w:val="24"/>
        </w:rPr>
        <w:t xml:space="preserve">★</w:t>
      </w:r>
      <w:r>
        <w:rPr>
          <w:rFonts w:hint="eastAsia" w:ascii="宋体" w:hAnsi="宋体" w:eastAsia="宋体" w:cs="宋体"/>
          <w:bCs/>
          <w:sz w:val="24"/>
        </w:rPr>
        <w:t xml:space="preserve">”技术条款为关键参数指标，所提供产品对应技术内容不得负偏离，否则为无效投标。</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其他技术参数中，所提供产品不满足招标文件要求（负偏离）、配置不详、技术参数不明确、缺漏项的，每处扣2分，扣完为止。（20分）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2、技术方案（9分）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供应商提供为实现本项目招标文件技术参数要求而制定的技术方案。</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技术方案详尽合理、针对性强，能完全符合用户科研需求的得9分。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技术方案基本规范合理、具有较强针对性，能基本符合用户科研需求的得5分。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技术方案有疏漏、合理性及针对性较差，仅能符合用户部分科研需求的得2分。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技术方案完全不能符合用户科研需求或未提供技术方案的不得分。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（三）项目实施方案（9分）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（四）综合商务（32分）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1.业绩（4分）：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提供所投产品（同型号设备）自2023年6月起至今的销售业绩，每提供1份业绩得1分，满分4分。（注：①提供业绩合同复印件；②以合同签订日期为准；③同一单位业绩不重复计分。）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2.市场反馈情况（5分）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提供所投产品（同型号设备）现有用户反馈情况，每提供1份得1分，满分5分。反馈情况需含项目名称、型号、采购时间、满意度、联系人及电话（注：材料须加盖所属用户单位公章）。</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3.售后服务（21分）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（1）质保期（1分）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在招标文件要求基础上每增加1年加0.5分，最多得1分。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（2）售后服务方案（12分）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（3）培训方案（8分）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4．其它优惠措施（2分） </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优惠措施内容具体明确，具有实际价值及可行性高的得2分；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优惠措施内容较为具体明确，实际价值及可行性较高的得1分；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优惠措施内容不够具体明确，实际价值及可行性较低的得0.5分；</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不具备可行性或未提供具体内容的不得分。</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0"/>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7"/>
    <w:uiPriority w:val="0"/>
    <w:qFormat/>
    <w:pPr>
      <w:ind w:firstLine="420"/>
    </w:p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1" w:customStyle="1">
    <w:name w:val="正文文本缩进 字符"/>
    <w:basedOn w:val="761"/>
    <w:link w:val="768"/>
    <w:uiPriority w:val="0"/>
    <w:qFormat/>
    <w:rPr>
      <w:rFonts w:ascii="方正仿宋简体" w:hAnsi="创艺简仿宋" w:eastAsia="方正仿宋简体" w:cstheme="minorBidi"/>
      <w:sz w:val="24"/>
    </w:rPr>
  </w:style>
  <w:style w:type="paragraph" w:styleId="962"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3"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4" w:customStyle="1">
    <w:name w:val="列表段落1"/>
    <w:basedOn w:val="751"/>
    <w:uiPriority w:val="34"/>
    <w:qFormat/>
    <w:pPr>
      <w:ind w:firstLine="420"/>
      <w:spacing w:line="360" w:lineRule="auto"/>
    </w:pPr>
    <w:rPr>
      <w:rFonts w:ascii="Tahoma" w:hAnsi="Tahoma" w:eastAsia="宋体"/>
      <w:sz w:val="22"/>
    </w:rPr>
  </w:style>
  <w:style w:type="paragraph" w:styleId="965" w:customStyle="1">
    <w:name w:val="修订2"/>
    <w:hidden/>
    <w:uiPriority w:val="99"/>
    <w:unhideWhenUsed/>
    <w:qFormat/>
    <w:rPr>
      <w:rFonts w:asciiTheme="minorHAnsi" w:hAnsiTheme="minorHAnsi" w:eastAsiaTheme="minorEastAsia" w:cstheme="minorBidi"/>
      <w:sz w:val="21"/>
      <w:szCs w:val="22"/>
      <w:lang w:val="en-US" w:eastAsia="zh-CN"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190</cp:revision>
  <dcterms:created xsi:type="dcterms:W3CDTF">2024-11-19T01:25:00Z</dcterms:created>
  <dcterms:modified xsi:type="dcterms:W3CDTF">2026-07-16T08:41:31Z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6194467BE15943738F9F730D5073F750_13</vt:lpwstr>
  </property>
  <property fmtid="{D5CDD505-2E9C-101B-9397-08002B2CF9AE}" pid="4" name="KSOTemplateDocerSaveRecord">
    <vt:lpwstr>eyJoZGlkIjoiY2E5NmM5NzMyYmQzOTliZmUyZmY1ODY0YjI0NWI1MTUiLCJ1c2VySWQiOiIxMTAwNzg1MTUyIn0=</vt:lpwstr>
  </property>
</Properties>
</file>