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722113">
      <w:pPr>
        <w:spacing w:line="360" w:lineRule="auto"/>
        <w:jc w:val="left"/>
        <w:rPr>
          <w:rFonts w:ascii="宋体" w:hAnsi="宋体"/>
          <w:color w:val="000000" w:themeColor="text1"/>
          <w:sz w:val="60"/>
          <w:szCs w:val="60"/>
          <w14:textFill>
            <w14:solidFill>
              <w14:schemeClr w14:val="tx1"/>
            </w14:solidFill>
          </w14:textFill>
        </w:rPr>
      </w:pPr>
    </w:p>
    <w:p w14:paraId="6C269F4C">
      <w:pPr>
        <w:spacing w:line="360" w:lineRule="auto"/>
        <w:jc w:val="center"/>
        <w:rPr>
          <w:rFonts w:ascii="宋体" w:hAnsi="宋体"/>
          <w:color w:val="000000" w:themeColor="text1"/>
          <w:sz w:val="60"/>
          <w:szCs w:val="60"/>
          <w14:textFill>
            <w14:solidFill>
              <w14:schemeClr w14:val="tx1"/>
            </w14:solidFill>
          </w14:textFill>
        </w:rPr>
      </w:pPr>
    </w:p>
    <w:p w14:paraId="28660697">
      <w:pPr>
        <w:spacing w:after="240" w:line="720" w:lineRule="auto"/>
        <w:jc w:val="center"/>
        <w:rPr>
          <w:rFonts w:ascii="宋体" w:hAnsi="宋体"/>
          <w:b/>
          <w:color w:val="000000" w:themeColor="text1"/>
          <w:sz w:val="60"/>
          <w:szCs w:val="60"/>
          <w14:textFill>
            <w14:solidFill>
              <w14:schemeClr w14:val="tx1"/>
            </w14:solidFill>
          </w14:textFill>
        </w:rPr>
      </w:pPr>
      <w:r>
        <w:rPr>
          <w:rFonts w:ascii="宋体" w:hAnsi="宋体"/>
          <w:b/>
          <w:color w:val="000000" w:themeColor="text1"/>
          <w:spacing w:val="114"/>
          <w:sz w:val="60"/>
          <w:szCs w:val="60"/>
          <w14:textFill>
            <w14:solidFill>
              <w14:schemeClr w14:val="tx1"/>
            </w14:solidFill>
          </w14:textFill>
        </w:rPr>
        <w:t>常州市政府采购项</w:t>
      </w:r>
      <w:r>
        <w:rPr>
          <w:rFonts w:ascii="宋体" w:hAnsi="宋体"/>
          <w:b/>
          <w:color w:val="000000" w:themeColor="text1"/>
          <w:sz w:val="60"/>
          <w:szCs w:val="60"/>
          <w14:textFill>
            <w14:solidFill>
              <w14:schemeClr w14:val="tx1"/>
            </w14:solidFill>
          </w14:textFill>
        </w:rPr>
        <w:t>目</w:t>
      </w:r>
    </w:p>
    <w:p w14:paraId="74B01F7A">
      <w:pPr>
        <w:spacing w:after="240" w:line="720" w:lineRule="auto"/>
        <w:jc w:val="center"/>
        <w:rPr>
          <w:rFonts w:ascii="宋体" w:hAnsi="宋体"/>
          <w:b/>
          <w:color w:val="000000" w:themeColor="text1"/>
          <w:sz w:val="60"/>
          <w:szCs w:val="60"/>
          <w14:textFill>
            <w14:solidFill>
              <w14:schemeClr w14:val="tx1"/>
            </w14:solidFill>
          </w14:textFill>
        </w:rPr>
      </w:pPr>
      <w:r>
        <w:rPr>
          <w:rFonts w:hint="eastAsia" w:ascii="宋体" w:hAnsi="宋体"/>
          <w:b/>
          <w:color w:val="000000" w:themeColor="text1"/>
          <w:spacing w:val="151"/>
          <w:sz w:val="60"/>
          <w:szCs w:val="60"/>
          <w14:textFill>
            <w14:solidFill>
              <w14:schemeClr w14:val="tx1"/>
            </w14:solidFill>
          </w14:textFill>
        </w:rPr>
        <w:t>竞争性磋商文</w:t>
      </w:r>
      <w:r>
        <w:rPr>
          <w:rFonts w:hint="eastAsia" w:ascii="宋体" w:hAnsi="宋体"/>
          <w:b/>
          <w:color w:val="000000" w:themeColor="text1"/>
          <w:spacing w:val="4"/>
          <w:sz w:val="60"/>
          <w:szCs w:val="60"/>
          <w14:textFill>
            <w14:solidFill>
              <w14:schemeClr w14:val="tx1"/>
            </w14:solidFill>
          </w14:textFill>
        </w:rPr>
        <w:t>件</w:t>
      </w:r>
    </w:p>
    <w:p w14:paraId="0DBAC42E">
      <w:pPr>
        <w:spacing w:line="360" w:lineRule="auto"/>
        <w:jc w:val="center"/>
        <w:rPr>
          <w:rFonts w:ascii="宋体" w:hAnsi="宋体"/>
          <w:color w:val="000000" w:themeColor="text1"/>
          <w:sz w:val="60"/>
          <w:szCs w:val="60"/>
          <w14:textFill>
            <w14:solidFill>
              <w14:schemeClr w14:val="tx1"/>
            </w14:solidFill>
          </w14:textFill>
        </w:rPr>
      </w:pPr>
    </w:p>
    <w:p w14:paraId="3CD64409">
      <w:pPr>
        <w:spacing w:line="360" w:lineRule="auto"/>
        <w:jc w:val="center"/>
        <w:rPr>
          <w:rFonts w:ascii="宋体" w:hAnsi="宋体"/>
          <w:color w:val="000000" w:themeColor="text1"/>
          <w:sz w:val="60"/>
          <w:szCs w:val="60"/>
          <w14:textFill>
            <w14:solidFill>
              <w14:schemeClr w14:val="tx1"/>
            </w14:solidFill>
          </w14:textFill>
        </w:rPr>
      </w:pPr>
    </w:p>
    <w:p w14:paraId="0F0D8C9B">
      <w:pPr>
        <w:tabs>
          <w:tab w:val="left" w:pos="5609"/>
        </w:tabs>
        <w:spacing w:line="360" w:lineRule="auto"/>
        <w:ind w:left="1500" w:hanging="1500"/>
        <w:jc w:val="left"/>
        <w:rPr>
          <w:rFonts w:hint="eastAsia" w:ascii="宋体" w:hAnsi="宋体" w:eastAsia="宋体"/>
          <w:bCs/>
          <w:color w:val="000000" w:themeColor="text1"/>
          <w:sz w:val="30"/>
          <w:szCs w:val="30"/>
          <w:lang w:eastAsia="zh-CN"/>
          <w14:textFill>
            <w14:solidFill>
              <w14:schemeClr w14:val="tx1"/>
            </w14:solidFill>
          </w14:textFill>
        </w:rPr>
      </w:pPr>
      <w:r>
        <w:rPr>
          <w:rFonts w:ascii="宋体" w:hAnsi="宋体"/>
          <w:bCs/>
          <w:color w:val="000000" w:themeColor="text1"/>
          <w:sz w:val="30"/>
          <w:szCs w:val="30"/>
          <w14:textFill>
            <w14:solidFill>
              <w14:schemeClr w14:val="tx1"/>
            </w14:solidFill>
          </w14:textFill>
        </w:rPr>
        <w:t>项目名称：</w:t>
      </w:r>
      <w:r>
        <w:rPr>
          <w:rStyle w:val="277"/>
          <w:rFonts w:hint="eastAsia" w:ascii="宋体" w:hAnsi="宋体"/>
          <w:color w:val="000000" w:themeColor="text1"/>
          <w:sz w:val="30"/>
          <w:szCs w:val="30"/>
          <w:lang w:eastAsia="zh-CN"/>
          <w14:textFill>
            <w14:solidFill>
              <w14:schemeClr w14:val="tx1"/>
            </w14:solidFill>
          </w14:textFill>
        </w:rPr>
        <w:t>2026常州西太湖半程马拉松</w:t>
      </w:r>
    </w:p>
    <w:p w14:paraId="10799EB3">
      <w:pPr>
        <w:tabs>
          <w:tab w:val="left" w:pos="5609"/>
        </w:tabs>
        <w:spacing w:line="360" w:lineRule="auto"/>
        <w:jc w:val="left"/>
        <w:rPr>
          <w:rStyle w:val="277"/>
          <w:rFonts w:ascii="宋体" w:hAnsi="宋体"/>
          <w:color w:val="000000" w:themeColor="text1"/>
          <w:sz w:val="30"/>
          <w:szCs w:val="30"/>
          <w14:textFill>
            <w14:solidFill>
              <w14:schemeClr w14:val="tx1"/>
            </w14:solidFill>
          </w14:textFill>
        </w:rPr>
      </w:pPr>
      <w:r>
        <w:rPr>
          <w:rFonts w:ascii="宋体" w:hAnsi="宋体"/>
          <w:bCs/>
          <w:color w:val="000000" w:themeColor="text1"/>
          <w:sz w:val="30"/>
          <w:szCs w:val="30"/>
          <w14:textFill>
            <w14:solidFill>
              <w14:schemeClr w14:val="tx1"/>
            </w14:solidFill>
          </w14:textFill>
        </w:rPr>
        <w:t>项目编号：</w:t>
      </w:r>
      <w:r>
        <w:rPr>
          <w:rFonts w:hint="eastAsia" w:ascii="宋体" w:hAnsi="宋体"/>
          <w:bCs/>
          <w:color w:val="000000" w:themeColor="text1"/>
          <w:sz w:val="30"/>
          <w:szCs w:val="30"/>
          <w14:textFill>
            <w14:solidFill>
              <w14:schemeClr w14:val="tx1"/>
            </w14:solidFill>
          </w14:textFill>
        </w:rPr>
        <w:t>JSZC-320412-JSCW-C2026-0031</w:t>
      </w:r>
    </w:p>
    <w:p w14:paraId="2221A226">
      <w:pPr>
        <w:tabs>
          <w:tab w:val="left" w:pos="3240"/>
          <w:tab w:val="left" w:pos="3420"/>
        </w:tabs>
        <w:spacing w:line="360" w:lineRule="auto"/>
        <w:jc w:val="left"/>
        <w:rPr>
          <w:rFonts w:hint="eastAsia" w:ascii="宋体" w:hAnsi="宋体" w:eastAsia="宋体"/>
          <w:bCs/>
          <w:color w:val="000000" w:themeColor="text1"/>
          <w:sz w:val="30"/>
          <w:szCs w:val="30"/>
          <w:lang w:eastAsia="zh-CN"/>
          <w14:textFill>
            <w14:solidFill>
              <w14:schemeClr w14:val="tx1"/>
            </w14:solidFill>
          </w14:textFill>
        </w:rPr>
      </w:pPr>
      <w:r>
        <w:rPr>
          <w:rFonts w:ascii="宋体" w:hAnsi="宋体"/>
          <w:bCs/>
          <w:color w:val="000000" w:themeColor="text1"/>
          <w:sz w:val="30"/>
          <w:szCs w:val="30"/>
          <w14:textFill>
            <w14:solidFill>
              <w14:schemeClr w14:val="tx1"/>
            </w14:solidFill>
          </w14:textFill>
        </w:rPr>
        <w:t>采 购 人：</w:t>
      </w:r>
      <w:r>
        <w:rPr>
          <w:rStyle w:val="277"/>
          <w:rFonts w:hint="eastAsia" w:ascii="宋体" w:hAnsi="宋体"/>
          <w:color w:val="000000" w:themeColor="text1"/>
          <w:sz w:val="30"/>
          <w:szCs w:val="30"/>
          <w:lang w:eastAsia="zh-CN"/>
          <w14:textFill>
            <w14:solidFill>
              <w14:schemeClr w14:val="tx1"/>
            </w14:solidFill>
          </w14:textFill>
        </w:rPr>
        <w:t>常州市武进区文体广电和旅游局</w:t>
      </w:r>
    </w:p>
    <w:p w14:paraId="59F27FE6">
      <w:pPr>
        <w:tabs>
          <w:tab w:val="left" w:pos="3240"/>
          <w:tab w:val="left" w:pos="3420"/>
        </w:tabs>
        <w:spacing w:line="360" w:lineRule="auto"/>
        <w:jc w:val="left"/>
        <w:rPr>
          <w:rFonts w:ascii="宋体" w:hAnsi="宋体"/>
          <w:bCs/>
          <w:color w:val="000000" w:themeColor="text1"/>
          <w:sz w:val="30"/>
          <w:szCs w:val="30"/>
          <w14:textFill>
            <w14:solidFill>
              <w14:schemeClr w14:val="tx1"/>
            </w14:solidFill>
          </w14:textFill>
        </w:rPr>
        <w:sectPr>
          <w:headerReference r:id="rId3" w:type="default"/>
          <w:footerReference r:id="rId4" w:type="default"/>
          <w:pgSz w:w="11906" w:h="16838"/>
          <w:pgMar w:top="1440" w:right="1800" w:bottom="1440" w:left="1800" w:header="851" w:footer="992" w:gutter="0"/>
          <w:cols w:space="1701" w:num="1"/>
          <w:titlePg/>
          <w:docGrid w:linePitch="360" w:charSpace="0"/>
        </w:sectPr>
      </w:pPr>
      <w:r>
        <w:rPr>
          <w:rFonts w:hint="eastAsia" w:ascii="宋体" w:hAnsi="宋体"/>
          <w:bCs/>
          <w:color w:val="000000" w:themeColor="text1"/>
          <w:sz w:val="30"/>
          <w:szCs w:val="30"/>
          <w14:textFill>
            <w14:solidFill>
              <w14:schemeClr w14:val="tx1"/>
            </w14:solidFill>
          </w14:textFill>
        </w:rPr>
        <w:t>采购</w:t>
      </w:r>
      <w:r>
        <w:rPr>
          <w:rFonts w:ascii="宋体" w:hAnsi="宋体"/>
          <w:bCs/>
          <w:color w:val="000000" w:themeColor="text1"/>
          <w:sz w:val="30"/>
          <w:szCs w:val="30"/>
          <w14:textFill>
            <w14:solidFill>
              <w14:schemeClr w14:val="tx1"/>
            </w14:solidFill>
          </w14:textFill>
        </w:rPr>
        <w:t>代理机构：</w:t>
      </w:r>
      <w:r>
        <w:rPr>
          <w:rFonts w:hint="eastAsia" w:ascii="宋体" w:hAnsi="宋体"/>
          <w:bCs/>
          <w:color w:val="000000" w:themeColor="text1"/>
          <w:sz w:val="30"/>
          <w:szCs w:val="30"/>
          <w14:textFill>
            <w14:solidFill>
              <w14:schemeClr w14:val="tx1"/>
            </w14:solidFill>
          </w14:textFill>
        </w:rPr>
        <w:t>江苏春为全过程工程咨询有限公司</w:t>
      </w:r>
    </w:p>
    <w:p w14:paraId="481DEBE0">
      <w:pPr>
        <w:widowControl/>
        <w:jc w:val="center"/>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目录</w:t>
      </w:r>
    </w:p>
    <w:p w14:paraId="70A40897">
      <w:pPr>
        <w:pStyle w:val="31"/>
        <w:tabs>
          <w:tab w:val="right" w:leader="dot" w:pos="8296"/>
        </w:tabs>
        <w:spacing w:line="480" w:lineRule="auto"/>
        <w:rPr>
          <w:rFonts w:ascii="Calibri" w:hAnsi="Calibri" w:cs="黑体"/>
          <w:b w:val="0"/>
          <w:color w:val="000000" w:themeColor="text1"/>
          <w:sz w:val="21"/>
          <w14:textFill>
            <w14:solidFill>
              <w14:schemeClr w14:val="tx1"/>
            </w14:solidFill>
          </w14:textFill>
        </w:rPr>
      </w:pPr>
      <w:r>
        <w:rPr>
          <w:b w:val="0"/>
          <w:bCs/>
          <w:color w:val="000000" w:themeColor="text1"/>
          <w:sz w:val="36"/>
          <w:szCs w:val="36"/>
          <w14:textFill>
            <w14:solidFill>
              <w14:schemeClr w14:val="tx1"/>
            </w14:solidFill>
          </w14:textFill>
        </w:rPr>
        <w:fldChar w:fldCharType="begin"/>
      </w:r>
      <w:r>
        <w:rPr>
          <w:b w:val="0"/>
          <w:bCs/>
          <w:color w:val="000000" w:themeColor="text1"/>
          <w:sz w:val="36"/>
          <w:szCs w:val="36"/>
          <w14:textFill>
            <w14:solidFill>
              <w14:schemeClr w14:val="tx1"/>
            </w14:solidFill>
          </w14:textFill>
        </w:rPr>
        <w:instrText xml:space="preserve"> TOC \o "1-1" \h \z \u </w:instrText>
      </w:r>
      <w:r>
        <w:rPr>
          <w:b w:val="0"/>
          <w:bCs/>
          <w:color w:val="000000" w:themeColor="text1"/>
          <w:sz w:val="36"/>
          <w:szCs w:val="36"/>
          <w14:textFill>
            <w14:solidFill>
              <w14:schemeClr w14:val="tx1"/>
            </w14:solidFill>
          </w14:textFill>
        </w:rPr>
        <w:fldChar w:fldCharType="separate"/>
      </w:r>
      <w:r>
        <w:fldChar w:fldCharType="begin"/>
      </w:r>
      <w:r>
        <w:instrText xml:space="preserve"> HYPERLINK \l "_Toc123719645" </w:instrText>
      </w:r>
      <w:r>
        <w:fldChar w:fldCharType="separate"/>
      </w:r>
      <w:r>
        <w:rPr>
          <w:rStyle w:val="54"/>
          <w:rFonts w:hint="eastAsia"/>
          <w:color w:val="000000" w:themeColor="text1"/>
          <w14:textFill>
            <w14:solidFill>
              <w14:schemeClr w14:val="tx1"/>
            </w14:solidFill>
          </w14:textFill>
        </w:rPr>
        <w:t>第一章采购邀请</w:t>
      </w:r>
      <w:r>
        <w:rPr>
          <w:rStyle w:val="54"/>
          <w:rFonts w:hint="eastAsia"/>
          <w:color w:val="000000" w:themeColor="text1"/>
          <w14:textFill>
            <w14:solidFill>
              <w14:schemeClr w14:val="tx1"/>
            </w14:solidFill>
          </w14:textFill>
        </w:rPr>
        <w:fldChar w:fldCharType="end"/>
      </w:r>
    </w:p>
    <w:p w14:paraId="1DE6627A">
      <w:pPr>
        <w:pStyle w:val="31"/>
        <w:tabs>
          <w:tab w:val="right" w:leader="dot" w:pos="8296"/>
        </w:tabs>
        <w:spacing w:line="480" w:lineRule="auto"/>
        <w:rPr>
          <w:rFonts w:ascii="Calibri" w:hAnsi="Calibri" w:cs="黑体"/>
          <w:b w:val="0"/>
          <w:color w:val="000000" w:themeColor="text1"/>
          <w:sz w:val="21"/>
          <w14:textFill>
            <w14:solidFill>
              <w14:schemeClr w14:val="tx1"/>
            </w14:solidFill>
          </w14:textFill>
        </w:rPr>
      </w:pPr>
      <w:r>
        <w:fldChar w:fldCharType="begin"/>
      </w:r>
      <w:r>
        <w:instrText xml:space="preserve"> HYPERLINK \l "_Toc123719646" </w:instrText>
      </w:r>
      <w:r>
        <w:fldChar w:fldCharType="separate"/>
      </w:r>
      <w:r>
        <w:rPr>
          <w:rStyle w:val="54"/>
          <w:rFonts w:hint="eastAsia"/>
          <w:color w:val="000000" w:themeColor="text1"/>
          <w14:textFill>
            <w14:solidFill>
              <w14:schemeClr w14:val="tx1"/>
            </w14:solidFill>
          </w14:textFill>
        </w:rPr>
        <w:t>第二章供应商须知</w:t>
      </w:r>
      <w:r>
        <w:rPr>
          <w:rStyle w:val="54"/>
          <w:rFonts w:hint="eastAsia"/>
          <w:color w:val="000000" w:themeColor="text1"/>
          <w14:textFill>
            <w14:solidFill>
              <w14:schemeClr w14:val="tx1"/>
            </w14:solidFill>
          </w14:textFill>
        </w:rPr>
        <w:fldChar w:fldCharType="end"/>
      </w:r>
    </w:p>
    <w:p w14:paraId="38CDA61F">
      <w:pPr>
        <w:pStyle w:val="31"/>
        <w:tabs>
          <w:tab w:val="right" w:leader="dot" w:pos="8296"/>
        </w:tabs>
        <w:spacing w:line="480" w:lineRule="auto"/>
        <w:rPr>
          <w:rFonts w:ascii="Calibri" w:hAnsi="Calibri" w:cs="黑体"/>
          <w:b w:val="0"/>
          <w:color w:val="000000" w:themeColor="text1"/>
          <w:sz w:val="21"/>
          <w14:textFill>
            <w14:solidFill>
              <w14:schemeClr w14:val="tx1"/>
            </w14:solidFill>
          </w14:textFill>
        </w:rPr>
      </w:pPr>
      <w:r>
        <w:fldChar w:fldCharType="begin"/>
      </w:r>
      <w:r>
        <w:instrText xml:space="preserve"> HYPERLINK \l "_Toc123719647" </w:instrText>
      </w:r>
      <w:r>
        <w:fldChar w:fldCharType="separate"/>
      </w:r>
      <w:r>
        <w:rPr>
          <w:rStyle w:val="54"/>
          <w:rFonts w:hint="eastAsia"/>
          <w:color w:val="000000" w:themeColor="text1"/>
          <w14:textFill>
            <w14:solidFill>
              <w14:schemeClr w14:val="tx1"/>
            </w14:solidFill>
          </w14:textFill>
        </w:rPr>
        <w:t>第三章评审程序、评审方法和评审标准</w:t>
      </w:r>
      <w:r>
        <w:rPr>
          <w:rStyle w:val="54"/>
          <w:rFonts w:hint="eastAsia"/>
          <w:color w:val="000000" w:themeColor="text1"/>
          <w14:textFill>
            <w14:solidFill>
              <w14:schemeClr w14:val="tx1"/>
            </w14:solidFill>
          </w14:textFill>
        </w:rPr>
        <w:fldChar w:fldCharType="end"/>
      </w:r>
    </w:p>
    <w:p w14:paraId="0B753555">
      <w:pPr>
        <w:pStyle w:val="31"/>
        <w:tabs>
          <w:tab w:val="right" w:leader="dot" w:pos="8296"/>
        </w:tabs>
        <w:spacing w:line="480" w:lineRule="auto"/>
        <w:rPr>
          <w:rFonts w:ascii="Calibri" w:hAnsi="Calibri" w:cs="黑体"/>
          <w:b w:val="0"/>
          <w:color w:val="000000" w:themeColor="text1"/>
          <w:sz w:val="21"/>
          <w14:textFill>
            <w14:solidFill>
              <w14:schemeClr w14:val="tx1"/>
            </w14:solidFill>
          </w14:textFill>
        </w:rPr>
      </w:pPr>
      <w:r>
        <w:fldChar w:fldCharType="begin"/>
      </w:r>
      <w:r>
        <w:instrText xml:space="preserve"> HYPERLINK \l "_Toc123719648" </w:instrText>
      </w:r>
      <w:r>
        <w:fldChar w:fldCharType="separate"/>
      </w:r>
      <w:r>
        <w:rPr>
          <w:rStyle w:val="54"/>
          <w:rFonts w:hint="eastAsia"/>
          <w:color w:val="000000" w:themeColor="text1"/>
          <w14:textFill>
            <w14:solidFill>
              <w14:schemeClr w14:val="tx1"/>
            </w14:solidFill>
          </w14:textFill>
        </w:rPr>
        <w:t>第四章采购需求</w:t>
      </w:r>
      <w:r>
        <w:rPr>
          <w:rStyle w:val="54"/>
          <w:rFonts w:hint="eastAsia"/>
          <w:color w:val="000000" w:themeColor="text1"/>
          <w14:textFill>
            <w14:solidFill>
              <w14:schemeClr w14:val="tx1"/>
            </w14:solidFill>
          </w14:textFill>
        </w:rPr>
        <w:fldChar w:fldCharType="end"/>
      </w:r>
    </w:p>
    <w:p w14:paraId="5D0DC50E">
      <w:pPr>
        <w:pStyle w:val="31"/>
        <w:tabs>
          <w:tab w:val="right" w:leader="dot" w:pos="8296"/>
        </w:tabs>
        <w:spacing w:line="480" w:lineRule="auto"/>
        <w:rPr>
          <w:rFonts w:ascii="Calibri" w:hAnsi="Calibri" w:cs="黑体"/>
          <w:b w:val="0"/>
          <w:color w:val="000000" w:themeColor="text1"/>
          <w:sz w:val="21"/>
          <w14:textFill>
            <w14:solidFill>
              <w14:schemeClr w14:val="tx1"/>
            </w14:solidFill>
          </w14:textFill>
        </w:rPr>
      </w:pPr>
      <w:r>
        <w:fldChar w:fldCharType="begin"/>
      </w:r>
      <w:r>
        <w:instrText xml:space="preserve"> HYPERLINK \l "_Toc123719649" </w:instrText>
      </w:r>
      <w:r>
        <w:fldChar w:fldCharType="separate"/>
      </w:r>
      <w:r>
        <w:rPr>
          <w:rStyle w:val="54"/>
          <w:rFonts w:hint="eastAsia"/>
          <w:color w:val="000000" w:themeColor="text1"/>
          <w14:textFill>
            <w14:solidFill>
              <w14:schemeClr w14:val="tx1"/>
            </w14:solidFill>
          </w14:textFill>
        </w:rPr>
        <w:t>第五章合同草案条款</w:t>
      </w:r>
      <w:r>
        <w:rPr>
          <w:rStyle w:val="54"/>
          <w:rFonts w:hint="eastAsia"/>
          <w:color w:val="000000" w:themeColor="text1"/>
          <w14:textFill>
            <w14:solidFill>
              <w14:schemeClr w14:val="tx1"/>
            </w14:solidFill>
          </w14:textFill>
        </w:rPr>
        <w:fldChar w:fldCharType="end"/>
      </w:r>
    </w:p>
    <w:p w14:paraId="4E35300E">
      <w:pPr>
        <w:pStyle w:val="31"/>
        <w:tabs>
          <w:tab w:val="right" w:leader="dot" w:pos="8296"/>
        </w:tabs>
        <w:spacing w:line="480" w:lineRule="auto"/>
        <w:rPr>
          <w:rFonts w:ascii="Calibri" w:hAnsi="Calibri" w:cs="黑体"/>
          <w:b w:val="0"/>
          <w:color w:val="000000" w:themeColor="text1"/>
          <w:sz w:val="21"/>
          <w14:textFill>
            <w14:solidFill>
              <w14:schemeClr w14:val="tx1"/>
            </w14:solidFill>
          </w14:textFill>
        </w:rPr>
      </w:pPr>
      <w:r>
        <w:fldChar w:fldCharType="begin"/>
      </w:r>
      <w:r>
        <w:instrText xml:space="preserve"> HYPERLINK \l "_Toc123719650" </w:instrText>
      </w:r>
      <w:r>
        <w:fldChar w:fldCharType="separate"/>
      </w:r>
      <w:r>
        <w:rPr>
          <w:rStyle w:val="54"/>
          <w:rFonts w:hint="eastAsia"/>
          <w:color w:val="000000" w:themeColor="text1"/>
          <w14:textFill>
            <w14:solidFill>
              <w14:schemeClr w14:val="tx1"/>
            </w14:solidFill>
          </w14:textFill>
        </w:rPr>
        <w:t>第六章响应文件格式</w:t>
      </w:r>
      <w:r>
        <w:rPr>
          <w:rStyle w:val="54"/>
          <w:rFonts w:hint="eastAsia"/>
          <w:color w:val="000000" w:themeColor="text1"/>
          <w14:textFill>
            <w14:solidFill>
              <w14:schemeClr w14:val="tx1"/>
            </w14:solidFill>
          </w14:textFill>
        </w:rPr>
        <w:fldChar w:fldCharType="end"/>
      </w:r>
    </w:p>
    <w:p w14:paraId="18CC4EBB">
      <w:pPr>
        <w:widowControl/>
        <w:spacing w:line="480" w:lineRule="auto"/>
        <w:rPr>
          <w:rFonts w:ascii="宋体" w:hAnsi="宋体"/>
          <w:bCs/>
          <w:color w:val="000000" w:themeColor="text1"/>
          <w:sz w:val="36"/>
          <w:szCs w:val="36"/>
          <w14:textFill>
            <w14:solidFill>
              <w14:schemeClr w14:val="tx1"/>
            </w14:solidFill>
          </w14:textFill>
        </w:rPr>
        <w:sectPr>
          <w:pgSz w:w="11906" w:h="16838"/>
          <w:pgMar w:top="1440" w:right="1800" w:bottom="1440" w:left="1800" w:header="851" w:footer="992" w:gutter="0"/>
          <w:cols w:space="1701" w:num="1"/>
          <w:docGrid w:linePitch="360" w:charSpace="0"/>
        </w:sectPr>
      </w:pPr>
      <w:r>
        <w:rPr>
          <w:rFonts w:ascii="宋体" w:hAnsi="宋体" w:cs="宋体"/>
          <w:b/>
          <w:bCs/>
          <w:color w:val="000000" w:themeColor="text1"/>
          <w:sz w:val="36"/>
          <w:szCs w:val="36"/>
          <w14:textFill>
            <w14:solidFill>
              <w14:schemeClr w14:val="tx1"/>
            </w14:solidFill>
          </w14:textFill>
        </w:rPr>
        <w:fldChar w:fldCharType="end"/>
      </w:r>
    </w:p>
    <w:p w14:paraId="759332F0">
      <w:pPr>
        <w:spacing w:line="360" w:lineRule="auto"/>
        <w:jc w:val="center"/>
        <w:outlineLvl w:val="0"/>
        <w:rPr>
          <w:b/>
          <w:color w:val="000000" w:themeColor="text1"/>
          <w:sz w:val="36"/>
          <w:szCs w:val="36"/>
          <w14:textFill>
            <w14:solidFill>
              <w14:schemeClr w14:val="tx1"/>
            </w14:solidFill>
          </w14:textFill>
        </w:rPr>
      </w:pPr>
      <w:bookmarkStart w:id="0" w:name="_Toc123719645"/>
      <w:r>
        <w:rPr>
          <w:rFonts w:ascii="宋体" w:hAnsi="宋体"/>
          <w:b/>
          <w:color w:val="000000" w:themeColor="text1"/>
          <w:sz w:val="32"/>
          <w:szCs w:val="32"/>
          <w14:textFill>
            <w14:solidFill>
              <w14:schemeClr w14:val="tx1"/>
            </w14:solidFill>
          </w14:textFill>
        </w:rPr>
        <w:t>第一章</w:t>
      </w:r>
      <w:bookmarkStart w:id="1" w:name="_Toc35393621"/>
      <w:bookmarkStart w:id="2" w:name="_Toc35393790"/>
      <w:bookmarkStart w:id="3" w:name="_Toc28359079"/>
      <w:bookmarkStart w:id="4" w:name="_Toc28359002"/>
      <w:bookmarkStart w:id="5" w:name="_Hlk24379207"/>
      <w:r>
        <w:rPr>
          <w:rFonts w:hint="eastAsia" w:ascii="宋体" w:hAnsi="宋体"/>
          <w:b/>
          <w:color w:val="000000" w:themeColor="text1"/>
          <w:sz w:val="32"/>
          <w:szCs w:val="32"/>
          <w14:textFill>
            <w14:solidFill>
              <w14:schemeClr w14:val="tx1"/>
            </w14:solidFill>
          </w14:textFill>
        </w:rPr>
        <w:t xml:space="preserve"> </w:t>
      </w:r>
      <w:r>
        <w:rPr>
          <w:rFonts w:hint="eastAsia"/>
          <w:b/>
          <w:color w:val="000000" w:themeColor="text1"/>
          <w:sz w:val="32"/>
          <w:szCs w:val="32"/>
          <w14:textFill>
            <w14:solidFill>
              <w14:schemeClr w14:val="tx1"/>
            </w14:solidFill>
          </w14:textFill>
        </w:rPr>
        <w:t>采购邀请</w:t>
      </w:r>
    </w:p>
    <w:p w14:paraId="77A21DF9">
      <w:pPr>
        <w:pBdr>
          <w:top w:val="single" w:color="auto" w:sz="4" w:space="1"/>
          <w:left w:val="single" w:color="auto" w:sz="4" w:space="4"/>
          <w:bottom w:val="single" w:color="auto" w:sz="4" w:space="0"/>
          <w:right w:val="single" w:color="auto" w:sz="4" w:space="4"/>
        </w:pBd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项目概况</w:t>
      </w:r>
    </w:p>
    <w:p w14:paraId="101166A0">
      <w:pPr>
        <w:pBdr>
          <w:top w:val="single" w:color="auto" w:sz="4" w:space="1"/>
          <w:left w:val="single" w:color="auto" w:sz="4" w:space="4"/>
          <w:bottom w:val="single" w:color="auto" w:sz="4" w:space="0"/>
          <w:right w:val="single" w:color="auto" w:sz="4" w:space="4"/>
        </w:pBdr>
        <w:ind w:firstLine="480" w:firstLineChars="200"/>
        <w:rPr>
          <w:rFonts w:ascii="宋体" w:hAnsi="宋体" w:cs="仿宋_GB2312"/>
          <w:bCs/>
          <w:color w:val="000000" w:themeColor="text1"/>
          <w:spacing w:val="2"/>
          <w:sz w:val="24"/>
          <w:lang w:val="zh-CN"/>
          <w14:textFill>
            <w14:solidFill>
              <w14:schemeClr w14:val="tx1"/>
            </w14:solidFill>
          </w14:textFill>
        </w:rPr>
      </w:pPr>
      <w:r>
        <w:rPr>
          <w:rFonts w:hint="eastAsia" w:ascii="宋体" w:hAnsi="宋体"/>
          <w:color w:val="000000" w:themeColor="text1"/>
          <w:sz w:val="24"/>
          <w:u w:val="single"/>
          <w:lang w:eastAsia="zh-CN"/>
          <w14:textFill>
            <w14:solidFill>
              <w14:schemeClr w14:val="tx1"/>
            </w14:solidFill>
          </w14:textFill>
        </w:rPr>
        <w:t>2026常州西太湖半程马拉松</w:t>
      </w:r>
      <w:r>
        <w:rPr>
          <w:rFonts w:hint="eastAsia" w:ascii="宋体" w:hAnsi="宋体"/>
          <w:color w:val="000000" w:themeColor="text1"/>
          <w:sz w:val="24"/>
          <w:u w:val="single"/>
          <w14:textFill>
            <w14:solidFill>
              <w14:schemeClr w14:val="tx1"/>
            </w14:solidFill>
          </w14:textFill>
        </w:rPr>
        <w:t>JSZC-320412-JSCW-C2026-0031</w:t>
      </w:r>
      <w:r>
        <w:rPr>
          <w:rFonts w:ascii="宋体" w:hAnsi="宋体"/>
          <w:color w:val="000000" w:themeColor="text1"/>
          <w:sz w:val="24"/>
          <w14:textFill>
            <w14:solidFill>
              <w14:schemeClr w14:val="tx1"/>
            </w14:solidFill>
          </w14:textFill>
        </w:rPr>
        <w:t>的潜在供应商应</w:t>
      </w:r>
      <w:r>
        <w:rPr>
          <w:rFonts w:hint="eastAsia" w:ascii="宋体" w:hAnsi="宋体"/>
          <w:color w:val="000000" w:themeColor="text1"/>
          <w:sz w:val="24"/>
          <w14:textFill>
            <w14:solidFill>
              <w14:schemeClr w14:val="tx1"/>
            </w14:solidFill>
          </w14:textFill>
        </w:rPr>
        <w:t>应在“苏采云”政府采购一体化平台获取采购文件，并于202</w:t>
      </w:r>
      <w:r>
        <w:rPr>
          <w:rFonts w:hint="eastAsia" w:ascii="宋体" w:hAnsi="宋体"/>
          <w:color w:val="000000" w:themeColor="text1"/>
          <w:sz w:val="24"/>
          <w:lang w:val="en-US" w:eastAsia="zh-CN"/>
          <w14:textFill>
            <w14:solidFill>
              <w14:schemeClr w14:val="tx1"/>
            </w14:solidFill>
          </w14:textFill>
        </w:rPr>
        <w:t>6</w:t>
      </w:r>
      <w:r>
        <w:rPr>
          <w:rFonts w:hint="eastAsia" w:ascii="宋体" w:hAnsi="宋体"/>
          <w:color w:val="000000" w:themeColor="text1"/>
          <w:sz w:val="24"/>
          <w14:textFill>
            <w14:solidFill>
              <w14:schemeClr w14:val="tx1"/>
            </w14:solidFill>
          </w14:textFill>
        </w:rPr>
        <w:t>-</w:t>
      </w:r>
      <w:r>
        <w:rPr>
          <w:rFonts w:hint="eastAsia" w:ascii="宋体" w:hAnsi="宋体"/>
          <w:color w:val="000000" w:themeColor="text1"/>
          <w:sz w:val="24"/>
          <w:lang w:val="en-US" w:eastAsia="zh-CN"/>
          <w14:textFill>
            <w14:solidFill>
              <w14:schemeClr w14:val="tx1"/>
            </w14:solidFill>
          </w14:textFill>
        </w:rPr>
        <w:t>08</w:t>
      </w:r>
      <w:r>
        <w:rPr>
          <w:rFonts w:hint="eastAsia" w:ascii="宋体" w:hAnsi="宋体"/>
          <w:color w:val="000000" w:themeColor="text1"/>
          <w:sz w:val="24"/>
          <w14:textFill>
            <w14:solidFill>
              <w14:schemeClr w14:val="tx1"/>
            </w14:solidFill>
          </w14:textFill>
        </w:rPr>
        <w:t>-</w:t>
      </w:r>
      <w:r>
        <w:rPr>
          <w:rFonts w:hint="eastAsia" w:ascii="宋体" w:hAnsi="宋体"/>
          <w:color w:val="000000" w:themeColor="text1"/>
          <w:sz w:val="24"/>
          <w:lang w:val="en-US" w:eastAsia="zh-CN"/>
          <w14:textFill>
            <w14:solidFill>
              <w14:schemeClr w14:val="tx1"/>
            </w14:solidFill>
          </w14:textFill>
        </w:rPr>
        <w:t>18</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14</w:t>
      </w:r>
      <w:r>
        <w:rPr>
          <w:rFonts w:hint="eastAsia" w:ascii="宋体" w:hAnsi="宋体"/>
          <w:color w:val="000000" w:themeColor="text1"/>
          <w:sz w:val="24"/>
          <w14:textFill>
            <w14:solidFill>
              <w14:schemeClr w14:val="tx1"/>
            </w14:solidFill>
          </w14:textFill>
        </w:rPr>
        <w:t>:</w:t>
      </w:r>
      <w:r>
        <w:rPr>
          <w:rFonts w:hint="eastAsia" w:ascii="宋体" w:hAnsi="宋体"/>
          <w:color w:val="000000" w:themeColor="text1"/>
          <w:sz w:val="24"/>
          <w:lang w:val="en-US" w:eastAsia="zh-CN"/>
          <w14:textFill>
            <w14:solidFill>
              <w14:schemeClr w14:val="tx1"/>
            </w14:solidFill>
          </w14:textFill>
        </w:rPr>
        <w:t>0</w:t>
      </w:r>
      <w:r>
        <w:rPr>
          <w:rFonts w:hint="eastAsia" w:ascii="宋体" w:hAnsi="宋体"/>
          <w:color w:val="000000" w:themeColor="text1"/>
          <w:sz w:val="24"/>
          <w14:textFill>
            <w14:solidFill>
              <w14:schemeClr w14:val="tx1"/>
            </w14:solidFill>
          </w14:textFill>
        </w:rPr>
        <w:t>0 （北京时间）前提交响应文件。</w:t>
      </w:r>
    </w:p>
    <w:p w14:paraId="5D6F806B">
      <w:pPr>
        <w:pStyle w:val="3"/>
        <w:spacing w:before="0" w:after="0" w:line="360" w:lineRule="auto"/>
        <w:jc w:val="left"/>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一、项目基本情况</w:t>
      </w:r>
      <w:bookmarkEnd w:id="1"/>
      <w:bookmarkEnd w:id="2"/>
      <w:bookmarkEnd w:id="3"/>
      <w:bookmarkEnd w:id="4"/>
    </w:p>
    <w:p w14:paraId="6258C057">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项目编号：</w:t>
      </w:r>
      <w:r>
        <w:rPr>
          <w:rFonts w:hint="eastAsia" w:ascii="宋体" w:hAnsi="宋体"/>
          <w:color w:val="000000" w:themeColor="text1"/>
          <w:sz w:val="24"/>
          <w14:textFill>
            <w14:solidFill>
              <w14:schemeClr w14:val="tx1"/>
            </w14:solidFill>
          </w14:textFill>
        </w:rPr>
        <w:t>JSZC-320412-JSCW-C2026-0031</w:t>
      </w:r>
    </w:p>
    <w:p w14:paraId="105B056B">
      <w:pPr>
        <w:spacing w:line="360" w:lineRule="auto"/>
        <w:ind w:firstLine="480" w:firstLineChars="200"/>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项目名称：</w:t>
      </w:r>
      <w:r>
        <w:rPr>
          <w:rFonts w:hint="eastAsia" w:ascii="宋体" w:hAnsi="宋体"/>
          <w:color w:val="000000" w:themeColor="text1"/>
          <w:sz w:val="24"/>
          <w:lang w:eastAsia="zh-CN"/>
          <w14:textFill>
            <w14:solidFill>
              <w14:schemeClr w14:val="tx1"/>
            </w14:solidFill>
          </w14:textFill>
        </w:rPr>
        <w:t>2026常州西太湖半程马拉松</w:t>
      </w:r>
    </w:p>
    <w:bookmarkEnd w:id="5"/>
    <w:p w14:paraId="585CADCB">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预算金额：</w:t>
      </w:r>
      <w:r>
        <w:rPr>
          <w:rFonts w:hint="eastAsia" w:ascii="宋体" w:hAnsi="宋体"/>
          <w:color w:val="000000" w:themeColor="text1"/>
          <w:sz w:val="24"/>
          <w:lang w:val="en-US" w:eastAsia="zh-CN"/>
          <w14:textFill>
            <w14:solidFill>
              <w14:schemeClr w14:val="tx1"/>
            </w14:solidFill>
          </w14:textFill>
        </w:rPr>
        <w:t>2</w:t>
      </w:r>
      <w:r>
        <w:rPr>
          <w:rFonts w:hint="eastAsia" w:ascii="宋体" w:hAnsi="宋体"/>
          <w:color w:val="000000" w:themeColor="text1"/>
          <w:sz w:val="24"/>
          <w14:textFill>
            <w14:solidFill>
              <w14:schemeClr w14:val="tx1"/>
            </w14:solidFill>
          </w14:textFill>
        </w:rPr>
        <w:t>40万元</w:t>
      </w:r>
    </w:p>
    <w:p w14:paraId="003BFFAC">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最高限价：</w:t>
      </w:r>
      <w:r>
        <w:rPr>
          <w:rFonts w:hint="eastAsia" w:ascii="宋体" w:hAnsi="宋体"/>
          <w:color w:val="000000" w:themeColor="text1"/>
          <w:sz w:val="24"/>
          <w:lang w:val="en-US" w:eastAsia="zh-CN"/>
          <w14:textFill>
            <w14:solidFill>
              <w14:schemeClr w14:val="tx1"/>
            </w14:solidFill>
          </w14:textFill>
        </w:rPr>
        <w:t>2</w:t>
      </w:r>
      <w:r>
        <w:rPr>
          <w:rFonts w:hint="eastAsia" w:ascii="宋体" w:hAnsi="宋体"/>
          <w:color w:val="000000" w:themeColor="text1"/>
          <w:sz w:val="24"/>
          <w14:textFill>
            <w14:solidFill>
              <w14:schemeClr w14:val="tx1"/>
            </w14:solidFill>
          </w14:textFill>
        </w:rPr>
        <w:t>40万元</w:t>
      </w:r>
    </w:p>
    <w:p w14:paraId="66E6C1D8">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采购需求：</w:t>
      </w:r>
      <w:r>
        <w:rPr>
          <w:rFonts w:hint="eastAsia" w:ascii="宋体" w:hAnsi="宋体"/>
          <w:color w:val="000000" w:themeColor="text1"/>
          <w:sz w:val="24"/>
          <w:lang w:val="en" w:eastAsia="zh-CN"/>
          <w14:textFill>
            <w14:solidFill>
              <w14:schemeClr w14:val="tx1"/>
            </w14:solidFill>
          </w14:textFill>
        </w:rPr>
        <w:t>包括但不限于2026常州西太湖半程马拉松赛运营服务赛事总体策划、竞赛组织、宣传推广、赛事安保、医疗救援、赛事志愿者、后勤保障、赛道及场地布置、市场开发、应急预案等工作。</w:t>
      </w:r>
    </w:p>
    <w:p w14:paraId="02FF662C">
      <w:pPr>
        <w:spacing w:line="360" w:lineRule="auto"/>
        <w:ind w:firstLine="480" w:firstLineChars="200"/>
        <w:rPr>
          <w:bCs/>
          <w:sz w:val="24"/>
        </w:rPr>
      </w:pPr>
      <w:r>
        <w:rPr>
          <w:color w:val="000000" w:themeColor="text1"/>
          <w:sz w:val="24"/>
          <w14:textFill>
            <w14:solidFill>
              <w14:schemeClr w14:val="tx1"/>
            </w14:solidFill>
          </w14:textFill>
        </w:rPr>
        <w:t>合同履行期限</w:t>
      </w:r>
      <w:r>
        <w:rPr>
          <w:rFonts w:hint="eastAsia"/>
          <w:color w:val="000000" w:themeColor="text1"/>
          <w:sz w:val="24"/>
          <w14:textFill>
            <w14:solidFill>
              <w14:schemeClr w14:val="tx1"/>
            </w14:solidFill>
          </w14:textFill>
        </w:rPr>
        <w:t>：</w:t>
      </w:r>
      <w:bookmarkStart w:id="6" w:name="OLE_LINK20"/>
      <w:bookmarkStart w:id="7" w:name="OLE_LINK21"/>
      <w:r>
        <w:rPr>
          <w:rFonts w:hint="eastAsia" w:ascii="宋体" w:hAnsi="宋体"/>
          <w:sz w:val="24"/>
        </w:rPr>
        <w:t>合同签订后至</w:t>
      </w:r>
      <w:r>
        <w:rPr>
          <w:rFonts w:hint="eastAsia" w:ascii="宋体" w:hAnsi="宋体"/>
          <w:sz w:val="24"/>
          <w:lang w:val="en-US" w:eastAsia="zh-CN"/>
        </w:rPr>
        <w:t>赛事服务工作全部完成</w:t>
      </w:r>
      <w:r>
        <w:rPr>
          <w:rFonts w:hint="eastAsia"/>
          <w:color w:val="000000" w:themeColor="text1"/>
          <w:sz w:val="24"/>
          <w14:textFill>
            <w14:solidFill>
              <w14:schemeClr w14:val="tx1"/>
            </w14:solidFill>
          </w14:textFill>
        </w:rPr>
        <w:t>。</w:t>
      </w:r>
      <w:bookmarkEnd w:id="6"/>
      <w:bookmarkEnd w:id="7"/>
      <w:r>
        <w:rPr>
          <w:rFonts w:hint="eastAsia" w:ascii="宋体" w:hAnsi="宋体" w:cs="宋体"/>
          <w:bCs/>
          <w:color w:val="000000" w:themeColor="text1"/>
          <w:spacing w:val="2"/>
          <w:sz w:val="24"/>
          <w14:textFill>
            <w14:solidFill>
              <w14:schemeClr w14:val="tx1"/>
            </w14:solidFill>
          </w14:textFill>
        </w:rPr>
        <w:t> </w:t>
      </w:r>
    </w:p>
    <w:p w14:paraId="08CD8BC5">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本项目是否接受联合体：否。</w:t>
      </w:r>
    </w:p>
    <w:p w14:paraId="2A462691">
      <w:pPr>
        <w:pStyle w:val="3"/>
        <w:spacing w:before="0" w:after="0" w:line="360" w:lineRule="auto"/>
        <w:jc w:val="left"/>
        <w:rPr>
          <w:rFonts w:ascii="Times New Roman" w:hAnsi="Times New Roman" w:eastAsia="宋体"/>
          <w:color w:val="000000" w:themeColor="text1"/>
          <w:sz w:val="24"/>
          <w:szCs w:val="24"/>
          <w14:textFill>
            <w14:solidFill>
              <w14:schemeClr w14:val="tx1"/>
            </w14:solidFill>
          </w14:textFill>
        </w:rPr>
      </w:pPr>
      <w:bookmarkStart w:id="8" w:name="_Toc28359080"/>
      <w:bookmarkStart w:id="9" w:name="_Toc35393791"/>
      <w:bookmarkStart w:id="10" w:name="_Toc35393622"/>
      <w:bookmarkStart w:id="11" w:name="_Toc28359003"/>
      <w:r>
        <w:rPr>
          <w:rFonts w:ascii="Times New Roman" w:hAnsi="Times New Roman" w:eastAsia="宋体"/>
          <w:color w:val="000000" w:themeColor="text1"/>
          <w:sz w:val="24"/>
          <w:szCs w:val="24"/>
          <w14:textFill>
            <w14:solidFill>
              <w14:schemeClr w14:val="tx1"/>
            </w14:solidFill>
          </w14:textFill>
        </w:rPr>
        <w:t>二、申请人的资格要求（须同时满足）</w:t>
      </w:r>
      <w:bookmarkEnd w:id="8"/>
      <w:bookmarkEnd w:id="9"/>
      <w:bookmarkEnd w:id="10"/>
      <w:bookmarkEnd w:id="11"/>
    </w:p>
    <w:p w14:paraId="27DFA6EF">
      <w:pPr>
        <w:spacing w:line="360" w:lineRule="auto"/>
        <w:ind w:firstLine="480" w:firstLineChars="200"/>
        <w:rPr>
          <w:color w:val="000000" w:themeColor="text1"/>
          <w:sz w:val="24"/>
          <w14:textFill>
            <w14:solidFill>
              <w14:schemeClr w14:val="tx1"/>
            </w14:solidFill>
          </w14:textFill>
        </w:rPr>
      </w:pPr>
      <w:bookmarkStart w:id="12" w:name="_Toc28359004"/>
      <w:bookmarkStart w:id="13" w:name="_Toc28359081"/>
      <w:r>
        <w:rPr>
          <w:color w:val="000000" w:themeColor="text1"/>
          <w:sz w:val="24"/>
          <w14:textFill>
            <w14:solidFill>
              <w14:schemeClr w14:val="tx1"/>
            </w14:solidFill>
          </w14:textFill>
        </w:rPr>
        <w:t>1.满足《中华人民共和国政府采购法》第二十二条规定</w:t>
      </w:r>
      <w:r>
        <w:rPr>
          <w:rFonts w:hint="eastAsia"/>
          <w:color w:val="000000" w:themeColor="text1"/>
          <w:sz w:val="24"/>
          <w14:textFill>
            <w14:solidFill>
              <w14:schemeClr w14:val="tx1"/>
            </w14:solidFill>
          </w14:textFill>
        </w:rPr>
        <w:t>以及下列情形：</w:t>
      </w:r>
    </w:p>
    <w:p w14:paraId="671A67A5">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1.1未被“信用中国”网站（WWW.creditchina.gov.cn）列入失信被执行人、重大税收违法案件当事人名单、政府采购严重失信行为记录名单；</w:t>
      </w:r>
    </w:p>
    <w:p w14:paraId="753DF1FE">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1.2单位负责人为同一人或者存在直接控股、管理关系的不同供应商（包含法定代表人为同一个人的两个及两个以上法人，母公司、全资子公司及其控股公司），不得参加同一合同项下的政府采购活动。</w:t>
      </w:r>
    </w:p>
    <w:p w14:paraId="31E8D271">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2.落实政府采购政策需满足的资格要求：</w:t>
      </w:r>
    </w:p>
    <w:p w14:paraId="0FF36C16">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2.1 中小企业政策</w:t>
      </w:r>
    </w:p>
    <w:p w14:paraId="79E73E87">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本项目专门面向中小企业采购。</w:t>
      </w:r>
    </w:p>
    <w:p w14:paraId="21127FCA">
      <w:pPr>
        <w:spacing w:line="360" w:lineRule="auto"/>
        <w:ind w:firstLine="480" w:firstLineChars="200"/>
        <w:rPr>
          <w:i/>
          <w:iCs/>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3.本项目的特定资格要求：</w:t>
      </w:r>
    </w:p>
    <w:p w14:paraId="0B342320">
      <w:pPr>
        <w:spacing w:line="360" w:lineRule="auto"/>
        <w:ind w:firstLine="480" w:firstLineChars="200"/>
        <w:rPr>
          <w:color w:val="000000" w:themeColor="text1"/>
          <w:sz w:val="24"/>
          <w:highlight w:val="none"/>
          <w14:textFill>
            <w14:solidFill>
              <w14:schemeClr w14:val="tx1"/>
            </w14:solidFill>
          </w14:textFill>
        </w:rPr>
      </w:pPr>
      <w:bookmarkStart w:id="14" w:name="OLE_LINK6"/>
      <w:r>
        <w:rPr>
          <w:color w:val="000000" w:themeColor="text1"/>
          <w:sz w:val="24"/>
          <w:highlight w:val="none"/>
          <w14:textFill>
            <w14:solidFill>
              <w14:schemeClr w14:val="tx1"/>
            </w14:solidFill>
          </w14:textFill>
        </w:rPr>
        <w:t>3.1本项目是否接受分支机构参与</w:t>
      </w:r>
      <w:r>
        <w:rPr>
          <w:rFonts w:hint="eastAsia"/>
          <w:color w:val="000000" w:themeColor="text1"/>
          <w:sz w:val="24"/>
          <w:highlight w:val="none"/>
          <w14:textFill>
            <w14:solidFill>
              <w14:schemeClr w14:val="tx1"/>
            </w14:solidFill>
          </w14:textFill>
        </w:rPr>
        <w:t>磋商</w:t>
      </w:r>
      <w:r>
        <w:rPr>
          <w:color w:val="000000" w:themeColor="text1"/>
          <w:sz w:val="24"/>
          <w:highlight w:val="none"/>
          <w14:textFill>
            <w14:solidFill>
              <w14:schemeClr w14:val="tx1"/>
            </w14:solidFill>
          </w14:textFill>
        </w:rPr>
        <w:t>：否</w:t>
      </w:r>
      <w:r>
        <w:rPr>
          <w:rFonts w:hint="eastAsia"/>
          <w:color w:val="000000" w:themeColor="text1"/>
          <w:sz w:val="24"/>
          <w:highlight w:val="none"/>
          <w14:textFill>
            <w14:solidFill>
              <w14:schemeClr w14:val="tx1"/>
            </w14:solidFill>
          </w14:textFill>
        </w:rPr>
        <w:t>。</w:t>
      </w:r>
    </w:p>
    <w:p w14:paraId="169BFBCA">
      <w:pPr>
        <w:spacing w:line="360" w:lineRule="auto"/>
        <w:ind w:firstLine="480" w:firstLineChars="200"/>
        <w:rPr>
          <w:color w:val="000000" w:themeColor="text1"/>
          <w:sz w:val="24"/>
          <w14:textFill>
            <w14:solidFill>
              <w14:schemeClr w14:val="tx1"/>
            </w14:solidFill>
          </w14:textFill>
        </w:rPr>
      </w:pPr>
      <w:r>
        <w:rPr>
          <w:color w:val="000000" w:themeColor="text1"/>
          <w:sz w:val="24"/>
          <w:highlight w:val="none"/>
          <w14:textFill>
            <w14:solidFill>
              <w14:schemeClr w14:val="tx1"/>
            </w14:solidFill>
          </w14:textFill>
        </w:rPr>
        <w:t>3.2本项目是否属于政府购买服务：</w:t>
      </w:r>
      <w:r>
        <w:rPr>
          <w:rFonts w:hint="eastAsia"/>
          <w:color w:val="000000" w:themeColor="text1"/>
          <w:sz w:val="24"/>
          <w:highlight w:val="none"/>
          <w14:textFill>
            <w14:solidFill>
              <w14:schemeClr w14:val="tx1"/>
            </w14:solidFill>
          </w14:textFill>
        </w:rPr>
        <w:t>是，公益一类事业单位、使用事业编制且由财政拨款保障的群团组织，不得作为承接主体。</w:t>
      </w:r>
    </w:p>
    <w:p w14:paraId="36A96087">
      <w:pPr>
        <w:tabs>
          <w:tab w:val="left" w:pos="900"/>
          <w:tab w:val="left" w:pos="1134"/>
          <w:tab w:val="left" w:pos="1589"/>
          <w:tab w:val="left" w:pos="5521"/>
        </w:tabs>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3.3其他特定资格要求：</w:t>
      </w:r>
      <w:r>
        <w:rPr>
          <w:rFonts w:hint="eastAsia"/>
          <w:color w:val="000000" w:themeColor="text1"/>
          <w:sz w:val="24"/>
          <w:lang w:val="en-US" w:eastAsia="zh-CN"/>
          <w14:textFill>
            <w14:solidFill>
              <w14:schemeClr w14:val="tx1"/>
            </w14:solidFill>
          </w14:textFill>
        </w:rPr>
        <w:t>无</w:t>
      </w:r>
      <w:r>
        <w:rPr>
          <w:rFonts w:hint="eastAsia"/>
          <w:color w:val="000000" w:themeColor="text1"/>
          <w:sz w:val="24"/>
          <w14:textFill>
            <w14:solidFill>
              <w14:schemeClr w14:val="tx1"/>
            </w14:solidFill>
          </w14:textFill>
        </w:rPr>
        <w:t>。</w:t>
      </w:r>
    </w:p>
    <w:bookmarkEnd w:id="12"/>
    <w:bookmarkEnd w:id="13"/>
    <w:bookmarkEnd w:id="14"/>
    <w:p w14:paraId="0DC0E805">
      <w:pPr>
        <w:pStyle w:val="3"/>
        <w:widowControl/>
        <w:spacing w:before="0" w:after="0" w:line="360" w:lineRule="auto"/>
        <w:jc w:val="left"/>
        <w:rPr>
          <w:rFonts w:ascii="Times New Roman" w:hAnsi="Times New Roman" w:eastAsia="宋体"/>
          <w:color w:val="000000" w:themeColor="text1"/>
          <w:sz w:val="24"/>
          <w:szCs w:val="24"/>
          <w14:textFill>
            <w14:solidFill>
              <w14:schemeClr w14:val="tx1"/>
            </w14:solidFill>
          </w14:textFill>
        </w:rPr>
      </w:pPr>
      <w:bookmarkStart w:id="15" w:name="_Toc35393623"/>
      <w:bookmarkStart w:id="16" w:name="_Toc35393792"/>
      <w:r>
        <w:rPr>
          <w:rFonts w:ascii="Times New Roman" w:hAnsi="Times New Roman" w:eastAsia="宋体"/>
          <w:color w:val="000000" w:themeColor="text1"/>
          <w:sz w:val="24"/>
          <w:szCs w:val="24"/>
          <w14:textFill>
            <w14:solidFill>
              <w14:schemeClr w14:val="tx1"/>
            </w14:solidFill>
          </w14:textFill>
        </w:rPr>
        <w:t>三、获取磋商文件</w:t>
      </w:r>
      <w:bookmarkEnd w:id="15"/>
      <w:bookmarkEnd w:id="16"/>
    </w:p>
    <w:p w14:paraId="0C029DCF">
      <w:pPr>
        <w:spacing w:line="360" w:lineRule="auto"/>
        <w:ind w:firstLine="540"/>
        <w:rPr>
          <w:rFonts w:ascii="宋体" w:hAnsi="宋体" w:cs="宋体"/>
          <w:b/>
          <w:color w:val="000000" w:themeColor="text1"/>
          <w:sz w:val="24"/>
          <w14:textFill>
            <w14:solidFill>
              <w14:schemeClr w14:val="tx1"/>
            </w14:solidFill>
          </w14:textFill>
        </w:rPr>
      </w:pPr>
      <w:bookmarkStart w:id="17" w:name="_Toc35393624"/>
      <w:bookmarkStart w:id="18" w:name="_Toc35393793"/>
      <w:bookmarkStart w:id="19" w:name="_Toc28359005"/>
      <w:bookmarkStart w:id="20" w:name="_Toc28359082"/>
      <w:r>
        <w:rPr>
          <w:rFonts w:hint="eastAsia" w:ascii="宋体" w:hAnsi="宋体" w:cs="宋体"/>
          <w:color w:val="000000" w:themeColor="text1"/>
          <w:sz w:val="24"/>
          <w14:textFill>
            <w14:solidFill>
              <w14:schemeClr w14:val="tx1"/>
            </w14:solidFill>
          </w14:textFill>
        </w:rPr>
        <w:t>时间：自磋商文件公告发布之日起5个工作日。</w:t>
      </w:r>
    </w:p>
    <w:p w14:paraId="73BD1A54">
      <w:pPr>
        <w:spacing w:line="360" w:lineRule="auto"/>
        <w:ind w:firstLine="540"/>
        <w:rPr>
          <w:color w:val="000000" w:themeColor="text1"/>
          <w:sz w:val="24"/>
          <w:lang w:bidi="ar"/>
          <w14:textFill>
            <w14:solidFill>
              <w14:schemeClr w14:val="tx1"/>
            </w14:solidFill>
          </w14:textFill>
        </w:rPr>
      </w:pPr>
      <w:r>
        <w:rPr>
          <w:rFonts w:hint="eastAsia"/>
          <w:color w:val="000000" w:themeColor="text1"/>
          <w:sz w:val="24"/>
          <w:lang w:bidi="ar"/>
          <w14:textFill>
            <w14:solidFill>
              <w14:schemeClr w14:val="tx1"/>
            </w14:solidFill>
          </w14:textFill>
        </w:rPr>
        <w:t>地点：</w:t>
      </w:r>
      <w:bookmarkStart w:id="21" w:name="_Toc38985266"/>
      <w:r>
        <w:rPr>
          <w:rFonts w:hint="eastAsia"/>
          <w:color w:val="000000" w:themeColor="text1"/>
          <w:sz w:val="24"/>
          <w:lang w:bidi="ar"/>
          <w14:textFill>
            <w14:solidFill>
              <w14:schemeClr w14:val="tx1"/>
            </w14:solidFill>
          </w14:textFill>
        </w:rPr>
        <w:t>“苏采云”政府采购一体化平台。</w:t>
      </w:r>
      <w:bookmarkEnd w:id="21"/>
    </w:p>
    <w:p w14:paraId="1B527D56">
      <w:pPr>
        <w:pStyle w:val="401"/>
        <w:spacing w:line="360" w:lineRule="auto"/>
        <w:rPr>
          <w:rFonts w:ascii="Times New Roman" w:hAnsi="Times New Roman" w:cs="Times New Roman"/>
          <w:color w:val="000000" w:themeColor="text1"/>
          <w:kern w:val="2"/>
          <w:lang w:bidi="ar"/>
          <w14:textFill>
            <w14:solidFill>
              <w14:schemeClr w14:val="tx1"/>
            </w14:solidFill>
          </w14:textFill>
        </w:rPr>
      </w:pPr>
      <w:r>
        <w:rPr>
          <w:rFonts w:hint="eastAsia" w:ascii="Times New Roman" w:hAnsi="Times New Roman" w:cs="Times New Roman"/>
          <w:color w:val="000000" w:themeColor="text1"/>
          <w:kern w:val="2"/>
          <w:lang w:bidi="ar"/>
          <w14:textFill>
            <w14:solidFill>
              <w14:schemeClr w14:val="tx1"/>
            </w14:solidFill>
          </w14:textFill>
        </w:rPr>
        <w:t xml:space="preserve"> </w:t>
      </w:r>
      <w:r>
        <w:rPr>
          <w:rFonts w:ascii="Times New Roman" w:hAnsi="Times New Roman" w:cs="Times New Roman"/>
          <w:color w:val="000000" w:themeColor="text1"/>
          <w:kern w:val="2"/>
          <w:lang w:bidi="ar"/>
          <w14:textFill>
            <w14:solidFill>
              <w14:schemeClr w14:val="tx1"/>
            </w14:solidFill>
          </w14:textFill>
        </w:rPr>
        <w:t xml:space="preserve">   </w:t>
      </w:r>
      <w:r>
        <w:rPr>
          <w:rFonts w:hint="eastAsia" w:ascii="Times New Roman" w:hAnsi="Times New Roman" w:cs="Times New Roman"/>
          <w:color w:val="000000" w:themeColor="text1"/>
          <w:kern w:val="2"/>
          <w:lang w:bidi="ar"/>
          <w14:textFill>
            <w14:solidFill>
              <w14:schemeClr w14:val="tx1"/>
            </w14:solidFill>
          </w14:textFill>
        </w:rPr>
        <w:t>方式：“苏采云”政府采购一体化平台自行免费下载。</w:t>
      </w:r>
    </w:p>
    <w:p w14:paraId="48D8226E">
      <w:pPr>
        <w:spacing w:line="360" w:lineRule="auto"/>
        <w:ind w:firstLine="480" w:firstLineChars="200"/>
        <w:rPr>
          <w:color w:val="000000" w:themeColor="text1"/>
          <w:sz w:val="24"/>
          <w:lang w:bidi="ar"/>
          <w14:textFill>
            <w14:solidFill>
              <w14:schemeClr w14:val="tx1"/>
            </w14:solidFill>
          </w14:textFill>
        </w:rPr>
      </w:pPr>
      <w:r>
        <w:rPr>
          <w:rFonts w:hint="eastAsia"/>
          <w:color w:val="000000" w:themeColor="text1"/>
          <w:sz w:val="24"/>
          <w:lang w:bidi="ar"/>
          <w14:textFill>
            <w14:solidFill>
              <w14:schemeClr w14:val="tx1"/>
            </w14:solidFill>
          </w14:textFill>
        </w:rPr>
        <w:t>售价：0元。</w:t>
      </w:r>
    </w:p>
    <w:p w14:paraId="5C7E3D3D">
      <w:pPr>
        <w:pStyle w:val="3"/>
        <w:widowControl/>
        <w:spacing w:before="0" w:after="0" w:line="360" w:lineRule="auto"/>
        <w:jc w:val="left"/>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四、</w:t>
      </w:r>
      <w:bookmarkEnd w:id="17"/>
      <w:bookmarkEnd w:id="18"/>
      <w:bookmarkEnd w:id="19"/>
      <w:bookmarkEnd w:id="20"/>
      <w:r>
        <w:rPr>
          <w:rFonts w:hint="eastAsia" w:ascii="Times New Roman" w:hAnsi="Times New Roman" w:eastAsia="宋体"/>
          <w:color w:val="000000" w:themeColor="text1"/>
          <w:sz w:val="24"/>
          <w:szCs w:val="24"/>
          <w14:textFill>
            <w14:solidFill>
              <w14:schemeClr w14:val="tx1"/>
            </w14:solidFill>
          </w14:textFill>
        </w:rPr>
        <w:t>响应文件提交</w:t>
      </w:r>
    </w:p>
    <w:p w14:paraId="7958E727">
      <w:pPr>
        <w:spacing w:line="360" w:lineRule="auto"/>
        <w:ind w:firstLine="480" w:firstLineChars="200"/>
        <w:rPr>
          <w:bCs/>
          <w:color w:val="000000" w:themeColor="text1"/>
          <w:sz w:val="24"/>
          <w:u w:val="single"/>
          <w14:textFill>
            <w14:solidFill>
              <w14:schemeClr w14:val="tx1"/>
            </w14:solidFill>
          </w14:textFill>
        </w:rPr>
      </w:pPr>
      <w:bookmarkStart w:id="22" w:name="_Hlk149911415"/>
      <w:r>
        <w:rPr>
          <w:rFonts w:hint="eastAsia"/>
          <w:color w:val="000000" w:themeColor="text1"/>
          <w:sz w:val="24"/>
          <w14:textFill>
            <w14:solidFill>
              <w14:schemeClr w14:val="tx1"/>
            </w14:solidFill>
          </w14:textFill>
        </w:rPr>
        <w:t>截止时间</w:t>
      </w:r>
      <w:r>
        <w:rPr>
          <w:color w:val="000000" w:themeColor="text1"/>
          <w:sz w:val="24"/>
          <w:lang w:bidi="ar"/>
          <w14:textFill>
            <w14:solidFill>
              <w14:schemeClr w14:val="tx1"/>
            </w14:solidFill>
          </w14:textFill>
        </w:rPr>
        <w:t>：</w:t>
      </w:r>
      <w:r>
        <w:rPr>
          <w:rFonts w:hint="eastAsia"/>
          <w:color w:val="000000" w:themeColor="text1"/>
          <w:sz w:val="24"/>
          <w14:textFill>
            <w14:solidFill>
              <w14:schemeClr w14:val="tx1"/>
            </w14:solidFill>
          </w14:textFill>
        </w:rPr>
        <w:t>202</w:t>
      </w:r>
      <w:r>
        <w:rPr>
          <w:rFonts w:hint="eastAsia"/>
          <w:color w:val="000000" w:themeColor="text1"/>
          <w:sz w:val="24"/>
          <w:lang w:val="en-US" w:eastAsia="zh-CN"/>
          <w14:textFill>
            <w14:solidFill>
              <w14:schemeClr w14:val="tx1"/>
            </w14:solidFill>
          </w14:textFill>
        </w:rPr>
        <w:t>6</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08</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18</w:t>
      </w:r>
      <w:r>
        <w:rPr>
          <w:color w:val="000000" w:themeColor="text1"/>
          <w:sz w:val="24"/>
          <w14:textFill>
            <w14:solidFill>
              <w14:schemeClr w14:val="tx1"/>
            </w14:solidFill>
          </w14:textFill>
        </w:rPr>
        <w:t xml:space="preserve">  14</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0</w:t>
      </w:r>
      <w:r>
        <w:rPr>
          <w:color w:val="000000" w:themeColor="text1"/>
          <w:sz w:val="24"/>
          <w14:textFill>
            <w14:solidFill>
              <w14:schemeClr w14:val="tx1"/>
            </w14:solidFill>
          </w14:textFill>
        </w:rPr>
        <w:t>0</w:t>
      </w:r>
      <w:r>
        <w:rPr>
          <w:bCs/>
          <w:color w:val="000000" w:themeColor="text1"/>
          <w:sz w:val="24"/>
          <w:lang w:bidi="ar"/>
          <w14:textFill>
            <w14:solidFill>
              <w14:schemeClr w14:val="tx1"/>
            </w14:solidFill>
          </w14:textFill>
        </w:rPr>
        <w:t>（北京时间）</w:t>
      </w:r>
      <w:r>
        <w:rPr>
          <w:iCs/>
          <w:color w:val="000000" w:themeColor="text1"/>
          <w:sz w:val="24"/>
          <w:lang w:bidi="ar"/>
          <w14:textFill>
            <w14:solidFill>
              <w14:schemeClr w14:val="tx1"/>
            </w14:solidFill>
          </w14:textFill>
        </w:rPr>
        <w:t>。</w:t>
      </w:r>
    </w:p>
    <w:p w14:paraId="17EA351E">
      <w:pPr>
        <w:spacing w:line="360" w:lineRule="auto"/>
        <w:ind w:firstLine="480" w:firstLineChars="200"/>
        <w:rPr>
          <w:color w:val="000000" w:themeColor="text1"/>
          <w:sz w:val="24"/>
          <w:lang w:val="zh-TW" w:bidi="ar"/>
          <w14:textFill>
            <w14:solidFill>
              <w14:schemeClr w14:val="tx1"/>
            </w14:solidFill>
          </w14:textFill>
        </w:rPr>
      </w:pPr>
      <w:r>
        <w:rPr>
          <w:color w:val="000000" w:themeColor="text1"/>
          <w:sz w:val="24"/>
          <w:lang w:bidi="ar"/>
          <w14:textFill>
            <w14:solidFill>
              <w14:schemeClr w14:val="tx1"/>
            </w14:solidFill>
          </w14:textFill>
        </w:rPr>
        <w:t>地点：</w:t>
      </w:r>
      <w:r>
        <w:rPr>
          <w:rFonts w:hint="eastAsia" w:ascii="宋体" w:hAnsi="宋体"/>
          <w:color w:val="000000" w:themeColor="text1"/>
          <w:sz w:val="24"/>
          <w14:textFill>
            <w14:solidFill>
              <w14:schemeClr w14:val="tx1"/>
            </w14:solidFill>
          </w14:textFill>
        </w:rPr>
        <w:t>“苏采云”政府采购一体化平台</w:t>
      </w:r>
      <w:r>
        <w:rPr>
          <w:color w:val="000000" w:themeColor="text1"/>
          <w:sz w:val="24"/>
          <w:lang w:val="zh-TW" w:bidi="ar"/>
          <w14:textFill>
            <w14:solidFill>
              <w14:schemeClr w14:val="tx1"/>
            </w14:solidFill>
          </w14:textFill>
        </w:rPr>
        <w:t>。</w:t>
      </w:r>
    </w:p>
    <w:bookmarkEnd w:id="22"/>
    <w:p w14:paraId="2D1FADCA">
      <w:pPr>
        <w:pStyle w:val="3"/>
        <w:spacing w:before="0" w:after="0" w:line="360" w:lineRule="auto"/>
        <w:jc w:val="left"/>
        <w:rPr>
          <w:rFonts w:ascii="Times New Roman" w:hAnsi="Times New Roman" w:eastAsia="宋体"/>
          <w:color w:val="000000" w:themeColor="text1"/>
          <w:sz w:val="24"/>
          <w:szCs w:val="24"/>
          <w14:textFill>
            <w14:solidFill>
              <w14:schemeClr w14:val="tx1"/>
            </w14:solidFill>
          </w14:textFill>
        </w:rPr>
      </w:pPr>
      <w:bookmarkStart w:id="23" w:name="_Toc35393794"/>
      <w:bookmarkStart w:id="24" w:name="_Toc28359007"/>
      <w:bookmarkStart w:id="25" w:name="_Toc28359084"/>
      <w:bookmarkStart w:id="26" w:name="_Toc35393625"/>
      <w:r>
        <w:rPr>
          <w:rFonts w:ascii="Times New Roman" w:hAnsi="Times New Roman" w:eastAsia="宋体"/>
          <w:color w:val="000000" w:themeColor="text1"/>
          <w:sz w:val="24"/>
          <w:szCs w:val="24"/>
          <w14:textFill>
            <w14:solidFill>
              <w14:schemeClr w14:val="tx1"/>
            </w14:solidFill>
          </w14:textFill>
        </w:rPr>
        <w:t>五、开启</w:t>
      </w:r>
    </w:p>
    <w:p w14:paraId="0E759A60">
      <w:pPr>
        <w:spacing w:line="360" w:lineRule="auto"/>
        <w:ind w:firstLine="480" w:firstLineChars="200"/>
        <w:rPr>
          <w:bCs/>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截止时间</w:t>
      </w:r>
      <w:r>
        <w:rPr>
          <w:color w:val="000000" w:themeColor="text1"/>
          <w:sz w:val="24"/>
          <w:lang w:bidi="ar"/>
          <w14:textFill>
            <w14:solidFill>
              <w14:schemeClr w14:val="tx1"/>
            </w14:solidFill>
          </w14:textFill>
        </w:rPr>
        <w:t>：</w:t>
      </w:r>
      <w:r>
        <w:rPr>
          <w:rFonts w:hint="eastAsia"/>
          <w:color w:val="000000" w:themeColor="text1"/>
          <w:sz w:val="24"/>
          <w14:textFill>
            <w14:solidFill>
              <w14:schemeClr w14:val="tx1"/>
            </w14:solidFill>
          </w14:textFill>
        </w:rPr>
        <w:t>202</w:t>
      </w:r>
      <w:r>
        <w:rPr>
          <w:rFonts w:hint="eastAsia"/>
          <w:color w:val="000000" w:themeColor="text1"/>
          <w:sz w:val="24"/>
          <w:lang w:val="en-US" w:eastAsia="zh-CN"/>
          <w14:textFill>
            <w14:solidFill>
              <w14:schemeClr w14:val="tx1"/>
            </w14:solidFill>
          </w14:textFill>
        </w:rPr>
        <w:t>6</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08</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18</w:t>
      </w:r>
      <w:r>
        <w:rPr>
          <w:color w:val="000000" w:themeColor="text1"/>
          <w:sz w:val="24"/>
          <w14:textFill>
            <w14:solidFill>
              <w14:schemeClr w14:val="tx1"/>
            </w14:solidFill>
          </w14:textFill>
        </w:rPr>
        <w:t xml:space="preserve">  14</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0</w:t>
      </w:r>
      <w:r>
        <w:rPr>
          <w:color w:val="000000" w:themeColor="text1"/>
          <w:sz w:val="24"/>
          <w14:textFill>
            <w14:solidFill>
              <w14:schemeClr w14:val="tx1"/>
            </w14:solidFill>
          </w14:textFill>
        </w:rPr>
        <w:t>0</w:t>
      </w:r>
      <w:r>
        <w:rPr>
          <w:bCs/>
          <w:color w:val="000000" w:themeColor="text1"/>
          <w:sz w:val="24"/>
          <w:lang w:bidi="ar"/>
          <w14:textFill>
            <w14:solidFill>
              <w14:schemeClr w14:val="tx1"/>
            </w14:solidFill>
          </w14:textFill>
        </w:rPr>
        <w:t>（北京时间）</w:t>
      </w:r>
      <w:r>
        <w:rPr>
          <w:iCs/>
          <w:color w:val="000000" w:themeColor="text1"/>
          <w:sz w:val="24"/>
          <w:lang w:bidi="ar"/>
          <w14:textFill>
            <w14:solidFill>
              <w14:schemeClr w14:val="tx1"/>
            </w14:solidFill>
          </w14:textFill>
        </w:rPr>
        <w:t>。</w:t>
      </w:r>
    </w:p>
    <w:p w14:paraId="31E866EF">
      <w:pPr>
        <w:spacing w:line="360" w:lineRule="auto"/>
        <w:ind w:firstLine="480" w:firstLineChars="200"/>
        <w:rPr>
          <w:color w:val="000000" w:themeColor="text1"/>
          <w14:textFill>
            <w14:solidFill>
              <w14:schemeClr w14:val="tx1"/>
            </w14:solidFill>
          </w14:textFill>
        </w:rPr>
      </w:pPr>
      <w:r>
        <w:rPr>
          <w:color w:val="000000" w:themeColor="text1"/>
          <w:sz w:val="24"/>
          <w:lang w:bidi="ar"/>
          <w14:textFill>
            <w14:solidFill>
              <w14:schemeClr w14:val="tx1"/>
            </w14:solidFill>
          </w14:textFill>
        </w:rPr>
        <w:t>地点：</w:t>
      </w:r>
      <w:r>
        <w:rPr>
          <w:rFonts w:hint="eastAsia" w:ascii="宋体" w:hAnsi="宋体"/>
          <w:color w:val="000000" w:themeColor="text1"/>
          <w:sz w:val="24"/>
          <w14:textFill>
            <w14:solidFill>
              <w14:schemeClr w14:val="tx1"/>
            </w14:solidFill>
          </w14:textFill>
        </w:rPr>
        <w:t>“苏采云”政府采购交易系统网上开标大厅</w:t>
      </w:r>
      <w:r>
        <w:rPr>
          <w:color w:val="000000" w:themeColor="text1"/>
          <w:sz w:val="24"/>
          <w:lang w:val="zh-TW" w:bidi="ar"/>
          <w14:textFill>
            <w14:solidFill>
              <w14:schemeClr w14:val="tx1"/>
            </w14:solidFill>
          </w14:textFill>
        </w:rPr>
        <w:t>。</w:t>
      </w:r>
    </w:p>
    <w:p w14:paraId="047BC166">
      <w:pPr>
        <w:pStyle w:val="3"/>
        <w:spacing w:before="0" w:after="0" w:line="360" w:lineRule="auto"/>
        <w:jc w:val="left"/>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14:textFill>
            <w14:solidFill>
              <w14:schemeClr w14:val="tx1"/>
            </w14:solidFill>
          </w14:textFill>
        </w:rPr>
        <w:t>六</w:t>
      </w:r>
      <w:r>
        <w:rPr>
          <w:rFonts w:ascii="Times New Roman" w:hAnsi="Times New Roman" w:eastAsia="宋体"/>
          <w:color w:val="000000" w:themeColor="text1"/>
          <w:sz w:val="24"/>
          <w:szCs w:val="24"/>
          <w14:textFill>
            <w14:solidFill>
              <w14:schemeClr w14:val="tx1"/>
            </w14:solidFill>
          </w14:textFill>
        </w:rPr>
        <w:t>、公告期限</w:t>
      </w:r>
      <w:bookmarkEnd w:id="23"/>
      <w:bookmarkEnd w:id="24"/>
      <w:bookmarkEnd w:id="25"/>
      <w:bookmarkEnd w:id="26"/>
    </w:p>
    <w:p w14:paraId="5DDD0E9E">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自本公告发布之日起3个工作日。</w:t>
      </w:r>
      <w:bookmarkStart w:id="27" w:name="_Toc35393626"/>
      <w:bookmarkStart w:id="28" w:name="_Toc35393795"/>
    </w:p>
    <w:p w14:paraId="60BA4E06">
      <w:pPr>
        <w:spacing w:line="360" w:lineRule="auto"/>
        <w:rPr>
          <w:b/>
          <w:color w:val="000000" w:themeColor="text1"/>
          <w:sz w:val="24"/>
          <w14:textFill>
            <w14:solidFill>
              <w14:schemeClr w14:val="tx1"/>
            </w14:solidFill>
          </w14:textFill>
        </w:rPr>
      </w:pPr>
      <w:r>
        <w:rPr>
          <w:rFonts w:hint="eastAsia" w:ascii="Times New Roman" w:hAnsi="Times New Roman"/>
          <w:b/>
          <w:color w:val="000000" w:themeColor="text1"/>
          <w:sz w:val="24"/>
          <w:szCs w:val="24"/>
          <w14:textFill>
            <w14:solidFill>
              <w14:schemeClr w14:val="tx1"/>
            </w14:solidFill>
          </w14:textFill>
        </w:rPr>
        <w:t>七</w:t>
      </w:r>
      <w:r>
        <w:rPr>
          <w:rFonts w:ascii="Times New Roman" w:hAnsi="Times New Roman"/>
          <w:b/>
          <w:color w:val="000000" w:themeColor="text1"/>
          <w:sz w:val="24"/>
          <w:szCs w:val="24"/>
          <w14:textFill>
            <w14:solidFill>
              <w14:schemeClr w14:val="tx1"/>
            </w14:solidFill>
          </w14:textFill>
        </w:rPr>
        <w:t>、其他补充事宜</w:t>
      </w:r>
      <w:bookmarkEnd w:id="27"/>
      <w:bookmarkEnd w:id="28"/>
      <w:bookmarkStart w:id="29" w:name="_Toc35393627"/>
      <w:bookmarkStart w:id="30" w:name="_Toc35393796"/>
      <w:bookmarkStart w:id="31" w:name="_Toc28359085"/>
      <w:bookmarkStart w:id="32" w:name="_Toc28359008"/>
    </w:p>
    <w:p w14:paraId="4FE2B70A">
      <w:pPr>
        <w:spacing w:line="360" w:lineRule="auto"/>
        <w:ind w:firstLine="480" w:firstLineChars="200"/>
        <w:rPr>
          <w:color w:val="000000" w:themeColor="text1"/>
          <w:sz w:val="24"/>
          <w:lang w:bidi="ar"/>
          <w14:textFill>
            <w14:solidFill>
              <w14:schemeClr w14:val="tx1"/>
            </w14:solidFill>
          </w14:textFill>
        </w:rPr>
      </w:pPr>
      <w:r>
        <w:rPr>
          <w:rFonts w:hint="eastAsia" w:ascii="Times New Roman" w:hAnsi="Times New Roman"/>
          <w:color w:val="000000" w:themeColor="text1"/>
          <w:kern w:val="2"/>
          <w:sz w:val="24"/>
          <w:szCs w:val="24"/>
          <w:lang w:bidi="ar"/>
          <w14:textFill>
            <w14:solidFill>
              <w14:schemeClr w14:val="tx1"/>
            </w14:solidFill>
          </w14:textFill>
        </w:rPr>
        <w:t>1</w:t>
      </w:r>
      <w:r>
        <w:rPr>
          <w:rFonts w:hint="eastAsia"/>
          <w:color w:val="000000" w:themeColor="text1"/>
          <w:sz w:val="24"/>
          <w:lang w:bidi="ar"/>
          <w14:textFill>
            <w14:solidFill>
              <w14:schemeClr w14:val="tx1"/>
            </w14:solidFill>
          </w14:textFill>
        </w:rPr>
        <w:t>．</w:t>
      </w:r>
      <w:r>
        <w:rPr>
          <w:rFonts w:hint="eastAsia" w:ascii="Times New Roman" w:hAnsi="Times New Roman"/>
          <w:color w:val="000000" w:themeColor="text1"/>
          <w:kern w:val="2"/>
          <w:sz w:val="24"/>
          <w:szCs w:val="24"/>
          <w:lang w:bidi="ar"/>
          <w14:textFill>
            <w14:solidFill>
              <w14:schemeClr w14:val="tx1"/>
            </w14:solidFill>
          </w14:textFill>
        </w:rPr>
        <w:t>磋商保证金：无需缴纳。</w:t>
      </w:r>
    </w:p>
    <w:p w14:paraId="767F3947">
      <w:pPr>
        <w:spacing w:line="360" w:lineRule="auto"/>
        <w:ind w:firstLine="480" w:firstLineChars="200"/>
        <w:jc w:val="left"/>
        <w:rPr>
          <w:rFonts w:ascii="Times New Roman" w:hAnsi="Times New Roman"/>
          <w:color w:val="000000" w:themeColor="text1"/>
          <w:kern w:val="2"/>
          <w:sz w:val="24"/>
          <w:szCs w:val="24"/>
          <w:lang w:bidi="ar"/>
          <w14:textFill>
            <w14:solidFill>
              <w14:schemeClr w14:val="tx1"/>
            </w14:solidFill>
          </w14:textFill>
        </w:rPr>
      </w:pPr>
      <w:r>
        <w:rPr>
          <w:rFonts w:ascii="Times New Roman" w:hAnsi="Times New Roman"/>
          <w:color w:val="000000" w:themeColor="text1"/>
          <w:kern w:val="2"/>
          <w:sz w:val="24"/>
          <w:szCs w:val="24"/>
          <w:lang w:bidi="ar"/>
          <w14:textFill>
            <w14:solidFill>
              <w14:schemeClr w14:val="tx1"/>
            </w14:solidFill>
          </w14:textFill>
        </w:rPr>
        <w:t>2.</w:t>
      </w:r>
      <w:r>
        <w:rPr>
          <w:rFonts w:hint="eastAsia" w:ascii="Times New Roman" w:hAnsi="Times New Roman"/>
          <w:color w:val="000000" w:themeColor="text1"/>
          <w:kern w:val="2"/>
          <w:sz w:val="24"/>
          <w:szCs w:val="24"/>
          <w:lang w:bidi="ar"/>
          <w14:textFill>
            <w14:solidFill>
              <w14:schemeClr w14:val="tx1"/>
            </w14:solidFill>
          </w14:textFill>
        </w:rPr>
        <w:t>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p>
    <w:p w14:paraId="64C42F9E">
      <w:pPr>
        <w:spacing w:line="360" w:lineRule="auto"/>
        <w:ind w:firstLine="480" w:firstLineChars="200"/>
        <w:rPr>
          <w:color w:val="000000" w:themeColor="text1"/>
          <w:sz w:val="24"/>
          <w:lang w:bidi="ar"/>
          <w14:textFill>
            <w14:solidFill>
              <w14:schemeClr w14:val="tx1"/>
            </w14:solidFill>
          </w14:textFill>
        </w:rPr>
      </w:pPr>
      <w:r>
        <w:rPr>
          <w:rFonts w:hint="eastAsia" w:ascii="Times New Roman" w:hAnsi="Times New Roman"/>
          <w:color w:val="000000" w:themeColor="text1"/>
          <w:kern w:val="2"/>
          <w:sz w:val="24"/>
          <w:szCs w:val="24"/>
          <w:lang w:bidi="ar"/>
          <w14:textFill>
            <w14:solidFill>
              <w14:schemeClr w14:val="tx1"/>
            </w14:solidFill>
          </w14:textFill>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响应文件。</w:t>
      </w:r>
    </w:p>
    <w:p w14:paraId="75EB1F38">
      <w:pPr>
        <w:spacing w:line="360" w:lineRule="auto"/>
        <w:ind w:firstLine="480" w:firstLineChars="200"/>
        <w:rPr>
          <w:rFonts w:ascii="Times New Roman" w:hAnsi="Times New Roman"/>
          <w:b/>
          <w:color w:val="000000" w:themeColor="text1"/>
          <w:kern w:val="2"/>
          <w:sz w:val="24"/>
          <w:szCs w:val="24"/>
          <w:lang w:bidi="ar"/>
          <w14:textFill>
            <w14:solidFill>
              <w14:schemeClr w14:val="tx1"/>
            </w14:solidFill>
          </w14:textFill>
        </w:rPr>
      </w:pPr>
      <w:r>
        <w:rPr>
          <w:rFonts w:hint="eastAsia" w:ascii="Times New Roman" w:hAnsi="Times New Roman"/>
          <w:color w:val="000000" w:themeColor="text1"/>
          <w:kern w:val="2"/>
          <w:sz w:val="24"/>
          <w:szCs w:val="24"/>
          <w:lang w:bidi="ar"/>
          <w14:textFill>
            <w14:solidFill>
              <w14:schemeClr w14:val="tx1"/>
            </w14:solidFill>
          </w14:textFill>
        </w:rPr>
        <w:t>3</w:t>
      </w:r>
      <w:r>
        <w:rPr>
          <w:rFonts w:hint="eastAsia"/>
          <w:color w:val="000000" w:themeColor="text1"/>
          <w:sz w:val="24"/>
          <w:lang w:bidi="ar"/>
          <w14:textFill>
            <w14:solidFill>
              <w14:schemeClr w14:val="tx1"/>
            </w14:solidFill>
          </w14:textFill>
        </w:rPr>
        <w:t>．</w:t>
      </w:r>
      <w:r>
        <w:rPr>
          <w:rFonts w:hint="eastAsia" w:ascii="Times New Roman" w:hAnsi="Times New Roman"/>
          <w:color w:val="000000" w:themeColor="text1"/>
          <w:kern w:val="2"/>
          <w:sz w:val="24"/>
          <w:szCs w:val="24"/>
          <w:lang w:bidi="ar"/>
          <w14:textFill>
            <w14:solidFill>
              <w14:schemeClr w14:val="tx1"/>
            </w14:solidFill>
          </w14:textFill>
        </w:rPr>
        <w:t>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15301C99">
      <w:pPr>
        <w:pStyle w:val="3"/>
        <w:spacing w:before="0" w:after="0" w:line="360" w:lineRule="auto"/>
        <w:jc w:val="left"/>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14:textFill>
            <w14:solidFill>
              <w14:schemeClr w14:val="tx1"/>
            </w14:solidFill>
          </w14:textFill>
        </w:rPr>
        <w:t>八</w:t>
      </w:r>
      <w:r>
        <w:rPr>
          <w:rFonts w:ascii="Times New Roman" w:hAnsi="Times New Roman" w:eastAsia="宋体"/>
          <w:color w:val="000000" w:themeColor="text1"/>
          <w:sz w:val="24"/>
          <w:szCs w:val="24"/>
          <w14:textFill>
            <w14:solidFill>
              <w14:schemeClr w14:val="tx1"/>
            </w14:solidFill>
          </w14:textFill>
        </w:rPr>
        <w:t>、对本项目提出询问，请按以下方式联系。</w:t>
      </w:r>
      <w:bookmarkEnd w:id="29"/>
      <w:bookmarkEnd w:id="30"/>
      <w:bookmarkEnd w:id="31"/>
      <w:bookmarkEnd w:id="32"/>
    </w:p>
    <w:p w14:paraId="475878D7">
      <w:pPr>
        <w:pStyle w:val="3"/>
        <w:spacing w:before="0" w:after="0" w:line="360" w:lineRule="auto"/>
        <w:ind w:left="630" w:leftChars="300"/>
        <w:jc w:val="left"/>
        <w:rPr>
          <w:rFonts w:ascii="宋体" w:hAnsi="宋体" w:eastAsia="宋体"/>
          <w:color w:val="000000" w:themeColor="text1"/>
          <w:sz w:val="24"/>
          <w:szCs w:val="24"/>
          <w14:textFill>
            <w14:solidFill>
              <w14:schemeClr w14:val="tx1"/>
            </w14:solidFill>
          </w14:textFill>
        </w:rPr>
      </w:pPr>
      <w:bookmarkStart w:id="33" w:name="_Toc28359010"/>
      <w:bookmarkStart w:id="34" w:name="_Toc28359087"/>
      <w:r>
        <w:rPr>
          <w:rFonts w:hint="eastAsia"/>
          <w:color w:val="000000" w:themeColor="text1"/>
          <w:sz w:val="24"/>
          <w:lang w:val="zh-TW" w:bidi="ar"/>
          <w14:textFill>
            <w14:solidFill>
              <w14:schemeClr w14:val="tx1"/>
            </w14:solidFill>
          </w14:textFill>
        </w:rPr>
        <w:t xml:space="preserve"> </w:t>
      </w:r>
      <w:bookmarkStart w:id="35" w:name="_Toc28359096"/>
      <w:bookmarkStart w:id="36" w:name="_Toc35393637"/>
      <w:bookmarkStart w:id="37" w:name="_Toc28359019"/>
      <w:bookmarkStart w:id="38" w:name="_Toc35393806"/>
      <w:r>
        <w:rPr>
          <w:rFonts w:ascii="宋体" w:hAnsi="宋体" w:eastAsia="宋体"/>
          <w:color w:val="000000" w:themeColor="text1"/>
          <w:sz w:val="24"/>
          <w:szCs w:val="24"/>
          <w14:textFill>
            <w14:solidFill>
              <w14:schemeClr w14:val="tx1"/>
            </w14:solidFill>
          </w14:textFill>
        </w:rPr>
        <w:t>1.</w:t>
      </w:r>
      <w:r>
        <w:rPr>
          <w:rFonts w:hint="eastAsia" w:ascii="宋体" w:hAnsi="宋体" w:eastAsia="宋体"/>
          <w:color w:val="000000" w:themeColor="text1"/>
          <w:sz w:val="24"/>
          <w:szCs w:val="24"/>
          <w14:textFill>
            <w14:solidFill>
              <w14:schemeClr w14:val="tx1"/>
            </w14:solidFill>
          </w14:textFill>
        </w:rPr>
        <w:t>采购人</w:t>
      </w:r>
      <w:r>
        <w:rPr>
          <w:rFonts w:ascii="宋体" w:hAnsi="宋体" w:eastAsia="宋体"/>
          <w:color w:val="000000" w:themeColor="text1"/>
          <w:sz w:val="24"/>
          <w:szCs w:val="24"/>
          <w14:textFill>
            <w14:solidFill>
              <w14:schemeClr w14:val="tx1"/>
            </w14:solidFill>
          </w14:textFill>
        </w:rPr>
        <w:t>信息</w:t>
      </w:r>
      <w:bookmarkEnd w:id="35"/>
      <w:bookmarkEnd w:id="36"/>
      <w:bookmarkEnd w:id="37"/>
      <w:bookmarkEnd w:id="38"/>
    </w:p>
    <w:p w14:paraId="4BC94118">
      <w:pPr>
        <w:spacing w:line="360" w:lineRule="auto"/>
        <w:ind w:firstLine="720" w:firstLineChars="300"/>
        <w:jc w:val="lef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单位名称：</w:t>
      </w:r>
      <w:r>
        <w:rPr>
          <w:rFonts w:hint="eastAsia" w:ascii="宋体" w:hAnsi="宋体"/>
          <w:color w:val="000000" w:themeColor="text1"/>
          <w:sz w:val="24"/>
          <w:lang w:eastAsia="zh-CN"/>
          <w14:textFill>
            <w14:solidFill>
              <w14:schemeClr w14:val="tx1"/>
            </w14:solidFill>
          </w14:textFill>
        </w:rPr>
        <w:t>常州市武进区文体广电和旅游局</w:t>
      </w:r>
    </w:p>
    <w:p w14:paraId="4C4CADBC">
      <w:pPr>
        <w:spacing w:line="360" w:lineRule="auto"/>
        <w:ind w:firstLine="720"/>
        <w:jc w:val="left"/>
        <w:rPr>
          <w:rFonts w:ascii="宋体" w:hAnsi="宋体"/>
          <w:sz w:val="24"/>
          <w:u w:val="single"/>
        </w:rPr>
      </w:pPr>
      <w:r>
        <w:rPr>
          <w:rFonts w:ascii="宋体" w:hAnsi="宋体"/>
          <w:color w:val="000000" w:themeColor="text1"/>
          <w:sz w:val="24"/>
          <w14:textFill>
            <w14:solidFill>
              <w14:schemeClr w14:val="tx1"/>
            </w14:solidFill>
          </w14:textFill>
        </w:rPr>
        <w:t>单位</w:t>
      </w:r>
      <w:r>
        <w:rPr>
          <w:rFonts w:ascii="宋体" w:hAnsi="宋体"/>
          <w:sz w:val="24"/>
        </w:rPr>
        <w:t>地址：</w:t>
      </w:r>
      <w:r>
        <w:rPr>
          <w:rFonts w:hint="eastAsia" w:ascii="宋体" w:hAnsi="宋体"/>
          <w:bCs/>
          <w:sz w:val="24"/>
        </w:rPr>
        <w:t>常州市武进区行政中心1号楼</w:t>
      </w:r>
    </w:p>
    <w:p w14:paraId="2591760A">
      <w:pPr>
        <w:spacing w:line="360" w:lineRule="auto"/>
        <w:ind w:firstLine="720"/>
        <w:jc w:val="left"/>
        <w:rPr>
          <w:rFonts w:ascii="宋体" w:hAnsi="宋体" w:cs="Segoe UI"/>
          <w:sz w:val="24"/>
        </w:rPr>
      </w:pPr>
      <w:r>
        <w:rPr>
          <w:rFonts w:ascii="宋体" w:hAnsi="宋体"/>
          <w:sz w:val="24"/>
        </w:rPr>
        <w:t>联系</w:t>
      </w:r>
      <w:r>
        <w:rPr>
          <w:rFonts w:hint="eastAsia" w:ascii="宋体" w:hAnsi="宋体"/>
          <w:sz w:val="24"/>
        </w:rPr>
        <w:t>人</w:t>
      </w:r>
      <w:r>
        <w:rPr>
          <w:rFonts w:ascii="宋体" w:hAnsi="宋体"/>
          <w:sz w:val="24"/>
        </w:rPr>
        <w:t>：</w:t>
      </w:r>
      <w:r>
        <w:rPr>
          <w:rFonts w:hint="eastAsia" w:ascii="宋体" w:hAnsi="宋体"/>
          <w:sz w:val="24"/>
          <w:lang w:val="en-US" w:eastAsia="zh-CN"/>
        </w:rPr>
        <w:t>张</w:t>
      </w:r>
      <w:r>
        <w:rPr>
          <w:rFonts w:hint="eastAsia" w:ascii="宋体" w:hAnsi="宋体"/>
          <w:sz w:val="24"/>
        </w:rPr>
        <w:t>先生</w:t>
      </w:r>
      <w:r>
        <w:rPr>
          <w:rFonts w:hint="eastAsia" w:ascii="宋体" w:hAnsi="宋体" w:cs="Segoe UI"/>
          <w:sz w:val="24"/>
        </w:rPr>
        <w:t xml:space="preserve"> </w:t>
      </w:r>
    </w:p>
    <w:p w14:paraId="31E7111C">
      <w:pPr>
        <w:spacing w:line="360" w:lineRule="auto"/>
        <w:ind w:firstLine="720"/>
        <w:jc w:val="left"/>
        <w:rPr>
          <w:rFonts w:ascii="宋体" w:hAnsi="宋体"/>
          <w:spacing w:val="2"/>
          <w:sz w:val="24"/>
        </w:rPr>
      </w:pPr>
      <w:r>
        <w:rPr>
          <w:rFonts w:ascii="宋体" w:hAnsi="宋体" w:cs="Segoe UI"/>
          <w:sz w:val="24"/>
        </w:rPr>
        <w:t>联系电话：</w:t>
      </w:r>
      <w:r>
        <w:rPr>
          <w:rFonts w:ascii="宋体" w:hAnsi="宋体"/>
          <w:sz w:val="24"/>
          <w:lang w:val="zh-CN"/>
        </w:rPr>
        <w:t>0519-86311150</w:t>
      </w:r>
    </w:p>
    <w:p w14:paraId="2097C82E">
      <w:pPr>
        <w:pStyle w:val="3"/>
        <w:spacing w:before="0" w:after="0" w:line="360" w:lineRule="auto"/>
        <w:ind w:left="630" w:leftChars="300"/>
        <w:jc w:val="left"/>
        <w:rPr>
          <w:rFonts w:ascii="宋体" w:hAnsi="宋体" w:eastAsia="宋体"/>
          <w:color w:val="000000" w:themeColor="text1"/>
          <w:sz w:val="24"/>
          <w:szCs w:val="24"/>
          <w14:textFill>
            <w14:solidFill>
              <w14:schemeClr w14:val="tx1"/>
            </w14:solidFill>
          </w14:textFill>
        </w:rPr>
      </w:pPr>
      <w:bookmarkStart w:id="39" w:name="_Toc28359020"/>
      <w:bookmarkStart w:id="40" w:name="_Toc28359097"/>
      <w:bookmarkStart w:id="41" w:name="_Toc35393807"/>
      <w:bookmarkStart w:id="42" w:name="_Toc35393638"/>
      <w:r>
        <w:rPr>
          <w:rFonts w:ascii="宋体" w:hAnsi="宋体" w:eastAsia="宋体"/>
          <w:color w:val="000000" w:themeColor="text1"/>
          <w:sz w:val="24"/>
          <w:szCs w:val="24"/>
          <w14:textFill>
            <w14:solidFill>
              <w14:schemeClr w14:val="tx1"/>
            </w14:solidFill>
          </w14:textFill>
        </w:rPr>
        <w:t>2.采购代理机构信息</w:t>
      </w:r>
      <w:bookmarkEnd w:id="39"/>
      <w:bookmarkEnd w:id="40"/>
      <w:bookmarkEnd w:id="41"/>
      <w:bookmarkEnd w:id="42"/>
    </w:p>
    <w:p w14:paraId="6554060F">
      <w:pPr>
        <w:spacing w:line="360" w:lineRule="auto"/>
        <w:ind w:firstLine="720" w:firstLineChars="3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单位名称：江苏春为全过程工程咨询有限公司</w:t>
      </w:r>
    </w:p>
    <w:p w14:paraId="7DEC9B86">
      <w:pPr>
        <w:spacing w:line="360" w:lineRule="auto"/>
        <w:ind w:firstLine="720" w:firstLineChars="300"/>
        <w:rPr>
          <w:rFonts w:ascii="宋体" w:hAnsi="宋体"/>
          <w:color w:val="000000" w:themeColor="text1"/>
          <w:sz w:val="24"/>
          <w14:textFill>
            <w14:solidFill>
              <w14:schemeClr w14:val="tx1"/>
            </w14:solidFill>
          </w14:textFill>
        </w:rPr>
      </w:pPr>
      <w:r>
        <w:rPr>
          <w:rFonts w:ascii="宋体" w:hAnsi="宋体"/>
          <w:color w:val="000000" w:themeColor="text1"/>
          <w:sz w:val="24"/>
          <w:lang w:val="zh-CN"/>
          <w14:textFill>
            <w14:solidFill>
              <w14:schemeClr w14:val="tx1"/>
            </w14:solidFill>
          </w14:textFill>
        </w:rPr>
        <w:t>单位地址：</w:t>
      </w:r>
      <w:r>
        <w:rPr>
          <w:rFonts w:hint="eastAsia" w:ascii="宋体" w:hAnsi="宋体"/>
          <w:color w:val="000000" w:themeColor="text1"/>
          <w:sz w:val="24"/>
          <w14:textFill>
            <w14:solidFill>
              <w14:schemeClr w14:val="tx1"/>
            </w14:solidFill>
          </w14:textFill>
        </w:rPr>
        <w:t>常州市武进区延政西大道6号蓝图大厦4楼</w:t>
      </w:r>
    </w:p>
    <w:p w14:paraId="06DB2A1A">
      <w:pPr>
        <w:spacing w:line="360" w:lineRule="auto"/>
        <w:ind w:firstLine="720" w:firstLineChars="3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联系人：</w:t>
      </w:r>
      <w:r>
        <w:rPr>
          <w:rFonts w:hint="eastAsia" w:ascii="宋体" w:hAnsi="宋体"/>
          <w:color w:val="000000" w:themeColor="text1"/>
          <w:sz w:val="24"/>
          <w14:textFill>
            <w14:solidFill>
              <w14:schemeClr w14:val="tx1"/>
            </w14:solidFill>
          </w14:textFill>
        </w:rPr>
        <w:t>陈女士</w:t>
      </w:r>
    </w:p>
    <w:p w14:paraId="013B143F">
      <w:pPr>
        <w:spacing w:line="360" w:lineRule="auto"/>
        <w:ind w:firstLine="720" w:firstLineChars="3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联系</w:t>
      </w:r>
      <w:r>
        <w:rPr>
          <w:rFonts w:hint="eastAsia" w:ascii="宋体" w:hAnsi="宋体"/>
          <w:color w:val="000000" w:themeColor="text1"/>
          <w:sz w:val="24"/>
          <w14:textFill>
            <w14:solidFill>
              <w14:schemeClr w14:val="tx1"/>
            </w14:solidFill>
          </w14:textFill>
        </w:rPr>
        <w:t>电话</w:t>
      </w:r>
      <w:r>
        <w:rPr>
          <w:rFonts w:ascii="宋体" w:hAnsi="宋体"/>
          <w:color w:val="000000" w:themeColor="text1"/>
          <w:sz w:val="24"/>
          <w14:textFill>
            <w14:solidFill>
              <w14:schemeClr w14:val="tx1"/>
            </w14:solidFill>
          </w14:textFill>
        </w:rPr>
        <w:t>：</w:t>
      </w:r>
      <w:r>
        <w:rPr>
          <w:rFonts w:ascii="宋体" w:hAnsi="宋体"/>
          <w:color w:val="000000" w:themeColor="text1"/>
          <w:spacing w:val="2"/>
          <w:sz w:val="24"/>
          <w14:textFill>
            <w14:solidFill>
              <w14:schemeClr w14:val="tx1"/>
            </w14:solidFill>
          </w14:textFill>
        </w:rPr>
        <w:t>0519-68852676</w:t>
      </w:r>
    </w:p>
    <w:p w14:paraId="3A865A11">
      <w:pPr>
        <w:pStyle w:val="3"/>
        <w:spacing w:before="0" w:after="0" w:line="360" w:lineRule="auto"/>
        <w:ind w:left="630" w:leftChars="300"/>
        <w:jc w:val="left"/>
        <w:rPr>
          <w:rFonts w:ascii="宋体" w:hAnsi="宋体" w:eastAsia="宋体"/>
          <w:color w:val="000000" w:themeColor="text1"/>
          <w:sz w:val="24"/>
          <w:szCs w:val="24"/>
          <w14:textFill>
            <w14:solidFill>
              <w14:schemeClr w14:val="tx1"/>
            </w14:solidFill>
          </w14:textFill>
        </w:rPr>
      </w:pPr>
      <w:bookmarkStart w:id="43" w:name="_Toc35393639"/>
      <w:bookmarkStart w:id="44" w:name="_Toc28359021"/>
      <w:bookmarkStart w:id="45" w:name="_Toc28359098"/>
      <w:bookmarkStart w:id="46" w:name="_Toc35393808"/>
      <w:r>
        <w:rPr>
          <w:rFonts w:ascii="宋体" w:hAnsi="宋体" w:eastAsia="宋体"/>
          <w:color w:val="000000" w:themeColor="text1"/>
          <w:sz w:val="24"/>
          <w:szCs w:val="24"/>
          <w14:textFill>
            <w14:solidFill>
              <w14:schemeClr w14:val="tx1"/>
            </w14:solidFill>
          </w14:textFill>
        </w:rPr>
        <w:t>3.项目联系方式</w:t>
      </w:r>
      <w:bookmarkEnd w:id="43"/>
      <w:bookmarkEnd w:id="44"/>
      <w:bookmarkEnd w:id="45"/>
      <w:bookmarkEnd w:id="46"/>
    </w:p>
    <w:p w14:paraId="2212C30D">
      <w:pPr>
        <w:pStyle w:val="23"/>
        <w:spacing w:line="360" w:lineRule="auto"/>
        <w:ind w:firstLine="720" w:firstLineChars="30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项目联系人：</w:t>
      </w:r>
      <w:r>
        <w:rPr>
          <w:rFonts w:hint="eastAsia" w:hAnsi="宋体"/>
          <w:color w:val="000000" w:themeColor="text1"/>
          <w:sz w:val="24"/>
          <w:szCs w:val="24"/>
          <w14:textFill>
            <w14:solidFill>
              <w14:schemeClr w14:val="tx1"/>
            </w14:solidFill>
          </w14:textFill>
        </w:rPr>
        <w:t>陈女士</w:t>
      </w:r>
    </w:p>
    <w:p w14:paraId="24AF162B">
      <w:pPr>
        <w:spacing w:line="360" w:lineRule="auto"/>
        <w:ind w:firstLine="720" w:firstLineChars="300"/>
        <w:rPr>
          <w:rFonts w:ascii="宋体" w:hAnsi="宋体"/>
          <w:color w:val="000000" w:themeColor="text1"/>
          <w:spacing w:val="2"/>
          <w:sz w:val="24"/>
          <w14:textFill>
            <w14:solidFill>
              <w14:schemeClr w14:val="tx1"/>
            </w14:solidFill>
          </w14:textFill>
        </w:rPr>
      </w:pPr>
      <w:r>
        <w:rPr>
          <w:rFonts w:ascii="宋体" w:hAnsi="宋体"/>
          <w:color w:val="000000" w:themeColor="text1"/>
          <w:sz w:val="24"/>
          <w14:textFill>
            <w14:solidFill>
              <w14:schemeClr w14:val="tx1"/>
            </w14:solidFill>
          </w14:textFill>
        </w:rPr>
        <w:t>电话：</w:t>
      </w:r>
      <w:r>
        <w:rPr>
          <w:rFonts w:ascii="宋体" w:hAnsi="宋体"/>
          <w:color w:val="000000" w:themeColor="text1"/>
          <w:spacing w:val="2"/>
          <w:sz w:val="24"/>
          <w14:textFill>
            <w14:solidFill>
              <w14:schemeClr w14:val="tx1"/>
            </w14:solidFill>
          </w14:textFill>
        </w:rPr>
        <w:t>0519-68852676</w:t>
      </w:r>
    </w:p>
    <w:p w14:paraId="3888D782">
      <w:pPr>
        <w:pStyle w:val="17"/>
        <w:rPr>
          <w:color w:val="000000" w:themeColor="text1"/>
          <w14:textFill>
            <w14:solidFill>
              <w14:schemeClr w14:val="tx1"/>
            </w14:solidFill>
          </w14:textFill>
        </w:rPr>
      </w:pPr>
    </w:p>
    <w:p w14:paraId="69E713B5">
      <w:pPr>
        <w:pStyle w:val="17"/>
        <w:rPr>
          <w:color w:val="000000" w:themeColor="text1"/>
          <w14:textFill>
            <w14:solidFill>
              <w14:schemeClr w14:val="tx1"/>
            </w14:solidFill>
          </w14:textFill>
        </w:rPr>
      </w:pPr>
    </w:p>
    <w:p w14:paraId="3474EDB5">
      <w:pPr>
        <w:pStyle w:val="17"/>
        <w:rPr>
          <w:color w:val="000000" w:themeColor="text1"/>
          <w14:textFill>
            <w14:solidFill>
              <w14:schemeClr w14:val="tx1"/>
            </w14:solidFill>
          </w14:textFill>
        </w:rPr>
      </w:pPr>
    </w:p>
    <w:p w14:paraId="11C62770">
      <w:pPr>
        <w:pStyle w:val="17"/>
        <w:rPr>
          <w:color w:val="000000" w:themeColor="text1"/>
          <w14:textFill>
            <w14:solidFill>
              <w14:schemeClr w14:val="tx1"/>
            </w14:solidFill>
          </w14:textFill>
        </w:rPr>
      </w:pPr>
    </w:p>
    <w:p w14:paraId="0352E505">
      <w:pPr>
        <w:pStyle w:val="17"/>
        <w:rPr>
          <w:color w:val="000000" w:themeColor="text1"/>
          <w14:textFill>
            <w14:solidFill>
              <w14:schemeClr w14:val="tx1"/>
            </w14:solidFill>
          </w14:textFill>
        </w:rPr>
      </w:pPr>
    </w:p>
    <w:p w14:paraId="7697128D">
      <w:pPr>
        <w:pStyle w:val="17"/>
        <w:rPr>
          <w:color w:val="000000" w:themeColor="text1"/>
          <w14:textFill>
            <w14:solidFill>
              <w14:schemeClr w14:val="tx1"/>
            </w14:solidFill>
          </w14:textFill>
        </w:rPr>
      </w:pPr>
    </w:p>
    <w:p w14:paraId="37E360C8">
      <w:pPr>
        <w:pStyle w:val="17"/>
        <w:rPr>
          <w:color w:val="000000" w:themeColor="text1"/>
          <w14:textFill>
            <w14:solidFill>
              <w14:schemeClr w14:val="tx1"/>
            </w14:solidFill>
          </w14:textFill>
        </w:rPr>
      </w:pPr>
    </w:p>
    <w:bookmarkEnd w:id="0"/>
    <w:bookmarkEnd w:id="33"/>
    <w:bookmarkEnd w:id="34"/>
    <w:p w14:paraId="3EDAE374">
      <w:pPr>
        <w:widowControl/>
        <w:jc w:val="left"/>
        <w:rPr>
          <w:rFonts w:ascii="宋体" w:hAnsi="宋体"/>
          <w:b/>
          <w:color w:val="000000" w:themeColor="text1"/>
          <w:sz w:val="36"/>
          <w:szCs w:val="36"/>
          <w14:textFill>
            <w14:solidFill>
              <w14:schemeClr w14:val="tx1"/>
            </w14:solidFill>
          </w14:textFill>
        </w:rPr>
      </w:pPr>
      <w:bookmarkStart w:id="47" w:name="_Toc123719646"/>
      <w:r>
        <w:rPr>
          <w:rFonts w:ascii="宋体" w:hAnsi="宋体"/>
          <w:color w:val="000000" w:themeColor="text1"/>
          <w14:textFill>
            <w14:solidFill>
              <w14:schemeClr w14:val="tx1"/>
            </w14:solidFill>
          </w14:textFill>
        </w:rPr>
        <w:br w:type="page"/>
      </w:r>
    </w:p>
    <w:p w14:paraId="1E7FD3C4">
      <w:pPr>
        <w:pStyle w:val="2"/>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第二章 供应商须知</w:t>
      </w:r>
      <w:bookmarkEnd w:id="47"/>
    </w:p>
    <w:p w14:paraId="4EBDBF5F">
      <w:pPr>
        <w:spacing w:line="360" w:lineRule="auto"/>
        <w:jc w:val="center"/>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供应商须知资料表</w:t>
      </w:r>
    </w:p>
    <w:p w14:paraId="5117E629">
      <w:pPr>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本表是对供应商须知的具体补充和修改，如有矛盾，均以本资料表为准。标记“</w:t>
      </w:r>
      <w:r>
        <w:rPr>
          <w:rFonts w:hint="eastAsia" w:ascii="宋体" w:hAnsi="宋体" w:cs="宋体"/>
          <w:b/>
          <w:color w:val="000000" w:themeColor="text1"/>
          <w:szCs w:val="21"/>
          <w14:textFill>
            <w14:solidFill>
              <w14:schemeClr w14:val="tx1"/>
            </w14:solidFill>
          </w14:textFill>
        </w:rPr>
        <w:t>■</w:t>
      </w:r>
      <w:r>
        <w:rPr>
          <w:color w:val="000000" w:themeColor="text1"/>
          <w:sz w:val="24"/>
          <w14:textFill>
            <w14:solidFill>
              <w14:schemeClr w14:val="tx1"/>
            </w14:solidFill>
          </w14:textFill>
        </w:rPr>
        <w:t>”的选项意为适用于本项目，标记“</w:t>
      </w:r>
      <w:r>
        <w:rPr>
          <w:color w:val="000000" w:themeColor="text1"/>
          <w14:textFill>
            <w14:solidFill>
              <w14:schemeClr w14:val="tx1"/>
            </w14:solidFill>
          </w14:textFill>
        </w:rPr>
        <w:t>□</w:t>
      </w:r>
      <w:r>
        <w:rPr>
          <w:color w:val="000000" w:themeColor="text1"/>
          <w:sz w:val="24"/>
          <w14:textFill>
            <w14:solidFill>
              <w14:schemeClr w14:val="tx1"/>
            </w14:solidFill>
          </w14:textFill>
        </w:rPr>
        <w:t>”的选项意为不适用于本项目。</w:t>
      </w:r>
    </w:p>
    <w:tbl>
      <w:tblPr>
        <w:tblStyle w:val="47"/>
        <w:tblW w:w="89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66"/>
        <w:gridCol w:w="1843"/>
        <w:gridCol w:w="5926"/>
      </w:tblGrid>
      <w:tr w14:paraId="3A07D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tblHeader/>
          <w:jc w:val="center"/>
        </w:trPr>
        <w:tc>
          <w:tcPr>
            <w:tcW w:w="1166" w:type="dxa"/>
            <w:vAlign w:val="center"/>
          </w:tcPr>
          <w:p w14:paraId="75E5390A">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序号</w:t>
            </w:r>
          </w:p>
        </w:tc>
        <w:tc>
          <w:tcPr>
            <w:tcW w:w="1843" w:type="dxa"/>
            <w:vAlign w:val="center"/>
          </w:tcPr>
          <w:p w14:paraId="1DF2E29A">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条目</w:t>
            </w:r>
          </w:p>
        </w:tc>
        <w:tc>
          <w:tcPr>
            <w:tcW w:w="5926" w:type="dxa"/>
            <w:vAlign w:val="center"/>
          </w:tcPr>
          <w:p w14:paraId="3CADD96A">
            <w:pP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内容</w:t>
            </w:r>
          </w:p>
        </w:tc>
      </w:tr>
      <w:tr w14:paraId="5DA2B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7" w:hRule="atLeast"/>
          <w:jc w:val="center"/>
        </w:trPr>
        <w:tc>
          <w:tcPr>
            <w:tcW w:w="1166" w:type="dxa"/>
            <w:vAlign w:val="center"/>
          </w:tcPr>
          <w:p w14:paraId="1E305BD7">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1</w:t>
            </w:r>
          </w:p>
        </w:tc>
        <w:tc>
          <w:tcPr>
            <w:tcW w:w="1843" w:type="dxa"/>
            <w:vAlign w:val="center"/>
          </w:tcPr>
          <w:p w14:paraId="472E75B2">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项目属性</w:t>
            </w:r>
          </w:p>
        </w:tc>
        <w:tc>
          <w:tcPr>
            <w:tcW w:w="5926" w:type="dxa"/>
            <w:vAlign w:val="center"/>
          </w:tcPr>
          <w:p w14:paraId="20EB83D1">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项目属性：</w:t>
            </w:r>
          </w:p>
          <w:p w14:paraId="27488689">
            <w:pPr>
              <w:jc w:val="left"/>
              <w:rPr>
                <w:color w:val="000000" w:themeColor="text1"/>
                <w:sz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w:t>
            </w:r>
            <w:r>
              <w:rPr>
                <w:color w:val="000000" w:themeColor="text1"/>
                <w:sz w:val="24"/>
                <w14:textFill>
                  <w14:solidFill>
                    <w14:schemeClr w14:val="tx1"/>
                  </w14:solidFill>
                </w14:textFill>
              </w:rPr>
              <w:t>服务</w:t>
            </w:r>
          </w:p>
          <w:p w14:paraId="0F2EA469">
            <w:pPr>
              <w:jc w:val="left"/>
              <w:rPr>
                <w:color w:val="000000" w:themeColor="text1"/>
                <w:sz w:val="24"/>
                <w14:textFill>
                  <w14:solidFill>
                    <w14:schemeClr w14:val="tx1"/>
                  </w14:solidFill>
                </w14:textFill>
              </w:rPr>
            </w:pPr>
            <w:r>
              <w:rPr>
                <w:color w:val="000000" w:themeColor="text1"/>
                <w14:textFill>
                  <w14:solidFill>
                    <w14:schemeClr w14:val="tx1"/>
                  </w14:solidFill>
                </w14:textFill>
              </w:rPr>
              <w:t>□</w:t>
            </w:r>
            <w:r>
              <w:rPr>
                <w:color w:val="000000" w:themeColor="text1"/>
                <w:sz w:val="24"/>
                <w14:textFill>
                  <w14:solidFill>
                    <w14:schemeClr w14:val="tx1"/>
                  </w14:solidFill>
                </w14:textFill>
              </w:rPr>
              <w:t>货物</w:t>
            </w:r>
          </w:p>
          <w:p w14:paraId="51E79EDE">
            <w:pPr>
              <w:jc w:val="lef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工程</w:t>
            </w:r>
          </w:p>
        </w:tc>
      </w:tr>
      <w:tr w14:paraId="3DE01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7" w:hRule="atLeast"/>
          <w:jc w:val="center"/>
        </w:trPr>
        <w:tc>
          <w:tcPr>
            <w:tcW w:w="1166" w:type="dxa"/>
            <w:vAlign w:val="center"/>
          </w:tcPr>
          <w:p w14:paraId="5A0CC48A">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2</w:t>
            </w:r>
          </w:p>
        </w:tc>
        <w:tc>
          <w:tcPr>
            <w:tcW w:w="1843" w:type="dxa"/>
            <w:vAlign w:val="center"/>
          </w:tcPr>
          <w:p w14:paraId="0AF9EDB5">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科研仪器设备</w:t>
            </w:r>
          </w:p>
        </w:tc>
        <w:tc>
          <w:tcPr>
            <w:tcW w:w="5926" w:type="dxa"/>
            <w:vAlign w:val="center"/>
          </w:tcPr>
          <w:p w14:paraId="3B613760">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是否属于科研仪器设备采购项目：</w:t>
            </w:r>
          </w:p>
          <w:p w14:paraId="6FCEABCF">
            <w:pPr>
              <w:jc w:val="left"/>
              <w:rPr>
                <w:color w:val="000000" w:themeColor="text1"/>
                <w:sz w:val="24"/>
                <w14:textFill>
                  <w14:solidFill>
                    <w14:schemeClr w14:val="tx1"/>
                  </w14:solidFill>
                </w14:textFill>
              </w:rPr>
            </w:pPr>
            <w:r>
              <w:rPr>
                <w:color w:val="000000" w:themeColor="text1"/>
                <w14:textFill>
                  <w14:solidFill>
                    <w14:schemeClr w14:val="tx1"/>
                  </w14:solidFill>
                </w14:textFill>
              </w:rPr>
              <w:t>□</w:t>
            </w:r>
            <w:r>
              <w:rPr>
                <w:color w:val="000000" w:themeColor="text1"/>
                <w:sz w:val="24"/>
                <w14:textFill>
                  <w14:solidFill>
                    <w14:schemeClr w14:val="tx1"/>
                  </w14:solidFill>
                </w14:textFill>
              </w:rPr>
              <w:t>是</w:t>
            </w:r>
          </w:p>
          <w:p w14:paraId="5ED1E2F8">
            <w:pPr>
              <w:jc w:val="left"/>
              <w:rPr>
                <w:color w:val="000000" w:themeColor="text1"/>
                <w:sz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w:t>
            </w:r>
            <w:r>
              <w:rPr>
                <w:color w:val="000000" w:themeColor="text1"/>
                <w:sz w:val="24"/>
                <w14:textFill>
                  <w14:solidFill>
                    <w14:schemeClr w14:val="tx1"/>
                  </w14:solidFill>
                </w14:textFill>
              </w:rPr>
              <w:t>否</w:t>
            </w:r>
          </w:p>
        </w:tc>
      </w:tr>
      <w:tr w14:paraId="2361C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jc w:val="center"/>
        </w:trPr>
        <w:tc>
          <w:tcPr>
            <w:tcW w:w="1166" w:type="dxa"/>
            <w:vMerge w:val="restart"/>
            <w:vAlign w:val="center"/>
          </w:tcPr>
          <w:p w14:paraId="17705594">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p>
        </w:tc>
        <w:tc>
          <w:tcPr>
            <w:tcW w:w="1843" w:type="dxa"/>
            <w:vAlign w:val="center"/>
          </w:tcPr>
          <w:p w14:paraId="6C53947E">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现场考察</w:t>
            </w:r>
          </w:p>
        </w:tc>
        <w:tc>
          <w:tcPr>
            <w:tcW w:w="5926" w:type="dxa"/>
            <w:vAlign w:val="center"/>
          </w:tcPr>
          <w:p w14:paraId="09953E0F">
            <w:pPr>
              <w:jc w:val="left"/>
              <w:rPr>
                <w:color w:val="000000" w:themeColor="text1"/>
                <w:sz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w:t>
            </w:r>
            <w:r>
              <w:rPr>
                <w:color w:val="000000" w:themeColor="text1"/>
                <w:sz w:val="24"/>
                <w14:textFill>
                  <w14:solidFill>
                    <w14:schemeClr w14:val="tx1"/>
                  </w14:solidFill>
                </w14:textFill>
              </w:rPr>
              <w:t>不组织</w:t>
            </w:r>
          </w:p>
          <w:p w14:paraId="1D000C73">
            <w:pPr>
              <w:jc w:val="left"/>
              <w:rPr>
                <w:bCs/>
                <w:color w:val="000000" w:themeColor="text1"/>
                <w:sz w:val="24"/>
                <w14:textFill>
                  <w14:solidFill>
                    <w14:schemeClr w14:val="tx1"/>
                  </w14:solidFill>
                </w14:textFill>
              </w:rPr>
            </w:pPr>
            <w:r>
              <w:rPr>
                <w:color w:val="000000" w:themeColor="text1"/>
                <w14:textFill>
                  <w14:solidFill>
                    <w14:schemeClr w14:val="tx1"/>
                  </w14:solidFill>
                </w14:textFill>
              </w:rPr>
              <w:t>□</w:t>
            </w:r>
            <w:r>
              <w:rPr>
                <w:color w:val="000000" w:themeColor="text1"/>
                <w:sz w:val="24"/>
                <w14:textFill>
                  <w14:solidFill>
                    <w14:schemeClr w14:val="tx1"/>
                  </w14:solidFill>
                </w14:textFill>
              </w:rPr>
              <w:t>组织，考察时间：___</w:t>
            </w:r>
            <w:r>
              <w:rPr>
                <w:color w:val="000000" w:themeColor="text1"/>
                <w:sz w:val="24"/>
                <w:lang w:bidi="ar"/>
                <w14:textFill>
                  <w14:solidFill>
                    <w14:schemeClr w14:val="tx1"/>
                  </w14:solidFill>
                </w14:textFill>
              </w:rPr>
              <w:t>年</w:t>
            </w:r>
            <w:r>
              <w:rPr>
                <w:color w:val="000000" w:themeColor="text1"/>
                <w:sz w:val="24"/>
                <w14:textFill>
                  <w14:solidFill>
                    <w14:schemeClr w14:val="tx1"/>
                  </w14:solidFill>
                </w14:textFill>
              </w:rPr>
              <w:t>___</w:t>
            </w:r>
            <w:r>
              <w:rPr>
                <w:color w:val="000000" w:themeColor="text1"/>
                <w:sz w:val="24"/>
                <w:lang w:bidi="ar"/>
                <w14:textFill>
                  <w14:solidFill>
                    <w14:schemeClr w14:val="tx1"/>
                  </w14:solidFill>
                </w14:textFill>
              </w:rPr>
              <w:t>月</w:t>
            </w:r>
            <w:r>
              <w:rPr>
                <w:color w:val="000000" w:themeColor="text1"/>
                <w:sz w:val="24"/>
                <w14:textFill>
                  <w14:solidFill>
                    <w14:schemeClr w14:val="tx1"/>
                  </w14:solidFill>
                </w14:textFill>
              </w:rPr>
              <w:t>___</w:t>
            </w:r>
            <w:r>
              <w:rPr>
                <w:color w:val="000000" w:themeColor="text1"/>
                <w:sz w:val="24"/>
                <w:lang w:bidi="ar"/>
                <w14:textFill>
                  <w14:solidFill>
                    <w14:schemeClr w14:val="tx1"/>
                  </w14:solidFill>
                </w14:textFill>
              </w:rPr>
              <w:t>日</w:t>
            </w:r>
            <w:r>
              <w:rPr>
                <w:color w:val="000000" w:themeColor="text1"/>
                <w:sz w:val="24"/>
                <w14:textFill>
                  <w14:solidFill>
                    <w14:schemeClr w14:val="tx1"/>
                  </w14:solidFill>
                </w14:textFill>
              </w:rPr>
              <w:t>___</w:t>
            </w:r>
            <w:r>
              <w:rPr>
                <w:color w:val="000000" w:themeColor="text1"/>
                <w:sz w:val="24"/>
                <w:lang w:bidi="ar"/>
                <w14:textFill>
                  <w14:solidFill>
                    <w14:schemeClr w14:val="tx1"/>
                  </w14:solidFill>
                </w14:textFill>
              </w:rPr>
              <w:t>点</w:t>
            </w:r>
            <w:r>
              <w:rPr>
                <w:color w:val="000000" w:themeColor="text1"/>
                <w:sz w:val="24"/>
                <w14:textFill>
                  <w14:solidFill>
                    <w14:schemeClr w14:val="tx1"/>
                  </w14:solidFill>
                </w14:textFill>
              </w:rPr>
              <w:t>___</w:t>
            </w:r>
            <w:r>
              <w:rPr>
                <w:color w:val="000000" w:themeColor="text1"/>
                <w:sz w:val="24"/>
                <w:lang w:bidi="ar"/>
                <w14:textFill>
                  <w14:solidFill>
                    <w14:schemeClr w14:val="tx1"/>
                  </w14:solidFill>
                </w14:textFill>
              </w:rPr>
              <w:t>分</w:t>
            </w:r>
          </w:p>
          <w:p w14:paraId="2981E9B4">
            <w:pPr>
              <w:pStyle w:val="23"/>
              <w:adjustRightInd w:val="0"/>
              <w:snapToGrid w:val="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14:textFill>
                  <w14:solidFill>
                    <w14:schemeClr w14:val="tx1"/>
                  </w14:solidFill>
                </w14:textFill>
              </w:rPr>
              <w:t>考察地点：___________。</w:t>
            </w:r>
          </w:p>
        </w:tc>
      </w:tr>
      <w:tr w14:paraId="7A4E0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jc w:val="center"/>
        </w:trPr>
        <w:tc>
          <w:tcPr>
            <w:tcW w:w="1166" w:type="dxa"/>
            <w:vMerge w:val="continue"/>
            <w:vAlign w:val="center"/>
          </w:tcPr>
          <w:p w14:paraId="65518D42">
            <w:pPr>
              <w:jc w:val="center"/>
              <w:rPr>
                <w:rFonts w:ascii="宋体" w:hAnsi="宋体" w:cs="宋体"/>
                <w:color w:val="000000" w:themeColor="text1"/>
                <w:sz w:val="24"/>
                <w:szCs w:val="24"/>
                <w14:textFill>
                  <w14:solidFill>
                    <w14:schemeClr w14:val="tx1"/>
                  </w14:solidFill>
                </w14:textFill>
              </w:rPr>
            </w:pPr>
          </w:p>
        </w:tc>
        <w:tc>
          <w:tcPr>
            <w:tcW w:w="1843" w:type="dxa"/>
            <w:vAlign w:val="center"/>
          </w:tcPr>
          <w:p w14:paraId="42FB7F06">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磋商前答疑会</w:t>
            </w:r>
          </w:p>
        </w:tc>
        <w:tc>
          <w:tcPr>
            <w:tcW w:w="5926" w:type="dxa"/>
            <w:vAlign w:val="center"/>
          </w:tcPr>
          <w:p w14:paraId="2F962B39">
            <w:pPr>
              <w:jc w:val="left"/>
              <w:rPr>
                <w:color w:val="000000" w:themeColor="text1"/>
                <w:sz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w:t>
            </w:r>
            <w:r>
              <w:rPr>
                <w:color w:val="000000" w:themeColor="text1"/>
                <w:sz w:val="24"/>
                <w14:textFill>
                  <w14:solidFill>
                    <w14:schemeClr w14:val="tx1"/>
                  </w14:solidFill>
                </w14:textFill>
              </w:rPr>
              <w:t>不召开</w:t>
            </w:r>
          </w:p>
          <w:p w14:paraId="049AA37C">
            <w:pPr>
              <w:jc w:val="left"/>
              <w:rPr>
                <w:color w:val="000000" w:themeColor="text1"/>
                <w:sz w:val="24"/>
                <w14:textFill>
                  <w14:solidFill>
                    <w14:schemeClr w14:val="tx1"/>
                  </w14:solidFill>
                </w14:textFill>
              </w:rPr>
            </w:pPr>
            <w:r>
              <w:rPr>
                <w:color w:val="000000" w:themeColor="text1"/>
                <w14:textFill>
                  <w14:solidFill>
                    <w14:schemeClr w14:val="tx1"/>
                  </w14:solidFill>
                </w14:textFill>
              </w:rPr>
              <w:t>□</w:t>
            </w:r>
            <w:r>
              <w:rPr>
                <w:color w:val="000000" w:themeColor="text1"/>
                <w:sz w:val="24"/>
                <w14:textFill>
                  <w14:solidFill>
                    <w14:schemeClr w14:val="tx1"/>
                  </w14:solidFill>
                </w14:textFill>
              </w:rPr>
              <w:t>召开，召开时间：___</w:t>
            </w:r>
            <w:r>
              <w:rPr>
                <w:color w:val="000000" w:themeColor="text1"/>
                <w:sz w:val="24"/>
                <w:lang w:bidi="ar"/>
                <w14:textFill>
                  <w14:solidFill>
                    <w14:schemeClr w14:val="tx1"/>
                  </w14:solidFill>
                </w14:textFill>
              </w:rPr>
              <w:t>年</w:t>
            </w:r>
            <w:r>
              <w:rPr>
                <w:color w:val="000000" w:themeColor="text1"/>
                <w:sz w:val="24"/>
                <w14:textFill>
                  <w14:solidFill>
                    <w14:schemeClr w14:val="tx1"/>
                  </w14:solidFill>
                </w14:textFill>
              </w:rPr>
              <w:t>___</w:t>
            </w:r>
            <w:r>
              <w:rPr>
                <w:color w:val="000000" w:themeColor="text1"/>
                <w:sz w:val="24"/>
                <w:lang w:bidi="ar"/>
                <w14:textFill>
                  <w14:solidFill>
                    <w14:schemeClr w14:val="tx1"/>
                  </w14:solidFill>
                </w14:textFill>
              </w:rPr>
              <w:t>月</w:t>
            </w:r>
            <w:r>
              <w:rPr>
                <w:color w:val="000000" w:themeColor="text1"/>
                <w:sz w:val="24"/>
                <w14:textFill>
                  <w14:solidFill>
                    <w14:schemeClr w14:val="tx1"/>
                  </w14:solidFill>
                </w14:textFill>
              </w:rPr>
              <w:t>___</w:t>
            </w:r>
            <w:r>
              <w:rPr>
                <w:color w:val="000000" w:themeColor="text1"/>
                <w:sz w:val="24"/>
                <w:lang w:bidi="ar"/>
                <w14:textFill>
                  <w14:solidFill>
                    <w14:schemeClr w14:val="tx1"/>
                  </w14:solidFill>
                </w14:textFill>
              </w:rPr>
              <w:t>日</w:t>
            </w:r>
            <w:r>
              <w:rPr>
                <w:color w:val="000000" w:themeColor="text1"/>
                <w:sz w:val="24"/>
                <w14:textFill>
                  <w14:solidFill>
                    <w14:schemeClr w14:val="tx1"/>
                  </w14:solidFill>
                </w14:textFill>
              </w:rPr>
              <w:t>___</w:t>
            </w:r>
            <w:r>
              <w:rPr>
                <w:color w:val="000000" w:themeColor="text1"/>
                <w:sz w:val="24"/>
                <w:lang w:bidi="ar"/>
                <w14:textFill>
                  <w14:solidFill>
                    <w14:schemeClr w14:val="tx1"/>
                  </w14:solidFill>
                </w14:textFill>
              </w:rPr>
              <w:t>点</w:t>
            </w:r>
            <w:r>
              <w:rPr>
                <w:color w:val="000000" w:themeColor="text1"/>
                <w:sz w:val="24"/>
                <w14:textFill>
                  <w14:solidFill>
                    <w14:schemeClr w14:val="tx1"/>
                  </w14:solidFill>
                </w14:textFill>
              </w:rPr>
              <w:t>___</w:t>
            </w:r>
            <w:r>
              <w:rPr>
                <w:color w:val="000000" w:themeColor="text1"/>
                <w:sz w:val="24"/>
                <w:lang w:bidi="ar"/>
                <w14:textFill>
                  <w14:solidFill>
                    <w14:schemeClr w14:val="tx1"/>
                  </w14:solidFill>
                </w14:textFill>
              </w:rPr>
              <w:t>分</w:t>
            </w:r>
          </w:p>
          <w:p w14:paraId="349831C6">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召开地点：___________</w:t>
            </w:r>
            <w:r>
              <w:rPr>
                <w:rFonts w:hint="eastAsia"/>
                <w:color w:val="000000" w:themeColor="text1"/>
                <w:sz w:val="24"/>
                <w14:textFill>
                  <w14:solidFill>
                    <w14:schemeClr w14:val="tx1"/>
                  </w14:solidFill>
                </w14:textFill>
              </w:rPr>
              <w:t>。</w:t>
            </w:r>
          </w:p>
        </w:tc>
      </w:tr>
      <w:tr w14:paraId="3CDBD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1166" w:type="dxa"/>
            <w:vAlign w:val="center"/>
          </w:tcPr>
          <w:p w14:paraId="24243307">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4</w:t>
            </w:r>
          </w:p>
        </w:tc>
        <w:tc>
          <w:tcPr>
            <w:tcW w:w="1843" w:type="dxa"/>
            <w:vAlign w:val="center"/>
          </w:tcPr>
          <w:p w14:paraId="5D3A329C">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标的所属行业</w:t>
            </w:r>
          </w:p>
        </w:tc>
        <w:tc>
          <w:tcPr>
            <w:tcW w:w="5926" w:type="dxa"/>
            <w:vAlign w:val="center"/>
          </w:tcPr>
          <w:p w14:paraId="73E9C7AD">
            <w:pPr>
              <w:rPr>
                <w:rFonts w:ascii="宋体" w:hAnsi="宋体" w:cs="宋体"/>
                <w:color w:val="000000" w:themeColor="text1"/>
                <w:sz w:val="24"/>
                <w:szCs w:val="24"/>
                <w14:textFill>
                  <w14:solidFill>
                    <w14:schemeClr w14:val="tx1"/>
                  </w14:solidFill>
                </w14:textFill>
              </w:rPr>
            </w:pPr>
            <w:r>
              <w:rPr>
                <w:color w:val="000000" w:themeColor="text1"/>
                <w:sz w:val="24"/>
                <w14:textFill>
                  <w14:solidFill>
                    <w14:schemeClr w14:val="tx1"/>
                  </w14:solidFill>
                </w14:textFill>
              </w:rPr>
              <w:t>本项目采购标的对应的中小企业划分标准所属行业：</w:t>
            </w:r>
            <w:r>
              <w:rPr>
                <w:rFonts w:hint="eastAsia" w:ascii="宋体" w:hAnsi="宋体"/>
                <w:b/>
                <w:bCs/>
                <w:sz w:val="24"/>
                <w:u w:val="single"/>
              </w:rPr>
              <w:t>其他未列明行业</w:t>
            </w:r>
            <w:r>
              <w:rPr>
                <w:rFonts w:hint="eastAsia"/>
                <w:color w:val="000000" w:themeColor="text1"/>
                <w:sz w:val="24"/>
                <w14:textFill>
                  <w14:solidFill>
                    <w14:schemeClr w14:val="tx1"/>
                  </w14:solidFill>
                </w14:textFill>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14:paraId="532E6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7" w:hRule="atLeast"/>
          <w:jc w:val="center"/>
        </w:trPr>
        <w:tc>
          <w:tcPr>
            <w:tcW w:w="1166" w:type="dxa"/>
            <w:vAlign w:val="center"/>
          </w:tcPr>
          <w:p w14:paraId="0A678243">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5</w:t>
            </w:r>
          </w:p>
        </w:tc>
        <w:tc>
          <w:tcPr>
            <w:tcW w:w="1843" w:type="dxa"/>
            <w:vAlign w:val="center"/>
          </w:tcPr>
          <w:p w14:paraId="766C4904">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报价</w:t>
            </w:r>
          </w:p>
        </w:tc>
        <w:tc>
          <w:tcPr>
            <w:tcW w:w="5926" w:type="dxa"/>
            <w:vAlign w:val="center"/>
          </w:tcPr>
          <w:p w14:paraId="41141235">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报价的特殊规定：</w:t>
            </w:r>
          </w:p>
          <w:p w14:paraId="3407D2F3">
            <w:pPr>
              <w:jc w:val="left"/>
              <w:rPr>
                <w:color w:val="000000" w:themeColor="text1"/>
                <w:sz w:val="24"/>
                <w14:textFill>
                  <w14:solidFill>
                    <w14:schemeClr w14:val="tx1"/>
                  </w14:solidFill>
                </w14:textFill>
              </w:rPr>
            </w:pPr>
            <w:r>
              <w:rPr>
                <w:color w:val="000000" w:themeColor="text1"/>
                <w14:textFill>
                  <w14:solidFill>
                    <w14:schemeClr w14:val="tx1"/>
                  </w14:solidFill>
                </w14:textFill>
              </w:rPr>
              <w:t>□</w:t>
            </w:r>
            <w:r>
              <w:rPr>
                <w:color w:val="000000" w:themeColor="text1"/>
                <w:sz w:val="24"/>
                <w14:textFill>
                  <w14:solidFill>
                    <w14:schemeClr w14:val="tx1"/>
                  </w14:solidFill>
                </w14:textFill>
              </w:rPr>
              <w:t>无</w:t>
            </w:r>
          </w:p>
          <w:p w14:paraId="43BCF5BC">
            <w:pPr>
              <w:rPr>
                <w:color w:val="000000" w:themeColor="text1"/>
                <w:sz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w:t>
            </w:r>
            <w:r>
              <w:rPr>
                <w:color w:val="000000" w:themeColor="text1"/>
                <w:sz w:val="24"/>
                <w14:textFill>
                  <w14:solidFill>
                    <w14:schemeClr w14:val="tx1"/>
                  </w14:solidFill>
                </w14:textFill>
              </w:rPr>
              <w:t>有，具体情形：</w:t>
            </w:r>
            <w:r>
              <w:rPr>
                <w:rFonts w:hint="eastAsia"/>
                <w:b/>
                <w:bCs/>
                <w:color w:val="000000" w:themeColor="text1"/>
                <w:sz w:val="24"/>
                <w:u w:val="single"/>
                <w14:textFill>
                  <w14:solidFill>
                    <w14:schemeClr w14:val="tx1"/>
                  </w14:solidFill>
                </w14:textFill>
              </w:rPr>
              <w:t>本项目磋商报价2次</w:t>
            </w:r>
            <w:r>
              <w:rPr>
                <w:rFonts w:hint="eastAsia"/>
                <w:color w:val="000000" w:themeColor="text1"/>
                <w:sz w:val="24"/>
                <w14:textFill>
                  <w14:solidFill>
                    <w14:schemeClr w14:val="tx1"/>
                  </w14:solidFill>
                </w14:textFill>
              </w:rPr>
              <w:t>，响应文件的磋商报价作为首次报价。</w:t>
            </w:r>
            <w:r>
              <w:rPr>
                <w:color w:val="000000" w:themeColor="text1"/>
                <w:sz w:val="24"/>
                <w14:textFill>
                  <w14:solidFill>
                    <w14:schemeClr w14:val="tx1"/>
                  </w14:solidFill>
                </w14:textFill>
              </w:rPr>
              <w:t>第二</w:t>
            </w:r>
            <w:r>
              <w:rPr>
                <w:rFonts w:hint="eastAsia"/>
                <w:color w:val="000000" w:themeColor="text1"/>
                <w:sz w:val="24"/>
                <w14:textFill>
                  <w14:solidFill>
                    <w14:schemeClr w14:val="tx1"/>
                  </w14:solidFill>
                </w14:textFill>
              </w:rPr>
              <w:t>次</w:t>
            </w:r>
            <w:r>
              <w:rPr>
                <w:color w:val="000000" w:themeColor="text1"/>
                <w:sz w:val="24"/>
                <w14:textFill>
                  <w14:solidFill>
                    <w14:schemeClr w14:val="tx1"/>
                  </w14:solidFill>
                </w14:textFill>
              </w:rPr>
              <w:t>报价为最</w:t>
            </w:r>
            <w:r>
              <w:rPr>
                <w:rFonts w:hint="eastAsia"/>
                <w:color w:val="000000" w:themeColor="text1"/>
                <w:sz w:val="24"/>
                <w14:textFill>
                  <w14:solidFill>
                    <w14:schemeClr w14:val="tx1"/>
                  </w14:solidFill>
                </w14:textFill>
              </w:rPr>
              <w:t>后</w:t>
            </w:r>
            <w:r>
              <w:rPr>
                <w:color w:val="000000" w:themeColor="text1"/>
                <w:sz w:val="24"/>
                <w14:textFill>
                  <w14:solidFill>
                    <w14:schemeClr w14:val="tx1"/>
                  </w14:solidFill>
                </w14:textFill>
              </w:rPr>
              <w:t>报价</w:t>
            </w:r>
            <w:r>
              <w:rPr>
                <w:rFonts w:hint="eastAsia"/>
                <w:color w:val="000000" w:themeColor="text1"/>
                <w:sz w:val="24"/>
                <w14:textFill>
                  <w14:solidFill>
                    <w14:schemeClr w14:val="tx1"/>
                  </w14:solidFill>
                </w14:textFill>
              </w:rPr>
              <w:t>(通过系统在线报价)。最后</w:t>
            </w:r>
            <w:r>
              <w:rPr>
                <w:color w:val="000000" w:themeColor="text1"/>
                <w:sz w:val="24"/>
                <w14:textFill>
                  <w14:solidFill>
                    <w14:schemeClr w14:val="tx1"/>
                  </w14:solidFill>
                </w14:textFill>
              </w:rPr>
              <w:t>报价不得超过</w:t>
            </w:r>
            <w:r>
              <w:rPr>
                <w:rFonts w:hint="eastAsia"/>
                <w:color w:val="000000" w:themeColor="text1"/>
                <w:sz w:val="24"/>
                <w14:textFill>
                  <w14:solidFill>
                    <w14:schemeClr w14:val="tx1"/>
                  </w14:solidFill>
                </w14:textFill>
              </w:rPr>
              <w:t>预算、最高限价及</w:t>
            </w:r>
            <w:r>
              <w:rPr>
                <w:color w:val="000000" w:themeColor="text1"/>
                <w:sz w:val="24"/>
                <w14:textFill>
                  <w14:solidFill>
                    <w14:schemeClr w14:val="tx1"/>
                  </w14:solidFill>
                </w14:textFill>
              </w:rPr>
              <w:t>首</w:t>
            </w:r>
            <w:r>
              <w:rPr>
                <w:rFonts w:hint="eastAsia"/>
                <w:color w:val="000000" w:themeColor="text1"/>
                <w:sz w:val="24"/>
                <w14:textFill>
                  <w14:solidFill>
                    <w14:schemeClr w14:val="tx1"/>
                  </w14:solidFill>
                </w14:textFill>
              </w:rPr>
              <w:t>次</w:t>
            </w:r>
            <w:r>
              <w:rPr>
                <w:color w:val="000000" w:themeColor="text1"/>
                <w:sz w:val="24"/>
                <w14:textFill>
                  <w14:solidFill>
                    <w14:schemeClr w14:val="tx1"/>
                  </w14:solidFill>
                </w14:textFill>
              </w:rPr>
              <w:t>报价，否则作无效报价处理</w:t>
            </w:r>
            <w:r>
              <w:rPr>
                <w:rFonts w:hint="eastAsia"/>
                <w:color w:val="000000" w:themeColor="text1"/>
                <w:sz w:val="24"/>
                <w14:textFill>
                  <w14:solidFill>
                    <w14:schemeClr w14:val="tx1"/>
                  </w14:solidFill>
                </w14:textFill>
              </w:rPr>
              <w:t>。</w:t>
            </w:r>
          </w:p>
        </w:tc>
      </w:tr>
      <w:tr w14:paraId="169FD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166" w:type="dxa"/>
            <w:vAlign w:val="center"/>
          </w:tcPr>
          <w:p w14:paraId="6A24CF8D">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6</w:t>
            </w:r>
          </w:p>
        </w:tc>
        <w:tc>
          <w:tcPr>
            <w:tcW w:w="1843" w:type="dxa"/>
            <w:vAlign w:val="center"/>
          </w:tcPr>
          <w:p w14:paraId="3B537310">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磋商保证金</w:t>
            </w:r>
          </w:p>
        </w:tc>
        <w:tc>
          <w:tcPr>
            <w:tcW w:w="5926" w:type="dxa"/>
            <w:vAlign w:val="center"/>
          </w:tcPr>
          <w:p w14:paraId="0CD004F6">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免收</w:t>
            </w:r>
          </w:p>
        </w:tc>
      </w:tr>
      <w:tr w14:paraId="09E7F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166" w:type="dxa"/>
            <w:vAlign w:val="center"/>
          </w:tcPr>
          <w:p w14:paraId="4FFB048E">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7</w:t>
            </w:r>
          </w:p>
        </w:tc>
        <w:tc>
          <w:tcPr>
            <w:tcW w:w="1843" w:type="dxa"/>
            <w:vAlign w:val="center"/>
          </w:tcPr>
          <w:p w14:paraId="3BA2076D">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响应有效期</w:t>
            </w:r>
          </w:p>
        </w:tc>
        <w:tc>
          <w:tcPr>
            <w:tcW w:w="5926" w:type="dxa"/>
            <w:vAlign w:val="center"/>
          </w:tcPr>
          <w:p w14:paraId="6BEEE223">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自提交响应文件的截止之日起算</w:t>
            </w:r>
            <w:r>
              <w:rPr>
                <w:rFonts w:hint="eastAsia" w:ascii="宋体" w:hAnsi="宋体" w:cs="宋体"/>
                <w:color w:val="000000" w:themeColor="text1"/>
                <w:sz w:val="24"/>
                <w:szCs w:val="24"/>
                <w:u w:val="single"/>
                <w14:textFill>
                  <w14:solidFill>
                    <w14:schemeClr w14:val="tx1"/>
                  </w14:solidFill>
                </w14:textFill>
              </w:rPr>
              <w:t xml:space="preserve">  60  </w:t>
            </w:r>
            <w:r>
              <w:rPr>
                <w:rFonts w:hint="eastAsia" w:ascii="宋体" w:hAnsi="宋体" w:cs="宋体"/>
                <w:color w:val="000000" w:themeColor="text1"/>
                <w:sz w:val="24"/>
                <w:szCs w:val="24"/>
                <w14:textFill>
                  <w14:solidFill>
                    <w14:schemeClr w14:val="tx1"/>
                  </w14:solidFill>
                </w14:textFill>
              </w:rPr>
              <w:t>日历天。</w:t>
            </w:r>
          </w:p>
        </w:tc>
      </w:tr>
      <w:tr w14:paraId="10B1C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1166" w:type="dxa"/>
            <w:vAlign w:val="center"/>
          </w:tcPr>
          <w:p w14:paraId="550251B0">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8</w:t>
            </w:r>
          </w:p>
        </w:tc>
        <w:tc>
          <w:tcPr>
            <w:tcW w:w="1843" w:type="dxa"/>
            <w:vAlign w:val="center"/>
          </w:tcPr>
          <w:p w14:paraId="01141462">
            <w:pPr>
              <w:spacing w:line="36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纸质</w:t>
            </w:r>
            <w:r>
              <w:rPr>
                <w:rFonts w:hint="eastAsia"/>
                <w:color w:val="000000" w:themeColor="text1"/>
                <w:sz w:val="24"/>
                <w14:textFill>
                  <w14:solidFill>
                    <w14:schemeClr w14:val="tx1"/>
                  </w14:solidFill>
                </w14:textFill>
              </w:rPr>
              <w:t>响应</w:t>
            </w:r>
            <w:r>
              <w:rPr>
                <w:color w:val="000000" w:themeColor="text1"/>
                <w:sz w:val="24"/>
                <w14:textFill>
                  <w14:solidFill>
                    <w14:schemeClr w14:val="tx1"/>
                  </w14:solidFill>
                </w14:textFill>
              </w:rPr>
              <w:t>文件</w:t>
            </w:r>
          </w:p>
        </w:tc>
        <w:tc>
          <w:tcPr>
            <w:tcW w:w="5926" w:type="dxa"/>
            <w:vAlign w:val="center"/>
          </w:tcPr>
          <w:p w14:paraId="607F09FC">
            <w:pPr>
              <w:spacing w:line="360" w:lineRule="exact"/>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成交单位在签订合同前需递交与电子响应文件内容一致的纸质响应文件</w:t>
            </w:r>
            <w:r>
              <w:rPr>
                <w:rFonts w:hint="eastAsia"/>
                <w:color w:val="000000" w:themeColor="text1"/>
                <w:sz w:val="24"/>
                <w:lang w:val="en-US" w:eastAsia="zh-CN"/>
                <w14:textFill>
                  <w14:solidFill>
                    <w14:schemeClr w14:val="tx1"/>
                  </w14:solidFill>
                </w14:textFill>
              </w:rPr>
              <w:t>贰</w:t>
            </w:r>
            <w:r>
              <w:rPr>
                <w:rFonts w:hint="eastAsia"/>
                <w:color w:val="000000" w:themeColor="text1"/>
                <w:sz w:val="24"/>
                <w14:textFill>
                  <w14:solidFill>
                    <w14:schemeClr w14:val="tx1"/>
                  </w14:solidFill>
                </w14:textFill>
              </w:rPr>
              <w:t>份（需打印清晰，标注目录及页码），作为项目归档使用。（递交方式可采用邮寄或现场送达,联系方式见《第一章 采购邀请》）</w:t>
            </w:r>
          </w:p>
        </w:tc>
      </w:tr>
      <w:tr w14:paraId="1C30E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5" w:hRule="atLeast"/>
          <w:jc w:val="center"/>
        </w:trPr>
        <w:tc>
          <w:tcPr>
            <w:tcW w:w="1166" w:type="dxa"/>
            <w:vAlign w:val="center"/>
          </w:tcPr>
          <w:p w14:paraId="41F5D166">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9</w:t>
            </w:r>
          </w:p>
        </w:tc>
        <w:tc>
          <w:tcPr>
            <w:tcW w:w="1843" w:type="dxa"/>
            <w:vAlign w:val="center"/>
          </w:tcPr>
          <w:p w14:paraId="4729C9DA">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分包</w:t>
            </w:r>
          </w:p>
        </w:tc>
        <w:tc>
          <w:tcPr>
            <w:tcW w:w="5926" w:type="dxa"/>
            <w:vAlign w:val="center"/>
          </w:tcPr>
          <w:p w14:paraId="52ED43F2">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本项目是否允许分包： </w:t>
            </w:r>
          </w:p>
          <w:p w14:paraId="3578CB0E">
            <w:pPr>
              <w:jc w:val="left"/>
              <w:rPr>
                <w:color w:val="000000" w:themeColor="text1"/>
                <w:sz w:val="24"/>
                <w14:textFill>
                  <w14:solidFill>
                    <w14:schemeClr w14:val="tx1"/>
                  </w14:solidFill>
                </w14:textFill>
              </w:rPr>
            </w:pPr>
            <w:r>
              <w:rPr>
                <w:rFonts w:ascii="Arial" w:hAnsi="Arial" w:cs="Arial"/>
                <w:b/>
                <w:color w:val="000000" w:themeColor="text1"/>
                <w:sz w:val="24"/>
                <w14:textFill>
                  <w14:solidFill>
                    <w14:schemeClr w14:val="tx1"/>
                  </w14:solidFill>
                </w14:textFill>
              </w:rPr>
              <w:t>■</w:t>
            </w:r>
            <w:r>
              <w:rPr>
                <w:color w:val="000000" w:themeColor="text1"/>
                <w:sz w:val="24"/>
                <w14:textFill>
                  <w14:solidFill>
                    <w14:schemeClr w14:val="tx1"/>
                  </w14:solidFill>
                </w14:textFill>
              </w:rPr>
              <w:t>不允许</w:t>
            </w:r>
          </w:p>
          <w:p w14:paraId="61A7A8ED">
            <w:pPr>
              <w:jc w:val="left"/>
              <w:rPr>
                <w:color w:val="000000" w:themeColor="text1"/>
                <w:sz w:val="24"/>
                <w14:textFill>
                  <w14:solidFill>
                    <w14:schemeClr w14:val="tx1"/>
                  </w14:solidFill>
                </w14:textFill>
              </w:rPr>
            </w:pPr>
            <w:r>
              <w:rPr>
                <w:color w:val="000000" w:themeColor="text1"/>
                <w14:textFill>
                  <w14:solidFill>
                    <w14:schemeClr w14:val="tx1"/>
                  </w14:solidFill>
                </w14:textFill>
              </w:rPr>
              <w:t>□</w:t>
            </w:r>
            <w:r>
              <w:rPr>
                <w:color w:val="000000" w:themeColor="text1"/>
                <w:sz w:val="24"/>
                <w14:textFill>
                  <w14:solidFill>
                    <w14:schemeClr w14:val="tx1"/>
                  </w14:solidFill>
                </w14:textFill>
              </w:rPr>
              <w:t>允许，具体要求：_______。</w:t>
            </w:r>
          </w:p>
          <w:p w14:paraId="4D3814E7">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（1）可以分包履行的具体内容：_______；</w:t>
            </w:r>
          </w:p>
          <w:p w14:paraId="469420A7">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（2）允许分包的金额或者比例：_______；</w:t>
            </w:r>
          </w:p>
          <w:p w14:paraId="75B6397A">
            <w:pPr>
              <w:jc w:val="lef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（3）其他要求：_______。</w:t>
            </w:r>
          </w:p>
        </w:tc>
      </w:tr>
      <w:tr w14:paraId="34017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8" w:hRule="atLeast"/>
          <w:jc w:val="center"/>
        </w:trPr>
        <w:tc>
          <w:tcPr>
            <w:tcW w:w="1166" w:type="dxa"/>
            <w:vAlign w:val="center"/>
          </w:tcPr>
          <w:p w14:paraId="3DE65A6F">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10</w:t>
            </w:r>
          </w:p>
        </w:tc>
        <w:tc>
          <w:tcPr>
            <w:tcW w:w="1843" w:type="dxa"/>
            <w:vAlign w:val="center"/>
          </w:tcPr>
          <w:p w14:paraId="1D07BF3F">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询问</w:t>
            </w:r>
          </w:p>
        </w:tc>
        <w:tc>
          <w:tcPr>
            <w:tcW w:w="5926" w:type="dxa"/>
            <w:vAlign w:val="center"/>
          </w:tcPr>
          <w:p w14:paraId="6DF07478">
            <w:pPr>
              <w:rPr>
                <w:rFonts w:ascii="宋体" w:hAnsi="宋体" w:cs="宋体"/>
                <w:color w:val="000000" w:themeColor="text1"/>
                <w:sz w:val="24"/>
                <w:szCs w:val="24"/>
                <w14:textFill>
                  <w14:solidFill>
                    <w14:schemeClr w14:val="tx1"/>
                  </w14:solidFill>
                </w14:textFill>
              </w:rPr>
            </w:pPr>
            <w:r>
              <w:rPr>
                <w:color w:val="000000" w:themeColor="text1"/>
                <w:sz w:val="24"/>
                <w14:textFill>
                  <w14:solidFill>
                    <w14:schemeClr w14:val="tx1"/>
                  </w14:solidFill>
                </w14:textFill>
              </w:rPr>
              <w:t>询问送达形式：</w:t>
            </w:r>
            <w:r>
              <w:rPr>
                <w:rFonts w:hint="eastAsia"/>
                <w:color w:val="000000" w:themeColor="text1"/>
                <w:sz w:val="24"/>
                <w:u w:val="single"/>
                <w14:textFill>
                  <w14:solidFill>
                    <w14:schemeClr w14:val="tx1"/>
                  </w14:solidFill>
                </w14:textFill>
              </w:rPr>
              <w:t>书面</w:t>
            </w:r>
            <w:r>
              <w:rPr>
                <w:color w:val="000000" w:themeColor="text1"/>
                <w:sz w:val="24"/>
                <w14:textFill>
                  <w14:solidFill>
                    <w14:schemeClr w14:val="tx1"/>
                  </w14:solidFill>
                </w14:textFill>
              </w:rPr>
              <w:t>。</w:t>
            </w:r>
          </w:p>
        </w:tc>
      </w:tr>
      <w:tr w14:paraId="35259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6" w:hRule="atLeast"/>
          <w:jc w:val="center"/>
        </w:trPr>
        <w:tc>
          <w:tcPr>
            <w:tcW w:w="1166" w:type="dxa"/>
            <w:vAlign w:val="center"/>
          </w:tcPr>
          <w:p w14:paraId="1FD398CD">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11</w:t>
            </w:r>
          </w:p>
        </w:tc>
        <w:tc>
          <w:tcPr>
            <w:tcW w:w="1843" w:type="dxa"/>
            <w:vAlign w:val="center"/>
          </w:tcPr>
          <w:p w14:paraId="4AF339D7">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联系方式</w:t>
            </w:r>
          </w:p>
        </w:tc>
        <w:tc>
          <w:tcPr>
            <w:tcW w:w="5926" w:type="dxa"/>
            <w:vAlign w:val="center"/>
          </w:tcPr>
          <w:p w14:paraId="17997081">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接收询问和质疑的联系方式</w:t>
            </w:r>
          </w:p>
          <w:p w14:paraId="5FC4E151">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联系部门：</w:t>
            </w:r>
            <w:r>
              <w:rPr>
                <w:rFonts w:hint="eastAsia"/>
                <w:color w:val="000000" w:themeColor="text1"/>
                <w:sz w:val="24"/>
                <w:u w:val="single"/>
                <w14:textFill>
                  <w14:solidFill>
                    <w14:schemeClr w14:val="tx1"/>
                  </w14:solidFill>
                </w14:textFill>
              </w:rPr>
              <w:t>招</w:t>
            </w:r>
            <w:r>
              <w:rPr>
                <w:rFonts w:hint="eastAsia"/>
                <w:color w:val="000000" w:themeColor="text1"/>
                <w:sz w:val="24"/>
                <w:u w:val="single"/>
                <w:lang w:val="en-US" w:eastAsia="zh-CN"/>
                <w14:textFill>
                  <w14:solidFill>
                    <w14:schemeClr w14:val="tx1"/>
                  </w14:solidFill>
                </w14:textFill>
              </w:rPr>
              <w:t>投标</w:t>
            </w:r>
            <w:r>
              <w:rPr>
                <w:rFonts w:hint="eastAsia"/>
                <w:color w:val="000000" w:themeColor="text1"/>
                <w:sz w:val="24"/>
                <w:u w:val="single"/>
                <w14:textFill>
                  <w14:solidFill>
                    <w14:schemeClr w14:val="tx1"/>
                  </w14:solidFill>
                </w14:textFill>
              </w:rPr>
              <w:t>中心</w:t>
            </w:r>
            <w:r>
              <w:rPr>
                <w:color w:val="000000" w:themeColor="text1"/>
                <w:sz w:val="24"/>
                <w14:textFill>
                  <w14:solidFill>
                    <w14:schemeClr w14:val="tx1"/>
                  </w14:solidFill>
                </w14:textFill>
              </w:rPr>
              <w:t>；</w:t>
            </w:r>
          </w:p>
          <w:p w14:paraId="11624F21">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联系电话：</w:t>
            </w:r>
            <w:r>
              <w:rPr>
                <w:color w:val="000000" w:themeColor="text1"/>
                <w:sz w:val="24"/>
                <w:u w:val="single"/>
                <w14:textFill>
                  <w14:solidFill>
                    <w14:schemeClr w14:val="tx1"/>
                  </w14:solidFill>
                </w14:textFill>
              </w:rPr>
              <w:t>0519-68852676</w:t>
            </w:r>
            <w:r>
              <w:rPr>
                <w:color w:val="000000" w:themeColor="text1"/>
                <w:sz w:val="24"/>
                <w14:textFill>
                  <w14:solidFill>
                    <w14:schemeClr w14:val="tx1"/>
                  </w14:solidFill>
                </w14:textFill>
              </w:rPr>
              <w:t>；</w:t>
            </w:r>
          </w:p>
          <w:p w14:paraId="750FBF04">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通讯地址：</w:t>
            </w:r>
            <w:r>
              <w:rPr>
                <w:rFonts w:hint="eastAsia"/>
                <w:color w:val="000000" w:themeColor="text1"/>
                <w:sz w:val="24"/>
                <w:u w:val="single"/>
                <w14:textFill>
                  <w14:solidFill>
                    <w14:schemeClr w14:val="tx1"/>
                  </w14:solidFill>
                </w14:textFill>
              </w:rPr>
              <w:t>常州市武进区延政西大道6号蓝图大厦4楼</w:t>
            </w:r>
            <w:r>
              <w:rPr>
                <w:color w:val="000000" w:themeColor="text1"/>
                <w:sz w:val="24"/>
                <w14:textFill>
                  <w14:solidFill>
                    <w14:schemeClr w14:val="tx1"/>
                  </w14:solidFill>
                </w14:textFill>
              </w:rPr>
              <w:t>。</w:t>
            </w:r>
          </w:p>
          <w:p w14:paraId="71D4EAF8">
            <w:pPr>
              <w:rPr>
                <w:rFonts w:ascii="宋体" w:hAnsi="宋体" w:cs="宋体"/>
                <w:color w:val="000000" w:themeColor="text1"/>
                <w:sz w:val="24"/>
                <w:szCs w:val="24"/>
                <w14:textFill>
                  <w14:solidFill>
                    <w14:schemeClr w14:val="tx1"/>
                  </w14:solidFill>
                </w14:textFill>
              </w:rPr>
            </w:pPr>
            <w:r>
              <w:rPr>
                <w:color w:val="000000" w:themeColor="text1"/>
                <w:sz w:val="24"/>
                <w14:textFill>
                  <w14:solidFill>
                    <w14:schemeClr w14:val="tx1"/>
                  </w14:solidFill>
                </w14:textFill>
              </w:rPr>
              <w:t>对采购文件需要进行澄清或有疑问的供应商，均应在202</w:t>
            </w:r>
            <w:r>
              <w:rPr>
                <w:rFonts w:hint="eastAsia"/>
                <w:color w:val="000000" w:themeColor="text1"/>
                <w:sz w:val="24"/>
                <w:lang w:val="en-US" w:eastAsia="zh-CN"/>
                <w14:textFill>
                  <w14:solidFill>
                    <w14:schemeClr w14:val="tx1"/>
                  </w14:solidFill>
                </w14:textFill>
              </w:rPr>
              <w:t>6</w:t>
            </w:r>
            <w:r>
              <w:rPr>
                <w:color w:val="000000" w:themeColor="text1"/>
                <w:sz w:val="24"/>
                <w14:textFill>
                  <w14:solidFill>
                    <w14:schemeClr w14:val="tx1"/>
                  </w14:solidFill>
                </w14:textFill>
              </w:rPr>
              <w:t>年</w:t>
            </w:r>
            <w:r>
              <w:rPr>
                <w:rFonts w:hint="eastAsia"/>
                <w:color w:val="000000" w:themeColor="text1"/>
                <w:sz w:val="24"/>
                <w:lang w:val="en-US" w:eastAsia="zh-CN"/>
                <w14:textFill>
                  <w14:solidFill>
                    <w14:schemeClr w14:val="tx1"/>
                  </w14:solidFill>
                </w14:textFill>
              </w:rPr>
              <w:t>8</w:t>
            </w:r>
            <w:r>
              <w:rPr>
                <w:color w:val="000000" w:themeColor="text1"/>
                <w:sz w:val="24"/>
                <w14:textFill>
                  <w14:solidFill>
                    <w14:schemeClr w14:val="tx1"/>
                  </w14:solidFill>
                </w14:textFill>
              </w:rPr>
              <w:t>月</w:t>
            </w:r>
            <w:r>
              <w:rPr>
                <w:rFonts w:hint="eastAsia"/>
                <w:color w:val="000000" w:themeColor="text1"/>
                <w:sz w:val="24"/>
                <w:lang w:val="en-US" w:eastAsia="zh-CN"/>
                <w14:textFill>
                  <w14:solidFill>
                    <w14:schemeClr w14:val="tx1"/>
                  </w14:solidFill>
                </w14:textFill>
              </w:rPr>
              <w:t>14</w:t>
            </w:r>
            <w:r>
              <w:rPr>
                <w:color w:val="000000" w:themeColor="text1"/>
                <w:sz w:val="24"/>
                <w14:textFill>
                  <w14:solidFill>
                    <w14:schemeClr w14:val="tx1"/>
                  </w14:solidFill>
                </w14:textFill>
              </w:rPr>
              <w:t>日11：00 前按采购公告中的通讯地址，一次性将需要澄清或疑问内容以书面形式并加盖公章送达采购代理机构，否则视为无有效澄清或疑问。</w:t>
            </w:r>
          </w:p>
        </w:tc>
      </w:tr>
      <w:tr w14:paraId="12020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6" w:hRule="atLeast"/>
          <w:jc w:val="center"/>
        </w:trPr>
        <w:tc>
          <w:tcPr>
            <w:tcW w:w="1166" w:type="dxa"/>
            <w:vAlign w:val="center"/>
          </w:tcPr>
          <w:p w14:paraId="12CA7744">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12</w:t>
            </w:r>
          </w:p>
        </w:tc>
        <w:tc>
          <w:tcPr>
            <w:tcW w:w="1843" w:type="dxa"/>
            <w:vAlign w:val="center"/>
          </w:tcPr>
          <w:p w14:paraId="59E99B9B">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代理费</w:t>
            </w:r>
          </w:p>
        </w:tc>
        <w:tc>
          <w:tcPr>
            <w:tcW w:w="5926" w:type="dxa"/>
            <w:vAlign w:val="center"/>
          </w:tcPr>
          <w:p w14:paraId="6BBAD77A">
            <w:pPr>
              <w:jc w:val="left"/>
              <w:rPr>
                <w:rFonts w:ascii="宋体" w:hAnsi="宋体"/>
                <w:sz w:val="24"/>
              </w:rPr>
            </w:pPr>
            <w:r>
              <w:rPr>
                <w:rFonts w:hint="eastAsia" w:ascii="宋体" w:hAnsi="宋体"/>
                <w:sz w:val="24"/>
              </w:rPr>
              <w:t>代理费</w:t>
            </w:r>
            <w:r>
              <w:rPr>
                <w:rFonts w:ascii="宋体" w:hAnsi="宋体"/>
                <w:sz w:val="24"/>
              </w:rPr>
              <w:t>收费对象：</w:t>
            </w:r>
          </w:p>
          <w:p w14:paraId="121FFBB5">
            <w:pPr>
              <w:jc w:val="left"/>
              <w:rPr>
                <w:rFonts w:ascii="宋体" w:hAnsi="宋体"/>
                <w:sz w:val="24"/>
              </w:rPr>
            </w:pPr>
            <w:r>
              <w:rPr>
                <w:rFonts w:ascii="宋体" w:hAnsi="宋体"/>
              </w:rPr>
              <w:t>□</w:t>
            </w:r>
            <w:r>
              <w:rPr>
                <w:rFonts w:ascii="宋体" w:hAnsi="宋体"/>
                <w:sz w:val="24"/>
              </w:rPr>
              <w:t>采购人</w:t>
            </w:r>
          </w:p>
          <w:p w14:paraId="25E0827D">
            <w:pPr>
              <w:jc w:val="left"/>
              <w:rPr>
                <w:rFonts w:ascii="宋体" w:hAnsi="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成交</w:t>
            </w:r>
            <w:bookmarkStart w:id="48" w:name="OLE_LINK1"/>
            <w:r>
              <w:rPr>
                <w:rFonts w:ascii="宋体" w:hAnsi="宋体"/>
                <w:color w:val="000000" w:themeColor="text1"/>
                <w:sz w:val="24"/>
                <w:szCs w:val="24"/>
                <w14:textFill>
                  <w14:solidFill>
                    <w14:schemeClr w14:val="tx1"/>
                  </w14:solidFill>
                </w14:textFill>
              </w:rPr>
              <w:t>供应商</w:t>
            </w:r>
            <w:bookmarkEnd w:id="48"/>
          </w:p>
          <w:p w14:paraId="543EBA65">
            <w:pPr>
              <w:jc w:val="left"/>
              <w:rPr>
                <w:rFonts w:ascii="宋体" w:hAnsi="宋体"/>
                <w:color w:val="000000" w:themeColor="text1"/>
                <w:sz w:val="24"/>
                <w:szCs w:val="24"/>
                <w:u w:val="single"/>
                <w14:textFill>
                  <w14:solidFill>
                    <w14:schemeClr w14:val="tx1"/>
                  </w14:solidFill>
                </w14:textFill>
              </w:rPr>
            </w:pPr>
            <w:r>
              <w:rPr>
                <w:rFonts w:ascii="宋体" w:hAnsi="宋体"/>
                <w:color w:val="000000" w:themeColor="text1"/>
                <w:sz w:val="24"/>
                <w:szCs w:val="24"/>
                <w14:textFill>
                  <w14:solidFill>
                    <w14:schemeClr w14:val="tx1"/>
                  </w14:solidFill>
                </w14:textFill>
              </w:rPr>
              <w:t>收费标准：</w:t>
            </w:r>
            <w:r>
              <w:rPr>
                <w:rFonts w:hint="eastAsia" w:ascii="宋体" w:hAnsi="宋体"/>
                <w:color w:val="000000"/>
                <w:sz w:val="24"/>
                <w:u w:val="single"/>
              </w:rPr>
              <w:t>计费基数为成交金额，按差额定率累进法计算</w:t>
            </w:r>
            <w:r>
              <w:rPr>
                <w:rFonts w:ascii="宋体" w:hAnsi="宋体"/>
                <w:color w:val="000000"/>
                <w:sz w:val="24"/>
                <w:u w:val="single"/>
              </w:rPr>
              <w:t>，</w:t>
            </w:r>
            <w:r>
              <w:rPr>
                <w:rFonts w:hint="eastAsia" w:ascii="宋体" w:hAnsi="宋体"/>
                <w:color w:val="000000"/>
                <w:sz w:val="24"/>
                <w:u w:val="single"/>
              </w:rPr>
              <w:t>100万元(含)以下费率为</w:t>
            </w:r>
            <w:r>
              <w:rPr>
                <w:rFonts w:ascii="宋体" w:hAnsi="宋体"/>
                <w:color w:val="000000"/>
                <w:sz w:val="24"/>
                <w:u w:val="single"/>
              </w:rPr>
              <w:t>1. 5</w:t>
            </w:r>
            <w:r>
              <w:rPr>
                <w:rFonts w:hint="eastAsia" w:ascii="宋体" w:hAnsi="宋体"/>
                <w:color w:val="000000"/>
                <w:sz w:val="24"/>
                <w:u w:val="single"/>
              </w:rPr>
              <w:t>%，100万元（不含）至500万元（含）费率为</w:t>
            </w:r>
            <w:r>
              <w:rPr>
                <w:rFonts w:ascii="宋体" w:hAnsi="宋体"/>
                <w:color w:val="000000"/>
                <w:sz w:val="24"/>
                <w:u w:val="single"/>
              </w:rPr>
              <w:t>1.1</w:t>
            </w:r>
            <w:r>
              <w:rPr>
                <w:rFonts w:hint="eastAsia" w:ascii="宋体" w:hAnsi="宋体"/>
                <w:color w:val="000000"/>
                <w:sz w:val="24"/>
                <w:u w:val="single"/>
              </w:rPr>
              <w:t>%，按上述计算方法不足人民币3000元的，按人民币3000元收取</w:t>
            </w:r>
            <w:r>
              <w:rPr>
                <w:rFonts w:ascii="宋体" w:hAnsi="宋体"/>
                <w:color w:val="000000"/>
                <w:sz w:val="24"/>
                <w:u w:val="single"/>
              </w:rPr>
              <w:t>；</w:t>
            </w:r>
            <w:r>
              <w:rPr>
                <w:rFonts w:ascii="宋体" w:hAnsi="宋体"/>
                <w:color w:val="000000" w:themeColor="text1"/>
                <w:sz w:val="24"/>
                <w:szCs w:val="24"/>
                <w:u w:val="single"/>
                <w14:textFill>
                  <w14:solidFill>
                    <w14:schemeClr w14:val="tx1"/>
                  </w14:solidFill>
                </w14:textFill>
              </w:rPr>
              <w:t xml:space="preserve"> </w:t>
            </w:r>
          </w:p>
          <w:p w14:paraId="3CF3BD1A">
            <w:pPr>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缴纳时间：</w:t>
            </w:r>
            <w:r>
              <w:rPr>
                <w:rFonts w:hint="eastAsia" w:ascii="宋体" w:hAnsi="宋体"/>
                <w:color w:val="000000" w:themeColor="text1"/>
                <w:sz w:val="24"/>
                <w:szCs w:val="24"/>
                <w:u w:val="single"/>
                <w14:textFill>
                  <w14:solidFill>
                    <w14:schemeClr w14:val="tx1"/>
                  </w14:solidFill>
                </w14:textFill>
              </w:rPr>
              <w:t>成交</w:t>
            </w:r>
            <w:r>
              <w:rPr>
                <w:rFonts w:ascii="宋体" w:hAnsi="宋体"/>
                <w:color w:val="000000" w:themeColor="text1"/>
                <w:sz w:val="24"/>
                <w:szCs w:val="24"/>
                <w:u w:val="single"/>
                <w14:textFill>
                  <w14:solidFill>
                    <w14:schemeClr w14:val="tx1"/>
                  </w14:solidFill>
                </w14:textFill>
              </w:rPr>
              <w:t>供应商</w:t>
            </w:r>
            <w:r>
              <w:rPr>
                <w:rFonts w:hint="eastAsia" w:ascii="宋体" w:hAnsi="宋体"/>
                <w:color w:val="000000" w:themeColor="text1"/>
                <w:sz w:val="24"/>
                <w:szCs w:val="24"/>
                <w:u w:val="single"/>
                <w14:textFill>
                  <w14:solidFill>
                    <w14:schemeClr w14:val="tx1"/>
                  </w14:solidFill>
                </w14:textFill>
              </w:rPr>
              <w:t>在领取中标（成交）通知书</w:t>
            </w:r>
            <w:r>
              <w:rPr>
                <w:rFonts w:hint="eastAsia" w:ascii="宋体" w:hAnsi="宋体"/>
                <w:color w:val="000000" w:themeColor="text1"/>
                <w:sz w:val="24"/>
                <w:szCs w:val="24"/>
                <w:u w:val="single"/>
                <w:lang w:val="en-US" w:eastAsia="zh-CN"/>
                <w14:textFill>
                  <w14:solidFill>
                    <w14:schemeClr w14:val="tx1"/>
                  </w14:solidFill>
                </w14:textFill>
              </w:rPr>
              <w:t>后五个工作日内</w:t>
            </w:r>
            <w:r>
              <w:rPr>
                <w:rFonts w:ascii="宋体" w:hAnsi="宋体"/>
                <w:color w:val="000000" w:themeColor="text1"/>
                <w:sz w:val="24"/>
                <w:szCs w:val="24"/>
                <w14:textFill>
                  <w14:solidFill>
                    <w14:schemeClr w14:val="tx1"/>
                  </w14:solidFill>
                </w14:textFill>
              </w:rPr>
              <w:t>。</w:t>
            </w:r>
          </w:p>
          <w:p w14:paraId="31C08B3F">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代理服务费账户：江苏春为全过程工程咨询有限公司</w:t>
            </w:r>
            <w:r>
              <w:rPr>
                <w:rFonts w:ascii="宋体" w:hAnsi="宋体"/>
                <w:color w:val="000000" w:themeColor="text1"/>
                <w:sz w:val="24"/>
                <w:szCs w:val="24"/>
                <w14:textFill>
                  <w14:solidFill>
                    <w14:schemeClr w14:val="tx1"/>
                  </w14:solidFill>
                </w14:textFill>
              </w:rPr>
              <w:cr/>
            </w:r>
            <w:r>
              <w:rPr>
                <w:rFonts w:hint="eastAsia" w:ascii="宋体" w:hAnsi="宋体"/>
                <w:color w:val="000000" w:themeColor="text1"/>
                <w:sz w:val="24"/>
                <w:szCs w:val="24"/>
                <w14:textFill>
                  <w14:solidFill>
                    <w14:schemeClr w14:val="tx1"/>
                  </w14:solidFill>
                </w14:textFill>
              </w:rPr>
              <w:t xml:space="preserve">开户银行：江南农村商业银行武进支行   </w:t>
            </w:r>
          </w:p>
          <w:p w14:paraId="7D1412D0">
            <w:pPr>
              <w:jc w:val="left"/>
              <w:rPr>
                <w:color w:val="000000" w:themeColor="text1"/>
                <w:sz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账号：86001011012010000000995</w:t>
            </w:r>
          </w:p>
        </w:tc>
      </w:tr>
    </w:tbl>
    <w:p w14:paraId="3291C4EF">
      <w:pPr>
        <w:widowControl/>
        <w:jc w:val="left"/>
        <w:rPr>
          <w:rFonts w:ascii="宋体" w:hAnsi="宋体"/>
          <w:color w:val="000000" w:themeColor="text1"/>
          <w:sz w:val="24"/>
          <w:szCs w:val="24"/>
          <w14:textFill>
            <w14:solidFill>
              <w14:schemeClr w14:val="tx1"/>
            </w14:solidFill>
          </w14:textFill>
        </w:rPr>
        <w:sectPr>
          <w:footerReference r:id="rId5" w:type="default"/>
          <w:pgSz w:w="11906" w:h="16838"/>
          <w:pgMar w:top="1440" w:right="1800" w:bottom="1440" w:left="1800" w:header="851" w:footer="992" w:gutter="0"/>
          <w:cols w:space="1701" w:num="1"/>
          <w:docGrid w:linePitch="360" w:charSpace="0"/>
        </w:sectPr>
      </w:pPr>
    </w:p>
    <w:p w14:paraId="4D203711">
      <w:pPr>
        <w:spacing w:before="240" w:after="240"/>
        <w:jc w:val="cente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供应商须知</w:t>
      </w:r>
    </w:p>
    <w:p w14:paraId="133A4D8D">
      <w:pPr>
        <w:pStyle w:val="3"/>
        <w:tabs>
          <w:tab w:val="center" w:pos="4592"/>
          <w:tab w:val="left" w:pos="7860"/>
        </w:tabs>
        <w:spacing w:before="0" w:line="360" w:lineRule="auto"/>
        <w:jc w:val="left"/>
        <w:rPr>
          <w:rFonts w:ascii="宋体" w:hAnsi="宋体" w:eastAsia="宋体" w:cs="宋体"/>
          <w:color w:val="000000" w:themeColor="text1"/>
          <w:sz w:val="28"/>
          <w14:textFill>
            <w14:solidFill>
              <w14:schemeClr w14:val="tx1"/>
            </w14:solidFill>
          </w14:textFill>
        </w:rPr>
      </w:pPr>
      <w:bookmarkStart w:id="49" w:name="_Toc520356143"/>
      <w:bookmarkStart w:id="50" w:name="_Toc127151518"/>
      <w:r>
        <w:rPr>
          <w:rFonts w:hint="eastAsia" w:ascii="宋体" w:hAnsi="宋体" w:eastAsia="宋体" w:cs="宋体"/>
          <w:color w:val="000000" w:themeColor="text1"/>
          <w:sz w:val="28"/>
          <w14:textFill>
            <w14:solidFill>
              <w14:schemeClr w14:val="tx1"/>
            </w14:solidFill>
          </w14:textFill>
        </w:rPr>
        <w:tab/>
      </w:r>
      <w:bookmarkStart w:id="51" w:name="_Toc151193760"/>
      <w:bookmarkStart w:id="52" w:name="_Toc151193906"/>
      <w:bookmarkStart w:id="53" w:name="_Toc305158860"/>
      <w:bookmarkStart w:id="54" w:name="_Toc142311020"/>
      <w:bookmarkStart w:id="55" w:name="_Toc151193832"/>
      <w:bookmarkStart w:id="56" w:name="_Toc150774723"/>
      <w:bookmarkStart w:id="57" w:name="_Toc150774618"/>
      <w:bookmarkStart w:id="58" w:name="_Toc264969208"/>
      <w:bookmarkStart w:id="59" w:name="_Toc226965791"/>
      <w:bookmarkStart w:id="60" w:name="_Toc226309762"/>
      <w:bookmarkStart w:id="61" w:name="_Toc150480756"/>
      <w:bookmarkStart w:id="62" w:name="_Toc151190145"/>
      <w:bookmarkStart w:id="63" w:name="_Toc226337214"/>
      <w:bookmarkStart w:id="64" w:name="_Toc265228356"/>
      <w:bookmarkStart w:id="65" w:name="_Toc305158786"/>
      <w:bookmarkStart w:id="66" w:name="_Toc151193688"/>
      <w:bookmarkStart w:id="67" w:name="_Toc226965708"/>
      <w:bookmarkStart w:id="68" w:name="_Toc150509269"/>
      <w:bookmarkStart w:id="69" w:name="_Toc195842883"/>
      <w:bookmarkStart w:id="70" w:name="_Toc151193616"/>
      <w:r>
        <w:rPr>
          <w:rFonts w:hint="eastAsia" w:ascii="宋体" w:hAnsi="宋体" w:eastAsia="宋体" w:cs="宋体"/>
          <w:color w:val="000000" w:themeColor="text1"/>
          <w:sz w:val="28"/>
          <w14:textFill>
            <w14:solidFill>
              <w14:schemeClr w14:val="tx1"/>
            </w14:solidFill>
          </w14:textFill>
        </w:rPr>
        <w:t>一   说  明</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宋体" w:hAnsi="宋体" w:eastAsia="宋体" w:cs="宋体"/>
          <w:color w:val="000000" w:themeColor="text1"/>
          <w:sz w:val="28"/>
          <w14:textFill>
            <w14:solidFill>
              <w14:schemeClr w14:val="tx1"/>
            </w14:solidFill>
          </w14:textFill>
        </w:rPr>
        <w:tab/>
      </w:r>
    </w:p>
    <w:p w14:paraId="786B53D8">
      <w:pPr>
        <w:numPr>
          <w:ilvl w:val="0"/>
          <w:numId w:val="1"/>
        </w:numPr>
        <w:tabs>
          <w:tab w:val="left" w:pos="360"/>
        </w:tabs>
        <w:spacing w:line="360" w:lineRule="auto"/>
        <w:ind w:left="357" w:hanging="357"/>
        <w:outlineLvl w:val="1"/>
        <w:rPr>
          <w:rFonts w:ascii="宋体" w:hAnsi="宋体" w:cs="宋体"/>
          <w:color w:val="000000" w:themeColor="text1"/>
          <w:sz w:val="24"/>
          <w14:textFill>
            <w14:solidFill>
              <w14:schemeClr w14:val="tx1"/>
            </w14:solidFill>
          </w14:textFill>
        </w:rPr>
      </w:pPr>
      <w:bookmarkStart w:id="71" w:name="_Toc265228357"/>
      <w:bookmarkStart w:id="72" w:name="_Toc305158861"/>
      <w:bookmarkStart w:id="73" w:name="_Toc264969209"/>
      <w:bookmarkStart w:id="74" w:name="_Toc305158787"/>
      <w:r>
        <w:rPr>
          <w:rFonts w:hint="eastAsia" w:ascii="宋体" w:hAnsi="宋体" w:cs="宋体"/>
          <w:color w:val="000000" w:themeColor="text1"/>
          <w:sz w:val="24"/>
          <w14:textFill>
            <w14:solidFill>
              <w14:schemeClr w14:val="tx1"/>
            </w14:solidFill>
          </w14:textFill>
        </w:rPr>
        <w:t>采购人、采购代理机构、供应商</w:t>
      </w:r>
      <w:bookmarkEnd w:id="71"/>
      <w:bookmarkEnd w:id="72"/>
      <w:bookmarkEnd w:id="73"/>
      <w:bookmarkEnd w:id="74"/>
      <w:r>
        <w:rPr>
          <w:rFonts w:hint="eastAsia" w:ascii="宋体" w:hAnsi="宋体" w:cs="宋体"/>
          <w:color w:val="000000" w:themeColor="text1"/>
          <w:sz w:val="24"/>
          <w14:textFill>
            <w14:solidFill>
              <w14:schemeClr w14:val="tx1"/>
            </w14:solidFill>
          </w14:textFill>
        </w:rPr>
        <w:t>、联合体</w:t>
      </w:r>
    </w:p>
    <w:p w14:paraId="2B73B3F0">
      <w:pPr>
        <w:numPr>
          <w:ilvl w:val="1"/>
          <w:numId w:val="1"/>
        </w:numPr>
        <w:tabs>
          <w:tab w:val="left" w:pos="1080"/>
          <w:tab w:val="left" w:pos="2014"/>
          <w:tab w:val="left" w:pos="5521"/>
        </w:tabs>
        <w:spacing w:line="360" w:lineRule="auto"/>
        <w:ind w:left="1080"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采购人、采购代理机构：指依法进行政府采购的国家机关、事业单位、团体组织，及其委托的采购代理机构。本项目采购人、采购代理机构见第一章《采购邀请》。</w:t>
      </w:r>
    </w:p>
    <w:p w14:paraId="3733F1D1">
      <w:pPr>
        <w:numPr>
          <w:ilvl w:val="1"/>
          <w:numId w:val="1"/>
        </w:numPr>
        <w:tabs>
          <w:tab w:val="left" w:pos="1080"/>
          <w:tab w:val="left" w:pos="2014"/>
          <w:tab w:val="left" w:pos="5521"/>
        </w:tabs>
        <w:spacing w:line="360" w:lineRule="auto"/>
        <w:ind w:left="1080"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供应商（也称“申请人”）：指向采购人提供货物、工程或者服务的法人、其他组织或者自然人。</w:t>
      </w:r>
    </w:p>
    <w:p w14:paraId="7E8AB33B">
      <w:pPr>
        <w:numPr>
          <w:ilvl w:val="1"/>
          <w:numId w:val="1"/>
        </w:numPr>
        <w:tabs>
          <w:tab w:val="left" w:pos="1080"/>
          <w:tab w:val="left" w:pos="2014"/>
          <w:tab w:val="left" w:pos="5521"/>
        </w:tabs>
        <w:spacing w:line="360" w:lineRule="auto"/>
        <w:ind w:left="1080"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联合体：指两个以上的自然人、法人或者其他组织组成一个联合体，以一个供应商的身份共同参加政府采购。</w:t>
      </w:r>
    </w:p>
    <w:p w14:paraId="582064FE">
      <w:pPr>
        <w:numPr>
          <w:ilvl w:val="0"/>
          <w:numId w:val="1"/>
        </w:numPr>
        <w:tabs>
          <w:tab w:val="left" w:pos="360"/>
        </w:tabs>
        <w:spacing w:line="360" w:lineRule="auto"/>
        <w:ind w:left="357" w:hanging="357"/>
        <w:outlineLvl w:val="1"/>
        <w:rPr>
          <w:rFonts w:ascii="宋体" w:hAnsi="宋体" w:cs="宋体"/>
          <w:color w:val="000000" w:themeColor="text1"/>
          <w:sz w:val="24"/>
          <w14:textFill>
            <w14:solidFill>
              <w14:schemeClr w14:val="tx1"/>
            </w14:solidFill>
          </w14:textFill>
        </w:rPr>
      </w:pPr>
      <w:bookmarkStart w:id="75" w:name="_Toc150509271"/>
      <w:bookmarkStart w:id="76" w:name="_Toc164351614"/>
      <w:bookmarkStart w:id="77" w:name="_Toc150480758"/>
      <w:bookmarkStart w:id="78" w:name="_Toc142311022"/>
      <w:bookmarkStart w:id="79" w:name="_Toc151193618"/>
      <w:bookmarkStart w:id="80" w:name="_Toc226309764"/>
      <w:bookmarkStart w:id="81" w:name="_Toc226965793"/>
      <w:bookmarkStart w:id="82" w:name="_Toc150774725"/>
      <w:bookmarkStart w:id="83" w:name="_Toc164229215"/>
      <w:bookmarkStart w:id="84" w:name="_Toc164608634"/>
      <w:bookmarkStart w:id="85" w:name="_Toc127161434"/>
      <w:bookmarkStart w:id="86" w:name="_Toc150774620"/>
      <w:bookmarkStart w:id="87" w:name="_Toc151190147"/>
      <w:bookmarkStart w:id="88" w:name="_Toc164608789"/>
      <w:bookmarkStart w:id="89" w:name="_Toc226337216"/>
      <w:bookmarkStart w:id="90" w:name="_Toc195842885"/>
      <w:bookmarkStart w:id="91" w:name="_Toc305158788"/>
      <w:bookmarkStart w:id="92" w:name="_Toc226965710"/>
      <w:bookmarkStart w:id="93" w:name="_Toc164229361"/>
      <w:bookmarkStart w:id="94" w:name="_Toc127151520"/>
      <w:bookmarkStart w:id="95" w:name="_Toc151193762"/>
      <w:bookmarkStart w:id="96" w:name="_Toc151193908"/>
      <w:bookmarkStart w:id="97" w:name="_Toc264969210"/>
      <w:bookmarkStart w:id="98" w:name="_Toc265228358"/>
      <w:bookmarkStart w:id="99" w:name="_Toc151193834"/>
      <w:bookmarkStart w:id="100" w:name="_Toc151193690"/>
      <w:bookmarkStart w:id="101" w:name="_Toc149720813"/>
      <w:bookmarkStart w:id="102" w:name="_Toc127151721"/>
      <w:bookmarkStart w:id="103" w:name="_Toc305158862"/>
      <w:r>
        <w:rPr>
          <w:rFonts w:hint="eastAsia" w:ascii="宋体" w:hAnsi="宋体" w:cs="宋体"/>
          <w:color w:val="000000" w:themeColor="text1"/>
          <w:sz w:val="24"/>
          <w14:textFill>
            <w14:solidFill>
              <w14:schemeClr w14:val="tx1"/>
            </w14:solidFill>
          </w14:textFill>
        </w:rPr>
        <w:t>资金来源</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Pr>
          <w:rFonts w:hint="eastAsia" w:ascii="宋体" w:hAnsi="宋体" w:cs="宋体"/>
          <w:color w:val="000000" w:themeColor="text1"/>
          <w:sz w:val="24"/>
          <w14:textFill>
            <w14:solidFill>
              <w14:schemeClr w14:val="tx1"/>
            </w14:solidFill>
          </w14:textFill>
        </w:rPr>
        <w:t>、项目属性、科研仪器设备采购</w:t>
      </w:r>
    </w:p>
    <w:p w14:paraId="063931FE">
      <w:pPr>
        <w:numPr>
          <w:ilvl w:val="1"/>
          <w:numId w:val="1"/>
        </w:numPr>
        <w:tabs>
          <w:tab w:val="left" w:pos="1080"/>
          <w:tab w:val="left" w:pos="2014"/>
        </w:tabs>
        <w:spacing w:line="360" w:lineRule="auto"/>
        <w:ind w:left="1080"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资金来源为财政性资金和/或本项目采购中无法与财政性资金分割的非财政性资金。</w:t>
      </w:r>
    </w:p>
    <w:p w14:paraId="67228A37">
      <w:pPr>
        <w:numPr>
          <w:ilvl w:val="1"/>
          <w:numId w:val="1"/>
        </w:numPr>
        <w:tabs>
          <w:tab w:val="left" w:pos="1080"/>
          <w:tab w:val="left" w:pos="2014"/>
        </w:tabs>
        <w:spacing w:line="360" w:lineRule="auto"/>
        <w:ind w:left="1080"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项目属性见《供应商须知资料表》。</w:t>
      </w:r>
    </w:p>
    <w:p w14:paraId="7EC0EA25">
      <w:pPr>
        <w:numPr>
          <w:ilvl w:val="1"/>
          <w:numId w:val="1"/>
        </w:numPr>
        <w:tabs>
          <w:tab w:val="left" w:pos="1080"/>
          <w:tab w:val="left" w:pos="2014"/>
        </w:tabs>
        <w:spacing w:line="360" w:lineRule="auto"/>
        <w:ind w:left="1080"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是否属于科研仪器设备采购见《供应商须知资料表》。</w:t>
      </w:r>
    </w:p>
    <w:p w14:paraId="72BB604A">
      <w:pPr>
        <w:numPr>
          <w:ilvl w:val="0"/>
          <w:numId w:val="1"/>
        </w:numPr>
        <w:tabs>
          <w:tab w:val="left" w:pos="360"/>
        </w:tabs>
        <w:spacing w:line="360" w:lineRule="auto"/>
        <w:ind w:left="357" w:hanging="357"/>
        <w:outlineLvl w:val="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现场考察、磋商前答疑会</w:t>
      </w:r>
    </w:p>
    <w:p w14:paraId="48F9AF56">
      <w:pPr>
        <w:numPr>
          <w:ilvl w:val="1"/>
          <w:numId w:val="1"/>
        </w:numPr>
        <w:tabs>
          <w:tab w:val="left" w:pos="1080"/>
          <w:tab w:val="left" w:pos="2014"/>
        </w:tabs>
        <w:spacing w:line="360" w:lineRule="auto"/>
        <w:ind w:left="1080" w:hanging="720"/>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若《供应商须知资料表》中规定了组织现场考察、召开磋商前答疑会，则供应商应按要求在规定的时间和地点参加。</w:t>
      </w:r>
      <w:bookmarkStart w:id="104" w:name="_Toc151193764"/>
      <w:bookmarkStart w:id="105" w:name="_Toc151190149"/>
      <w:bookmarkStart w:id="106" w:name="_Toc151193910"/>
      <w:bookmarkStart w:id="107" w:name="_Toc151193836"/>
      <w:bookmarkStart w:id="108" w:name="_Toc127151522"/>
      <w:bookmarkStart w:id="109" w:name="_Toc265228360"/>
      <w:bookmarkStart w:id="110" w:name="_Toc305158864"/>
      <w:bookmarkStart w:id="111" w:name="_Toc195842887"/>
      <w:bookmarkStart w:id="112" w:name="_Toc226965712"/>
      <w:bookmarkStart w:id="113" w:name="_Toc226965795"/>
      <w:bookmarkStart w:id="114" w:name="_Toc264969212"/>
      <w:bookmarkStart w:id="115" w:name="_Toc520356146"/>
      <w:bookmarkStart w:id="116" w:name="_Toc150480760"/>
      <w:bookmarkStart w:id="117" w:name="_Toc305158790"/>
      <w:bookmarkStart w:id="118" w:name="_Toc142311024"/>
      <w:bookmarkStart w:id="119" w:name="_Toc226309766"/>
      <w:bookmarkStart w:id="120" w:name="_Toc226337218"/>
      <w:bookmarkStart w:id="121" w:name="_Toc150774727"/>
      <w:bookmarkStart w:id="122" w:name="_Toc150774622"/>
      <w:bookmarkStart w:id="123" w:name="_Toc150509273"/>
      <w:bookmarkStart w:id="124" w:name="_Toc151193620"/>
      <w:bookmarkStart w:id="125" w:name="_Toc151193692"/>
    </w:p>
    <w:p w14:paraId="1DB57C73">
      <w:pPr>
        <w:numPr>
          <w:ilvl w:val="1"/>
          <w:numId w:val="1"/>
        </w:numPr>
        <w:tabs>
          <w:tab w:val="left" w:pos="1080"/>
          <w:tab w:val="left" w:pos="2014"/>
        </w:tabs>
        <w:spacing w:line="360" w:lineRule="auto"/>
        <w:ind w:left="1080"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由于未参加现场考察或磋商前答疑会而导致对项目实际情况不了解，影响响应文件编制、报价准确性、综合因素响应不全面等问题的，由供应商自行承担不利评审后果。</w:t>
      </w:r>
    </w:p>
    <w:p w14:paraId="4CF8211A">
      <w:pPr>
        <w:numPr>
          <w:ilvl w:val="0"/>
          <w:numId w:val="1"/>
        </w:numPr>
        <w:tabs>
          <w:tab w:val="left" w:pos="360"/>
        </w:tabs>
        <w:spacing w:line="360" w:lineRule="auto"/>
        <w:ind w:left="357" w:hanging="357"/>
        <w:outlineLvl w:val="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政府采购政策（包括但不限于下列具体政策要求）</w:t>
      </w:r>
    </w:p>
    <w:p w14:paraId="3C78166E">
      <w:pPr>
        <w:numPr>
          <w:ilvl w:val="1"/>
          <w:numId w:val="1"/>
        </w:numPr>
        <w:tabs>
          <w:tab w:val="left" w:pos="1080"/>
          <w:tab w:val="left" w:pos="2014"/>
        </w:tabs>
        <w:spacing w:line="360" w:lineRule="auto"/>
        <w:ind w:left="1080"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进口产品</w:t>
      </w:r>
    </w:p>
    <w:p w14:paraId="0B5FAC82">
      <w:pPr>
        <w:numPr>
          <w:ilvl w:val="2"/>
          <w:numId w:val="1"/>
        </w:numPr>
        <w:tabs>
          <w:tab w:val="left" w:pos="2014"/>
        </w:tabs>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958E85A">
      <w:pPr>
        <w:numPr>
          <w:ilvl w:val="1"/>
          <w:numId w:val="1"/>
        </w:numPr>
        <w:tabs>
          <w:tab w:val="left" w:pos="1080"/>
          <w:tab w:val="left" w:pos="2014"/>
        </w:tabs>
        <w:spacing w:line="360" w:lineRule="auto"/>
        <w:ind w:left="1080"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中小企业、监狱企业及残疾人福利性单位</w:t>
      </w:r>
    </w:p>
    <w:p w14:paraId="4C1DE9FB">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中小企业定义：</w:t>
      </w:r>
    </w:p>
    <w:p w14:paraId="01B8E6CF">
      <w:pPr>
        <w:pStyle w:val="281"/>
        <w:numPr>
          <w:ilvl w:val="0"/>
          <w:numId w:val="2"/>
        </w:numPr>
        <w:tabs>
          <w:tab w:val="left" w:pos="1980"/>
          <w:tab w:val="left" w:pos="2035"/>
          <w:tab w:val="left" w:pos="2977"/>
        </w:tabs>
        <w:spacing w:line="360" w:lineRule="auto"/>
        <w:rPr>
          <w:rFonts w:ascii="宋体" w:hAnsi="宋体" w:cs="宋体"/>
          <w:vanish/>
          <w:color w:val="000000" w:themeColor="text1"/>
          <w:sz w:val="24"/>
          <w:szCs w:val="24"/>
          <w14:textFill>
            <w14:solidFill>
              <w14:schemeClr w14:val="tx1"/>
            </w14:solidFill>
          </w14:textFill>
        </w:rPr>
      </w:pPr>
    </w:p>
    <w:p w14:paraId="4E063FBE">
      <w:pPr>
        <w:pStyle w:val="281"/>
        <w:numPr>
          <w:ilvl w:val="0"/>
          <w:numId w:val="2"/>
        </w:numPr>
        <w:tabs>
          <w:tab w:val="left" w:pos="1980"/>
          <w:tab w:val="left" w:pos="2035"/>
          <w:tab w:val="left" w:pos="2977"/>
        </w:tabs>
        <w:spacing w:line="360" w:lineRule="auto"/>
        <w:rPr>
          <w:rFonts w:ascii="宋体" w:hAnsi="宋体" w:cs="宋体"/>
          <w:vanish/>
          <w:color w:val="000000" w:themeColor="text1"/>
          <w:sz w:val="24"/>
          <w:szCs w:val="24"/>
          <w14:textFill>
            <w14:solidFill>
              <w14:schemeClr w14:val="tx1"/>
            </w14:solidFill>
          </w14:textFill>
        </w:rPr>
      </w:pPr>
    </w:p>
    <w:p w14:paraId="22454CA2">
      <w:pPr>
        <w:pStyle w:val="281"/>
        <w:numPr>
          <w:ilvl w:val="0"/>
          <w:numId w:val="2"/>
        </w:numPr>
        <w:tabs>
          <w:tab w:val="left" w:pos="1980"/>
          <w:tab w:val="left" w:pos="2035"/>
          <w:tab w:val="left" w:pos="2977"/>
        </w:tabs>
        <w:spacing w:line="360" w:lineRule="auto"/>
        <w:rPr>
          <w:rFonts w:ascii="宋体" w:hAnsi="宋体" w:cs="宋体"/>
          <w:vanish/>
          <w:color w:val="000000" w:themeColor="text1"/>
          <w:sz w:val="24"/>
          <w:szCs w:val="24"/>
          <w14:textFill>
            <w14:solidFill>
              <w14:schemeClr w14:val="tx1"/>
            </w14:solidFill>
          </w14:textFill>
        </w:rPr>
      </w:pPr>
    </w:p>
    <w:p w14:paraId="2F6A426D">
      <w:pPr>
        <w:pStyle w:val="281"/>
        <w:numPr>
          <w:ilvl w:val="0"/>
          <w:numId w:val="2"/>
        </w:numPr>
        <w:tabs>
          <w:tab w:val="left" w:pos="1980"/>
          <w:tab w:val="left" w:pos="2035"/>
          <w:tab w:val="left" w:pos="2977"/>
        </w:tabs>
        <w:spacing w:line="360" w:lineRule="auto"/>
        <w:rPr>
          <w:rFonts w:ascii="宋体" w:hAnsi="宋体" w:cs="宋体"/>
          <w:vanish/>
          <w:color w:val="000000" w:themeColor="text1"/>
          <w:sz w:val="24"/>
          <w:szCs w:val="24"/>
          <w14:textFill>
            <w14:solidFill>
              <w14:schemeClr w14:val="tx1"/>
            </w14:solidFill>
          </w14:textFill>
        </w:rPr>
      </w:pPr>
    </w:p>
    <w:p w14:paraId="56489A2E">
      <w:pPr>
        <w:pStyle w:val="281"/>
        <w:numPr>
          <w:ilvl w:val="1"/>
          <w:numId w:val="2"/>
        </w:numPr>
        <w:tabs>
          <w:tab w:val="left" w:pos="1980"/>
          <w:tab w:val="left" w:pos="2035"/>
          <w:tab w:val="left" w:pos="2977"/>
        </w:tabs>
        <w:spacing w:line="360" w:lineRule="auto"/>
        <w:rPr>
          <w:rFonts w:ascii="宋体" w:hAnsi="宋体" w:cs="宋体"/>
          <w:vanish/>
          <w:color w:val="000000" w:themeColor="text1"/>
          <w:sz w:val="24"/>
          <w:szCs w:val="24"/>
          <w14:textFill>
            <w14:solidFill>
              <w14:schemeClr w14:val="tx1"/>
            </w14:solidFill>
          </w14:textFill>
        </w:rPr>
      </w:pPr>
    </w:p>
    <w:p w14:paraId="2626FA2F">
      <w:pPr>
        <w:pStyle w:val="281"/>
        <w:numPr>
          <w:ilvl w:val="1"/>
          <w:numId w:val="2"/>
        </w:numPr>
        <w:tabs>
          <w:tab w:val="left" w:pos="1980"/>
          <w:tab w:val="left" w:pos="2035"/>
          <w:tab w:val="left" w:pos="2977"/>
        </w:tabs>
        <w:spacing w:line="360" w:lineRule="auto"/>
        <w:rPr>
          <w:rFonts w:ascii="宋体" w:hAnsi="宋体" w:cs="宋体"/>
          <w:vanish/>
          <w:color w:val="000000" w:themeColor="text1"/>
          <w:sz w:val="24"/>
          <w:szCs w:val="24"/>
          <w14:textFill>
            <w14:solidFill>
              <w14:schemeClr w14:val="tx1"/>
            </w14:solidFill>
          </w14:textFill>
        </w:rPr>
      </w:pPr>
    </w:p>
    <w:p w14:paraId="14460D77">
      <w:pPr>
        <w:pStyle w:val="281"/>
        <w:numPr>
          <w:ilvl w:val="2"/>
          <w:numId w:val="2"/>
        </w:numPr>
        <w:tabs>
          <w:tab w:val="left" w:pos="2035"/>
          <w:tab w:val="left" w:pos="2977"/>
        </w:tabs>
        <w:spacing w:line="360" w:lineRule="auto"/>
        <w:rPr>
          <w:rFonts w:ascii="宋体" w:hAnsi="宋体" w:cs="宋体"/>
          <w:vanish/>
          <w:color w:val="000000" w:themeColor="text1"/>
          <w:sz w:val="24"/>
          <w:szCs w:val="24"/>
          <w14:textFill>
            <w14:solidFill>
              <w14:schemeClr w14:val="tx1"/>
            </w14:solidFill>
          </w14:textFill>
        </w:rPr>
      </w:pPr>
    </w:p>
    <w:p w14:paraId="450E98D6">
      <w:pPr>
        <w:numPr>
          <w:ilvl w:val="3"/>
          <w:numId w:val="2"/>
        </w:numPr>
        <w:tabs>
          <w:tab w:val="left" w:pos="1980"/>
          <w:tab w:val="left" w:pos="2035"/>
          <w:tab w:val="left" w:pos="2885"/>
          <w:tab w:val="left" w:pos="2977"/>
        </w:tabs>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F9E4BFD">
      <w:pPr>
        <w:numPr>
          <w:ilvl w:val="3"/>
          <w:numId w:val="2"/>
        </w:numPr>
        <w:tabs>
          <w:tab w:val="left" w:pos="1980"/>
          <w:tab w:val="left" w:pos="2035"/>
          <w:tab w:val="left" w:pos="2885"/>
          <w:tab w:val="left" w:pos="2977"/>
        </w:tabs>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供应商提供的货物、工程或者服务符合下列情形的，享受中小企业扶持政策：</w:t>
      </w:r>
    </w:p>
    <w:p w14:paraId="66838676">
      <w:pPr>
        <w:tabs>
          <w:tab w:val="left" w:pos="1980"/>
        </w:tabs>
        <w:spacing w:line="360" w:lineRule="auto"/>
        <w:ind w:left="28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（1）在货物采购项目中，货物由中小企业制造，即货物由中小企业生产且使用该中小企业商号或者注册商标；</w:t>
      </w:r>
    </w:p>
    <w:p w14:paraId="0D613E91">
      <w:pPr>
        <w:tabs>
          <w:tab w:val="left" w:pos="1980"/>
        </w:tabs>
        <w:spacing w:line="360" w:lineRule="auto"/>
        <w:ind w:left="28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（2）在工程采购项目中，工程由中小企业承建，即工程施工单位为中小企业；</w:t>
      </w:r>
    </w:p>
    <w:p w14:paraId="40EFD98C">
      <w:pPr>
        <w:tabs>
          <w:tab w:val="left" w:pos="1980"/>
        </w:tabs>
        <w:spacing w:line="360" w:lineRule="auto"/>
        <w:ind w:left="28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4FD75484">
      <w:pPr>
        <w:numPr>
          <w:ilvl w:val="3"/>
          <w:numId w:val="2"/>
        </w:numPr>
        <w:tabs>
          <w:tab w:val="left" w:pos="1980"/>
          <w:tab w:val="left" w:pos="2035"/>
          <w:tab w:val="left" w:pos="2885"/>
          <w:tab w:val="left" w:pos="2977"/>
        </w:tabs>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在货物采购项目中，供应商提供的货物既有中小企业制造货物，也有大型企业制造货物的，不享受中小企业扶持政策。</w:t>
      </w:r>
    </w:p>
    <w:p w14:paraId="016F5113">
      <w:pPr>
        <w:numPr>
          <w:ilvl w:val="3"/>
          <w:numId w:val="2"/>
        </w:numPr>
        <w:tabs>
          <w:tab w:val="left" w:pos="1980"/>
          <w:tab w:val="left" w:pos="2035"/>
          <w:tab w:val="left" w:pos="2885"/>
          <w:tab w:val="left" w:pos="2977"/>
        </w:tabs>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0CAC848A">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E570611">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残疾人福利单位定义：享受政府采购支持政策的残疾人福利性单位应当同时满足以下条件：</w:t>
      </w:r>
    </w:p>
    <w:p w14:paraId="051E9626">
      <w:pPr>
        <w:pStyle w:val="281"/>
        <w:numPr>
          <w:ilvl w:val="2"/>
          <w:numId w:val="2"/>
        </w:numPr>
        <w:tabs>
          <w:tab w:val="left" w:pos="2035"/>
          <w:tab w:val="left" w:pos="2977"/>
        </w:tabs>
        <w:spacing w:line="360" w:lineRule="auto"/>
        <w:rPr>
          <w:rFonts w:ascii="宋体" w:hAnsi="宋体" w:cs="宋体"/>
          <w:vanish/>
          <w:color w:val="000000" w:themeColor="text1"/>
          <w:sz w:val="24"/>
          <w:szCs w:val="24"/>
          <w14:textFill>
            <w14:solidFill>
              <w14:schemeClr w14:val="tx1"/>
            </w14:solidFill>
          </w14:textFill>
        </w:rPr>
      </w:pPr>
    </w:p>
    <w:p w14:paraId="4A88A8D4">
      <w:pPr>
        <w:pStyle w:val="281"/>
        <w:numPr>
          <w:ilvl w:val="2"/>
          <w:numId w:val="2"/>
        </w:numPr>
        <w:tabs>
          <w:tab w:val="left" w:pos="2035"/>
          <w:tab w:val="left" w:pos="2977"/>
        </w:tabs>
        <w:spacing w:line="360" w:lineRule="auto"/>
        <w:rPr>
          <w:rFonts w:ascii="宋体" w:hAnsi="宋体" w:cs="宋体"/>
          <w:vanish/>
          <w:color w:val="000000" w:themeColor="text1"/>
          <w:sz w:val="24"/>
          <w:szCs w:val="24"/>
          <w14:textFill>
            <w14:solidFill>
              <w14:schemeClr w14:val="tx1"/>
            </w14:solidFill>
          </w14:textFill>
        </w:rPr>
      </w:pPr>
    </w:p>
    <w:p w14:paraId="547AAF34">
      <w:pPr>
        <w:numPr>
          <w:ilvl w:val="3"/>
          <w:numId w:val="2"/>
        </w:numPr>
        <w:tabs>
          <w:tab w:val="left" w:pos="1980"/>
          <w:tab w:val="left" w:pos="2035"/>
          <w:tab w:val="left" w:pos="2885"/>
          <w:tab w:val="left" w:pos="2977"/>
        </w:tabs>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安置的残疾人占本单位在职职工人数的比例不低于25%（含25%），并且安置的残疾人人数不少于10 人（含10 人）；</w:t>
      </w:r>
    </w:p>
    <w:p w14:paraId="50105A9D">
      <w:pPr>
        <w:numPr>
          <w:ilvl w:val="3"/>
          <w:numId w:val="2"/>
        </w:numPr>
        <w:tabs>
          <w:tab w:val="left" w:pos="1980"/>
          <w:tab w:val="left" w:pos="2035"/>
          <w:tab w:val="left" w:pos="2885"/>
          <w:tab w:val="left" w:pos="2977"/>
        </w:tabs>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依法与安置的每位残疾人签订了一年以上（含一年）的劳动合同或服务协议；</w:t>
      </w:r>
    </w:p>
    <w:p w14:paraId="519A7760">
      <w:pPr>
        <w:numPr>
          <w:ilvl w:val="3"/>
          <w:numId w:val="2"/>
        </w:numPr>
        <w:tabs>
          <w:tab w:val="left" w:pos="1980"/>
          <w:tab w:val="left" w:pos="2035"/>
          <w:tab w:val="left" w:pos="2885"/>
          <w:tab w:val="left" w:pos="2977"/>
        </w:tabs>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为安置的每位残疾人按月足额缴纳了基本养老保险、基本医疗保险、失业保险、工伤保险和生育保险等社会保险费；</w:t>
      </w:r>
    </w:p>
    <w:p w14:paraId="1011CC7A">
      <w:pPr>
        <w:numPr>
          <w:ilvl w:val="3"/>
          <w:numId w:val="2"/>
        </w:numPr>
        <w:tabs>
          <w:tab w:val="left" w:pos="1980"/>
          <w:tab w:val="left" w:pos="2035"/>
          <w:tab w:val="left" w:pos="2885"/>
          <w:tab w:val="left" w:pos="2977"/>
        </w:tabs>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通过银行等金融机构向安置的每位残疾人，按月支付了不低于单位所在区县适用的经省级人民政府批准的月最低工资标准的工资；</w:t>
      </w:r>
    </w:p>
    <w:p w14:paraId="528BF331">
      <w:pPr>
        <w:numPr>
          <w:ilvl w:val="3"/>
          <w:numId w:val="2"/>
        </w:numPr>
        <w:tabs>
          <w:tab w:val="left" w:pos="1980"/>
          <w:tab w:val="left" w:pos="2035"/>
          <w:tab w:val="left" w:pos="2885"/>
          <w:tab w:val="left" w:pos="2977"/>
        </w:tabs>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14:paraId="753A3E53">
      <w:pPr>
        <w:numPr>
          <w:ilvl w:val="3"/>
          <w:numId w:val="2"/>
        </w:numPr>
        <w:tabs>
          <w:tab w:val="left" w:pos="1980"/>
          <w:tab w:val="left" w:pos="2035"/>
          <w:tab w:val="left" w:pos="2885"/>
          <w:tab w:val="left" w:pos="2977"/>
        </w:tabs>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BBBAF7A">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本项目是否专门面向中小企业预留采购份额见第一章《采购邀请》。</w:t>
      </w:r>
    </w:p>
    <w:p w14:paraId="4E47CB8D">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采购标的对应的中小企业划分标准所属行业见《供应商须知资料表》。</w:t>
      </w:r>
    </w:p>
    <w:p w14:paraId="5F56F5F6">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小微企业价格评审优惠的政策调整：见第三章《评审方法和评审标准》。</w:t>
      </w:r>
    </w:p>
    <w:p w14:paraId="304D7604">
      <w:pPr>
        <w:numPr>
          <w:ilvl w:val="1"/>
          <w:numId w:val="1"/>
        </w:numPr>
        <w:tabs>
          <w:tab w:val="left" w:pos="1080"/>
          <w:tab w:val="left" w:pos="2014"/>
        </w:tabs>
        <w:spacing w:line="360" w:lineRule="auto"/>
        <w:ind w:left="1080"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政府采购节能产品、环境标志产品</w:t>
      </w:r>
    </w:p>
    <w:p w14:paraId="1CB5A94A">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5AC600C">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87C9641">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color w:val="000000" w:themeColor="text1"/>
          <w:sz w:val="24"/>
          <w14:textFill>
            <w14:solidFill>
              <w14:schemeClr w14:val="tx1"/>
            </w14:solidFill>
          </w14:textFill>
        </w:rPr>
        <w:t>响应无效</w:t>
      </w:r>
      <w:r>
        <w:rPr>
          <w:rFonts w:hint="eastAsia" w:ascii="宋体" w:hAnsi="宋体" w:cs="宋体"/>
          <w:color w:val="000000" w:themeColor="text1"/>
          <w:sz w:val="24"/>
          <w14:textFill>
            <w14:solidFill>
              <w14:schemeClr w14:val="tx1"/>
            </w14:solidFill>
          </w14:textFill>
        </w:rPr>
        <w:t>；</w:t>
      </w:r>
    </w:p>
    <w:p w14:paraId="2AC6C01C">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非政府强制采购的节能产品或环境标志产品，依据品目清单和认证证书实施政府优先采购。优先采购的具体规定见第三章《评审方法和评审标准》（如涉及）。</w:t>
      </w:r>
    </w:p>
    <w:p w14:paraId="3C168006">
      <w:pPr>
        <w:numPr>
          <w:ilvl w:val="2"/>
          <w:numId w:val="1"/>
        </w:numPr>
        <w:tabs>
          <w:tab w:val="left" w:pos="2014"/>
        </w:tabs>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12768EF0">
      <w:pPr>
        <w:numPr>
          <w:ilvl w:val="1"/>
          <w:numId w:val="1"/>
        </w:numPr>
        <w:tabs>
          <w:tab w:val="left" w:pos="1080"/>
          <w:tab w:val="left" w:pos="2014"/>
        </w:tabs>
        <w:spacing w:line="360" w:lineRule="auto"/>
        <w:ind w:left="1080"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支持乡村产业振兴管理</w:t>
      </w:r>
    </w:p>
    <w:p w14:paraId="5C3FAA24">
      <w:pPr>
        <w:numPr>
          <w:ilvl w:val="2"/>
          <w:numId w:val="1"/>
        </w:numPr>
        <w:tabs>
          <w:tab w:val="left" w:pos="2014"/>
        </w:tabs>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为落实《关于运用政府采购政策支持乡村产业振兴的通知》（财库〔2021〕19号）有关要求，做好支持脱贫攻坚工作，本项目采购活动中对于支持乡村振兴管理的相关要求见第四章《采购需求》（如涉及）。</w:t>
      </w:r>
    </w:p>
    <w:p w14:paraId="4DD4398A">
      <w:pPr>
        <w:numPr>
          <w:ilvl w:val="1"/>
          <w:numId w:val="1"/>
        </w:numPr>
        <w:tabs>
          <w:tab w:val="left" w:pos="1080"/>
          <w:tab w:val="left" w:pos="2014"/>
        </w:tabs>
        <w:spacing w:line="360" w:lineRule="auto"/>
        <w:ind w:left="1080"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正版软件</w:t>
      </w:r>
    </w:p>
    <w:p w14:paraId="3B3799FC">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color w:val="000000" w:themeColor="text1"/>
          <w:sz w:val="24"/>
          <w14:textFill>
            <w14:solidFill>
              <w14:schemeClr w14:val="tx1"/>
            </w14:solidFill>
          </w14:textFill>
        </w:rPr>
        <w:t>响应无效</w:t>
      </w:r>
      <w:r>
        <w:rPr>
          <w:rFonts w:hint="eastAsia" w:ascii="宋体" w:hAnsi="宋体" w:cs="宋体"/>
          <w:color w:val="000000" w:themeColor="text1"/>
          <w:sz w:val="24"/>
          <w14:textFill>
            <w14:solidFill>
              <w14:schemeClr w14:val="tx1"/>
            </w14:solidFill>
          </w14:textFill>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5605BA1">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7D81460">
      <w:pPr>
        <w:numPr>
          <w:ilvl w:val="1"/>
          <w:numId w:val="1"/>
        </w:numPr>
        <w:tabs>
          <w:tab w:val="left" w:pos="1080"/>
          <w:tab w:val="left" w:pos="2014"/>
        </w:tabs>
        <w:spacing w:line="360" w:lineRule="auto"/>
        <w:ind w:left="1080"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政府采购创新产品政策</w:t>
      </w:r>
    </w:p>
    <w:p w14:paraId="7CC549A4">
      <w:pPr>
        <w:numPr>
          <w:ilvl w:val="2"/>
          <w:numId w:val="1"/>
        </w:numPr>
        <w:tabs>
          <w:tab w:val="left" w:pos="2014"/>
        </w:tabs>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65211569">
      <w:pPr>
        <w:spacing w:line="480" w:lineRule="exact"/>
        <w:ind w:firstLine="36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4.7 绿色采购政策</w:t>
      </w:r>
    </w:p>
    <w:p w14:paraId="6928843F">
      <w:pPr>
        <w:spacing w:line="480" w:lineRule="exact"/>
        <w:ind w:left="900"/>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4.7.1  </w:t>
      </w:r>
      <w:r>
        <w:rPr>
          <w:rFonts w:hint="eastAsia" w:ascii="宋体" w:hAnsi="宋体" w:cs="宋体"/>
          <w:b/>
          <w:color w:val="000000" w:themeColor="text1"/>
          <w:sz w:val="24"/>
          <w14:textFill>
            <w14:solidFill>
              <w14:schemeClr w14:val="tx1"/>
            </w14:solidFill>
          </w14:textFill>
        </w:rPr>
        <w:t xml:space="preserve">绿色数据中心政策 </w:t>
      </w:r>
    </w:p>
    <w:p w14:paraId="787368ED">
      <w:pPr>
        <w:spacing w:line="480" w:lineRule="exact"/>
        <w:ind w:left="9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84F92B1">
      <w:pPr>
        <w:spacing w:line="480" w:lineRule="exact"/>
        <w:ind w:left="9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4.7.2 推广应用绿色建材</w:t>
      </w:r>
    </w:p>
    <w:p w14:paraId="36ED4288">
      <w:pPr>
        <w:spacing w:line="480" w:lineRule="exact"/>
        <w:ind w:left="9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62BC1652">
      <w:pPr>
        <w:spacing w:line="480" w:lineRule="exact"/>
        <w:ind w:left="9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4.7.3 优先使用低挥发性有机化合物产品</w:t>
      </w:r>
    </w:p>
    <w:p w14:paraId="44FAFCD5">
      <w:pPr>
        <w:tabs>
          <w:tab w:val="left" w:pos="2014"/>
        </w:tabs>
        <w:spacing w:line="360" w:lineRule="auto"/>
        <w:ind w:left="9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p>
    <w:p w14:paraId="28CA0ABB">
      <w:pPr>
        <w:numPr>
          <w:ilvl w:val="0"/>
          <w:numId w:val="1"/>
        </w:numPr>
        <w:tabs>
          <w:tab w:val="left" w:pos="360"/>
        </w:tabs>
        <w:spacing w:line="360" w:lineRule="auto"/>
        <w:ind w:left="357" w:hanging="357"/>
        <w:outlineLvl w:val="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响应费用</w:t>
      </w:r>
    </w:p>
    <w:p w14:paraId="55A21FDB">
      <w:pPr>
        <w:numPr>
          <w:ilvl w:val="1"/>
          <w:numId w:val="1"/>
        </w:numPr>
        <w:tabs>
          <w:tab w:val="left" w:pos="1080"/>
          <w:tab w:val="left" w:pos="2014"/>
        </w:tabs>
        <w:spacing w:line="360" w:lineRule="auto"/>
        <w:ind w:left="1080"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供应商应自行承担所有与准备和参加磋商有关的费用，无论磋商的结果如何，采购人或采购代理机构在任何情况下均无承担这些费用的义务和责任。</w:t>
      </w:r>
    </w:p>
    <w:p w14:paraId="5C0FAB1A">
      <w:pPr>
        <w:tabs>
          <w:tab w:val="left" w:pos="1080"/>
        </w:tabs>
        <w:spacing w:line="360" w:lineRule="auto"/>
        <w:ind w:left="1080"/>
        <w:rPr>
          <w:rFonts w:ascii="宋体" w:hAnsi="宋体" w:cs="宋体"/>
          <w:color w:val="000000" w:themeColor="text1"/>
          <w:sz w:val="28"/>
          <w14:textFill>
            <w14:solidFill>
              <w14:schemeClr w14:val="tx1"/>
            </w14:solidFill>
          </w14:textFill>
        </w:rPr>
      </w:pPr>
      <w:bookmarkStart w:id="126" w:name="_1.8_计量单位"/>
      <w:bookmarkEnd w:id="126"/>
    </w:p>
    <w:p w14:paraId="3FECBC80">
      <w:pPr>
        <w:pStyle w:val="3"/>
        <w:spacing w:before="0" w:line="360" w:lineRule="auto"/>
        <w:jc w:val="center"/>
        <w:rPr>
          <w:rFonts w:ascii="宋体" w:hAnsi="宋体" w:eastAsia="宋体" w:cs="宋体"/>
          <w:color w:val="000000" w:themeColor="text1"/>
          <w:sz w:val="28"/>
          <w14:textFill>
            <w14:solidFill>
              <w14:schemeClr w14:val="tx1"/>
            </w14:solidFill>
          </w14:textFill>
        </w:rPr>
      </w:pPr>
      <w:r>
        <w:rPr>
          <w:rFonts w:hint="eastAsia" w:ascii="宋体" w:hAnsi="宋体" w:eastAsia="宋体" w:cs="宋体"/>
          <w:color w:val="000000" w:themeColor="text1"/>
          <w:sz w:val="28"/>
          <w14:textFill>
            <w14:solidFill>
              <w14:schemeClr w14:val="tx1"/>
            </w14:solidFill>
          </w14:textFill>
        </w:rPr>
        <w:t>二   竞争性磋商文件</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28C8160E">
      <w:pPr>
        <w:numPr>
          <w:ilvl w:val="0"/>
          <w:numId w:val="1"/>
        </w:numPr>
        <w:tabs>
          <w:tab w:val="left" w:pos="360"/>
        </w:tabs>
        <w:spacing w:line="360" w:lineRule="auto"/>
        <w:ind w:left="357" w:hanging="357"/>
        <w:outlineLvl w:val="1"/>
        <w:rPr>
          <w:rFonts w:ascii="宋体" w:hAnsi="宋体" w:cs="宋体"/>
          <w:color w:val="000000" w:themeColor="text1"/>
          <w:sz w:val="24"/>
          <w14:textFill>
            <w14:solidFill>
              <w14:schemeClr w14:val="tx1"/>
            </w14:solidFill>
          </w14:textFill>
        </w:rPr>
      </w:pPr>
      <w:bookmarkStart w:id="127" w:name="_Toc127151523"/>
      <w:bookmarkStart w:id="128" w:name="_Toc127151724"/>
      <w:bookmarkStart w:id="129" w:name="_Toc149720816"/>
      <w:bookmarkStart w:id="130" w:name="_Toc151193621"/>
      <w:bookmarkStart w:id="131" w:name="_Toc305158865"/>
      <w:bookmarkStart w:id="132" w:name="_Toc520356147"/>
      <w:bookmarkStart w:id="133" w:name="_Toc264969213"/>
      <w:bookmarkStart w:id="134" w:name="_Toc226337219"/>
      <w:bookmarkStart w:id="135" w:name="_Toc164608792"/>
      <w:bookmarkStart w:id="136" w:name="_Toc142311025"/>
      <w:bookmarkStart w:id="137" w:name="_Toc195842888"/>
      <w:bookmarkStart w:id="138" w:name="_Toc150774623"/>
      <w:bookmarkStart w:id="139" w:name="_Toc226965796"/>
      <w:bookmarkStart w:id="140" w:name="_Toc226309767"/>
      <w:bookmarkStart w:id="141" w:name="_Toc305158791"/>
      <w:bookmarkStart w:id="142" w:name="_Toc127161437"/>
      <w:bookmarkStart w:id="143" w:name="_Toc164229364"/>
      <w:bookmarkStart w:id="144" w:name="_Toc150509274"/>
      <w:bookmarkStart w:id="145" w:name="_Toc150480761"/>
      <w:bookmarkStart w:id="146" w:name="_Toc151190150"/>
      <w:bookmarkStart w:id="147" w:name="_Toc164229218"/>
      <w:bookmarkStart w:id="148" w:name="_Toc164351617"/>
      <w:bookmarkStart w:id="149" w:name="_Toc151193911"/>
      <w:bookmarkStart w:id="150" w:name="_Toc265228361"/>
      <w:bookmarkStart w:id="151" w:name="_Toc151193837"/>
      <w:bookmarkStart w:id="152" w:name="_Toc226965713"/>
      <w:bookmarkStart w:id="153" w:name="_Toc151193765"/>
      <w:bookmarkStart w:id="154" w:name="_Toc164608637"/>
      <w:bookmarkStart w:id="155" w:name="_Toc151193693"/>
      <w:bookmarkStart w:id="156" w:name="_Toc150774728"/>
      <w:r>
        <w:rPr>
          <w:rFonts w:hint="eastAsia" w:ascii="宋体" w:hAnsi="宋体" w:cs="宋体"/>
          <w:color w:val="000000" w:themeColor="text1"/>
          <w:sz w:val="24"/>
          <w14:textFill>
            <w14:solidFill>
              <w14:schemeClr w14:val="tx1"/>
            </w14:solidFill>
          </w14:textFill>
        </w:rPr>
        <w:t>竞争性磋商文件构</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Pr>
          <w:rFonts w:hint="eastAsia" w:ascii="宋体" w:hAnsi="宋体" w:cs="宋体"/>
          <w:color w:val="000000" w:themeColor="text1"/>
          <w:sz w:val="24"/>
          <w14:textFill>
            <w14:solidFill>
              <w14:schemeClr w14:val="tx1"/>
            </w14:solidFill>
          </w14:textFill>
        </w:rPr>
        <w:t>成</w:t>
      </w:r>
    </w:p>
    <w:p w14:paraId="53218AC6">
      <w:pPr>
        <w:numPr>
          <w:ilvl w:val="1"/>
          <w:numId w:val="1"/>
        </w:numPr>
        <w:tabs>
          <w:tab w:val="left" w:pos="1080"/>
          <w:tab w:val="left" w:pos="2014"/>
        </w:tabs>
        <w:spacing w:line="360" w:lineRule="auto"/>
        <w:ind w:left="1080"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竞争性磋商文件包括以下部分：</w:t>
      </w:r>
    </w:p>
    <w:p w14:paraId="1546E24A">
      <w:pPr>
        <w:numPr>
          <w:ilvl w:val="0"/>
          <w:numId w:val="3"/>
        </w:numPr>
        <w:tabs>
          <w:tab w:val="left" w:pos="1980"/>
          <w:tab w:val="left" w:pos="2520"/>
        </w:tabs>
        <w:spacing w:line="360" w:lineRule="auto"/>
        <w:ind w:left="1440" w:firstLine="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采购邀请</w:t>
      </w:r>
    </w:p>
    <w:p w14:paraId="6AFA0330">
      <w:pPr>
        <w:numPr>
          <w:ilvl w:val="0"/>
          <w:numId w:val="3"/>
        </w:numPr>
        <w:tabs>
          <w:tab w:val="left" w:pos="1980"/>
          <w:tab w:val="left" w:pos="2520"/>
        </w:tabs>
        <w:spacing w:line="360" w:lineRule="auto"/>
        <w:ind w:left="1440" w:firstLine="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供应商须知</w:t>
      </w:r>
    </w:p>
    <w:p w14:paraId="5146F1A7">
      <w:pPr>
        <w:numPr>
          <w:ilvl w:val="0"/>
          <w:numId w:val="3"/>
        </w:numPr>
        <w:tabs>
          <w:tab w:val="left" w:pos="1980"/>
          <w:tab w:val="left" w:pos="2520"/>
        </w:tabs>
        <w:spacing w:line="360" w:lineRule="auto"/>
        <w:ind w:left="1440" w:firstLine="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评审程序、评审方法和评审标准</w:t>
      </w:r>
    </w:p>
    <w:p w14:paraId="53A6C714">
      <w:pPr>
        <w:numPr>
          <w:ilvl w:val="0"/>
          <w:numId w:val="3"/>
        </w:numPr>
        <w:tabs>
          <w:tab w:val="left" w:pos="1980"/>
          <w:tab w:val="left" w:pos="2520"/>
        </w:tabs>
        <w:spacing w:line="360" w:lineRule="auto"/>
        <w:ind w:left="1440" w:firstLine="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采购需求</w:t>
      </w:r>
    </w:p>
    <w:p w14:paraId="46299539">
      <w:pPr>
        <w:numPr>
          <w:ilvl w:val="0"/>
          <w:numId w:val="3"/>
        </w:numPr>
        <w:tabs>
          <w:tab w:val="left" w:pos="1980"/>
          <w:tab w:val="left" w:pos="2520"/>
        </w:tabs>
        <w:spacing w:line="360" w:lineRule="auto"/>
        <w:ind w:left="1440" w:firstLine="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合同草案条款</w:t>
      </w:r>
    </w:p>
    <w:p w14:paraId="3F7734F8">
      <w:pPr>
        <w:numPr>
          <w:ilvl w:val="0"/>
          <w:numId w:val="3"/>
        </w:numPr>
        <w:tabs>
          <w:tab w:val="left" w:pos="1980"/>
          <w:tab w:val="left" w:pos="2520"/>
        </w:tabs>
        <w:spacing w:line="360" w:lineRule="auto"/>
        <w:ind w:left="1440" w:firstLine="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响应文件格式</w:t>
      </w:r>
    </w:p>
    <w:p w14:paraId="490D23B9">
      <w:pPr>
        <w:numPr>
          <w:ilvl w:val="1"/>
          <w:numId w:val="1"/>
        </w:numPr>
        <w:tabs>
          <w:tab w:val="left" w:pos="1080"/>
          <w:tab w:val="left" w:pos="2014"/>
        </w:tabs>
        <w:spacing w:line="360" w:lineRule="auto"/>
        <w:ind w:left="1080"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000000" w:themeColor="text1"/>
          <w:sz w:val="24"/>
          <w14:textFill>
            <w14:solidFill>
              <w14:schemeClr w14:val="tx1"/>
            </w14:solidFill>
          </w14:textFill>
        </w:rPr>
        <w:t>响应无效</w:t>
      </w:r>
      <w:r>
        <w:rPr>
          <w:rFonts w:hint="eastAsia" w:ascii="宋体" w:hAnsi="宋体" w:cs="宋体"/>
          <w:color w:val="000000" w:themeColor="text1"/>
          <w:sz w:val="24"/>
          <w14:textFill>
            <w14:solidFill>
              <w14:schemeClr w14:val="tx1"/>
            </w14:solidFill>
          </w14:textFill>
        </w:rPr>
        <w:t>。</w:t>
      </w:r>
    </w:p>
    <w:p w14:paraId="0DDFFCDF">
      <w:pPr>
        <w:numPr>
          <w:ilvl w:val="0"/>
          <w:numId w:val="1"/>
        </w:numPr>
        <w:tabs>
          <w:tab w:val="left" w:pos="1080"/>
          <w:tab w:val="left" w:pos="2014"/>
        </w:tabs>
        <w:spacing w:line="360" w:lineRule="auto"/>
        <w:ind w:left="357" w:hanging="357"/>
        <w:outlineLvl w:val="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对竞争性磋商文件的澄清或修改</w:t>
      </w:r>
    </w:p>
    <w:p w14:paraId="7C3DE939">
      <w:pPr>
        <w:numPr>
          <w:ilvl w:val="1"/>
          <w:numId w:val="1"/>
        </w:numPr>
        <w:tabs>
          <w:tab w:val="left" w:pos="1080"/>
          <w:tab w:val="left" w:pos="1561"/>
          <w:tab w:val="left" w:pos="2014"/>
        </w:tabs>
        <w:spacing w:line="360" w:lineRule="auto"/>
        <w:ind w:left="1080"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采购人或采购代理机构对已发出的竞争性磋商文件进行必要澄清或者修改的，将在原公告发布媒体上以发布更正公告的形式通知所有获取磋商文件的供应商。</w:t>
      </w:r>
    </w:p>
    <w:p w14:paraId="45A5AF4B">
      <w:pPr>
        <w:numPr>
          <w:ilvl w:val="1"/>
          <w:numId w:val="1"/>
        </w:numPr>
        <w:tabs>
          <w:tab w:val="left" w:pos="1080"/>
          <w:tab w:val="left" w:pos="1561"/>
          <w:tab w:val="left" w:pos="2014"/>
        </w:tabs>
        <w:spacing w:line="360" w:lineRule="auto"/>
        <w:ind w:left="1080"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6173FB76">
      <w:pPr>
        <w:tabs>
          <w:tab w:val="left" w:pos="1080"/>
          <w:tab w:val="left" w:pos="1561"/>
        </w:tabs>
        <w:spacing w:line="360" w:lineRule="auto"/>
        <w:ind w:left="1080"/>
        <w:rPr>
          <w:rFonts w:ascii="宋体" w:hAnsi="宋体" w:cs="宋体"/>
          <w:color w:val="000000" w:themeColor="text1"/>
          <w:sz w:val="28"/>
          <w14:textFill>
            <w14:solidFill>
              <w14:schemeClr w14:val="tx1"/>
            </w14:solidFill>
          </w14:textFill>
        </w:rPr>
      </w:pPr>
      <w:bookmarkStart w:id="157" w:name="_Toc516367020"/>
      <w:bookmarkStart w:id="158" w:name="_Toc305158794"/>
      <w:bookmarkStart w:id="159" w:name="_Toc142311028"/>
      <w:bookmarkStart w:id="160" w:name="_Toc150774626"/>
      <w:bookmarkStart w:id="161" w:name="_Toc151190153"/>
      <w:bookmarkStart w:id="162" w:name="_Toc151193840"/>
      <w:bookmarkStart w:id="163" w:name="_Toc226337222"/>
      <w:bookmarkStart w:id="164" w:name="_Toc150480764"/>
      <w:bookmarkStart w:id="165" w:name="_Toc151193696"/>
      <w:bookmarkStart w:id="166" w:name="_Toc264969216"/>
      <w:bookmarkStart w:id="167" w:name="_Toc520356150"/>
      <w:bookmarkStart w:id="168" w:name="_Toc226309770"/>
      <w:bookmarkStart w:id="169" w:name="_Toc150509277"/>
      <w:bookmarkStart w:id="170" w:name="_Toc226965799"/>
      <w:bookmarkStart w:id="171" w:name="_Toc151193624"/>
      <w:bookmarkStart w:id="172" w:name="_Toc195842891"/>
      <w:bookmarkStart w:id="173" w:name="_Toc151193914"/>
      <w:bookmarkStart w:id="174" w:name="_Toc226965716"/>
      <w:bookmarkStart w:id="175" w:name="_Toc127151526"/>
      <w:bookmarkStart w:id="176" w:name="_Toc150774731"/>
      <w:bookmarkStart w:id="177" w:name="_Toc151193768"/>
      <w:bookmarkStart w:id="178" w:name="_Toc265228364"/>
      <w:bookmarkStart w:id="179" w:name="_Toc305158868"/>
    </w:p>
    <w:p w14:paraId="3B7C8AC1">
      <w:pPr>
        <w:pStyle w:val="3"/>
        <w:spacing w:before="0" w:line="360" w:lineRule="auto"/>
        <w:jc w:val="center"/>
        <w:rPr>
          <w:rFonts w:ascii="宋体" w:hAnsi="宋体" w:eastAsia="宋体" w:cs="宋体"/>
          <w:color w:val="000000" w:themeColor="text1"/>
          <w:sz w:val="28"/>
          <w14:textFill>
            <w14:solidFill>
              <w14:schemeClr w14:val="tx1"/>
            </w14:solidFill>
          </w14:textFill>
        </w:rPr>
      </w:pPr>
      <w:r>
        <w:rPr>
          <w:rFonts w:hint="eastAsia" w:ascii="宋体" w:hAnsi="宋体" w:eastAsia="宋体" w:cs="宋体"/>
          <w:color w:val="000000" w:themeColor="text1"/>
          <w:sz w:val="28"/>
          <w14:textFill>
            <w14:solidFill>
              <w14:schemeClr w14:val="tx1"/>
            </w14:solidFill>
          </w14:textFill>
        </w:rPr>
        <w:t>三   响应文件</w:t>
      </w:r>
      <w:bookmarkEnd w:id="157"/>
      <w:r>
        <w:rPr>
          <w:rFonts w:hint="eastAsia" w:ascii="宋体" w:hAnsi="宋体" w:eastAsia="宋体" w:cs="宋体"/>
          <w:color w:val="000000" w:themeColor="text1"/>
          <w:sz w:val="28"/>
          <w14:textFill>
            <w14:solidFill>
              <w14:schemeClr w14:val="tx1"/>
            </w14:solidFill>
          </w14:textFill>
        </w:rPr>
        <w:t>的编制</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14:paraId="65722C3F">
      <w:pPr>
        <w:numPr>
          <w:ilvl w:val="0"/>
          <w:numId w:val="1"/>
        </w:numPr>
        <w:tabs>
          <w:tab w:val="left" w:pos="360"/>
        </w:tabs>
        <w:spacing w:line="360" w:lineRule="auto"/>
        <w:ind w:left="357" w:hanging="357"/>
        <w:outlineLvl w:val="1"/>
        <w:rPr>
          <w:rFonts w:ascii="宋体" w:hAnsi="宋体" w:cs="宋体"/>
          <w:color w:val="000000" w:themeColor="text1"/>
          <w:sz w:val="24"/>
          <w14:textFill>
            <w14:solidFill>
              <w14:schemeClr w14:val="tx1"/>
            </w14:solidFill>
          </w14:textFill>
        </w:rPr>
      </w:pPr>
      <w:bookmarkStart w:id="180" w:name="_Toc150480765"/>
      <w:bookmarkStart w:id="181" w:name="_Toc226309771"/>
      <w:bookmarkStart w:id="182" w:name="_Toc265228365"/>
      <w:bookmarkStart w:id="183" w:name="_Toc127151527"/>
      <w:bookmarkStart w:id="184" w:name="_Toc305158795"/>
      <w:bookmarkStart w:id="185" w:name="_Toc151193625"/>
      <w:bookmarkStart w:id="186" w:name="_Toc127161441"/>
      <w:bookmarkStart w:id="187" w:name="_Toc150774627"/>
      <w:bookmarkStart w:id="188" w:name="_Toc195842892"/>
      <w:bookmarkStart w:id="189" w:name="_Toc164608641"/>
      <w:bookmarkStart w:id="190" w:name="_Toc164608796"/>
      <w:bookmarkStart w:id="191" w:name="_Toc264969217"/>
      <w:bookmarkStart w:id="192" w:name="_Toc151193841"/>
      <w:bookmarkStart w:id="193" w:name="_Toc151190154"/>
      <w:bookmarkStart w:id="194" w:name="_Toc164351621"/>
      <w:bookmarkStart w:id="195" w:name="_Toc151193769"/>
      <w:bookmarkStart w:id="196" w:name="_Toc142311029"/>
      <w:bookmarkStart w:id="197" w:name="_Toc226965800"/>
      <w:bookmarkStart w:id="198" w:name="_Toc164229368"/>
      <w:bookmarkStart w:id="199" w:name="_Toc520356151"/>
      <w:bookmarkStart w:id="200" w:name="_Toc305158869"/>
      <w:bookmarkStart w:id="201" w:name="_Toc151193697"/>
      <w:bookmarkStart w:id="202" w:name="_Toc226337223"/>
      <w:bookmarkStart w:id="203" w:name="_Toc516367021"/>
      <w:bookmarkStart w:id="204" w:name="_Toc164229222"/>
      <w:bookmarkStart w:id="205" w:name="_Toc226965717"/>
      <w:bookmarkStart w:id="206" w:name="_Toc127151728"/>
      <w:bookmarkStart w:id="207" w:name="_Toc150774732"/>
      <w:bookmarkStart w:id="208" w:name="_Toc149720820"/>
      <w:bookmarkStart w:id="209" w:name="_Toc151193915"/>
      <w:bookmarkStart w:id="210" w:name="_Toc150509278"/>
      <w:r>
        <w:rPr>
          <w:rFonts w:hint="eastAsia" w:ascii="宋体" w:hAnsi="宋体" w:cs="宋体"/>
          <w:color w:val="000000" w:themeColor="text1"/>
          <w:sz w:val="24"/>
          <w14:textFill>
            <w14:solidFill>
              <w14:schemeClr w14:val="tx1"/>
            </w14:solidFill>
          </w14:textFill>
        </w:rPr>
        <w:t>响应范围、竞争性磋商文件中计量单位的使用</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Pr>
          <w:rFonts w:hint="eastAsia" w:ascii="宋体" w:hAnsi="宋体" w:cs="宋体"/>
          <w:color w:val="000000" w:themeColor="text1"/>
          <w:sz w:val="24"/>
          <w14:textFill>
            <w14:solidFill>
              <w14:schemeClr w14:val="tx1"/>
            </w14:solidFill>
          </w14:textFill>
        </w:rPr>
        <w:t>及磋商语言</w:t>
      </w:r>
    </w:p>
    <w:p w14:paraId="761C26CC">
      <w:pPr>
        <w:numPr>
          <w:ilvl w:val="1"/>
          <w:numId w:val="1"/>
        </w:numPr>
        <w:tabs>
          <w:tab w:val="left" w:pos="1080"/>
          <w:tab w:val="left" w:pos="2014"/>
        </w:tabs>
        <w:spacing w:line="360" w:lineRule="auto"/>
        <w:ind w:left="1080"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000000" w:themeColor="text1"/>
          <w:sz w:val="24"/>
          <w14:textFill>
            <w14:solidFill>
              <w14:schemeClr w14:val="tx1"/>
            </w14:solidFill>
          </w14:textFill>
        </w:rPr>
        <w:t>响应无效</w:t>
      </w:r>
      <w:r>
        <w:rPr>
          <w:rFonts w:hint="eastAsia" w:ascii="宋体" w:hAnsi="宋体" w:cs="宋体"/>
          <w:color w:val="000000" w:themeColor="text1"/>
          <w:sz w:val="24"/>
          <w14:textFill>
            <w14:solidFill>
              <w14:schemeClr w14:val="tx1"/>
            </w14:solidFill>
          </w14:textFill>
        </w:rPr>
        <w:t>。</w:t>
      </w:r>
    </w:p>
    <w:p w14:paraId="5B75558A">
      <w:pPr>
        <w:numPr>
          <w:ilvl w:val="1"/>
          <w:numId w:val="1"/>
        </w:numPr>
        <w:tabs>
          <w:tab w:val="left" w:pos="1080"/>
          <w:tab w:val="left" w:pos="2014"/>
        </w:tabs>
        <w:spacing w:line="360" w:lineRule="auto"/>
        <w:ind w:left="1080"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除竞争性磋商文件有特殊要求外，本项目磋商所使用的计量单位，应采用中华人民共和国法定计量单位。</w:t>
      </w:r>
    </w:p>
    <w:p w14:paraId="588D2C39">
      <w:pPr>
        <w:numPr>
          <w:ilvl w:val="1"/>
          <w:numId w:val="1"/>
        </w:numPr>
        <w:tabs>
          <w:tab w:val="left" w:pos="1080"/>
          <w:tab w:val="left" w:pos="2014"/>
        </w:tabs>
        <w:spacing w:line="360" w:lineRule="auto"/>
        <w:ind w:left="1080"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69130389">
      <w:pPr>
        <w:numPr>
          <w:ilvl w:val="0"/>
          <w:numId w:val="1"/>
        </w:numPr>
        <w:tabs>
          <w:tab w:val="left" w:pos="360"/>
        </w:tabs>
        <w:spacing w:line="360" w:lineRule="auto"/>
        <w:ind w:left="357" w:hanging="357"/>
        <w:outlineLvl w:val="1"/>
        <w:rPr>
          <w:rFonts w:ascii="宋体" w:hAnsi="宋体" w:cs="宋体"/>
          <w:color w:val="000000" w:themeColor="text1"/>
          <w:sz w:val="24"/>
          <w14:textFill>
            <w14:solidFill>
              <w14:schemeClr w14:val="tx1"/>
            </w14:solidFill>
          </w14:textFill>
        </w:rPr>
      </w:pPr>
      <w:bookmarkStart w:id="211" w:name="_Ref467306195"/>
      <w:bookmarkStart w:id="212" w:name="_Toc516367022"/>
      <w:bookmarkStart w:id="213" w:name="_Ref467306676"/>
      <w:bookmarkStart w:id="214" w:name="_Toc150480766"/>
      <w:bookmarkStart w:id="215" w:name="_Toc164351622"/>
      <w:bookmarkStart w:id="216" w:name="_Toc127161442"/>
      <w:bookmarkStart w:id="217" w:name="_Toc164229369"/>
      <w:bookmarkStart w:id="218" w:name="_Toc150509279"/>
      <w:bookmarkStart w:id="219" w:name="_Toc127151528"/>
      <w:bookmarkStart w:id="220" w:name="_Toc151193842"/>
      <w:bookmarkStart w:id="221" w:name="_Toc305158870"/>
      <w:bookmarkStart w:id="222" w:name="_Toc142311030"/>
      <w:bookmarkStart w:id="223" w:name="_Toc264969218"/>
      <w:bookmarkStart w:id="224" w:name="_Toc150774628"/>
      <w:bookmarkStart w:id="225" w:name="_Toc164608642"/>
      <w:bookmarkStart w:id="226" w:name="_Toc151190155"/>
      <w:bookmarkStart w:id="227" w:name="_Toc151193698"/>
      <w:bookmarkStart w:id="228" w:name="_Toc151193770"/>
      <w:bookmarkStart w:id="229" w:name="_Toc164229223"/>
      <w:bookmarkStart w:id="230" w:name="_Toc265228366"/>
      <w:bookmarkStart w:id="231" w:name="_Toc150774733"/>
      <w:bookmarkStart w:id="232" w:name="_Toc226337224"/>
      <w:bookmarkStart w:id="233" w:name="_Toc164608797"/>
      <w:bookmarkStart w:id="234" w:name="_Toc520356152"/>
      <w:bookmarkStart w:id="235" w:name="_Toc226965718"/>
      <w:bookmarkStart w:id="236" w:name="_Toc151193626"/>
      <w:bookmarkStart w:id="237" w:name="_Toc195842893"/>
      <w:bookmarkStart w:id="238" w:name="_Toc151193916"/>
      <w:bookmarkStart w:id="239" w:name="_Toc226309772"/>
      <w:bookmarkStart w:id="240" w:name="_Toc149720821"/>
      <w:bookmarkStart w:id="241" w:name="_Toc127151729"/>
      <w:bookmarkStart w:id="242" w:name="_Toc226965801"/>
      <w:bookmarkStart w:id="243" w:name="_Toc305158796"/>
      <w:r>
        <w:rPr>
          <w:rFonts w:hint="eastAsia" w:ascii="宋体" w:hAnsi="宋体" w:cs="宋体"/>
          <w:color w:val="000000" w:themeColor="text1"/>
          <w:sz w:val="24"/>
          <w14:textFill>
            <w14:solidFill>
              <w14:schemeClr w14:val="tx1"/>
            </w14:solidFill>
          </w14:textFill>
        </w:rPr>
        <w:t>响应文件</w:t>
      </w:r>
      <w:bookmarkEnd w:id="211"/>
      <w:bookmarkEnd w:id="212"/>
      <w:bookmarkEnd w:id="213"/>
      <w:r>
        <w:rPr>
          <w:rFonts w:hint="eastAsia" w:ascii="宋体" w:hAnsi="宋体" w:cs="宋体"/>
          <w:color w:val="000000" w:themeColor="text1"/>
          <w:sz w:val="24"/>
          <w14:textFill>
            <w14:solidFill>
              <w14:schemeClr w14:val="tx1"/>
            </w14:solidFill>
          </w14:textFill>
        </w:rPr>
        <w:t>构成</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p w14:paraId="35C59AC8">
      <w:pPr>
        <w:numPr>
          <w:ilvl w:val="1"/>
          <w:numId w:val="1"/>
        </w:numPr>
        <w:tabs>
          <w:tab w:val="left" w:pos="1080"/>
          <w:tab w:val="left" w:pos="2014"/>
        </w:tabs>
        <w:spacing w:line="360" w:lineRule="auto"/>
        <w:ind w:left="1077" w:hanging="720"/>
        <w:rPr>
          <w:rFonts w:ascii="宋体" w:hAnsi="宋体" w:cs="宋体"/>
          <w:color w:val="000000" w:themeColor="text1"/>
          <w:sz w:val="24"/>
          <w14:textFill>
            <w14:solidFill>
              <w14:schemeClr w14:val="tx1"/>
            </w14:solidFill>
          </w14:textFill>
        </w:rPr>
      </w:pPr>
      <w:bookmarkStart w:id="244" w:name="_Ref467052588"/>
      <w:r>
        <w:rPr>
          <w:rFonts w:hint="eastAsia" w:ascii="宋体" w:hAnsi="宋体" w:cs="宋体"/>
          <w:color w:val="000000" w:themeColor="text1"/>
          <w:sz w:val="24"/>
          <w14:textFill>
            <w14:solidFill>
              <w14:schemeClr w14:val="tx1"/>
            </w14:solidFill>
          </w14:textFill>
        </w:rPr>
        <w:t>供应商应当按照竞争性磋商文件的要求编制响应文件，并对其提交的响应文件的真实性、合法性承担法律责任。响应文件的部分格式要求，见第六章《响应文件格式》。</w:t>
      </w:r>
    </w:p>
    <w:p w14:paraId="5B8B32AB">
      <w:pPr>
        <w:numPr>
          <w:ilvl w:val="1"/>
          <w:numId w:val="1"/>
        </w:numPr>
        <w:tabs>
          <w:tab w:val="left" w:pos="1080"/>
          <w:tab w:val="left" w:pos="2014"/>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themeColor="text1"/>
          <w:sz w:val="24"/>
          <w14:textFill>
            <w14:solidFill>
              <w14:schemeClr w14:val="tx1"/>
            </w14:solidFill>
          </w14:textFill>
        </w:rPr>
        <w:t>否则响应无效</w:t>
      </w:r>
      <w:r>
        <w:rPr>
          <w:rFonts w:hint="eastAsia" w:ascii="宋体" w:hAnsi="宋体" w:cs="宋体"/>
          <w:color w:val="000000" w:themeColor="text1"/>
          <w:sz w:val="24"/>
          <w14:textFill>
            <w14:solidFill>
              <w14:schemeClr w14:val="tx1"/>
            </w14:solidFill>
          </w14:textFill>
        </w:rPr>
        <w:t>。未标记“实质性格式”的文件和竞争性磋商文件未提供格式的内容，可由供应商自行编写。</w:t>
      </w:r>
    </w:p>
    <w:p w14:paraId="3799A184">
      <w:pPr>
        <w:numPr>
          <w:ilvl w:val="1"/>
          <w:numId w:val="1"/>
        </w:numPr>
        <w:tabs>
          <w:tab w:val="left" w:pos="1080"/>
          <w:tab w:val="left" w:pos="2014"/>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第三章《评审方法和评审标准》中涉及的证明文件。</w:t>
      </w:r>
    </w:p>
    <w:p w14:paraId="1448114B">
      <w:pPr>
        <w:numPr>
          <w:ilvl w:val="1"/>
          <w:numId w:val="1"/>
        </w:numPr>
        <w:tabs>
          <w:tab w:val="left" w:pos="1080"/>
          <w:tab w:val="left" w:pos="2014"/>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69882AEE">
      <w:pPr>
        <w:numPr>
          <w:ilvl w:val="1"/>
          <w:numId w:val="1"/>
        </w:numPr>
        <w:tabs>
          <w:tab w:val="left" w:pos="1080"/>
          <w:tab w:val="left" w:pos="2014"/>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供应商认为应附的其他材料。</w:t>
      </w:r>
      <w:bookmarkEnd w:id="244"/>
    </w:p>
    <w:p w14:paraId="0F2BBDE0">
      <w:pPr>
        <w:numPr>
          <w:ilvl w:val="0"/>
          <w:numId w:val="1"/>
        </w:numPr>
        <w:tabs>
          <w:tab w:val="left" w:pos="360"/>
        </w:tabs>
        <w:spacing w:line="360" w:lineRule="auto"/>
        <w:ind w:left="357" w:hanging="357"/>
        <w:outlineLvl w:val="1"/>
        <w:rPr>
          <w:rFonts w:ascii="宋体" w:hAnsi="宋体" w:cs="宋体"/>
          <w:color w:val="000000" w:themeColor="text1"/>
          <w:sz w:val="24"/>
          <w14:textFill>
            <w14:solidFill>
              <w14:schemeClr w14:val="tx1"/>
            </w14:solidFill>
          </w14:textFill>
        </w:rPr>
      </w:pPr>
      <w:bookmarkStart w:id="245" w:name="_Toc164351624"/>
      <w:bookmarkStart w:id="246" w:name="_Toc150509281"/>
      <w:bookmarkStart w:id="247" w:name="_Toc127161444"/>
      <w:bookmarkStart w:id="248" w:name="_Toc151193700"/>
      <w:bookmarkStart w:id="249" w:name="_Toc164229371"/>
      <w:bookmarkStart w:id="250" w:name="_Toc195842895"/>
      <w:bookmarkStart w:id="251" w:name="_Toc127151731"/>
      <w:bookmarkStart w:id="252" w:name="_Toc149720823"/>
      <w:bookmarkStart w:id="253" w:name="_Toc150480768"/>
      <w:bookmarkStart w:id="254" w:name="_Toc151193628"/>
      <w:bookmarkStart w:id="255" w:name="_Toc520356155"/>
      <w:bookmarkStart w:id="256" w:name="_Toc164608799"/>
      <w:bookmarkStart w:id="257" w:name="_Toc151193844"/>
      <w:bookmarkStart w:id="258" w:name="_Toc127151530"/>
      <w:bookmarkStart w:id="259" w:name="_Toc164229225"/>
      <w:bookmarkStart w:id="260" w:name="_Toc151193918"/>
      <w:bookmarkStart w:id="261" w:name="_Toc151190157"/>
      <w:bookmarkStart w:id="262" w:name="_Toc151193772"/>
      <w:bookmarkStart w:id="263" w:name="_Toc164608644"/>
      <w:bookmarkStart w:id="264" w:name="_Toc142311032"/>
      <w:bookmarkStart w:id="265" w:name="_Toc150774630"/>
      <w:bookmarkStart w:id="266" w:name="_Toc150774735"/>
      <w:r>
        <w:rPr>
          <w:rFonts w:hint="eastAsia" w:ascii="宋体" w:hAnsi="宋体" w:cs="宋体"/>
          <w:color w:val="000000" w:themeColor="text1"/>
          <w:sz w:val="24"/>
          <w14:textFill>
            <w14:solidFill>
              <w14:schemeClr w14:val="tx1"/>
            </w14:solidFill>
          </w14:textFill>
        </w:rPr>
        <w:t>报价</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302E0A18">
      <w:pPr>
        <w:numPr>
          <w:ilvl w:val="1"/>
          <w:numId w:val="1"/>
        </w:numPr>
        <w:tabs>
          <w:tab w:val="left" w:pos="1080"/>
          <w:tab w:val="left" w:pos="2014"/>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所有响应均以人民币报价。</w:t>
      </w:r>
    </w:p>
    <w:p w14:paraId="73398E5E">
      <w:pPr>
        <w:numPr>
          <w:ilvl w:val="1"/>
          <w:numId w:val="1"/>
        </w:numPr>
        <w:tabs>
          <w:tab w:val="left" w:pos="1080"/>
        </w:tabs>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供应商的报价应包括为完成本项目所发生的一切费用和税费，采购人将不再支付报价以外的任何费用。供应商的报价应包括但不限于下列内容，《供应商须知资料表》中有特殊规定的，从其规定。</w:t>
      </w:r>
    </w:p>
    <w:p w14:paraId="74DF74F4">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4321B22C">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按照竞争性磋商文件要求完成本项目的全部相关工程或服务费用。</w:t>
      </w:r>
    </w:p>
    <w:p w14:paraId="42F2328F">
      <w:pPr>
        <w:numPr>
          <w:ilvl w:val="1"/>
          <w:numId w:val="1"/>
        </w:numPr>
        <w:tabs>
          <w:tab w:val="left" w:pos="1080"/>
          <w:tab w:val="left" w:pos="2014"/>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采购人不得向供应商索要或者接受其给予的赠品、回扣或者与采购无关的其他商品、服务。</w:t>
      </w:r>
    </w:p>
    <w:p w14:paraId="1D64D103">
      <w:pPr>
        <w:numPr>
          <w:ilvl w:val="1"/>
          <w:numId w:val="1"/>
        </w:numPr>
        <w:tabs>
          <w:tab w:val="left" w:pos="1080"/>
          <w:tab w:val="left" w:pos="2014"/>
        </w:tabs>
        <w:spacing w:line="360" w:lineRule="auto"/>
        <w:ind w:left="1080"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供应商不能提供任何有选择性或可调整的最终报价（竞争性磋商文件另有规定的除外），否则其</w:t>
      </w:r>
      <w:r>
        <w:rPr>
          <w:rFonts w:hint="eastAsia" w:ascii="宋体" w:hAnsi="宋体" w:cs="宋体"/>
          <w:b/>
          <w:color w:val="000000" w:themeColor="text1"/>
          <w:sz w:val="24"/>
          <w14:textFill>
            <w14:solidFill>
              <w14:schemeClr w14:val="tx1"/>
            </w14:solidFill>
          </w14:textFill>
        </w:rPr>
        <w:t>响应无效</w:t>
      </w:r>
      <w:r>
        <w:rPr>
          <w:rFonts w:hint="eastAsia" w:ascii="宋体" w:hAnsi="宋体" w:cs="宋体"/>
          <w:color w:val="000000" w:themeColor="text1"/>
          <w:sz w:val="24"/>
          <w14:textFill>
            <w14:solidFill>
              <w14:schemeClr w14:val="tx1"/>
            </w14:solidFill>
          </w14:textFill>
        </w:rPr>
        <w:t>。</w:t>
      </w:r>
    </w:p>
    <w:p w14:paraId="523B569C">
      <w:pPr>
        <w:numPr>
          <w:ilvl w:val="0"/>
          <w:numId w:val="1"/>
        </w:numPr>
        <w:tabs>
          <w:tab w:val="left" w:pos="360"/>
        </w:tabs>
        <w:spacing w:line="360" w:lineRule="auto"/>
        <w:ind w:left="357" w:hanging="357"/>
        <w:outlineLvl w:val="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磋商保证金</w:t>
      </w:r>
    </w:p>
    <w:p w14:paraId="5EA6ADBA">
      <w:pPr>
        <w:tabs>
          <w:tab w:val="left" w:pos="360"/>
        </w:tabs>
        <w:spacing w:line="360" w:lineRule="auto"/>
        <w:ind w:firstLine="360"/>
        <w:outlineLvl w:val="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根据江苏省和常州市的相关文件规定，免收保证金。</w:t>
      </w:r>
    </w:p>
    <w:p w14:paraId="43A74DB5">
      <w:pPr>
        <w:numPr>
          <w:ilvl w:val="0"/>
          <w:numId w:val="1"/>
        </w:numPr>
        <w:tabs>
          <w:tab w:val="left" w:pos="360"/>
        </w:tabs>
        <w:spacing w:line="360" w:lineRule="auto"/>
        <w:ind w:left="357" w:hanging="357"/>
        <w:outlineLvl w:val="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响应有效期</w:t>
      </w:r>
    </w:p>
    <w:p w14:paraId="27597FA1">
      <w:pPr>
        <w:numPr>
          <w:ilvl w:val="1"/>
          <w:numId w:val="1"/>
        </w:numPr>
        <w:tabs>
          <w:tab w:val="left" w:pos="1080"/>
          <w:tab w:val="left" w:pos="2014"/>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响应文件应在本竞争性磋商文件《供应商须知资料表》中规定的响应有效期内保持有效，响应有效期少于竞争性磋商文件规定期限的，其</w:t>
      </w:r>
      <w:r>
        <w:rPr>
          <w:rFonts w:hint="eastAsia" w:ascii="宋体" w:hAnsi="宋体" w:cs="宋体"/>
          <w:b/>
          <w:color w:val="000000" w:themeColor="text1"/>
          <w:sz w:val="24"/>
          <w14:textFill>
            <w14:solidFill>
              <w14:schemeClr w14:val="tx1"/>
            </w14:solidFill>
          </w14:textFill>
        </w:rPr>
        <w:t>响应无效</w:t>
      </w:r>
      <w:r>
        <w:rPr>
          <w:rFonts w:hint="eastAsia" w:ascii="宋体" w:hAnsi="宋体" w:cs="宋体"/>
          <w:color w:val="000000" w:themeColor="text1"/>
          <w:sz w:val="24"/>
          <w14:textFill>
            <w14:solidFill>
              <w14:schemeClr w14:val="tx1"/>
            </w14:solidFill>
          </w14:textFill>
        </w:rPr>
        <w:t>。</w:t>
      </w:r>
    </w:p>
    <w:p w14:paraId="1879F7A5">
      <w:pPr>
        <w:numPr>
          <w:ilvl w:val="0"/>
          <w:numId w:val="1"/>
        </w:numPr>
        <w:tabs>
          <w:tab w:val="left" w:pos="360"/>
        </w:tabs>
        <w:spacing w:line="360" w:lineRule="auto"/>
        <w:ind w:left="357" w:hanging="357"/>
        <w:outlineLvl w:val="1"/>
        <w:rPr>
          <w:rFonts w:ascii="宋体" w:hAnsi="宋体" w:cs="宋体"/>
          <w:color w:val="000000" w:themeColor="text1"/>
          <w:sz w:val="24"/>
          <w14:textFill>
            <w14:solidFill>
              <w14:schemeClr w14:val="tx1"/>
            </w14:solidFill>
          </w14:textFill>
        </w:rPr>
      </w:pPr>
      <w:bookmarkStart w:id="267" w:name="_Toc151193775"/>
      <w:bookmarkStart w:id="268" w:name="_Toc264969223"/>
      <w:bookmarkStart w:id="269" w:name="_Toc151193703"/>
      <w:bookmarkStart w:id="270" w:name="_Toc150480771"/>
      <w:bookmarkStart w:id="271" w:name="_Toc226965806"/>
      <w:bookmarkStart w:id="272" w:name="_Toc195842898"/>
      <w:bookmarkStart w:id="273" w:name="_Toc149720826"/>
      <w:bookmarkStart w:id="274" w:name="_Toc164229228"/>
      <w:bookmarkStart w:id="275" w:name="_Toc150509284"/>
      <w:bookmarkStart w:id="276" w:name="_Toc520356158"/>
      <w:bookmarkStart w:id="277" w:name="_Toc226337229"/>
      <w:bookmarkStart w:id="278" w:name="_Toc127151533"/>
      <w:bookmarkStart w:id="279" w:name="_Toc164608802"/>
      <w:bookmarkStart w:id="280" w:name="_Toc151193631"/>
      <w:bookmarkStart w:id="281" w:name="_Toc151193921"/>
      <w:bookmarkStart w:id="282" w:name="_Toc150774738"/>
      <w:bookmarkStart w:id="283" w:name="_Toc226965723"/>
      <w:bookmarkStart w:id="284" w:name="_Toc151193847"/>
      <w:bookmarkStart w:id="285" w:name="_Toc127161447"/>
      <w:bookmarkStart w:id="286" w:name="_Toc151190160"/>
      <w:bookmarkStart w:id="287" w:name="_Toc164608647"/>
      <w:bookmarkStart w:id="288" w:name="_Toc305158801"/>
      <w:bookmarkStart w:id="289" w:name="_Toc127151734"/>
      <w:bookmarkStart w:id="290" w:name="_Toc265228371"/>
      <w:bookmarkStart w:id="291" w:name="_Toc305158875"/>
      <w:bookmarkStart w:id="292" w:name="_Toc142311035"/>
      <w:bookmarkStart w:id="293" w:name="_Toc226309777"/>
      <w:bookmarkStart w:id="294" w:name="_Toc150774633"/>
      <w:bookmarkStart w:id="295" w:name="_Toc164351627"/>
      <w:bookmarkStart w:id="296" w:name="_Toc164229374"/>
      <w:r>
        <w:rPr>
          <w:rFonts w:hint="eastAsia" w:ascii="宋体" w:hAnsi="宋体" w:cs="宋体"/>
          <w:color w:val="000000" w:themeColor="text1"/>
          <w:sz w:val="24"/>
          <w14:textFill>
            <w14:solidFill>
              <w14:schemeClr w14:val="tx1"/>
            </w14:solidFill>
          </w14:textFill>
        </w:rPr>
        <w:t>响应文件的签署</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r>
        <w:rPr>
          <w:rFonts w:hint="eastAsia" w:ascii="宋体" w:hAnsi="宋体" w:cs="宋体"/>
          <w:color w:val="000000" w:themeColor="text1"/>
          <w:sz w:val="24"/>
          <w14:textFill>
            <w14:solidFill>
              <w14:schemeClr w14:val="tx1"/>
            </w14:solidFill>
          </w14:textFill>
        </w:rPr>
        <w:t>、盖章</w:t>
      </w:r>
    </w:p>
    <w:p w14:paraId="1804281E">
      <w:pPr>
        <w:numPr>
          <w:ilvl w:val="1"/>
          <w:numId w:val="1"/>
        </w:numPr>
        <w:tabs>
          <w:tab w:val="left" w:pos="1080"/>
        </w:tabs>
        <w:spacing w:line="360" w:lineRule="auto"/>
        <w:rPr>
          <w:rFonts w:ascii="宋体" w:hAnsi="宋体" w:cs="宋体"/>
          <w:color w:val="000000" w:themeColor="text1"/>
          <w:sz w:val="24"/>
          <w14:textFill>
            <w14:solidFill>
              <w14:schemeClr w14:val="tx1"/>
            </w14:solidFill>
          </w14:textFill>
        </w:rPr>
      </w:pPr>
      <w:bookmarkStart w:id="297" w:name="_Toc127151534"/>
      <w:bookmarkStart w:id="298" w:name="_Toc150774739"/>
      <w:bookmarkStart w:id="299" w:name="_Toc520356159"/>
      <w:bookmarkStart w:id="300" w:name="_Toc226965724"/>
      <w:bookmarkStart w:id="301" w:name="_Toc305158876"/>
      <w:bookmarkStart w:id="302" w:name="_Toc150509285"/>
      <w:bookmarkStart w:id="303" w:name="_Toc151193776"/>
      <w:bookmarkStart w:id="304" w:name="_Toc226337230"/>
      <w:bookmarkStart w:id="305" w:name="_Toc150480772"/>
      <w:bookmarkStart w:id="306" w:name="_Toc226309778"/>
      <w:bookmarkStart w:id="307" w:name="_Toc151193632"/>
      <w:bookmarkStart w:id="308" w:name="_Toc265228372"/>
      <w:bookmarkStart w:id="309" w:name="_Toc195842899"/>
      <w:bookmarkStart w:id="310" w:name="_Toc151193848"/>
      <w:bookmarkStart w:id="311" w:name="_Toc151193922"/>
      <w:bookmarkStart w:id="312" w:name="_Toc151193704"/>
      <w:bookmarkStart w:id="313" w:name="_Toc151190161"/>
      <w:bookmarkStart w:id="314" w:name="_Toc226965807"/>
      <w:bookmarkStart w:id="315" w:name="_Toc264969224"/>
      <w:bookmarkStart w:id="316" w:name="_Toc305158802"/>
      <w:bookmarkStart w:id="317" w:name="_Toc150774634"/>
      <w:bookmarkStart w:id="318" w:name="_Toc142311036"/>
      <w:r>
        <w:rPr>
          <w:rFonts w:hint="eastAsia" w:ascii="宋体" w:hAnsi="宋体" w:cs="宋体"/>
          <w:color w:val="000000" w:themeColor="text1"/>
          <w:sz w:val="24"/>
          <w14:textFill>
            <w14:solidFill>
              <w14:schemeClr w14:val="tx1"/>
            </w14:solidFill>
          </w14:textFill>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7255EA1A">
      <w:pPr>
        <w:numPr>
          <w:ilvl w:val="1"/>
          <w:numId w:val="1"/>
        </w:numPr>
        <w:tabs>
          <w:tab w:val="left" w:pos="1080"/>
          <w:tab w:val="left" w:pos="2014"/>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竞争性磋商文件要求盖章的内容，一般通过投标文件编制工具加盖电子签章。</w:t>
      </w:r>
    </w:p>
    <w:p w14:paraId="0DFEEF0E">
      <w:pPr>
        <w:tabs>
          <w:tab w:val="left" w:pos="900"/>
          <w:tab w:val="left" w:pos="1080"/>
        </w:tabs>
        <w:spacing w:line="360" w:lineRule="auto"/>
        <w:ind w:left="357"/>
        <w:rPr>
          <w:rFonts w:ascii="宋体" w:hAnsi="宋体" w:cs="宋体"/>
          <w:color w:val="000000" w:themeColor="text1"/>
          <w14:textFill>
            <w14:solidFill>
              <w14:schemeClr w14:val="tx1"/>
            </w14:solidFill>
          </w14:textFill>
        </w:rPr>
      </w:pPr>
    </w:p>
    <w:p w14:paraId="3B9DE244">
      <w:pPr>
        <w:pStyle w:val="3"/>
        <w:spacing w:before="0" w:line="360" w:lineRule="auto"/>
        <w:jc w:val="center"/>
        <w:rPr>
          <w:rFonts w:ascii="宋体" w:hAnsi="宋体" w:eastAsia="宋体" w:cs="宋体"/>
          <w:color w:val="000000" w:themeColor="text1"/>
          <w:sz w:val="28"/>
          <w14:textFill>
            <w14:solidFill>
              <w14:schemeClr w14:val="tx1"/>
            </w14:solidFill>
          </w14:textFill>
        </w:rPr>
      </w:pPr>
      <w:r>
        <w:rPr>
          <w:rFonts w:hint="eastAsia" w:ascii="宋体" w:hAnsi="宋体" w:eastAsia="宋体" w:cs="宋体"/>
          <w:color w:val="000000" w:themeColor="text1"/>
          <w:sz w:val="28"/>
          <w14:textFill>
            <w14:solidFill>
              <w14:schemeClr w14:val="tx1"/>
            </w14:solidFill>
          </w14:textFill>
        </w:rPr>
        <w:t>四   响应文件的提交</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14:paraId="064AC582">
      <w:pPr>
        <w:numPr>
          <w:ilvl w:val="0"/>
          <w:numId w:val="1"/>
        </w:numPr>
        <w:tabs>
          <w:tab w:val="left" w:pos="0"/>
        </w:tabs>
        <w:spacing w:line="360" w:lineRule="auto"/>
        <w:ind w:left="0" w:firstLine="482"/>
        <w:outlineLvl w:val="1"/>
        <w:rPr>
          <w:rFonts w:ascii="宋体" w:hAnsi="宋体" w:cs="宋体"/>
          <w:b/>
          <w:color w:val="000000" w:themeColor="text1"/>
          <w:sz w:val="24"/>
          <w14:textFill>
            <w14:solidFill>
              <w14:schemeClr w14:val="tx1"/>
            </w14:solidFill>
          </w14:textFill>
        </w:rPr>
      </w:pPr>
      <w:bookmarkStart w:id="319" w:name="_Toc226309779"/>
      <w:bookmarkStart w:id="320" w:name="_Toc151190162"/>
      <w:bookmarkStart w:id="321" w:name="_Toc149720828"/>
      <w:bookmarkStart w:id="322" w:name="_Toc305158803"/>
      <w:bookmarkStart w:id="323" w:name="_Toc151193923"/>
      <w:bookmarkStart w:id="324" w:name="_Toc164351629"/>
      <w:bookmarkStart w:id="325" w:name="_Toc226337231"/>
      <w:bookmarkStart w:id="326" w:name="_Toc142311037"/>
      <w:bookmarkStart w:id="327" w:name="_Toc265228373"/>
      <w:bookmarkStart w:id="328" w:name="_Toc151193633"/>
      <w:bookmarkStart w:id="329" w:name="_Toc164229376"/>
      <w:bookmarkStart w:id="330" w:name="_Toc195842900"/>
      <w:bookmarkStart w:id="331" w:name="_Toc150480773"/>
      <w:bookmarkStart w:id="332" w:name="_Toc127151535"/>
      <w:bookmarkStart w:id="333" w:name="_Toc127161449"/>
      <w:bookmarkStart w:id="334" w:name="_Toc520356160"/>
      <w:bookmarkStart w:id="335" w:name="_Toc151193777"/>
      <w:bookmarkStart w:id="336" w:name="_Toc164608649"/>
      <w:bookmarkStart w:id="337" w:name="_Toc150774635"/>
      <w:bookmarkStart w:id="338" w:name="_Toc226965725"/>
      <w:bookmarkStart w:id="339" w:name="_Toc151193705"/>
      <w:bookmarkStart w:id="340" w:name="_Toc164608804"/>
      <w:bookmarkStart w:id="341" w:name="_Toc127151736"/>
      <w:bookmarkStart w:id="342" w:name="_Toc264969225"/>
      <w:bookmarkStart w:id="343" w:name="_Toc164229230"/>
      <w:bookmarkStart w:id="344" w:name="_Toc150774740"/>
      <w:bookmarkStart w:id="345" w:name="_Toc151193849"/>
      <w:bookmarkStart w:id="346" w:name="_Toc226965808"/>
      <w:bookmarkStart w:id="347" w:name="_Toc305158877"/>
      <w:bookmarkStart w:id="348" w:name="_Toc150509286"/>
      <w:bookmarkStart w:id="349" w:name="_Toc520356169"/>
      <w:r>
        <w:rPr>
          <w:rFonts w:hint="eastAsia" w:ascii="宋体" w:hAnsi="宋体" w:cs="宋体"/>
          <w:b/>
          <w:color w:val="000000" w:themeColor="text1"/>
          <w:sz w:val="24"/>
          <w14:textFill>
            <w14:solidFill>
              <w14:schemeClr w14:val="tx1"/>
            </w14:solidFill>
          </w14:textFill>
        </w:rPr>
        <w:t>响应文件的</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r>
        <w:rPr>
          <w:rFonts w:hint="eastAsia" w:ascii="宋体" w:hAnsi="宋体" w:cs="宋体"/>
          <w:b/>
          <w:color w:val="000000" w:themeColor="text1"/>
          <w:sz w:val="24"/>
          <w14:textFill>
            <w14:solidFill>
              <w14:schemeClr w14:val="tx1"/>
            </w14:solidFill>
          </w14:textFill>
        </w:rPr>
        <w:t>提交</w:t>
      </w:r>
    </w:p>
    <w:p w14:paraId="0463706F">
      <w:pPr>
        <w:numPr>
          <w:ilvl w:val="1"/>
          <w:numId w:val="1"/>
        </w:numPr>
        <w:tabs>
          <w:tab w:val="left" w:pos="0"/>
          <w:tab w:val="left" w:pos="1080"/>
          <w:tab w:val="left" w:pos="2014"/>
        </w:tabs>
        <w:spacing w:line="360" w:lineRule="auto"/>
        <w:ind w:left="0"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本项目使用政府采购一体化平台“苏采云”。供应商根据竞争性磋商文件及政府采购一体化平台“苏采云”供应商操作手册要求编制、生成并提交电子响应文件。</w:t>
      </w:r>
    </w:p>
    <w:p w14:paraId="19DFC464">
      <w:pPr>
        <w:numPr>
          <w:ilvl w:val="1"/>
          <w:numId w:val="1"/>
        </w:numPr>
        <w:tabs>
          <w:tab w:val="left" w:pos="0"/>
          <w:tab w:val="left" w:pos="1080"/>
          <w:tab w:val="left" w:pos="2014"/>
        </w:tabs>
        <w:spacing w:line="360" w:lineRule="auto"/>
        <w:ind w:left="0"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采购人及采购代理机构拒绝接受通过电子交易平台以外任何形式提交的响应文件，磋商保证金除外。</w:t>
      </w:r>
    </w:p>
    <w:p w14:paraId="7938E01C">
      <w:pPr>
        <w:pStyle w:val="17"/>
        <w:spacing w:before="0" w:line="360" w:lineRule="auto"/>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color w:val="000000" w:themeColor="text1"/>
          <w14:textFill>
            <w14:solidFill>
              <w14:schemeClr w14:val="tx1"/>
            </w14:solidFill>
          </w14:textFill>
        </w:rPr>
        <w:t>4.3</w:t>
      </w:r>
      <w:r>
        <w:rPr>
          <w:rFonts w:hint="eastAsia"/>
          <w:color w:val="000000" w:themeColor="text1"/>
          <w14:textFill>
            <w14:solidFill>
              <w14:schemeClr w14:val="tx1"/>
            </w14:solidFill>
          </w14:textFill>
        </w:rPr>
        <w:t>响应文件的份数应符合</w:t>
      </w:r>
      <w:r>
        <w:rPr>
          <w:color w:val="000000" w:themeColor="text1"/>
          <w14:textFill>
            <w14:solidFill>
              <w14:schemeClr w14:val="tx1"/>
            </w14:solidFill>
          </w14:textFill>
        </w:rPr>
        <w:t>本竞争性磋商文件《供应商须知资料表》中</w:t>
      </w:r>
      <w:r>
        <w:rPr>
          <w:rFonts w:hint="eastAsia"/>
          <w:color w:val="000000" w:themeColor="text1"/>
          <w14:textFill>
            <w14:solidFill>
              <w14:schemeClr w14:val="tx1"/>
            </w14:solidFill>
          </w14:textFill>
        </w:rPr>
        <w:t>要求。</w:t>
      </w:r>
    </w:p>
    <w:p w14:paraId="202F97D0">
      <w:pPr>
        <w:numPr>
          <w:ilvl w:val="0"/>
          <w:numId w:val="1"/>
        </w:numPr>
        <w:tabs>
          <w:tab w:val="left" w:pos="0"/>
        </w:tabs>
        <w:spacing w:line="360" w:lineRule="auto"/>
        <w:ind w:left="0" w:firstLine="482"/>
        <w:outlineLvl w:val="1"/>
        <w:rPr>
          <w:rFonts w:ascii="宋体" w:hAnsi="宋体" w:cs="宋体"/>
          <w:b/>
          <w:color w:val="000000" w:themeColor="text1"/>
          <w:sz w:val="24"/>
          <w14:textFill>
            <w14:solidFill>
              <w14:schemeClr w14:val="tx1"/>
            </w14:solidFill>
          </w14:textFill>
        </w:rPr>
      </w:pPr>
      <w:bookmarkStart w:id="350" w:name="_Toc164608805"/>
      <w:bookmarkStart w:id="351" w:name="_Toc151190163"/>
      <w:bookmarkStart w:id="352" w:name="_Toc226965726"/>
      <w:bookmarkStart w:id="353" w:name="_Toc127151536"/>
      <w:bookmarkStart w:id="354" w:name="_Toc150774636"/>
      <w:bookmarkStart w:id="355" w:name="_Toc520356161"/>
      <w:bookmarkStart w:id="356" w:name="_Toc226337232"/>
      <w:bookmarkStart w:id="357" w:name="_Toc142311038"/>
      <w:bookmarkStart w:id="358" w:name="_Toc149720829"/>
      <w:bookmarkStart w:id="359" w:name="_Toc151193706"/>
      <w:bookmarkStart w:id="360" w:name="_Toc164608650"/>
      <w:bookmarkStart w:id="361" w:name="_Toc226965809"/>
      <w:bookmarkStart w:id="362" w:name="_Toc226309780"/>
      <w:bookmarkStart w:id="363" w:name="_Toc164229377"/>
      <w:bookmarkStart w:id="364" w:name="_Toc150774741"/>
      <w:bookmarkStart w:id="365" w:name="_Toc127151737"/>
      <w:bookmarkStart w:id="366" w:name="_Toc265228374"/>
      <w:bookmarkStart w:id="367" w:name="_Toc195842901"/>
      <w:bookmarkStart w:id="368" w:name="_Toc150480774"/>
      <w:bookmarkStart w:id="369" w:name="_Toc151193924"/>
      <w:bookmarkStart w:id="370" w:name="_Toc305158804"/>
      <w:bookmarkStart w:id="371" w:name="_Toc151193778"/>
      <w:bookmarkStart w:id="372" w:name="_Toc127161450"/>
      <w:bookmarkStart w:id="373" w:name="_Toc151193634"/>
      <w:bookmarkStart w:id="374" w:name="_Toc305158878"/>
      <w:bookmarkStart w:id="375" w:name="_Toc151193850"/>
      <w:bookmarkStart w:id="376" w:name="_Toc164229231"/>
      <w:bookmarkStart w:id="377" w:name="_Toc164351630"/>
      <w:bookmarkStart w:id="378" w:name="_Toc150509287"/>
      <w:bookmarkStart w:id="379" w:name="_Toc264969226"/>
      <w:r>
        <w:rPr>
          <w:rFonts w:hint="eastAsia" w:ascii="宋体" w:hAnsi="宋体" w:cs="宋体"/>
          <w:b/>
          <w:color w:val="000000" w:themeColor="text1"/>
          <w:sz w:val="24"/>
          <w14:textFill>
            <w14:solidFill>
              <w14:schemeClr w14:val="tx1"/>
            </w14:solidFill>
          </w14:textFill>
        </w:rPr>
        <w:t>响应文件截止</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r>
        <w:rPr>
          <w:rFonts w:hint="eastAsia" w:ascii="宋体" w:hAnsi="宋体" w:cs="宋体"/>
          <w:b/>
          <w:color w:val="000000" w:themeColor="text1"/>
          <w:sz w:val="24"/>
          <w14:textFill>
            <w14:solidFill>
              <w14:schemeClr w14:val="tx1"/>
            </w14:solidFill>
          </w14:textFill>
        </w:rPr>
        <w:t>时间</w:t>
      </w:r>
    </w:p>
    <w:p w14:paraId="3AAB25BB">
      <w:pPr>
        <w:numPr>
          <w:ilvl w:val="1"/>
          <w:numId w:val="1"/>
        </w:numPr>
        <w:tabs>
          <w:tab w:val="left" w:pos="0"/>
          <w:tab w:val="left" w:pos="1080"/>
          <w:tab w:val="left" w:pos="2014"/>
        </w:tabs>
        <w:spacing w:line="360" w:lineRule="auto"/>
        <w:ind w:left="0"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供应商应在竞争性磋商文件要求提交响应文件截止时间前，将电子响应文件提交至政府采购一体化平台“苏采云”。</w:t>
      </w:r>
    </w:p>
    <w:p w14:paraId="333A4BDE">
      <w:pPr>
        <w:numPr>
          <w:ilvl w:val="0"/>
          <w:numId w:val="1"/>
        </w:numPr>
        <w:tabs>
          <w:tab w:val="left" w:pos="0"/>
        </w:tabs>
        <w:spacing w:line="360" w:lineRule="auto"/>
        <w:ind w:left="0" w:firstLine="482"/>
        <w:outlineLvl w:val="1"/>
        <w:rPr>
          <w:rFonts w:ascii="宋体" w:hAnsi="宋体" w:cs="宋体"/>
          <w:b/>
          <w:color w:val="000000" w:themeColor="text1"/>
          <w:sz w:val="24"/>
          <w14:textFill>
            <w14:solidFill>
              <w14:schemeClr w14:val="tx1"/>
            </w14:solidFill>
          </w14:textFill>
        </w:rPr>
      </w:pPr>
      <w:bookmarkStart w:id="380" w:name="_Toc150509288"/>
      <w:bookmarkStart w:id="381" w:name="_Toc226337233"/>
      <w:bookmarkStart w:id="382" w:name="_Toc265228375"/>
      <w:bookmarkStart w:id="383" w:name="_Toc164229232"/>
      <w:bookmarkStart w:id="384" w:name="_Toc150774637"/>
      <w:bookmarkStart w:id="385" w:name="_Toc150480775"/>
      <w:bookmarkStart w:id="386" w:name="_Toc127151738"/>
      <w:bookmarkStart w:id="387" w:name="_Toc151193851"/>
      <w:bookmarkStart w:id="388" w:name="_Toc264969227"/>
      <w:bookmarkStart w:id="389" w:name="_Toc520356162"/>
      <w:bookmarkStart w:id="390" w:name="_Toc149720830"/>
      <w:bookmarkStart w:id="391" w:name="_Toc226965727"/>
      <w:bookmarkStart w:id="392" w:name="_Toc151190164"/>
      <w:bookmarkStart w:id="393" w:name="_Toc305158879"/>
      <w:bookmarkStart w:id="394" w:name="_Toc127161451"/>
      <w:bookmarkStart w:id="395" w:name="_Toc127151537"/>
      <w:bookmarkStart w:id="396" w:name="_Toc151193635"/>
      <w:bookmarkStart w:id="397" w:name="_Toc151193925"/>
      <w:bookmarkStart w:id="398" w:name="_Toc151193707"/>
      <w:bookmarkStart w:id="399" w:name="_Toc226965810"/>
      <w:bookmarkStart w:id="400" w:name="_Toc305158805"/>
      <w:bookmarkStart w:id="401" w:name="_Toc226309781"/>
      <w:bookmarkStart w:id="402" w:name="_Toc164608806"/>
      <w:bookmarkStart w:id="403" w:name="_Toc164229378"/>
      <w:bookmarkStart w:id="404" w:name="_Toc164351631"/>
      <w:bookmarkStart w:id="405" w:name="_Toc164608651"/>
      <w:bookmarkStart w:id="406" w:name="_Toc195842902"/>
      <w:bookmarkStart w:id="407" w:name="_Toc151193779"/>
      <w:bookmarkStart w:id="408" w:name="_Toc150774742"/>
      <w:bookmarkStart w:id="409" w:name="_Toc142311039"/>
      <w:r>
        <w:rPr>
          <w:rFonts w:hint="eastAsia" w:ascii="宋体" w:hAnsi="宋体" w:cs="宋体"/>
          <w:b/>
          <w:color w:val="000000" w:themeColor="text1"/>
          <w:sz w:val="24"/>
          <w14:textFill>
            <w14:solidFill>
              <w14:schemeClr w14:val="tx1"/>
            </w14:solidFill>
          </w14:textFill>
        </w:rPr>
        <w:t>响应文件的修改与撤回</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7F91D569">
      <w:pPr>
        <w:numPr>
          <w:ilvl w:val="1"/>
          <w:numId w:val="1"/>
        </w:numPr>
        <w:tabs>
          <w:tab w:val="left" w:pos="0"/>
          <w:tab w:val="left" w:pos="1080"/>
          <w:tab w:val="left" w:pos="2014"/>
        </w:tabs>
        <w:spacing w:line="360" w:lineRule="auto"/>
        <w:ind w:left="0"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3A970085">
      <w:pPr>
        <w:numPr>
          <w:ilvl w:val="1"/>
          <w:numId w:val="1"/>
        </w:numPr>
        <w:tabs>
          <w:tab w:val="left" w:pos="0"/>
          <w:tab w:val="left" w:pos="1080"/>
          <w:tab w:val="left" w:pos="2014"/>
        </w:tabs>
        <w:spacing w:line="360" w:lineRule="auto"/>
        <w:ind w:left="0"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供应商对响应文件的补充、修改的内容应当按照竞争性磋商文件要求签署、盖章，作为响应文件的组成部分。补充、修改的内容与响应文件不一致的，以补充、修改的内容为准。</w:t>
      </w:r>
    </w:p>
    <w:p w14:paraId="4B71BADD">
      <w:pPr>
        <w:tabs>
          <w:tab w:val="left" w:pos="0"/>
          <w:tab w:val="left" w:pos="900"/>
          <w:tab w:val="left" w:pos="1080"/>
          <w:tab w:val="left" w:pos="1589"/>
        </w:tabs>
        <w:spacing w:line="360" w:lineRule="auto"/>
        <w:ind w:firstLine="480"/>
        <w:rPr>
          <w:rFonts w:ascii="宋体" w:hAnsi="宋体" w:cs="宋体"/>
          <w:color w:val="000000" w:themeColor="text1"/>
          <w:sz w:val="24"/>
          <w14:textFill>
            <w14:solidFill>
              <w14:schemeClr w14:val="tx1"/>
            </w14:solidFill>
          </w14:textFill>
        </w:rPr>
      </w:pPr>
    </w:p>
    <w:p w14:paraId="3ABE1837">
      <w:pPr>
        <w:pStyle w:val="339"/>
        <w:tabs>
          <w:tab w:val="left" w:pos="0"/>
        </w:tabs>
        <w:spacing w:before="0" w:line="360" w:lineRule="auto"/>
        <w:ind w:firstLine="562"/>
        <w:rPr>
          <w:rFonts w:ascii="宋体" w:hAnsi="宋体" w:eastAsia="宋体" w:cs="宋体"/>
          <w:color w:val="000000" w:themeColor="text1"/>
          <w:sz w:val="28"/>
          <w14:textFill>
            <w14:solidFill>
              <w14:schemeClr w14:val="tx1"/>
            </w14:solidFill>
          </w14:textFill>
        </w:rPr>
      </w:pPr>
      <w:bookmarkStart w:id="410" w:name="_Toc151190165"/>
      <w:bookmarkStart w:id="411" w:name="_Toc151193708"/>
      <w:bookmarkStart w:id="412" w:name="_Toc142311040"/>
      <w:bookmarkStart w:id="413" w:name="_Toc151193852"/>
      <w:bookmarkStart w:id="414" w:name="_Toc151193780"/>
      <w:bookmarkStart w:id="415" w:name="_Toc265228376"/>
      <w:bookmarkStart w:id="416" w:name="_Toc305158806"/>
      <w:bookmarkStart w:id="417" w:name="_Toc150480776"/>
      <w:bookmarkStart w:id="418" w:name="_Toc150509289"/>
      <w:bookmarkStart w:id="419" w:name="_Toc226965811"/>
      <w:bookmarkStart w:id="420" w:name="_Toc150774743"/>
      <w:bookmarkStart w:id="421" w:name="_Toc226309782"/>
      <w:bookmarkStart w:id="422" w:name="_Toc305158880"/>
      <w:bookmarkStart w:id="423" w:name="_Toc150774638"/>
      <w:bookmarkStart w:id="424" w:name="_Toc520356163"/>
      <w:bookmarkStart w:id="425" w:name="_Toc264969228"/>
      <w:bookmarkStart w:id="426" w:name="_Toc127151538"/>
      <w:bookmarkStart w:id="427" w:name="_Toc151193926"/>
      <w:bookmarkStart w:id="428" w:name="_Toc226965728"/>
      <w:bookmarkStart w:id="429" w:name="_Toc151193636"/>
      <w:bookmarkStart w:id="430" w:name="_Toc195842903"/>
      <w:bookmarkStart w:id="431" w:name="_Toc226337234"/>
      <w:r>
        <w:rPr>
          <w:rFonts w:hint="eastAsia" w:ascii="宋体" w:hAnsi="宋体" w:eastAsia="宋体" w:cs="宋体"/>
          <w:color w:val="000000" w:themeColor="text1"/>
          <w:sz w:val="28"/>
          <w14:textFill>
            <w14:solidFill>
              <w14:schemeClr w14:val="tx1"/>
            </w14:solidFill>
          </w14:textFill>
        </w:rPr>
        <w:t xml:space="preserve">五   </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r>
        <w:rPr>
          <w:rFonts w:hint="eastAsia" w:ascii="宋体" w:hAnsi="宋体" w:eastAsia="宋体" w:cs="宋体"/>
          <w:color w:val="000000" w:themeColor="text1"/>
          <w:sz w:val="28"/>
          <w14:textFill>
            <w14:solidFill>
              <w14:schemeClr w14:val="tx1"/>
            </w14:solidFill>
          </w14:textFill>
        </w:rPr>
        <w:t>评审</w:t>
      </w:r>
    </w:p>
    <w:p w14:paraId="403ECBFF">
      <w:pPr>
        <w:numPr>
          <w:ilvl w:val="0"/>
          <w:numId w:val="1"/>
        </w:numPr>
        <w:tabs>
          <w:tab w:val="left" w:pos="0"/>
        </w:tabs>
        <w:spacing w:line="360" w:lineRule="auto"/>
        <w:ind w:left="0" w:firstLine="482"/>
        <w:outlineLvl w:val="1"/>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响应文件的解密与开启</w:t>
      </w:r>
    </w:p>
    <w:p w14:paraId="28616E1E">
      <w:pPr>
        <w:numPr>
          <w:ilvl w:val="1"/>
          <w:numId w:val="1"/>
        </w:numPr>
        <w:tabs>
          <w:tab w:val="left" w:pos="0"/>
          <w:tab w:val="left" w:pos="1080"/>
          <w:tab w:val="left" w:pos="2014"/>
        </w:tabs>
        <w:spacing w:line="360" w:lineRule="auto"/>
        <w:ind w:left="0"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采购人或采购代理机构将按竞争性磋商文件的规定，在响应文件提交截止时间的同一时间和竞争性磋商文件预先确定的地点开启响应文件。</w:t>
      </w:r>
    </w:p>
    <w:p w14:paraId="29226FFC">
      <w:pPr>
        <w:numPr>
          <w:ilvl w:val="1"/>
          <w:numId w:val="1"/>
        </w:numPr>
        <w:tabs>
          <w:tab w:val="left" w:pos="0"/>
          <w:tab w:val="left" w:pos="1080"/>
          <w:tab w:val="left" w:pos="2014"/>
        </w:tabs>
        <w:spacing w:line="360" w:lineRule="auto"/>
        <w:ind w:left="0"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本项目采用不见面交易模式，使用政府采购一体化平台“苏采云”在线进行解密。供应商应在规定的时间内对响应文件进行解密，因非系统原因导致的解密失败，视为</w:t>
      </w:r>
      <w:r>
        <w:rPr>
          <w:rFonts w:hint="eastAsia" w:ascii="宋体" w:hAnsi="宋体" w:cs="宋体"/>
          <w:b/>
          <w:color w:val="000000" w:themeColor="text1"/>
          <w:sz w:val="24"/>
          <w14:textFill>
            <w14:solidFill>
              <w14:schemeClr w14:val="tx1"/>
            </w14:solidFill>
          </w14:textFill>
        </w:rPr>
        <w:t>响应无效</w:t>
      </w:r>
      <w:r>
        <w:rPr>
          <w:rFonts w:hint="eastAsia" w:ascii="宋体" w:hAnsi="宋体" w:cs="宋体"/>
          <w:color w:val="000000" w:themeColor="text1"/>
          <w:sz w:val="24"/>
          <w14:textFill>
            <w14:solidFill>
              <w14:schemeClr w14:val="tx1"/>
            </w14:solidFill>
          </w14:textFill>
        </w:rPr>
        <w:t>。</w:t>
      </w:r>
    </w:p>
    <w:p w14:paraId="1C5D68EC">
      <w:pPr>
        <w:numPr>
          <w:ilvl w:val="1"/>
          <w:numId w:val="1"/>
        </w:numPr>
        <w:tabs>
          <w:tab w:val="left" w:pos="0"/>
          <w:tab w:val="left" w:pos="1080"/>
          <w:tab w:val="left" w:pos="2014"/>
        </w:tabs>
        <w:spacing w:line="360" w:lineRule="auto"/>
        <w:ind w:left="0"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供应商不足3家的，不予解密。</w:t>
      </w:r>
    </w:p>
    <w:p w14:paraId="0C251F48">
      <w:pPr>
        <w:numPr>
          <w:ilvl w:val="1"/>
          <w:numId w:val="1"/>
        </w:numPr>
        <w:tabs>
          <w:tab w:val="left" w:pos="0"/>
          <w:tab w:val="left" w:pos="1080"/>
          <w:tab w:val="left" w:pos="2014"/>
        </w:tabs>
        <w:spacing w:line="360" w:lineRule="auto"/>
        <w:ind w:left="0" w:firstLine="480"/>
        <w:rPr>
          <w:rFonts w:ascii="宋体" w:hAnsi="宋体" w:cs="宋体"/>
          <w:color w:val="000000" w:themeColor="text1"/>
          <w:sz w:val="24"/>
          <w14:textFill>
            <w14:solidFill>
              <w14:schemeClr w14:val="tx1"/>
            </w14:solidFill>
          </w14:textFill>
        </w:rPr>
      </w:pPr>
      <w:bookmarkStart w:id="432" w:name="_Toc520356165"/>
      <w:r>
        <w:rPr>
          <w:rFonts w:hint="eastAsia" w:ascii="宋体" w:hAnsi="宋体" w:cs="宋体"/>
          <w:color w:val="000000" w:themeColor="text1"/>
          <w:sz w:val="24"/>
          <w14:textFill>
            <w14:solidFill>
              <w14:schemeClr w14:val="tx1"/>
            </w14:solidFill>
          </w14:textFill>
        </w:rPr>
        <w:t>本项目不公开报价。</w:t>
      </w:r>
    </w:p>
    <w:p w14:paraId="0883B7EE">
      <w:pPr>
        <w:numPr>
          <w:ilvl w:val="1"/>
          <w:numId w:val="1"/>
        </w:numPr>
        <w:tabs>
          <w:tab w:val="left" w:pos="0"/>
          <w:tab w:val="left" w:pos="1080"/>
          <w:tab w:val="left" w:pos="2014"/>
        </w:tabs>
        <w:spacing w:line="360" w:lineRule="auto"/>
        <w:ind w:left="0"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p>
    <w:p w14:paraId="4926D838">
      <w:pPr>
        <w:numPr>
          <w:ilvl w:val="1"/>
          <w:numId w:val="1"/>
        </w:numPr>
        <w:tabs>
          <w:tab w:val="left" w:pos="0"/>
          <w:tab w:val="left" w:pos="1080"/>
          <w:tab w:val="left" w:pos="2014"/>
        </w:tabs>
        <w:spacing w:line="360" w:lineRule="auto"/>
        <w:ind w:left="0"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p>
    <w:p w14:paraId="19922440">
      <w:pPr>
        <w:numPr>
          <w:ilvl w:val="1"/>
          <w:numId w:val="1"/>
        </w:numPr>
        <w:tabs>
          <w:tab w:val="left" w:pos="0"/>
          <w:tab w:val="left" w:pos="1080"/>
          <w:tab w:val="left" w:pos="2014"/>
        </w:tabs>
        <w:spacing w:line="360" w:lineRule="auto"/>
        <w:ind w:left="0"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如果在采购活动过程中出现以下情形，导致“政府采购一体化平台“苏采云””系统无法正常运行，或者无法保证本项目采购活动的公平、公正和安全时，代理机构可以延缓或者暂停采购活动，情况严重的可以终止采购活动：</w:t>
      </w:r>
    </w:p>
    <w:p w14:paraId="353F130B">
      <w:pPr>
        <w:tabs>
          <w:tab w:val="left" w:pos="0"/>
          <w:tab w:val="left" w:pos="1080"/>
          <w:tab w:val="left" w:pos="1589"/>
          <w:tab w:val="left" w:pos="2014"/>
        </w:tabs>
        <w:spacing w:line="360" w:lineRule="auto"/>
        <w:ind w:left="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1)平台系统发生故障而无法登录访问的；</w:t>
      </w:r>
    </w:p>
    <w:p w14:paraId="6F219267">
      <w:pPr>
        <w:tabs>
          <w:tab w:val="left" w:pos="0"/>
          <w:tab w:val="left" w:pos="1080"/>
          <w:tab w:val="left" w:pos="1589"/>
          <w:tab w:val="left" w:pos="2014"/>
        </w:tabs>
        <w:spacing w:line="360" w:lineRule="auto"/>
        <w:ind w:left="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2)平台系统应用或数据库出现错误，不能进行正常操作的；</w:t>
      </w:r>
    </w:p>
    <w:p w14:paraId="156DF972">
      <w:pPr>
        <w:tabs>
          <w:tab w:val="left" w:pos="0"/>
          <w:tab w:val="left" w:pos="1080"/>
          <w:tab w:val="left" w:pos="1589"/>
          <w:tab w:val="left" w:pos="2014"/>
        </w:tabs>
        <w:spacing w:line="360" w:lineRule="auto"/>
        <w:ind w:left="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3)平台系统发现严重安全漏洞，有潜在泄密危险的；</w:t>
      </w:r>
    </w:p>
    <w:p w14:paraId="39C6AEB2">
      <w:pPr>
        <w:tabs>
          <w:tab w:val="left" w:pos="0"/>
          <w:tab w:val="left" w:pos="1080"/>
          <w:tab w:val="left" w:pos="1589"/>
          <w:tab w:val="left" w:pos="2014"/>
        </w:tabs>
        <w:spacing w:line="360" w:lineRule="auto"/>
        <w:ind w:left="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4)病毒发作导致平台系统不能进行正常操作的；</w:t>
      </w:r>
    </w:p>
    <w:p w14:paraId="1F960248">
      <w:pPr>
        <w:tabs>
          <w:tab w:val="left" w:pos="0"/>
          <w:tab w:val="left" w:pos="1080"/>
          <w:tab w:val="left" w:pos="1589"/>
          <w:tab w:val="left" w:pos="2014"/>
        </w:tabs>
        <w:spacing w:line="360" w:lineRule="auto"/>
        <w:ind w:left="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5)其他无法保证本次采购活动的公平、公正和安全的情况。</w:t>
      </w:r>
    </w:p>
    <w:p w14:paraId="684867D6">
      <w:pPr>
        <w:tabs>
          <w:tab w:val="left" w:pos="0"/>
          <w:tab w:val="left" w:pos="993"/>
          <w:tab w:val="left" w:pos="1589"/>
          <w:tab w:val="left" w:pos="2014"/>
        </w:tabs>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bookmarkEnd w:id="432"/>
    <w:p w14:paraId="4CBFC03A">
      <w:pPr>
        <w:numPr>
          <w:ilvl w:val="0"/>
          <w:numId w:val="1"/>
        </w:numPr>
        <w:tabs>
          <w:tab w:val="left" w:pos="0"/>
        </w:tabs>
        <w:spacing w:line="360" w:lineRule="auto"/>
        <w:ind w:left="0" w:firstLine="482"/>
        <w:outlineLvl w:val="1"/>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磋商小组</w:t>
      </w:r>
    </w:p>
    <w:p w14:paraId="1F3A0B99">
      <w:pPr>
        <w:numPr>
          <w:ilvl w:val="1"/>
          <w:numId w:val="1"/>
        </w:numPr>
        <w:tabs>
          <w:tab w:val="left" w:pos="0"/>
          <w:tab w:val="left" w:pos="1080"/>
          <w:tab w:val="left" w:pos="2014"/>
        </w:tabs>
        <w:spacing w:line="360" w:lineRule="auto"/>
        <w:ind w:left="0"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磋商小组根据政府采购有关规定和本次采购项目的特点进行组建，并负责具体评审事务，独立履行职责。</w:t>
      </w:r>
      <w:bookmarkStart w:id="433" w:name="_Toc520356166"/>
    </w:p>
    <w:p w14:paraId="5D095268">
      <w:pPr>
        <w:numPr>
          <w:ilvl w:val="1"/>
          <w:numId w:val="1"/>
        </w:numPr>
        <w:tabs>
          <w:tab w:val="left" w:pos="0"/>
          <w:tab w:val="left" w:pos="1080"/>
          <w:tab w:val="left" w:pos="2014"/>
        </w:tabs>
        <w:spacing w:line="360" w:lineRule="auto"/>
        <w:ind w:left="0"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评审专家须符合相关规定。依法自行选定评审专家的，采购人和采购代理机构将查询有关信用记录，对具有行贿、受贿、欺诈等不良信用记录的人员，拒绝其参与政府采购活动。</w:t>
      </w:r>
      <w:bookmarkEnd w:id="433"/>
    </w:p>
    <w:p w14:paraId="68BE743F">
      <w:pPr>
        <w:numPr>
          <w:ilvl w:val="0"/>
          <w:numId w:val="1"/>
        </w:numPr>
        <w:tabs>
          <w:tab w:val="left" w:pos="0"/>
        </w:tabs>
        <w:spacing w:line="360" w:lineRule="auto"/>
        <w:ind w:left="0" w:firstLine="482"/>
        <w:outlineLvl w:val="1"/>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评审方法和评审标准</w:t>
      </w:r>
    </w:p>
    <w:p w14:paraId="4B54F649">
      <w:pPr>
        <w:tabs>
          <w:tab w:val="left" w:pos="360"/>
          <w:tab w:val="left" w:pos="1080"/>
        </w:tabs>
        <w:spacing w:line="360" w:lineRule="auto"/>
        <w:ind w:left="10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见第三章《评审方法和评审标准》。</w:t>
      </w:r>
    </w:p>
    <w:p w14:paraId="3C7829AA">
      <w:pPr>
        <w:pStyle w:val="337"/>
        <w:rPr>
          <w:color w:val="000000" w:themeColor="text1"/>
          <w14:textFill>
            <w14:solidFill>
              <w14:schemeClr w14:val="tx1"/>
            </w14:solidFill>
          </w14:textFill>
        </w:rPr>
      </w:pPr>
    </w:p>
    <w:p w14:paraId="07300CB7">
      <w:pPr>
        <w:pStyle w:val="3"/>
        <w:spacing w:before="0" w:line="360" w:lineRule="auto"/>
        <w:jc w:val="center"/>
        <w:rPr>
          <w:rFonts w:ascii="宋体" w:hAnsi="宋体" w:eastAsia="宋体" w:cs="宋体"/>
          <w:color w:val="000000" w:themeColor="text1"/>
          <w:sz w:val="28"/>
          <w14:textFill>
            <w14:solidFill>
              <w14:schemeClr w14:val="tx1"/>
            </w14:solidFill>
          </w14:textFill>
        </w:rPr>
      </w:pPr>
      <w:bookmarkStart w:id="434" w:name="_Toc305158887"/>
      <w:bookmarkStart w:id="435" w:name="_Toc151193859"/>
      <w:bookmarkStart w:id="436" w:name="_Toc150774750"/>
      <w:bookmarkStart w:id="437" w:name="_Toc151190172"/>
      <w:bookmarkStart w:id="438" w:name="_Toc195842910"/>
      <w:bookmarkStart w:id="439" w:name="_Toc151193643"/>
      <w:bookmarkStart w:id="440" w:name="_Toc151193933"/>
      <w:bookmarkStart w:id="441" w:name="_Toc226337241"/>
      <w:bookmarkStart w:id="442" w:name="_Toc264969235"/>
      <w:bookmarkStart w:id="443" w:name="_Toc142311047"/>
      <w:bookmarkStart w:id="444" w:name="_Toc151193787"/>
      <w:bookmarkStart w:id="445" w:name="_Toc150480783"/>
      <w:bookmarkStart w:id="446" w:name="_Toc265228383"/>
      <w:bookmarkStart w:id="447" w:name="_Toc226965735"/>
      <w:bookmarkStart w:id="448" w:name="_Toc226965818"/>
      <w:bookmarkStart w:id="449" w:name="_Toc151193715"/>
      <w:bookmarkStart w:id="450" w:name="_Toc226309789"/>
      <w:bookmarkStart w:id="451" w:name="_Toc150509296"/>
      <w:bookmarkStart w:id="452" w:name="_Toc127151545"/>
      <w:bookmarkStart w:id="453" w:name="_Toc150774645"/>
      <w:bookmarkStart w:id="454" w:name="_Toc305158813"/>
      <w:r>
        <w:rPr>
          <w:rFonts w:hint="eastAsia" w:ascii="宋体" w:hAnsi="宋体" w:eastAsia="宋体" w:cs="宋体"/>
          <w:color w:val="000000" w:themeColor="text1"/>
          <w:sz w:val="28"/>
          <w14:textFill>
            <w14:solidFill>
              <w14:schemeClr w14:val="tx1"/>
            </w14:solidFill>
          </w14:textFill>
        </w:rPr>
        <w:t xml:space="preserve">六   </w:t>
      </w:r>
      <w:bookmarkEnd w:id="349"/>
      <w:r>
        <w:rPr>
          <w:rFonts w:hint="eastAsia" w:ascii="宋体" w:hAnsi="宋体" w:eastAsia="宋体" w:cs="宋体"/>
          <w:color w:val="000000" w:themeColor="text1"/>
          <w:sz w:val="28"/>
          <w14:textFill>
            <w14:solidFill>
              <w14:schemeClr w14:val="tx1"/>
            </w14:solidFill>
          </w14:textFill>
        </w:rPr>
        <w:t>确定</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hint="eastAsia" w:ascii="宋体" w:hAnsi="宋体" w:eastAsia="宋体" w:cs="宋体"/>
          <w:color w:val="000000" w:themeColor="text1"/>
          <w:sz w:val="28"/>
          <w14:textFill>
            <w14:solidFill>
              <w14:schemeClr w14:val="tx1"/>
            </w14:solidFill>
          </w14:textFill>
        </w:rPr>
        <w:t>成交</w:t>
      </w:r>
    </w:p>
    <w:p w14:paraId="69638DBE">
      <w:pPr>
        <w:numPr>
          <w:ilvl w:val="0"/>
          <w:numId w:val="1"/>
        </w:numPr>
        <w:tabs>
          <w:tab w:val="left" w:pos="360"/>
        </w:tabs>
        <w:spacing w:line="360" w:lineRule="auto"/>
        <w:ind w:left="357" w:hanging="357"/>
        <w:outlineLvl w:val="1"/>
        <w:rPr>
          <w:rFonts w:ascii="宋体" w:hAnsi="宋体" w:cs="宋体"/>
          <w:color w:val="000000" w:themeColor="text1"/>
          <w:sz w:val="24"/>
          <w14:textFill>
            <w14:solidFill>
              <w14:schemeClr w14:val="tx1"/>
            </w14:solidFill>
          </w14:textFill>
        </w:rPr>
      </w:pPr>
      <w:bookmarkStart w:id="455" w:name="_Toc151190174"/>
      <w:bookmarkStart w:id="456" w:name="_Toc305158889"/>
      <w:bookmarkStart w:id="457" w:name="_Toc151193789"/>
      <w:bookmarkStart w:id="458" w:name="_Toc195842912"/>
      <w:bookmarkStart w:id="459" w:name="_Toc164608661"/>
      <w:bookmarkStart w:id="460" w:name="_Toc149720840"/>
      <w:bookmarkStart w:id="461" w:name="_Toc305158815"/>
      <w:bookmarkStart w:id="462" w:name="_Toc150480785"/>
      <w:bookmarkStart w:id="463" w:name="_Toc150509298"/>
      <w:bookmarkStart w:id="464" w:name="_Toc226309791"/>
      <w:bookmarkStart w:id="465" w:name="_Toc226965737"/>
      <w:bookmarkStart w:id="466" w:name="_Toc164608816"/>
      <w:bookmarkStart w:id="467" w:name="_Toc151193935"/>
      <w:bookmarkStart w:id="468" w:name="_Toc164229242"/>
      <w:bookmarkStart w:id="469" w:name="_Toc142311049"/>
      <w:bookmarkStart w:id="470" w:name="_Toc265228385"/>
      <w:bookmarkStart w:id="471" w:name="_Toc164229388"/>
      <w:bookmarkStart w:id="472" w:name="_Toc150774752"/>
      <w:bookmarkStart w:id="473" w:name="_Toc151193861"/>
      <w:bookmarkStart w:id="474" w:name="_Toc127161461"/>
      <w:bookmarkStart w:id="475" w:name="_Toc226965820"/>
      <w:bookmarkStart w:id="476" w:name="_Toc151193645"/>
      <w:bookmarkStart w:id="477" w:name="_Toc127151547"/>
      <w:bookmarkStart w:id="478" w:name="_Toc264969237"/>
      <w:bookmarkStart w:id="479" w:name="_Toc150774647"/>
      <w:bookmarkStart w:id="480" w:name="_Toc127151748"/>
      <w:bookmarkStart w:id="481" w:name="_Toc226337243"/>
      <w:bookmarkStart w:id="482" w:name="_Toc164351641"/>
      <w:bookmarkStart w:id="483" w:name="_Toc151193717"/>
      <w:r>
        <w:rPr>
          <w:rFonts w:hint="eastAsia" w:ascii="宋体" w:hAnsi="宋体" w:cs="宋体"/>
          <w:color w:val="000000" w:themeColor="text1"/>
          <w:sz w:val="24"/>
          <w14:textFill>
            <w14:solidFill>
              <w14:schemeClr w14:val="tx1"/>
            </w14:solidFill>
          </w14:textFill>
        </w:rPr>
        <w:t>确定成交供应商</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 w14:paraId="0E8D9F06">
      <w:pPr>
        <w:numPr>
          <w:ilvl w:val="1"/>
          <w:numId w:val="1"/>
        </w:numPr>
        <w:tabs>
          <w:tab w:val="left" w:pos="1080"/>
          <w:tab w:val="left" w:pos="2014"/>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采购人将在收到评审报告后，从评审报告提出的成交候选供应商中，按照排序由高到低的原则确定成交供应商。成交候选人并列的，由采购人依法确定。</w:t>
      </w:r>
    </w:p>
    <w:p w14:paraId="19EEC830">
      <w:pPr>
        <w:numPr>
          <w:ilvl w:val="0"/>
          <w:numId w:val="1"/>
        </w:numPr>
        <w:tabs>
          <w:tab w:val="left" w:pos="360"/>
        </w:tabs>
        <w:spacing w:line="360" w:lineRule="auto"/>
        <w:ind w:left="357" w:hanging="357"/>
        <w:outlineLvl w:val="1"/>
        <w:rPr>
          <w:rFonts w:ascii="宋体" w:hAnsi="宋体" w:cs="宋体"/>
          <w:color w:val="000000" w:themeColor="text1"/>
          <w:sz w:val="24"/>
          <w14:textFill>
            <w14:solidFill>
              <w14:schemeClr w14:val="tx1"/>
            </w14:solidFill>
          </w14:textFill>
        </w:rPr>
      </w:pPr>
      <w:bookmarkStart w:id="484" w:name="_Toc305158817"/>
      <w:bookmarkStart w:id="485" w:name="_Toc305158891"/>
      <w:bookmarkStart w:id="486" w:name="_Toc149720842"/>
      <w:bookmarkStart w:id="487" w:name="_Toc226309793"/>
      <w:bookmarkStart w:id="488" w:name="_Toc150509300"/>
      <w:bookmarkStart w:id="489" w:name="_Toc151193937"/>
      <w:bookmarkStart w:id="490" w:name="_Toc150774649"/>
      <w:bookmarkStart w:id="491" w:name="_Toc195842914"/>
      <w:bookmarkStart w:id="492" w:name="_Toc164229244"/>
      <w:bookmarkStart w:id="493" w:name="_Toc151193791"/>
      <w:bookmarkStart w:id="494" w:name="_Toc150774754"/>
      <w:bookmarkStart w:id="495" w:name="_Toc127151549"/>
      <w:bookmarkStart w:id="496" w:name="_Toc127161463"/>
      <w:bookmarkStart w:id="497" w:name="_Toc150480787"/>
      <w:bookmarkStart w:id="498" w:name="_Toc226965822"/>
      <w:bookmarkStart w:id="499" w:name="_Toc151193719"/>
      <w:bookmarkStart w:id="500" w:name="_Toc151190176"/>
      <w:bookmarkStart w:id="501" w:name="_Toc164351643"/>
      <w:bookmarkStart w:id="502" w:name="_Toc164608818"/>
      <w:bookmarkStart w:id="503" w:name="_Toc164229390"/>
      <w:bookmarkStart w:id="504" w:name="_Toc226337245"/>
      <w:bookmarkStart w:id="505" w:name="_Toc226965739"/>
      <w:bookmarkStart w:id="506" w:name="_Toc151193647"/>
      <w:bookmarkStart w:id="507" w:name="_Toc142311051"/>
      <w:bookmarkStart w:id="508" w:name="_Toc151193863"/>
      <w:bookmarkStart w:id="509" w:name="_Toc127151750"/>
      <w:bookmarkStart w:id="510" w:name="_Toc265228387"/>
      <w:bookmarkStart w:id="511" w:name="_Toc264969239"/>
      <w:bookmarkStart w:id="512" w:name="_Toc164608663"/>
      <w:bookmarkStart w:id="513" w:name="_Ref467306425"/>
      <w:bookmarkStart w:id="514" w:name="_Toc520356176"/>
      <w:bookmarkStart w:id="515" w:name="_Ref467307090"/>
      <w:r>
        <w:rPr>
          <w:rFonts w:hint="eastAsia" w:ascii="宋体" w:hAnsi="宋体" w:cs="宋体"/>
          <w:color w:val="000000" w:themeColor="text1"/>
          <w:sz w:val="24"/>
          <w14:textFill>
            <w14:solidFill>
              <w14:schemeClr w14:val="tx1"/>
            </w14:solidFill>
          </w14:textFill>
        </w:rPr>
        <w:t>成交公告与成交通知书</w:t>
      </w:r>
      <w:bookmarkEnd w:id="484"/>
      <w:bookmarkEnd w:id="485"/>
    </w:p>
    <w:p w14:paraId="1ACCDDAE">
      <w:pPr>
        <w:numPr>
          <w:ilvl w:val="1"/>
          <w:numId w:val="1"/>
        </w:numPr>
        <w:tabs>
          <w:tab w:val="left" w:pos="1080"/>
          <w:tab w:val="left" w:pos="2014"/>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采购人或采购代理机构将在成交供应商确定后2个工作日内，在常州市政府采购网、江苏省政府采购网公告成交结果，同时向成交供应商发出成交通知书，成交公告期限为1个工作日。</w:t>
      </w:r>
    </w:p>
    <w:p w14:paraId="764E4B85">
      <w:pPr>
        <w:numPr>
          <w:ilvl w:val="1"/>
          <w:numId w:val="1"/>
        </w:numPr>
        <w:tabs>
          <w:tab w:val="left" w:pos="1080"/>
          <w:tab w:val="left" w:pos="2014"/>
        </w:tabs>
        <w:spacing w:line="360" w:lineRule="auto"/>
        <w:ind w:left="1080"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成交通知书是合同的组成部分，对采购人和成交供应商具有同等法律效力。成交通知书发出后，采购人改变成交结果的，或者成交供应商放弃成交项目的，将依法承担法律责任。</w:t>
      </w:r>
    </w:p>
    <w:p w14:paraId="44963F95">
      <w:pPr>
        <w:numPr>
          <w:ilvl w:val="0"/>
          <w:numId w:val="1"/>
        </w:numPr>
        <w:tabs>
          <w:tab w:val="left" w:pos="360"/>
        </w:tabs>
        <w:spacing w:line="360" w:lineRule="auto"/>
        <w:ind w:left="357" w:hanging="357"/>
        <w:outlineLvl w:val="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终止</w:t>
      </w:r>
    </w:p>
    <w:p w14:paraId="37FE36CB">
      <w:pPr>
        <w:numPr>
          <w:ilvl w:val="1"/>
          <w:numId w:val="1"/>
        </w:numPr>
        <w:tabs>
          <w:tab w:val="left" w:pos="1080"/>
          <w:tab w:val="left" w:pos="2014"/>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在采购中，出现下列情形之一的，采购人或采购代理机构将终止竞争性磋商采购活动，发布项目终止公告并说明原因，重新开展采购活动：</w:t>
      </w:r>
    </w:p>
    <w:p w14:paraId="743D4F60">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因情况变化，不再符合规定的竞争性磋商采购人式适用情形的；</w:t>
      </w:r>
    </w:p>
    <w:p w14:paraId="0A13EF19">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出现影响采购公正的违法、违规行为的；</w:t>
      </w:r>
    </w:p>
    <w:p w14:paraId="51D3EC83">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38952DF0">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2"/>
          <w:sz w:val="24"/>
          <w14:textFill>
            <w14:solidFill>
              <w14:schemeClr w14:val="tx1"/>
            </w14:solidFill>
          </w14:textFill>
        </w:rPr>
        <w:t>平台系统</w:t>
      </w:r>
      <w:r>
        <w:rPr>
          <w:rFonts w:hint="eastAsia" w:ascii="宋体" w:hAnsi="宋体" w:cs="宋体"/>
          <w:color w:val="000000" w:themeColor="text1"/>
          <w:sz w:val="24"/>
          <w14:textFill>
            <w14:solidFill>
              <w14:schemeClr w14:val="tx1"/>
            </w14:solidFill>
          </w14:textFill>
        </w:rPr>
        <w:t>出现序号17.7的所述情形，情况严重且影响采购活动公平、公正性的。</w:t>
      </w:r>
    </w:p>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14:paraId="24D3846B">
      <w:pPr>
        <w:numPr>
          <w:ilvl w:val="0"/>
          <w:numId w:val="1"/>
        </w:numPr>
        <w:tabs>
          <w:tab w:val="left" w:pos="360"/>
        </w:tabs>
        <w:spacing w:line="360" w:lineRule="auto"/>
        <w:ind w:left="357" w:hanging="357"/>
        <w:outlineLvl w:val="1"/>
        <w:rPr>
          <w:rFonts w:ascii="宋体" w:hAnsi="宋体" w:cs="宋体"/>
          <w:color w:val="000000" w:themeColor="text1"/>
          <w:sz w:val="24"/>
          <w14:textFill>
            <w14:solidFill>
              <w14:schemeClr w14:val="tx1"/>
            </w14:solidFill>
          </w14:textFill>
        </w:rPr>
      </w:pPr>
      <w:bookmarkStart w:id="516" w:name="_Toc164229391"/>
      <w:bookmarkStart w:id="517" w:name="_Toc195842915"/>
      <w:bookmarkStart w:id="518" w:name="_Ref467307204"/>
      <w:bookmarkStart w:id="519" w:name="_Toc264969240"/>
      <w:bookmarkStart w:id="520" w:name="_Toc127151751"/>
      <w:bookmarkStart w:id="521" w:name="_Toc151190177"/>
      <w:bookmarkStart w:id="522" w:name="_Toc151193792"/>
      <w:bookmarkStart w:id="523" w:name="_Toc164608664"/>
      <w:bookmarkStart w:id="524" w:name="_Ref467306978"/>
      <w:bookmarkStart w:id="525" w:name="_Toc305158818"/>
      <w:bookmarkStart w:id="526" w:name="_Toc520356175"/>
      <w:bookmarkStart w:id="527" w:name="_Ref467306377"/>
      <w:bookmarkStart w:id="528" w:name="_Toc150774650"/>
      <w:bookmarkStart w:id="529" w:name="_Toc151193720"/>
      <w:bookmarkStart w:id="530" w:name="_Toc151193864"/>
      <w:bookmarkStart w:id="531" w:name="_Toc226337246"/>
      <w:bookmarkStart w:id="532" w:name="_Toc164229245"/>
      <w:bookmarkStart w:id="533" w:name="_Toc150774755"/>
      <w:bookmarkStart w:id="534" w:name="_Toc164608819"/>
      <w:bookmarkStart w:id="535" w:name="_Toc127161464"/>
      <w:bookmarkStart w:id="536" w:name="_Toc226965823"/>
      <w:bookmarkStart w:id="537" w:name="_Toc265228388"/>
      <w:bookmarkStart w:id="538" w:name="_Toc142311052"/>
      <w:bookmarkStart w:id="539" w:name="_Toc226309794"/>
      <w:bookmarkStart w:id="540" w:name="_Toc151193938"/>
      <w:bookmarkStart w:id="541" w:name="_Toc150509301"/>
      <w:bookmarkStart w:id="542" w:name="_Ref467307062"/>
      <w:bookmarkStart w:id="543" w:name="_Toc151193648"/>
      <w:bookmarkStart w:id="544" w:name="_Toc149720843"/>
      <w:bookmarkStart w:id="545" w:name="_Toc127151550"/>
      <w:bookmarkStart w:id="546" w:name="_Toc226965740"/>
      <w:bookmarkStart w:id="547" w:name="_Toc150480788"/>
      <w:bookmarkStart w:id="548" w:name="_Toc164351644"/>
      <w:bookmarkStart w:id="549" w:name="_Toc305158892"/>
      <w:r>
        <w:rPr>
          <w:rFonts w:hint="eastAsia" w:ascii="宋体" w:hAnsi="宋体" w:cs="宋体"/>
          <w:color w:val="000000" w:themeColor="text1"/>
          <w:sz w:val="24"/>
          <w14:textFill>
            <w14:solidFill>
              <w14:schemeClr w14:val="tx1"/>
            </w14:solidFill>
          </w14:textFill>
        </w:rPr>
        <w:t>签订合同</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p w14:paraId="77109452">
      <w:pPr>
        <w:numPr>
          <w:ilvl w:val="1"/>
          <w:numId w:val="1"/>
        </w:numPr>
        <w:tabs>
          <w:tab w:val="left" w:pos="1080"/>
          <w:tab w:val="left" w:pos="2014"/>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采购人与成交供应商将在成交通知书发出之日起30日内，按照磋商文件确定的合同文本以及采购标的、采购金额、技术和服务要求等事项签订政府采购合同。</w:t>
      </w:r>
    </w:p>
    <w:p w14:paraId="0937853B">
      <w:pPr>
        <w:numPr>
          <w:ilvl w:val="1"/>
          <w:numId w:val="1"/>
        </w:numPr>
        <w:tabs>
          <w:tab w:val="left" w:pos="1080"/>
          <w:tab w:val="left" w:pos="2014"/>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90B1E3E">
      <w:pPr>
        <w:numPr>
          <w:ilvl w:val="1"/>
          <w:numId w:val="1"/>
        </w:numPr>
        <w:tabs>
          <w:tab w:val="left" w:pos="1080"/>
          <w:tab w:val="left" w:pos="2014"/>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联合体获得成交资格的，联合体各方应当共同与采购人签订合同，就成交项目向采购人承担连带责任。</w:t>
      </w:r>
    </w:p>
    <w:p w14:paraId="55E71E25">
      <w:pPr>
        <w:numPr>
          <w:ilvl w:val="1"/>
          <w:numId w:val="1"/>
        </w:numPr>
        <w:tabs>
          <w:tab w:val="left" w:pos="1080"/>
          <w:tab w:val="left" w:pos="2014"/>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政府采购合同不能转包。</w:t>
      </w:r>
    </w:p>
    <w:p w14:paraId="3692441C">
      <w:pPr>
        <w:numPr>
          <w:ilvl w:val="1"/>
          <w:numId w:val="1"/>
        </w:numPr>
        <w:tabs>
          <w:tab w:val="left" w:pos="1080"/>
          <w:tab w:val="left" w:pos="2014"/>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000000" w:themeColor="text1"/>
          <w:sz w:val="24"/>
          <w14:textFill>
            <w14:solidFill>
              <w14:schemeClr w14:val="tx1"/>
            </w14:solidFill>
          </w14:textFill>
        </w:rPr>
        <w:t>否则响应无效</w:t>
      </w:r>
      <w:r>
        <w:rPr>
          <w:rFonts w:hint="eastAsia" w:ascii="宋体" w:hAnsi="宋体" w:cs="宋体"/>
          <w:color w:val="000000" w:themeColor="text1"/>
          <w:sz w:val="24"/>
          <w14:textFill>
            <w14:solidFill>
              <w14:schemeClr w14:val="tx1"/>
            </w14:solidFill>
          </w14:textFill>
        </w:rPr>
        <w:t>。成交供应商就采购项目和分包项目向采购人负责，分包供应商就分包项目承担责任。</w:t>
      </w:r>
    </w:p>
    <w:bookmarkEnd w:id="513"/>
    <w:bookmarkEnd w:id="514"/>
    <w:bookmarkEnd w:id="515"/>
    <w:p w14:paraId="03763E47">
      <w:pPr>
        <w:numPr>
          <w:ilvl w:val="0"/>
          <w:numId w:val="1"/>
        </w:numPr>
        <w:tabs>
          <w:tab w:val="left" w:pos="360"/>
        </w:tabs>
        <w:spacing w:line="360" w:lineRule="auto"/>
        <w:ind w:left="357" w:hanging="357"/>
        <w:outlineLvl w:val="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询问与质疑</w:t>
      </w:r>
    </w:p>
    <w:p w14:paraId="756CF4FA">
      <w:pPr>
        <w:numPr>
          <w:ilvl w:val="1"/>
          <w:numId w:val="1"/>
        </w:numPr>
        <w:tabs>
          <w:tab w:val="left" w:pos="1080"/>
          <w:tab w:val="left" w:pos="2014"/>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询问</w:t>
      </w:r>
    </w:p>
    <w:p w14:paraId="362320BC">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供应商对政府采购活动事项有疑问的，可依法提出询问，并按《供应商须知资料表》载明的形式送达采购人或采购代理机构。</w:t>
      </w:r>
    </w:p>
    <w:p w14:paraId="168FF5A6">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采购人或采购代理机构对供应商依法提出的询问，在3个工作日内作出答复，但答复的内容不得涉及商业秘密。</w:t>
      </w:r>
    </w:p>
    <w:p w14:paraId="357715F8">
      <w:pPr>
        <w:numPr>
          <w:ilvl w:val="1"/>
          <w:numId w:val="1"/>
        </w:numPr>
        <w:tabs>
          <w:tab w:val="left" w:pos="1080"/>
          <w:tab w:val="left" w:pos="2014"/>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质疑</w:t>
      </w:r>
    </w:p>
    <w:p w14:paraId="3BCCC610">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0CEB3ACD">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磋商文件中采购需求以及相关部分（第四章、第五章以及供应商资格要求）由采购人负责制定和管理，对该部分内容有询问或者质疑的，供应商应当向采购人书面提出，由采购人负责接收和回复。</w:t>
      </w:r>
    </w:p>
    <w:p w14:paraId="1044F73E">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质疑函须使用财政部制定的范本文件。（下载网址：</w:t>
      </w:r>
      <w:r>
        <w:fldChar w:fldCharType="begin"/>
      </w:r>
      <w:r>
        <w:instrText xml:space="preserve"> HYPERLINK "http://gks.mof.gov.cn/ztztz/zhengfucaigouguanli/201802/t20180201_2804589.htm" </w:instrText>
      </w:r>
      <w:r>
        <w:fldChar w:fldCharType="separate"/>
      </w:r>
      <w:r>
        <w:rPr>
          <w:rStyle w:val="54"/>
          <w:rFonts w:hint="eastAsia" w:ascii="宋体" w:hAnsi="宋体" w:cs="宋体"/>
          <w:color w:val="000000" w:themeColor="text1"/>
          <w14:textFill>
            <w14:solidFill>
              <w14:schemeClr w14:val="tx1"/>
            </w14:solidFill>
          </w14:textFill>
        </w:rPr>
        <w:t>http://gk</w:t>
      </w:r>
      <w:bookmarkStart w:id="550" w:name="_Hlt100654014"/>
      <w:r>
        <w:rPr>
          <w:rStyle w:val="54"/>
          <w:rFonts w:hint="eastAsia" w:ascii="宋体" w:hAnsi="宋体" w:cs="宋体"/>
          <w:color w:val="000000" w:themeColor="text1"/>
          <w14:textFill>
            <w14:solidFill>
              <w14:schemeClr w14:val="tx1"/>
            </w14:solidFill>
          </w14:textFill>
        </w:rPr>
        <w:t>s</w:t>
      </w:r>
      <w:bookmarkEnd w:id="550"/>
      <w:r>
        <w:rPr>
          <w:rStyle w:val="54"/>
          <w:rFonts w:hint="eastAsia" w:ascii="宋体" w:hAnsi="宋体" w:cs="宋体"/>
          <w:color w:val="000000" w:themeColor="text1"/>
          <w14:textFill>
            <w14:solidFill>
              <w14:schemeClr w14:val="tx1"/>
            </w14:solidFill>
          </w14:textFill>
        </w:rPr>
        <w:t>.m</w:t>
      </w:r>
      <w:bookmarkStart w:id="551" w:name="_Hlt100653993"/>
      <w:bookmarkStart w:id="552" w:name="_Hlt100653994"/>
      <w:r>
        <w:rPr>
          <w:rStyle w:val="54"/>
          <w:rFonts w:hint="eastAsia" w:ascii="宋体" w:hAnsi="宋体" w:cs="宋体"/>
          <w:color w:val="000000" w:themeColor="text1"/>
          <w14:textFill>
            <w14:solidFill>
              <w14:schemeClr w14:val="tx1"/>
            </w14:solidFill>
          </w14:textFill>
        </w:rPr>
        <w:t>o</w:t>
      </w:r>
      <w:bookmarkEnd w:id="551"/>
      <w:bookmarkEnd w:id="552"/>
      <w:bookmarkStart w:id="553" w:name="_Hlt101169156"/>
      <w:r>
        <w:rPr>
          <w:rStyle w:val="54"/>
          <w:rFonts w:hint="eastAsia" w:ascii="宋体" w:hAnsi="宋体" w:cs="宋体"/>
          <w:color w:val="000000" w:themeColor="text1"/>
          <w14:textFill>
            <w14:solidFill>
              <w14:schemeClr w14:val="tx1"/>
            </w14:solidFill>
          </w14:textFill>
        </w:rPr>
        <w:t>f</w:t>
      </w:r>
      <w:bookmarkEnd w:id="553"/>
      <w:r>
        <w:rPr>
          <w:rStyle w:val="54"/>
          <w:rFonts w:hint="eastAsia" w:ascii="宋体" w:hAnsi="宋体" w:cs="宋体"/>
          <w:color w:val="000000" w:themeColor="text1"/>
          <w14:textFill>
            <w14:solidFill>
              <w14:schemeClr w14:val="tx1"/>
            </w14:solidFill>
          </w14:textFill>
        </w:rPr>
        <w:t>.gov.cn/ztztz/zhengfucaigouguanli/201802/t20180201_2804589.htm</w:t>
      </w:r>
      <w:r>
        <w:rPr>
          <w:rStyle w:val="54"/>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w:t>
      </w:r>
    </w:p>
    <w:p w14:paraId="40A9D530">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供应商为自然人的，应当由本人签字；供应商为法人或者其他组织的，应当由法定代表人、主要负责人，或者其授权代表签字或者盖章，并加盖公章。</w:t>
      </w:r>
    </w:p>
    <w:p w14:paraId="6919CB9A">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供应商应在法定质疑期内一次性提出针对同一采购程序环节的质疑，法定质疑期内针对同一采购程序环节再次提出的质疑，采购人、采购代理机构有权不予答复。</w:t>
      </w:r>
    </w:p>
    <w:p w14:paraId="59D3E4FD">
      <w:pPr>
        <w:numPr>
          <w:ilvl w:val="1"/>
          <w:numId w:val="1"/>
        </w:numPr>
        <w:tabs>
          <w:tab w:val="left" w:pos="1080"/>
          <w:tab w:val="left" w:pos="2014"/>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接收询问和质疑的联系部门、联系电话和通讯地址见《供应商须知资料表》。</w:t>
      </w:r>
    </w:p>
    <w:p w14:paraId="14A0AF8B">
      <w:pPr>
        <w:numPr>
          <w:ilvl w:val="0"/>
          <w:numId w:val="1"/>
        </w:numPr>
        <w:tabs>
          <w:tab w:val="left" w:pos="360"/>
        </w:tabs>
        <w:spacing w:line="360" w:lineRule="auto"/>
        <w:ind w:left="357" w:hanging="357"/>
        <w:outlineLvl w:val="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代理费</w:t>
      </w:r>
    </w:p>
    <w:p w14:paraId="71C67C2D">
      <w:pPr>
        <w:numPr>
          <w:ilvl w:val="1"/>
          <w:numId w:val="1"/>
        </w:numPr>
        <w:tabs>
          <w:tab w:val="left" w:pos="1080"/>
          <w:tab w:val="left" w:pos="2014"/>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收费对象、收费标准及缴纳时间见《供应商须知资料表》。由成交供应商支付的，成交供应商须一次性向采购代理机构缴纳代理费，报价应包含代理费用。</w:t>
      </w:r>
    </w:p>
    <w:p w14:paraId="4363D379">
      <w:pPr>
        <w:numPr>
          <w:ilvl w:val="1"/>
          <w:numId w:val="1"/>
        </w:numPr>
        <w:tabs>
          <w:tab w:val="left" w:pos="1080"/>
          <w:tab w:val="left" w:pos="2014"/>
        </w:tabs>
        <w:spacing w:line="360" w:lineRule="auto"/>
        <w:ind w:left="1077" w:hanging="720"/>
        <w:rPr>
          <w:rFonts w:ascii="宋体" w:hAnsi="宋体" w:cs="宋体"/>
          <w:color w:val="000000" w:themeColor="text1"/>
          <w:sz w:val="24"/>
          <w14:textFill>
            <w14:solidFill>
              <w14:schemeClr w14:val="tx1"/>
            </w14:solidFill>
          </w14:textFill>
        </w:rPr>
        <w:sectPr>
          <w:footerReference r:id="rId6" w:type="even"/>
          <w:pgSz w:w="11907" w:h="16840"/>
          <w:pgMar w:top="1440" w:right="1304" w:bottom="1440" w:left="1304" w:header="851" w:footer="851" w:gutter="0"/>
          <w:cols w:space="1701" w:num="1"/>
          <w:docGrid w:linePitch="360" w:charSpace="0"/>
        </w:sectPr>
      </w:pPr>
      <w:bookmarkStart w:id="554" w:name="_Toc226965827"/>
      <w:bookmarkStart w:id="555" w:name="_Toc142311056"/>
      <w:bookmarkStart w:id="556" w:name="_Toc150480792"/>
      <w:bookmarkStart w:id="557" w:name="_Toc305158896"/>
      <w:bookmarkStart w:id="558" w:name="_Toc353873934"/>
      <w:bookmarkStart w:id="559" w:name="_Toc353873664"/>
      <w:bookmarkStart w:id="560" w:name="_Toc353825544"/>
      <w:bookmarkStart w:id="561" w:name="_Toc264969244"/>
      <w:bookmarkStart w:id="562" w:name="_Toc305158822"/>
      <w:bookmarkStart w:id="563" w:name="_Toc226337250"/>
      <w:bookmarkStart w:id="564" w:name="_Toc265228392"/>
      <w:bookmarkStart w:id="565" w:name="_Toc150774759"/>
      <w:bookmarkStart w:id="566" w:name="_Toc127151554"/>
    </w:p>
    <w:p w14:paraId="775C514F">
      <w:pPr>
        <w:spacing w:line="360" w:lineRule="auto"/>
        <w:jc w:val="center"/>
        <w:outlineLvl w:val="0"/>
        <w:rPr>
          <w:rFonts w:ascii="宋体" w:hAnsi="宋体" w:cs="宋体"/>
          <w:b/>
          <w:color w:val="000000" w:themeColor="text1"/>
          <w:sz w:val="36"/>
          <w:szCs w:val="36"/>
          <w14:textFill>
            <w14:solidFill>
              <w14:schemeClr w14:val="tx1"/>
            </w14:solidFill>
          </w14:textFill>
        </w:rPr>
      </w:pPr>
      <w:bookmarkStart w:id="567" w:name="_Toc104818927"/>
      <w:r>
        <w:rPr>
          <w:rFonts w:hint="eastAsia" w:ascii="宋体" w:hAnsi="宋体" w:cs="宋体"/>
          <w:b/>
          <w:color w:val="000000" w:themeColor="text1"/>
          <w:sz w:val="36"/>
          <w:szCs w:val="36"/>
          <w14:textFill>
            <w14:solidFill>
              <w14:schemeClr w14:val="tx1"/>
            </w14:solidFill>
          </w14:textFill>
        </w:rPr>
        <w:t xml:space="preserve">第三章   </w:t>
      </w:r>
      <w:bookmarkEnd w:id="554"/>
      <w:bookmarkEnd w:id="555"/>
      <w:bookmarkEnd w:id="556"/>
      <w:bookmarkEnd w:id="557"/>
      <w:bookmarkEnd w:id="558"/>
      <w:bookmarkEnd w:id="559"/>
      <w:bookmarkEnd w:id="560"/>
      <w:bookmarkEnd w:id="561"/>
      <w:bookmarkEnd w:id="562"/>
      <w:bookmarkEnd w:id="563"/>
      <w:bookmarkEnd w:id="564"/>
      <w:bookmarkEnd w:id="565"/>
      <w:bookmarkEnd w:id="566"/>
      <w:r>
        <w:rPr>
          <w:rFonts w:hint="eastAsia" w:ascii="宋体" w:hAnsi="宋体" w:cs="宋体"/>
          <w:b/>
          <w:color w:val="000000" w:themeColor="text1"/>
          <w:sz w:val="36"/>
          <w:szCs w:val="36"/>
          <w14:textFill>
            <w14:solidFill>
              <w14:schemeClr w14:val="tx1"/>
            </w14:solidFill>
          </w14:textFill>
        </w:rPr>
        <w:t>评审程序、评审方法和评审标准</w:t>
      </w:r>
      <w:bookmarkEnd w:id="567"/>
      <w:bookmarkStart w:id="568" w:name="_Toc487900382"/>
    </w:p>
    <w:p w14:paraId="150186A3">
      <w:pPr>
        <w:pStyle w:val="3"/>
        <w:spacing w:before="0" w:line="360" w:lineRule="auto"/>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一、评审程序</w:t>
      </w:r>
    </w:p>
    <w:bookmarkEnd w:id="568"/>
    <w:p w14:paraId="78650F0C">
      <w:pPr>
        <w:numPr>
          <w:ilvl w:val="0"/>
          <w:numId w:val="4"/>
        </w:numPr>
        <w:tabs>
          <w:tab w:val="left" w:pos="360"/>
        </w:tabs>
        <w:spacing w:line="360" w:lineRule="auto"/>
        <w:outlineLvl w:val="1"/>
        <w:rPr>
          <w:rFonts w:ascii="宋体" w:hAnsi="宋体" w:cs="宋体"/>
          <w:color w:val="000000" w:themeColor="text1"/>
          <w:sz w:val="24"/>
          <w14:textFill>
            <w14:solidFill>
              <w14:schemeClr w14:val="tx1"/>
            </w14:solidFill>
          </w14:textFill>
        </w:rPr>
      </w:pPr>
      <w:bookmarkStart w:id="569" w:name="_Toc164608810"/>
      <w:bookmarkStart w:id="570" w:name="_Toc151193639"/>
      <w:bookmarkStart w:id="571" w:name="_Toc150509292"/>
      <w:bookmarkStart w:id="572" w:name="_Toc265228379"/>
      <w:bookmarkStart w:id="573" w:name="_Toc150774746"/>
      <w:bookmarkStart w:id="574" w:name="_Toc149720834"/>
      <w:bookmarkStart w:id="575" w:name="_Toc226337237"/>
      <w:bookmarkStart w:id="576" w:name="_Toc226965814"/>
      <w:bookmarkStart w:id="577" w:name="_Toc151193855"/>
      <w:bookmarkStart w:id="578" w:name="_Toc305158883"/>
      <w:bookmarkStart w:id="579" w:name="_Toc305158809"/>
      <w:bookmarkStart w:id="580" w:name="_Toc127151742"/>
      <w:bookmarkStart w:id="581" w:name="_Toc151190168"/>
      <w:bookmarkStart w:id="582" w:name="_Toc164608655"/>
      <w:bookmarkStart w:id="583" w:name="_Toc151193711"/>
      <w:bookmarkStart w:id="584" w:name="_Toc164229236"/>
      <w:bookmarkStart w:id="585" w:name="_Toc195842906"/>
      <w:bookmarkStart w:id="586" w:name="_Toc142311043"/>
      <w:bookmarkStart w:id="587" w:name="_Toc151193783"/>
      <w:bookmarkStart w:id="588" w:name="_Toc226309785"/>
      <w:bookmarkStart w:id="589" w:name="_Toc226965731"/>
      <w:bookmarkStart w:id="590" w:name="_Toc127161455"/>
      <w:bookmarkStart w:id="591" w:name="_Toc164229382"/>
      <w:bookmarkStart w:id="592" w:name="_Toc127151541"/>
      <w:bookmarkStart w:id="593" w:name="_Toc164351635"/>
      <w:bookmarkStart w:id="594" w:name="_Toc264969231"/>
      <w:bookmarkStart w:id="595" w:name="_Toc150774641"/>
      <w:bookmarkStart w:id="596" w:name="_Toc151193929"/>
      <w:bookmarkStart w:id="597" w:name="_Toc150480779"/>
      <w:bookmarkStart w:id="598" w:name="_Toc353873941"/>
      <w:bookmarkStart w:id="599" w:name="_Toc353825551"/>
      <w:r>
        <w:rPr>
          <w:rFonts w:hint="eastAsia" w:ascii="宋体" w:hAnsi="宋体" w:cs="宋体"/>
          <w:color w:val="000000" w:themeColor="text1"/>
          <w:sz w:val="24"/>
          <w14:textFill>
            <w14:solidFill>
              <w14:schemeClr w14:val="tx1"/>
            </w14:solidFill>
          </w14:textFill>
        </w:rPr>
        <w:t>响应文件的</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r>
        <w:rPr>
          <w:rFonts w:hint="eastAsia" w:ascii="宋体" w:hAnsi="宋体" w:cs="宋体"/>
          <w:color w:val="000000" w:themeColor="text1"/>
          <w:sz w:val="24"/>
          <w14:textFill>
            <w14:solidFill>
              <w14:schemeClr w14:val="tx1"/>
            </w14:solidFill>
          </w14:textFill>
        </w:rPr>
        <w:t>资格性检查和符合性审查</w:t>
      </w:r>
    </w:p>
    <w:p w14:paraId="53EC7915">
      <w:pPr>
        <w:numPr>
          <w:ilvl w:val="1"/>
          <w:numId w:val="4"/>
        </w:numPr>
        <w:tabs>
          <w:tab w:val="left" w:pos="1080"/>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themeColor="text1"/>
          <w:sz w:val="24"/>
          <w14:textFill>
            <w14:solidFill>
              <w14:schemeClr w14:val="tx1"/>
            </w14:solidFill>
          </w14:textFill>
        </w:rPr>
        <w:t>无效响应</w:t>
      </w:r>
      <w:r>
        <w:rPr>
          <w:rFonts w:hint="eastAsia" w:ascii="宋体" w:hAnsi="宋体" w:cs="宋体"/>
          <w:color w:val="000000" w:themeColor="text1"/>
          <w:sz w:val="24"/>
          <w14:textFill>
            <w14:solidFill>
              <w14:schemeClr w14:val="tx1"/>
            </w14:solidFill>
          </w14:textFill>
        </w:rPr>
        <w:t>处理，磋商小组应当告知提交响应文件的供应商。</w:t>
      </w:r>
    </w:p>
    <w:p w14:paraId="1137E4CE">
      <w:pPr>
        <w:numPr>
          <w:ilvl w:val="1"/>
          <w:numId w:val="4"/>
        </w:numPr>
        <w:tabs>
          <w:tab w:val="left" w:pos="1080"/>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《资格性检查要求》中对格式有要求的，除竞争性磋商文件另有规定外，均为“实质性格式”文件。</w:t>
      </w:r>
    </w:p>
    <w:p w14:paraId="52369B48">
      <w:pPr>
        <w:numPr>
          <w:ilvl w:val="1"/>
          <w:numId w:val="4"/>
        </w:numPr>
        <w:tabs>
          <w:tab w:val="left" w:pos="1080"/>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《资格性检查要求》见下表：</w:t>
      </w:r>
    </w:p>
    <w:p w14:paraId="1CDF211E">
      <w:pPr>
        <w:tabs>
          <w:tab w:val="left" w:pos="900"/>
          <w:tab w:val="left" w:pos="1080"/>
        </w:tabs>
        <w:spacing w:line="360" w:lineRule="auto"/>
        <w:ind w:left="1077" w:firstLine="265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资格性检查要求</w:t>
      </w:r>
    </w:p>
    <w:tbl>
      <w:tblPr>
        <w:tblStyle w:val="47"/>
        <w:tblW w:w="91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0"/>
        <w:gridCol w:w="1729"/>
        <w:gridCol w:w="4493"/>
        <w:gridCol w:w="2240"/>
      </w:tblGrid>
      <w:tr w14:paraId="66C09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640" w:type="dxa"/>
            <w:vAlign w:val="center"/>
          </w:tcPr>
          <w:p w14:paraId="1A686E57">
            <w:pPr>
              <w:tabs>
                <w:tab w:val="left" w:pos="1080"/>
              </w:tabs>
              <w:jc w:val="center"/>
              <w:rPr>
                <w:rFonts w:ascii="宋体" w:hAnsi="宋体" w:cs="宋体"/>
                <w:b/>
                <w:color w:val="000000" w:themeColor="text1"/>
                <w:sz w:val="24"/>
                <w14:textFill>
                  <w14:solidFill>
                    <w14:schemeClr w14:val="tx1"/>
                  </w14:solidFill>
                </w14:textFill>
              </w:rPr>
            </w:pPr>
            <w:bookmarkStart w:id="600" w:name="_Hlt487972895"/>
            <w:bookmarkEnd w:id="600"/>
            <w:r>
              <w:rPr>
                <w:rFonts w:hint="eastAsia" w:ascii="宋体" w:hAnsi="宋体" w:cs="宋体"/>
                <w:b/>
                <w:color w:val="000000" w:themeColor="text1"/>
                <w:sz w:val="24"/>
                <w14:textFill>
                  <w14:solidFill>
                    <w14:schemeClr w14:val="tx1"/>
                  </w14:solidFill>
                </w14:textFill>
              </w:rPr>
              <w:t>序号</w:t>
            </w:r>
          </w:p>
        </w:tc>
        <w:tc>
          <w:tcPr>
            <w:tcW w:w="1729" w:type="dxa"/>
            <w:vAlign w:val="center"/>
          </w:tcPr>
          <w:p w14:paraId="6196F421">
            <w:pPr>
              <w:tabs>
                <w:tab w:val="left" w:pos="1080"/>
              </w:tabs>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审查因素</w:t>
            </w:r>
          </w:p>
        </w:tc>
        <w:tc>
          <w:tcPr>
            <w:tcW w:w="4493" w:type="dxa"/>
            <w:vAlign w:val="center"/>
          </w:tcPr>
          <w:p w14:paraId="7CBE3A1C">
            <w:pPr>
              <w:tabs>
                <w:tab w:val="left" w:pos="1080"/>
              </w:tabs>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审查内容</w:t>
            </w:r>
          </w:p>
        </w:tc>
        <w:tc>
          <w:tcPr>
            <w:tcW w:w="2240" w:type="dxa"/>
            <w:vAlign w:val="center"/>
          </w:tcPr>
          <w:p w14:paraId="455DFE3B">
            <w:pPr>
              <w:tabs>
                <w:tab w:val="left" w:pos="1080"/>
              </w:tabs>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格式要求</w:t>
            </w:r>
          </w:p>
        </w:tc>
      </w:tr>
      <w:tr w14:paraId="2A80F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vAlign w:val="center"/>
          </w:tcPr>
          <w:p w14:paraId="0DCF7874">
            <w:pPr>
              <w:tabs>
                <w:tab w:val="left" w:pos="1080"/>
              </w:tabs>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1729" w:type="dxa"/>
            <w:vAlign w:val="center"/>
          </w:tcPr>
          <w:p w14:paraId="741A7716">
            <w:pPr>
              <w:tabs>
                <w:tab w:val="left" w:pos="1080"/>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满足《中华人民共和国政府采购法》第二十二条规定及法律法规的其他规定</w:t>
            </w:r>
          </w:p>
        </w:tc>
        <w:tc>
          <w:tcPr>
            <w:tcW w:w="4493" w:type="dxa"/>
            <w:vAlign w:val="center"/>
          </w:tcPr>
          <w:p w14:paraId="5FDF808A">
            <w:pPr>
              <w:tabs>
                <w:tab w:val="left" w:pos="1080"/>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具体规定见第一章《采购邀请》</w:t>
            </w:r>
          </w:p>
        </w:tc>
        <w:tc>
          <w:tcPr>
            <w:tcW w:w="2240" w:type="dxa"/>
            <w:vAlign w:val="center"/>
          </w:tcPr>
          <w:p w14:paraId="76108A52">
            <w:pPr>
              <w:tabs>
                <w:tab w:val="left" w:pos="1080"/>
              </w:tabs>
              <w:rPr>
                <w:rFonts w:ascii="宋体" w:hAnsi="宋体" w:cs="宋体"/>
                <w:color w:val="000000" w:themeColor="text1"/>
                <w:sz w:val="24"/>
                <w14:textFill>
                  <w14:solidFill>
                    <w14:schemeClr w14:val="tx1"/>
                  </w14:solidFill>
                </w14:textFill>
              </w:rPr>
            </w:pPr>
          </w:p>
        </w:tc>
      </w:tr>
      <w:tr w14:paraId="05752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640" w:type="dxa"/>
            <w:vAlign w:val="center"/>
          </w:tcPr>
          <w:p w14:paraId="08A1C388">
            <w:pPr>
              <w:tabs>
                <w:tab w:val="left" w:pos="1080"/>
              </w:tabs>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w:t>
            </w:r>
          </w:p>
        </w:tc>
        <w:tc>
          <w:tcPr>
            <w:tcW w:w="1729" w:type="dxa"/>
            <w:vAlign w:val="center"/>
          </w:tcPr>
          <w:p w14:paraId="469AADE0">
            <w:pPr>
              <w:tabs>
                <w:tab w:val="left" w:pos="1080"/>
              </w:tabs>
              <w:rPr>
                <w:rFonts w:ascii="宋体" w:hAnsi="宋体" w:cs="宋体"/>
                <w:color w:val="000000" w:themeColor="text1"/>
                <w:sz w:val="24"/>
                <w14:textFill>
                  <w14:solidFill>
                    <w14:schemeClr w14:val="tx1"/>
                  </w14:solidFill>
                </w14:textFill>
              </w:rPr>
            </w:pPr>
            <w:bookmarkStart w:id="601" w:name="OLE_LINK5"/>
            <w:r>
              <w:rPr>
                <w:rFonts w:hint="eastAsia" w:ascii="宋体" w:hAnsi="宋体" w:cs="宋体"/>
                <w:color w:val="000000" w:themeColor="text1"/>
                <w:sz w:val="24"/>
                <w14:textFill>
                  <w14:solidFill>
                    <w14:schemeClr w14:val="tx1"/>
                  </w14:solidFill>
                </w14:textFill>
              </w:rPr>
              <w:t>供应商资格声明函</w:t>
            </w:r>
            <w:bookmarkEnd w:id="601"/>
          </w:p>
        </w:tc>
        <w:tc>
          <w:tcPr>
            <w:tcW w:w="4493" w:type="dxa"/>
            <w:vAlign w:val="center"/>
          </w:tcPr>
          <w:p w14:paraId="4981B23D">
            <w:pPr>
              <w:tabs>
                <w:tab w:val="left" w:pos="1080"/>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提供了符合采购文件要求的《供应商资格声明函》。</w:t>
            </w:r>
          </w:p>
        </w:tc>
        <w:tc>
          <w:tcPr>
            <w:tcW w:w="2240" w:type="dxa"/>
            <w:vAlign w:val="center"/>
          </w:tcPr>
          <w:p w14:paraId="3CD4010B">
            <w:pPr>
              <w:tabs>
                <w:tab w:val="left" w:pos="1080"/>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格式见《响应文件格式》</w:t>
            </w:r>
          </w:p>
        </w:tc>
      </w:tr>
      <w:tr w14:paraId="3B237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vAlign w:val="center"/>
          </w:tcPr>
          <w:p w14:paraId="203F769E">
            <w:pPr>
              <w:tabs>
                <w:tab w:val="left" w:pos="1080"/>
              </w:tabs>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w:t>
            </w:r>
          </w:p>
        </w:tc>
        <w:tc>
          <w:tcPr>
            <w:tcW w:w="1729" w:type="dxa"/>
            <w:vAlign w:val="center"/>
          </w:tcPr>
          <w:p w14:paraId="695FF6DE">
            <w:pPr>
              <w:tabs>
                <w:tab w:val="left" w:pos="1080"/>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供应商信用记录</w:t>
            </w:r>
          </w:p>
        </w:tc>
        <w:tc>
          <w:tcPr>
            <w:tcW w:w="4493" w:type="dxa"/>
            <w:vAlign w:val="center"/>
          </w:tcPr>
          <w:p w14:paraId="2D42A3FD">
            <w:pPr>
              <w:tabs>
                <w:tab w:val="left" w:pos="900"/>
                <w:tab w:val="left" w:pos="1980"/>
              </w:tabs>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查询渠道：信用中国网站（www.creditchina.gov.cn）；</w:t>
            </w:r>
          </w:p>
          <w:p w14:paraId="5AD3DB10">
            <w:pPr>
              <w:tabs>
                <w:tab w:val="left" w:pos="900"/>
                <w:tab w:val="left" w:pos="1980"/>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截止时点：提交响应文件截止时间以后、资格审查阶段采购人或采购代理机构的实际查询时间；</w:t>
            </w:r>
          </w:p>
          <w:p w14:paraId="3CF081C4">
            <w:pPr>
              <w:tabs>
                <w:tab w:val="left" w:pos="900"/>
                <w:tab w:val="left" w:pos="1980"/>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信用信息查询记录和证据留存具体方式：查询结果网页打印页作为查询记录和证据，与其他采购文件一并保存；</w:t>
            </w:r>
          </w:p>
          <w:p w14:paraId="46EB594C">
            <w:pPr>
              <w:tabs>
                <w:tab w:val="left" w:pos="1080"/>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信用信息的使用原则：经认定的被列入失信被执行人、重大税收违法案件当事人名单、政府采购严重违法失信行为记录名单的供应商，其</w:t>
            </w:r>
            <w:r>
              <w:rPr>
                <w:rFonts w:hint="eastAsia" w:ascii="宋体" w:hAnsi="宋体" w:cs="宋体"/>
                <w:b/>
                <w:color w:val="000000" w:themeColor="text1"/>
                <w:sz w:val="24"/>
                <w14:textFill>
                  <w14:solidFill>
                    <w14:schemeClr w14:val="tx1"/>
                  </w14:solidFill>
                </w14:textFill>
              </w:rPr>
              <w:t>响应无效</w:t>
            </w:r>
            <w:r>
              <w:rPr>
                <w:rFonts w:hint="eastAsia" w:ascii="宋体" w:hAnsi="宋体" w:cs="宋体"/>
                <w:color w:val="000000" w:themeColor="text1"/>
                <w:sz w:val="24"/>
                <w14:textFill>
                  <w14:solidFill>
                    <w14:schemeClr w14:val="tx1"/>
                  </w14:solidFill>
                </w14:textFill>
              </w:rPr>
              <w:t>。联合体形式响应的，联合体成员存在不良信用记录，视同联合体存在不良信用记录。</w:t>
            </w:r>
          </w:p>
        </w:tc>
        <w:tc>
          <w:tcPr>
            <w:tcW w:w="2240" w:type="dxa"/>
            <w:vAlign w:val="center"/>
          </w:tcPr>
          <w:p w14:paraId="21A4AEF4">
            <w:pPr>
              <w:tabs>
                <w:tab w:val="left" w:pos="1080"/>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无须供应商提供，由采购人或采购代理机构查询。</w:t>
            </w:r>
          </w:p>
        </w:tc>
      </w:tr>
      <w:tr w14:paraId="12225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vAlign w:val="center"/>
          </w:tcPr>
          <w:p w14:paraId="49F80BB7">
            <w:pPr>
              <w:tabs>
                <w:tab w:val="left" w:pos="1080"/>
              </w:tabs>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w:t>
            </w:r>
          </w:p>
        </w:tc>
        <w:tc>
          <w:tcPr>
            <w:tcW w:w="1729" w:type="dxa"/>
            <w:vAlign w:val="center"/>
          </w:tcPr>
          <w:p w14:paraId="634F9ABF">
            <w:pPr>
              <w:tabs>
                <w:tab w:val="left" w:pos="1080"/>
              </w:tabs>
              <w:rPr>
                <w:sz w:val="24"/>
              </w:rPr>
            </w:pPr>
            <w:r>
              <w:rPr>
                <w:rFonts w:hint="eastAsia"/>
                <w:sz w:val="24"/>
              </w:rPr>
              <w:t xml:space="preserve"> </w:t>
            </w:r>
            <w:r>
              <w:rPr>
                <w:rFonts w:hint="eastAsia" w:ascii="宋体" w:hAnsi="宋体"/>
                <w:bCs/>
                <w:sz w:val="24"/>
              </w:rPr>
              <w:t>营业执照副本（事业单位法人证书）</w:t>
            </w:r>
          </w:p>
        </w:tc>
        <w:tc>
          <w:tcPr>
            <w:tcW w:w="4493" w:type="dxa"/>
            <w:vAlign w:val="center"/>
          </w:tcPr>
          <w:p w14:paraId="7137DF90">
            <w:pPr>
              <w:tabs>
                <w:tab w:val="left" w:pos="1080"/>
              </w:tabs>
              <w:rPr>
                <w:sz w:val="24"/>
              </w:rPr>
            </w:pPr>
            <w:r>
              <w:rPr>
                <w:rFonts w:hint="eastAsia" w:ascii="宋体" w:hAnsi="宋体"/>
                <w:bCs/>
                <w:sz w:val="24"/>
              </w:rPr>
              <w:t>营业执照副本和税务登记证副本(或“三证合一”的营业执照副本）或事业单位法人证书</w:t>
            </w:r>
          </w:p>
        </w:tc>
        <w:tc>
          <w:tcPr>
            <w:tcW w:w="2240" w:type="dxa"/>
            <w:vAlign w:val="center"/>
          </w:tcPr>
          <w:p w14:paraId="682A9403">
            <w:pPr>
              <w:tabs>
                <w:tab w:val="left" w:pos="1080"/>
              </w:tabs>
              <w:spacing w:before="109" w:after="109"/>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提供电子件或电子证照</w:t>
            </w:r>
          </w:p>
        </w:tc>
      </w:tr>
      <w:tr w14:paraId="3E218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vAlign w:val="center"/>
          </w:tcPr>
          <w:p w14:paraId="050A23B3">
            <w:pPr>
              <w:tabs>
                <w:tab w:val="left" w:pos="1080"/>
              </w:tabs>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1729" w:type="dxa"/>
            <w:vAlign w:val="center"/>
          </w:tcPr>
          <w:p w14:paraId="1FD1B01A">
            <w:pPr>
              <w:tabs>
                <w:tab w:val="left" w:pos="1080"/>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落实政府采购政策需满足的资格要求</w:t>
            </w:r>
          </w:p>
        </w:tc>
        <w:tc>
          <w:tcPr>
            <w:tcW w:w="4493" w:type="dxa"/>
            <w:vAlign w:val="center"/>
          </w:tcPr>
          <w:p w14:paraId="7CADD4E5">
            <w:pPr>
              <w:tabs>
                <w:tab w:val="left" w:pos="1080"/>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具体要求见第一章《采购邀请》</w:t>
            </w:r>
          </w:p>
        </w:tc>
        <w:tc>
          <w:tcPr>
            <w:tcW w:w="2240" w:type="dxa"/>
            <w:vAlign w:val="center"/>
          </w:tcPr>
          <w:p w14:paraId="12CA016D">
            <w:pPr>
              <w:tabs>
                <w:tab w:val="left" w:pos="1080"/>
              </w:tabs>
              <w:rPr>
                <w:rFonts w:ascii="宋体" w:hAnsi="宋体" w:cs="宋体"/>
                <w:color w:val="000000" w:themeColor="text1"/>
                <w:sz w:val="24"/>
                <w14:textFill>
                  <w14:solidFill>
                    <w14:schemeClr w14:val="tx1"/>
                  </w14:solidFill>
                </w14:textFill>
              </w:rPr>
            </w:pPr>
          </w:p>
        </w:tc>
      </w:tr>
      <w:tr w14:paraId="21580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20" w:hRule="atLeast"/>
        </w:trPr>
        <w:tc>
          <w:tcPr>
            <w:tcW w:w="640" w:type="dxa"/>
            <w:vAlign w:val="center"/>
          </w:tcPr>
          <w:p w14:paraId="19273A41">
            <w:pPr>
              <w:tabs>
                <w:tab w:val="left" w:pos="1080"/>
              </w:tabs>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w:t>
            </w:r>
          </w:p>
        </w:tc>
        <w:tc>
          <w:tcPr>
            <w:tcW w:w="1729" w:type="dxa"/>
            <w:vAlign w:val="center"/>
          </w:tcPr>
          <w:p w14:paraId="1DDAB245">
            <w:pPr>
              <w:tabs>
                <w:tab w:val="left" w:pos="1080"/>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中小企业声明函</w:t>
            </w:r>
          </w:p>
        </w:tc>
        <w:tc>
          <w:tcPr>
            <w:tcW w:w="4493" w:type="dxa"/>
            <w:vAlign w:val="center"/>
          </w:tcPr>
          <w:p w14:paraId="01FF835B">
            <w:pPr>
              <w:tabs>
                <w:tab w:val="left" w:pos="1080"/>
              </w:tabs>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如采购公告中明确专门面向中小/小微企业采购，须按下述要求提供材料；未专门面向中小/小微企业采购，此项不作为资审条件。</w:t>
            </w:r>
          </w:p>
          <w:p w14:paraId="60EB2923">
            <w:pPr>
              <w:tabs>
                <w:tab w:val="left" w:pos="1080"/>
              </w:tabs>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供应商单独参与磋商的，应提供中小企业声明函；如为监狱企业或残疾人福利性单位，不必提供中小企业声明函，但须按注1或注2要求提供证明材料。</w:t>
            </w:r>
          </w:p>
          <w:p w14:paraId="0E81C746">
            <w:pPr>
              <w:tabs>
                <w:tab w:val="left" w:pos="1080"/>
              </w:tabs>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注1：监狱企业须提供由省级以上监狱管理局（常州市含教育矫治局）、戒毒管理局（含新疆生产建设兵团）出具的属于监狱企业的证明文件。</w:t>
            </w:r>
          </w:p>
          <w:p w14:paraId="4ABB7358">
            <w:pPr>
              <w:tabs>
                <w:tab w:val="left" w:pos="1080"/>
              </w:tabs>
              <w:rPr>
                <w:rFonts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注2：残疾人福利性单位须按磋商文件要求提供《残疾人福利性单位声明函》。</w:t>
            </w:r>
          </w:p>
        </w:tc>
        <w:tc>
          <w:tcPr>
            <w:tcW w:w="2240" w:type="dxa"/>
            <w:vAlign w:val="center"/>
          </w:tcPr>
          <w:p w14:paraId="766A45F8">
            <w:pPr>
              <w:tabs>
                <w:tab w:val="left" w:pos="1080"/>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格式见《响应文件格式》</w:t>
            </w:r>
          </w:p>
        </w:tc>
      </w:tr>
      <w:tr w14:paraId="549C9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vAlign w:val="center"/>
          </w:tcPr>
          <w:p w14:paraId="5CE0BD9D">
            <w:pPr>
              <w:tabs>
                <w:tab w:val="left" w:pos="1080"/>
              </w:tabs>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p>
        </w:tc>
        <w:tc>
          <w:tcPr>
            <w:tcW w:w="1729" w:type="dxa"/>
            <w:vAlign w:val="center"/>
          </w:tcPr>
          <w:p w14:paraId="3F3E8AAB">
            <w:pPr>
              <w:tabs>
                <w:tab w:val="left" w:pos="1080"/>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本项目的特定资格要求</w:t>
            </w:r>
          </w:p>
        </w:tc>
        <w:tc>
          <w:tcPr>
            <w:tcW w:w="4493" w:type="dxa"/>
            <w:vAlign w:val="center"/>
          </w:tcPr>
          <w:p w14:paraId="7F69DAEB">
            <w:pPr>
              <w:tabs>
                <w:tab w:val="left" w:pos="1080"/>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如有，见第一章《采购邀请》</w:t>
            </w:r>
          </w:p>
        </w:tc>
        <w:tc>
          <w:tcPr>
            <w:tcW w:w="2240" w:type="dxa"/>
            <w:vAlign w:val="center"/>
          </w:tcPr>
          <w:p w14:paraId="7D6D6D5E">
            <w:pPr>
              <w:tabs>
                <w:tab w:val="left" w:pos="1080"/>
              </w:tabs>
              <w:rPr>
                <w:rFonts w:ascii="宋体" w:hAnsi="宋体" w:cs="宋体"/>
                <w:color w:val="000000" w:themeColor="text1"/>
                <w:sz w:val="24"/>
                <w14:textFill>
                  <w14:solidFill>
                    <w14:schemeClr w14:val="tx1"/>
                  </w14:solidFill>
                </w14:textFill>
              </w:rPr>
            </w:pPr>
          </w:p>
        </w:tc>
      </w:tr>
      <w:tr w14:paraId="28A67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vAlign w:val="center"/>
          </w:tcPr>
          <w:p w14:paraId="61FF594E">
            <w:pPr>
              <w:tabs>
                <w:tab w:val="left" w:pos="1080"/>
              </w:tabs>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ascii="宋体" w:hAnsi="宋体" w:cs="宋体"/>
                <w:color w:val="000000" w:themeColor="text1"/>
                <w:sz w:val="24"/>
                <w14:textFill>
                  <w14:solidFill>
                    <w14:schemeClr w14:val="tx1"/>
                  </w14:solidFill>
                </w14:textFill>
              </w:rPr>
              <w:t>1</w:t>
            </w:r>
          </w:p>
        </w:tc>
        <w:tc>
          <w:tcPr>
            <w:tcW w:w="1729" w:type="dxa"/>
            <w:vAlign w:val="center"/>
          </w:tcPr>
          <w:p w14:paraId="2408A60B">
            <w:pPr>
              <w:tabs>
                <w:tab w:val="left" w:pos="1080"/>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其他特定资格要求</w:t>
            </w:r>
          </w:p>
        </w:tc>
        <w:tc>
          <w:tcPr>
            <w:tcW w:w="4493" w:type="dxa"/>
            <w:vAlign w:val="center"/>
          </w:tcPr>
          <w:p w14:paraId="08AE9194">
            <w:pPr>
              <w:tabs>
                <w:tab w:val="left" w:pos="1080"/>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如有，见第一章《采购邀请》</w:t>
            </w:r>
          </w:p>
        </w:tc>
        <w:tc>
          <w:tcPr>
            <w:tcW w:w="2240" w:type="dxa"/>
            <w:vAlign w:val="center"/>
          </w:tcPr>
          <w:p w14:paraId="2729C56C">
            <w:pPr>
              <w:tabs>
                <w:tab w:val="left" w:pos="1080"/>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提供电子件或电子证照</w:t>
            </w:r>
          </w:p>
        </w:tc>
      </w:tr>
    </w:tbl>
    <w:p w14:paraId="46EAF5B5">
      <w:pPr>
        <w:widowControl/>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clear="all"/>
      </w:r>
    </w:p>
    <w:p w14:paraId="673D06EF">
      <w:pPr>
        <w:numPr>
          <w:ilvl w:val="1"/>
          <w:numId w:val="4"/>
        </w:numPr>
        <w:tabs>
          <w:tab w:val="left" w:pos="1080"/>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《符合性审查要求》见下表：</w:t>
      </w:r>
    </w:p>
    <w:p w14:paraId="19190F81">
      <w:pPr>
        <w:widowControl/>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符合性审查要求</w:t>
      </w:r>
    </w:p>
    <w:tbl>
      <w:tblPr>
        <w:tblStyle w:val="47"/>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9"/>
        <w:gridCol w:w="1663"/>
        <w:gridCol w:w="6170"/>
      </w:tblGrid>
      <w:tr w14:paraId="30914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689" w:type="dxa"/>
            <w:vAlign w:val="center"/>
          </w:tcPr>
          <w:p w14:paraId="0CAD8E37">
            <w:pPr>
              <w:widowControl/>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1663" w:type="dxa"/>
            <w:vAlign w:val="center"/>
          </w:tcPr>
          <w:p w14:paraId="180B575B">
            <w:pPr>
              <w:widowControl/>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审查因素</w:t>
            </w:r>
          </w:p>
        </w:tc>
        <w:tc>
          <w:tcPr>
            <w:tcW w:w="6170" w:type="dxa"/>
            <w:vAlign w:val="center"/>
          </w:tcPr>
          <w:p w14:paraId="22F596CC">
            <w:pPr>
              <w:widowControl/>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审查内容</w:t>
            </w:r>
          </w:p>
        </w:tc>
      </w:tr>
      <w:tr w14:paraId="4B87B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689" w:type="dxa"/>
            <w:vAlign w:val="center"/>
          </w:tcPr>
          <w:p w14:paraId="0F0AD251">
            <w:pPr>
              <w:widowControl/>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1663" w:type="dxa"/>
            <w:vAlign w:val="center"/>
          </w:tcPr>
          <w:p w14:paraId="362CB6EF">
            <w:pPr>
              <w:widowControl/>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响应函、法定代表人资格证明书</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授权委托书（</w:t>
            </w:r>
            <w:r>
              <w:rPr>
                <w:rFonts w:hint="eastAsia" w:ascii="宋体" w:hAnsi="宋体" w:cs="宋体"/>
                <w:color w:val="000000" w:themeColor="text1"/>
                <w:sz w:val="24"/>
                <w:lang w:val="en-US" w:eastAsia="zh-CN"/>
                <w14:textFill>
                  <w14:solidFill>
                    <w14:schemeClr w14:val="tx1"/>
                  </w14:solidFill>
                </w14:textFill>
              </w:rPr>
              <w:t>如有授权</w:t>
            </w:r>
            <w:r>
              <w:rPr>
                <w:rFonts w:hint="eastAsia" w:ascii="宋体" w:hAnsi="宋体" w:cs="宋体"/>
                <w:color w:val="000000" w:themeColor="text1"/>
                <w:sz w:val="24"/>
                <w14:textFill>
                  <w14:solidFill>
                    <w14:schemeClr w14:val="tx1"/>
                  </w14:solidFill>
                </w14:textFill>
              </w:rPr>
              <w:t>）和政府采购供应商信用承诺书</w:t>
            </w:r>
          </w:p>
        </w:tc>
        <w:tc>
          <w:tcPr>
            <w:tcW w:w="6170" w:type="dxa"/>
            <w:vAlign w:val="center"/>
          </w:tcPr>
          <w:p w14:paraId="226B951F">
            <w:pPr>
              <w:widowControl/>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按磋商文件要求提供响应函、法定代表人资格证明书</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授权委托书（</w:t>
            </w:r>
            <w:r>
              <w:rPr>
                <w:rFonts w:hint="eastAsia" w:ascii="宋体" w:hAnsi="宋体" w:cs="宋体"/>
                <w:color w:val="000000" w:themeColor="text1"/>
                <w:sz w:val="24"/>
                <w:lang w:val="en-US" w:eastAsia="zh-CN"/>
                <w14:textFill>
                  <w14:solidFill>
                    <w14:schemeClr w14:val="tx1"/>
                  </w14:solidFill>
                </w14:textFill>
              </w:rPr>
              <w:t>如授权</w:t>
            </w:r>
            <w:r>
              <w:rPr>
                <w:rFonts w:hint="eastAsia" w:ascii="宋体" w:hAnsi="宋体" w:cs="宋体"/>
                <w:color w:val="000000" w:themeColor="text1"/>
                <w:sz w:val="24"/>
                <w14:textFill>
                  <w14:solidFill>
                    <w14:schemeClr w14:val="tx1"/>
                  </w14:solidFill>
                </w14:textFill>
              </w:rPr>
              <w:t>）和政府采购供应商信用承诺书；</w:t>
            </w:r>
          </w:p>
        </w:tc>
      </w:tr>
      <w:tr w14:paraId="0C37C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689" w:type="dxa"/>
            <w:shd w:val="clear"/>
            <w:vAlign w:val="center"/>
          </w:tcPr>
          <w:p w14:paraId="50DAE1E7">
            <w:pPr>
              <w:widowControl/>
              <w:jc w:val="center"/>
              <w:rPr>
                <w:rFonts w:hint="eastAsia"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1663" w:type="dxa"/>
            <w:shd w:val="clear" w:color="auto" w:fill="auto"/>
            <w:vAlign w:val="center"/>
          </w:tcPr>
          <w:p w14:paraId="6E7B7EBB">
            <w:pPr>
              <w:widowControl/>
              <w:jc w:val="left"/>
              <w:rPr>
                <w:rFonts w:hint="eastAsia"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报价</w:t>
            </w:r>
            <w:r>
              <w:rPr>
                <w:rFonts w:hint="eastAsia" w:ascii="宋体" w:hAnsi="宋体" w:cs="宋体"/>
                <w:color w:val="000000" w:themeColor="text1"/>
                <w:sz w:val="24"/>
                <w:lang w:val="en-US" w:eastAsia="zh-CN"/>
                <w14:textFill>
                  <w14:solidFill>
                    <w14:schemeClr w14:val="tx1"/>
                  </w14:solidFill>
                </w14:textFill>
              </w:rPr>
              <w:t>符合</w:t>
            </w:r>
            <w:r>
              <w:rPr>
                <w:rFonts w:hint="eastAsia" w:ascii="宋体" w:hAnsi="宋体" w:cs="宋体"/>
                <w:color w:val="000000" w:themeColor="text1"/>
                <w:sz w:val="24"/>
                <w14:textFill>
                  <w14:solidFill>
                    <w14:schemeClr w14:val="tx1"/>
                  </w14:solidFill>
                </w14:textFill>
              </w:rPr>
              <w:t>性</w:t>
            </w:r>
          </w:p>
        </w:tc>
        <w:tc>
          <w:tcPr>
            <w:tcW w:w="6170" w:type="dxa"/>
            <w:shd w:val="clear" w:color="auto" w:fill="auto"/>
            <w:vAlign w:val="center"/>
          </w:tcPr>
          <w:p w14:paraId="5827055E">
            <w:pPr>
              <w:widowControl/>
              <w:jc w:val="left"/>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 xml:space="preserve">根据财政部《关于推动解决政府采购异常低价问题的通知》财库〔2026〕2号文件之规定：当评审过程中出现下列情形之一的，评审委员会应当启 动异常低价投标（响应）审查程序： </w:t>
            </w:r>
          </w:p>
          <w:p w14:paraId="18660170">
            <w:pPr>
              <w:widowControl/>
              <w:jc w:val="left"/>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38C6C6FA">
            <w:pPr>
              <w:widowControl/>
              <w:jc w:val="left"/>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72C568C4">
            <w:pPr>
              <w:widowControl/>
              <w:jc w:val="left"/>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3.投标（响应）报价低于采购项目最高限价45%的，即投标（响应）报价&lt;采购项目最高限价×45%；</w:t>
            </w:r>
          </w:p>
          <w:p w14:paraId="64AECF69">
            <w:pPr>
              <w:widowControl/>
              <w:jc w:val="left"/>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4.评审委员会基于专业判断，认为供应商报价过低，有可能影响产品质量或者不能诚信履约的其他情形。</w:t>
            </w:r>
          </w:p>
          <w:p w14:paraId="00EDDD3F">
            <w:pPr>
              <w:widowControl/>
              <w:jc w:val="left"/>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306C6F1">
            <w:pPr>
              <w:widowControl/>
              <w:ind w:firstLine="480" w:firstLineChars="200"/>
              <w:jc w:val="left"/>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8F7DD71">
            <w:pPr>
              <w:widowControl/>
              <w:jc w:val="left"/>
              <w:rPr>
                <w:rFonts w:hint="eastAsia" w:ascii="Calibri" w:hAnsi="Calibri" w:eastAsia="宋体" w:cs="黑体"/>
                <w:sz w:val="21"/>
                <w:szCs w:val="22"/>
                <w:lang w:val="en-US" w:eastAsia="zh-CN" w:bidi="ar-SA"/>
              </w:rPr>
            </w:pPr>
            <w:r>
              <w:rPr>
                <w:rFonts w:hint="eastAsia"/>
                <w:color w:val="000000" w:themeColor="text1"/>
                <w:kern w:val="0"/>
                <w:sz w:val="24"/>
                <w:highlight w:val="none"/>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tc>
      </w:tr>
      <w:tr w14:paraId="72AF1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2" w:hRule="atLeast"/>
          <w:jc w:val="center"/>
        </w:trPr>
        <w:tc>
          <w:tcPr>
            <w:tcW w:w="689" w:type="dxa"/>
            <w:shd w:val="clear"/>
            <w:vAlign w:val="center"/>
          </w:tcPr>
          <w:p w14:paraId="1629F87A">
            <w:pPr>
              <w:widowControl/>
              <w:jc w:val="center"/>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p>
        </w:tc>
        <w:tc>
          <w:tcPr>
            <w:tcW w:w="1663" w:type="dxa"/>
            <w:shd w:val="clear" w:color="auto" w:fill="auto"/>
            <w:vAlign w:val="center"/>
          </w:tcPr>
          <w:p w14:paraId="22441BC5">
            <w:pPr>
              <w:widowControl/>
              <w:jc w:val="left"/>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响应完整性</w:t>
            </w:r>
          </w:p>
        </w:tc>
        <w:tc>
          <w:tcPr>
            <w:tcW w:w="6170" w:type="dxa"/>
            <w:shd w:val="clear" w:color="auto" w:fill="auto"/>
            <w:vAlign w:val="center"/>
          </w:tcPr>
          <w:p w14:paraId="621A8A7C">
            <w:pPr>
              <w:widowControl/>
              <w:jc w:val="left"/>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未将一个采购包中的内容拆开响应；</w:t>
            </w:r>
          </w:p>
        </w:tc>
      </w:tr>
      <w:tr w14:paraId="111B8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9" w:type="dxa"/>
            <w:shd w:val="clear"/>
            <w:vAlign w:val="center"/>
          </w:tcPr>
          <w:p w14:paraId="185297BB">
            <w:pPr>
              <w:widowControl/>
              <w:jc w:val="center"/>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p>
        </w:tc>
        <w:tc>
          <w:tcPr>
            <w:tcW w:w="1663" w:type="dxa"/>
            <w:shd w:val="clear" w:color="auto" w:fill="auto"/>
            <w:vAlign w:val="center"/>
          </w:tcPr>
          <w:p w14:paraId="374B405E">
            <w:pPr>
              <w:widowControl/>
              <w:jc w:val="left"/>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响应报价</w:t>
            </w:r>
          </w:p>
        </w:tc>
        <w:tc>
          <w:tcPr>
            <w:tcW w:w="6170" w:type="dxa"/>
            <w:shd w:val="clear" w:color="auto" w:fill="auto"/>
            <w:vAlign w:val="center"/>
          </w:tcPr>
          <w:p w14:paraId="5D0F78FC">
            <w:pPr>
              <w:widowControl/>
              <w:jc w:val="left"/>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响应报价未超过磋商文件中规定的项目预算金额或者项目最高限价；</w:t>
            </w:r>
          </w:p>
        </w:tc>
      </w:tr>
      <w:tr w14:paraId="38B05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9" w:type="dxa"/>
            <w:shd w:val="clear"/>
            <w:vAlign w:val="center"/>
          </w:tcPr>
          <w:p w14:paraId="71960AAE">
            <w:pPr>
              <w:widowControl/>
              <w:jc w:val="center"/>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5</w:t>
            </w:r>
          </w:p>
        </w:tc>
        <w:tc>
          <w:tcPr>
            <w:tcW w:w="1663" w:type="dxa"/>
            <w:shd w:val="clear" w:color="auto" w:fill="auto"/>
            <w:vAlign w:val="center"/>
          </w:tcPr>
          <w:p w14:paraId="052E414A">
            <w:pPr>
              <w:widowControl/>
              <w:jc w:val="left"/>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报价唯一性</w:t>
            </w:r>
          </w:p>
        </w:tc>
        <w:tc>
          <w:tcPr>
            <w:tcW w:w="6170" w:type="dxa"/>
            <w:shd w:val="clear" w:color="auto" w:fill="auto"/>
            <w:vAlign w:val="center"/>
          </w:tcPr>
          <w:p w14:paraId="5D1890D8">
            <w:pPr>
              <w:widowControl/>
              <w:jc w:val="left"/>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响应文件未出现可选择性或可调整的报价（磋商文件另有规定的除外）；</w:t>
            </w:r>
          </w:p>
        </w:tc>
      </w:tr>
      <w:tr w14:paraId="04015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9" w:type="dxa"/>
            <w:shd w:val="clear"/>
            <w:vAlign w:val="center"/>
          </w:tcPr>
          <w:p w14:paraId="1AE070F5">
            <w:pPr>
              <w:widowControl/>
              <w:jc w:val="center"/>
              <w:rPr>
                <w:rFonts w:hint="eastAsia"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p>
        </w:tc>
        <w:tc>
          <w:tcPr>
            <w:tcW w:w="1663" w:type="dxa"/>
            <w:shd w:val="clear" w:color="auto" w:fill="auto"/>
            <w:vAlign w:val="center"/>
          </w:tcPr>
          <w:p w14:paraId="5AFEAC0E">
            <w:pPr>
              <w:widowControl/>
              <w:jc w:val="left"/>
              <w:rPr>
                <w:rFonts w:hint="eastAsia" w:ascii="宋体" w:hAnsi="宋体" w:cs="宋体"/>
                <w:color w:val="000000" w:themeColor="text1"/>
                <w:sz w:val="24"/>
                <w14:textFill>
                  <w14:solidFill>
                    <w14:schemeClr w14:val="tx1"/>
                  </w14:solidFill>
                </w14:textFill>
              </w:rPr>
            </w:pPr>
            <w:r>
              <w:rPr>
                <w:rFonts w:ascii="Segoe UI" w:hAnsi="Segoe UI" w:eastAsia="Segoe UI" w:cs="Segoe UI"/>
                <w:i w:val="0"/>
                <w:iCs w:val="0"/>
                <w:caps w:val="0"/>
                <w:spacing w:val="0"/>
                <w:sz w:val="21"/>
                <w:szCs w:val="21"/>
                <w:shd w:val="clear" w:fill="FAFAFA"/>
              </w:rPr>
              <w:t>报价的修正（如有）</w:t>
            </w:r>
          </w:p>
        </w:tc>
        <w:tc>
          <w:tcPr>
            <w:tcW w:w="6170" w:type="dxa"/>
            <w:shd w:val="clear" w:color="auto" w:fill="auto"/>
            <w:vAlign w:val="center"/>
          </w:tcPr>
          <w:p w14:paraId="589C12ED">
            <w:pPr>
              <w:widowControl/>
              <w:jc w:val="left"/>
              <w:rPr>
                <w:rFonts w:hint="eastAsia"/>
                <w:color w:val="000000" w:themeColor="text1"/>
                <w:kern w:val="0"/>
                <w:sz w:val="24"/>
                <w:highlight w:val="none"/>
                <w14:textFill>
                  <w14:solidFill>
                    <w14:schemeClr w14:val="tx1"/>
                  </w14:solidFill>
                </w14:textFill>
              </w:rPr>
            </w:pPr>
            <w:r>
              <w:rPr>
                <w:rFonts w:ascii="Segoe UI" w:hAnsi="Segoe UI" w:eastAsia="Segoe UI" w:cs="Segoe UI"/>
                <w:i w:val="0"/>
                <w:iCs w:val="0"/>
                <w:caps w:val="0"/>
                <w:spacing w:val="0"/>
                <w:sz w:val="21"/>
                <w:szCs w:val="21"/>
                <w:shd w:val="clear" w:fill="FAFAFA"/>
              </w:rPr>
              <w:t>不涉及报价修正，或</w:t>
            </w:r>
            <w:r>
              <w:rPr>
                <w:rFonts w:hint="eastAsia" w:ascii="Segoe UI" w:hAnsi="Segoe UI" w:eastAsia="宋体" w:cs="Segoe UI"/>
                <w:i w:val="0"/>
                <w:iCs w:val="0"/>
                <w:caps w:val="0"/>
                <w:spacing w:val="0"/>
                <w:sz w:val="21"/>
                <w:szCs w:val="21"/>
                <w:shd w:val="clear" w:fill="FAFAFA"/>
                <w:lang w:val="en-US" w:eastAsia="zh-CN"/>
              </w:rPr>
              <w:t>响应</w:t>
            </w:r>
            <w:r>
              <w:rPr>
                <w:rFonts w:ascii="Segoe UI" w:hAnsi="Segoe UI" w:eastAsia="Segoe UI" w:cs="Segoe UI"/>
                <w:i w:val="0"/>
                <w:iCs w:val="0"/>
                <w:caps w:val="0"/>
                <w:spacing w:val="0"/>
                <w:sz w:val="21"/>
                <w:szCs w:val="21"/>
                <w:shd w:val="clear" w:fill="FAFAFA"/>
              </w:rPr>
              <w:t>文件报价出现前后不一致时，</w:t>
            </w:r>
            <w:r>
              <w:rPr>
                <w:rFonts w:hint="eastAsia" w:ascii="Segoe UI" w:hAnsi="Segoe UI" w:eastAsia="宋体" w:cs="Segoe UI"/>
                <w:i w:val="0"/>
                <w:iCs w:val="0"/>
                <w:caps w:val="0"/>
                <w:spacing w:val="0"/>
                <w:sz w:val="21"/>
                <w:szCs w:val="21"/>
                <w:shd w:val="clear" w:fill="FAFAFA"/>
                <w:lang w:val="en-US" w:eastAsia="zh-CN"/>
              </w:rPr>
              <w:t>供应商</w:t>
            </w:r>
            <w:r>
              <w:rPr>
                <w:rFonts w:ascii="Segoe UI" w:hAnsi="Segoe UI" w:eastAsia="Segoe UI" w:cs="Segoe UI"/>
                <w:i w:val="0"/>
                <w:iCs w:val="0"/>
                <w:caps w:val="0"/>
                <w:spacing w:val="0"/>
                <w:sz w:val="21"/>
                <w:szCs w:val="21"/>
                <w:shd w:val="clear" w:fill="FAFAFA"/>
              </w:rPr>
              <w:t>对修正后的报价予以确认；（如有）</w:t>
            </w:r>
          </w:p>
        </w:tc>
      </w:tr>
      <w:tr w14:paraId="56B37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9" w:type="dxa"/>
            <w:shd w:val="clear"/>
            <w:vAlign w:val="center"/>
          </w:tcPr>
          <w:p w14:paraId="692E14CC">
            <w:pPr>
              <w:widowControl/>
              <w:jc w:val="center"/>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7</w:t>
            </w:r>
          </w:p>
        </w:tc>
        <w:tc>
          <w:tcPr>
            <w:tcW w:w="1663" w:type="dxa"/>
            <w:shd w:val="clear" w:color="auto" w:fill="auto"/>
            <w:vAlign w:val="center"/>
          </w:tcPr>
          <w:p w14:paraId="34694D41">
            <w:pPr>
              <w:widowControl/>
              <w:jc w:val="left"/>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响应有效期</w:t>
            </w:r>
          </w:p>
        </w:tc>
        <w:tc>
          <w:tcPr>
            <w:tcW w:w="6170" w:type="dxa"/>
            <w:shd w:val="clear" w:color="auto" w:fill="auto"/>
            <w:vAlign w:val="center"/>
          </w:tcPr>
          <w:p w14:paraId="46C6CA88">
            <w:pPr>
              <w:widowControl/>
              <w:jc w:val="left"/>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响应文件中承诺的响应有效期满足磋商文件中载明的响应有效期的；</w:t>
            </w:r>
          </w:p>
        </w:tc>
      </w:tr>
      <w:tr w14:paraId="59415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9" w:type="dxa"/>
            <w:shd w:val="clear"/>
            <w:vAlign w:val="center"/>
          </w:tcPr>
          <w:p w14:paraId="00BE2877">
            <w:pPr>
              <w:widowControl/>
              <w:jc w:val="center"/>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8</w:t>
            </w:r>
          </w:p>
        </w:tc>
        <w:tc>
          <w:tcPr>
            <w:tcW w:w="1663" w:type="dxa"/>
            <w:shd w:val="clear" w:color="auto" w:fill="auto"/>
            <w:vAlign w:val="center"/>
          </w:tcPr>
          <w:p w14:paraId="59B930EB">
            <w:pPr>
              <w:widowControl/>
              <w:jc w:val="left"/>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签署、加盖公章</w:t>
            </w:r>
          </w:p>
        </w:tc>
        <w:tc>
          <w:tcPr>
            <w:tcW w:w="6170" w:type="dxa"/>
            <w:shd w:val="clear" w:color="auto" w:fill="auto"/>
            <w:vAlign w:val="center"/>
          </w:tcPr>
          <w:p w14:paraId="118E5402">
            <w:pPr>
              <w:widowControl/>
              <w:jc w:val="left"/>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按照磋商文件要求签署、加盖公章的；</w:t>
            </w:r>
          </w:p>
        </w:tc>
      </w:tr>
      <w:tr w14:paraId="4F3C7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9" w:type="dxa"/>
            <w:shd w:val="clear"/>
            <w:vAlign w:val="center"/>
          </w:tcPr>
          <w:p w14:paraId="3823DAF3">
            <w:pPr>
              <w:widowControl/>
              <w:jc w:val="center"/>
              <w:rPr>
                <w:rFonts w:ascii="宋体" w:hAnsi="宋体" w:eastAsia="宋体" w:cs="宋体"/>
                <w:color w:val="000000" w:themeColor="text1"/>
                <w:sz w:val="24"/>
                <w:szCs w:val="22"/>
                <w:lang w:val="en-US" w:eastAsia="zh-CN" w:bidi="ar-SA"/>
                <w14:textFill>
                  <w14:solidFill>
                    <w14:schemeClr w14:val="tx1"/>
                  </w14:solidFill>
                </w14:textFill>
              </w:rPr>
            </w:pPr>
            <w:r>
              <w:rPr>
                <w:rFonts w:ascii="宋体" w:hAnsi="宋体" w:cs="宋体"/>
                <w:color w:val="000000" w:themeColor="text1"/>
                <w:sz w:val="24"/>
                <w14:textFill>
                  <w14:solidFill>
                    <w14:schemeClr w14:val="tx1"/>
                  </w14:solidFill>
                </w14:textFill>
              </w:rPr>
              <w:t>9</w:t>
            </w:r>
          </w:p>
        </w:tc>
        <w:tc>
          <w:tcPr>
            <w:tcW w:w="1663" w:type="dxa"/>
            <w:shd w:val="clear" w:color="auto" w:fill="auto"/>
            <w:vAlign w:val="center"/>
          </w:tcPr>
          <w:p w14:paraId="161695DF">
            <w:pPr>
              <w:widowControl/>
              <w:jc w:val="left"/>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实质性格式</w:t>
            </w:r>
          </w:p>
        </w:tc>
        <w:tc>
          <w:tcPr>
            <w:tcW w:w="6170" w:type="dxa"/>
            <w:shd w:val="clear" w:color="auto" w:fill="auto"/>
            <w:vAlign w:val="center"/>
          </w:tcPr>
          <w:p w14:paraId="1CC7F832">
            <w:pPr>
              <w:widowControl/>
              <w:jc w:val="left"/>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标记为“实质性格式”的文件均按磋商文件要求提供；</w:t>
            </w:r>
          </w:p>
        </w:tc>
      </w:tr>
      <w:tr w14:paraId="53301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9" w:type="dxa"/>
            <w:shd w:val="clear"/>
            <w:vAlign w:val="center"/>
          </w:tcPr>
          <w:p w14:paraId="51A808E7">
            <w:pPr>
              <w:widowControl/>
              <w:jc w:val="center"/>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ascii="宋体" w:hAnsi="宋体" w:cs="宋体"/>
                <w:color w:val="000000" w:themeColor="text1"/>
                <w:sz w:val="24"/>
                <w14:textFill>
                  <w14:solidFill>
                    <w14:schemeClr w14:val="tx1"/>
                  </w14:solidFill>
                </w14:textFill>
              </w:rPr>
              <w:t>0</w:t>
            </w:r>
          </w:p>
        </w:tc>
        <w:tc>
          <w:tcPr>
            <w:tcW w:w="1663" w:type="dxa"/>
            <w:shd w:val="clear" w:color="auto" w:fill="auto"/>
            <w:vAlign w:val="center"/>
          </w:tcPr>
          <w:p w14:paraId="1AF9C458">
            <w:pPr>
              <w:widowControl/>
              <w:jc w:val="left"/>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★号条款响应</w:t>
            </w:r>
          </w:p>
        </w:tc>
        <w:tc>
          <w:tcPr>
            <w:tcW w:w="6170" w:type="dxa"/>
            <w:shd w:val="clear" w:color="auto" w:fill="auto"/>
            <w:vAlign w:val="center"/>
          </w:tcPr>
          <w:p w14:paraId="1657E09F">
            <w:pPr>
              <w:widowControl/>
              <w:jc w:val="left"/>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响应文件满足磋商文件第四章《采购需求》中★号条款要求的；</w:t>
            </w:r>
          </w:p>
        </w:tc>
      </w:tr>
      <w:tr w14:paraId="5496D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9" w:type="dxa"/>
            <w:shd w:val="clear"/>
            <w:vAlign w:val="center"/>
          </w:tcPr>
          <w:p w14:paraId="764DC689">
            <w:pPr>
              <w:widowControl/>
              <w:jc w:val="center"/>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ascii="宋体" w:hAnsi="宋体" w:cs="宋体"/>
                <w:color w:val="000000" w:themeColor="text1"/>
                <w:sz w:val="24"/>
                <w14:textFill>
                  <w14:solidFill>
                    <w14:schemeClr w14:val="tx1"/>
                  </w14:solidFill>
                </w14:textFill>
              </w:rPr>
              <w:t>1</w:t>
            </w:r>
          </w:p>
        </w:tc>
        <w:tc>
          <w:tcPr>
            <w:tcW w:w="1663" w:type="dxa"/>
            <w:shd w:val="clear" w:color="auto" w:fill="auto"/>
            <w:vAlign w:val="center"/>
          </w:tcPr>
          <w:p w14:paraId="17A9EC84">
            <w:pPr>
              <w:widowControl/>
              <w:jc w:val="left"/>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公平竞争</w:t>
            </w:r>
          </w:p>
        </w:tc>
        <w:tc>
          <w:tcPr>
            <w:tcW w:w="6170" w:type="dxa"/>
            <w:shd w:val="clear" w:color="auto" w:fill="auto"/>
            <w:vAlign w:val="center"/>
          </w:tcPr>
          <w:p w14:paraId="77B34F8D">
            <w:pPr>
              <w:widowControl/>
              <w:jc w:val="left"/>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供应商遵循公平竞争的原则，不存在恶意串通，妨碍其他供应商的竞争行为，不存在损害采购人或者其他供应商的合法权益情形的；</w:t>
            </w:r>
          </w:p>
        </w:tc>
      </w:tr>
      <w:tr w14:paraId="7F18E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9" w:type="dxa"/>
            <w:shd w:val="clear"/>
            <w:vAlign w:val="center"/>
          </w:tcPr>
          <w:p w14:paraId="5A419414">
            <w:pPr>
              <w:widowControl/>
              <w:jc w:val="center"/>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ascii="宋体" w:hAnsi="宋体" w:cs="宋体"/>
                <w:color w:val="000000" w:themeColor="text1"/>
                <w:sz w:val="24"/>
                <w14:textFill>
                  <w14:solidFill>
                    <w14:schemeClr w14:val="tx1"/>
                  </w14:solidFill>
                </w14:textFill>
              </w:rPr>
              <w:t>2</w:t>
            </w:r>
          </w:p>
        </w:tc>
        <w:tc>
          <w:tcPr>
            <w:tcW w:w="1663" w:type="dxa"/>
            <w:shd w:val="clear" w:color="auto" w:fill="auto"/>
            <w:vAlign w:val="center"/>
          </w:tcPr>
          <w:p w14:paraId="4CBA51B4">
            <w:pPr>
              <w:widowControl/>
              <w:jc w:val="left"/>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串通响应</w:t>
            </w:r>
          </w:p>
        </w:tc>
        <w:tc>
          <w:tcPr>
            <w:tcW w:w="6170" w:type="dxa"/>
            <w:shd w:val="clear" w:color="auto" w:fill="auto"/>
            <w:vAlign w:val="center"/>
          </w:tcPr>
          <w:p w14:paraId="65CA3F9F">
            <w:pPr>
              <w:widowControl/>
              <w:jc w:val="left"/>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p>
        </w:tc>
      </w:tr>
      <w:tr w14:paraId="6DE487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9" w:type="dxa"/>
            <w:shd w:val="clear"/>
            <w:vAlign w:val="center"/>
          </w:tcPr>
          <w:p w14:paraId="47171979">
            <w:pPr>
              <w:widowControl/>
              <w:jc w:val="center"/>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ascii="宋体" w:hAnsi="宋体" w:cs="宋体"/>
                <w:color w:val="000000" w:themeColor="text1"/>
                <w:sz w:val="24"/>
                <w14:textFill>
                  <w14:solidFill>
                    <w14:schemeClr w14:val="tx1"/>
                  </w14:solidFill>
                </w14:textFill>
              </w:rPr>
              <w:t>3</w:t>
            </w:r>
          </w:p>
        </w:tc>
        <w:tc>
          <w:tcPr>
            <w:tcW w:w="1663" w:type="dxa"/>
            <w:shd w:val="clear" w:color="auto" w:fill="auto"/>
            <w:vAlign w:val="center"/>
          </w:tcPr>
          <w:p w14:paraId="5CA151DC">
            <w:pPr>
              <w:widowControl/>
              <w:jc w:val="left"/>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附加条件</w:t>
            </w:r>
          </w:p>
        </w:tc>
        <w:tc>
          <w:tcPr>
            <w:tcW w:w="6170" w:type="dxa"/>
            <w:shd w:val="clear" w:color="auto" w:fill="auto"/>
            <w:vAlign w:val="center"/>
          </w:tcPr>
          <w:p w14:paraId="434EBA07">
            <w:pPr>
              <w:widowControl/>
              <w:jc w:val="left"/>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响应文件未含有采购人不能接受的附加条件的；</w:t>
            </w:r>
          </w:p>
        </w:tc>
      </w:tr>
      <w:tr w14:paraId="7C522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9" w:type="dxa"/>
            <w:vAlign w:val="center"/>
          </w:tcPr>
          <w:p w14:paraId="2FAA3F4C">
            <w:pPr>
              <w:widowControl/>
              <w:jc w:val="center"/>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14</w:t>
            </w:r>
          </w:p>
        </w:tc>
        <w:tc>
          <w:tcPr>
            <w:tcW w:w="1663" w:type="dxa"/>
            <w:shd w:val="clear" w:color="auto" w:fill="auto"/>
            <w:vAlign w:val="center"/>
          </w:tcPr>
          <w:p w14:paraId="61D079B6">
            <w:pPr>
              <w:widowControl/>
              <w:jc w:val="left"/>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其他无效情形</w:t>
            </w:r>
          </w:p>
        </w:tc>
        <w:tc>
          <w:tcPr>
            <w:tcW w:w="6170" w:type="dxa"/>
            <w:shd w:val="clear" w:color="auto" w:fill="auto"/>
            <w:vAlign w:val="center"/>
          </w:tcPr>
          <w:p w14:paraId="1B017CDF">
            <w:pPr>
              <w:widowControl/>
              <w:jc w:val="left"/>
              <w:rPr>
                <w:rFonts w:ascii="宋体" w:hAnsi="宋体" w:eastAsia="宋体" w:cs="宋体"/>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供应商、响应文件不存在不符合法律、法规和磋商文件规定的其他无效情形。</w:t>
            </w:r>
          </w:p>
        </w:tc>
      </w:tr>
    </w:tbl>
    <w:p w14:paraId="03DBB68B">
      <w:pPr>
        <w:numPr>
          <w:ilvl w:val="0"/>
          <w:numId w:val="4"/>
        </w:numPr>
        <w:tabs>
          <w:tab w:val="left" w:pos="360"/>
        </w:tabs>
        <w:spacing w:line="360" w:lineRule="auto"/>
        <w:outlineLvl w:val="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磋商、响应文件有关事项的澄清、说明或者更正和最终报价</w:t>
      </w:r>
    </w:p>
    <w:p w14:paraId="11C090DA">
      <w:pPr>
        <w:numPr>
          <w:ilvl w:val="1"/>
          <w:numId w:val="4"/>
        </w:numPr>
        <w:tabs>
          <w:tab w:val="left" w:pos="1080"/>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磋商小组所有成员应当集中与单一供应商分别进行磋商，并给予所有参加磋商的供应商平等的磋商机会。</w:t>
      </w:r>
    </w:p>
    <w:p w14:paraId="6C098246">
      <w:pPr>
        <w:numPr>
          <w:ilvl w:val="1"/>
          <w:numId w:val="4"/>
        </w:numPr>
        <w:tabs>
          <w:tab w:val="left" w:pos="1080"/>
          <w:tab w:val="left" w:pos="1872"/>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在磋商过程中，磋商小组可以根据磋商文件和磋商情况实质性变动采购需求中的技术、服务要求以及合同草案条款，但不得变动磋商文件中的其他内容。实质性变动的内容，须经采购人代表确认。</w:t>
      </w:r>
    </w:p>
    <w:p w14:paraId="4667EF79">
      <w:pPr>
        <w:numPr>
          <w:ilvl w:val="1"/>
          <w:numId w:val="4"/>
        </w:numPr>
        <w:tabs>
          <w:tab w:val="left" w:pos="1080"/>
          <w:tab w:val="left" w:pos="1872"/>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对磋商文件作出的实质性变动是磋商文件的有效组成部分，磋商小组应当及时通过“苏采云”系统以书面形式同时通知所有参加磋商的供应商。</w:t>
      </w:r>
    </w:p>
    <w:p w14:paraId="2D1FAFAA">
      <w:pPr>
        <w:numPr>
          <w:ilvl w:val="1"/>
          <w:numId w:val="4"/>
        </w:numPr>
        <w:tabs>
          <w:tab w:val="left" w:pos="1080"/>
          <w:tab w:val="left" w:pos="1872"/>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65A54D8B">
      <w:pPr>
        <w:numPr>
          <w:ilvl w:val="1"/>
          <w:numId w:val="4"/>
        </w:numPr>
        <w:tabs>
          <w:tab w:val="left" w:pos="1080"/>
          <w:tab w:val="left" w:pos="1872"/>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响应文件的澄清、说明或者更正：</w:t>
      </w:r>
    </w:p>
    <w:p w14:paraId="5690D4F2">
      <w:pPr>
        <w:tabs>
          <w:tab w:val="left" w:pos="1980"/>
        </w:tabs>
        <w:spacing w:line="360" w:lineRule="auto"/>
        <w:ind w:left="10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评审过程中，磋商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p>
    <w:p w14:paraId="1C815F57">
      <w:pPr>
        <w:numPr>
          <w:ilvl w:val="1"/>
          <w:numId w:val="4"/>
        </w:numPr>
        <w:tabs>
          <w:tab w:val="left" w:pos="1080"/>
          <w:tab w:val="left" w:pos="1872"/>
        </w:tabs>
        <w:spacing w:line="360" w:lineRule="auto"/>
        <w:ind w:left="1077" w:hanging="72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磋商结束后，磋商小组将要求所有实质性响应的供应商在规定时间内通过“苏采云”系统提交最终报价。</w:t>
      </w:r>
      <w:r>
        <w:rPr>
          <w:rFonts w:hint="eastAsia"/>
          <w:b/>
          <w:bCs/>
          <w:color w:val="000000" w:themeColor="text1"/>
          <w:sz w:val="24"/>
          <w14:textFill>
            <w14:solidFill>
              <w14:schemeClr w14:val="tx1"/>
            </w14:solidFill>
          </w14:textFill>
        </w:rPr>
        <w:t>本项目采用两次报价。响应文件的磋商报价作为首次报价，在磋商小组资格审查符合性审查结束后，所有继续参加磋商的供应商在规定时间内提交最终报价，最终报价作为评定成交的依据。供应商未在磋商小组规定的时间内在苏采系统中提交最后报价的视为放弃磋商，其响应文件按无效响应处理。</w:t>
      </w:r>
    </w:p>
    <w:p w14:paraId="784B979A">
      <w:pPr>
        <w:numPr>
          <w:ilvl w:val="1"/>
          <w:numId w:val="4"/>
        </w:numPr>
        <w:tabs>
          <w:tab w:val="left" w:pos="1080"/>
          <w:tab w:val="left" w:pos="1872"/>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4F60B770">
      <w:pPr>
        <w:numPr>
          <w:ilvl w:val="1"/>
          <w:numId w:val="4"/>
        </w:numPr>
        <w:tabs>
          <w:tab w:val="left" w:pos="1080"/>
          <w:tab w:val="left" w:pos="1872"/>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最终报价是供应商响应文件的有效组成部分。</w:t>
      </w:r>
    </w:p>
    <w:p w14:paraId="5B279E91">
      <w:pPr>
        <w:numPr>
          <w:ilvl w:val="1"/>
          <w:numId w:val="4"/>
        </w:numPr>
        <w:tabs>
          <w:tab w:val="left" w:pos="1080"/>
          <w:tab w:val="left" w:pos="1872"/>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已提交响应文件的供应商，在提交最终报价之前，可以根据磋商情况退出磋商。</w:t>
      </w:r>
    </w:p>
    <w:p w14:paraId="6C53A581">
      <w:pPr>
        <w:numPr>
          <w:ilvl w:val="0"/>
          <w:numId w:val="4"/>
        </w:numPr>
        <w:tabs>
          <w:tab w:val="left" w:pos="360"/>
        </w:tabs>
        <w:spacing w:line="360" w:lineRule="auto"/>
        <w:outlineLvl w:val="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最终报价的算术修正及政策调整</w:t>
      </w:r>
    </w:p>
    <w:p w14:paraId="266569F4">
      <w:pPr>
        <w:numPr>
          <w:ilvl w:val="1"/>
          <w:numId w:val="4"/>
        </w:numPr>
        <w:tabs>
          <w:tab w:val="left" w:pos="1080"/>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themeColor="text1"/>
          <w:sz w:val="24"/>
          <w14:textFill>
            <w14:solidFill>
              <w14:schemeClr w14:val="tx1"/>
            </w14:solidFill>
          </w14:textFill>
        </w:rPr>
        <w:t>响应无效</w:t>
      </w:r>
      <w:r>
        <w:rPr>
          <w:rFonts w:hint="eastAsia" w:ascii="宋体" w:hAnsi="宋体" w:cs="宋体"/>
          <w:color w:val="000000" w:themeColor="text1"/>
          <w:sz w:val="24"/>
          <w14:textFill>
            <w14:solidFill>
              <w14:schemeClr w14:val="tx1"/>
            </w14:solidFill>
          </w14:textFill>
        </w:rPr>
        <w:t>。</w:t>
      </w:r>
    </w:p>
    <w:p w14:paraId="77EE22C2">
      <w:pPr>
        <w:numPr>
          <w:ilvl w:val="1"/>
          <w:numId w:val="4"/>
        </w:numPr>
        <w:tabs>
          <w:tab w:val="left" w:pos="1080"/>
          <w:tab w:val="left" w:pos="1872"/>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最终报价出现前后不一致的，按照下列规定修正：</w:t>
      </w:r>
    </w:p>
    <w:p w14:paraId="19D0B778">
      <w:pPr>
        <w:numPr>
          <w:ilvl w:val="2"/>
          <w:numId w:val="4"/>
        </w:numPr>
        <w:tabs>
          <w:tab w:val="left" w:pos="1080"/>
          <w:tab w:val="left" w:pos="1589"/>
          <w:tab w:val="left" w:pos="2035"/>
          <w:tab w:val="left" w:pos="2114"/>
        </w:tabs>
        <w:spacing w:line="360" w:lineRule="auto"/>
        <w:ind w:left="20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竞争性磋商文件对于报价修正是否另有规定：</w:t>
      </w:r>
    </w:p>
    <w:p w14:paraId="49529147">
      <w:pPr>
        <w:tabs>
          <w:tab w:val="left" w:pos="1080"/>
          <w:tab w:val="left" w:pos="1589"/>
          <w:tab w:val="left" w:pos="2035"/>
          <w:tab w:val="left" w:pos="2114"/>
        </w:tabs>
        <w:spacing w:line="360" w:lineRule="auto"/>
        <w:ind w:left="2035"/>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□有，具体规定为：___________</w:t>
      </w:r>
    </w:p>
    <w:p w14:paraId="1882010D">
      <w:pPr>
        <w:tabs>
          <w:tab w:val="left" w:pos="1080"/>
          <w:tab w:val="left" w:pos="1589"/>
          <w:tab w:val="left" w:pos="2035"/>
          <w:tab w:val="left" w:pos="2114"/>
        </w:tabs>
        <w:spacing w:line="360" w:lineRule="auto"/>
        <w:ind w:left="20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☑无，按下述3.2.2-3.2.5项规定修正。</w:t>
      </w:r>
    </w:p>
    <w:p w14:paraId="692947E5">
      <w:pPr>
        <w:numPr>
          <w:ilvl w:val="2"/>
          <w:numId w:val="4"/>
        </w:numPr>
        <w:tabs>
          <w:tab w:val="left" w:pos="2035"/>
          <w:tab w:val="left" w:pos="2114"/>
          <w:tab w:val="left" w:pos="2977"/>
        </w:tabs>
        <w:spacing w:line="360" w:lineRule="auto"/>
        <w:ind w:left="20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大写金额和小写金额不一致的，以大写金额为准；</w:t>
      </w:r>
    </w:p>
    <w:p w14:paraId="49824C5A">
      <w:pPr>
        <w:numPr>
          <w:ilvl w:val="2"/>
          <w:numId w:val="4"/>
        </w:numPr>
        <w:tabs>
          <w:tab w:val="left" w:pos="2035"/>
          <w:tab w:val="left" w:pos="2114"/>
          <w:tab w:val="left" w:pos="2977"/>
        </w:tabs>
        <w:spacing w:line="360" w:lineRule="auto"/>
        <w:ind w:left="20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单价金额小数点或者百分比有明显错位的，以最终报价一览表的总价为准，并修改单价；</w:t>
      </w:r>
    </w:p>
    <w:p w14:paraId="0EDC4C1B">
      <w:pPr>
        <w:numPr>
          <w:ilvl w:val="2"/>
          <w:numId w:val="4"/>
        </w:numPr>
        <w:tabs>
          <w:tab w:val="left" w:pos="2035"/>
          <w:tab w:val="left" w:pos="2114"/>
          <w:tab w:val="left" w:pos="2977"/>
        </w:tabs>
        <w:spacing w:line="360" w:lineRule="auto"/>
        <w:ind w:left="20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总价金额与按单价汇总金额不一致的，以单价金额计算结果为准。</w:t>
      </w:r>
    </w:p>
    <w:p w14:paraId="42A73195">
      <w:pPr>
        <w:numPr>
          <w:ilvl w:val="2"/>
          <w:numId w:val="4"/>
        </w:numPr>
        <w:tabs>
          <w:tab w:val="left" w:pos="1080"/>
          <w:tab w:val="left" w:pos="1589"/>
          <w:tab w:val="left" w:pos="2035"/>
          <w:tab w:val="left" w:pos="2114"/>
        </w:tabs>
        <w:spacing w:line="360" w:lineRule="auto"/>
        <w:ind w:left="20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同时出现两种以上不一致的，按照前款规定的顺序修正。修正后的报价经供应商书面确认后产生约束力，供应商不确认的，</w:t>
      </w:r>
      <w:r>
        <w:rPr>
          <w:rFonts w:hint="eastAsia" w:ascii="宋体" w:hAnsi="宋体" w:cs="宋体"/>
          <w:b/>
          <w:color w:val="000000" w:themeColor="text1"/>
          <w:sz w:val="24"/>
          <w14:textFill>
            <w14:solidFill>
              <w14:schemeClr w14:val="tx1"/>
            </w14:solidFill>
          </w14:textFill>
        </w:rPr>
        <w:t>其响应无效</w:t>
      </w:r>
      <w:r>
        <w:rPr>
          <w:rFonts w:hint="eastAsia" w:ascii="宋体" w:hAnsi="宋体" w:cs="宋体"/>
          <w:color w:val="000000" w:themeColor="text1"/>
          <w:sz w:val="24"/>
          <w14:textFill>
            <w14:solidFill>
              <w14:schemeClr w14:val="tx1"/>
            </w14:solidFill>
          </w14:textFill>
        </w:rPr>
        <w:t>。</w:t>
      </w:r>
    </w:p>
    <w:p w14:paraId="7791FC84">
      <w:pPr>
        <w:numPr>
          <w:ilvl w:val="1"/>
          <w:numId w:val="4"/>
        </w:numPr>
        <w:tabs>
          <w:tab w:val="left" w:pos="1080"/>
          <w:tab w:val="left" w:pos="1872"/>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落实政府采购政策的价格调整：只有符合第二章《供应商须知》4.2条规定情形的，可以享受中小企业扶持政策，用扣除后的价格参加评审；否则，评审时价格不予扣除。</w:t>
      </w:r>
    </w:p>
    <w:p w14:paraId="5378202E">
      <w:pPr>
        <w:numPr>
          <w:ilvl w:val="2"/>
          <w:numId w:val="4"/>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对于未预留份额专门面向中小企业采购的采购项目，以及预留份额项目中的非预留部分采购包，对</w:t>
      </w:r>
      <w:r>
        <w:rPr>
          <w:rFonts w:hint="eastAsia" w:ascii="宋体" w:hAnsi="宋体" w:cs="宋体"/>
          <w:b/>
          <w:color w:val="000000" w:themeColor="text1"/>
          <w:sz w:val="24"/>
          <w14:textFill>
            <w14:solidFill>
              <w14:schemeClr w14:val="tx1"/>
            </w14:solidFill>
          </w14:textFill>
        </w:rPr>
        <w:t>小微企业</w:t>
      </w:r>
      <w:r>
        <w:rPr>
          <w:rFonts w:hint="eastAsia" w:ascii="宋体" w:hAnsi="宋体" w:cs="宋体"/>
          <w:color w:val="000000" w:themeColor="text1"/>
          <w:sz w:val="24"/>
          <w14:textFill>
            <w14:solidFill>
              <w14:schemeClr w14:val="tx1"/>
            </w14:solidFill>
          </w14:textFill>
        </w:rPr>
        <w:t>报价给予</w:t>
      </w:r>
      <w:r>
        <w:rPr>
          <w:rFonts w:hint="eastAsia" w:ascii="宋体" w:hAnsi="宋体" w:cs="宋体"/>
          <w:b/>
          <w:bCs/>
          <w:color w:val="000000" w:themeColor="text1"/>
          <w:sz w:val="24"/>
          <w:u w:val="single"/>
          <w14:textFill>
            <w14:solidFill>
              <w14:schemeClr w14:val="tx1"/>
            </w14:solidFill>
          </w14:textFill>
        </w:rPr>
        <w:t>20%</w:t>
      </w:r>
      <w:r>
        <w:rPr>
          <w:rFonts w:hint="eastAsia" w:ascii="宋体" w:hAnsi="宋体" w:cs="宋体"/>
          <w:color w:val="000000" w:themeColor="text1"/>
          <w:sz w:val="24"/>
          <w14:textFill>
            <w14:solidFill>
              <w14:schemeClr w14:val="tx1"/>
            </w14:solidFill>
          </w14:textFill>
        </w:rPr>
        <w:t>的扣除，用扣除后的价格参加评审。</w:t>
      </w:r>
    </w:p>
    <w:p w14:paraId="24D1DA0E">
      <w:pPr>
        <w:numPr>
          <w:ilvl w:val="2"/>
          <w:numId w:val="4"/>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对于未预留份额专门面向中小企业采购的采购项目，以及预留份额项目中的非预留部分采购包，且接受大中型企业与</w:t>
      </w:r>
      <w:r>
        <w:rPr>
          <w:rFonts w:hint="eastAsia" w:ascii="宋体" w:hAnsi="宋体" w:cs="宋体"/>
          <w:b/>
          <w:color w:val="000000" w:themeColor="text1"/>
          <w:sz w:val="24"/>
          <w14:textFill>
            <w14:solidFill>
              <w14:schemeClr w14:val="tx1"/>
            </w14:solidFill>
          </w14:textFill>
        </w:rPr>
        <w:t>小微企业</w:t>
      </w:r>
      <w:r>
        <w:rPr>
          <w:rFonts w:hint="eastAsia" w:ascii="宋体" w:hAnsi="宋体" w:cs="宋体"/>
          <w:color w:val="000000" w:themeColor="text1"/>
          <w:sz w:val="24"/>
          <w14:textFill>
            <w14:solidFill>
              <w14:schemeClr w14:val="tx1"/>
            </w14:solidFill>
          </w14:textFill>
        </w:rPr>
        <w:t>组成联合体或者允许大中型企业向一家或者多家</w:t>
      </w:r>
      <w:r>
        <w:rPr>
          <w:rFonts w:hint="eastAsia" w:ascii="宋体" w:hAnsi="宋体" w:cs="宋体"/>
          <w:b/>
          <w:color w:val="000000" w:themeColor="text1"/>
          <w:sz w:val="24"/>
          <w14:textFill>
            <w14:solidFill>
              <w14:schemeClr w14:val="tx1"/>
            </w14:solidFill>
          </w14:textFill>
        </w:rPr>
        <w:t>小微企业</w:t>
      </w:r>
      <w:r>
        <w:rPr>
          <w:rFonts w:hint="eastAsia" w:ascii="宋体" w:hAnsi="宋体" w:cs="宋体"/>
          <w:color w:val="000000" w:themeColor="text1"/>
          <w:sz w:val="24"/>
          <w14:textFill>
            <w14:solidFill>
              <w14:schemeClr w14:val="tx1"/>
            </w14:solidFill>
          </w14:textFill>
        </w:rPr>
        <w:t>分包的采购项目，对于联合协议或者分包意向协议约定</w:t>
      </w:r>
      <w:r>
        <w:rPr>
          <w:rFonts w:hint="eastAsia" w:ascii="宋体" w:hAnsi="宋体" w:cs="宋体"/>
          <w:b/>
          <w:color w:val="000000" w:themeColor="text1"/>
          <w:sz w:val="24"/>
          <w14:textFill>
            <w14:solidFill>
              <w14:schemeClr w14:val="tx1"/>
            </w14:solidFill>
          </w14:textFill>
        </w:rPr>
        <w:t>小微企业</w:t>
      </w:r>
      <w:r>
        <w:rPr>
          <w:rFonts w:hint="eastAsia" w:ascii="宋体" w:hAnsi="宋体" w:cs="宋体"/>
          <w:color w:val="000000" w:themeColor="text1"/>
          <w:sz w:val="24"/>
          <w14:textFill>
            <w14:solidFill>
              <w14:schemeClr w14:val="tx1"/>
            </w14:solidFill>
          </w14:textFill>
        </w:rPr>
        <w:t>的合同份额占到合同总金额 30%以上的联合体或者大中型企业的报价给予</w:t>
      </w:r>
      <w:r>
        <w:rPr>
          <w:rFonts w:ascii="宋体" w:hAnsi="宋体" w:cs="宋体"/>
          <w:color w:val="000000" w:themeColor="text1"/>
          <w:sz w:val="24"/>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%的扣除，用扣除后的价格参加评审。</w:t>
      </w:r>
    </w:p>
    <w:p w14:paraId="5B37804C">
      <w:pPr>
        <w:numPr>
          <w:ilvl w:val="2"/>
          <w:numId w:val="4"/>
        </w:numPr>
        <w:tabs>
          <w:tab w:val="left" w:pos="1080"/>
          <w:tab w:val="left" w:pos="1589"/>
          <w:tab w:val="left" w:pos="2035"/>
        </w:tabs>
        <w:spacing w:line="360" w:lineRule="auto"/>
        <w:ind w:left="20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组成联合体或者接受分包的小微企业与联合体内其他企业、分包企业之间存在直接控股、管理关系的，不享受价格扣除优惠政策。</w:t>
      </w:r>
    </w:p>
    <w:p w14:paraId="60B2B85A">
      <w:pPr>
        <w:numPr>
          <w:ilvl w:val="2"/>
          <w:numId w:val="4"/>
        </w:numPr>
        <w:tabs>
          <w:tab w:val="left" w:pos="1080"/>
          <w:tab w:val="left" w:pos="1589"/>
          <w:tab w:val="left" w:pos="2035"/>
        </w:tabs>
        <w:spacing w:line="360" w:lineRule="auto"/>
        <w:ind w:left="20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价格扣除比例对小型企业和微型企业同等对待，不作区分。</w:t>
      </w:r>
    </w:p>
    <w:p w14:paraId="48D58D7A">
      <w:pPr>
        <w:numPr>
          <w:ilvl w:val="2"/>
          <w:numId w:val="4"/>
        </w:numPr>
        <w:tabs>
          <w:tab w:val="left" w:pos="1080"/>
          <w:tab w:val="left" w:pos="1589"/>
          <w:tab w:val="left" w:pos="2035"/>
        </w:tabs>
        <w:spacing w:line="360" w:lineRule="auto"/>
        <w:ind w:left="20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14:paraId="79DCBE0F">
      <w:pPr>
        <w:numPr>
          <w:ilvl w:val="2"/>
          <w:numId w:val="4"/>
        </w:numPr>
        <w:tabs>
          <w:tab w:val="left" w:pos="1080"/>
          <w:tab w:val="left" w:pos="1589"/>
          <w:tab w:val="left" w:pos="2035"/>
        </w:tabs>
        <w:spacing w:line="360" w:lineRule="auto"/>
        <w:ind w:left="20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监狱企业提供了由省级以上监狱管理局（常州市含教育矫治局）、戒毒管理局（含新疆生产建设兵团）出具的属于监狱企业的证明文件的，视同小微企业。</w:t>
      </w:r>
    </w:p>
    <w:p w14:paraId="47FAA49E">
      <w:pPr>
        <w:numPr>
          <w:ilvl w:val="2"/>
          <w:numId w:val="4"/>
        </w:numPr>
        <w:tabs>
          <w:tab w:val="left" w:pos="1080"/>
          <w:tab w:val="left" w:pos="1589"/>
          <w:tab w:val="left" w:pos="2035"/>
        </w:tabs>
        <w:spacing w:line="360" w:lineRule="auto"/>
        <w:ind w:left="20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残疾人福利性单位按竞争性磋商文件要求提供了《残疾人福利性单位声明函》（见附件）的，视同小微企业。</w:t>
      </w:r>
    </w:p>
    <w:p w14:paraId="49973FEB">
      <w:pPr>
        <w:numPr>
          <w:ilvl w:val="2"/>
          <w:numId w:val="4"/>
        </w:numPr>
        <w:tabs>
          <w:tab w:val="left" w:pos="1080"/>
          <w:tab w:val="left" w:pos="1589"/>
          <w:tab w:val="left" w:pos="2014"/>
        </w:tabs>
        <w:spacing w:line="360" w:lineRule="auto"/>
        <w:ind w:left="20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若供应商同时属于小型或微型企业、监狱企业、残疾人福利性单位中的两种及以上，将不重复享受小微企业价格扣减的优惠政策。</w:t>
      </w:r>
    </w:p>
    <w:p w14:paraId="0A0A5C48">
      <w:pPr>
        <w:numPr>
          <w:ilvl w:val="2"/>
          <w:numId w:val="4"/>
        </w:numPr>
        <w:tabs>
          <w:tab w:val="left" w:pos="1080"/>
          <w:tab w:val="left" w:pos="1589"/>
          <w:tab w:val="left" w:pos="2014"/>
        </w:tabs>
        <w:spacing w:line="360" w:lineRule="auto"/>
        <w:ind w:left="20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其他为落实政府采购政策实施的优先采购：/。</w:t>
      </w:r>
    </w:p>
    <w:p w14:paraId="196474E2">
      <w:pPr>
        <w:numPr>
          <w:ilvl w:val="0"/>
          <w:numId w:val="4"/>
        </w:numPr>
        <w:tabs>
          <w:tab w:val="left" w:pos="360"/>
        </w:tabs>
        <w:spacing w:line="360" w:lineRule="auto"/>
        <w:outlineLvl w:val="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磋商环节及提交最终报价后如出现以下情况的，供应商的</w:t>
      </w:r>
      <w:r>
        <w:rPr>
          <w:rFonts w:hint="eastAsia" w:ascii="宋体" w:hAnsi="宋体" w:cs="宋体"/>
          <w:b/>
          <w:color w:val="000000" w:themeColor="text1"/>
          <w:sz w:val="24"/>
          <w14:textFill>
            <w14:solidFill>
              <w14:schemeClr w14:val="tx1"/>
            </w14:solidFill>
          </w14:textFill>
        </w:rPr>
        <w:t>响应文件无效</w:t>
      </w:r>
      <w:r>
        <w:rPr>
          <w:rFonts w:hint="eastAsia" w:ascii="宋体" w:hAnsi="宋体" w:cs="宋体"/>
          <w:color w:val="000000" w:themeColor="text1"/>
          <w:sz w:val="24"/>
          <w14:textFill>
            <w14:solidFill>
              <w14:schemeClr w14:val="tx1"/>
            </w14:solidFill>
          </w14:textFill>
        </w:rPr>
        <w:t>：</w:t>
      </w:r>
    </w:p>
    <w:p w14:paraId="3C11ADB6">
      <w:pPr>
        <w:numPr>
          <w:ilvl w:val="1"/>
          <w:numId w:val="4"/>
        </w:numPr>
        <w:tabs>
          <w:tab w:val="left" w:pos="1080"/>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供应商对实质性变动不予确认的；</w:t>
      </w:r>
    </w:p>
    <w:p w14:paraId="3CDFC1B7">
      <w:pPr>
        <w:numPr>
          <w:ilvl w:val="1"/>
          <w:numId w:val="4"/>
        </w:numPr>
        <w:tabs>
          <w:tab w:val="left" w:pos="1080"/>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不满足磋商文件★号条款或磋商文件技术指标超出磋商文件《采购需求》中主要技术参数允许偏差的最大范围的（如有）；</w:t>
      </w:r>
    </w:p>
    <w:p w14:paraId="1B803206">
      <w:pPr>
        <w:numPr>
          <w:ilvl w:val="1"/>
          <w:numId w:val="4"/>
        </w:numPr>
        <w:tabs>
          <w:tab w:val="left" w:pos="1080"/>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未按照磋商小组规定的时间、逾期提交最终报价的；</w:t>
      </w:r>
    </w:p>
    <w:p w14:paraId="50911F8C">
      <w:pPr>
        <w:numPr>
          <w:ilvl w:val="1"/>
          <w:numId w:val="4"/>
        </w:numPr>
        <w:tabs>
          <w:tab w:val="left" w:pos="1080"/>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如供应商的最终报价超过竞争性磋商文件中规定的项目/采购包预算金额或者项目/采购包最高限价的；</w:t>
      </w:r>
    </w:p>
    <w:p w14:paraId="6844EC1C">
      <w:pPr>
        <w:numPr>
          <w:ilvl w:val="1"/>
          <w:numId w:val="4"/>
        </w:numPr>
        <w:tabs>
          <w:tab w:val="left" w:pos="1080"/>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响应文件中出现可选择性或可调整的报价的（竞争性磋商文件另有规定的除外）；</w:t>
      </w:r>
    </w:p>
    <w:p w14:paraId="01BE01ED">
      <w:pPr>
        <w:numPr>
          <w:ilvl w:val="1"/>
          <w:numId w:val="4"/>
        </w:numPr>
        <w:tabs>
          <w:tab w:val="left" w:pos="1080"/>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最终报价出现前后不一致，供应商对修正后的报价不予确认的；</w:t>
      </w:r>
    </w:p>
    <w:p w14:paraId="3D7D8ACA">
      <w:pPr>
        <w:numPr>
          <w:ilvl w:val="1"/>
          <w:numId w:val="4"/>
        </w:numPr>
        <w:tabs>
          <w:tab w:val="left" w:pos="1080"/>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其他：__</w:t>
      </w:r>
      <w:r>
        <w:rPr>
          <w:rFonts w:hint="eastAsia" w:ascii="宋体" w:hAnsi="宋体" w:cs="宋体"/>
          <w:color w:val="000000" w:themeColor="text1"/>
          <w:sz w:val="24"/>
          <w:u w:val="single"/>
          <w14:textFill>
            <w14:solidFill>
              <w14:schemeClr w14:val="tx1"/>
            </w14:solidFill>
          </w14:textFill>
        </w:rPr>
        <w:t>/</w:t>
      </w:r>
      <w:r>
        <w:rPr>
          <w:rFonts w:hint="eastAsia" w:ascii="宋体" w:hAnsi="宋体" w:cs="宋体"/>
          <w:color w:val="000000" w:themeColor="text1"/>
          <w:sz w:val="24"/>
          <w14:textFill>
            <w14:solidFill>
              <w14:schemeClr w14:val="tx1"/>
            </w14:solidFill>
          </w14:textFill>
        </w:rPr>
        <w:t>__。</w:t>
      </w:r>
    </w:p>
    <w:bookmarkEnd w:id="598"/>
    <w:bookmarkEnd w:id="599"/>
    <w:p w14:paraId="13E76B84">
      <w:pPr>
        <w:numPr>
          <w:ilvl w:val="0"/>
          <w:numId w:val="4"/>
        </w:numPr>
        <w:tabs>
          <w:tab w:val="left" w:pos="360"/>
        </w:tabs>
        <w:spacing w:line="360" w:lineRule="auto"/>
        <w:outlineLvl w:val="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评审方法和评审标准</w:t>
      </w:r>
    </w:p>
    <w:p w14:paraId="238A2395">
      <w:pPr>
        <w:numPr>
          <w:ilvl w:val="1"/>
          <w:numId w:val="4"/>
        </w:numPr>
        <w:tabs>
          <w:tab w:val="left" w:pos="1080"/>
          <w:tab w:val="left" w:pos="1872"/>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536E1772">
      <w:pPr>
        <w:numPr>
          <w:ilvl w:val="1"/>
          <w:numId w:val="4"/>
        </w:numPr>
        <w:tabs>
          <w:tab w:val="left" w:pos="1080"/>
          <w:tab w:val="left" w:pos="1872"/>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竞争性磋商文件中没有规定的评审标准不得作为评审依据。</w:t>
      </w:r>
    </w:p>
    <w:p w14:paraId="4D13C886">
      <w:pPr>
        <w:numPr>
          <w:ilvl w:val="1"/>
          <w:numId w:val="4"/>
        </w:numPr>
        <w:tabs>
          <w:tab w:val="left" w:pos="1080"/>
          <w:tab w:val="left" w:pos="1872"/>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非政府强制采购的节能产品或环境标志产品，依据品目清单和认证证书实施政府优先采购。优先采购的具体规定（如涉及）/。</w:t>
      </w:r>
    </w:p>
    <w:p w14:paraId="3313C90F">
      <w:pPr>
        <w:numPr>
          <w:ilvl w:val="1"/>
          <w:numId w:val="4"/>
        </w:numPr>
        <w:tabs>
          <w:tab w:val="left" w:pos="1080"/>
          <w:tab w:val="left" w:pos="1872"/>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关于无线局域网认证产品政府采购清单中的产品，优先采购的具体规定（如涉及）/。</w:t>
      </w:r>
    </w:p>
    <w:p w14:paraId="5B2223CC">
      <w:pPr>
        <w:numPr>
          <w:ilvl w:val="0"/>
          <w:numId w:val="4"/>
        </w:numPr>
        <w:tabs>
          <w:tab w:val="left" w:pos="360"/>
        </w:tabs>
        <w:spacing w:line="360" w:lineRule="auto"/>
        <w:outlineLvl w:val="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确定</w:t>
      </w:r>
      <w:bookmarkStart w:id="602" w:name="_Toc226965819"/>
      <w:bookmarkStart w:id="603" w:name="_Toc164608660"/>
      <w:bookmarkStart w:id="604" w:name="_Toc127161460"/>
      <w:bookmarkStart w:id="605" w:name="_Toc151193716"/>
      <w:bookmarkStart w:id="606" w:name="_Toc305158814"/>
      <w:bookmarkStart w:id="607" w:name="_Toc151193934"/>
      <w:bookmarkStart w:id="608" w:name="_Toc151190173"/>
      <w:bookmarkStart w:id="609" w:name="_Toc149720839"/>
      <w:bookmarkStart w:id="610" w:name="_Toc164229387"/>
      <w:bookmarkStart w:id="611" w:name="_Toc264969236"/>
      <w:bookmarkStart w:id="612" w:name="_Toc127151546"/>
      <w:bookmarkStart w:id="613" w:name="_Toc305158888"/>
      <w:bookmarkStart w:id="614" w:name="_Ref467307010"/>
      <w:bookmarkStart w:id="615" w:name="_Toc150509297"/>
      <w:bookmarkStart w:id="616" w:name="_Toc164229241"/>
      <w:bookmarkStart w:id="617" w:name="_Toc226309790"/>
      <w:bookmarkStart w:id="618" w:name="_Toc226965736"/>
      <w:bookmarkStart w:id="619" w:name="_Toc151193860"/>
      <w:bookmarkStart w:id="620" w:name="_Toc142311048"/>
      <w:bookmarkStart w:id="621" w:name="_Toc151193788"/>
      <w:bookmarkStart w:id="622" w:name="_Toc520356170"/>
      <w:bookmarkStart w:id="623" w:name="_Toc151193644"/>
      <w:bookmarkStart w:id="624" w:name="_Toc195842911"/>
      <w:bookmarkStart w:id="625" w:name="_Toc265228384"/>
      <w:bookmarkStart w:id="626" w:name="_Toc150774751"/>
      <w:bookmarkStart w:id="627" w:name="_Toc164608815"/>
      <w:bookmarkStart w:id="628" w:name="_Toc226337242"/>
      <w:bookmarkStart w:id="629" w:name="_Toc164351640"/>
      <w:bookmarkStart w:id="630" w:name="_Toc150480784"/>
      <w:bookmarkStart w:id="631" w:name="_Toc127151747"/>
      <w:bookmarkStart w:id="632" w:name="_Toc150774646"/>
      <w:r>
        <w:rPr>
          <w:rFonts w:hint="eastAsia" w:ascii="宋体" w:hAnsi="宋体" w:cs="宋体"/>
          <w:color w:val="000000" w:themeColor="text1"/>
          <w:sz w:val="24"/>
          <w14:textFill>
            <w14:solidFill>
              <w14:schemeClr w14:val="tx1"/>
            </w14:solidFill>
          </w14:textFill>
        </w:rPr>
        <w:t>成交候选人名单</w:t>
      </w:r>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14:paraId="048FF6CF">
      <w:pPr>
        <w:numPr>
          <w:ilvl w:val="1"/>
          <w:numId w:val="4"/>
        </w:numPr>
        <w:tabs>
          <w:tab w:val="left" w:pos="1080"/>
          <w:tab w:val="left" w:pos="1872"/>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356EF6A7">
      <w:pPr>
        <w:numPr>
          <w:ilvl w:val="1"/>
          <w:numId w:val="4"/>
        </w:numPr>
        <w:tabs>
          <w:tab w:val="left" w:pos="1080"/>
          <w:tab w:val="left" w:pos="1872"/>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磋商小组根据上述供应商排序，依次推荐排序前</w:t>
      </w:r>
      <w:r>
        <w:rPr>
          <w:rFonts w:hint="eastAsia" w:ascii="宋体" w:hAnsi="宋体" w:cs="宋体"/>
          <w:color w:val="000000" w:themeColor="text1"/>
          <w:sz w:val="24"/>
          <w14:textFill>
            <w14:solidFill>
              <w14:schemeClr w14:val="tx1"/>
            </w14:solidFill>
          </w14:textFill>
        </w:rPr>
        <w:t>3名</w:t>
      </w:r>
      <w:r>
        <w:rPr>
          <w:rFonts w:hint="eastAsia" w:ascii="宋体" w:hAnsi="宋体" w:cs="宋体"/>
          <w:color w:val="000000" w:themeColor="text1"/>
          <w:sz w:val="24"/>
          <w:szCs w:val="20"/>
          <w14:textFill>
            <w14:solidFill>
              <w14:schemeClr w14:val="tx1"/>
            </w14:solidFill>
          </w14:textFill>
        </w:rPr>
        <w:t>的供应商为</w:t>
      </w:r>
      <w:r>
        <w:rPr>
          <w:rFonts w:hint="eastAsia" w:ascii="宋体" w:hAnsi="宋体" w:cs="宋体"/>
          <w:color w:val="000000" w:themeColor="text1"/>
          <w:sz w:val="24"/>
          <w:szCs w:val="21"/>
          <w14:textFill>
            <w14:solidFill>
              <w14:schemeClr w14:val="tx1"/>
            </w14:solidFill>
          </w14:textFill>
        </w:rPr>
        <w:t>成交候选供应商</w:t>
      </w:r>
      <w:r>
        <w:rPr>
          <w:rFonts w:hint="eastAsia" w:ascii="宋体" w:hAnsi="宋体" w:cs="宋体"/>
          <w:color w:val="000000" w:themeColor="text1"/>
          <w:sz w:val="24"/>
          <w:szCs w:val="20"/>
          <w14:textFill>
            <w14:solidFill>
              <w14:schemeClr w14:val="tx1"/>
            </w14:solidFill>
          </w14:textFill>
        </w:rPr>
        <w:t>（若在磋商文件允许的情形下提交最终报价的供应商为二家，则依次推荐二名供应商为成交候选供应商），并编写评审报告。</w:t>
      </w:r>
    </w:p>
    <w:p w14:paraId="50936241">
      <w:pPr>
        <w:numPr>
          <w:ilvl w:val="1"/>
          <w:numId w:val="4"/>
        </w:numPr>
        <w:tabs>
          <w:tab w:val="left" w:pos="1080"/>
          <w:tab w:val="left" w:pos="1872"/>
        </w:tabs>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磋商小组要对评分汇总情况进行复核，特别是对排名第一的、报价最低的、响应文件被认定为无效的情形进行重点复核。</w:t>
      </w:r>
    </w:p>
    <w:p w14:paraId="7C655D12">
      <w:pPr>
        <w:numPr>
          <w:ilvl w:val="0"/>
          <w:numId w:val="4"/>
        </w:numPr>
        <w:tabs>
          <w:tab w:val="left" w:pos="360"/>
        </w:tabs>
        <w:spacing w:line="360" w:lineRule="auto"/>
        <w:outlineLvl w:val="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报告违法行为</w:t>
      </w:r>
    </w:p>
    <w:p w14:paraId="78792845">
      <w:pPr>
        <w:widowControl/>
        <w:tabs>
          <w:tab w:val="left" w:pos="1080"/>
          <w:tab w:val="left" w:pos="1589"/>
          <w:tab w:val="left" w:pos="1872"/>
        </w:tabs>
        <w:snapToGrid w:val="0"/>
        <w:spacing w:line="360" w:lineRule="auto"/>
        <w:ind w:firstLine="480" w:firstLineChars="200"/>
        <w:jc w:val="center"/>
        <w:rPr>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磋商小组在评审过程中发现供应商有行贿、提供虚假材料或者串通等违法行为时，有向采购人、采购代理机构或者有关部门报告的职责。</w:t>
      </w:r>
      <w:r>
        <w:rPr>
          <w:b/>
          <w:color w:val="000000" w:themeColor="text1"/>
          <w:sz w:val="24"/>
          <w14:textFill>
            <w14:solidFill>
              <w14:schemeClr w14:val="tx1"/>
            </w14:solidFill>
          </w14:textFill>
        </w:rPr>
        <w:br w:type="page" w:clear="all"/>
      </w:r>
    </w:p>
    <w:p w14:paraId="14D43BA9">
      <w:pPr>
        <w:widowControl/>
        <w:tabs>
          <w:tab w:val="left" w:pos="1080"/>
          <w:tab w:val="left" w:pos="1589"/>
          <w:tab w:val="left" w:pos="1872"/>
        </w:tabs>
        <w:snapToGrid w:val="0"/>
        <w:spacing w:line="360" w:lineRule="auto"/>
        <w:ind w:firstLine="482" w:firstLineChars="200"/>
        <w:jc w:val="center"/>
        <w:rPr>
          <w:rFonts w:ascii="宋体" w:hAnsi="宋体"/>
          <w:b/>
          <w:bCs/>
          <w:sz w:val="24"/>
        </w:rPr>
      </w:pPr>
      <w:r>
        <w:rPr>
          <w:rFonts w:ascii="宋体" w:hAnsi="宋体"/>
          <w:b/>
          <w:bCs/>
          <w:sz w:val="24"/>
        </w:rPr>
        <w:t>二、评</w:t>
      </w:r>
      <w:r>
        <w:rPr>
          <w:rFonts w:hint="eastAsia" w:ascii="宋体" w:hAnsi="宋体"/>
          <w:b/>
          <w:bCs/>
          <w:sz w:val="24"/>
        </w:rPr>
        <w:t>审</w:t>
      </w:r>
      <w:r>
        <w:rPr>
          <w:rFonts w:ascii="宋体" w:hAnsi="宋体"/>
          <w:b/>
          <w:bCs/>
          <w:sz w:val="24"/>
        </w:rPr>
        <w:t>标准</w:t>
      </w:r>
    </w:p>
    <w:tbl>
      <w:tblPr>
        <w:tblStyle w:val="47"/>
        <w:tblW w:w="9911"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1224"/>
        <w:gridCol w:w="792"/>
        <w:gridCol w:w="5388"/>
        <w:gridCol w:w="1752"/>
      </w:tblGrid>
      <w:tr w14:paraId="61C86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755" w:type="dxa"/>
            <w:vAlign w:val="center"/>
          </w:tcPr>
          <w:p w14:paraId="44C8E8C2">
            <w:pPr>
              <w:ind w:firstLine="28"/>
              <w:jc w:val="center"/>
              <w:rPr>
                <w:rFonts w:ascii="宋体" w:hAnsi="宋体"/>
                <w:b/>
                <w:sz w:val="24"/>
              </w:rPr>
            </w:pPr>
            <w:r>
              <w:rPr>
                <w:rFonts w:ascii="宋体" w:hAnsi="宋体"/>
                <w:b/>
                <w:sz w:val="24"/>
              </w:rPr>
              <w:t>序号</w:t>
            </w:r>
          </w:p>
        </w:tc>
        <w:tc>
          <w:tcPr>
            <w:tcW w:w="1224" w:type="dxa"/>
            <w:vAlign w:val="center"/>
          </w:tcPr>
          <w:p w14:paraId="12CAB70C">
            <w:pPr>
              <w:ind w:firstLine="28"/>
              <w:jc w:val="center"/>
              <w:rPr>
                <w:rFonts w:ascii="宋体" w:hAnsi="宋体"/>
                <w:b/>
                <w:sz w:val="24"/>
              </w:rPr>
            </w:pPr>
            <w:r>
              <w:rPr>
                <w:rFonts w:ascii="宋体" w:hAnsi="宋体"/>
                <w:b/>
                <w:sz w:val="24"/>
              </w:rPr>
              <w:t>评分因素</w:t>
            </w:r>
          </w:p>
        </w:tc>
        <w:tc>
          <w:tcPr>
            <w:tcW w:w="792" w:type="dxa"/>
            <w:vAlign w:val="center"/>
          </w:tcPr>
          <w:p w14:paraId="2A308877">
            <w:pPr>
              <w:ind w:firstLine="28"/>
              <w:jc w:val="center"/>
              <w:rPr>
                <w:rFonts w:ascii="宋体" w:hAnsi="宋体"/>
                <w:b/>
                <w:sz w:val="24"/>
              </w:rPr>
            </w:pPr>
            <w:r>
              <w:rPr>
                <w:rFonts w:ascii="宋体" w:hAnsi="宋体"/>
                <w:b/>
                <w:sz w:val="24"/>
              </w:rPr>
              <w:t>分值</w:t>
            </w:r>
          </w:p>
        </w:tc>
        <w:tc>
          <w:tcPr>
            <w:tcW w:w="5388" w:type="dxa"/>
            <w:vAlign w:val="center"/>
          </w:tcPr>
          <w:p w14:paraId="242D300C">
            <w:pPr>
              <w:ind w:firstLine="28"/>
              <w:jc w:val="center"/>
              <w:rPr>
                <w:rFonts w:ascii="宋体" w:hAnsi="宋体"/>
                <w:b/>
                <w:sz w:val="24"/>
              </w:rPr>
            </w:pPr>
            <w:r>
              <w:rPr>
                <w:rFonts w:ascii="宋体" w:hAnsi="宋体"/>
                <w:b/>
                <w:sz w:val="24"/>
              </w:rPr>
              <w:t>评分标准</w:t>
            </w:r>
          </w:p>
        </w:tc>
        <w:tc>
          <w:tcPr>
            <w:tcW w:w="1752" w:type="dxa"/>
            <w:vAlign w:val="center"/>
          </w:tcPr>
          <w:p w14:paraId="1D9A6327">
            <w:pPr>
              <w:pStyle w:val="351"/>
              <w:spacing w:before="0" w:after="0" w:line="240" w:lineRule="auto"/>
              <w:rPr>
                <w:rFonts w:ascii="宋体" w:hAnsi="宋体" w:eastAsia="宋体"/>
                <w:szCs w:val="24"/>
              </w:rPr>
            </w:pPr>
            <w:r>
              <w:rPr>
                <w:rFonts w:ascii="宋体" w:hAnsi="宋体" w:eastAsia="宋体"/>
                <w:szCs w:val="24"/>
              </w:rPr>
              <w:t>说明</w:t>
            </w:r>
          </w:p>
        </w:tc>
      </w:tr>
      <w:tr w14:paraId="237E4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55" w:type="dxa"/>
            <w:vAlign w:val="center"/>
          </w:tcPr>
          <w:p w14:paraId="4651322D">
            <w:pPr>
              <w:ind w:firstLine="28"/>
              <w:jc w:val="center"/>
              <w:rPr>
                <w:rFonts w:ascii="宋体" w:hAnsi="宋体"/>
                <w:b/>
                <w:sz w:val="24"/>
              </w:rPr>
            </w:pPr>
            <w:r>
              <w:rPr>
                <w:rFonts w:hint="eastAsia" w:ascii="宋体" w:hAnsi="宋体"/>
                <w:b/>
                <w:sz w:val="24"/>
              </w:rPr>
              <w:t>1</w:t>
            </w:r>
          </w:p>
        </w:tc>
        <w:tc>
          <w:tcPr>
            <w:tcW w:w="1224" w:type="dxa"/>
            <w:vAlign w:val="center"/>
          </w:tcPr>
          <w:p w14:paraId="26843B2F">
            <w:pPr>
              <w:ind w:firstLine="28"/>
              <w:jc w:val="center"/>
              <w:rPr>
                <w:rFonts w:ascii="宋体" w:hAnsi="宋体"/>
                <w:b/>
                <w:bCs/>
                <w:sz w:val="24"/>
              </w:rPr>
            </w:pPr>
            <w:r>
              <w:rPr>
                <w:rFonts w:hint="eastAsia" w:ascii="宋体" w:hAnsi="宋体"/>
                <w:b/>
                <w:bCs/>
                <w:sz w:val="24"/>
              </w:rPr>
              <w:t>价格分</w:t>
            </w:r>
          </w:p>
        </w:tc>
        <w:tc>
          <w:tcPr>
            <w:tcW w:w="792" w:type="dxa"/>
            <w:vAlign w:val="center"/>
          </w:tcPr>
          <w:p w14:paraId="5B82433D">
            <w:pPr>
              <w:ind w:firstLine="28"/>
              <w:jc w:val="center"/>
              <w:rPr>
                <w:rFonts w:hint="default" w:ascii="宋体" w:hAnsi="宋体" w:eastAsia="宋体"/>
                <w:b/>
                <w:bCs/>
                <w:sz w:val="24"/>
                <w:lang w:val="en-US" w:eastAsia="zh-CN"/>
              </w:rPr>
            </w:pPr>
            <w:r>
              <w:rPr>
                <w:rFonts w:hint="eastAsia" w:ascii="宋体" w:hAnsi="宋体"/>
                <w:b/>
                <w:bCs/>
                <w:sz w:val="24"/>
                <w:lang w:val="en-US" w:eastAsia="zh-CN"/>
              </w:rPr>
              <w:t>10</w:t>
            </w:r>
          </w:p>
        </w:tc>
        <w:tc>
          <w:tcPr>
            <w:tcW w:w="5388" w:type="dxa"/>
            <w:vAlign w:val="center"/>
          </w:tcPr>
          <w:p w14:paraId="509D28C9">
            <w:pPr>
              <w:keepNext w:val="0"/>
              <w:keepLines w:val="0"/>
              <w:pageBreakBefore w:val="0"/>
              <w:widowControl w:val="0"/>
              <w:kinsoku/>
              <w:wordWrap/>
              <w:overflowPunct/>
              <w:topLinePunct w:val="0"/>
              <w:autoSpaceDE/>
              <w:autoSpaceDN/>
              <w:bidi w:val="0"/>
              <w:adjustRightInd/>
              <w:snapToGrid/>
              <w:spacing w:line="320" w:lineRule="exact"/>
              <w:textAlignment w:val="auto"/>
              <w:rPr>
                <w:rFonts w:ascii="宋体" w:hAnsi="宋体"/>
                <w:sz w:val="24"/>
              </w:rPr>
            </w:pPr>
            <w:r>
              <w:rPr>
                <w:rFonts w:ascii="宋体" w:hAnsi="宋体"/>
                <w:sz w:val="24"/>
              </w:rPr>
              <w:t>满足磋商文件要求且</w:t>
            </w:r>
            <w:r>
              <w:rPr>
                <w:rFonts w:hint="eastAsia" w:ascii="宋体" w:hAnsi="宋体"/>
                <w:sz w:val="24"/>
              </w:rPr>
              <w:t>最终报价</w:t>
            </w:r>
            <w:r>
              <w:rPr>
                <w:rFonts w:ascii="宋体" w:hAnsi="宋体"/>
                <w:sz w:val="24"/>
              </w:rPr>
              <w:t>最低的报价为</w:t>
            </w:r>
            <w:r>
              <w:rPr>
                <w:rFonts w:hint="eastAsia" w:ascii="宋体" w:hAnsi="宋体"/>
                <w:sz w:val="24"/>
              </w:rPr>
              <w:t>磋商</w:t>
            </w:r>
            <w:r>
              <w:rPr>
                <w:rFonts w:ascii="宋体" w:hAnsi="宋体"/>
                <w:sz w:val="24"/>
              </w:rPr>
              <w:t>基准价，其价格分为满分。其他供应商的价格分统一按照下列公式计算：</w:t>
            </w:r>
          </w:p>
          <w:p w14:paraId="467202F4">
            <w:pPr>
              <w:keepNext w:val="0"/>
              <w:keepLines w:val="0"/>
              <w:pageBreakBefore w:val="0"/>
              <w:widowControl w:val="0"/>
              <w:kinsoku/>
              <w:wordWrap/>
              <w:overflowPunct/>
              <w:topLinePunct w:val="0"/>
              <w:autoSpaceDE/>
              <w:autoSpaceDN/>
              <w:bidi w:val="0"/>
              <w:adjustRightInd/>
              <w:snapToGrid/>
              <w:spacing w:line="320" w:lineRule="exact"/>
              <w:textAlignment w:val="auto"/>
              <w:rPr>
                <w:rFonts w:ascii="宋体" w:hAnsi="宋体"/>
                <w:sz w:val="24"/>
              </w:rPr>
            </w:pPr>
            <w:r>
              <w:rPr>
                <w:rFonts w:hint="eastAsia" w:ascii="宋体" w:hAnsi="宋体"/>
                <w:sz w:val="24"/>
              </w:rPr>
              <w:t>价格分</w:t>
            </w:r>
            <w:r>
              <w:rPr>
                <w:rFonts w:ascii="宋体" w:hAnsi="宋体"/>
                <w:sz w:val="24"/>
              </w:rPr>
              <w:t>得分＝（</w:t>
            </w:r>
            <w:r>
              <w:rPr>
                <w:rFonts w:hint="eastAsia" w:ascii="宋体" w:hAnsi="宋体"/>
                <w:sz w:val="24"/>
              </w:rPr>
              <w:t>磋商</w:t>
            </w:r>
            <w:r>
              <w:rPr>
                <w:rFonts w:ascii="宋体" w:hAnsi="宋体"/>
                <w:sz w:val="24"/>
              </w:rPr>
              <w:t>基准价/</w:t>
            </w:r>
            <w:r>
              <w:rPr>
                <w:rFonts w:hint="eastAsia" w:ascii="宋体" w:hAnsi="宋体"/>
                <w:sz w:val="24"/>
              </w:rPr>
              <w:t>最终报价</w:t>
            </w:r>
            <w:r>
              <w:rPr>
                <w:rFonts w:ascii="宋体" w:hAnsi="宋体"/>
                <w:sz w:val="24"/>
              </w:rPr>
              <w:t>）×分值。</w:t>
            </w:r>
          </w:p>
        </w:tc>
        <w:tc>
          <w:tcPr>
            <w:tcW w:w="1752" w:type="dxa"/>
            <w:vAlign w:val="center"/>
          </w:tcPr>
          <w:p w14:paraId="1C9427DC">
            <w:pPr>
              <w:ind w:left="-38"/>
              <w:rPr>
                <w:rFonts w:ascii="宋体" w:hAnsi="宋体"/>
                <w:sz w:val="24"/>
              </w:rPr>
            </w:pPr>
            <w:r>
              <w:rPr>
                <w:rFonts w:hint="eastAsia"/>
                <w:color w:val="000000" w:themeColor="text1"/>
                <w:sz w:val="24"/>
                <w14:textFill>
                  <w14:solidFill>
                    <w14:schemeClr w14:val="tx1"/>
                  </w14:solidFill>
                </w14:textFill>
              </w:rPr>
              <w:t>此处磋商报价指经过报价修正后的报价。</w:t>
            </w:r>
          </w:p>
        </w:tc>
      </w:tr>
      <w:tr w14:paraId="41DF7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55" w:type="dxa"/>
            <w:vAlign w:val="center"/>
          </w:tcPr>
          <w:p w14:paraId="3E452429">
            <w:pPr>
              <w:ind w:firstLine="28"/>
              <w:jc w:val="center"/>
              <w:rPr>
                <w:rFonts w:ascii="宋体" w:hAnsi="宋体"/>
                <w:b/>
                <w:bCs/>
                <w:sz w:val="24"/>
              </w:rPr>
            </w:pPr>
            <w:r>
              <w:rPr>
                <w:rFonts w:hint="eastAsia" w:ascii="宋体" w:hAnsi="宋体"/>
                <w:b/>
                <w:bCs/>
                <w:sz w:val="24"/>
              </w:rPr>
              <w:t>2</w:t>
            </w:r>
          </w:p>
        </w:tc>
        <w:tc>
          <w:tcPr>
            <w:tcW w:w="1224" w:type="dxa"/>
            <w:vAlign w:val="center"/>
          </w:tcPr>
          <w:p w14:paraId="46B18860">
            <w:pPr>
              <w:ind w:firstLine="28"/>
              <w:jc w:val="center"/>
              <w:rPr>
                <w:rFonts w:ascii="宋体" w:hAnsi="宋体"/>
                <w:b/>
                <w:bCs/>
                <w:sz w:val="24"/>
              </w:rPr>
            </w:pPr>
            <w:r>
              <w:rPr>
                <w:rFonts w:hint="eastAsia" w:ascii="宋体" w:hAnsi="宋体"/>
                <w:b/>
                <w:bCs/>
                <w:sz w:val="24"/>
              </w:rPr>
              <w:t>主观分</w:t>
            </w:r>
          </w:p>
        </w:tc>
        <w:tc>
          <w:tcPr>
            <w:tcW w:w="792" w:type="dxa"/>
            <w:vAlign w:val="center"/>
          </w:tcPr>
          <w:p w14:paraId="402480BA">
            <w:pPr>
              <w:jc w:val="center"/>
              <w:rPr>
                <w:rFonts w:hint="default" w:ascii="宋体" w:hAnsi="宋体" w:eastAsia="宋体" w:cs="宋体"/>
                <w:b/>
                <w:bCs/>
                <w:sz w:val="24"/>
                <w:lang w:val="en-US" w:eastAsia="zh-CN"/>
              </w:rPr>
            </w:pPr>
            <w:r>
              <w:rPr>
                <w:rFonts w:hint="eastAsia" w:ascii="宋体" w:hAnsi="宋体" w:cs="宋体"/>
                <w:b/>
                <w:bCs/>
                <w:sz w:val="24"/>
                <w:lang w:val="en-US" w:eastAsia="zh-CN"/>
              </w:rPr>
              <w:t>60</w:t>
            </w:r>
          </w:p>
        </w:tc>
        <w:tc>
          <w:tcPr>
            <w:tcW w:w="5388" w:type="dxa"/>
            <w:vAlign w:val="center"/>
          </w:tcPr>
          <w:p w14:paraId="555EFEE5">
            <w:pPr>
              <w:spacing w:line="360" w:lineRule="exact"/>
              <w:jc w:val="left"/>
              <w:rPr>
                <w:rFonts w:ascii="宋体" w:hAnsi="宋体"/>
                <w:b/>
                <w:sz w:val="24"/>
              </w:rPr>
            </w:pPr>
          </w:p>
        </w:tc>
        <w:tc>
          <w:tcPr>
            <w:tcW w:w="1752" w:type="dxa"/>
            <w:vAlign w:val="center"/>
          </w:tcPr>
          <w:p w14:paraId="5F7087E8">
            <w:pPr>
              <w:ind w:left="-38"/>
              <w:rPr>
                <w:rFonts w:ascii="宋体" w:hAnsi="宋体"/>
                <w:sz w:val="24"/>
              </w:rPr>
            </w:pPr>
          </w:p>
        </w:tc>
      </w:tr>
      <w:tr w14:paraId="64777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755" w:type="dxa"/>
            <w:vAlign w:val="center"/>
          </w:tcPr>
          <w:p w14:paraId="7F565F47">
            <w:pPr>
              <w:ind w:firstLine="28"/>
              <w:jc w:val="center"/>
              <w:rPr>
                <w:rFonts w:ascii="宋体" w:hAnsi="宋体"/>
                <w:sz w:val="24"/>
              </w:rPr>
            </w:pPr>
            <w:r>
              <w:rPr>
                <w:rFonts w:hint="eastAsia" w:ascii="宋体" w:hAnsi="宋体"/>
                <w:sz w:val="24"/>
              </w:rPr>
              <w:t>2.1</w:t>
            </w:r>
          </w:p>
        </w:tc>
        <w:tc>
          <w:tcPr>
            <w:tcW w:w="1224" w:type="dxa"/>
            <w:shd w:val="clear" w:color="auto" w:fill="auto"/>
            <w:vAlign w:val="center"/>
          </w:tcPr>
          <w:p w14:paraId="0A11BDF1">
            <w:pPr>
              <w:widowControl/>
              <w:jc w:val="center"/>
              <w:rPr>
                <w:rFonts w:hint="eastAsia" w:ascii="宋体" w:hAnsi="宋体" w:eastAsia="宋体"/>
                <w:sz w:val="24"/>
                <w:lang w:val="en-US" w:eastAsia="zh-CN"/>
              </w:rPr>
            </w:pPr>
            <w:r>
              <w:rPr>
                <w:rFonts w:hint="eastAsia" w:ascii="宋体" w:hAnsi="宋体" w:eastAsia="宋体"/>
                <w:sz w:val="24"/>
                <w:lang w:val="en-US" w:eastAsia="zh-CN"/>
              </w:rPr>
              <w:t>总体策划方案</w:t>
            </w:r>
          </w:p>
        </w:tc>
        <w:tc>
          <w:tcPr>
            <w:tcW w:w="792" w:type="dxa"/>
            <w:shd w:val="clear" w:color="auto" w:fill="auto"/>
            <w:vAlign w:val="center"/>
          </w:tcPr>
          <w:p w14:paraId="60DD57B0">
            <w:pPr>
              <w:adjustRightInd w:val="0"/>
              <w:snapToGrid w:val="0"/>
              <w:spacing w:line="400" w:lineRule="exact"/>
              <w:ind w:firstLine="28" w:firstLineChars="0"/>
              <w:jc w:val="center"/>
              <w:rPr>
                <w:rFonts w:hint="default" w:ascii="宋体" w:hAnsi="宋体" w:eastAsia="宋体" w:cs="宋体"/>
                <w:sz w:val="24"/>
                <w:szCs w:val="22"/>
                <w:lang w:val="en-US" w:eastAsia="zh-CN" w:bidi="ar-SA"/>
              </w:rPr>
            </w:pPr>
            <w:r>
              <w:rPr>
                <w:rFonts w:hint="eastAsia" w:ascii="宋体" w:hAnsi="宋体" w:cs="宋体"/>
                <w:sz w:val="24"/>
                <w:szCs w:val="22"/>
                <w:lang w:val="en-US" w:eastAsia="zh-CN" w:bidi="ar-SA"/>
              </w:rPr>
              <w:t>10</w:t>
            </w:r>
          </w:p>
        </w:tc>
        <w:tc>
          <w:tcPr>
            <w:tcW w:w="5388" w:type="dxa"/>
            <w:shd w:val="clear" w:color="auto" w:fill="auto"/>
            <w:vAlign w:val="center"/>
          </w:tcPr>
          <w:p w14:paraId="26AD68FA">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sz w:val="24"/>
                <w:lang w:val="en-US" w:eastAsia="zh-CN"/>
              </w:rPr>
            </w:pPr>
            <w:r>
              <w:rPr>
                <w:rFonts w:hint="eastAsia" w:ascii="宋体" w:hAnsi="宋体"/>
                <w:sz w:val="24"/>
                <w:lang w:val="en-US" w:eastAsia="zh-CN"/>
              </w:rPr>
              <w:t>包括但不局限于策划思路、路线规划、品牌建设、活动设计、赛事视觉与传播、市场招商等。</w:t>
            </w:r>
          </w:p>
          <w:p w14:paraId="120423B2">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sz w:val="24"/>
                <w:lang w:val="en-US" w:eastAsia="zh-CN"/>
              </w:rPr>
            </w:pPr>
            <w:r>
              <w:rPr>
                <w:rFonts w:hint="eastAsia" w:ascii="宋体" w:hAnsi="宋体"/>
                <w:sz w:val="24"/>
                <w:lang w:val="en-US" w:eastAsia="zh-CN"/>
              </w:rPr>
              <w:t>1.总体策划方案内容全面详细、合理可行，完全满足或优于采购需求，得10分；</w:t>
            </w:r>
          </w:p>
          <w:p w14:paraId="3D92D7B9">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sz w:val="24"/>
                <w:lang w:val="en-US" w:eastAsia="zh-CN"/>
              </w:rPr>
            </w:pPr>
            <w:r>
              <w:rPr>
                <w:rFonts w:hint="eastAsia" w:ascii="宋体" w:hAnsi="宋体"/>
                <w:sz w:val="24"/>
                <w:lang w:val="en-US" w:eastAsia="zh-CN"/>
              </w:rPr>
              <w:t>2.总体策划方案内容比较全面详细、合理可行，基本满足采购需求，得7分；</w:t>
            </w:r>
          </w:p>
          <w:p w14:paraId="023E6A60">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sz w:val="24"/>
                <w:lang w:val="en-US" w:eastAsia="zh-CN"/>
              </w:rPr>
            </w:pPr>
            <w:r>
              <w:rPr>
                <w:rFonts w:hint="eastAsia" w:ascii="宋体" w:hAnsi="宋体"/>
                <w:sz w:val="24"/>
                <w:lang w:val="en-US" w:eastAsia="zh-CN"/>
              </w:rPr>
              <w:t>3.总体策划方案内容全面性、合理性、对采购需求满足性一般，得4分。</w:t>
            </w:r>
          </w:p>
          <w:p w14:paraId="39FB877F">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sz w:val="24"/>
                <w:lang w:val="en-US" w:eastAsia="zh-CN"/>
              </w:rPr>
            </w:pPr>
            <w:r>
              <w:rPr>
                <w:rFonts w:hint="eastAsia" w:ascii="宋体" w:hAnsi="宋体"/>
                <w:sz w:val="24"/>
                <w:lang w:val="en-US" w:eastAsia="zh-CN"/>
              </w:rPr>
              <w:t>4.不提供不得分。</w:t>
            </w:r>
          </w:p>
        </w:tc>
        <w:tc>
          <w:tcPr>
            <w:tcW w:w="1752" w:type="dxa"/>
            <w:vAlign w:val="center"/>
          </w:tcPr>
          <w:p w14:paraId="724755EF">
            <w:pPr>
              <w:ind w:left="-38"/>
              <w:rPr>
                <w:rFonts w:ascii="宋体" w:hAnsi="宋体"/>
                <w:sz w:val="24"/>
              </w:rPr>
            </w:pPr>
          </w:p>
        </w:tc>
      </w:tr>
      <w:tr w14:paraId="0E21E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755" w:type="dxa"/>
            <w:vAlign w:val="center"/>
          </w:tcPr>
          <w:p w14:paraId="1B813E95">
            <w:pPr>
              <w:ind w:firstLine="28"/>
              <w:jc w:val="center"/>
              <w:rPr>
                <w:rFonts w:ascii="宋体" w:hAnsi="宋体"/>
                <w:sz w:val="24"/>
              </w:rPr>
            </w:pPr>
            <w:r>
              <w:rPr>
                <w:rFonts w:hint="eastAsia" w:ascii="宋体" w:hAnsi="宋体"/>
                <w:sz w:val="24"/>
              </w:rPr>
              <w:t>2</w:t>
            </w:r>
            <w:r>
              <w:rPr>
                <w:rFonts w:ascii="宋体" w:hAnsi="宋体"/>
                <w:sz w:val="24"/>
              </w:rPr>
              <w:t>.2</w:t>
            </w:r>
          </w:p>
        </w:tc>
        <w:tc>
          <w:tcPr>
            <w:tcW w:w="1224" w:type="dxa"/>
            <w:shd w:val="clear" w:color="auto" w:fill="auto"/>
            <w:vAlign w:val="center"/>
          </w:tcPr>
          <w:p w14:paraId="4B81FEAC">
            <w:pPr>
              <w:widowControl/>
              <w:jc w:val="center"/>
              <w:rPr>
                <w:rFonts w:hint="eastAsia" w:ascii="宋体" w:hAnsi="宋体" w:eastAsia="宋体"/>
                <w:sz w:val="24"/>
                <w:lang w:val="en-US" w:eastAsia="zh-CN"/>
              </w:rPr>
            </w:pPr>
            <w:r>
              <w:rPr>
                <w:rFonts w:hint="eastAsia" w:ascii="宋体" w:hAnsi="宋体" w:eastAsia="宋体"/>
                <w:sz w:val="24"/>
                <w:lang w:val="en-US" w:eastAsia="zh-CN"/>
              </w:rPr>
              <w:t>科技赋能方案</w:t>
            </w:r>
          </w:p>
        </w:tc>
        <w:tc>
          <w:tcPr>
            <w:tcW w:w="792" w:type="dxa"/>
            <w:shd w:val="clear" w:color="auto" w:fill="auto"/>
            <w:vAlign w:val="center"/>
          </w:tcPr>
          <w:p w14:paraId="7973DF19">
            <w:pPr>
              <w:adjustRightInd w:val="0"/>
              <w:snapToGrid w:val="0"/>
              <w:spacing w:line="400" w:lineRule="exact"/>
              <w:ind w:firstLine="28" w:firstLineChars="0"/>
              <w:jc w:val="center"/>
              <w:rPr>
                <w:rFonts w:hint="default" w:ascii="宋体" w:hAnsi="宋体" w:eastAsia="宋体" w:cs="宋体"/>
                <w:sz w:val="24"/>
                <w:szCs w:val="22"/>
                <w:lang w:val="en-US" w:eastAsia="zh-CN" w:bidi="ar-SA"/>
              </w:rPr>
            </w:pPr>
            <w:r>
              <w:rPr>
                <w:rFonts w:hint="eastAsia" w:ascii="宋体" w:hAnsi="宋体" w:cs="宋体"/>
                <w:sz w:val="24"/>
                <w:szCs w:val="22"/>
                <w:lang w:val="en-US" w:eastAsia="zh-CN" w:bidi="ar-SA"/>
              </w:rPr>
              <w:t>10</w:t>
            </w:r>
          </w:p>
        </w:tc>
        <w:tc>
          <w:tcPr>
            <w:tcW w:w="5388" w:type="dxa"/>
            <w:shd w:val="clear" w:color="auto" w:fill="auto"/>
            <w:vAlign w:val="center"/>
          </w:tcPr>
          <w:p w14:paraId="33C837C7">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sz w:val="24"/>
                <w:lang w:val="en-US" w:eastAsia="zh-CN"/>
              </w:rPr>
            </w:pPr>
            <w:r>
              <w:rPr>
                <w:rFonts w:hint="eastAsia" w:ascii="宋体" w:hAnsi="宋体"/>
                <w:sz w:val="24"/>
                <w:lang w:val="en-US" w:eastAsia="zh-CN"/>
              </w:rPr>
              <w:t>供应商结合本项目特点，围绕赛事智能场地布置、赛事组织管理、选手服务、医疗保障、智能物资存取、赛道数字化监控六大核心板块，提供全流程科技化、数字化解决方案。</w:t>
            </w:r>
          </w:p>
          <w:p w14:paraId="015749BD">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sz w:val="24"/>
                <w:lang w:val="en-US" w:eastAsia="zh-CN"/>
              </w:rPr>
            </w:pPr>
            <w:r>
              <w:rPr>
                <w:rFonts w:hint="eastAsia" w:ascii="宋体" w:hAnsi="宋体"/>
                <w:sz w:val="24"/>
                <w:lang w:val="en-US" w:eastAsia="zh-CN"/>
              </w:rPr>
              <w:t>1.方案科学合理，内容贴合赛事实际运营需求、技术落地可行、体系完整规范，得10分；</w:t>
            </w:r>
          </w:p>
          <w:p w14:paraId="3CA46FC6">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sz w:val="24"/>
                <w:lang w:val="en-US" w:eastAsia="zh-CN"/>
              </w:rPr>
            </w:pPr>
            <w:r>
              <w:rPr>
                <w:rFonts w:hint="eastAsia" w:ascii="宋体" w:hAnsi="宋体"/>
                <w:sz w:val="24"/>
                <w:lang w:val="en-US" w:eastAsia="zh-CN"/>
              </w:rPr>
              <w:t>2.方案比较科学合理，内容基本贴合赛事实际运营需求、技术落地可行、体系比较完整规范，得7分；</w:t>
            </w:r>
          </w:p>
          <w:p w14:paraId="15A230EA">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sz w:val="24"/>
                <w:lang w:val="en-US" w:eastAsia="zh-CN"/>
              </w:rPr>
            </w:pPr>
            <w:r>
              <w:rPr>
                <w:rFonts w:hint="eastAsia" w:ascii="宋体" w:hAnsi="宋体"/>
                <w:sz w:val="24"/>
                <w:lang w:val="en-US" w:eastAsia="zh-CN"/>
              </w:rPr>
              <w:t>3.方案科学性、合理性一般，内容与赛事实际运营需求贴合性一般，技术一般，得4分；</w:t>
            </w:r>
          </w:p>
          <w:p w14:paraId="487FF8D3">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sz w:val="24"/>
                <w:lang w:val="en-US" w:eastAsia="zh-CN"/>
              </w:rPr>
            </w:pPr>
            <w:r>
              <w:rPr>
                <w:rFonts w:hint="eastAsia" w:ascii="宋体" w:hAnsi="宋体"/>
                <w:sz w:val="24"/>
                <w:lang w:val="en-US" w:eastAsia="zh-CN"/>
              </w:rPr>
              <w:t>4.不提供不得分。</w:t>
            </w:r>
          </w:p>
        </w:tc>
        <w:tc>
          <w:tcPr>
            <w:tcW w:w="1752" w:type="dxa"/>
            <w:vAlign w:val="center"/>
          </w:tcPr>
          <w:p w14:paraId="455932CE">
            <w:pPr>
              <w:ind w:left="-38"/>
              <w:rPr>
                <w:rFonts w:ascii="宋体" w:hAnsi="宋体"/>
                <w:sz w:val="24"/>
              </w:rPr>
            </w:pPr>
          </w:p>
        </w:tc>
      </w:tr>
      <w:tr w14:paraId="55989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5" w:type="dxa"/>
            <w:vAlign w:val="center"/>
          </w:tcPr>
          <w:p w14:paraId="08D1E6DA">
            <w:pPr>
              <w:ind w:firstLine="28"/>
              <w:jc w:val="center"/>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3</w:t>
            </w:r>
          </w:p>
        </w:tc>
        <w:tc>
          <w:tcPr>
            <w:tcW w:w="1224" w:type="dxa"/>
            <w:shd w:val="clear" w:color="auto" w:fill="auto"/>
            <w:vAlign w:val="center"/>
          </w:tcPr>
          <w:p w14:paraId="2DF332C6">
            <w:pPr>
              <w:widowControl/>
              <w:jc w:val="center"/>
              <w:rPr>
                <w:rFonts w:hint="eastAsia" w:ascii="宋体" w:hAnsi="宋体" w:eastAsia="宋体"/>
                <w:sz w:val="24"/>
                <w:lang w:val="en-US" w:eastAsia="zh-CN"/>
              </w:rPr>
            </w:pPr>
            <w:r>
              <w:rPr>
                <w:rFonts w:hint="eastAsia" w:ascii="宋体" w:hAnsi="宋体" w:eastAsia="宋体"/>
                <w:sz w:val="24"/>
                <w:lang w:val="en-US" w:eastAsia="zh-CN"/>
              </w:rPr>
              <w:t>安全保障方案</w:t>
            </w:r>
          </w:p>
        </w:tc>
        <w:tc>
          <w:tcPr>
            <w:tcW w:w="792" w:type="dxa"/>
            <w:shd w:val="clear" w:color="auto" w:fill="auto"/>
            <w:vAlign w:val="center"/>
          </w:tcPr>
          <w:p w14:paraId="36E0D1AF">
            <w:pPr>
              <w:adjustRightInd w:val="0"/>
              <w:snapToGrid w:val="0"/>
              <w:spacing w:line="400" w:lineRule="exact"/>
              <w:ind w:firstLine="28" w:firstLineChars="0"/>
              <w:jc w:val="center"/>
              <w:rPr>
                <w:rFonts w:hint="default" w:ascii="宋体" w:hAnsi="宋体" w:eastAsia="宋体" w:cs="宋体"/>
                <w:sz w:val="24"/>
                <w:szCs w:val="22"/>
                <w:lang w:val="en-US" w:eastAsia="zh-CN" w:bidi="ar-SA"/>
              </w:rPr>
            </w:pPr>
            <w:r>
              <w:rPr>
                <w:rFonts w:hint="eastAsia" w:ascii="宋体" w:hAnsi="宋体" w:cs="宋体"/>
                <w:sz w:val="24"/>
                <w:szCs w:val="22"/>
                <w:lang w:val="en-US" w:eastAsia="zh-CN" w:bidi="ar-SA"/>
              </w:rPr>
              <w:t>8</w:t>
            </w:r>
          </w:p>
        </w:tc>
        <w:tc>
          <w:tcPr>
            <w:tcW w:w="5388" w:type="dxa"/>
            <w:shd w:val="clear" w:color="auto" w:fill="auto"/>
            <w:vAlign w:val="center"/>
          </w:tcPr>
          <w:p w14:paraId="4C59AB75">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宋体" w:hAnsi="宋体"/>
                <w:sz w:val="24"/>
                <w:lang w:val="en-US" w:eastAsia="zh-CN"/>
              </w:rPr>
            </w:pPr>
            <w:r>
              <w:rPr>
                <w:rFonts w:hint="eastAsia" w:ascii="宋体" w:hAnsi="宋体"/>
                <w:sz w:val="24"/>
                <w:lang w:val="en-US" w:eastAsia="zh-CN"/>
              </w:rPr>
              <w:t>包括但不限于安全组织架构、风险防控、安保人员配置、消防保障、医疗急救、交通疏导、各类突发事件应急预案、多方联动机制、安全物资配备等。</w:t>
            </w:r>
          </w:p>
          <w:p w14:paraId="253B2368">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宋体" w:hAnsi="宋体"/>
                <w:sz w:val="24"/>
                <w:lang w:val="en-US" w:eastAsia="zh-CN"/>
              </w:rPr>
            </w:pPr>
            <w:r>
              <w:rPr>
                <w:rFonts w:hint="eastAsia" w:ascii="宋体" w:hAnsi="宋体"/>
                <w:sz w:val="24"/>
                <w:lang w:val="en-US" w:eastAsia="zh-CN"/>
              </w:rPr>
              <w:t>1.安全保障方案内容全面详细、合理可行，完全满足或优于采购需求，得8分；</w:t>
            </w:r>
          </w:p>
          <w:p w14:paraId="2324D432">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宋体" w:hAnsi="宋体"/>
                <w:sz w:val="24"/>
                <w:lang w:val="en-US" w:eastAsia="zh-CN"/>
              </w:rPr>
            </w:pPr>
            <w:r>
              <w:rPr>
                <w:rFonts w:hint="eastAsia" w:ascii="宋体" w:hAnsi="宋体"/>
                <w:sz w:val="24"/>
                <w:lang w:val="en-US" w:eastAsia="zh-CN"/>
              </w:rPr>
              <w:t>2.安全保障方案内容比较全面详细、合理可行，基本满足采购需求，得5分；</w:t>
            </w:r>
          </w:p>
          <w:p w14:paraId="39B51AFC">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宋体" w:hAnsi="宋体"/>
                <w:sz w:val="24"/>
                <w:lang w:val="en-US" w:eastAsia="zh-CN"/>
              </w:rPr>
            </w:pPr>
            <w:r>
              <w:rPr>
                <w:rFonts w:hint="eastAsia" w:ascii="宋体" w:hAnsi="宋体"/>
                <w:sz w:val="24"/>
                <w:lang w:val="en-US" w:eastAsia="zh-CN"/>
              </w:rPr>
              <w:t>3.安全保障方案完整性及可执行性一般，得3分；</w:t>
            </w:r>
          </w:p>
          <w:p w14:paraId="2475B8F4">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宋体" w:hAnsi="宋体"/>
                <w:sz w:val="24"/>
                <w:lang w:val="en-US" w:eastAsia="zh-CN"/>
              </w:rPr>
            </w:pPr>
            <w:r>
              <w:rPr>
                <w:rFonts w:hint="eastAsia" w:ascii="宋体" w:hAnsi="宋体"/>
                <w:sz w:val="24"/>
                <w:lang w:val="en-US" w:eastAsia="zh-CN"/>
              </w:rPr>
              <w:t>4.不提供不得分。</w:t>
            </w:r>
          </w:p>
        </w:tc>
        <w:tc>
          <w:tcPr>
            <w:tcW w:w="1752" w:type="dxa"/>
            <w:vAlign w:val="center"/>
          </w:tcPr>
          <w:p w14:paraId="11C7F109">
            <w:pPr>
              <w:ind w:left="-38"/>
              <w:rPr>
                <w:rFonts w:ascii="宋体" w:hAnsi="宋体"/>
                <w:sz w:val="24"/>
              </w:rPr>
            </w:pPr>
          </w:p>
        </w:tc>
      </w:tr>
      <w:tr w14:paraId="50FA5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55" w:type="dxa"/>
            <w:vAlign w:val="center"/>
          </w:tcPr>
          <w:p w14:paraId="4E58A107">
            <w:pPr>
              <w:ind w:firstLine="28"/>
              <w:jc w:val="center"/>
              <w:rPr>
                <w:rFonts w:ascii="宋体" w:hAnsi="宋体"/>
                <w:sz w:val="24"/>
              </w:rPr>
            </w:pPr>
            <w:r>
              <w:rPr>
                <w:rFonts w:hint="eastAsia" w:ascii="宋体" w:hAnsi="宋体"/>
                <w:sz w:val="24"/>
              </w:rPr>
              <w:t>2</w:t>
            </w:r>
            <w:r>
              <w:rPr>
                <w:rFonts w:ascii="宋体" w:hAnsi="宋体"/>
                <w:sz w:val="24"/>
              </w:rPr>
              <w:t>.4</w:t>
            </w:r>
          </w:p>
        </w:tc>
        <w:tc>
          <w:tcPr>
            <w:tcW w:w="1224" w:type="dxa"/>
            <w:shd w:val="clear" w:color="auto" w:fill="auto"/>
            <w:vAlign w:val="center"/>
          </w:tcPr>
          <w:p w14:paraId="42E632D2">
            <w:pPr>
              <w:widowControl/>
              <w:jc w:val="center"/>
              <w:rPr>
                <w:rFonts w:hint="eastAsia" w:ascii="宋体" w:hAnsi="宋体" w:eastAsia="宋体"/>
                <w:sz w:val="24"/>
                <w:lang w:val="en-US" w:eastAsia="zh-CN"/>
              </w:rPr>
            </w:pPr>
            <w:r>
              <w:rPr>
                <w:rFonts w:hint="eastAsia" w:ascii="宋体" w:hAnsi="宋体" w:eastAsia="宋体"/>
                <w:sz w:val="24"/>
                <w:lang w:val="en-US" w:eastAsia="zh-CN"/>
              </w:rPr>
              <w:t>医疗保障方案</w:t>
            </w:r>
          </w:p>
        </w:tc>
        <w:tc>
          <w:tcPr>
            <w:tcW w:w="792" w:type="dxa"/>
            <w:shd w:val="clear" w:color="auto" w:fill="auto"/>
            <w:vAlign w:val="center"/>
          </w:tcPr>
          <w:p w14:paraId="7A940E4D">
            <w:pPr>
              <w:adjustRightInd w:val="0"/>
              <w:snapToGrid w:val="0"/>
              <w:spacing w:line="400" w:lineRule="exact"/>
              <w:ind w:firstLine="28" w:firstLineChars="0"/>
              <w:jc w:val="center"/>
              <w:rPr>
                <w:rFonts w:hint="default" w:ascii="宋体" w:hAnsi="宋体" w:eastAsia="宋体" w:cs="宋体"/>
                <w:sz w:val="24"/>
                <w:szCs w:val="22"/>
                <w:lang w:val="en-US" w:eastAsia="zh-CN" w:bidi="ar-SA"/>
              </w:rPr>
            </w:pPr>
            <w:r>
              <w:rPr>
                <w:rFonts w:hint="eastAsia" w:ascii="宋体" w:hAnsi="宋体" w:cs="宋体"/>
                <w:sz w:val="24"/>
                <w:szCs w:val="22"/>
                <w:lang w:val="en-US" w:eastAsia="zh-CN" w:bidi="ar-SA"/>
              </w:rPr>
              <w:t>8</w:t>
            </w:r>
          </w:p>
        </w:tc>
        <w:tc>
          <w:tcPr>
            <w:tcW w:w="5388" w:type="dxa"/>
            <w:shd w:val="clear" w:color="auto" w:fill="auto"/>
            <w:vAlign w:val="center"/>
          </w:tcPr>
          <w:p w14:paraId="1068B91C">
            <w:pPr>
              <w:keepNext w:val="0"/>
              <w:keepLines w:val="0"/>
              <w:pageBreakBefore w:val="0"/>
              <w:widowControl w:val="0"/>
              <w:suppressLineNumbers w:val="0"/>
              <w:kinsoku/>
              <w:wordWrap/>
              <w:overflowPunct/>
              <w:topLinePunct w:val="0"/>
              <w:autoSpaceDE/>
              <w:autoSpaceDN/>
              <w:bidi w:val="0"/>
              <w:adjustRightInd/>
              <w:snapToGrid/>
              <w:spacing w:line="320" w:lineRule="exact"/>
              <w:jc w:val="both"/>
              <w:textAlignment w:val="auto"/>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包括但不限于</w:t>
            </w:r>
            <w:r>
              <w:rPr>
                <w:rFonts w:hint="eastAsia" w:ascii="宋体" w:hAnsi="宋体" w:eastAsia="宋体" w:cs="宋体"/>
                <w:i w:val="0"/>
                <w:iCs w:val="0"/>
                <w:color w:val="000000"/>
                <w:kern w:val="0"/>
                <w:sz w:val="24"/>
                <w:szCs w:val="24"/>
                <w:u w:val="none"/>
                <w:lang w:val="en-US" w:eastAsia="zh-CN" w:bidi="ar"/>
              </w:rPr>
              <w:t>医疗组织架构、医护人员配置、医疗站点布设、急救设备物资配备、救护车安排、伤员转运方案、急症处置流程、医院绿色通道对接、突发伤病应急预案等。</w:t>
            </w:r>
          </w:p>
          <w:p w14:paraId="7686235F">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1.医疗保障方案</w:t>
            </w:r>
            <w:r>
              <w:rPr>
                <w:rFonts w:hint="eastAsia" w:ascii="宋体" w:hAnsi="宋体"/>
                <w:sz w:val="24"/>
                <w:lang w:val="en-US" w:eastAsia="zh-CN"/>
              </w:rPr>
              <w:t>内容全面详细、合理可行，完全满足或优于采购需求，得8分；</w:t>
            </w:r>
          </w:p>
          <w:p w14:paraId="550B8873">
            <w:pPr>
              <w:keepNext w:val="0"/>
              <w:keepLines w:val="0"/>
              <w:pageBreakBefore w:val="0"/>
              <w:widowControl w:val="0"/>
              <w:suppressLineNumbers w:val="0"/>
              <w:kinsoku/>
              <w:wordWrap/>
              <w:overflowPunct/>
              <w:topLinePunct w:val="0"/>
              <w:autoSpaceDE/>
              <w:autoSpaceDN/>
              <w:bidi w:val="0"/>
              <w:adjustRightInd/>
              <w:snapToGrid/>
              <w:spacing w:line="320" w:lineRule="exact"/>
              <w:jc w:val="both"/>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2.医疗保障方案</w:t>
            </w:r>
            <w:r>
              <w:rPr>
                <w:rFonts w:hint="eastAsia" w:ascii="宋体" w:hAnsi="宋体"/>
                <w:sz w:val="24"/>
                <w:lang w:val="en-US" w:eastAsia="zh-CN"/>
              </w:rPr>
              <w:t>内容比较全面详细、合理可行，基本满足采购需求，得5分；</w:t>
            </w:r>
          </w:p>
          <w:p w14:paraId="00BE2D65">
            <w:pPr>
              <w:keepNext w:val="0"/>
              <w:keepLines w:val="0"/>
              <w:pageBreakBefore w:val="0"/>
              <w:widowControl w:val="0"/>
              <w:suppressLineNumbers w:val="0"/>
              <w:kinsoku/>
              <w:wordWrap/>
              <w:overflowPunct/>
              <w:topLinePunct w:val="0"/>
              <w:autoSpaceDE/>
              <w:autoSpaceDN/>
              <w:bidi w:val="0"/>
              <w:adjustRightInd/>
              <w:snapToGrid/>
              <w:spacing w:line="320" w:lineRule="exact"/>
              <w:jc w:val="both"/>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3.医疗保障方案</w:t>
            </w:r>
            <w:r>
              <w:rPr>
                <w:rFonts w:hint="eastAsia" w:ascii="宋体" w:hAnsi="宋体"/>
                <w:sz w:val="24"/>
                <w:lang w:val="en-US" w:eastAsia="zh-CN"/>
              </w:rPr>
              <w:t>完整性及可执行性一般，</w:t>
            </w:r>
            <w:r>
              <w:rPr>
                <w:rFonts w:hint="eastAsia" w:ascii="宋体" w:hAnsi="宋体" w:eastAsia="宋体" w:cs="宋体"/>
                <w:i w:val="0"/>
                <w:iCs w:val="0"/>
                <w:color w:val="000000"/>
                <w:kern w:val="0"/>
                <w:sz w:val="24"/>
                <w:szCs w:val="24"/>
                <w:u w:val="none"/>
                <w:lang w:val="en-US" w:eastAsia="zh-CN" w:bidi="ar"/>
              </w:rPr>
              <w:t>得3分。</w:t>
            </w:r>
          </w:p>
          <w:p w14:paraId="13E6F43F">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sz w:val="24"/>
                <w:lang w:val="en-US" w:eastAsia="zh-CN"/>
              </w:rPr>
            </w:pPr>
            <w:r>
              <w:rPr>
                <w:rFonts w:hint="eastAsia" w:ascii="宋体" w:hAnsi="宋体" w:eastAsia="宋体" w:cs="宋体"/>
                <w:i w:val="0"/>
                <w:iCs w:val="0"/>
                <w:color w:val="000000"/>
                <w:kern w:val="0"/>
                <w:sz w:val="24"/>
                <w:szCs w:val="24"/>
                <w:u w:val="none"/>
                <w:lang w:val="en-US" w:eastAsia="zh-CN" w:bidi="ar"/>
              </w:rPr>
              <w:t>4.不提供不得分。</w:t>
            </w:r>
          </w:p>
        </w:tc>
        <w:tc>
          <w:tcPr>
            <w:tcW w:w="1752" w:type="dxa"/>
            <w:vAlign w:val="center"/>
          </w:tcPr>
          <w:p w14:paraId="0AB6D962">
            <w:pPr>
              <w:ind w:left="-38"/>
              <w:rPr>
                <w:rFonts w:ascii="宋体" w:hAnsi="宋体"/>
                <w:sz w:val="24"/>
              </w:rPr>
            </w:pPr>
          </w:p>
        </w:tc>
      </w:tr>
      <w:tr w14:paraId="37D1D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55" w:type="dxa"/>
            <w:vAlign w:val="center"/>
          </w:tcPr>
          <w:p w14:paraId="73E931D4">
            <w:pPr>
              <w:ind w:firstLine="28"/>
              <w:jc w:val="center"/>
              <w:rPr>
                <w:rFonts w:ascii="宋体" w:hAnsi="宋体"/>
                <w:sz w:val="24"/>
              </w:rPr>
            </w:pPr>
            <w:r>
              <w:rPr>
                <w:rFonts w:ascii="宋体" w:hAnsi="宋体"/>
                <w:sz w:val="24"/>
              </w:rPr>
              <w:t>2.5</w:t>
            </w:r>
          </w:p>
        </w:tc>
        <w:tc>
          <w:tcPr>
            <w:tcW w:w="1224" w:type="dxa"/>
            <w:shd w:val="clear" w:color="auto" w:fill="auto"/>
            <w:vAlign w:val="center"/>
          </w:tcPr>
          <w:p w14:paraId="4ACFB5DF">
            <w:pPr>
              <w:widowControl/>
              <w:jc w:val="center"/>
              <w:rPr>
                <w:rFonts w:hint="eastAsia" w:ascii="宋体" w:hAnsi="宋体" w:eastAsia="宋体"/>
                <w:sz w:val="24"/>
                <w:lang w:val="en-US" w:eastAsia="zh-CN"/>
              </w:rPr>
            </w:pPr>
            <w:r>
              <w:rPr>
                <w:rFonts w:hint="eastAsia" w:ascii="宋体" w:hAnsi="宋体" w:eastAsia="宋体"/>
                <w:sz w:val="24"/>
                <w:lang w:val="en-US" w:eastAsia="zh-CN"/>
              </w:rPr>
              <w:t>宣传推广方案</w:t>
            </w:r>
          </w:p>
        </w:tc>
        <w:tc>
          <w:tcPr>
            <w:tcW w:w="792" w:type="dxa"/>
            <w:shd w:val="clear" w:color="auto" w:fill="auto"/>
            <w:vAlign w:val="center"/>
          </w:tcPr>
          <w:p w14:paraId="47D45E06">
            <w:pPr>
              <w:adjustRightInd w:val="0"/>
              <w:snapToGrid w:val="0"/>
              <w:spacing w:line="400" w:lineRule="exact"/>
              <w:ind w:firstLine="28" w:firstLineChars="0"/>
              <w:jc w:val="center"/>
              <w:rPr>
                <w:rFonts w:hint="default" w:ascii="宋体" w:hAnsi="宋体" w:eastAsia="宋体" w:cs="宋体"/>
                <w:sz w:val="24"/>
                <w:szCs w:val="22"/>
                <w:lang w:val="en-US" w:eastAsia="zh-CN" w:bidi="ar-SA"/>
              </w:rPr>
            </w:pPr>
            <w:r>
              <w:rPr>
                <w:rFonts w:hint="eastAsia" w:ascii="宋体" w:hAnsi="宋体" w:cs="宋体"/>
                <w:sz w:val="24"/>
                <w:szCs w:val="22"/>
                <w:lang w:val="en-US" w:eastAsia="zh-CN" w:bidi="ar-SA"/>
              </w:rPr>
              <w:t>7</w:t>
            </w:r>
          </w:p>
        </w:tc>
        <w:tc>
          <w:tcPr>
            <w:tcW w:w="5388" w:type="dxa"/>
            <w:shd w:val="clear" w:color="auto" w:fill="auto"/>
            <w:vAlign w:val="center"/>
          </w:tcPr>
          <w:p w14:paraId="430D294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包括但不限于</w:t>
            </w:r>
            <w:r>
              <w:rPr>
                <w:rFonts w:hint="eastAsia" w:ascii="宋体" w:hAnsi="宋体" w:eastAsia="宋体" w:cs="宋体"/>
                <w:i w:val="0"/>
                <w:iCs w:val="0"/>
                <w:color w:val="000000"/>
                <w:kern w:val="0"/>
                <w:sz w:val="24"/>
                <w:szCs w:val="24"/>
                <w:u w:val="none"/>
                <w:lang w:val="en-US" w:eastAsia="zh-CN" w:bidi="ar"/>
              </w:rPr>
              <w:t>宣传整体策划、分阶段推广计划、线上线下宣传渠道布局、媒体及达人资源合作、宣传物料筹备、赛事氛围打造、直播安排、舆情管控、赛后持续传播等。</w:t>
            </w:r>
          </w:p>
          <w:p w14:paraId="5CDCE86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1.方案</w:t>
            </w:r>
            <w:r>
              <w:rPr>
                <w:rFonts w:hint="eastAsia" w:ascii="宋体" w:hAnsi="宋体"/>
                <w:sz w:val="24"/>
                <w:lang w:val="en-US" w:eastAsia="zh-CN"/>
              </w:rPr>
              <w:t>内容全面详细、合理可行，完全满足或优于采购需求，</w:t>
            </w:r>
            <w:r>
              <w:rPr>
                <w:rFonts w:hint="eastAsia" w:ascii="宋体" w:hAnsi="宋体" w:eastAsia="宋体" w:cs="宋体"/>
                <w:i w:val="0"/>
                <w:iCs w:val="0"/>
                <w:color w:val="000000"/>
                <w:kern w:val="0"/>
                <w:sz w:val="24"/>
                <w:szCs w:val="24"/>
                <w:u w:val="none"/>
                <w:lang w:val="en-US" w:eastAsia="zh-CN" w:bidi="ar"/>
              </w:rPr>
              <w:t>得7分；</w:t>
            </w:r>
          </w:p>
          <w:p w14:paraId="566782F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2.方案</w:t>
            </w:r>
            <w:r>
              <w:rPr>
                <w:rFonts w:hint="eastAsia" w:ascii="宋体" w:hAnsi="宋体"/>
                <w:sz w:val="24"/>
                <w:lang w:val="en-US" w:eastAsia="zh-CN"/>
              </w:rPr>
              <w:t>内容比较全面详细、合理可行，基本满足采购需求，</w:t>
            </w:r>
            <w:r>
              <w:rPr>
                <w:rFonts w:hint="eastAsia" w:ascii="宋体" w:hAnsi="宋体" w:eastAsia="宋体" w:cs="宋体"/>
                <w:i w:val="0"/>
                <w:iCs w:val="0"/>
                <w:color w:val="000000"/>
                <w:kern w:val="0"/>
                <w:sz w:val="24"/>
                <w:szCs w:val="24"/>
                <w:u w:val="none"/>
                <w:lang w:val="en-US" w:eastAsia="zh-CN" w:bidi="ar"/>
              </w:rPr>
              <w:t>得4分；</w:t>
            </w:r>
          </w:p>
          <w:p w14:paraId="30EBD7A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3.方案</w:t>
            </w:r>
            <w:r>
              <w:rPr>
                <w:rFonts w:hint="eastAsia" w:ascii="宋体" w:hAnsi="宋体"/>
                <w:sz w:val="24"/>
                <w:lang w:val="en-US" w:eastAsia="zh-CN"/>
              </w:rPr>
              <w:t>完整性及可执行性一般，</w:t>
            </w:r>
            <w:r>
              <w:rPr>
                <w:rFonts w:hint="eastAsia" w:ascii="宋体" w:hAnsi="宋体" w:eastAsia="宋体" w:cs="宋体"/>
                <w:i w:val="0"/>
                <w:iCs w:val="0"/>
                <w:color w:val="000000"/>
                <w:kern w:val="0"/>
                <w:sz w:val="24"/>
                <w:szCs w:val="24"/>
                <w:u w:val="none"/>
                <w:lang w:val="en-US" w:eastAsia="zh-CN" w:bidi="ar"/>
              </w:rPr>
              <w:t>得2分。</w:t>
            </w:r>
          </w:p>
          <w:p w14:paraId="2DC0A91C">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sz w:val="24"/>
                <w:lang w:val="en-US" w:eastAsia="zh-CN"/>
              </w:rPr>
            </w:pPr>
            <w:r>
              <w:rPr>
                <w:rFonts w:hint="eastAsia" w:ascii="宋体" w:hAnsi="宋体" w:eastAsia="宋体" w:cs="宋体"/>
                <w:i w:val="0"/>
                <w:iCs w:val="0"/>
                <w:color w:val="000000"/>
                <w:kern w:val="0"/>
                <w:sz w:val="24"/>
                <w:szCs w:val="24"/>
                <w:u w:val="none"/>
                <w:lang w:val="en-US" w:eastAsia="zh-CN" w:bidi="ar"/>
              </w:rPr>
              <w:t>4.不提供不得分。</w:t>
            </w:r>
          </w:p>
        </w:tc>
        <w:tc>
          <w:tcPr>
            <w:tcW w:w="1752" w:type="dxa"/>
            <w:vAlign w:val="center"/>
          </w:tcPr>
          <w:p w14:paraId="7D1D9174">
            <w:pPr>
              <w:ind w:left="-38"/>
              <w:rPr>
                <w:rFonts w:ascii="宋体" w:hAnsi="宋体"/>
                <w:sz w:val="24"/>
              </w:rPr>
            </w:pPr>
          </w:p>
        </w:tc>
      </w:tr>
      <w:tr w14:paraId="2D7FC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55" w:type="dxa"/>
            <w:vAlign w:val="center"/>
          </w:tcPr>
          <w:p w14:paraId="7F6FFDC0">
            <w:pPr>
              <w:ind w:firstLine="28"/>
              <w:jc w:val="center"/>
              <w:rPr>
                <w:rFonts w:hint="default" w:ascii="宋体" w:hAnsi="宋体" w:eastAsia="宋体"/>
                <w:sz w:val="24"/>
                <w:lang w:val="en-US" w:eastAsia="zh-CN"/>
              </w:rPr>
            </w:pPr>
            <w:r>
              <w:rPr>
                <w:rFonts w:hint="eastAsia" w:ascii="宋体" w:hAnsi="宋体"/>
                <w:sz w:val="24"/>
                <w:lang w:val="en-US" w:eastAsia="zh-CN"/>
              </w:rPr>
              <w:t>2.6</w:t>
            </w:r>
          </w:p>
        </w:tc>
        <w:tc>
          <w:tcPr>
            <w:tcW w:w="1224" w:type="dxa"/>
            <w:shd w:val="clear" w:color="auto" w:fill="auto"/>
            <w:vAlign w:val="center"/>
          </w:tcPr>
          <w:p w14:paraId="18FF309E">
            <w:pPr>
              <w:widowControl/>
              <w:jc w:val="center"/>
              <w:rPr>
                <w:rFonts w:hint="eastAsia" w:ascii="宋体" w:hAnsi="宋体" w:eastAsia="宋体"/>
                <w:sz w:val="24"/>
                <w:lang w:val="en-US" w:eastAsia="zh-CN"/>
              </w:rPr>
            </w:pPr>
            <w:r>
              <w:rPr>
                <w:rFonts w:hint="eastAsia" w:ascii="宋体" w:hAnsi="宋体" w:eastAsia="宋体"/>
                <w:sz w:val="24"/>
                <w:lang w:val="en-US" w:eastAsia="zh-CN"/>
              </w:rPr>
              <w:t>后勤保障方案</w:t>
            </w:r>
          </w:p>
        </w:tc>
        <w:tc>
          <w:tcPr>
            <w:tcW w:w="792" w:type="dxa"/>
            <w:shd w:val="clear" w:color="auto" w:fill="auto"/>
            <w:vAlign w:val="center"/>
          </w:tcPr>
          <w:p w14:paraId="06E600AC">
            <w:pPr>
              <w:adjustRightInd w:val="0"/>
              <w:snapToGrid w:val="0"/>
              <w:spacing w:line="400" w:lineRule="exact"/>
              <w:ind w:firstLine="28" w:firstLineChars="0"/>
              <w:jc w:val="center"/>
              <w:rPr>
                <w:rFonts w:hint="default" w:ascii="宋体" w:hAnsi="宋体" w:eastAsia="宋体" w:cs="宋体"/>
                <w:sz w:val="24"/>
                <w:szCs w:val="22"/>
                <w:lang w:val="en-US" w:eastAsia="zh-CN" w:bidi="ar-SA"/>
              </w:rPr>
            </w:pPr>
            <w:r>
              <w:rPr>
                <w:rFonts w:hint="eastAsia" w:ascii="宋体" w:hAnsi="宋体" w:cs="宋体"/>
                <w:sz w:val="24"/>
                <w:szCs w:val="22"/>
                <w:lang w:val="en-US" w:eastAsia="zh-CN" w:bidi="ar-SA"/>
              </w:rPr>
              <w:t>6</w:t>
            </w:r>
          </w:p>
        </w:tc>
        <w:tc>
          <w:tcPr>
            <w:tcW w:w="5388" w:type="dxa"/>
            <w:shd w:val="clear" w:color="auto" w:fill="auto"/>
            <w:vAlign w:val="center"/>
          </w:tcPr>
          <w:p w14:paraId="7C1317D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包括但不限于</w:t>
            </w:r>
            <w:r>
              <w:rPr>
                <w:rFonts w:hint="eastAsia" w:ascii="宋体" w:hAnsi="宋体" w:eastAsia="宋体" w:cs="宋体"/>
                <w:i w:val="0"/>
                <w:iCs w:val="0"/>
                <w:color w:val="000000"/>
                <w:kern w:val="0"/>
                <w:sz w:val="24"/>
                <w:szCs w:val="24"/>
                <w:u w:val="none"/>
                <w:lang w:val="en-US" w:eastAsia="zh-CN" w:bidi="ar"/>
              </w:rPr>
              <w:t>后勤组织架构、人员配置、赛事物资储备与配送、补给保障、后勤车辆安排、选手存取包服务、现场保洁环卫、餐饮保障、各类后勤应急处置措施等</w:t>
            </w:r>
            <w:r>
              <w:rPr>
                <w:rFonts w:hint="eastAsia" w:ascii="宋体" w:hAnsi="宋体" w:cs="宋体"/>
                <w:i w:val="0"/>
                <w:iCs w:val="0"/>
                <w:color w:val="000000"/>
                <w:kern w:val="0"/>
                <w:sz w:val="24"/>
                <w:szCs w:val="24"/>
                <w:u w:val="none"/>
                <w:lang w:val="en-US" w:eastAsia="zh-CN" w:bidi="ar"/>
              </w:rPr>
              <w:t>。</w:t>
            </w:r>
          </w:p>
          <w:p w14:paraId="7820939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1.方案</w:t>
            </w:r>
            <w:r>
              <w:rPr>
                <w:rFonts w:hint="eastAsia" w:ascii="宋体" w:hAnsi="宋体"/>
                <w:sz w:val="24"/>
                <w:lang w:val="en-US" w:eastAsia="zh-CN"/>
              </w:rPr>
              <w:t>内容全面详细、合理可行，完全满足或优于采购需求，</w:t>
            </w:r>
            <w:r>
              <w:rPr>
                <w:rFonts w:hint="eastAsia" w:ascii="宋体" w:hAnsi="宋体" w:eastAsia="宋体" w:cs="宋体"/>
                <w:i w:val="0"/>
                <w:iCs w:val="0"/>
                <w:color w:val="000000"/>
                <w:kern w:val="0"/>
                <w:sz w:val="24"/>
                <w:szCs w:val="24"/>
                <w:u w:val="none"/>
                <w:lang w:val="en-US" w:eastAsia="zh-CN" w:bidi="ar"/>
              </w:rPr>
              <w:t>得6分；</w:t>
            </w:r>
          </w:p>
          <w:p w14:paraId="365365C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2.方案</w:t>
            </w:r>
            <w:r>
              <w:rPr>
                <w:rFonts w:hint="eastAsia" w:ascii="宋体" w:hAnsi="宋体"/>
                <w:sz w:val="24"/>
                <w:lang w:val="en-US" w:eastAsia="zh-CN"/>
              </w:rPr>
              <w:t>内容比较全面详细、合理可行，基本满足采购需求，</w:t>
            </w:r>
            <w:r>
              <w:rPr>
                <w:rFonts w:hint="eastAsia" w:ascii="宋体" w:hAnsi="宋体" w:eastAsia="宋体" w:cs="宋体"/>
                <w:i w:val="0"/>
                <w:iCs w:val="0"/>
                <w:color w:val="000000"/>
                <w:kern w:val="0"/>
                <w:sz w:val="24"/>
                <w:szCs w:val="24"/>
                <w:u w:val="none"/>
                <w:lang w:val="en-US" w:eastAsia="zh-CN" w:bidi="ar"/>
              </w:rPr>
              <w:t>得4分；</w:t>
            </w:r>
          </w:p>
          <w:p w14:paraId="2EFE259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3.方案</w:t>
            </w:r>
            <w:r>
              <w:rPr>
                <w:rFonts w:hint="eastAsia" w:ascii="宋体" w:hAnsi="宋体"/>
                <w:sz w:val="24"/>
                <w:lang w:val="en-US" w:eastAsia="zh-CN"/>
              </w:rPr>
              <w:t>完整性及可执行性一般，</w:t>
            </w:r>
            <w:r>
              <w:rPr>
                <w:rFonts w:hint="eastAsia" w:ascii="宋体" w:hAnsi="宋体" w:eastAsia="宋体" w:cs="宋体"/>
                <w:i w:val="0"/>
                <w:iCs w:val="0"/>
                <w:color w:val="000000"/>
                <w:kern w:val="0"/>
                <w:sz w:val="24"/>
                <w:szCs w:val="24"/>
                <w:u w:val="none"/>
                <w:lang w:val="en-US" w:eastAsia="zh-CN" w:bidi="ar"/>
              </w:rPr>
              <w:t>得2分；</w:t>
            </w:r>
          </w:p>
          <w:p w14:paraId="1B7513E7">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sz w:val="24"/>
                <w:lang w:val="en-US" w:eastAsia="zh-CN"/>
              </w:rPr>
            </w:pPr>
            <w:r>
              <w:rPr>
                <w:rFonts w:hint="eastAsia" w:ascii="宋体" w:hAnsi="宋体" w:eastAsia="宋体" w:cs="宋体"/>
                <w:i w:val="0"/>
                <w:iCs w:val="0"/>
                <w:color w:val="000000"/>
                <w:kern w:val="0"/>
                <w:sz w:val="24"/>
                <w:szCs w:val="24"/>
                <w:u w:val="none"/>
                <w:lang w:val="en-US" w:eastAsia="zh-CN" w:bidi="ar"/>
              </w:rPr>
              <w:t>4.不提供不得分。</w:t>
            </w:r>
          </w:p>
        </w:tc>
        <w:tc>
          <w:tcPr>
            <w:tcW w:w="1752" w:type="dxa"/>
            <w:vAlign w:val="center"/>
          </w:tcPr>
          <w:p w14:paraId="10AF007F">
            <w:pPr>
              <w:ind w:left="-38"/>
              <w:rPr>
                <w:rFonts w:ascii="宋体" w:hAnsi="宋体"/>
                <w:sz w:val="24"/>
              </w:rPr>
            </w:pPr>
          </w:p>
        </w:tc>
      </w:tr>
      <w:tr w14:paraId="38AA7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55" w:type="dxa"/>
            <w:vAlign w:val="center"/>
          </w:tcPr>
          <w:p w14:paraId="2D683990">
            <w:pPr>
              <w:ind w:firstLine="28"/>
              <w:jc w:val="center"/>
              <w:rPr>
                <w:rFonts w:hint="default" w:ascii="宋体" w:hAnsi="宋体" w:eastAsia="宋体"/>
                <w:sz w:val="24"/>
                <w:lang w:val="en-US" w:eastAsia="zh-CN"/>
              </w:rPr>
            </w:pPr>
            <w:r>
              <w:rPr>
                <w:rFonts w:hint="eastAsia" w:ascii="宋体" w:hAnsi="宋体"/>
                <w:sz w:val="24"/>
                <w:lang w:val="en-US" w:eastAsia="zh-CN"/>
              </w:rPr>
              <w:t>2.7</w:t>
            </w:r>
          </w:p>
        </w:tc>
        <w:tc>
          <w:tcPr>
            <w:tcW w:w="1224" w:type="dxa"/>
            <w:shd w:val="clear" w:color="auto" w:fill="auto"/>
            <w:vAlign w:val="center"/>
          </w:tcPr>
          <w:p w14:paraId="10A56CA8">
            <w:pPr>
              <w:widowControl/>
              <w:jc w:val="center"/>
              <w:rPr>
                <w:rFonts w:hint="eastAsia" w:ascii="宋体" w:hAnsi="宋体" w:eastAsia="宋体"/>
                <w:sz w:val="24"/>
                <w:lang w:val="en-US" w:eastAsia="zh-CN"/>
              </w:rPr>
            </w:pPr>
            <w:r>
              <w:rPr>
                <w:rFonts w:hint="eastAsia" w:ascii="宋体" w:hAnsi="宋体" w:eastAsia="宋体"/>
                <w:sz w:val="24"/>
                <w:lang w:val="en-US" w:eastAsia="zh-CN"/>
              </w:rPr>
              <w:t>赛事志愿服务方案</w:t>
            </w:r>
          </w:p>
        </w:tc>
        <w:tc>
          <w:tcPr>
            <w:tcW w:w="792" w:type="dxa"/>
            <w:shd w:val="clear" w:color="auto" w:fill="auto"/>
            <w:vAlign w:val="center"/>
          </w:tcPr>
          <w:p w14:paraId="18237606">
            <w:pPr>
              <w:adjustRightInd w:val="0"/>
              <w:snapToGrid w:val="0"/>
              <w:spacing w:line="400" w:lineRule="exact"/>
              <w:ind w:firstLine="28" w:firstLineChars="0"/>
              <w:jc w:val="center"/>
              <w:rPr>
                <w:rFonts w:hint="default" w:ascii="宋体" w:hAnsi="宋体" w:eastAsia="宋体" w:cs="宋体"/>
                <w:sz w:val="24"/>
                <w:szCs w:val="22"/>
                <w:lang w:val="en-US" w:eastAsia="zh-CN" w:bidi="ar-SA"/>
              </w:rPr>
            </w:pPr>
            <w:r>
              <w:rPr>
                <w:rFonts w:hint="eastAsia" w:ascii="宋体" w:hAnsi="宋体" w:cs="宋体"/>
                <w:sz w:val="24"/>
                <w:szCs w:val="22"/>
                <w:lang w:val="en-US" w:eastAsia="zh-CN" w:bidi="ar-SA"/>
              </w:rPr>
              <w:t>6</w:t>
            </w:r>
          </w:p>
        </w:tc>
        <w:tc>
          <w:tcPr>
            <w:tcW w:w="5388" w:type="dxa"/>
            <w:shd w:val="clear" w:color="auto" w:fill="auto"/>
            <w:vAlign w:val="center"/>
          </w:tcPr>
          <w:p w14:paraId="0318F07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包括但不限于</w:t>
            </w:r>
            <w:r>
              <w:rPr>
                <w:rFonts w:hint="eastAsia" w:ascii="宋体" w:hAnsi="宋体" w:eastAsia="宋体" w:cs="宋体"/>
                <w:i w:val="0"/>
                <w:iCs w:val="0"/>
                <w:color w:val="000000"/>
                <w:kern w:val="0"/>
                <w:sz w:val="24"/>
                <w:szCs w:val="24"/>
                <w:u w:val="none"/>
                <w:lang w:val="en-US" w:eastAsia="zh-CN" w:bidi="ar"/>
              </w:rPr>
              <w:t>志愿服务组织架构、志愿者招募配置、岗位分工安排、岗前培训体系、现场服务标准、排班值守机制、志愿者后勤保障、应急替补服务、现场督导考核等。</w:t>
            </w:r>
          </w:p>
          <w:p w14:paraId="4A74ADA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1.方案</w:t>
            </w:r>
            <w:r>
              <w:rPr>
                <w:rFonts w:hint="eastAsia" w:ascii="宋体" w:hAnsi="宋体"/>
                <w:sz w:val="24"/>
                <w:lang w:val="en-US" w:eastAsia="zh-CN"/>
              </w:rPr>
              <w:t>内容全面详细、合理可行，完全满足或优于采购需求</w:t>
            </w:r>
            <w:r>
              <w:rPr>
                <w:rFonts w:hint="eastAsia" w:ascii="宋体" w:hAnsi="宋体" w:eastAsia="宋体" w:cs="宋体"/>
                <w:i w:val="0"/>
                <w:iCs w:val="0"/>
                <w:color w:val="000000"/>
                <w:kern w:val="0"/>
                <w:sz w:val="24"/>
                <w:szCs w:val="24"/>
                <w:u w:val="none"/>
                <w:lang w:val="en-US" w:eastAsia="zh-CN" w:bidi="ar"/>
              </w:rPr>
              <w:t>，得6分；</w:t>
            </w:r>
          </w:p>
          <w:p w14:paraId="2303947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2.方案</w:t>
            </w:r>
            <w:r>
              <w:rPr>
                <w:rFonts w:hint="eastAsia" w:ascii="宋体" w:hAnsi="宋体"/>
                <w:sz w:val="24"/>
                <w:lang w:val="en-US" w:eastAsia="zh-CN"/>
              </w:rPr>
              <w:t>内容比较全面详细、合理可行，基本满足采购需求，</w:t>
            </w:r>
            <w:r>
              <w:rPr>
                <w:rFonts w:hint="eastAsia" w:ascii="宋体" w:hAnsi="宋体" w:eastAsia="宋体" w:cs="宋体"/>
                <w:i w:val="0"/>
                <w:iCs w:val="0"/>
                <w:color w:val="000000"/>
                <w:kern w:val="0"/>
                <w:sz w:val="24"/>
                <w:szCs w:val="24"/>
                <w:u w:val="none"/>
                <w:lang w:val="en-US" w:eastAsia="zh-CN" w:bidi="ar"/>
              </w:rPr>
              <w:t>得4分；</w:t>
            </w:r>
          </w:p>
          <w:p w14:paraId="7FC88EC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3.方案</w:t>
            </w:r>
            <w:r>
              <w:rPr>
                <w:rFonts w:hint="eastAsia" w:ascii="宋体" w:hAnsi="宋体"/>
                <w:sz w:val="24"/>
                <w:lang w:val="en-US" w:eastAsia="zh-CN"/>
              </w:rPr>
              <w:t>完整性及可执行性一般，</w:t>
            </w:r>
            <w:r>
              <w:rPr>
                <w:rFonts w:hint="eastAsia" w:ascii="宋体" w:hAnsi="宋体" w:eastAsia="宋体" w:cs="宋体"/>
                <w:i w:val="0"/>
                <w:iCs w:val="0"/>
                <w:color w:val="000000"/>
                <w:kern w:val="0"/>
                <w:sz w:val="24"/>
                <w:szCs w:val="24"/>
                <w:u w:val="none"/>
                <w:lang w:val="en-US" w:eastAsia="zh-CN" w:bidi="ar"/>
              </w:rPr>
              <w:t>得2分；</w:t>
            </w:r>
          </w:p>
          <w:p w14:paraId="7E89BA8B">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sz w:val="24"/>
                <w:lang w:val="en-US" w:eastAsia="zh-CN"/>
              </w:rPr>
            </w:pPr>
            <w:r>
              <w:rPr>
                <w:rFonts w:hint="eastAsia" w:ascii="宋体" w:hAnsi="宋体" w:eastAsia="宋体" w:cs="宋体"/>
                <w:i w:val="0"/>
                <w:iCs w:val="0"/>
                <w:color w:val="000000"/>
                <w:kern w:val="0"/>
                <w:sz w:val="24"/>
                <w:szCs w:val="24"/>
                <w:u w:val="none"/>
                <w:lang w:val="en-US" w:eastAsia="zh-CN" w:bidi="ar"/>
              </w:rPr>
              <w:t>4.不提供不得分。</w:t>
            </w:r>
          </w:p>
        </w:tc>
        <w:tc>
          <w:tcPr>
            <w:tcW w:w="1752" w:type="dxa"/>
            <w:vAlign w:val="center"/>
          </w:tcPr>
          <w:p w14:paraId="20735D74">
            <w:pPr>
              <w:ind w:left="-38"/>
              <w:rPr>
                <w:rFonts w:ascii="宋体" w:hAnsi="宋体"/>
                <w:sz w:val="24"/>
              </w:rPr>
            </w:pPr>
          </w:p>
        </w:tc>
      </w:tr>
      <w:tr w14:paraId="461E7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55" w:type="dxa"/>
            <w:vAlign w:val="center"/>
          </w:tcPr>
          <w:p w14:paraId="1FB442F8">
            <w:pPr>
              <w:ind w:firstLine="28"/>
              <w:jc w:val="center"/>
              <w:rPr>
                <w:rFonts w:hint="default" w:ascii="宋体" w:hAnsi="宋体" w:eastAsia="宋体"/>
                <w:sz w:val="24"/>
                <w:lang w:val="en-US" w:eastAsia="zh-CN"/>
              </w:rPr>
            </w:pPr>
            <w:r>
              <w:rPr>
                <w:rFonts w:hint="eastAsia" w:ascii="宋体" w:hAnsi="宋体"/>
                <w:sz w:val="24"/>
                <w:lang w:val="en-US" w:eastAsia="zh-CN"/>
              </w:rPr>
              <w:t>2.8</w:t>
            </w:r>
          </w:p>
        </w:tc>
        <w:tc>
          <w:tcPr>
            <w:tcW w:w="1224" w:type="dxa"/>
            <w:shd w:val="clear" w:color="auto" w:fill="auto"/>
            <w:vAlign w:val="center"/>
          </w:tcPr>
          <w:p w14:paraId="51878C37">
            <w:pPr>
              <w:adjustRightInd w:val="0"/>
              <w:snapToGrid w:val="0"/>
              <w:spacing w:line="400" w:lineRule="exact"/>
              <w:ind w:firstLine="28" w:firstLineChars="0"/>
              <w:jc w:val="center"/>
              <w:rPr>
                <w:rFonts w:ascii="宋体" w:hAnsi="宋体" w:eastAsia="宋体" w:cs="宋体"/>
                <w:sz w:val="24"/>
                <w:szCs w:val="22"/>
                <w:lang w:val="en-US" w:eastAsia="zh-CN" w:bidi="ar-SA"/>
              </w:rPr>
            </w:pPr>
            <w:r>
              <w:rPr>
                <w:rFonts w:hint="eastAsia" w:ascii="宋体" w:hAnsi="宋体" w:eastAsia="宋体" w:cs="宋体"/>
                <w:sz w:val="24"/>
                <w:szCs w:val="22"/>
                <w:lang w:val="en-US" w:eastAsia="zh-CN" w:bidi="ar-SA"/>
              </w:rPr>
              <w:t>赛事应急方案</w:t>
            </w:r>
          </w:p>
        </w:tc>
        <w:tc>
          <w:tcPr>
            <w:tcW w:w="792" w:type="dxa"/>
            <w:shd w:val="clear" w:color="auto" w:fill="auto"/>
            <w:vAlign w:val="center"/>
          </w:tcPr>
          <w:p w14:paraId="14EDB24B">
            <w:pPr>
              <w:adjustRightInd w:val="0"/>
              <w:snapToGrid w:val="0"/>
              <w:spacing w:line="400" w:lineRule="exact"/>
              <w:ind w:firstLine="28" w:firstLineChars="0"/>
              <w:jc w:val="center"/>
              <w:rPr>
                <w:rFonts w:hint="default" w:ascii="宋体" w:hAnsi="宋体" w:eastAsia="宋体" w:cs="宋体"/>
                <w:sz w:val="24"/>
                <w:szCs w:val="22"/>
                <w:lang w:val="en-US" w:eastAsia="zh-CN" w:bidi="ar-SA"/>
              </w:rPr>
            </w:pPr>
            <w:r>
              <w:rPr>
                <w:rFonts w:hint="eastAsia" w:ascii="宋体" w:hAnsi="宋体" w:cs="宋体"/>
                <w:sz w:val="24"/>
                <w:szCs w:val="22"/>
                <w:lang w:val="en-US" w:eastAsia="zh-CN" w:bidi="ar-SA"/>
              </w:rPr>
              <w:t>5</w:t>
            </w:r>
          </w:p>
        </w:tc>
        <w:tc>
          <w:tcPr>
            <w:tcW w:w="5388" w:type="dxa"/>
            <w:shd w:val="clear" w:color="auto" w:fill="auto"/>
            <w:vAlign w:val="center"/>
          </w:tcPr>
          <w:p w14:paraId="4B9E630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包括但不限于</w:t>
            </w:r>
            <w:r>
              <w:rPr>
                <w:rFonts w:hint="eastAsia" w:ascii="宋体" w:hAnsi="宋体" w:eastAsia="宋体" w:cs="宋体"/>
                <w:i w:val="0"/>
                <w:iCs w:val="0"/>
                <w:color w:val="000000"/>
                <w:kern w:val="0"/>
                <w:sz w:val="24"/>
                <w:szCs w:val="24"/>
                <w:u w:val="none"/>
                <w:lang w:val="en-US" w:eastAsia="zh-CN" w:bidi="ar"/>
              </w:rPr>
              <w:t>应急组织架构、赛前风险排查、极端天气处置、突发伤病急救、人流踩踏防控、治安纠纷处理、设备故障应急、消防与交通保障、舆情善后、应急物资储备及联动处置机制等。</w:t>
            </w:r>
          </w:p>
          <w:p w14:paraId="1FD901E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1.方案</w:t>
            </w:r>
            <w:r>
              <w:rPr>
                <w:rFonts w:hint="eastAsia" w:ascii="宋体" w:hAnsi="宋体"/>
                <w:sz w:val="24"/>
                <w:lang w:val="en-US" w:eastAsia="zh-CN"/>
              </w:rPr>
              <w:t>内容全面详细、合理可行，完全满足或优于采购需求</w:t>
            </w:r>
            <w:r>
              <w:rPr>
                <w:rFonts w:hint="eastAsia" w:ascii="宋体" w:hAnsi="宋体" w:eastAsia="宋体" w:cs="宋体"/>
                <w:i w:val="0"/>
                <w:iCs w:val="0"/>
                <w:color w:val="000000"/>
                <w:kern w:val="0"/>
                <w:sz w:val="24"/>
                <w:szCs w:val="24"/>
                <w:u w:val="none"/>
                <w:lang w:val="en-US" w:eastAsia="zh-CN" w:bidi="ar"/>
              </w:rPr>
              <w:t>，得5分；</w:t>
            </w:r>
          </w:p>
          <w:p w14:paraId="30CF2EA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2.方案</w:t>
            </w:r>
            <w:r>
              <w:rPr>
                <w:rFonts w:hint="eastAsia" w:ascii="宋体" w:hAnsi="宋体"/>
                <w:sz w:val="24"/>
                <w:lang w:val="en-US" w:eastAsia="zh-CN"/>
              </w:rPr>
              <w:t>内容比较全面详细、合理可行，基本满足采购需求，</w:t>
            </w:r>
            <w:r>
              <w:rPr>
                <w:rFonts w:hint="eastAsia" w:ascii="宋体" w:hAnsi="宋体" w:eastAsia="宋体" w:cs="宋体"/>
                <w:i w:val="0"/>
                <w:iCs w:val="0"/>
                <w:color w:val="000000"/>
                <w:kern w:val="0"/>
                <w:sz w:val="24"/>
                <w:szCs w:val="24"/>
                <w:u w:val="none"/>
                <w:lang w:val="en-US" w:eastAsia="zh-CN" w:bidi="ar"/>
              </w:rPr>
              <w:t>得3分；</w:t>
            </w:r>
          </w:p>
          <w:p w14:paraId="42139A1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3.方案</w:t>
            </w:r>
            <w:r>
              <w:rPr>
                <w:rFonts w:hint="eastAsia" w:ascii="宋体" w:hAnsi="宋体"/>
                <w:sz w:val="24"/>
                <w:lang w:val="en-US" w:eastAsia="zh-CN"/>
              </w:rPr>
              <w:t>完整性及可执行性一般，</w:t>
            </w:r>
            <w:r>
              <w:rPr>
                <w:rFonts w:hint="eastAsia" w:ascii="宋体" w:hAnsi="宋体" w:eastAsia="宋体" w:cs="宋体"/>
                <w:i w:val="0"/>
                <w:iCs w:val="0"/>
                <w:color w:val="000000"/>
                <w:kern w:val="0"/>
                <w:sz w:val="24"/>
                <w:szCs w:val="24"/>
                <w:u w:val="none"/>
                <w:lang w:val="en-US" w:eastAsia="zh-CN" w:bidi="ar"/>
              </w:rPr>
              <w:t>得1分；</w:t>
            </w:r>
          </w:p>
          <w:p w14:paraId="666987B6">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sz w:val="24"/>
                <w:lang w:val="en-US" w:eastAsia="zh-CN"/>
              </w:rPr>
            </w:pPr>
            <w:r>
              <w:rPr>
                <w:rFonts w:hint="eastAsia" w:ascii="宋体" w:hAnsi="宋体" w:eastAsia="宋体" w:cs="宋体"/>
                <w:i w:val="0"/>
                <w:iCs w:val="0"/>
                <w:color w:val="000000"/>
                <w:kern w:val="0"/>
                <w:sz w:val="24"/>
                <w:szCs w:val="24"/>
                <w:u w:val="none"/>
                <w:lang w:val="en-US" w:eastAsia="zh-CN" w:bidi="ar"/>
              </w:rPr>
              <w:t>4.方案不可行或不提供不得分。</w:t>
            </w:r>
          </w:p>
        </w:tc>
        <w:tc>
          <w:tcPr>
            <w:tcW w:w="1752" w:type="dxa"/>
            <w:vAlign w:val="center"/>
          </w:tcPr>
          <w:p w14:paraId="16F08AF3">
            <w:pPr>
              <w:ind w:left="-38"/>
              <w:rPr>
                <w:rFonts w:ascii="宋体" w:hAnsi="宋体"/>
                <w:sz w:val="24"/>
              </w:rPr>
            </w:pPr>
          </w:p>
        </w:tc>
      </w:tr>
      <w:tr w14:paraId="758A6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55" w:type="dxa"/>
            <w:vAlign w:val="center"/>
          </w:tcPr>
          <w:p w14:paraId="5E68EA6C">
            <w:pPr>
              <w:ind w:firstLine="28"/>
              <w:jc w:val="center"/>
              <w:rPr>
                <w:rFonts w:ascii="宋体" w:hAnsi="宋体"/>
                <w:b/>
                <w:bCs/>
                <w:sz w:val="24"/>
              </w:rPr>
            </w:pPr>
            <w:r>
              <w:rPr>
                <w:rFonts w:hint="eastAsia" w:ascii="宋体" w:hAnsi="宋体"/>
                <w:b/>
                <w:bCs/>
                <w:sz w:val="24"/>
              </w:rPr>
              <w:t>3</w:t>
            </w:r>
          </w:p>
        </w:tc>
        <w:tc>
          <w:tcPr>
            <w:tcW w:w="1224" w:type="dxa"/>
            <w:vAlign w:val="center"/>
          </w:tcPr>
          <w:p w14:paraId="0F134568">
            <w:pPr>
              <w:ind w:firstLine="28"/>
              <w:jc w:val="center"/>
              <w:rPr>
                <w:rFonts w:ascii="宋体" w:hAnsi="宋体"/>
                <w:b/>
                <w:bCs/>
                <w:sz w:val="24"/>
              </w:rPr>
            </w:pPr>
            <w:r>
              <w:rPr>
                <w:rFonts w:hint="eastAsia" w:ascii="宋体" w:hAnsi="宋体"/>
                <w:b/>
                <w:bCs/>
                <w:sz w:val="24"/>
              </w:rPr>
              <w:t>客观分</w:t>
            </w:r>
          </w:p>
        </w:tc>
        <w:tc>
          <w:tcPr>
            <w:tcW w:w="792" w:type="dxa"/>
            <w:vAlign w:val="center"/>
          </w:tcPr>
          <w:p w14:paraId="2659F454">
            <w:pPr>
              <w:ind w:firstLine="28"/>
              <w:jc w:val="center"/>
              <w:rPr>
                <w:rFonts w:hint="default" w:ascii="宋体" w:hAnsi="宋体" w:eastAsia="宋体"/>
                <w:b/>
                <w:bCs/>
                <w:sz w:val="24"/>
                <w:lang w:val="en-US" w:eastAsia="zh-CN"/>
              </w:rPr>
            </w:pPr>
            <w:r>
              <w:rPr>
                <w:rFonts w:hint="eastAsia" w:ascii="宋体" w:hAnsi="宋体"/>
                <w:b/>
                <w:bCs/>
                <w:sz w:val="24"/>
                <w:lang w:val="en-US" w:eastAsia="zh-CN"/>
              </w:rPr>
              <w:t>30</w:t>
            </w:r>
          </w:p>
        </w:tc>
        <w:tc>
          <w:tcPr>
            <w:tcW w:w="5388" w:type="dxa"/>
            <w:vAlign w:val="center"/>
          </w:tcPr>
          <w:p w14:paraId="1006016A">
            <w:pPr>
              <w:rPr>
                <w:rFonts w:ascii="宋体" w:hAnsi="宋体"/>
                <w:sz w:val="24"/>
              </w:rPr>
            </w:pPr>
          </w:p>
        </w:tc>
        <w:tc>
          <w:tcPr>
            <w:tcW w:w="1752" w:type="dxa"/>
            <w:vAlign w:val="center"/>
          </w:tcPr>
          <w:p w14:paraId="4F533744">
            <w:pPr>
              <w:ind w:left="-38"/>
              <w:rPr>
                <w:rFonts w:ascii="宋体" w:hAnsi="宋体"/>
                <w:sz w:val="24"/>
              </w:rPr>
            </w:pPr>
          </w:p>
        </w:tc>
      </w:tr>
      <w:tr w14:paraId="3308A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755" w:type="dxa"/>
            <w:vAlign w:val="center"/>
          </w:tcPr>
          <w:p w14:paraId="349828D6">
            <w:pPr>
              <w:ind w:firstLine="28"/>
              <w:jc w:val="center"/>
              <w:rPr>
                <w:rFonts w:ascii="宋体" w:hAnsi="宋体"/>
                <w:sz w:val="24"/>
              </w:rPr>
            </w:pPr>
            <w:r>
              <w:rPr>
                <w:rFonts w:hint="eastAsia" w:ascii="宋体" w:hAnsi="宋体"/>
                <w:sz w:val="24"/>
              </w:rPr>
              <w:t>3.1</w:t>
            </w:r>
          </w:p>
        </w:tc>
        <w:tc>
          <w:tcPr>
            <w:tcW w:w="1224" w:type="dxa"/>
            <w:shd w:val="clear" w:color="auto" w:fill="auto"/>
            <w:vAlign w:val="center"/>
          </w:tcPr>
          <w:p w14:paraId="349764DA">
            <w:pPr>
              <w:adjustRightInd w:val="0"/>
              <w:snapToGrid w:val="0"/>
              <w:spacing w:line="400" w:lineRule="exact"/>
              <w:ind w:firstLine="28" w:firstLineChars="0"/>
              <w:jc w:val="center"/>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类似业绩</w:t>
            </w:r>
          </w:p>
        </w:tc>
        <w:tc>
          <w:tcPr>
            <w:tcW w:w="792" w:type="dxa"/>
            <w:shd w:val="clear" w:color="auto" w:fill="auto"/>
            <w:vAlign w:val="center"/>
          </w:tcPr>
          <w:p w14:paraId="2AC7F89F">
            <w:pPr>
              <w:adjustRightInd w:val="0"/>
              <w:snapToGrid w:val="0"/>
              <w:spacing w:line="400" w:lineRule="exact"/>
              <w:ind w:firstLine="28" w:firstLineChars="0"/>
              <w:jc w:val="center"/>
              <w:rPr>
                <w:rFonts w:hint="default" w:ascii="宋体" w:hAnsi="宋体" w:eastAsia="宋体" w:cs="宋体"/>
                <w:sz w:val="24"/>
                <w:szCs w:val="22"/>
                <w:lang w:val="en-US" w:eastAsia="zh-CN" w:bidi="ar-SA"/>
              </w:rPr>
            </w:pPr>
            <w:r>
              <w:rPr>
                <w:rFonts w:hint="eastAsia" w:ascii="宋体" w:hAnsi="宋体" w:cs="宋体"/>
                <w:sz w:val="24"/>
                <w:szCs w:val="22"/>
                <w:lang w:val="en-US" w:eastAsia="zh-CN" w:bidi="ar-SA"/>
              </w:rPr>
              <w:t>12</w:t>
            </w:r>
          </w:p>
        </w:tc>
        <w:tc>
          <w:tcPr>
            <w:tcW w:w="5388" w:type="dxa"/>
            <w:shd w:val="clear" w:color="auto" w:fill="auto"/>
            <w:vAlign w:val="center"/>
          </w:tcPr>
          <w:p w14:paraId="2B295656">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sz w:val="24"/>
                <w:lang w:val="en-US" w:eastAsia="zh-CN"/>
              </w:rPr>
            </w:pPr>
            <w:r>
              <w:rPr>
                <w:rFonts w:hint="eastAsia" w:ascii="宋体" w:hAnsi="宋体"/>
                <w:sz w:val="24"/>
                <w:lang w:val="en-US" w:eastAsia="zh-CN"/>
              </w:rPr>
              <w:t>1.供应商提供2023年8月1日以来运营过的中国田径协会A（A1）类半马或全马赛事业绩，每提供一个得2分，最高得8分。</w:t>
            </w:r>
          </w:p>
          <w:p w14:paraId="1A7071BF">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sz w:val="24"/>
                <w:lang w:val="en-US" w:eastAsia="zh-CN"/>
              </w:rPr>
            </w:pPr>
            <w:r>
              <w:rPr>
                <w:rFonts w:hint="eastAsia" w:ascii="宋体" w:hAnsi="宋体"/>
                <w:sz w:val="24"/>
                <w:lang w:val="en-US" w:eastAsia="zh-CN"/>
              </w:rPr>
              <w:t>2.供应商提供2023年8月1日以来运营过的世界田联精英标牌及以上级别半马或全马赛事业绩，每提供一个得2分，最高得 4分。</w:t>
            </w:r>
          </w:p>
          <w:p w14:paraId="3E6A6B28">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宋体" w:hAnsi="宋体"/>
                <w:sz w:val="24"/>
                <w:lang w:val="en-US" w:eastAsia="zh-CN"/>
              </w:rPr>
            </w:pPr>
            <w:r>
              <w:rPr>
                <w:rFonts w:hint="eastAsia" w:ascii="宋体" w:hAnsi="宋体"/>
                <w:sz w:val="24"/>
                <w:lang w:val="en-US" w:eastAsia="zh-CN"/>
              </w:rPr>
              <w:t>注：</w:t>
            </w:r>
            <w:r>
              <w:rPr>
                <w:rFonts w:hint="default" w:ascii="宋体" w:hAnsi="宋体" w:eastAsia="宋体" w:cs="宋体"/>
                <w:bCs/>
                <w:sz w:val="24"/>
                <w:lang w:val="en-US" w:eastAsia="zh-CN"/>
              </w:rPr>
              <w:t>同一赛事业绩不重复计分</w:t>
            </w:r>
            <w:r>
              <w:rPr>
                <w:rFonts w:hint="eastAsia" w:ascii="宋体" w:hAnsi="宋体" w:eastAsia="宋体" w:cs="宋体"/>
                <w:bCs/>
                <w:sz w:val="24"/>
                <w:lang w:val="en-US" w:eastAsia="zh-CN"/>
              </w:rPr>
              <w:t>，</w:t>
            </w:r>
            <w:r>
              <w:rPr>
                <w:rFonts w:hint="default" w:ascii="宋体" w:hAnsi="宋体" w:eastAsia="宋体" w:cs="宋体"/>
                <w:bCs/>
                <w:sz w:val="24"/>
                <w:lang w:val="en-US" w:eastAsia="zh-CN"/>
              </w:rPr>
              <w:t>如涉及英文资料，</w:t>
            </w:r>
            <w:r>
              <w:rPr>
                <w:rFonts w:hint="eastAsia" w:ascii="宋体" w:hAnsi="宋体" w:eastAsia="宋体" w:cs="宋体"/>
                <w:bCs/>
                <w:sz w:val="24"/>
                <w:lang w:val="en-US" w:eastAsia="zh-CN"/>
              </w:rPr>
              <w:t>须</w:t>
            </w:r>
            <w:r>
              <w:rPr>
                <w:rFonts w:hint="default" w:ascii="宋体" w:hAnsi="宋体" w:eastAsia="宋体" w:cs="宋体"/>
                <w:bCs/>
                <w:sz w:val="24"/>
                <w:lang w:val="en-US" w:eastAsia="zh-CN"/>
              </w:rPr>
              <w:t>同时提供中文翻译版本。</w:t>
            </w:r>
          </w:p>
        </w:tc>
        <w:tc>
          <w:tcPr>
            <w:tcW w:w="1752" w:type="dxa"/>
            <w:shd w:val="clear" w:color="auto" w:fill="auto"/>
            <w:vAlign w:val="center"/>
          </w:tcPr>
          <w:p w14:paraId="11CAC28B">
            <w:pPr>
              <w:keepNext w:val="0"/>
              <w:keepLines w:val="0"/>
              <w:pageBreakBefore w:val="0"/>
              <w:widowControl/>
              <w:tabs>
                <w:tab w:val="left" w:pos="1200"/>
              </w:tabs>
              <w:kinsoku/>
              <w:wordWrap/>
              <w:overflowPunct/>
              <w:topLinePunct w:val="0"/>
              <w:autoSpaceDE/>
              <w:autoSpaceDN/>
              <w:bidi w:val="0"/>
              <w:adjustRightInd/>
              <w:snapToGrid/>
              <w:spacing w:line="320" w:lineRule="exact"/>
              <w:textAlignment w:val="auto"/>
              <w:rPr>
                <w:rFonts w:hint="default" w:ascii="宋体" w:hAnsi="宋体" w:eastAsia="宋体" w:cs="宋体"/>
                <w:bCs/>
                <w:sz w:val="24"/>
                <w:lang w:val="en-US" w:eastAsia="zh-CN"/>
              </w:rPr>
            </w:pPr>
            <w:r>
              <w:rPr>
                <w:rFonts w:hint="eastAsia" w:ascii="宋体" w:hAnsi="宋体" w:cs="宋体"/>
                <w:bCs/>
                <w:sz w:val="24"/>
                <w:lang w:val="en-US" w:eastAsia="zh-CN"/>
              </w:rPr>
              <w:t>同时</w:t>
            </w:r>
            <w:r>
              <w:rPr>
                <w:rFonts w:hint="default" w:ascii="宋体" w:hAnsi="宋体" w:eastAsia="宋体" w:cs="宋体"/>
                <w:bCs/>
                <w:sz w:val="24"/>
                <w:lang w:val="en-US" w:eastAsia="zh-CN"/>
              </w:rPr>
              <w:t>提供</w:t>
            </w:r>
            <w:r>
              <w:rPr>
                <w:rFonts w:hint="eastAsia" w:ascii="宋体" w:hAnsi="宋体" w:cs="宋体"/>
                <w:bCs/>
                <w:sz w:val="24"/>
                <w:lang w:val="en-US" w:eastAsia="zh-CN"/>
              </w:rPr>
              <w:t>合同、</w:t>
            </w:r>
            <w:r>
              <w:rPr>
                <w:rFonts w:hint="default" w:ascii="宋体" w:hAnsi="宋体" w:eastAsia="宋体" w:cs="宋体"/>
                <w:bCs/>
                <w:sz w:val="24"/>
                <w:lang w:val="en-US" w:eastAsia="zh-CN"/>
              </w:rPr>
              <w:t>中国马拉松官方网站对应赛事的A（A1）赛事级别证明/世界田径官网对应赛事的等级证明</w:t>
            </w:r>
          </w:p>
        </w:tc>
      </w:tr>
      <w:tr w14:paraId="3AEBC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1" w:hRule="atLeast"/>
        </w:trPr>
        <w:tc>
          <w:tcPr>
            <w:tcW w:w="755" w:type="dxa"/>
            <w:vAlign w:val="center"/>
          </w:tcPr>
          <w:p w14:paraId="199B0C75">
            <w:pPr>
              <w:ind w:firstLine="28"/>
              <w:jc w:val="center"/>
              <w:rPr>
                <w:rFonts w:hint="default" w:ascii="宋体" w:hAnsi="宋体" w:eastAsia="宋体"/>
                <w:sz w:val="24"/>
                <w:lang w:val="en-US" w:eastAsia="zh-CN"/>
              </w:rPr>
            </w:pPr>
            <w:r>
              <w:rPr>
                <w:rFonts w:hint="eastAsia" w:ascii="宋体" w:hAnsi="宋体"/>
                <w:sz w:val="24"/>
                <w:lang w:val="en-US" w:eastAsia="zh-CN"/>
              </w:rPr>
              <w:t>3.2</w:t>
            </w:r>
          </w:p>
        </w:tc>
        <w:tc>
          <w:tcPr>
            <w:tcW w:w="1224" w:type="dxa"/>
            <w:shd w:val="clear" w:color="auto" w:fill="auto"/>
            <w:vAlign w:val="center"/>
          </w:tcPr>
          <w:p w14:paraId="301A7844">
            <w:pPr>
              <w:adjustRightInd w:val="0"/>
              <w:snapToGrid w:val="0"/>
              <w:spacing w:line="400" w:lineRule="exact"/>
              <w:ind w:firstLine="28" w:firstLineChars="0"/>
              <w:jc w:val="center"/>
              <w:rPr>
                <w:rFonts w:hint="default" w:ascii="宋体" w:hAnsi="宋体" w:eastAsia="宋体" w:cs="宋体"/>
                <w:sz w:val="24"/>
                <w:szCs w:val="22"/>
                <w:lang w:val="en-US" w:eastAsia="zh-CN" w:bidi="ar-SA"/>
              </w:rPr>
            </w:pPr>
            <w:r>
              <w:rPr>
                <w:rFonts w:hint="eastAsia" w:ascii="宋体" w:hAnsi="宋体" w:cs="宋体"/>
                <w:sz w:val="24"/>
                <w:szCs w:val="22"/>
                <w:lang w:val="en-US" w:eastAsia="zh-CN" w:bidi="ar-SA"/>
              </w:rPr>
              <w:t>团队规模</w:t>
            </w:r>
          </w:p>
        </w:tc>
        <w:tc>
          <w:tcPr>
            <w:tcW w:w="792" w:type="dxa"/>
            <w:shd w:val="clear" w:color="auto" w:fill="auto"/>
            <w:vAlign w:val="center"/>
          </w:tcPr>
          <w:p w14:paraId="06F25D69">
            <w:pPr>
              <w:adjustRightInd w:val="0"/>
              <w:snapToGrid w:val="0"/>
              <w:spacing w:line="400" w:lineRule="exact"/>
              <w:ind w:firstLine="28" w:firstLineChars="0"/>
              <w:jc w:val="center"/>
              <w:rPr>
                <w:rFonts w:hint="default" w:ascii="宋体" w:hAnsi="宋体" w:eastAsia="宋体" w:cs="宋体"/>
                <w:sz w:val="24"/>
                <w:szCs w:val="22"/>
                <w:lang w:val="en-US" w:eastAsia="zh-CN" w:bidi="ar-SA"/>
              </w:rPr>
            </w:pPr>
            <w:r>
              <w:rPr>
                <w:rFonts w:hint="eastAsia" w:ascii="宋体" w:hAnsi="宋体" w:cs="宋体"/>
                <w:sz w:val="24"/>
                <w:szCs w:val="22"/>
                <w:lang w:val="en-US" w:eastAsia="zh-CN" w:bidi="ar-SA"/>
              </w:rPr>
              <w:t>3</w:t>
            </w:r>
          </w:p>
        </w:tc>
        <w:tc>
          <w:tcPr>
            <w:tcW w:w="5388" w:type="dxa"/>
            <w:shd w:val="clear" w:color="auto" w:fill="auto"/>
            <w:vAlign w:val="center"/>
          </w:tcPr>
          <w:p w14:paraId="4937717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default"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供应商拟派本项目团队（包括管理团队和技术服务队伍）成员：人数≥26得 3 分；25≥人数≥21 得 2 分；20≥人数≥15 得 1 分；本项最高得 3 分。</w:t>
            </w:r>
          </w:p>
        </w:tc>
        <w:tc>
          <w:tcPr>
            <w:tcW w:w="1752" w:type="dxa"/>
            <w:shd w:val="clear" w:color="auto" w:fill="auto"/>
            <w:vAlign w:val="center"/>
          </w:tcPr>
          <w:p w14:paraId="0C2DDA03">
            <w:pPr>
              <w:keepNext w:val="0"/>
              <w:keepLines w:val="0"/>
              <w:pageBreakBefore w:val="0"/>
              <w:kinsoku/>
              <w:wordWrap/>
              <w:overflowPunct/>
              <w:topLinePunct w:val="0"/>
              <w:autoSpaceDE/>
              <w:autoSpaceDN/>
              <w:bidi w:val="0"/>
              <w:adjustRightInd/>
              <w:snapToGrid/>
              <w:spacing w:line="320" w:lineRule="exact"/>
              <w:jc w:val="both"/>
              <w:textAlignment w:val="auto"/>
              <w:rPr>
                <w:rFonts w:hint="default" w:ascii="宋体" w:hAnsi="宋体" w:eastAsia="宋体" w:cs="宋体"/>
                <w:bCs/>
                <w:sz w:val="24"/>
                <w:lang w:val="en-US" w:eastAsia="zh-CN"/>
              </w:rPr>
            </w:pPr>
            <w:r>
              <w:rPr>
                <w:rFonts w:hint="eastAsia" w:ascii="宋体" w:hAnsi="宋体" w:cs="宋体"/>
                <w:bCs/>
                <w:sz w:val="24"/>
                <w:lang w:val="en-US" w:eastAsia="zh-CN"/>
              </w:rPr>
              <w:t>评审依据：拟派本项目团队成员一览表</w:t>
            </w:r>
          </w:p>
        </w:tc>
      </w:tr>
      <w:tr w14:paraId="2AC56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755" w:type="dxa"/>
            <w:vAlign w:val="center"/>
          </w:tcPr>
          <w:p w14:paraId="18A57C1B">
            <w:pPr>
              <w:ind w:firstLine="28"/>
              <w:jc w:val="center"/>
              <w:rPr>
                <w:rFonts w:hint="default" w:ascii="宋体" w:hAnsi="宋体" w:eastAsia="宋体"/>
                <w:sz w:val="24"/>
                <w:lang w:val="en-US" w:eastAsia="zh-CN"/>
              </w:rPr>
            </w:pPr>
            <w:r>
              <w:rPr>
                <w:rFonts w:hint="eastAsia" w:ascii="宋体" w:hAnsi="宋体"/>
                <w:sz w:val="24"/>
                <w:lang w:val="en-US" w:eastAsia="zh-CN"/>
              </w:rPr>
              <w:t>3.3</w:t>
            </w:r>
          </w:p>
        </w:tc>
        <w:tc>
          <w:tcPr>
            <w:tcW w:w="1224" w:type="dxa"/>
            <w:shd w:val="clear" w:color="auto" w:fill="auto"/>
            <w:vAlign w:val="center"/>
          </w:tcPr>
          <w:p w14:paraId="124B6E49">
            <w:pPr>
              <w:adjustRightInd w:val="0"/>
              <w:snapToGrid w:val="0"/>
              <w:spacing w:line="400" w:lineRule="exact"/>
              <w:ind w:firstLine="28" w:firstLineChars="0"/>
              <w:jc w:val="center"/>
              <w:rPr>
                <w:rFonts w:hint="eastAsia" w:ascii="宋体" w:hAnsi="宋体" w:eastAsia="宋体" w:cs="宋体"/>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培训证书</w:t>
            </w:r>
          </w:p>
        </w:tc>
        <w:tc>
          <w:tcPr>
            <w:tcW w:w="792" w:type="dxa"/>
            <w:shd w:val="clear" w:color="auto" w:fill="auto"/>
            <w:vAlign w:val="center"/>
          </w:tcPr>
          <w:p w14:paraId="411269CE">
            <w:pPr>
              <w:adjustRightInd w:val="0"/>
              <w:snapToGrid w:val="0"/>
              <w:spacing w:line="400" w:lineRule="exact"/>
              <w:ind w:firstLine="28" w:firstLineChars="0"/>
              <w:jc w:val="center"/>
              <w:rPr>
                <w:rFonts w:hint="default" w:ascii="宋体" w:hAnsi="宋体" w:eastAsia="宋体" w:cs="宋体"/>
                <w:sz w:val="24"/>
                <w:szCs w:val="22"/>
                <w:lang w:val="en-US" w:eastAsia="zh-CN" w:bidi="ar-SA"/>
              </w:rPr>
            </w:pPr>
            <w:r>
              <w:rPr>
                <w:rFonts w:hint="eastAsia" w:ascii="宋体" w:hAnsi="宋体" w:cs="宋体"/>
                <w:sz w:val="24"/>
                <w:szCs w:val="22"/>
                <w:lang w:val="en-US" w:eastAsia="zh-CN" w:bidi="ar-SA"/>
              </w:rPr>
              <w:t>15</w:t>
            </w:r>
          </w:p>
        </w:tc>
        <w:tc>
          <w:tcPr>
            <w:tcW w:w="5388" w:type="dxa"/>
            <w:shd w:val="clear" w:color="auto" w:fill="auto"/>
            <w:vAlign w:val="center"/>
          </w:tcPr>
          <w:p w14:paraId="7383CED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供应商拟派本项目团队成员：</w:t>
            </w:r>
          </w:p>
          <w:p w14:paraId="6829BF5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1.具有马拉松竞赛组织管理类培训合格证书，有 1 人得 1 分，最高得 4 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2.具有马拉松路跑赛事医疗体系建构与急救管理类培训合格证书，有 1 人得 1 分，最高得 4 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3.具有马拉松路跑赛事媒体传播类</w:t>
            </w:r>
            <w:bookmarkStart w:id="657" w:name="_GoBack"/>
            <w:bookmarkEnd w:id="657"/>
            <w:r>
              <w:rPr>
                <w:rFonts w:hint="eastAsia" w:ascii="宋体" w:hAnsi="宋体" w:eastAsia="宋体" w:cs="宋体"/>
                <w:i w:val="0"/>
                <w:iCs w:val="0"/>
                <w:color w:val="000000"/>
                <w:kern w:val="0"/>
                <w:sz w:val="24"/>
                <w:szCs w:val="24"/>
                <w:u w:val="none"/>
                <w:lang w:val="en-US" w:eastAsia="zh-CN" w:bidi="ar"/>
              </w:rPr>
              <w:t>培训合格证书，有 1 人得 1 分，最高得 5分。</w:t>
            </w:r>
          </w:p>
          <w:p w14:paraId="05D9967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4.参加过世界田联组织或同等水平的国际田径/体育组织、专业急救培训机构组织的赛事急救医疗课程培训并取得认证证书的，每人得 2 分，本项满分 2分。</w:t>
            </w:r>
          </w:p>
          <w:p w14:paraId="2930076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注：同一人员限评一个证书。</w:t>
            </w:r>
          </w:p>
        </w:tc>
        <w:tc>
          <w:tcPr>
            <w:tcW w:w="1752" w:type="dxa"/>
            <w:shd w:val="clear" w:color="auto" w:fill="auto"/>
            <w:vAlign w:val="center"/>
          </w:tcPr>
          <w:p w14:paraId="2F9ED2D6">
            <w:pPr>
              <w:keepNext w:val="0"/>
              <w:keepLines w:val="0"/>
              <w:pageBreakBefore w:val="0"/>
              <w:widowControl/>
              <w:tabs>
                <w:tab w:val="left" w:pos="1200"/>
              </w:tabs>
              <w:kinsoku/>
              <w:wordWrap/>
              <w:overflowPunct/>
              <w:topLinePunct w:val="0"/>
              <w:autoSpaceDE/>
              <w:autoSpaceDN/>
              <w:bidi w:val="0"/>
              <w:adjustRightInd/>
              <w:snapToGrid/>
              <w:spacing w:line="320" w:lineRule="exact"/>
              <w:textAlignment w:val="auto"/>
              <w:rPr>
                <w:rFonts w:hint="eastAsia" w:ascii="宋体" w:hAnsi="宋体" w:eastAsia="宋体" w:cs="黑体"/>
                <w:color w:val="000000"/>
                <w:sz w:val="24"/>
                <w:szCs w:val="22"/>
                <w:lang w:val="en-US" w:eastAsia="zh-CN" w:bidi="ar-SA"/>
              </w:rPr>
            </w:pPr>
            <w:r>
              <w:rPr>
                <w:rFonts w:hint="eastAsia" w:ascii="宋体" w:hAnsi="宋体"/>
                <w:color w:val="000000"/>
                <w:sz w:val="24"/>
              </w:rPr>
              <w:t>提</w:t>
            </w:r>
            <w:r>
              <w:rPr>
                <w:rFonts w:hint="eastAsia" w:ascii="宋体" w:hAnsi="宋体"/>
                <w:color w:val="000000"/>
                <w:sz w:val="24"/>
                <w:lang w:val="en-US" w:eastAsia="zh-CN"/>
              </w:rPr>
              <w:t>供</w:t>
            </w:r>
            <w:r>
              <w:rPr>
                <w:rFonts w:hint="eastAsia" w:ascii="宋体" w:hAnsi="宋体"/>
                <w:color w:val="000000"/>
                <w:sz w:val="24"/>
              </w:rPr>
              <w:t>人员证书</w:t>
            </w:r>
            <w:r>
              <w:rPr>
                <w:rFonts w:hint="eastAsia" w:ascii="宋体" w:hAnsi="宋体"/>
                <w:color w:val="000000"/>
                <w:sz w:val="24"/>
                <w:lang w:val="en-US" w:eastAsia="zh-CN"/>
              </w:rPr>
              <w:t>及供应商为其缴纳</w:t>
            </w:r>
            <w:r>
              <w:rPr>
                <w:rFonts w:hint="eastAsia" w:ascii="宋体" w:hAnsi="宋体"/>
                <w:color w:val="000000"/>
                <w:sz w:val="24"/>
              </w:rPr>
              <w:t>近三个月</w:t>
            </w:r>
            <w:r>
              <w:rPr>
                <w:rFonts w:hint="eastAsia" w:ascii="宋体" w:hAnsi="宋体"/>
                <w:color w:val="000000"/>
                <w:sz w:val="24"/>
                <w:lang w:eastAsia="zh-CN"/>
              </w:rPr>
              <w:t>（</w:t>
            </w:r>
            <w:r>
              <w:rPr>
                <w:rFonts w:hint="eastAsia" w:ascii="宋体" w:hAnsi="宋体"/>
                <w:color w:val="000000"/>
                <w:sz w:val="24"/>
                <w:lang w:val="en-US" w:eastAsia="zh-CN"/>
              </w:rPr>
              <w:t>自磋商之日往前推</w:t>
            </w:r>
            <w:r>
              <w:rPr>
                <w:rFonts w:hint="eastAsia" w:ascii="宋体" w:hAnsi="宋体"/>
                <w:color w:val="000000"/>
                <w:sz w:val="24"/>
                <w:lang w:eastAsia="zh-CN"/>
              </w:rPr>
              <w:t>）</w:t>
            </w:r>
            <w:r>
              <w:rPr>
                <w:rFonts w:hint="eastAsia" w:ascii="宋体" w:hAnsi="宋体"/>
                <w:color w:val="000000"/>
                <w:sz w:val="24"/>
              </w:rPr>
              <w:t>任意一个月的社保</w:t>
            </w:r>
            <w:r>
              <w:rPr>
                <w:rFonts w:hint="eastAsia" w:ascii="宋体" w:hAnsi="宋体"/>
                <w:color w:val="000000"/>
                <w:sz w:val="24"/>
                <w:lang w:val="en-US" w:eastAsia="zh-CN"/>
              </w:rPr>
              <w:t>证明</w:t>
            </w:r>
            <w:r>
              <w:rPr>
                <w:rFonts w:hint="eastAsia" w:ascii="宋体" w:hAnsi="宋体"/>
                <w:color w:val="000000"/>
                <w:sz w:val="24"/>
                <w:lang w:eastAsia="zh-CN"/>
              </w:rPr>
              <w:t>。</w:t>
            </w:r>
          </w:p>
        </w:tc>
      </w:tr>
    </w:tbl>
    <w:p w14:paraId="2E5849D4">
      <w:pPr>
        <w:ind w:firstLine="420"/>
        <w:rPr>
          <w:rFonts w:ascii="宋体" w:hAnsi="宋体"/>
          <w:b/>
          <w:bCs/>
          <w:color w:val="000000" w:themeColor="text1"/>
          <w:sz w:val="24"/>
          <w:szCs w:val="24"/>
          <w:highlight w:val="none"/>
          <w14:textFill>
            <w14:solidFill>
              <w14:schemeClr w14:val="tx1"/>
            </w14:solidFill>
          </w14:textFill>
        </w:rPr>
      </w:pPr>
      <w:bookmarkStart w:id="633" w:name="_Toc123719648"/>
      <w:r>
        <w:rPr>
          <w:rFonts w:hint="eastAsia" w:ascii="宋体" w:hAnsi="宋体"/>
          <w:b/>
          <w:color w:val="000000"/>
          <w:sz w:val="24"/>
        </w:rPr>
        <w:t>注：</w:t>
      </w:r>
      <w:r>
        <w:rPr>
          <w:rFonts w:hint="eastAsia" w:ascii="宋体" w:hAnsi="宋体"/>
          <w:b/>
          <w:bCs/>
          <w:color w:val="000000" w:themeColor="text1"/>
          <w:sz w:val="24"/>
          <w:szCs w:val="24"/>
          <w:highlight w:val="none"/>
          <w14:textFill>
            <w14:solidFill>
              <w14:schemeClr w14:val="tx1"/>
            </w14:solidFill>
          </w14:textFill>
        </w:rPr>
        <w:t>评</w:t>
      </w:r>
      <w:r>
        <w:rPr>
          <w:rFonts w:hint="eastAsia" w:ascii="宋体" w:hAnsi="宋体"/>
          <w:b/>
          <w:bCs/>
          <w:color w:val="000000" w:themeColor="text1"/>
          <w:sz w:val="24"/>
          <w:szCs w:val="24"/>
          <w:highlight w:val="none"/>
          <w:lang w:val="en-US" w:eastAsia="zh-CN"/>
          <w14:textFill>
            <w14:solidFill>
              <w14:schemeClr w14:val="tx1"/>
            </w14:solidFill>
          </w14:textFill>
        </w:rPr>
        <w:t>审</w:t>
      </w:r>
      <w:r>
        <w:rPr>
          <w:rFonts w:hint="eastAsia" w:ascii="宋体" w:hAnsi="宋体"/>
          <w:b/>
          <w:bCs/>
          <w:color w:val="000000" w:themeColor="text1"/>
          <w:sz w:val="24"/>
          <w:szCs w:val="24"/>
          <w:highlight w:val="none"/>
          <w14:textFill>
            <w14:solidFill>
              <w14:schemeClr w14:val="tx1"/>
            </w14:solidFill>
          </w14:textFill>
        </w:rPr>
        <w:t>标准中要求提供的证明文件及资料通过“苏采云系统”按对应评分</w:t>
      </w:r>
      <w:r>
        <w:rPr>
          <w:rFonts w:hint="eastAsia" w:ascii="宋体" w:hAnsi="宋体"/>
          <w:b/>
          <w:bCs/>
          <w:color w:val="000000" w:themeColor="text1"/>
          <w:sz w:val="24"/>
          <w:szCs w:val="24"/>
          <w:highlight w:val="none"/>
          <w:lang w:val="en-US" w:eastAsia="zh-CN"/>
          <w14:textFill>
            <w14:solidFill>
              <w14:schemeClr w14:val="tx1"/>
            </w14:solidFill>
          </w14:textFill>
        </w:rPr>
        <w:t>因素</w:t>
      </w:r>
      <w:r>
        <w:rPr>
          <w:rFonts w:hint="eastAsia" w:ascii="宋体" w:hAnsi="宋体"/>
          <w:b/>
          <w:bCs/>
          <w:color w:val="000000" w:themeColor="text1"/>
          <w:sz w:val="24"/>
          <w:szCs w:val="24"/>
          <w:highlight w:val="none"/>
          <w14:textFill>
            <w14:solidFill>
              <w14:schemeClr w14:val="tx1"/>
            </w14:solidFill>
          </w14:textFill>
        </w:rPr>
        <w:t>（或数字编号）分别制作上传，复印件的必须加盖公章，保证内容具体、印章完整、清晰可辨。未按以上要求制作上传的，经</w:t>
      </w:r>
      <w:r>
        <w:rPr>
          <w:rFonts w:hint="eastAsia" w:ascii="宋体" w:hAnsi="宋体"/>
          <w:b/>
          <w:bCs/>
          <w:color w:val="000000" w:themeColor="text1"/>
          <w:sz w:val="24"/>
          <w:szCs w:val="24"/>
          <w:highlight w:val="none"/>
          <w:lang w:val="en-US" w:eastAsia="zh-CN"/>
          <w14:textFill>
            <w14:solidFill>
              <w14:schemeClr w14:val="tx1"/>
            </w14:solidFill>
          </w14:textFill>
        </w:rPr>
        <w:t>评标委员会</w:t>
      </w:r>
      <w:r>
        <w:rPr>
          <w:rFonts w:hint="eastAsia" w:ascii="宋体" w:hAnsi="宋体"/>
          <w:b/>
          <w:bCs/>
          <w:color w:val="000000" w:themeColor="text1"/>
          <w:sz w:val="24"/>
          <w:szCs w:val="24"/>
          <w:highlight w:val="none"/>
          <w14:textFill>
            <w14:solidFill>
              <w14:schemeClr w14:val="tx1"/>
            </w14:solidFill>
          </w14:textFill>
        </w:rPr>
        <w:t>成员半数以上认定后作不得分处理。</w:t>
      </w:r>
    </w:p>
    <w:p w14:paraId="40AEFA83">
      <w:pPr>
        <w:spacing w:line="360" w:lineRule="auto"/>
        <w:jc w:val="left"/>
        <w:rPr>
          <w:rFonts w:ascii="宋体" w:hAnsi="宋体"/>
          <w:color w:val="000000" w:themeColor="text1"/>
          <w:sz w:val="24"/>
          <w:szCs w:val="24"/>
          <w:highlight w:val="none"/>
          <w14:textFill>
            <w14:solidFill>
              <w14:schemeClr w14:val="tx1"/>
            </w14:solidFill>
          </w14:textFill>
        </w:rPr>
        <w:sectPr>
          <w:pgSz w:w="11906" w:h="16838"/>
          <w:pgMar w:top="1440" w:right="1800" w:bottom="1440" w:left="1800" w:header="851" w:footer="992" w:gutter="0"/>
          <w:cols w:space="1701" w:num="1"/>
          <w:docGrid w:linePitch="360" w:charSpace="0"/>
        </w:sectPr>
      </w:pPr>
    </w:p>
    <w:p w14:paraId="4BCF30FB">
      <w:pPr>
        <w:pStyle w:val="2"/>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第四章</w:t>
      </w:r>
      <w:r>
        <w:rPr>
          <w:rFonts w:hint="eastAsia" w:ascii="宋体" w:hAnsi="宋体"/>
          <w:color w:val="000000" w:themeColor="text1"/>
          <w14:textFill>
            <w14:solidFill>
              <w14:schemeClr w14:val="tx1"/>
            </w14:solidFill>
          </w14:textFill>
        </w:rPr>
        <w:t xml:space="preserve"> 采购需求</w:t>
      </w:r>
      <w:bookmarkEnd w:id="633"/>
    </w:p>
    <w:p w14:paraId="3AEE7136">
      <w:pPr>
        <w:spacing w:beforeLines="0" w:afterLines="0" w:line="360" w:lineRule="auto"/>
        <w:outlineLvl w:val="0"/>
        <w:rPr>
          <w:rFonts w:hint="eastAsia" w:ascii="宋体" w:hAnsi="宋体" w:cs="宋体"/>
          <w:b/>
          <w:sz w:val="24"/>
          <w:szCs w:val="24"/>
        </w:rPr>
      </w:pPr>
      <w:bookmarkStart w:id="634" w:name="_Toc99301425"/>
      <w:bookmarkStart w:id="635" w:name="_Toc123719649"/>
      <w:bookmarkStart w:id="636" w:name="_Toc104818929"/>
      <w:r>
        <w:rPr>
          <w:rFonts w:hint="eastAsia" w:ascii="宋体" w:hAnsi="宋体" w:cs="宋体"/>
          <w:b/>
          <w:sz w:val="24"/>
          <w:szCs w:val="24"/>
        </w:rPr>
        <w:t>一、项目背景</w:t>
      </w:r>
      <w:r>
        <w:rPr>
          <w:rFonts w:hint="eastAsia" w:ascii="MS Gothic" w:hAnsi="MS Gothic" w:eastAsia="MS Gothic" w:cs="MS Gothic"/>
          <w:b/>
          <w:sz w:val="24"/>
          <w:szCs w:val="24"/>
        </w:rPr>
        <w:t>​</w:t>
      </w:r>
    </w:p>
    <w:p w14:paraId="61A821FA">
      <w:pPr>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lang w:val="en-US" w:eastAsia="zh-CN"/>
        </w:rPr>
        <w:t>为深入推进常州市体育产业与文旅事业深度融合发展，依托马拉松赛事高关注度、高传播度、高参与度的赛事优势，打造城市特色文体IP，充分释放“体育+文旅”多元融合价值。通过举办专业化、高品质的精英马拉松赛事，广泛吸纳市内外、国内外马拉松爱好者参与，全方位提升常州城市知名度与美誉度，传播积极向上的城市正能量，塑造健康活力、开放包容的城市品牌形象。同时，以赛事为载体拉动本地文旅消费、促进文体商旅多元交流，丰富城市业态，助力常州打造全新城市文旅体育名片，推动全市体育、文旅、消费产业协同高质量发展。</w:t>
      </w:r>
    </w:p>
    <w:p w14:paraId="33683543">
      <w:pPr>
        <w:pStyle w:val="281"/>
        <w:numPr>
          <w:ilvl w:val="0"/>
          <w:numId w:val="5"/>
        </w:numPr>
        <w:spacing w:beforeLines="0" w:afterLines="0" w:line="360" w:lineRule="auto"/>
        <w:outlineLvl w:val="0"/>
        <w:rPr>
          <w:rFonts w:hint="eastAsia" w:ascii="宋体" w:hAnsi="宋体" w:cs="宋体"/>
          <w:sz w:val="24"/>
          <w:szCs w:val="21"/>
        </w:rPr>
      </w:pPr>
      <w:r>
        <w:rPr>
          <w:rFonts w:hint="eastAsia" w:ascii="宋体" w:hAnsi="宋体" w:cs="宋体"/>
          <w:b/>
          <w:sz w:val="24"/>
          <w:szCs w:val="21"/>
        </w:rPr>
        <w:t>采购目的</w:t>
      </w:r>
      <w:r>
        <w:rPr>
          <w:rFonts w:hint="eastAsia" w:ascii="MS Gothic" w:hAnsi="MS Gothic" w:eastAsia="MS Gothic" w:cs="MS Gothic"/>
          <w:sz w:val="24"/>
          <w:szCs w:val="21"/>
        </w:rPr>
        <w:t>​</w:t>
      </w:r>
    </w:p>
    <w:p w14:paraId="710D7AF3">
      <w:pPr>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1.选定专业运营商：选拔一家经验丰富、专业能力强的赛事运营商。该运营商将全面负责赛事运营，从前期策划到后期执行，涵盖各个环节。</w:t>
      </w:r>
    </w:p>
    <w:p w14:paraId="0577FE43">
      <w:pPr>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2.明确权利义务关系：</w:t>
      </w:r>
      <w:r>
        <w:rPr>
          <w:rFonts w:hint="eastAsia" w:ascii="宋体" w:hAnsi="宋体" w:cs="宋体"/>
          <w:sz w:val="24"/>
          <w:szCs w:val="24"/>
          <w:lang w:val="en-US" w:eastAsia="zh-CN"/>
        </w:rPr>
        <w:t>成交</w:t>
      </w:r>
      <w:r>
        <w:rPr>
          <w:rFonts w:hint="eastAsia" w:ascii="宋体" w:hAnsi="宋体" w:cs="宋体"/>
          <w:sz w:val="24"/>
          <w:szCs w:val="24"/>
        </w:rPr>
        <w:t>单位与采购人签订协议，享有规定权利，如赛事报名收益归</w:t>
      </w:r>
      <w:r>
        <w:rPr>
          <w:rFonts w:hint="eastAsia" w:ascii="宋体" w:hAnsi="宋体" w:cs="宋体"/>
          <w:sz w:val="24"/>
          <w:szCs w:val="24"/>
          <w:lang w:eastAsia="zh-CN"/>
        </w:rPr>
        <w:t>成交单位</w:t>
      </w:r>
      <w:r>
        <w:rPr>
          <w:rFonts w:hint="eastAsia" w:ascii="宋体" w:hAnsi="宋体" w:cs="宋体"/>
          <w:sz w:val="24"/>
          <w:szCs w:val="24"/>
        </w:rPr>
        <w:t>所有；同时履行诸多义务，包括定期向采购人汇报工作等。重大事项需采购人向组委会请示汇报后确定，确保赛事运营始终在可控、合规的框架内进行。</w:t>
      </w:r>
    </w:p>
    <w:p w14:paraId="30F447A2">
      <w:pPr>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3.全方位赛事运营职责：赛事运营商要以赛事成功举办和持续发展为目标，承担联系媒体发布信息、策划执行起跑及颁奖仪式、开展广告宣传、统筹城市形象策划实施、招募培训志愿者、管理运动员报名收费、组织比赛、布置场地、维护秩序、提供安全保障服务以及市场开发等工作，助力主办方顺利推进项目。</w:t>
      </w:r>
    </w:p>
    <w:p w14:paraId="4C8166B8">
      <w:pPr>
        <w:spacing w:beforeLines="0" w:afterLines="0" w:line="360" w:lineRule="auto"/>
        <w:outlineLvl w:val="1"/>
        <w:rPr>
          <w:rFonts w:hint="eastAsia" w:ascii="宋体" w:hAnsi="宋体" w:cs="宋体"/>
          <w:sz w:val="24"/>
          <w:szCs w:val="24"/>
        </w:rPr>
      </w:pPr>
      <w:r>
        <w:rPr>
          <w:rFonts w:hint="eastAsia" w:ascii="宋体" w:hAnsi="宋体" w:cs="宋体"/>
          <w:sz w:val="24"/>
          <w:szCs w:val="24"/>
        </w:rPr>
        <w:t>（一）比赛时间和地点</w:t>
      </w:r>
      <w:r>
        <w:rPr>
          <w:rFonts w:hint="eastAsia" w:ascii="MS Gothic" w:hAnsi="MS Gothic" w:eastAsia="MS Gothic" w:cs="MS Gothic"/>
          <w:sz w:val="24"/>
          <w:szCs w:val="24"/>
        </w:rPr>
        <w:t>​</w:t>
      </w:r>
    </w:p>
    <w:p w14:paraId="1E8974DD">
      <w:pPr>
        <w:spacing w:beforeLines="0" w:afterLines="0" w:line="360" w:lineRule="auto"/>
        <w:ind w:firstLine="480" w:firstLineChars="200"/>
        <w:rPr>
          <w:rFonts w:hint="eastAsia" w:ascii="宋体" w:hAnsi="宋体" w:eastAsia="宋体" w:cs="宋体"/>
          <w:sz w:val="24"/>
          <w:szCs w:val="24"/>
          <w:lang w:val="en-US" w:eastAsia="zh-CN"/>
        </w:rPr>
      </w:pPr>
      <w:r>
        <w:rPr>
          <w:rFonts w:hint="eastAsia" w:ascii="宋体" w:hAnsi="宋体" w:cs="宋体"/>
          <w:sz w:val="24"/>
          <w:szCs w:val="24"/>
        </w:rPr>
        <w:t>比赛时间：202</w:t>
      </w:r>
      <w:r>
        <w:rPr>
          <w:rFonts w:hint="eastAsia" w:ascii="宋体" w:hAnsi="宋体" w:cs="宋体"/>
          <w:sz w:val="24"/>
          <w:szCs w:val="24"/>
          <w:lang w:val="en-US" w:eastAsia="zh-CN"/>
        </w:rPr>
        <w:t>6</w:t>
      </w:r>
      <w:r>
        <w:rPr>
          <w:rFonts w:hint="eastAsia" w:ascii="宋体" w:hAnsi="宋体" w:cs="宋体"/>
          <w:sz w:val="24"/>
          <w:szCs w:val="24"/>
        </w:rPr>
        <w:t>年1</w:t>
      </w:r>
      <w:r>
        <w:rPr>
          <w:rFonts w:hint="eastAsia" w:ascii="宋体" w:hAnsi="宋体" w:cs="宋体"/>
          <w:sz w:val="24"/>
          <w:szCs w:val="24"/>
          <w:lang w:val="en-US" w:eastAsia="zh-CN"/>
        </w:rPr>
        <w:t>1</w:t>
      </w:r>
      <w:r>
        <w:rPr>
          <w:rFonts w:hint="eastAsia" w:ascii="宋体" w:hAnsi="宋体" w:cs="宋体"/>
          <w:sz w:val="24"/>
          <w:szCs w:val="24"/>
        </w:rPr>
        <w:t>月</w:t>
      </w:r>
      <w:r>
        <w:rPr>
          <w:rFonts w:hint="eastAsia" w:ascii="宋体" w:hAnsi="宋体" w:cs="宋体"/>
          <w:sz w:val="24"/>
          <w:szCs w:val="24"/>
          <w:lang w:val="en-US" w:eastAsia="zh-CN"/>
        </w:rPr>
        <w:t>1</w:t>
      </w:r>
      <w:r>
        <w:rPr>
          <w:rFonts w:hint="eastAsia" w:ascii="宋体" w:hAnsi="宋体" w:cs="宋体"/>
          <w:sz w:val="24"/>
          <w:szCs w:val="24"/>
        </w:rPr>
        <w:t>日（周日）7:30</w:t>
      </w:r>
      <w:r>
        <w:rPr>
          <w:rFonts w:hint="eastAsia" w:ascii="宋体" w:hAnsi="宋体" w:cs="宋体"/>
          <w:sz w:val="24"/>
          <w:szCs w:val="24"/>
          <w:lang w:val="en-US" w:eastAsia="zh-CN"/>
        </w:rPr>
        <w:t xml:space="preserve"> （拟定）</w:t>
      </w:r>
    </w:p>
    <w:p w14:paraId="07F21ECD">
      <w:pPr>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比赛地点：常州武进西太湖旅游度假区</w:t>
      </w:r>
    </w:p>
    <w:p w14:paraId="47225903">
      <w:pPr>
        <w:spacing w:beforeLines="0" w:afterLines="0" w:line="360" w:lineRule="auto"/>
        <w:outlineLvl w:val="1"/>
        <w:rPr>
          <w:rFonts w:hint="eastAsia" w:ascii="宋体" w:hAnsi="宋体" w:cs="宋体"/>
          <w:sz w:val="24"/>
          <w:szCs w:val="24"/>
        </w:rPr>
      </w:pPr>
      <w:r>
        <w:rPr>
          <w:rFonts w:hint="eastAsia" w:ascii="宋体" w:hAnsi="宋体" w:cs="宋体"/>
          <w:sz w:val="24"/>
          <w:szCs w:val="24"/>
        </w:rPr>
        <w:t>（二）比赛项目规模及组别</w:t>
      </w:r>
      <w:r>
        <w:rPr>
          <w:rFonts w:hint="eastAsia" w:ascii="MS Gothic" w:hAnsi="MS Gothic" w:eastAsia="MS Gothic" w:cs="MS Gothic"/>
          <w:sz w:val="24"/>
          <w:szCs w:val="24"/>
        </w:rPr>
        <w:t>​</w:t>
      </w:r>
    </w:p>
    <w:p w14:paraId="60F18E44">
      <w:pPr>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每期规模：</w:t>
      </w:r>
      <w:r>
        <w:rPr>
          <w:rFonts w:hint="eastAsia" w:ascii="宋体" w:hAnsi="宋体" w:cs="宋体"/>
          <w:sz w:val="24"/>
          <w:szCs w:val="24"/>
          <w:lang w:val="en-US" w:eastAsia="zh-CN"/>
        </w:rPr>
        <w:t>20000</w:t>
      </w:r>
      <w:r>
        <w:rPr>
          <w:rFonts w:hint="eastAsia" w:ascii="宋体" w:hAnsi="宋体" w:cs="宋体"/>
          <w:sz w:val="24"/>
          <w:szCs w:val="24"/>
        </w:rPr>
        <w:t>人。</w:t>
      </w:r>
    </w:p>
    <w:p w14:paraId="3FB51DC7">
      <w:pPr>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比赛项目：半程马拉松（21.0975KM）</w:t>
      </w:r>
    </w:p>
    <w:p w14:paraId="4AFFC4FD">
      <w:pPr>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赛事规模：半程马拉松</w:t>
      </w:r>
      <w:r>
        <w:rPr>
          <w:rFonts w:hint="eastAsia" w:ascii="宋体" w:hAnsi="宋体" w:cs="宋体"/>
          <w:sz w:val="24"/>
          <w:szCs w:val="24"/>
          <w:lang w:val="en-US" w:eastAsia="zh-CN"/>
        </w:rPr>
        <w:t>20000</w:t>
      </w:r>
      <w:r>
        <w:rPr>
          <w:rFonts w:hint="eastAsia" w:ascii="宋体" w:hAnsi="宋体" w:cs="宋体"/>
          <w:sz w:val="24"/>
          <w:szCs w:val="24"/>
        </w:rPr>
        <w:t>人</w:t>
      </w:r>
    </w:p>
    <w:p w14:paraId="1FA5CEEC">
      <w:pPr>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竞赛组别：男子半程马拉松、女子半程马拉松</w:t>
      </w:r>
    </w:p>
    <w:p w14:paraId="61F933AC">
      <w:pPr>
        <w:spacing w:beforeLines="0" w:afterLines="0" w:line="360" w:lineRule="auto"/>
        <w:outlineLvl w:val="0"/>
        <w:rPr>
          <w:rFonts w:hint="eastAsia" w:ascii="宋体" w:hAnsi="宋体" w:cs="宋体"/>
          <w:sz w:val="24"/>
          <w:szCs w:val="24"/>
        </w:rPr>
      </w:pPr>
      <w:r>
        <w:rPr>
          <w:rFonts w:hint="eastAsia" w:ascii="宋体" w:hAnsi="宋体" w:cs="宋体"/>
          <w:b/>
          <w:sz w:val="24"/>
          <w:szCs w:val="24"/>
        </w:rPr>
        <w:t>三、服务要求</w:t>
      </w:r>
      <w:r>
        <w:rPr>
          <w:rFonts w:hint="eastAsia" w:ascii="MS Gothic" w:hAnsi="MS Gothic" w:eastAsia="MS Gothic" w:cs="MS Gothic"/>
          <w:sz w:val="24"/>
          <w:szCs w:val="24"/>
        </w:rPr>
        <w:t>​</w:t>
      </w:r>
    </w:p>
    <w:p w14:paraId="5BD22CF0">
      <w:pPr>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赛事运营商负责承担包括但不限于202</w:t>
      </w:r>
      <w:r>
        <w:rPr>
          <w:rFonts w:hint="eastAsia" w:ascii="宋体" w:hAnsi="宋体" w:cs="宋体"/>
          <w:sz w:val="24"/>
          <w:szCs w:val="24"/>
          <w:lang w:val="en-US" w:eastAsia="zh-CN"/>
        </w:rPr>
        <w:t>6</w:t>
      </w:r>
      <w:r>
        <w:rPr>
          <w:rFonts w:hint="eastAsia" w:ascii="宋体" w:hAnsi="宋体" w:cs="宋体"/>
          <w:sz w:val="24"/>
          <w:szCs w:val="24"/>
        </w:rPr>
        <w:t>常州西太湖半程马拉松赛运营服务赛事总体策划、竞赛组织、宣传推广、赛事安保、医疗救援、赛事志愿者、后勤保障、赛道及场地布置、市场开发、应急预案等工作及相关费用。实施方案需符合最新修订的《中国田径协会路跑赛事管理办法》和《中国田径协会路跑赛事管理制度文件2025》的相关规定，确保赛事顺利、有序开展。具体内容如下：</w:t>
      </w:r>
    </w:p>
    <w:p w14:paraId="7A85C5F9">
      <w:pPr>
        <w:numPr>
          <w:ilvl w:val="0"/>
          <w:numId w:val="6"/>
        </w:numPr>
        <w:spacing w:beforeLines="0" w:afterLines="0" w:line="360" w:lineRule="auto"/>
        <w:outlineLvl w:val="1"/>
        <w:rPr>
          <w:rFonts w:hint="eastAsia" w:ascii="宋体" w:hAnsi="宋体" w:cs="宋体"/>
          <w:b/>
          <w:sz w:val="24"/>
          <w:szCs w:val="24"/>
        </w:rPr>
      </w:pPr>
      <w:r>
        <w:rPr>
          <w:rFonts w:hint="eastAsia" w:ascii="宋体" w:hAnsi="宋体" w:cs="宋体"/>
          <w:b/>
          <w:sz w:val="24"/>
          <w:szCs w:val="24"/>
        </w:rPr>
        <w:t>赛事总体策划</w:t>
      </w:r>
      <w:r>
        <w:rPr>
          <w:rFonts w:hint="eastAsia" w:ascii="MS Gothic" w:hAnsi="MS Gothic" w:eastAsia="MS Gothic" w:cs="MS Gothic"/>
          <w:b/>
          <w:sz w:val="24"/>
          <w:szCs w:val="24"/>
        </w:rPr>
        <w:t>​</w:t>
      </w:r>
    </w:p>
    <w:p w14:paraId="3C435E9A">
      <w:pPr>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方案科学性与创意性：赛事总体策划方案要科学合理，从赛事筹备到举办的各个环节都需精心安排，时间节点精确到天甚至小时，具体任务明确到人。实施方案要富有创意，深度融合文旅理念，例如将常州市的历史文化、民俗风情融入赛事元素，打造独特的赛事体验。在实施</w:t>
      </w:r>
      <w:r>
        <w:rPr>
          <w:rFonts w:hint="eastAsia" w:ascii="宋体" w:hAnsi="宋体" w:cs="宋体"/>
          <w:color w:val="auto"/>
          <w:sz w:val="24"/>
          <w:szCs w:val="24"/>
        </w:rPr>
        <w:t>方案中，</w:t>
      </w:r>
      <w:r>
        <w:rPr>
          <w:rFonts w:hint="eastAsia" w:ascii="宋体" w:hAnsi="宋体" w:cs="宋体"/>
          <w:color w:val="000000"/>
          <w:sz w:val="24"/>
          <w:szCs w:val="24"/>
        </w:rPr>
        <w:t>运用科技化手段，对赛事组织管理、选手服务、医疗保障、智能存取、赛道监控数字化等方面进行技术创新和科技赋能，并</w:t>
      </w:r>
      <w:r>
        <w:rPr>
          <w:rFonts w:hint="eastAsia" w:ascii="宋体" w:hAnsi="宋体" w:cs="宋体"/>
          <w:sz w:val="24"/>
          <w:szCs w:val="24"/>
        </w:rPr>
        <w:t>细化制定运营执行方案及各专项方案，报组委会审定后严格执行，全力擦亮“西马”赛事品牌，打造国内广大跑者高度认可的最佳马拉松赛事。</w:t>
      </w:r>
    </w:p>
    <w:p w14:paraId="65B3ADAC">
      <w:pPr>
        <w:spacing w:beforeLines="0" w:afterLines="0" w:line="360" w:lineRule="auto"/>
        <w:outlineLvl w:val="1"/>
        <w:rPr>
          <w:rFonts w:hint="eastAsia" w:ascii="宋体" w:hAnsi="宋体" w:cs="宋体"/>
          <w:b/>
          <w:sz w:val="24"/>
          <w:szCs w:val="24"/>
        </w:rPr>
      </w:pPr>
      <w:r>
        <w:rPr>
          <w:rFonts w:hint="eastAsia" w:ascii="宋体" w:hAnsi="宋体" w:cs="宋体"/>
          <w:b/>
          <w:sz w:val="24"/>
          <w:szCs w:val="24"/>
        </w:rPr>
        <w:t>（二）竞赛组织</w:t>
      </w:r>
    </w:p>
    <w:p w14:paraId="3FAC7318">
      <w:pPr>
        <w:pStyle w:val="45"/>
        <w:tabs>
          <w:tab w:val="left" w:pos="567"/>
        </w:tabs>
        <w:spacing w:beforeLines="0" w:afterLines="0" w:line="360" w:lineRule="auto"/>
        <w:outlineLvl w:val="9"/>
        <w:rPr>
          <w:rFonts w:hint="eastAsia" w:ascii="宋体" w:hAnsi="宋体" w:cs="宋体"/>
          <w:b/>
          <w:bCs w:val="0"/>
          <w:sz w:val="24"/>
          <w:szCs w:val="24"/>
        </w:rPr>
      </w:pPr>
      <w:r>
        <w:rPr>
          <w:rFonts w:hint="eastAsia" w:ascii="宋体" w:hAnsi="宋体" w:cs="宋体"/>
          <w:b/>
          <w:bCs w:val="0"/>
          <w:sz w:val="24"/>
          <w:szCs w:val="24"/>
        </w:rPr>
        <w:t>1</w:t>
      </w:r>
      <w:r>
        <w:rPr>
          <w:rFonts w:hint="eastAsia" w:ascii="宋体" w:hAnsi="宋体" w:cs="宋体"/>
          <w:b/>
          <w:bCs w:val="0"/>
          <w:sz w:val="24"/>
          <w:szCs w:val="24"/>
          <w:lang w:eastAsia="zh-CN"/>
        </w:rPr>
        <w:t>.</w:t>
      </w:r>
      <w:r>
        <w:rPr>
          <w:rFonts w:hint="eastAsia" w:ascii="宋体" w:hAnsi="宋体" w:cs="宋体"/>
          <w:b/>
          <w:bCs w:val="0"/>
          <w:sz w:val="24"/>
          <w:szCs w:val="24"/>
        </w:rPr>
        <w:t>赛事认证</w:t>
      </w:r>
    </w:p>
    <w:p w14:paraId="36C092A6">
      <w:pPr>
        <w:pStyle w:val="45"/>
        <w:tabs>
          <w:tab w:val="left" w:pos="567"/>
        </w:tabs>
        <w:spacing w:beforeLines="0" w:afterLines="0" w:line="360" w:lineRule="auto"/>
        <w:ind w:firstLine="480" w:firstLineChars="200"/>
        <w:outlineLvl w:val="9"/>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按照世界田联相关规定及《中国田径协会路跑管理文件汇编（2025）》等规定要求，按照世界田联精英标牌赛事和中国田径A1类认证赛事进行运营：</w:t>
      </w:r>
    </w:p>
    <w:p w14:paraId="7F0BBD9B">
      <w:pPr>
        <w:pStyle w:val="45"/>
        <w:tabs>
          <w:tab w:val="left" w:pos="567"/>
        </w:tabs>
        <w:spacing w:beforeLines="0" w:afterLines="0" w:line="360" w:lineRule="auto"/>
        <w:ind w:firstLine="480" w:firstLineChars="200"/>
        <w:outlineLvl w:val="9"/>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（1）世界田联精英标牌赛事认证费：负责与世界田联沟通精英标牌赛事认证相关事项，承担并缴纳世界田联规定2026年“西马”的精英标牌赛事认证费；</w:t>
      </w:r>
    </w:p>
    <w:p w14:paraId="7ED84A34">
      <w:pPr>
        <w:pStyle w:val="45"/>
        <w:tabs>
          <w:tab w:val="left" w:pos="567"/>
        </w:tabs>
        <w:spacing w:beforeLines="0" w:afterLines="0" w:line="360" w:lineRule="auto"/>
        <w:ind w:firstLine="480" w:firstLineChars="200"/>
        <w:outlineLvl w:val="9"/>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（2）精英标牌运动员：邀请世界田联认证的精英标牌级运动员参赛（按照世界田联要求执行）；</w:t>
      </w:r>
    </w:p>
    <w:p w14:paraId="227F5262">
      <w:pPr>
        <w:pStyle w:val="45"/>
        <w:tabs>
          <w:tab w:val="left" w:pos="567"/>
        </w:tabs>
        <w:spacing w:beforeLines="0" w:afterLines="0" w:line="360" w:lineRule="auto"/>
        <w:ind w:firstLine="480" w:firstLineChars="200"/>
        <w:outlineLvl w:val="9"/>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3）兴奋剂检测：负责与世界田联及国家体育总局反兴奋剂中心沟通兴奋剂检测相关事项，承担兴奋剂检测费用、兴奋剂检测官员（5人）差旅费和食宿费用。按照精英标牌赛事兴奋剂检测要求，世界田联精英标牌赛事要求8例（4男4女包括8例EPO），中国田协A1类赛事要求最少6例（3男3女：包含EPO检测）；</w:t>
      </w:r>
    </w:p>
    <w:p w14:paraId="703E5704">
      <w:pPr>
        <w:pStyle w:val="45"/>
        <w:keepNext w:val="0"/>
        <w:keepLines w:val="0"/>
        <w:pageBreakBefore w:val="0"/>
        <w:widowControl w:val="0"/>
        <w:tabs>
          <w:tab w:val="left" w:pos="567"/>
        </w:tabs>
        <w:kinsoku/>
        <w:wordWrap/>
        <w:overflowPunct/>
        <w:topLinePunct w:val="0"/>
        <w:autoSpaceDE/>
        <w:autoSpaceDN/>
        <w:bidi w:val="0"/>
        <w:adjustRightInd/>
        <w:snapToGrid/>
        <w:spacing w:beforeLines="0" w:afterLines="0" w:line="360" w:lineRule="auto"/>
        <w:ind w:left="0" w:leftChars="0" w:firstLine="480" w:firstLineChars="200"/>
        <w:textAlignment w:val="auto"/>
        <w:outlineLvl w:val="9"/>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（4）中国田协赛事认证：负责中国田协路跑赛事认证申请系统相关申报事项，缴纳中国田协A1类赛事技术认证，并承担全额认证费用；</w:t>
      </w:r>
    </w:p>
    <w:p w14:paraId="2D7C2FD1">
      <w:pPr>
        <w:pStyle w:val="45"/>
        <w:keepNext w:val="0"/>
        <w:keepLines w:val="0"/>
        <w:pageBreakBefore w:val="0"/>
        <w:widowControl w:val="0"/>
        <w:tabs>
          <w:tab w:val="left" w:pos="567"/>
        </w:tabs>
        <w:kinsoku/>
        <w:wordWrap/>
        <w:overflowPunct/>
        <w:topLinePunct w:val="0"/>
        <w:autoSpaceDE/>
        <w:autoSpaceDN/>
        <w:bidi w:val="0"/>
        <w:adjustRightInd/>
        <w:snapToGrid/>
        <w:spacing w:beforeLines="0" w:afterLines="0" w:line="360" w:lineRule="auto"/>
        <w:ind w:left="0" w:leftChars="0" w:firstLine="480" w:firstLineChars="200"/>
        <w:textAlignment w:val="auto"/>
        <w:outlineLvl w:val="9"/>
        <w:rPr>
          <w:rFonts w:hint="eastAsia" w:ascii="宋体" w:hAnsi="宋体" w:cs="宋体"/>
          <w:b/>
          <w:sz w:val="24"/>
          <w:szCs w:val="24"/>
        </w:rPr>
      </w:pPr>
      <w:r>
        <w:rPr>
          <w:rFonts w:hint="eastAsia" w:ascii="宋体" w:hAnsi="宋体" w:cs="宋体"/>
          <w:b w:val="0"/>
          <w:bCs/>
          <w:sz w:val="24"/>
          <w:szCs w:val="24"/>
          <w:lang w:eastAsia="zh-CN"/>
        </w:rPr>
        <w:t>（</w:t>
      </w:r>
      <w:r>
        <w:rPr>
          <w:rFonts w:hint="eastAsia" w:ascii="宋体" w:hAnsi="宋体" w:cs="宋体"/>
          <w:b w:val="0"/>
          <w:bCs/>
          <w:sz w:val="24"/>
          <w:szCs w:val="24"/>
          <w:lang w:val="en-US" w:eastAsia="zh-CN"/>
        </w:rPr>
        <w:t>5</w:t>
      </w:r>
      <w:r>
        <w:rPr>
          <w:rFonts w:hint="eastAsia" w:ascii="宋体" w:hAnsi="宋体" w:cs="宋体"/>
          <w:b w:val="0"/>
          <w:bCs/>
          <w:sz w:val="24"/>
          <w:szCs w:val="24"/>
          <w:lang w:eastAsia="zh-CN"/>
        </w:rPr>
        <w:t>）</w:t>
      </w:r>
      <w:r>
        <w:rPr>
          <w:rFonts w:hint="eastAsia" w:ascii="宋体" w:hAnsi="宋体" w:cs="宋体"/>
          <w:b w:val="0"/>
          <w:bCs/>
          <w:sz w:val="24"/>
          <w:szCs w:val="24"/>
        </w:rPr>
        <w:t>赛后数据报送：赛后按照世界田联和中国田协要求，在规定时间内及时报送相关数据或材料。​</w:t>
      </w:r>
    </w:p>
    <w:p w14:paraId="6362A53D">
      <w:pPr>
        <w:spacing w:beforeLines="0" w:afterLines="0" w:line="360" w:lineRule="auto"/>
        <w:ind w:firstLine="241" w:firstLineChars="100"/>
        <w:outlineLvl w:val="9"/>
        <w:rPr>
          <w:rFonts w:hint="eastAsia" w:ascii="宋体" w:hAnsi="宋体" w:cs="宋体"/>
          <w:b/>
          <w:sz w:val="24"/>
          <w:szCs w:val="24"/>
        </w:rPr>
      </w:pPr>
      <w:r>
        <w:rPr>
          <w:rFonts w:hint="eastAsia" w:ascii="宋体" w:hAnsi="宋体" w:cs="宋体"/>
          <w:b/>
          <w:sz w:val="24"/>
          <w:szCs w:val="24"/>
        </w:rPr>
        <w:t>2.风险评估及赛事陈述</w:t>
      </w:r>
    </w:p>
    <w:p w14:paraId="7B9EE30F">
      <w:pPr>
        <w:keepNext w:val="0"/>
        <w:keepLines w:val="0"/>
        <w:pageBreakBefore w:val="0"/>
        <w:widowControl w:val="0"/>
        <w:kinsoku/>
        <w:wordWrap/>
        <w:overflowPunct/>
        <w:topLinePunct w:val="0"/>
        <w:autoSpaceDE/>
        <w:autoSpaceDN/>
        <w:bidi w:val="0"/>
        <w:adjustRightInd/>
        <w:snapToGrid/>
        <w:spacing w:beforeLines="0" w:afterLines="0" w:line="360" w:lineRule="auto"/>
        <w:ind w:firstLine="240" w:firstLineChars="100"/>
        <w:textAlignment w:val="auto"/>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（1）风险评估：对赛事进行风险评估，获得有资质单位出具的风险评估报告；</w:t>
      </w:r>
    </w:p>
    <w:p w14:paraId="2F69284B">
      <w:pPr>
        <w:keepNext w:val="0"/>
        <w:keepLines w:val="0"/>
        <w:pageBreakBefore w:val="0"/>
        <w:widowControl w:val="0"/>
        <w:kinsoku/>
        <w:wordWrap/>
        <w:overflowPunct/>
        <w:topLinePunct w:val="0"/>
        <w:autoSpaceDE/>
        <w:autoSpaceDN/>
        <w:bidi w:val="0"/>
        <w:adjustRightInd/>
        <w:snapToGrid/>
        <w:spacing w:beforeLines="0" w:afterLines="0" w:line="360" w:lineRule="auto"/>
        <w:ind w:firstLine="240" w:firstLineChars="100"/>
        <w:textAlignment w:val="auto"/>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（2）赛事陈述：申报通过中国田径协会、江苏省体育局组织的赛事陈述，并根据相关意见建议整改到位。</w:t>
      </w:r>
    </w:p>
    <w:p w14:paraId="5BC51C95">
      <w:pPr>
        <w:spacing w:beforeLines="0" w:afterLines="0" w:line="360" w:lineRule="auto"/>
        <w:ind w:firstLine="241" w:firstLineChars="100"/>
        <w:outlineLvl w:val="9"/>
        <w:rPr>
          <w:rFonts w:hint="eastAsia" w:ascii="宋体" w:hAnsi="宋体" w:cs="宋体"/>
          <w:b/>
          <w:sz w:val="24"/>
          <w:szCs w:val="24"/>
        </w:rPr>
      </w:pPr>
      <w:r>
        <w:rPr>
          <w:rFonts w:hint="eastAsia" w:ascii="宋体" w:hAnsi="宋体" w:cs="宋体"/>
          <w:b/>
          <w:sz w:val="24"/>
          <w:szCs w:val="24"/>
        </w:rPr>
        <w:t>3.赛事报名费用</w:t>
      </w:r>
    </w:p>
    <w:p w14:paraId="008C58AE">
      <w:pPr>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赛事报名费用：报名费用由</w:t>
      </w:r>
      <w:r>
        <w:rPr>
          <w:rFonts w:hint="eastAsia" w:ascii="宋体" w:hAnsi="宋体" w:cs="宋体"/>
          <w:sz w:val="24"/>
          <w:szCs w:val="24"/>
          <w:lang w:eastAsia="zh-CN"/>
        </w:rPr>
        <w:t>成交单位</w:t>
      </w:r>
      <w:r>
        <w:rPr>
          <w:rFonts w:hint="eastAsia" w:ascii="宋体" w:hAnsi="宋体" w:cs="宋体"/>
          <w:sz w:val="24"/>
          <w:szCs w:val="24"/>
        </w:rPr>
        <w:t>收取，归属</w:t>
      </w:r>
      <w:r>
        <w:rPr>
          <w:rFonts w:hint="eastAsia" w:ascii="宋体" w:hAnsi="宋体" w:cs="宋体"/>
          <w:sz w:val="24"/>
          <w:szCs w:val="24"/>
          <w:lang w:eastAsia="zh-CN"/>
        </w:rPr>
        <w:t>成交单位</w:t>
      </w:r>
      <w:r>
        <w:rPr>
          <w:rFonts w:hint="eastAsia" w:ascii="宋体" w:hAnsi="宋体" w:cs="宋体"/>
          <w:sz w:val="24"/>
          <w:szCs w:val="24"/>
        </w:rPr>
        <w:t>，由</w:t>
      </w:r>
      <w:r>
        <w:rPr>
          <w:rFonts w:hint="eastAsia" w:ascii="宋体" w:hAnsi="宋体" w:cs="宋体"/>
          <w:sz w:val="24"/>
          <w:szCs w:val="24"/>
          <w:lang w:eastAsia="zh-CN"/>
        </w:rPr>
        <w:t>成交单位</w:t>
      </w:r>
      <w:r>
        <w:rPr>
          <w:rFonts w:hint="eastAsia" w:ascii="宋体" w:hAnsi="宋体" w:cs="宋体"/>
          <w:sz w:val="24"/>
          <w:szCs w:val="24"/>
        </w:rPr>
        <w:t>合理安排补充赛事费用。</w:t>
      </w:r>
    </w:p>
    <w:p w14:paraId="72202BF5">
      <w:pPr>
        <w:spacing w:beforeLines="0" w:afterLines="0" w:line="360" w:lineRule="auto"/>
        <w:outlineLvl w:val="1"/>
        <w:rPr>
          <w:rFonts w:hint="eastAsia" w:ascii="宋体" w:hAnsi="宋体" w:cs="宋体"/>
          <w:b/>
          <w:sz w:val="24"/>
          <w:szCs w:val="24"/>
        </w:rPr>
      </w:pPr>
      <w:r>
        <w:rPr>
          <w:rFonts w:hint="eastAsia" w:ascii="宋体" w:hAnsi="宋体" w:cs="宋体"/>
          <w:b/>
          <w:sz w:val="24"/>
          <w:szCs w:val="24"/>
        </w:rPr>
        <w:t>（三）路线规划及起终点设置</w:t>
      </w:r>
    </w:p>
    <w:p w14:paraId="0901E010">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1.路线规划：符合世界田联精英标牌赛事和中国田协A1类赛事要求，起终点直线距离不超过总距离50％，起终点间海拔下降与赛道总距离的比例不超过千分之一，起点出发直段、终点冲刺直段不少于300米，经“B”级及以上资质丈量员丈量赛道出具丈量报告，并跟踪获取世界田联及AIMS认证后发放的丈量证书；</w:t>
      </w:r>
    </w:p>
    <w:p w14:paraId="75B71815">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2.起终点设置：起点需配备主席台、vip室、嘉宾室、嘉宾观摩区、检录区、更衣区、特邀选手准备区、大众选手热身区、领操台区、并在起点区域科学设置厕所比例，做好安全、医疗和保洁等保障工作。</w:t>
      </w:r>
    </w:p>
    <w:p w14:paraId="385EA176">
      <w:pPr>
        <w:spacing w:beforeLines="0" w:afterLines="0" w:line="360" w:lineRule="auto"/>
        <w:ind w:firstLine="240" w:firstLineChars="100"/>
        <w:rPr>
          <w:rFonts w:hint="eastAsia"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终点设置：终点需配备</w:t>
      </w:r>
      <w:r>
        <w:rPr>
          <w:rFonts w:hint="eastAsia" w:ascii="宋体" w:hAnsi="宋体" w:cs="宋体"/>
          <w:sz w:val="24"/>
          <w:szCs w:val="24"/>
          <w:lang w:val="en-US" w:eastAsia="zh-CN"/>
        </w:rPr>
        <w:t>新闻发布厅、</w:t>
      </w:r>
      <w:r>
        <w:rPr>
          <w:rFonts w:hint="eastAsia" w:ascii="宋体" w:hAnsi="宋体" w:cs="宋体"/>
          <w:sz w:val="24"/>
          <w:szCs w:val="24"/>
        </w:rPr>
        <w:t>兴奋剂检测室、VIP室、嘉宾室、医疗室、赛后控制中心、赛后指挥中心、男女更衣室、颁奖台、完赛包领取区、恢复区、拉伸区、存衣包领取区、媒体拍摄台</w:t>
      </w:r>
      <w:r>
        <w:rPr>
          <w:rFonts w:hint="eastAsia" w:ascii="宋体" w:hAnsi="宋体" w:cs="宋体"/>
          <w:sz w:val="24"/>
          <w:szCs w:val="24"/>
          <w:lang w:val="en-US" w:eastAsia="zh-CN"/>
        </w:rPr>
        <w:t>、特邀选手准备区、大众选手热身区台等</w:t>
      </w:r>
      <w:r>
        <w:rPr>
          <w:rFonts w:hint="eastAsia" w:ascii="宋体" w:hAnsi="宋体" w:cs="宋体"/>
          <w:sz w:val="24"/>
          <w:szCs w:val="24"/>
        </w:rPr>
        <w:t>，并在终点区域科学设置厕所比例，做好安全、医疗和保洁等保障工作。</w:t>
      </w:r>
    </w:p>
    <w:p w14:paraId="551955FE">
      <w:pPr>
        <w:spacing w:beforeLines="0" w:afterLines="0" w:line="360" w:lineRule="auto"/>
        <w:outlineLvl w:val="0"/>
        <w:rPr>
          <w:rFonts w:hint="eastAsia" w:ascii="宋体" w:hAnsi="宋体" w:cs="宋体"/>
          <w:b/>
          <w:sz w:val="24"/>
          <w:szCs w:val="24"/>
        </w:rPr>
      </w:pPr>
      <w:r>
        <w:rPr>
          <w:rFonts w:hint="eastAsia" w:ascii="宋体" w:hAnsi="宋体" w:cs="宋体"/>
          <w:b/>
          <w:sz w:val="24"/>
          <w:szCs w:val="24"/>
        </w:rPr>
        <w:t>四、项目实施方案及要求</w:t>
      </w:r>
    </w:p>
    <w:p w14:paraId="69BDD3BE">
      <w:pPr>
        <w:pStyle w:val="45"/>
        <w:tabs>
          <w:tab w:val="left" w:pos="567"/>
        </w:tabs>
        <w:spacing w:beforeLines="0" w:afterLines="0" w:line="360" w:lineRule="auto"/>
        <w:ind w:firstLine="0" w:firstLineChars="0"/>
        <w:outlineLvl w:val="1"/>
        <w:rPr>
          <w:rFonts w:hint="eastAsia" w:ascii="宋体" w:hAnsi="宋体" w:cs="宋体"/>
          <w:b/>
          <w:sz w:val="24"/>
          <w:szCs w:val="24"/>
        </w:rPr>
      </w:pPr>
      <w:r>
        <w:rPr>
          <w:rFonts w:hint="eastAsia" w:ascii="宋体" w:hAnsi="宋体" w:cs="宋体"/>
          <w:b/>
          <w:kern w:val="2"/>
          <w:sz w:val="24"/>
          <w:szCs w:val="24"/>
        </w:rPr>
        <w:t>（一）赛事组织</w:t>
      </w:r>
    </w:p>
    <w:p w14:paraId="6EF0CC38">
      <w:pPr>
        <w:spacing w:beforeLines="0" w:afterLines="0" w:line="360" w:lineRule="auto"/>
        <w:ind w:firstLine="240" w:firstLineChars="100"/>
        <w:rPr>
          <w:rFonts w:hint="eastAsia" w:ascii="宋体" w:hAnsi="宋体" w:cs="宋体"/>
          <w:sz w:val="24"/>
          <w:szCs w:val="24"/>
        </w:rPr>
      </w:pPr>
      <w:r>
        <w:rPr>
          <w:rFonts w:hint="eastAsia" w:ascii="宋体" w:hAnsi="宋体" w:cs="宋体"/>
          <w:kern w:val="2"/>
          <w:sz w:val="24"/>
          <w:szCs w:val="24"/>
        </w:rPr>
        <w:t>1.结合本项目需求做好竞赛总体规程编制工作；</w:t>
      </w:r>
    </w:p>
    <w:p w14:paraId="3886CAE6">
      <w:pPr>
        <w:spacing w:beforeLines="0" w:afterLines="0" w:line="360" w:lineRule="auto"/>
        <w:ind w:firstLine="240" w:firstLineChars="100"/>
        <w:rPr>
          <w:rFonts w:hint="eastAsia" w:ascii="宋体" w:hAnsi="宋体" w:cs="宋体"/>
          <w:sz w:val="24"/>
          <w:szCs w:val="24"/>
        </w:rPr>
      </w:pPr>
      <w:r>
        <w:rPr>
          <w:rFonts w:hint="eastAsia" w:ascii="宋体" w:hAnsi="宋体" w:cs="宋体"/>
          <w:kern w:val="2"/>
          <w:sz w:val="24"/>
          <w:szCs w:val="24"/>
        </w:rPr>
        <w:t>2.赛事报名、抽签：</w:t>
      </w:r>
    </w:p>
    <w:p w14:paraId="7E28421D">
      <w:pPr>
        <w:spacing w:beforeLines="0" w:afterLines="0" w:line="360" w:lineRule="auto"/>
        <w:rPr>
          <w:rFonts w:hint="eastAsia" w:ascii="宋体" w:hAnsi="宋体" w:cs="宋体"/>
          <w:sz w:val="24"/>
          <w:szCs w:val="24"/>
        </w:rPr>
      </w:pPr>
      <w:r>
        <w:rPr>
          <w:rFonts w:hint="eastAsia" w:ascii="宋体" w:hAnsi="宋体" w:cs="宋体"/>
          <w:kern w:val="2"/>
          <w:sz w:val="24"/>
          <w:szCs w:val="24"/>
        </w:rPr>
        <w:t>制定赛事报名及抽签专项方案，内容至少包括:</w:t>
      </w:r>
    </w:p>
    <w:p w14:paraId="61A0586A">
      <w:pPr>
        <w:spacing w:beforeLines="0" w:afterLines="0" w:line="360" w:lineRule="auto"/>
        <w:ind w:firstLine="240" w:firstLineChars="100"/>
        <w:rPr>
          <w:rFonts w:hint="eastAsia" w:ascii="宋体" w:hAnsi="宋体" w:cs="宋体"/>
          <w:sz w:val="24"/>
          <w:szCs w:val="24"/>
        </w:rPr>
      </w:pPr>
      <w:r>
        <w:rPr>
          <w:rFonts w:hint="eastAsia" w:ascii="宋体" w:hAnsi="宋体" w:cs="宋体"/>
          <w:kern w:val="2"/>
          <w:sz w:val="24"/>
          <w:szCs w:val="24"/>
        </w:rPr>
        <w:t>（1）“西马”官方平台更新维护：做好官方平台视觉设计，历年选手信息维护，确保数据安全完整；</w:t>
      </w:r>
    </w:p>
    <w:p w14:paraId="545FB082">
      <w:pPr>
        <w:spacing w:beforeLines="0" w:afterLines="0" w:line="360" w:lineRule="auto"/>
        <w:ind w:firstLine="240" w:firstLineChars="100"/>
        <w:rPr>
          <w:rFonts w:hint="eastAsia" w:ascii="宋体" w:hAnsi="宋体" w:cs="宋体"/>
          <w:sz w:val="24"/>
          <w:szCs w:val="24"/>
        </w:rPr>
      </w:pPr>
      <w:r>
        <w:rPr>
          <w:rFonts w:hint="eastAsia" w:ascii="宋体" w:hAnsi="宋体" w:cs="宋体"/>
          <w:kern w:val="2"/>
          <w:sz w:val="24"/>
          <w:szCs w:val="24"/>
        </w:rPr>
        <w:t>（2）报名须知：编写报名须知，包括但不限于报名时间、费用、报名方式、参赛要求、抽签办法、免签规则、抽签时间、缴费时间等，报组委会审定后发布；</w:t>
      </w:r>
    </w:p>
    <w:p w14:paraId="6E435A32">
      <w:pPr>
        <w:spacing w:beforeLines="0" w:afterLines="0" w:line="360" w:lineRule="auto"/>
        <w:ind w:firstLine="240" w:firstLineChars="100"/>
        <w:rPr>
          <w:rFonts w:hint="eastAsia" w:ascii="宋体" w:hAnsi="宋体" w:cs="宋体"/>
          <w:sz w:val="24"/>
          <w:szCs w:val="24"/>
        </w:rPr>
      </w:pPr>
      <w:r>
        <w:rPr>
          <w:rFonts w:hint="eastAsia" w:ascii="宋体" w:hAnsi="宋体" w:cs="宋体"/>
          <w:kern w:val="2"/>
          <w:sz w:val="24"/>
          <w:szCs w:val="24"/>
        </w:rPr>
        <w:t>（3）客服工作：做好赛事期间客服工作，包括电话、邮箱、官方账号（官网、公众号、抖音、微博）等，制定客服工作人员统一答复口径，报组委会审定后执行。</w:t>
      </w:r>
    </w:p>
    <w:p w14:paraId="2E4A3037">
      <w:pPr>
        <w:spacing w:beforeLines="0" w:afterLines="0" w:line="360" w:lineRule="auto"/>
        <w:ind w:firstLine="240" w:firstLineChars="100"/>
        <w:rPr>
          <w:rFonts w:hint="eastAsia" w:ascii="宋体" w:hAnsi="宋体" w:cs="宋体"/>
          <w:sz w:val="24"/>
          <w:szCs w:val="24"/>
        </w:rPr>
      </w:pPr>
      <w:r>
        <w:rPr>
          <w:rFonts w:hint="eastAsia" w:ascii="宋体" w:hAnsi="宋体" w:cs="宋体"/>
          <w:kern w:val="2"/>
          <w:sz w:val="24"/>
          <w:szCs w:val="24"/>
        </w:rPr>
        <w:t>（4）配合组委会及时做好比赛期间数据筛查审核和整理工作（包括但不限于报名、抽签、装备领取、参赛情况、完赛情况等）；</w:t>
      </w:r>
    </w:p>
    <w:p w14:paraId="2D9DC6E4">
      <w:pPr>
        <w:spacing w:beforeLines="0" w:afterLines="0" w:line="360" w:lineRule="auto"/>
        <w:ind w:firstLine="240" w:firstLineChars="100"/>
        <w:rPr>
          <w:rFonts w:hint="eastAsia" w:ascii="宋体" w:hAnsi="宋体" w:cs="宋体"/>
          <w:sz w:val="24"/>
          <w:szCs w:val="24"/>
        </w:rPr>
      </w:pPr>
      <w:r>
        <w:rPr>
          <w:rFonts w:hint="eastAsia" w:ascii="宋体" w:hAnsi="宋体" w:cs="宋体"/>
          <w:kern w:val="2"/>
          <w:sz w:val="24"/>
          <w:szCs w:val="24"/>
        </w:rPr>
        <w:t>（5）手机短信相关提示：负责提供报名、领物、比赛、天气、成绩等赛事全流程信息提示服务；</w:t>
      </w:r>
    </w:p>
    <w:p w14:paraId="1D1BBFAE">
      <w:pPr>
        <w:spacing w:beforeLines="0" w:afterLines="0" w:line="360" w:lineRule="auto"/>
        <w:ind w:firstLine="240" w:firstLineChars="100"/>
        <w:rPr>
          <w:rFonts w:hint="eastAsia" w:ascii="宋体" w:hAnsi="宋体" w:cs="宋体"/>
          <w:sz w:val="24"/>
          <w:szCs w:val="24"/>
        </w:rPr>
      </w:pPr>
      <w:r>
        <w:rPr>
          <w:rFonts w:hint="eastAsia" w:ascii="宋体" w:hAnsi="宋体" w:cs="宋体"/>
          <w:kern w:val="2"/>
          <w:sz w:val="24"/>
          <w:szCs w:val="24"/>
        </w:rPr>
        <w:t>3.计时设备：</w:t>
      </w:r>
      <w:r>
        <w:rPr>
          <w:rFonts w:hint="eastAsia" w:ascii="宋体" w:hAnsi="宋体" w:cs="宋体"/>
          <w:sz w:val="24"/>
          <w:szCs w:val="24"/>
        </w:rPr>
        <w:t>提供符合比赛要求的感应器计时系统和参赛选手感应计时芯片。</w:t>
      </w:r>
    </w:p>
    <w:p w14:paraId="5BD6A5AF">
      <w:pPr>
        <w:spacing w:beforeLines="0" w:afterLines="0" w:line="360" w:lineRule="auto"/>
        <w:ind w:firstLine="240" w:firstLineChars="100"/>
        <w:rPr>
          <w:rFonts w:hint="eastAsia" w:ascii="宋体" w:hAnsi="宋体" w:cs="宋体"/>
          <w:sz w:val="24"/>
          <w:szCs w:val="24"/>
        </w:rPr>
      </w:pPr>
      <w:r>
        <w:rPr>
          <w:rFonts w:hint="eastAsia" w:ascii="宋体" w:hAnsi="宋体" w:cs="宋体"/>
          <w:kern w:val="2"/>
          <w:sz w:val="24"/>
          <w:szCs w:val="24"/>
        </w:rPr>
        <w:t xml:space="preserve">4.赛后成绩公布：选手成绩统计，官网公示、短信提示、制作成绩册，按照世界田联和中国田协的最新要求，在规定的时间内上报赛事的相关报告和数据； </w:t>
      </w:r>
    </w:p>
    <w:p w14:paraId="57C664A8">
      <w:pPr>
        <w:spacing w:beforeLines="0" w:afterLines="0" w:line="360" w:lineRule="auto"/>
        <w:ind w:firstLine="240" w:firstLineChars="100"/>
        <w:rPr>
          <w:rFonts w:hint="eastAsia" w:ascii="宋体" w:hAnsi="宋体" w:cs="宋体"/>
          <w:sz w:val="24"/>
          <w:szCs w:val="24"/>
        </w:rPr>
      </w:pPr>
      <w:r>
        <w:rPr>
          <w:rFonts w:hint="eastAsia" w:ascii="宋体" w:hAnsi="宋体" w:cs="宋体"/>
          <w:kern w:val="2"/>
          <w:sz w:val="24"/>
          <w:szCs w:val="24"/>
        </w:rPr>
        <w:t>5.比赛录像：分段计时点、折返点、起终点设置比赛录像，记录比赛全过程；</w:t>
      </w:r>
    </w:p>
    <w:p w14:paraId="5ECB8740">
      <w:pPr>
        <w:spacing w:beforeLines="0" w:afterLines="0" w:line="360" w:lineRule="auto"/>
        <w:ind w:firstLine="240" w:firstLineChars="100"/>
        <w:rPr>
          <w:rFonts w:hint="eastAsia" w:ascii="宋体" w:hAnsi="宋体" w:cs="宋体"/>
          <w:sz w:val="24"/>
          <w:szCs w:val="24"/>
        </w:rPr>
      </w:pPr>
      <w:r>
        <w:rPr>
          <w:rFonts w:hint="eastAsia" w:ascii="宋体" w:hAnsi="宋体" w:cs="宋体"/>
          <w:kern w:val="2"/>
          <w:sz w:val="24"/>
          <w:szCs w:val="24"/>
        </w:rPr>
        <w:t>6.赛后选手服务：提供参赛选手赛后成绩查询、成绩证书下载、个人专属参赛照片及视频材料下载服务；</w:t>
      </w:r>
    </w:p>
    <w:p w14:paraId="78E029AE">
      <w:pPr>
        <w:spacing w:beforeLines="0" w:afterLines="0" w:line="360" w:lineRule="auto"/>
        <w:ind w:firstLine="240" w:firstLineChars="100"/>
        <w:rPr>
          <w:rFonts w:hint="eastAsia" w:ascii="宋体" w:hAnsi="宋体" w:cs="宋体"/>
          <w:sz w:val="24"/>
          <w:szCs w:val="24"/>
        </w:rPr>
      </w:pPr>
      <w:r>
        <w:rPr>
          <w:rFonts w:hint="eastAsia" w:ascii="宋体" w:hAnsi="宋体" w:cs="宋体"/>
          <w:kern w:val="2"/>
          <w:sz w:val="24"/>
          <w:szCs w:val="24"/>
        </w:rPr>
        <w:t>7.配速员招募：招募相应配属段的配速员；</w:t>
      </w:r>
    </w:p>
    <w:p w14:paraId="46C9424B">
      <w:pPr>
        <w:spacing w:beforeLines="0" w:afterLines="0" w:line="360" w:lineRule="auto"/>
        <w:ind w:firstLine="240" w:firstLineChars="100"/>
        <w:rPr>
          <w:rFonts w:hint="eastAsia" w:ascii="宋体" w:hAnsi="宋体" w:cs="宋体"/>
          <w:sz w:val="24"/>
          <w:szCs w:val="24"/>
        </w:rPr>
      </w:pPr>
      <w:r>
        <w:rPr>
          <w:rFonts w:hint="eastAsia" w:ascii="宋体" w:hAnsi="宋体" w:cs="宋体"/>
          <w:kern w:val="2"/>
          <w:sz w:val="24"/>
          <w:szCs w:val="24"/>
        </w:rPr>
        <w:t>8.赛事资料制作：做好秩序册、参赛指南、成绩册、志愿者手册、技术官员手册等赛事相关手册制作；</w:t>
      </w:r>
    </w:p>
    <w:p w14:paraId="301DCAC3">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9.赛事总结评估：结合电信、移动、联通等运营商提供的大数据，对“西马”赛事专业度、贡献度和关注度等方面进行全面监测分析，做好赛事总结复盘，出具评估报告（需第三方专业权威机构出具）。</w:t>
      </w:r>
    </w:p>
    <w:p w14:paraId="57254ACF">
      <w:pPr>
        <w:spacing w:beforeLines="0" w:afterLines="0" w:line="360" w:lineRule="auto"/>
        <w:rPr>
          <w:rFonts w:hint="eastAsia" w:ascii="宋体" w:hAnsi="宋体" w:cs="宋体"/>
          <w:kern w:val="2"/>
          <w:sz w:val="24"/>
          <w:szCs w:val="24"/>
        </w:rPr>
      </w:pPr>
      <w:r>
        <w:rPr>
          <w:rFonts w:hint="eastAsia" w:ascii="宋体" w:hAnsi="宋体" w:cs="宋体"/>
          <w:b/>
          <w:kern w:val="2"/>
          <w:sz w:val="24"/>
          <w:szCs w:val="24"/>
        </w:rPr>
        <w:t>（二）组织机构配备</w:t>
      </w:r>
    </w:p>
    <w:p w14:paraId="655DB909">
      <w:pPr>
        <w:spacing w:beforeLines="0" w:afterLines="0" w:line="360" w:lineRule="auto"/>
        <w:ind w:firstLine="240" w:firstLineChars="100"/>
        <w:rPr>
          <w:rFonts w:hint="eastAsia" w:ascii="宋体" w:hAnsi="宋体" w:cs="宋体"/>
          <w:sz w:val="24"/>
          <w:szCs w:val="24"/>
        </w:rPr>
      </w:pPr>
      <w:r>
        <w:rPr>
          <w:rFonts w:hint="eastAsia" w:ascii="宋体" w:hAnsi="宋体" w:cs="宋体"/>
          <w:kern w:val="2"/>
          <w:sz w:val="24"/>
          <w:szCs w:val="24"/>
        </w:rPr>
        <w:t>1.投标单位应结合本项目服务要求配备竞赛部、医疗部、宣传部、志愿者管理部门等职能机构。</w:t>
      </w:r>
    </w:p>
    <w:p w14:paraId="02DC76A8">
      <w:pPr>
        <w:spacing w:beforeLines="0" w:afterLines="0" w:line="360" w:lineRule="auto"/>
        <w:ind w:firstLine="240" w:firstLineChars="100"/>
        <w:rPr>
          <w:rFonts w:hint="eastAsia" w:ascii="宋体" w:hAnsi="宋体"/>
          <w:sz w:val="24"/>
          <w:szCs w:val="24"/>
        </w:rPr>
      </w:pPr>
      <w:r>
        <w:rPr>
          <w:rFonts w:hint="eastAsia" w:ascii="宋体" w:hAnsi="宋体" w:cs="宋体"/>
          <w:kern w:val="2"/>
          <w:sz w:val="24"/>
          <w:szCs w:val="24"/>
        </w:rPr>
        <w:t>2.为确保赛事项目顺利实施，投标单位拟投入本项目团队成员应不少于15人，其中应配备以下人员：</w:t>
      </w:r>
    </w:p>
    <w:p w14:paraId="789FC8EC">
      <w:pPr>
        <w:spacing w:beforeLines="0" w:afterLines="0" w:line="360" w:lineRule="auto"/>
        <w:ind w:firstLine="240" w:firstLineChars="100"/>
        <w:rPr>
          <w:rFonts w:hint="eastAsia" w:ascii="宋体" w:hAnsi="宋体" w:cs="宋体"/>
          <w:sz w:val="24"/>
          <w:szCs w:val="24"/>
        </w:rPr>
      </w:pPr>
      <w:r>
        <w:rPr>
          <w:rFonts w:hint="eastAsia" w:ascii="宋体" w:hAnsi="宋体" w:cs="宋体"/>
          <w:kern w:val="2"/>
          <w:sz w:val="24"/>
          <w:szCs w:val="24"/>
        </w:rPr>
        <w:t>（1）参与过中国田协举办的马拉松竞赛组织</w:t>
      </w:r>
      <w:r>
        <w:rPr>
          <w:rFonts w:hint="eastAsia" w:ascii="宋体" w:hAnsi="宋体" w:cs="宋体"/>
          <w:sz w:val="24"/>
          <w:szCs w:val="24"/>
        </w:rPr>
        <w:t>管理</w:t>
      </w:r>
      <w:r>
        <w:rPr>
          <w:rFonts w:hint="eastAsia" w:ascii="宋体" w:hAnsi="宋体" w:cs="宋体"/>
          <w:kern w:val="2"/>
          <w:sz w:val="24"/>
          <w:szCs w:val="24"/>
        </w:rPr>
        <w:t>培训并取得相应合格证书的人员；</w:t>
      </w:r>
    </w:p>
    <w:p w14:paraId="6A7410B0">
      <w:pPr>
        <w:pStyle w:val="45"/>
        <w:tabs>
          <w:tab w:val="left" w:pos="567"/>
        </w:tabs>
        <w:spacing w:beforeLines="0" w:afterLines="0" w:line="360" w:lineRule="auto"/>
        <w:ind w:firstLine="240"/>
        <w:rPr>
          <w:rFonts w:hint="eastAsia" w:ascii="宋体" w:hAnsi="宋体" w:cs="宋体"/>
          <w:sz w:val="24"/>
          <w:szCs w:val="24"/>
        </w:rPr>
      </w:pPr>
      <w:r>
        <w:rPr>
          <w:rFonts w:hint="eastAsia" w:ascii="宋体" w:hAnsi="宋体" w:cs="宋体"/>
          <w:sz w:val="24"/>
          <w:szCs w:val="24"/>
        </w:rPr>
        <w:t>（2）参与过中国田协组织的马拉松路跑赛事医疗体系建构与急救管理专题培训并取得相应合格证书的人员；</w:t>
      </w:r>
    </w:p>
    <w:p w14:paraId="1DAD9B5B">
      <w:pPr>
        <w:spacing w:beforeLines="0" w:afterLines="0" w:line="360" w:lineRule="auto"/>
        <w:ind w:firstLine="240" w:firstLineChars="100"/>
        <w:rPr>
          <w:rFonts w:hint="eastAsia" w:ascii="宋体" w:hAnsi="宋体" w:eastAsia="宋体" w:cs="宋体"/>
          <w:sz w:val="24"/>
          <w:szCs w:val="24"/>
          <w:lang w:eastAsia="zh-CN"/>
        </w:rPr>
      </w:pPr>
      <w:r>
        <w:rPr>
          <w:rFonts w:hint="eastAsia" w:ascii="宋体" w:hAnsi="宋体" w:cs="宋体"/>
          <w:kern w:val="2"/>
          <w:sz w:val="24"/>
          <w:szCs w:val="24"/>
        </w:rPr>
        <w:t>（</w:t>
      </w:r>
      <w:r>
        <w:rPr>
          <w:rFonts w:hint="eastAsia" w:ascii="宋体" w:hAnsi="宋体" w:cs="宋体"/>
          <w:sz w:val="24"/>
          <w:szCs w:val="24"/>
        </w:rPr>
        <w:t>3</w:t>
      </w:r>
      <w:r>
        <w:rPr>
          <w:rFonts w:hint="eastAsia" w:ascii="宋体" w:hAnsi="宋体" w:cs="宋体"/>
          <w:kern w:val="2"/>
          <w:sz w:val="24"/>
          <w:szCs w:val="24"/>
        </w:rPr>
        <w:t>）参与过中国田协举办的马拉松路跑赛事媒体传播或舆情管理专题培训并取得相应合格证书的人员</w:t>
      </w:r>
      <w:r>
        <w:rPr>
          <w:rFonts w:hint="eastAsia" w:ascii="宋体" w:hAnsi="宋体" w:cs="宋体"/>
          <w:kern w:val="2"/>
          <w:sz w:val="24"/>
          <w:szCs w:val="24"/>
          <w:lang w:eastAsia="zh-CN"/>
        </w:rPr>
        <w:t>。</w:t>
      </w:r>
    </w:p>
    <w:p w14:paraId="47AB37D2">
      <w:pPr>
        <w:pStyle w:val="45"/>
        <w:tabs>
          <w:tab w:val="left" w:pos="567"/>
        </w:tabs>
        <w:spacing w:beforeLines="0" w:afterLines="0" w:line="360" w:lineRule="auto"/>
        <w:ind w:firstLine="241"/>
        <w:outlineLvl w:val="1"/>
        <w:rPr>
          <w:rFonts w:hint="eastAsia" w:ascii="宋体" w:hAnsi="宋体" w:cs="宋体"/>
          <w:b/>
          <w:sz w:val="24"/>
          <w:szCs w:val="24"/>
        </w:rPr>
      </w:pPr>
      <w:r>
        <w:rPr>
          <w:rFonts w:hint="eastAsia" w:ascii="宋体" w:hAnsi="宋体" w:cs="宋体"/>
          <w:b/>
          <w:kern w:val="2"/>
          <w:sz w:val="24"/>
          <w:szCs w:val="24"/>
        </w:rPr>
        <w:t>（三）宣传推广</w:t>
      </w:r>
      <w:r>
        <w:rPr>
          <w:rFonts w:hint="eastAsia" w:ascii="MS Gothic" w:hAnsi="MS Gothic" w:eastAsia="MS Gothic" w:cs="MS Gothic"/>
          <w:b/>
          <w:kern w:val="2"/>
          <w:sz w:val="24"/>
          <w:szCs w:val="24"/>
        </w:rPr>
        <w:t>​</w:t>
      </w:r>
    </w:p>
    <w:p w14:paraId="6FA23FF6">
      <w:pPr>
        <w:spacing w:beforeLines="0" w:afterLines="0" w:line="360" w:lineRule="auto"/>
        <w:ind w:firstLine="720" w:firstLineChars="300"/>
        <w:rPr>
          <w:rFonts w:hint="eastAsia" w:ascii="宋体" w:hAnsi="宋体" w:cs="宋体"/>
          <w:sz w:val="24"/>
          <w:szCs w:val="24"/>
        </w:rPr>
      </w:pPr>
      <w:r>
        <w:rPr>
          <w:rFonts w:hint="eastAsia" w:ascii="宋体" w:hAnsi="宋体" w:cs="宋体"/>
          <w:sz w:val="24"/>
          <w:szCs w:val="24"/>
        </w:rPr>
        <w:t>宣传方案制定：负责制定宣传推广实施方案，整合各类宣传资源，构建形式多样、全方位、多角度的宣传格局。通过网络、自媒体、官方媒体、海报及其他形式，全方位宣传赛事，展现常州的文化底蕴、城市风光、优质产品和经济社会发展成果。</w:t>
      </w:r>
      <w:r>
        <w:rPr>
          <w:rFonts w:hint="eastAsia" w:ascii="MS Gothic" w:hAnsi="MS Gothic" w:eastAsia="MS Gothic" w:cs="MS Gothic"/>
          <w:sz w:val="24"/>
          <w:szCs w:val="24"/>
        </w:rPr>
        <w:t>​</w:t>
      </w:r>
    </w:p>
    <w:p w14:paraId="5CDE04F7">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1.新闻发布会协助：负责协助组委会召开新闻发布会，提前准备相关资料，组织媒体报道，提升赛事关注度。</w:t>
      </w:r>
    </w:p>
    <w:p w14:paraId="00EA4671">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2.赛事平台运营：负责赛事官方网站、微信公众号等的搭建运营。</w:t>
      </w:r>
      <w:r>
        <w:rPr>
          <w:rFonts w:hint="eastAsia" w:ascii="MS Gothic" w:hAnsi="MS Gothic" w:eastAsia="MS Gothic" w:cs="MS Gothic"/>
          <w:kern w:val="2"/>
          <w:sz w:val="24"/>
          <w:szCs w:val="24"/>
        </w:rPr>
        <w:t>​</w:t>
      </w:r>
    </w:p>
    <w:p w14:paraId="23DB9409">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3.赛事信息编辑发布：负责编辑发布赛事信息，包括新闻通稿、赛事介绍、线路说明、竞赛规程、报名信息、成绩公布、宣传视频等。</w:t>
      </w:r>
      <w:r>
        <w:rPr>
          <w:rFonts w:hint="eastAsia" w:ascii="MS Gothic" w:hAnsi="MS Gothic" w:eastAsia="MS Gothic" w:cs="MS Gothic"/>
          <w:kern w:val="2"/>
          <w:sz w:val="24"/>
          <w:szCs w:val="24"/>
        </w:rPr>
        <w:t>​</w:t>
      </w:r>
    </w:p>
    <w:p w14:paraId="5F26BEF7">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4.负责邀请不少于20家自媒体进行宣传报导。</w:t>
      </w:r>
      <w:r>
        <w:rPr>
          <w:rFonts w:hint="eastAsia" w:ascii="MS Gothic" w:hAnsi="MS Gothic" w:eastAsia="MS Gothic" w:cs="MS Gothic"/>
          <w:kern w:val="2"/>
          <w:sz w:val="24"/>
          <w:szCs w:val="24"/>
        </w:rPr>
        <w:t>​​</w:t>
      </w:r>
    </w:p>
    <w:p w14:paraId="44664BEF">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5.赛事配套活动组织：负责赛事的相关配套活动组织与开展。</w:t>
      </w:r>
      <w:r>
        <w:rPr>
          <w:rFonts w:hint="eastAsia" w:ascii="MS Gothic" w:hAnsi="MS Gothic" w:eastAsia="MS Gothic" w:cs="MS Gothic"/>
          <w:kern w:val="2"/>
          <w:sz w:val="24"/>
          <w:szCs w:val="24"/>
        </w:rPr>
        <w:t>​</w:t>
      </w:r>
    </w:p>
    <w:p w14:paraId="457B0791">
      <w:pPr>
        <w:pStyle w:val="281"/>
        <w:numPr>
          <w:ilvl w:val="0"/>
          <w:numId w:val="7"/>
        </w:numPr>
        <w:spacing w:beforeLines="0" w:afterLines="0" w:line="360" w:lineRule="auto"/>
        <w:outlineLvl w:val="1"/>
        <w:rPr>
          <w:rFonts w:hint="eastAsia" w:ascii="宋体" w:hAnsi="宋体" w:cs="宋体"/>
          <w:b/>
          <w:sz w:val="24"/>
          <w:szCs w:val="21"/>
        </w:rPr>
      </w:pPr>
      <w:r>
        <w:rPr>
          <w:rFonts w:hint="eastAsia" w:ascii="宋体" w:hAnsi="宋体" w:cs="宋体"/>
          <w:b/>
          <w:sz w:val="24"/>
          <w:szCs w:val="21"/>
        </w:rPr>
        <w:t>赛事安保</w:t>
      </w:r>
      <w:r>
        <w:rPr>
          <w:rFonts w:hint="eastAsia" w:ascii="MS Gothic" w:hAnsi="MS Gothic" w:eastAsia="MS Gothic" w:cs="MS Gothic"/>
          <w:b/>
          <w:sz w:val="24"/>
          <w:szCs w:val="21"/>
        </w:rPr>
        <w:t>​</w:t>
      </w:r>
    </w:p>
    <w:p w14:paraId="315A364B">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1.赛事报批工作：负责赛事活动相关报批工作。</w:t>
      </w:r>
      <w:r>
        <w:rPr>
          <w:rFonts w:hint="eastAsia" w:ascii="MS Gothic" w:hAnsi="MS Gothic" w:eastAsia="MS Gothic" w:cs="MS Gothic"/>
          <w:kern w:val="2"/>
          <w:sz w:val="24"/>
          <w:szCs w:val="24"/>
        </w:rPr>
        <w:t>​</w:t>
      </w:r>
    </w:p>
    <w:p w14:paraId="5BDE8B4B">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2.安保方案协助制定与落实：负责协助制定赛事安保工作方案和交通管制工作方案等，并确保方案有效落实。</w:t>
      </w:r>
      <w:r>
        <w:rPr>
          <w:rFonts w:hint="eastAsia" w:ascii="MS Gothic" w:hAnsi="MS Gothic" w:eastAsia="MS Gothic" w:cs="MS Gothic"/>
          <w:kern w:val="2"/>
          <w:sz w:val="24"/>
          <w:szCs w:val="24"/>
        </w:rPr>
        <w:t>​</w:t>
      </w:r>
    </w:p>
    <w:p w14:paraId="5182B5CF">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3.安保人员及设施配备：负责赛事安保人员、设施的配备。</w:t>
      </w:r>
      <w:r>
        <w:rPr>
          <w:rFonts w:hint="eastAsia" w:ascii="MS Gothic" w:hAnsi="MS Gothic" w:eastAsia="MS Gothic" w:cs="MS Gothic"/>
          <w:kern w:val="2"/>
          <w:sz w:val="24"/>
          <w:szCs w:val="24"/>
        </w:rPr>
        <w:t>​</w:t>
      </w:r>
    </w:p>
    <w:p w14:paraId="2F637C2E">
      <w:pPr>
        <w:spacing w:beforeLines="0" w:afterLines="0" w:line="360" w:lineRule="auto"/>
        <w:outlineLvl w:val="1"/>
        <w:rPr>
          <w:rFonts w:hint="eastAsia" w:ascii="宋体" w:hAnsi="宋体" w:cs="宋体"/>
          <w:b/>
          <w:sz w:val="24"/>
          <w:szCs w:val="24"/>
        </w:rPr>
      </w:pPr>
      <w:r>
        <w:rPr>
          <w:rFonts w:hint="eastAsia" w:ascii="宋体" w:hAnsi="宋体" w:cs="宋体"/>
          <w:b/>
          <w:sz w:val="24"/>
          <w:szCs w:val="24"/>
        </w:rPr>
        <w:t>（五）赛事医疗</w:t>
      </w:r>
      <w:r>
        <w:rPr>
          <w:rFonts w:hint="eastAsia" w:ascii="MS Gothic" w:hAnsi="MS Gothic" w:eastAsia="MS Gothic" w:cs="MS Gothic"/>
          <w:b/>
          <w:sz w:val="24"/>
          <w:szCs w:val="24"/>
        </w:rPr>
        <w:t>​</w:t>
      </w:r>
    </w:p>
    <w:p w14:paraId="4AC87C9E">
      <w:pPr>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医疗保障方案协助制定与落实：负责协助卫健委制定完善的赛事医疗保障工作方案，并确保方案切实执行。</w:t>
      </w:r>
      <w:r>
        <w:rPr>
          <w:rFonts w:hint="eastAsia" w:ascii="MS Gothic" w:hAnsi="MS Gothic" w:eastAsia="MS Gothic" w:cs="MS Gothic"/>
          <w:sz w:val="24"/>
          <w:szCs w:val="24"/>
        </w:rPr>
        <w:t>​</w:t>
      </w:r>
    </w:p>
    <w:p w14:paraId="0139CA73">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1.专业救援团队聘用：负责聘用专业第三方紧急救援团队保障赛事执行。</w:t>
      </w:r>
    </w:p>
    <w:p w14:paraId="56EFDC19">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2.AED 租用：负责赛事AED的租用，不少于40台。</w:t>
      </w:r>
    </w:p>
    <w:p w14:paraId="52602573">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3.医疗志愿者培训：负责医疗观察志愿者培训工作。</w:t>
      </w:r>
      <w:r>
        <w:rPr>
          <w:rFonts w:hint="eastAsia" w:ascii="MS Gothic" w:hAnsi="MS Gothic" w:eastAsia="MS Gothic" w:cs="MS Gothic"/>
          <w:kern w:val="2"/>
          <w:sz w:val="24"/>
          <w:szCs w:val="24"/>
        </w:rPr>
        <w:t>​</w:t>
      </w:r>
    </w:p>
    <w:p w14:paraId="2335ECEB">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4.保险购买：负责为运动员及保障人员购买人身意外险、防猝死险以及公共责任险。</w:t>
      </w:r>
    </w:p>
    <w:p w14:paraId="7BD76897">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5.赛事前后服务提供：负责提供赛事专业的赛前热身及赛后拉伸服务。</w:t>
      </w:r>
      <w:r>
        <w:rPr>
          <w:rFonts w:hint="eastAsia" w:ascii="MS Gothic" w:hAnsi="MS Gothic" w:eastAsia="MS Gothic" w:cs="MS Gothic"/>
          <w:kern w:val="2"/>
          <w:sz w:val="24"/>
          <w:szCs w:val="24"/>
        </w:rPr>
        <w:t>​</w:t>
      </w:r>
    </w:p>
    <w:p w14:paraId="656C400D">
      <w:pPr>
        <w:spacing w:beforeLines="0" w:afterLines="0" w:line="360" w:lineRule="auto"/>
        <w:outlineLvl w:val="1"/>
        <w:rPr>
          <w:rFonts w:hint="eastAsia" w:ascii="宋体" w:hAnsi="宋体" w:cs="宋体"/>
          <w:b/>
          <w:sz w:val="24"/>
          <w:szCs w:val="24"/>
        </w:rPr>
      </w:pPr>
      <w:r>
        <w:rPr>
          <w:rFonts w:hint="eastAsia" w:ascii="宋体" w:hAnsi="宋体" w:cs="宋体"/>
          <w:b/>
          <w:sz w:val="24"/>
          <w:szCs w:val="24"/>
        </w:rPr>
        <w:t>（六）赛事志愿者</w:t>
      </w:r>
      <w:r>
        <w:rPr>
          <w:rFonts w:hint="eastAsia" w:ascii="MS Gothic" w:hAnsi="MS Gothic" w:eastAsia="MS Gothic" w:cs="MS Gothic"/>
          <w:b/>
          <w:sz w:val="24"/>
          <w:szCs w:val="24"/>
        </w:rPr>
        <w:t>​</w:t>
      </w:r>
    </w:p>
    <w:p w14:paraId="64831429">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1.志愿者方案制定：负责赛事志愿者方案制定。</w:t>
      </w:r>
      <w:r>
        <w:rPr>
          <w:rFonts w:hint="eastAsia" w:ascii="MS Gothic" w:hAnsi="MS Gothic" w:eastAsia="MS Gothic" w:cs="MS Gothic"/>
          <w:kern w:val="2"/>
          <w:sz w:val="24"/>
          <w:szCs w:val="24"/>
        </w:rPr>
        <w:t>​</w:t>
      </w:r>
    </w:p>
    <w:p w14:paraId="70DE8947">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2.志愿者培训与管理：负责赛事志愿者培训、管理。</w:t>
      </w:r>
      <w:r>
        <w:rPr>
          <w:rFonts w:hint="eastAsia" w:ascii="MS Gothic" w:hAnsi="MS Gothic" w:eastAsia="MS Gothic" w:cs="MS Gothic"/>
          <w:kern w:val="2"/>
          <w:sz w:val="24"/>
          <w:szCs w:val="24"/>
        </w:rPr>
        <w:t>​</w:t>
      </w:r>
    </w:p>
    <w:p w14:paraId="350FC6FE">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3.志愿者物资提供：负责赛事志愿者服装、冷餐包、证件以及证书提供。</w:t>
      </w:r>
    </w:p>
    <w:p w14:paraId="3366AFFC">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4.志愿者接驳服务：负责赛事志愿者接驳服务。</w:t>
      </w:r>
      <w:r>
        <w:rPr>
          <w:rFonts w:hint="eastAsia" w:ascii="MS Gothic" w:hAnsi="MS Gothic" w:eastAsia="MS Gothic" w:cs="MS Gothic"/>
          <w:kern w:val="2"/>
          <w:sz w:val="24"/>
          <w:szCs w:val="24"/>
        </w:rPr>
        <w:t>​</w:t>
      </w:r>
    </w:p>
    <w:p w14:paraId="5868A5B8">
      <w:pPr>
        <w:spacing w:beforeLines="0" w:afterLines="0" w:line="360" w:lineRule="auto"/>
        <w:outlineLvl w:val="1"/>
        <w:rPr>
          <w:rFonts w:hint="eastAsia" w:ascii="宋体" w:hAnsi="宋体" w:cs="宋体"/>
          <w:b/>
          <w:sz w:val="24"/>
          <w:szCs w:val="24"/>
        </w:rPr>
      </w:pPr>
      <w:r>
        <w:rPr>
          <w:rFonts w:hint="eastAsia" w:ascii="宋体" w:hAnsi="宋体" w:cs="宋体"/>
          <w:b/>
          <w:sz w:val="24"/>
          <w:szCs w:val="24"/>
        </w:rPr>
        <w:t>（七）赛事场地布置</w:t>
      </w:r>
      <w:r>
        <w:rPr>
          <w:rFonts w:hint="eastAsia" w:ascii="MS Gothic" w:hAnsi="MS Gothic" w:eastAsia="MS Gothic" w:cs="MS Gothic"/>
          <w:b/>
          <w:sz w:val="24"/>
          <w:szCs w:val="24"/>
        </w:rPr>
        <w:t>​</w:t>
      </w:r>
    </w:p>
    <w:p w14:paraId="1C60B337">
      <w:pPr>
        <w:spacing w:beforeLines="0" w:afterLines="0" w:line="360" w:lineRule="auto"/>
        <w:ind w:firstLine="480" w:firstLineChars="200"/>
        <w:rPr>
          <w:rFonts w:hint="eastAsia" w:ascii="宋体" w:hAnsi="宋体" w:cs="宋体"/>
          <w:sz w:val="24"/>
          <w:szCs w:val="24"/>
        </w:rPr>
      </w:pPr>
      <w:r>
        <w:rPr>
          <w:rFonts w:hint="eastAsia" w:ascii="宋体" w:hAnsi="宋体" w:cs="宋体"/>
          <w:sz w:val="24"/>
          <w:szCs w:val="24"/>
        </w:rPr>
        <w:t>场地布置标准遵循：按照中国田协马拉松认证赛事标准要求进行赛道和场地布置。</w:t>
      </w:r>
    </w:p>
    <w:p w14:paraId="51B04072">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1.赛事起点布置：赛事起点布置包括但不限于主舞台、LED大屏、起点拱门、音响、起点检录区、嘉宾区、工作人员区、赛事指挥部、赛事更衣区、赛事存衣区、赛事A板、道旗、赛事铁马隔离、起点指引指示牌、起跑地贴等区域布置，营造热烈的起跑氛围。赛事终点布置：赛事终点布置包括但不限于颁奖舞台、终点拱门、赛后控制区、医疗区、指挥部、音响、道旗、A板、更衣区、取衣区、赛后拉伸区、赛事赞助商区、终点指引指示、终点隔离等布置，为选手提供完善的赛后服务。</w:t>
      </w:r>
    </w:p>
    <w:p w14:paraId="1293FF6E">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2.赛道布置：赛道布置包含但不限于补给点帐篷桌椅、按要求提供不同颜色桌布、医疗点、沿途赛道公里牌、指示牌、标识牌等赛道布置，保障选手在比赛过程中的补给和引导需求。</w:t>
      </w:r>
    </w:p>
    <w:p w14:paraId="6590322F">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3.赛前领物布置：赛前领物布置包含但不限于赛事领物区域规划及布置、指引标识标牌、姓名墙、拍照背景板等发包区布置，提升选手领物体验。</w:t>
      </w:r>
    </w:p>
    <w:p w14:paraId="5A6DA25C">
      <w:pPr>
        <w:pStyle w:val="281"/>
        <w:numPr>
          <w:ilvl w:val="0"/>
          <w:numId w:val="8"/>
        </w:numPr>
        <w:spacing w:beforeLines="0" w:afterLines="0" w:line="360" w:lineRule="auto"/>
        <w:outlineLvl w:val="1"/>
        <w:rPr>
          <w:rFonts w:hint="eastAsia" w:ascii="宋体" w:hAnsi="宋体" w:cs="宋体"/>
          <w:b/>
          <w:sz w:val="24"/>
          <w:szCs w:val="21"/>
        </w:rPr>
      </w:pPr>
      <w:r>
        <w:rPr>
          <w:rFonts w:hint="eastAsia" w:ascii="宋体" w:hAnsi="宋体" w:cs="宋体"/>
          <w:b/>
          <w:sz w:val="24"/>
          <w:szCs w:val="21"/>
        </w:rPr>
        <w:t>后勤保障</w:t>
      </w:r>
      <w:r>
        <w:rPr>
          <w:rFonts w:hint="eastAsia" w:ascii="MS Gothic" w:hAnsi="MS Gothic" w:eastAsia="MS Gothic" w:cs="MS Gothic"/>
          <w:b/>
          <w:sz w:val="24"/>
          <w:szCs w:val="21"/>
        </w:rPr>
        <w:t>​</w:t>
      </w:r>
    </w:p>
    <w:p w14:paraId="205FCE2C">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1.移动卫生间提供：按照田协标准提供满足赛事所需的移动卫生间。</w:t>
      </w:r>
      <w:r>
        <w:rPr>
          <w:rFonts w:hint="eastAsia" w:ascii="MS Gothic" w:hAnsi="MS Gothic" w:eastAsia="MS Gothic" w:cs="MS Gothic"/>
          <w:kern w:val="2"/>
          <w:sz w:val="24"/>
          <w:szCs w:val="24"/>
        </w:rPr>
        <w:t>​</w:t>
      </w:r>
    </w:p>
    <w:p w14:paraId="1BF49AA8">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2.车辆保障：按照赛事要求提供满足赛事所需的工作用车、序列车、物资投送车，志愿者及保障人员、参赛运动员的摆渡车、选手收容车等相关车辆。</w:t>
      </w:r>
      <w:r>
        <w:rPr>
          <w:rFonts w:hint="eastAsia" w:ascii="MS Gothic" w:hAnsi="MS Gothic" w:eastAsia="MS Gothic" w:cs="MS Gothic"/>
          <w:kern w:val="2"/>
          <w:sz w:val="24"/>
          <w:szCs w:val="24"/>
        </w:rPr>
        <w:t>​</w:t>
      </w:r>
    </w:p>
    <w:p w14:paraId="61D4466D">
      <w:pPr>
        <w:pStyle w:val="281"/>
        <w:numPr>
          <w:ilvl w:val="0"/>
          <w:numId w:val="8"/>
        </w:numPr>
        <w:spacing w:beforeLines="0" w:afterLines="0" w:line="360" w:lineRule="auto"/>
        <w:outlineLvl w:val="1"/>
        <w:rPr>
          <w:rFonts w:hint="eastAsia" w:ascii="宋体" w:hAnsi="宋体" w:cs="宋体"/>
          <w:b/>
          <w:sz w:val="24"/>
          <w:szCs w:val="21"/>
        </w:rPr>
      </w:pPr>
      <w:r>
        <w:rPr>
          <w:rFonts w:hint="eastAsia" w:ascii="宋体" w:hAnsi="宋体" w:cs="宋体"/>
          <w:b/>
          <w:sz w:val="24"/>
          <w:szCs w:val="21"/>
        </w:rPr>
        <w:t>市场开发</w:t>
      </w:r>
      <w:r>
        <w:rPr>
          <w:rFonts w:hint="eastAsia" w:ascii="MS Gothic" w:hAnsi="MS Gothic" w:eastAsia="MS Gothic" w:cs="MS Gothic"/>
          <w:b/>
          <w:sz w:val="24"/>
          <w:szCs w:val="21"/>
        </w:rPr>
        <w:t>​</w:t>
      </w:r>
    </w:p>
    <w:p w14:paraId="0D634F8F">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1.市场开发实施方案制定：负责制定市场开发实施方案，明确赛事冠名商及赞助商招募范围、等级划分、权益回报等，通过市场开发为赛事筹集资金和物资。</w:t>
      </w:r>
    </w:p>
    <w:p w14:paraId="2179EC08">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2.赛事赞助费及实物应用：赛事赞助费及实物应用于赛事运营，确保赛事顺利进行，同时为赞助商提供优质的宣传推广服务，实现赛事与赞助商的双赢。</w:t>
      </w:r>
    </w:p>
    <w:p w14:paraId="6EC1CFC2">
      <w:pPr>
        <w:pStyle w:val="281"/>
        <w:numPr>
          <w:ilvl w:val="0"/>
          <w:numId w:val="8"/>
        </w:numPr>
        <w:spacing w:beforeLines="0" w:afterLines="0" w:line="360" w:lineRule="auto"/>
        <w:outlineLvl w:val="1"/>
        <w:rPr>
          <w:rFonts w:hint="eastAsia" w:ascii="宋体" w:hAnsi="宋体" w:cs="宋体"/>
          <w:b/>
          <w:sz w:val="24"/>
          <w:szCs w:val="21"/>
        </w:rPr>
      </w:pPr>
      <w:r>
        <w:rPr>
          <w:rFonts w:hint="eastAsia" w:ascii="宋体" w:hAnsi="宋体" w:cs="宋体"/>
          <w:b/>
          <w:sz w:val="24"/>
          <w:szCs w:val="21"/>
        </w:rPr>
        <w:t>应急保障</w:t>
      </w:r>
      <w:r>
        <w:rPr>
          <w:rFonts w:hint="eastAsia" w:ascii="MS Gothic" w:hAnsi="MS Gothic" w:eastAsia="MS Gothic" w:cs="MS Gothic"/>
          <w:b/>
          <w:sz w:val="24"/>
          <w:szCs w:val="21"/>
        </w:rPr>
        <w:t>​</w:t>
      </w:r>
    </w:p>
    <w:p w14:paraId="7BFE4193">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1.应急预案全面性：针对竞赛组织、宣传推广、器材保障、后勤保障、医疗救援、赛事安保、赛道和场地布置、通信、电力等工作可能出现的突发情况，制定完善的应急预案，确保在紧急情况下能够迅速响应，有效应对。</w:t>
      </w:r>
    </w:p>
    <w:p w14:paraId="059ECC02">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2.应急预案演练与更新：定期对应急预案进行演练，检验预案的可行性和有效性，根据演练结果和实际情况及时更新应急预案，提升赛事应急处置能力。</w:t>
      </w:r>
    </w:p>
    <w:p w14:paraId="595AAEF4">
      <w:pPr>
        <w:spacing w:beforeLines="0" w:afterLines="0" w:line="360" w:lineRule="auto"/>
        <w:rPr>
          <w:rFonts w:hint="eastAsia" w:ascii="宋体" w:hAnsi="宋体" w:cs="宋体"/>
          <w:b/>
          <w:color w:val="000000"/>
          <w:sz w:val="24"/>
          <w:szCs w:val="24"/>
        </w:rPr>
      </w:pPr>
      <w:r>
        <w:rPr>
          <w:rFonts w:hint="eastAsia" w:ascii="宋体" w:hAnsi="宋体" w:cs="宋体"/>
          <w:b/>
          <w:color w:val="000000"/>
          <w:sz w:val="24"/>
          <w:szCs w:val="24"/>
        </w:rPr>
        <w:t>五、验收标准</w:t>
      </w:r>
    </w:p>
    <w:p w14:paraId="7D9D7A47">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1.采购人根据</w:t>
      </w:r>
      <w:r>
        <w:rPr>
          <w:rFonts w:hint="eastAsia" w:ascii="宋体" w:hAnsi="宋体" w:cs="宋体"/>
          <w:kern w:val="2"/>
          <w:sz w:val="24"/>
          <w:szCs w:val="24"/>
          <w:lang w:val="en-US" w:eastAsia="zh-CN"/>
        </w:rPr>
        <w:t>采购</w:t>
      </w:r>
      <w:r>
        <w:rPr>
          <w:rFonts w:hint="eastAsia" w:ascii="宋体" w:hAnsi="宋体" w:cs="宋体"/>
          <w:kern w:val="2"/>
          <w:sz w:val="24"/>
          <w:szCs w:val="24"/>
        </w:rPr>
        <w:t>文件、</w:t>
      </w:r>
      <w:r>
        <w:rPr>
          <w:rFonts w:hint="eastAsia" w:ascii="宋体" w:hAnsi="宋体" w:cs="宋体"/>
          <w:kern w:val="2"/>
          <w:sz w:val="24"/>
          <w:szCs w:val="24"/>
          <w:lang w:val="en-US" w:eastAsia="zh-CN"/>
        </w:rPr>
        <w:t>采购</w:t>
      </w:r>
      <w:r>
        <w:rPr>
          <w:rFonts w:hint="eastAsia" w:ascii="宋体" w:hAnsi="宋体" w:cs="宋体"/>
          <w:kern w:val="2"/>
          <w:sz w:val="24"/>
          <w:szCs w:val="24"/>
        </w:rPr>
        <w:t>合同、</w:t>
      </w:r>
      <w:r>
        <w:rPr>
          <w:rFonts w:hint="eastAsia" w:ascii="宋体" w:hAnsi="宋体" w:cs="宋体"/>
          <w:kern w:val="2"/>
          <w:sz w:val="24"/>
          <w:szCs w:val="24"/>
          <w:lang w:val="en-US" w:eastAsia="zh-CN"/>
        </w:rPr>
        <w:t>响应</w:t>
      </w:r>
      <w:r>
        <w:rPr>
          <w:rFonts w:hint="eastAsia" w:ascii="宋体" w:hAnsi="宋体" w:cs="宋体"/>
          <w:kern w:val="2"/>
          <w:sz w:val="24"/>
          <w:szCs w:val="24"/>
        </w:rPr>
        <w:t>文件等资料进行验收。</w:t>
      </w:r>
    </w:p>
    <w:p w14:paraId="277F5595">
      <w:pPr>
        <w:spacing w:beforeLines="0" w:afterLines="0" w:line="360" w:lineRule="auto"/>
        <w:ind w:firstLine="240" w:firstLineChars="100"/>
        <w:rPr>
          <w:rFonts w:hint="eastAsia" w:ascii="宋体" w:hAnsi="宋体" w:cs="宋体"/>
          <w:kern w:val="2"/>
          <w:sz w:val="24"/>
          <w:szCs w:val="24"/>
        </w:rPr>
      </w:pPr>
      <w:r>
        <w:rPr>
          <w:rFonts w:hint="eastAsia" w:ascii="宋体" w:hAnsi="宋体" w:cs="宋体"/>
          <w:kern w:val="2"/>
          <w:sz w:val="24"/>
          <w:szCs w:val="24"/>
        </w:rPr>
        <w:t>2.通过采购</w:t>
      </w:r>
      <w:r>
        <w:rPr>
          <w:rFonts w:hint="eastAsia" w:ascii="宋体" w:hAnsi="宋体" w:cs="宋体"/>
          <w:kern w:val="2"/>
          <w:sz w:val="24"/>
          <w:szCs w:val="24"/>
          <w:lang w:val="en-US" w:eastAsia="zh-CN"/>
        </w:rPr>
        <w:t>人</w:t>
      </w:r>
      <w:r>
        <w:rPr>
          <w:rFonts w:hint="eastAsia" w:ascii="宋体" w:hAnsi="宋体" w:cs="宋体"/>
          <w:kern w:val="2"/>
          <w:sz w:val="24"/>
          <w:szCs w:val="24"/>
        </w:rPr>
        <w:t>制定的所有采购需求和</w:t>
      </w:r>
      <w:r>
        <w:rPr>
          <w:rFonts w:hint="eastAsia" w:ascii="宋体" w:hAnsi="宋体" w:cs="宋体"/>
          <w:kern w:val="2"/>
          <w:sz w:val="24"/>
          <w:szCs w:val="24"/>
          <w:lang w:eastAsia="zh-CN"/>
        </w:rPr>
        <w:t>成交单位</w:t>
      </w:r>
      <w:r>
        <w:rPr>
          <w:rFonts w:hint="eastAsia" w:ascii="宋体" w:hAnsi="宋体" w:cs="宋体"/>
          <w:kern w:val="2"/>
          <w:sz w:val="24"/>
          <w:szCs w:val="24"/>
        </w:rPr>
        <w:t>的</w:t>
      </w:r>
      <w:r>
        <w:rPr>
          <w:rFonts w:hint="eastAsia" w:ascii="宋体" w:hAnsi="宋体" w:cs="宋体"/>
          <w:kern w:val="2"/>
          <w:sz w:val="24"/>
          <w:szCs w:val="24"/>
          <w:lang w:val="en-US" w:eastAsia="zh-CN"/>
        </w:rPr>
        <w:t>响应</w:t>
      </w:r>
      <w:r>
        <w:rPr>
          <w:rFonts w:hint="eastAsia" w:ascii="宋体" w:hAnsi="宋体" w:cs="宋体"/>
          <w:kern w:val="2"/>
          <w:sz w:val="24"/>
          <w:szCs w:val="24"/>
        </w:rPr>
        <w:t>方案并进行验收。</w:t>
      </w:r>
    </w:p>
    <w:p w14:paraId="4764FB2B">
      <w:pPr>
        <w:pStyle w:val="17"/>
        <w:spacing w:beforeLines="0" w:afterLines="0" w:line="360" w:lineRule="auto"/>
        <w:outlineLvl w:val="1"/>
        <w:rPr>
          <w:rFonts w:hint="eastAsia" w:cs="宋体"/>
          <w:b/>
          <w:color w:val="000000"/>
          <w:sz w:val="24"/>
          <w:szCs w:val="24"/>
        </w:rPr>
      </w:pPr>
      <w:bookmarkStart w:id="637" w:name="_Toc862"/>
      <w:r>
        <w:rPr>
          <w:rFonts w:hint="eastAsia" w:cs="宋体"/>
          <w:b/>
          <w:color w:val="000000"/>
          <w:sz w:val="24"/>
          <w:szCs w:val="24"/>
        </w:rPr>
        <w:t>六</w:t>
      </w:r>
      <w:r>
        <w:rPr>
          <w:rFonts w:hint="eastAsia" w:cs="宋体"/>
          <w:b/>
          <w:color w:val="000000"/>
          <w:kern w:val="2"/>
          <w:sz w:val="24"/>
          <w:szCs w:val="24"/>
        </w:rPr>
        <w:t>、报价要求</w:t>
      </w:r>
    </w:p>
    <w:p w14:paraId="27016DE1">
      <w:pPr>
        <w:pStyle w:val="17"/>
        <w:spacing w:beforeLines="0" w:afterLines="0" w:line="360" w:lineRule="auto"/>
        <w:ind w:firstLine="480" w:firstLineChars="200"/>
        <w:rPr>
          <w:rFonts w:hint="eastAsia" w:cs="宋体"/>
          <w:color w:val="000000"/>
          <w:sz w:val="24"/>
          <w:szCs w:val="24"/>
        </w:rPr>
      </w:pPr>
      <w:r>
        <w:rPr>
          <w:rFonts w:hint="eastAsia" w:cs="宋体"/>
          <w:color w:val="000000"/>
          <w:kern w:val="2"/>
          <w:sz w:val="24"/>
          <w:szCs w:val="24"/>
        </w:rPr>
        <w:t>本项目为总价包干，</w:t>
      </w:r>
      <w:r>
        <w:rPr>
          <w:rFonts w:hint="eastAsia" w:cs="宋体"/>
          <w:color w:val="000000"/>
          <w:kern w:val="2"/>
          <w:sz w:val="24"/>
          <w:szCs w:val="24"/>
          <w:lang w:val="en-US" w:eastAsia="zh-CN"/>
        </w:rPr>
        <w:t>磋商</w:t>
      </w:r>
      <w:r>
        <w:rPr>
          <w:rFonts w:hint="eastAsia" w:cs="宋体"/>
          <w:color w:val="000000"/>
          <w:kern w:val="2"/>
          <w:sz w:val="24"/>
          <w:szCs w:val="24"/>
        </w:rPr>
        <w:t>报价为含税人民币价。此报价应包含完成本项目整个服务期所需的一切费用。</w:t>
      </w:r>
      <w:r>
        <w:rPr>
          <w:rFonts w:hint="eastAsia" w:cs="宋体"/>
          <w:color w:val="000000"/>
          <w:kern w:val="2"/>
          <w:sz w:val="24"/>
          <w:szCs w:val="24"/>
          <w:lang w:val="en-US" w:eastAsia="zh-CN"/>
        </w:rPr>
        <w:t>供应商</w:t>
      </w:r>
      <w:r>
        <w:rPr>
          <w:rFonts w:hint="eastAsia" w:cs="宋体"/>
          <w:color w:val="000000"/>
          <w:kern w:val="2"/>
          <w:sz w:val="24"/>
          <w:szCs w:val="24"/>
        </w:rPr>
        <w:t xml:space="preserve">应认真计算可能发生的各相关费用并计入报价内，不得出现选择性的报价。 </w:t>
      </w:r>
    </w:p>
    <w:p w14:paraId="1A000E13">
      <w:pPr>
        <w:pStyle w:val="17"/>
        <w:spacing w:beforeLines="0" w:afterLines="0" w:line="360" w:lineRule="auto"/>
        <w:outlineLvl w:val="1"/>
        <w:rPr>
          <w:rFonts w:hint="eastAsia" w:cs="宋体"/>
          <w:b/>
          <w:color w:val="000000"/>
          <w:sz w:val="24"/>
          <w:szCs w:val="24"/>
        </w:rPr>
      </w:pPr>
      <w:r>
        <w:rPr>
          <w:rFonts w:hint="eastAsia" w:cs="宋体"/>
          <w:b/>
          <w:color w:val="000000"/>
          <w:sz w:val="24"/>
          <w:szCs w:val="24"/>
        </w:rPr>
        <w:t>七</w:t>
      </w:r>
      <w:r>
        <w:rPr>
          <w:rFonts w:hint="eastAsia" w:cs="宋体"/>
          <w:b/>
          <w:color w:val="000000"/>
          <w:kern w:val="2"/>
          <w:sz w:val="24"/>
          <w:szCs w:val="24"/>
        </w:rPr>
        <w:t>、付款方式</w:t>
      </w:r>
    </w:p>
    <w:bookmarkEnd w:id="637"/>
    <w:p w14:paraId="65D0DCD2">
      <w:pPr>
        <w:pStyle w:val="17"/>
        <w:spacing w:beforeLines="0" w:afterLines="0" w:line="360" w:lineRule="auto"/>
        <w:ind w:firstLine="480" w:firstLineChars="200"/>
        <w:rPr>
          <w:rFonts w:hint="eastAsia" w:cs="宋体"/>
          <w:color w:val="000000"/>
          <w:kern w:val="2"/>
          <w:sz w:val="24"/>
          <w:szCs w:val="24"/>
        </w:rPr>
      </w:pPr>
      <w:bookmarkStart w:id="638" w:name="_Toc1608276230"/>
      <w:r>
        <w:rPr>
          <w:rFonts w:hint="eastAsia" w:cs="宋体"/>
          <w:color w:val="000000"/>
          <w:kern w:val="2"/>
          <w:sz w:val="24"/>
          <w:szCs w:val="24"/>
        </w:rPr>
        <w:t>1.比赛</w:t>
      </w:r>
      <w:r>
        <w:rPr>
          <w:rFonts w:hint="eastAsia" w:cs="宋体"/>
          <w:color w:val="000000"/>
          <w:kern w:val="2"/>
          <w:sz w:val="24"/>
          <w:szCs w:val="24"/>
          <w:lang w:val="en-US" w:eastAsia="zh-CN"/>
        </w:rPr>
        <w:t>结束后10日内</w:t>
      </w:r>
      <w:r>
        <w:rPr>
          <w:rFonts w:hint="eastAsia" w:cs="宋体"/>
          <w:color w:val="000000"/>
          <w:kern w:val="2"/>
          <w:sz w:val="24"/>
          <w:szCs w:val="24"/>
        </w:rPr>
        <w:t>支付合同价款的70%，审计结束后支付余</w:t>
      </w:r>
      <w:r>
        <w:rPr>
          <w:rFonts w:hint="eastAsia" w:cs="宋体"/>
          <w:color w:val="000000"/>
          <w:kern w:val="2"/>
          <w:sz w:val="24"/>
          <w:szCs w:val="24"/>
          <w:lang w:val="en-US" w:eastAsia="zh-CN"/>
        </w:rPr>
        <w:t>款</w:t>
      </w:r>
      <w:r>
        <w:rPr>
          <w:rFonts w:hint="eastAsia" w:cs="宋体"/>
          <w:color w:val="000000"/>
          <w:kern w:val="2"/>
          <w:sz w:val="24"/>
          <w:szCs w:val="24"/>
        </w:rPr>
        <w:t>(依据：有资质的第三方审计公司审计报告结算)。</w:t>
      </w:r>
    </w:p>
    <w:p w14:paraId="06097F62">
      <w:pPr>
        <w:pStyle w:val="17"/>
        <w:spacing w:beforeLines="0" w:afterLines="0" w:line="360" w:lineRule="auto"/>
        <w:ind w:firstLine="480" w:firstLineChars="200"/>
        <w:rPr>
          <w:rFonts w:hint="eastAsia" w:cs="宋体"/>
          <w:color w:val="000000"/>
          <w:kern w:val="2"/>
          <w:sz w:val="24"/>
          <w:szCs w:val="24"/>
        </w:rPr>
      </w:pPr>
      <w:r>
        <w:rPr>
          <w:rFonts w:hint="eastAsia" w:cs="宋体"/>
          <w:color w:val="000000"/>
          <w:kern w:val="2"/>
          <w:sz w:val="24"/>
          <w:szCs w:val="24"/>
        </w:rPr>
        <w:t>2.采购人向</w:t>
      </w:r>
      <w:r>
        <w:rPr>
          <w:rFonts w:hint="eastAsia" w:cs="宋体"/>
          <w:color w:val="000000"/>
          <w:kern w:val="2"/>
          <w:sz w:val="24"/>
          <w:szCs w:val="24"/>
          <w:lang w:eastAsia="zh-CN"/>
        </w:rPr>
        <w:t>成交单位</w:t>
      </w:r>
      <w:r>
        <w:rPr>
          <w:rFonts w:hint="eastAsia" w:cs="宋体"/>
          <w:color w:val="000000"/>
          <w:kern w:val="2"/>
          <w:sz w:val="24"/>
          <w:szCs w:val="24"/>
        </w:rPr>
        <w:t>付款时，</w:t>
      </w:r>
      <w:r>
        <w:rPr>
          <w:rFonts w:hint="eastAsia" w:cs="宋体"/>
          <w:color w:val="000000"/>
          <w:kern w:val="2"/>
          <w:sz w:val="24"/>
          <w:szCs w:val="24"/>
          <w:lang w:eastAsia="zh-CN"/>
        </w:rPr>
        <w:t>成交单位</w:t>
      </w:r>
      <w:r>
        <w:rPr>
          <w:rFonts w:hint="eastAsia" w:cs="宋体"/>
          <w:color w:val="000000"/>
          <w:kern w:val="2"/>
          <w:sz w:val="24"/>
          <w:szCs w:val="24"/>
        </w:rPr>
        <w:t>需提供国家正规等额发票（普票）。</w:t>
      </w:r>
    </w:p>
    <w:bookmarkEnd w:id="638"/>
    <w:p w14:paraId="1772DF08">
      <w:pPr>
        <w:spacing w:beforeLines="0" w:afterLines="0" w:line="360" w:lineRule="auto"/>
        <w:rPr>
          <w:rFonts w:hint="eastAsia" w:ascii="宋体" w:hAnsi="宋体" w:cs="宋体"/>
          <w:b/>
          <w:sz w:val="24"/>
          <w:szCs w:val="24"/>
        </w:rPr>
      </w:pPr>
      <w:r>
        <w:rPr>
          <w:rFonts w:hint="eastAsia" w:ascii="宋体" w:hAnsi="宋体" w:cs="宋体"/>
          <w:b/>
          <w:sz w:val="24"/>
          <w:szCs w:val="24"/>
        </w:rPr>
        <w:t>八、特别说明</w:t>
      </w:r>
    </w:p>
    <w:p w14:paraId="19F9CD58">
      <w:pPr>
        <w:spacing w:beforeLines="0" w:afterLines="0" w:line="360" w:lineRule="auto"/>
        <w:ind w:firstLine="480" w:firstLineChars="200"/>
        <w:rPr>
          <w:rFonts w:hint="default" w:ascii="宋体" w:hAnsi="宋体" w:eastAsia="宋体" w:cs="宋体"/>
          <w:b/>
          <w:color w:val="000000"/>
          <w:sz w:val="24"/>
          <w:szCs w:val="24"/>
          <w:lang w:val="en-US" w:eastAsia="zh-CN"/>
        </w:rPr>
      </w:pPr>
      <w:r>
        <w:rPr>
          <w:rFonts w:hint="eastAsia" w:ascii="宋体" w:hAnsi="宋体" w:cs="宋体"/>
          <w:sz w:val="24"/>
          <w:szCs w:val="24"/>
          <w:lang w:val="en-US" w:eastAsia="zh-CN"/>
        </w:rPr>
        <w:t>供应商应</w:t>
      </w:r>
      <w:r>
        <w:rPr>
          <w:rFonts w:hint="eastAsia" w:ascii="宋体" w:hAnsi="宋体" w:cs="宋体"/>
          <w:sz w:val="24"/>
          <w:szCs w:val="24"/>
        </w:rPr>
        <w:t>在报价时综合考虑项目实施过程中因缺少设备、材料、货物、配件或服务导致本项目无法正常运行</w:t>
      </w:r>
      <w:r>
        <w:rPr>
          <w:rFonts w:hint="eastAsia" w:ascii="宋体" w:hAnsi="宋体" w:cs="宋体"/>
          <w:sz w:val="24"/>
          <w:szCs w:val="24"/>
          <w:lang w:val="en-US" w:eastAsia="zh-CN"/>
        </w:rPr>
        <w:t>的</w:t>
      </w:r>
      <w:r>
        <w:rPr>
          <w:rFonts w:hint="eastAsia" w:ascii="宋体" w:hAnsi="宋体" w:cs="宋体"/>
          <w:sz w:val="24"/>
          <w:szCs w:val="24"/>
        </w:rPr>
        <w:t>风险</w:t>
      </w:r>
      <w:r>
        <w:rPr>
          <w:rFonts w:hint="eastAsia" w:ascii="宋体" w:hAnsi="宋体" w:cs="宋体"/>
          <w:sz w:val="24"/>
          <w:szCs w:val="24"/>
          <w:lang w:eastAsia="zh-CN"/>
        </w:rPr>
        <w:t>，</w:t>
      </w:r>
      <w:r>
        <w:rPr>
          <w:rFonts w:hint="eastAsia" w:ascii="宋体" w:hAnsi="宋体" w:cs="宋体"/>
          <w:sz w:val="24"/>
          <w:szCs w:val="24"/>
          <w:lang w:val="en-US" w:eastAsia="zh-CN"/>
        </w:rPr>
        <w:t>供应商有义务</w:t>
      </w:r>
      <w:r>
        <w:rPr>
          <w:rFonts w:hint="eastAsia" w:ascii="宋体" w:hAnsi="宋体" w:cs="宋体"/>
          <w:sz w:val="24"/>
          <w:szCs w:val="24"/>
        </w:rPr>
        <w:t>保证采购人项目的完整性</w:t>
      </w:r>
      <w:r>
        <w:rPr>
          <w:rFonts w:hint="eastAsia" w:ascii="宋体" w:hAnsi="宋体" w:cs="宋体"/>
          <w:sz w:val="24"/>
          <w:szCs w:val="24"/>
          <w:lang w:val="en-US" w:eastAsia="zh-CN"/>
        </w:rPr>
        <w:t>，确保项目顺利实施。</w:t>
      </w:r>
    </w:p>
    <w:bookmarkEnd w:id="634"/>
    <w:p w14:paraId="634076EB">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br w:type="page"/>
      </w:r>
    </w:p>
    <w:p w14:paraId="612BCA58">
      <w:pPr>
        <w:pStyle w:val="2"/>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第五章合同草案条款</w:t>
      </w:r>
      <w:bookmarkEnd w:id="635"/>
      <w:bookmarkEnd w:id="636"/>
    </w:p>
    <w:p w14:paraId="0F126A25">
      <w:pPr>
        <w:spacing w:line="380" w:lineRule="exact"/>
        <w:rPr>
          <w:rFonts w:ascii="宋体" w:hAnsi="宋体"/>
          <w:color w:val="000000" w:themeColor="text1"/>
          <w:sz w:val="24"/>
          <w14:textFill>
            <w14:solidFill>
              <w14:schemeClr w14:val="tx1"/>
            </w14:solidFill>
          </w14:textFill>
        </w:rPr>
      </w:pPr>
      <w:bookmarkStart w:id="639" w:name="_Toc104818930"/>
      <w:bookmarkStart w:id="640" w:name="_Toc123719650"/>
      <w:r>
        <w:rPr>
          <w:rFonts w:hint="eastAsia" w:ascii="宋体" w:hAnsi="宋体" w:cs="宋体"/>
          <w:b/>
          <w:color w:val="000000" w:themeColor="text1"/>
          <w:sz w:val="24"/>
          <w:lang w:val="zh-CN"/>
          <w14:textFill>
            <w14:solidFill>
              <w14:schemeClr w14:val="tx1"/>
            </w14:solidFill>
          </w14:textFill>
        </w:rPr>
        <w:t>采购人</w:t>
      </w:r>
      <w:r>
        <w:rPr>
          <w:rFonts w:ascii="宋体" w:hAnsi="宋体" w:cs="宋体"/>
          <w:b/>
          <w:color w:val="000000" w:themeColor="text1"/>
          <w:sz w:val="24"/>
          <w:lang w:val="zh-CN"/>
          <w14:textFill>
            <w14:solidFill>
              <w14:schemeClr w14:val="tx1"/>
            </w14:solidFill>
          </w14:textFill>
        </w:rPr>
        <w:t>（</w:t>
      </w:r>
      <w:r>
        <w:rPr>
          <w:rFonts w:hint="eastAsia" w:ascii="宋体" w:hAnsi="宋体" w:cs="宋体"/>
          <w:b/>
          <w:color w:val="000000" w:themeColor="text1"/>
          <w:sz w:val="24"/>
          <w:lang w:val="zh-CN"/>
          <w14:textFill>
            <w14:solidFill>
              <w14:schemeClr w14:val="tx1"/>
            </w14:solidFill>
          </w14:textFill>
        </w:rPr>
        <w:t>甲</w:t>
      </w:r>
      <w:r>
        <w:rPr>
          <w:rFonts w:hint="eastAsia" w:ascii="宋体" w:hAnsi="宋体" w:cs="宋体"/>
          <w:b/>
          <w:color w:val="000000" w:themeColor="text1"/>
          <w:sz w:val="24"/>
          <w14:textFill>
            <w14:solidFill>
              <w14:schemeClr w14:val="tx1"/>
            </w14:solidFill>
          </w14:textFill>
        </w:rPr>
        <w:t>方）:</w:t>
      </w:r>
      <w:r>
        <w:rPr>
          <w:rFonts w:hint="eastAsia" w:ascii="宋体" w:hAnsi="宋体" w:cs="宋体"/>
          <w:color w:val="000000" w:themeColor="text1"/>
          <w:sz w:val="24"/>
          <w:u w:val="single"/>
          <w:lang w:eastAsia="zh-CN"/>
          <w14:textFill>
            <w14:solidFill>
              <w14:schemeClr w14:val="tx1"/>
            </w14:solidFill>
          </w14:textFill>
        </w:rPr>
        <w:t>常州市武进区文体广电和旅游局</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14:paraId="1362DA1B">
      <w:pPr>
        <w:spacing w:line="380" w:lineRule="exact"/>
        <w:rPr>
          <w:rFonts w:ascii="宋体" w:hAnsi="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供应商</w:t>
      </w:r>
      <w:r>
        <w:rPr>
          <w:rFonts w:ascii="宋体" w:hAnsi="宋体" w:cs="宋体"/>
          <w:b/>
          <w:color w:val="000000" w:themeColor="text1"/>
          <w:sz w:val="24"/>
          <w14:textFill>
            <w14:solidFill>
              <w14:schemeClr w14:val="tx1"/>
            </w14:solidFill>
          </w14:textFill>
        </w:rPr>
        <w:t>（</w:t>
      </w:r>
      <w:r>
        <w:rPr>
          <w:rFonts w:hint="eastAsia" w:ascii="宋体" w:hAnsi="宋体" w:cs="宋体"/>
          <w:b/>
          <w:color w:val="000000" w:themeColor="text1"/>
          <w:sz w:val="24"/>
          <w14:textFill>
            <w14:solidFill>
              <w14:schemeClr w14:val="tx1"/>
            </w14:solidFill>
          </w14:textFill>
        </w:rPr>
        <w:t>乙方</w:t>
      </w:r>
      <w:r>
        <w:rPr>
          <w:rFonts w:ascii="宋体" w:hAnsi="宋体" w:cs="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b/>
          <w:color w:val="000000" w:themeColor="text1"/>
          <w:sz w:val="24"/>
          <w:u w:val="single"/>
          <w14:textFill>
            <w14:solidFill>
              <w14:schemeClr w14:val="tx1"/>
            </w14:solidFill>
          </w14:textFill>
        </w:rPr>
        <w:t xml:space="preserve">        </w:t>
      </w:r>
      <w:r>
        <w:rPr>
          <w:rFonts w:hint="eastAsia" w:ascii="宋体" w:hAnsi="宋体"/>
          <w:b/>
          <w:color w:val="000000" w:themeColor="text1"/>
          <w:sz w:val="24"/>
          <w:u w:val="none"/>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 xml:space="preserve">      </w:t>
      </w:r>
      <w:r>
        <w:rPr>
          <w:rFonts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p>
    <w:p w14:paraId="56D56DDF">
      <w:pPr>
        <w:spacing w:line="360" w:lineRule="auto"/>
        <w:ind w:firstLine="420"/>
        <w:jc w:val="left"/>
        <w:rPr>
          <w:rFonts w:ascii="宋体" w:hAnsi="宋体" w:cs="宋体"/>
          <w:sz w:val="24"/>
        </w:rPr>
      </w:pPr>
      <w:r>
        <w:rPr>
          <w:rFonts w:hint="eastAsia" w:ascii="宋体" w:hAnsi="宋体" w:cs="宋体"/>
          <w:sz w:val="24"/>
        </w:rPr>
        <w:t>根据《中华人民共和国政府采购法》《中华人民共和国民法典》及其他有关法律的规定，遵循平等、自愿、公平和诚实信用的原则，甲乙双方按照</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项目的采购结果签订本合同。</w:t>
      </w:r>
    </w:p>
    <w:p w14:paraId="755A20EB">
      <w:pPr>
        <w:spacing w:line="360" w:lineRule="auto"/>
        <w:outlineLvl w:val="0"/>
        <w:rPr>
          <w:rFonts w:hint="default" w:ascii="宋体" w:hAnsi="宋体" w:eastAsia="宋体" w:cs="宋体"/>
          <w:b/>
          <w:bCs/>
          <w:sz w:val="24"/>
          <w:lang w:val="en-US" w:eastAsia="zh-CN"/>
        </w:rPr>
      </w:pPr>
      <w:r>
        <w:rPr>
          <w:rFonts w:hint="eastAsia" w:ascii="宋体" w:hAnsi="宋体" w:cs="宋体"/>
          <w:b/>
          <w:bCs/>
          <w:sz w:val="24"/>
        </w:rPr>
        <w:t>一、</w:t>
      </w:r>
      <w:r>
        <w:rPr>
          <w:rFonts w:hint="eastAsia" w:ascii="宋体" w:hAnsi="宋体" w:cs="宋体"/>
          <w:b/>
          <w:bCs/>
          <w:sz w:val="24"/>
          <w:lang w:val="en-US" w:eastAsia="zh-CN"/>
        </w:rPr>
        <w:t>采购标的</w:t>
      </w:r>
    </w:p>
    <w:p w14:paraId="42F9DB00">
      <w:pPr>
        <w:spacing w:line="360" w:lineRule="auto"/>
        <w:ind w:firstLine="480" w:firstLineChars="200"/>
        <w:rPr>
          <w:rFonts w:ascii="宋体" w:hAnsi="宋体" w:cs="宋体"/>
          <w:sz w:val="24"/>
        </w:rPr>
      </w:pPr>
      <w:r>
        <w:rPr>
          <w:rFonts w:hint="eastAsia" w:ascii="宋体" w:hAnsi="宋体" w:cs="宋体"/>
          <w:sz w:val="24"/>
        </w:rPr>
        <w:t>甲方授权乙方成为2026常州西太湖半程马拉松赛事运营单位，负责</w:t>
      </w:r>
      <w:r>
        <w:rPr>
          <w:rFonts w:hint="eastAsia" w:ascii="宋体" w:hAnsi="宋体" w:cs="宋体"/>
          <w:sz w:val="24"/>
          <w:lang w:val="en-US" w:eastAsia="zh-CN"/>
        </w:rPr>
        <w:t>承担</w:t>
      </w:r>
      <w:r>
        <w:rPr>
          <w:rFonts w:hint="eastAsia" w:ascii="宋体" w:hAnsi="宋体" w:cs="宋体"/>
          <w:sz w:val="24"/>
        </w:rPr>
        <w:t>包括但不限于2026常州西太湖半程马拉松赛运营服务赛事总体策划、竞赛组织、宣传推广、赛事安保、医疗救援、赛事志愿者、后勤保障、赛道及场地布置、市场开发、应急预案等工作及相关费用。实施方案需符合最新修订的《中国田径协会路跑赛事管理办法》和《中国田径协会路跑赛事管理制度文件2025》的相关规定，确保赛事顺利、有序开展。</w:t>
      </w:r>
    </w:p>
    <w:p w14:paraId="49F40F45">
      <w:pPr>
        <w:spacing w:line="360" w:lineRule="auto"/>
        <w:outlineLvl w:val="0"/>
        <w:rPr>
          <w:rFonts w:ascii="宋体" w:hAnsi="宋体" w:cs="宋体"/>
          <w:b/>
          <w:bCs/>
          <w:sz w:val="24"/>
        </w:rPr>
      </w:pPr>
      <w:r>
        <w:rPr>
          <w:rFonts w:hint="eastAsia" w:ascii="宋体" w:hAnsi="宋体" w:cs="宋体"/>
          <w:b/>
          <w:bCs/>
          <w:sz w:val="24"/>
        </w:rPr>
        <w:t>二、合同金额及付款方式</w:t>
      </w:r>
    </w:p>
    <w:p w14:paraId="22152529">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1.合同金额：本合同总价为人民币（大写）：    元整（¥:     元）（含税）。</w:t>
      </w:r>
    </w:p>
    <w:p w14:paraId="57B7C91D">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2.本合同价格为乙方完成本协议约定义务所需的全部费用，已含税费、运营费以及其他任何风险而增加的所有费用；</w:t>
      </w:r>
    </w:p>
    <w:p w14:paraId="38025C44">
      <w:pPr>
        <w:spacing w:line="360" w:lineRule="auto"/>
        <w:ind w:firstLine="480" w:firstLineChars="200"/>
        <w:rPr>
          <w:rFonts w:ascii="宋体" w:hAnsi="宋体" w:cs="宋体"/>
          <w:sz w:val="24"/>
        </w:rPr>
      </w:pPr>
      <w:r>
        <w:rPr>
          <w:rFonts w:hint="eastAsia" w:ascii="宋体" w:hAnsi="宋体" w:cs="宋体"/>
          <w:sz w:val="24"/>
        </w:rPr>
        <w:t>3.乙方应于甲方应当付款前开具符合甲方要求的发票并交付甲方，乙方未按约定交付发票或交付的发票不符合要求的，甲方有权拒绝付款并不承担任何违约责任；如因乙方开具的发票导致甲方被行政处罚或造成其他损失的，甲方有权要求乙方赔偿一切损失。</w:t>
      </w:r>
    </w:p>
    <w:p w14:paraId="66C88237">
      <w:pPr>
        <w:spacing w:line="360" w:lineRule="auto"/>
        <w:ind w:firstLine="480" w:firstLineChars="200"/>
        <w:rPr>
          <w:rFonts w:ascii="宋体" w:hAnsi="宋体" w:cs="宋体"/>
          <w:sz w:val="24"/>
        </w:rPr>
      </w:pPr>
      <w:r>
        <w:rPr>
          <w:rFonts w:hint="eastAsia" w:ascii="宋体" w:hAnsi="宋体" w:cs="宋体"/>
          <w:sz w:val="24"/>
        </w:rPr>
        <w:t>4.付款方式：</w:t>
      </w:r>
    </w:p>
    <w:p w14:paraId="2FF26344">
      <w:pPr>
        <w:spacing w:line="360" w:lineRule="auto"/>
        <w:ind w:firstLine="480" w:firstLineChars="200"/>
        <w:rPr>
          <w:rFonts w:ascii="宋体" w:hAnsi="宋体" w:cs="宋体"/>
          <w:sz w:val="24"/>
        </w:rPr>
      </w:pPr>
      <w:r>
        <w:rPr>
          <w:rFonts w:hint="eastAsia" w:ascii="宋体" w:hAnsi="宋体" w:cs="宋体"/>
          <w:sz w:val="24"/>
        </w:rPr>
        <w:t>（</w:t>
      </w:r>
      <w:r>
        <w:rPr>
          <w:rFonts w:ascii="宋体" w:hAnsi="宋体" w:cs="宋体"/>
          <w:sz w:val="24"/>
        </w:rPr>
        <w:t>1</w:t>
      </w:r>
      <w:r>
        <w:rPr>
          <w:rFonts w:hint="eastAsia" w:ascii="宋体" w:hAnsi="宋体" w:cs="宋体"/>
          <w:sz w:val="24"/>
        </w:rPr>
        <w:t>）</w:t>
      </w:r>
      <w:r>
        <w:rPr>
          <w:rFonts w:hint="eastAsia" w:cs="宋体"/>
          <w:color w:val="000000"/>
          <w:kern w:val="2"/>
          <w:sz w:val="24"/>
          <w:szCs w:val="24"/>
        </w:rPr>
        <w:t>比赛</w:t>
      </w:r>
      <w:r>
        <w:rPr>
          <w:rFonts w:hint="eastAsia" w:cs="宋体"/>
          <w:color w:val="000000"/>
          <w:kern w:val="2"/>
          <w:sz w:val="24"/>
          <w:szCs w:val="24"/>
          <w:lang w:val="en-US" w:eastAsia="zh-CN"/>
        </w:rPr>
        <w:t>结束后10日内</w:t>
      </w:r>
      <w:r>
        <w:rPr>
          <w:rFonts w:hint="eastAsia" w:ascii="宋体" w:hAnsi="宋体" w:cs="宋体"/>
          <w:sz w:val="24"/>
        </w:rPr>
        <w:t>支付合同价款的70%，</w:t>
      </w:r>
      <w:r>
        <w:rPr>
          <w:rFonts w:hint="eastAsia" w:cs="宋体"/>
          <w:color w:val="000000"/>
          <w:kern w:val="2"/>
          <w:sz w:val="24"/>
          <w:szCs w:val="24"/>
        </w:rPr>
        <w:t>审计结束后支付余</w:t>
      </w:r>
      <w:r>
        <w:rPr>
          <w:rFonts w:hint="eastAsia" w:cs="宋体"/>
          <w:color w:val="000000"/>
          <w:kern w:val="2"/>
          <w:sz w:val="24"/>
          <w:szCs w:val="24"/>
          <w:lang w:val="en-US" w:eastAsia="zh-CN"/>
        </w:rPr>
        <w:t>款</w:t>
      </w:r>
      <w:r>
        <w:rPr>
          <w:rFonts w:hint="eastAsia" w:cs="宋体"/>
          <w:color w:val="000000"/>
          <w:kern w:val="2"/>
          <w:sz w:val="24"/>
          <w:szCs w:val="24"/>
        </w:rPr>
        <w:t>(依据：有资质的第三方审计公司审计报告结算)</w:t>
      </w:r>
    </w:p>
    <w:p w14:paraId="0891C96A">
      <w:pPr>
        <w:spacing w:line="360" w:lineRule="auto"/>
        <w:ind w:firstLine="480" w:firstLineChars="200"/>
        <w:rPr>
          <w:rFonts w:ascii="宋体" w:hAnsi="宋体" w:cs="宋体"/>
          <w:sz w:val="24"/>
        </w:rPr>
      </w:pPr>
      <w:r>
        <w:rPr>
          <w:rFonts w:hint="eastAsia" w:ascii="宋体" w:hAnsi="宋体" w:cs="宋体"/>
          <w:sz w:val="24"/>
        </w:rPr>
        <w:t>（</w:t>
      </w:r>
      <w:r>
        <w:rPr>
          <w:rFonts w:ascii="宋体" w:hAnsi="宋体" w:cs="宋体"/>
          <w:sz w:val="24"/>
        </w:rPr>
        <w:t>2</w:t>
      </w:r>
      <w:r>
        <w:rPr>
          <w:rFonts w:hint="eastAsia" w:ascii="宋体" w:hAnsi="宋体" w:cs="宋体"/>
          <w:sz w:val="24"/>
        </w:rPr>
        <w:t>）甲方向乙方付款时，乙方需提供国家正规等额发票（普票）。</w:t>
      </w:r>
    </w:p>
    <w:p w14:paraId="0121AF7A">
      <w:pPr>
        <w:spacing w:line="360" w:lineRule="auto"/>
        <w:outlineLvl w:val="0"/>
        <w:rPr>
          <w:rFonts w:ascii="宋体" w:hAnsi="宋体" w:cs="宋体"/>
          <w:b/>
          <w:bCs/>
          <w:sz w:val="24"/>
        </w:rPr>
      </w:pPr>
      <w:r>
        <w:rPr>
          <w:rFonts w:hint="eastAsia" w:ascii="宋体" w:hAnsi="宋体" w:cs="宋体"/>
          <w:b/>
          <w:bCs/>
          <w:sz w:val="24"/>
        </w:rPr>
        <w:t>三、合作期限</w:t>
      </w:r>
    </w:p>
    <w:p w14:paraId="63FECA20">
      <w:pPr>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t xml:space="preserve">   </w:t>
      </w:r>
      <w:r>
        <w:rPr>
          <w:rFonts w:hint="eastAsia" w:ascii="宋体" w:hAnsi="宋体"/>
          <w:sz w:val="24"/>
        </w:rPr>
        <w:t>合同签订后至</w:t>
      </w:r>
      <w:r>
        <w:rPr>
          <w:rFonts w:hint="eastAsia" w:ascii="宋体" w:hAnsi="宋体"/>
          <w:sz w:val="24"/>
          <w:lang w:val="en-US" w:eastAsia="zh-CN"/>
        </w:rPr>
        <w:t>赛事服务工作全部完成</w:t>
      </w:r>
      <w:r>
        <w:rPr>
          <w:rFonts w:hint="eastAsia" w:ascii="宋体" w:hAnsi="宋体"/>
          <w:sz w:val="24"/>
        </w:rPr>
        <w:t>。</w:t>
      </w:r>
    </w:p>
    <w:p w14:paraId="0C3CD140">
      <w:pPr>
        <w:spacing w:line="360" w:lineRule="auto"/>
        <w:outlineLvl w:val="0"/>
        <w:rPr>
          <w:rFonts w:ascii="宋体" w:hAnsi="宋体" w:cs="宋体"/>
          <w:b/>
          <w:bCs/>
          <w:sz w:val="24"/>
        </w:rPr>
      </w:pPr>
      <w:r>
        <w:rPr>
          <w:rFonts w:hint="eastAsia" w:ascii="宋体" w:hAnsi="宋体" w:cs="宋体"/>
          <w:b/>
          <w:bCs/>
          <w:sz w:val="24"/>
        </w:rPr>
        <w:t>四、甲方的权利与义务</w:t>
      </w:r>
    </w:p>
    <w:p w14:paraId="2FA998AA">
      <w:pPr>
        <w:spacing w:line="360" w:lineRule="auto"/>
        <w:ind w:firstLine="480" w:firstLineChars="200"/>
        <w:rPr>
          <w:rFonts w:ascii="宋体" w:hAnsi="宋体" w:cs="宋体"/>
          <w:sz w:val="24"/>
        </w:rPr>
      </w:pPr>
      <w:r>
        <w:rPr>
          <w:rFonts w:ascii="宋体" w:hAnsi="宋体" w:cs="宋体"/>
          <w:sz w:val="24"/>
        </w:rPr>
        <w:t>1.</w:t>
      </w:r>
      <w:r>
        <w:rPr>
          <w:rFonts w:hint="eastAsia" w:ascii="宋体" w:hAnsi="宋体" w:cs="宋体"/>
          <w:sz w:val="24"/>
        </w:rPr>
        <w:t>甲方负责向市政府立项和公安局申报许可工作，协调公安、消防、医疗、卫生、环保、城管、通信、交通、电力、文旅、官方媒体宣传等相关政府部门配合马拉松赛事筹备工作。</w:t>
      </w:r>
    </w:p>
    <w:p w14:paraId="16C202DB">
      <w:pPr>
        <w:spacing w:line="360" w:lineRule="auto"/>
        <w:ind w:firstLine="480" w:firstLineChars="200"/>
        <w:rPr>
          <w:rFonts w:ascii="宋体" w:hAnsi="宋体" w:cs="宋体"/>
          <w:sz w:val="24"/>
        </w:rPr>
      </w:pPr>
      <w:r>
        <w:rPr>
          <w:rFonts w:ascii="宋体" w:hAnsi="宋体" w:cs="宋体"/>
          <w:sz w:val="24"/>
        </w:rPr>
        <w:t>2.</w:t>
      </w:r>
      <w:r>
        <w:rPr>
          <w:rFonts w:hint="eastAsia" w:ascii="宋体" w:hAnsi="宋体" w:cs="宋体"/>
          <w:sz w:val="24"/>
        </w:rPr>
        <w:t>甲方负责赛事全面综合协调，城市环境整治、城市氛围营造等工作，甲方负责协调赛事宣传所需的户外广告资源以及其它赛事顺利进行所需的协调保障事宜，对于可能产生的相关费用须提前与乙方进行协商，确认后由乙方承担。</w:t>
      </w:r>
    </w:p>
    <w:p w14:paraId="3C572A45">
      <w:pPr>
        <w:spacing w:line="360" w:lineRule="auto"/>
        <w:ind w:firstLine="480" w:firstLineChars="200"/>
        <w:rPr>
          <w:rFonts w:ascii="宋体" w:hAnsi="宋体" w:cs="宋体"/>
          <w:sz w:val="24"/>
        </w:rPr>
      </w:pPr>
      <w:r>
        <w:rPr>
          <w:rFonts w:ascii="宋体" w:hAnsi="宋体" w:cs="宋体"/>
          <w:sz w:val="24"/>
        </w:rPr>
        <w:t>3.</w:t>
      </w:r>
      <w:r>
        <w:rPr>
          <w:rFonts w:hint="eastAsia" w:ascii="宋体" w:hAnsi="宋体" w:cs="宋体"/>
          <w:sz w:val="24"/>
        </w:rPr>
        <w:t>甲方负责提供赛事准备、组织、服务、活动等所需的场所及提供不少于1间办公室给予乙方工作人员使用（可容纳20人办公）。</w:t>
      </w:r>
    </w:p>
    <w:p w14:paraId="4EE77BEB">
      <w:pPr>
        <w:spacing w:line="360" w:lineRule="auto"/>
        <w:ind w:firstLine="480" w:firstLineChars="200"/>
        <w:rPr>
          <w:rFonts w:ascii="宋体" w:hAnsi="宋体" w:cs="宋体"/>
          <w:sz w:val="24"/>
        </w:rPr>
      </w:pPr>
      <w:r>
        <w:rPr>
          <w:rFonts w:ascii="宋体" w:hAnsi="宋体" w:cs="宋体"/>
          <w:sz w:val="24"/>
        </w:rPr>
        <w:t>4.</w:t>
      </w:r>
      <w:r>
        <w:rPr>
          <w:rFonts w:hint="eastAsia" w:ascii="宋体" w:hAnsi="宋体" w:cs="宋体"/>
          <w:sz w:val="24"/>
        </w:rPr>
        <w:t>甲方负责协助协调安保交通、医疗卫生、志愿者、城市氛围营造等事宜，并监督乙方按照约定的事宜做好竞赛组织保障、宣传推广、包括裁判、特邀选手及奖金、开幕式、起终点、场地器材、竞赛相关工作人员及嘉宾食宿接待等事宜。</w:t>
      </w:r>
    </w:p>
    <w:p w14:paraId="4644C2EE">
      <w:pPr>
        <w:spacing w:line="360" w:lineRule="auto"/>
        <w:ind w:firstLine="480" w:firstLineChars="200"/>
        <w:rPr>
          <w:rFonts w:ascii="宋体" w:hAnsi="宋体" w:cs="宋体"/>
          <w:sz w:val="24"/>
        </w:rPr>
      </w:pPr>
      <w:r>
        <w:rPr>
          <w:rFonts w:ascii="宋体" w:hAnsi="宋体" w:cs="宋体"/>
          <w:sz w:val="24"/>
        </w:rPr>
        <w:t>5.</w:t>
      </w:r>
      <w:r>
        <w:rPr>
          <w:rFonts w:hint="eastAsia" w:ascii="宋体" w:hAnsi="宋体" w:cs="宋体"/>
          <w:sz w:val="24"/>
        </w:rPr>
        <w:t>由甲、乙双方共同成立应急工作处理小组，以负责赛事相关人员意外伤害保险和人身损害赔偿事宜。保险费用由乙方承担。</w:t>
      </w:r>
    </w:p>
    <w:p w14:paraId="25339A20">
      <w:pPr>
        <w:spacing w:line="360" w:lineRule="auto"/>
        <w:ind w:firstLine="480" w:firstLineChars="200"/>
        <w:rPr>
          <w:rFonts w:ascii="宋体" w:hAnsi="宋体" w:cs="宋体"/>
          <w:sz w:val="24"/>
        </w:rPr>
      </w:pPr>
      <w:r>
        <w:rPr>
          <w:rFonts w:ascii="宋体" w:hAnsi="宋体" w:cs="宋体"/>
          <w:sz w:val="24"/>
        </w:rPr>
        <w:t>6.</w:t>
      </w:r>
      <w:r>
        <w:rPr>
          <w:rFonts w:hint="eastAsia" w:ascii="宋体" w:hAnsi="宋体" w:cs="宋体"/>
          <w:sz w:val="24"/>
        </w:rPr>
        <w:t>甲方积极协助赛事在平台的宣传播出工作，负责通过进行播出信号传输的政府协调工作并保障网络传输（后期如有安排直播）。</w:t>
      </w:r>
    </w:p>
    <w:p w14:paraId="310169FC">
      <w:pPr>
        <w:spacing w:line="360" w:lineRule="auto"/>
        <w:ind w:firstLine="480" w:firstLineChars="200"/>
        <w:rPr>
          <w:rFonts w:ascii="宋体" w:hAnsi="宋体" w:cs="宋体"/>
          <w:sz w:val="24"/>
        </w:rPr>
      </w:pPr>
      <w:r>
        <w:rPr>
          <w:rFonts w:ascii="宋体" w:hAnsi="宋体" w:cs="宋体"/>
          <w:sz w:val="24"/>
        </w:rPr>
        <w:t>7.</w:t>
      </w:r>
      <w:r>
        <w:rPr>
          <w:rFonts w:hint="eastAsia" w:ascii="宋体" w:hAnsi="宋体" w:cs="宋体"/>
          <w:sz w:val="24"/>
        </w:rPr>
        <w:t>甲方发挥政府职能，落实马拉松赛事补贴资金，协调乙方在赛事中的实施工作并对乙方的商务开发及宣传工作进行协调和配合，如赛事赞助商权益呈现所需的政府方面协调事宜；甲方负责协调市政府相关单位提供赛事前期及后期，赛道沿线路段及市内各地段相关广告权益给予组委会使用（对于可能产生的费用须提前与乙方进行协商，确认后由乙方承担），确保乙方在赛事中商务市场开发的冠名权、礼遇权、广告权以及商务合作伙伴的现场权益的落实。</w:t>
      </w:r>
    </w:p>
    <w:p w14:paraId="52DC4DEB">
      <w:pPr>
        <w:spacing w:line="360" w:lineRule="auto"/>
        <w:ind w:firstLine="480" w:firstLineChars="200"/>
        <w:rPr>
          <w:rFonts w:ascii="宋体" w:hAnsi="宋体" w:cs="宋体"/>
          <w:sz w:val="24"/>
        </w:rPr>
      </w:pPr>
      <w:r>
        <w:rPr>
          <w:rFonts w:ascii="宋体" w:hAnsi="宋体" w:cs="宋体"/>
          <w:sz w:val="24"/>
        </w:rPr>
        <w:t>8.</w:t>
      </w:r>
      <w:r>
        <w:rPr>
          <w:rFonts w:hint="eastAsia" w:ascii="宋体" w:hAnsi="宋体" w:cs="宋体"/>
          <w:sz w:val="24"/>
        </w:rPr>
        <w:t>本着长期合作，共同发展的合作思路，甲方应给予乙方最大限度的工作支持，保障赛事顺利实施。</w:t>
      </w:r>
    </w:p>
    <w:p w14:paraId="61C04399">
      <w:pPr>
        <w:spacing w:line="360" w:lineRule="auto"/>
        <w:outlineLvl w:val="0"/>
        <w:rPr>
          <w:rFonts w:ascii="宋体" w:hAnsi="宋体" w:cs="宋体"/>
          <w:b/>
          <w:bCs/>
          <w:sz w:val="24"/>
        </w:rPr>
      </w:pPr>
      <w:r>
        <w:rPr>
          <w:rFonts w:hint="eastAsia" w:ascii="宋体" w:hAnsi="宋体" w:cs="宋体"/>
          <w:b/>
          <w:bCs/>
          <w:sz w:val="24"/>
        </w:rPr>
        <w:t>五、乙方权利与义务</w:t>
      </w:r>
    </w:p>
    <w:p w14:paraId="2E158F2B">
      <w:pPr>
        <w:spacing w:line="360" w:lineRule="auto"/>
        <w:ind w:firstLine="480" w:firstLineChars="200"/>
        <w:rPr>
          <w:rFonts w:ascii="宋体" w:hAnsi="宋体" w:cs="宋体"/>
          <w:sz w:val="24"/>
        </w:rPr>
      </w:pPr>
      <w:r>
        <w:rPr>
          <w:rFonts w:ascii="宋体" w:hAnsi="宋体" w:cs="宋体"/>
          <w:sz w:val="24"/>
        </w:rPr>
        <w:t>1.</w:t>
      </w:r>
      <w:r>
        <w:rPr>
          <w:rFonts w:hint="eastAsia" w:ascii="宋体" w:hAnsi="宋体" w:cs="宋体"/>
          <w:sz w:val="24"/>
        </w:rPr>
        <w:t>在赛事前期立项申报阶段，乙方协助甲方提供赛事相关申报材料，并全力配合甲方参与立项申报过程。</w:t>
      </w:r>
    </w:p>
    <w:p w14:paraId="552A07BF">
      <w:pPr>
        <w:spacing w:line="360" w:lineRule="auto"/>
        <w:ind w:firstLine="480" w:firstLineChars="200"/>
        <w:rPr>
          <w:rFonts w:ascii="宋体" w:hAnsi="宋体" w:cs="宋体"/>
          <w:sz w:val="24"/>
        </w:rPr>
      </w:pPr>
      <w:r>
        <w:rPr>
          <w:rFonts w:ascii="宋体" w:hAnsi="宋体" w:cs="宋体"/>
          <w:sz w:val="24"/>
        </w:rPr>
        <w:t>2.</w:t>
      </w:r>
      <w:r>
        <w:rPr>
          <w:rFonts w:hint="eastAsia" w:ascii="宋体" w:hAnsi="宋体" w:cs="宋体"/>
          <w:sz w:val="24"/>
        </w:rPr>
        <w:t>赛事的独家运营权。</w:t>
      </w:r>
    </w:p>
    <w:p w14:paraId="187EA6B1">
      <w:pPr>
        <w:spacing w:line="360" w:lineRule="auto"/>
        <w:ind w:firstLine="480" w:firstLineChars="200"/>
        <w:rPr>
          <w:rFonts w:ascii="宋体" w:hAnsi="宋体" w:cs="宋体"/>
          <w:sz w:val="24"/>
        </w:rPr>
      </w:pPr>
      <w:r>
        <w:rPr>
          <w:rFonts w:ascii="宋体" w:hAnsi="宋体" w:cs="宋体"/>
          <w:sz w:val="24"/>
        </w:rPr>
        <w:t>3.</w:t>
      </w:r>
      <w:r>
        <w:rPr>
          <w:rFonts w:hint="eastAsia" w:ascii="宋体" w:hAnsi="宋体" w:cs="宋体"/>
          <w:sz w:val="24"/>
        </w:rPr>
        <w:t>乙方享有赛事独家商业开发权，包括但不限于广告赞助、媒体版权、特许产品、赛事衍生品等。如遇特殊情形，甲乙双方秉着友好协商的原则解决。</w:t>
      </w:r>
    </w:p>
    <w:p w14:paraId="609693D7">
      <w:pPr>
        <w:spacing w:line="360" w:lineRule="auto"/>
        <w:ind w:firstLine="480" w:firstLineChars="200"/>
        <w:rPr>
          <w:rFonts w:ascii="宋体" w:hAnsi="宋体" w:cs="宋体"/>
          <w:sz w:val="24"/>
        </w:rPr>
      </w:pPr>
      <w:r>
        <w:rPr>
          <w:rFonts w:ascii="宋体" w:hAnsi="宋体" w:cs="宋体"/>
          <w:sz w:val="24"/>
        </w:rPr>
        <w:t>4.</w:t>
      </w:r>
      <w:r>
        <w:rPr>
          <w:rFonts w:hint="eastAsia" w:ascii="宋体" w:hAnsi="宋体" w:cs="宋体"/>
          <w:sz w:val="24"/>
        </w:rPr>
        <w:t>乙方负责赛事组织运营，赛事策划、赛事招商、赞助商回报（甲方协助落实）等工作。</w:t>
      </w:r>
    </w:p>
    <w:p w14:paraId="77526033">
      <w:pPr>
        <w:spacing w:line="360" w:lineRule="auto"/>
        <w:ind w:firstLine="480" w:firstLineChars="200"/>
        <w:rPr>
          <w:rFonts w:ascii="宋体" w:hAnsi="宋体" w:cs="宋体"/>
          <w:sz w:val="24"/>
        </w:rPr>
      </w:pPr>
      <w:r>
        <w:rPr>
          <w:rFonts w:ascii="宋体" w:hAnsi="宋体" w:cs="宋体"/>
          <w:sz w:val="24"/>
        </w:rPr>
        <w:t>5.</w:t>
      </w:r>
      <w:r>
        <w:rPr>
          <w:rFonts w:hint="eastAsia" w:ascii="宋体" w:hAnsi="宋体" w:cs="宋体"/>
          <w:sz w:val="24"/>
        </w:rPr>
        <w:t>乙方负责赛事包装、商业开发、赛事活动及赛事宣传事项；将建立足够人数与能力的专业运营团队，进行赛事的招商推广、活动策划、图文设计、赞助商服务等工作，乙方独家拥有：</w:t>
      </w:r>
    </w:p>
    <w:p w14:paraId="2A038C7B">
      <w:pPr>
        <w:spacing w:line="360" w:lineRule="auto"/>
        <w:ind w:firstLine="240" w:firstLineChars="100"/>
        <w:rPr>
          <w:rFonts w:ascii="宋体" w:hAnsi="宋体" w:cs="宋体"/>
          <w:sz w:val="24"/>
        </w:rPr>
      </w:pPr>
      <w:r>
        <w:rPr>
          <w:rFonts w:hint="eastAsia" w:ascii="宋体" w:hAnsi="宋体" w:cs="宋体"/>
          <w:sz w:val="24"/>
        </w:rPr>
        <w:t>（1）电视转播权、比赛印刷品广告资源（如票证、官方手册、成绩册、竞赛指南、记者手册等印刷品广告）、排他性营销权、视觉识别系统使用许可权（如赛事名称、会徽及吉祥物等）、赛事冠名权、赛事指定产品授予权、赛事合作伙伴及各等级赞助商、供应商、服务商的授予权以及实现回报权；</w:t>
      </w:r>
    </w:p>
    <w:p w14:paraId="128102DC">
      <w:pPr>
        <w:spacing w:line="360" w:lineRule="auto"/>
        <w:ind w:firstLine="240" w:firstLineChars="100"/>
        <w:rPr>
          <w:rFonts w:ascii="宋体" w:hAnsi="宋体" w:cs="宋体"/>
          <w:sz w:val="24"/>
        </w:rPr>
      </w:pPr>
      <w:r>
        <w:rPr>
          <w:rFonts w:hint="eastAsia" w:ascii="宋体" w:hAnsi="宋体" w:cs="宋体"/>
          <w:sz w:val="24"/>
        </w:rPr>
        <w:t>（2）赛事赞助商开发、谈判、签约及全部商业收益权；</w:t>
      </w:r>
    </w:p>
    <w:p w14:paraId="3951D019">
      <w:pPr>
        <w:spacing w:line="360" w:lineRule="auto"/>
        <w:ind w:firstLine="240" w:firstLineChars="100"/>
        <w:rPr>
          <w:rFonts w:ascii="宋体" w:hAnsi="宋体" w:cs="宋体"/>
          <w:sz w:val="24"/>
        </w:rPr>
      </w:pPr>
      <w:r>
        <w:rPr>
          <w:rFonts w:hint="eastAsia" w:ascii="宋体" w:hAnsi="宋体" w:cs="宋体"/>
          <w:sz w:val="24"/>
        </w:rPr>
        <w:t>（3）所有赛事衍生品的开发、制作、经营权及收益权；</w:t>
      </w:r>
    </w:p>
    <w:p w14:paraId="5C8FC068">
      <w:pPr>
        <w:spacing w:line="360" w:lineRule="auto"/>
        <w:ind w:firstLine="240" w:firstLineChars="100"/>
        <w:rPr>
          <w:rFonts w:ascii="宋体" w:hAnsi="宋体" w:cs="宋体"/>
          <w:sz w:val="24"/>
        </w:rPr>
      </w:pPr>
      <w:r>
        <w:rPr>
          <w:rFonts w:hint="eastAsia" w:ascii="宋体" w:hAnsi="宋体" w:cs="宋体"/>
          <w:sz w:val="24"/>
        </w:rPr>
        <w:t>（4）电视版权，赛事电视播映权开发；</w:t>
      </w:r>
    </w:p>
    <w:p w14:paraId="6FAFE474">
      <w:pPr>
        <w:spacing w:line="360" w:lineRule="auto"/>
        <w:ind w:firstLine="240" w:firstLineChars="100"/>
        <w:rPr>
          <w:rFonts w:ascii="宋体" w:hAnsi="宋体" w:cs="宋体"/>
          <w:sz w:val="24"/>
        </w:rPr>
      </w:pPr>
      <w:r>
        <w:rPr>
          <w:rFonts w:hint="eastAsia" w:ascii="宋体" w:hAnsi="宋体" w:cs="宋体"/>
          <w:sz w:val="24"/>
        </w:rPr>
        <w:t>（5）赛事发展延伸的特许产品设计、制作及经营权；</w:t>
      </w:r>
    </w:p>
    <w:p w14:paraId="3C1EC353">
      <w:pPr>
        <w:spacing w:line="360" w:lineRule="auto"/>
        <w:ind w:firstLine="240" w:firstLineChars="100"/>
        <w:rPr>
          <w:rFonts w:ascii="宋体" w:hAnsi="宋体" w:cs="宋体"/>
          <w:sz w:val="24"/>
        </w:rPr>
      </w:pPr>
      <w:r>
        <w:rPr>
          <w:rFonts w:hint="eastAsia" w:ascii="宋体" w:hAnsi="宋体" w:cs="宋体"/>
          <w:sz w:val="24"/>
        </w:rPr>
        <w:t>（6）乙方在协议期限内拥有赛事知识产品开发权利，包括制作、生产、印刷、促销和销售所有赛事带或不带官方名称、标识的商品的从属权利；</w:t>
      </w:r>
    </w:p>
    <w:p w14:paraId="3AACE4F6">
      <w:pPr>
        <w:spacing w:line="360" w:lineRule="auto"/>
        <w:ind w:firstLine="240" w:firstLineChars="100"/>
        <w:rPr>
          <w:rFonts w:ascii="宋体" w:hAnsi="宋体" w:cs="宋体"/>
          <w:sz w:val="24"/>
        </w:rPr>
      </w:pPr>
      <w:r>
        <w:rPr>
          <w:rFonts w:hint="eastAsia" w:ascii="宋体" w:hAnsi="宋体" w:cs="宋体"/>
          <w:sz w:val="24"/>
        </w:rPr>
        <w:t>（7）拥有在门户网站、社交网、视频网站等发布赛事相关音像资料、网络直播等网络版权；</w:t>
      </w:r>
    </w:p>
    <w:p w14:paraId="6BB2AAAA">
      <w:pPr>
        <w:spacing w:line="360" w:lineRule="auto"/>
        <w:ind w:firstLine="240" w:firstLineChars="100"/>
        <w:rPr>
          <w:rFonts w:ascii="宋体" w:hAnsi="宋体" w:cs="宋体"/>
          <w:sz w:val="24"/>
        </w:rPr>
      </w:pPr>
      <w:r>
        <w:rPr>
          <w:rFonts w:hint="eastAsia" w:ascii="宋体" w:hAnsi="宋体" w:cs="宋体"/>
          <w:sz w:val="24"/>
        </w:rPr>
        <w:t>（8）与赛事运动员协商其肖像使用权与肖像经营权的权利；</w:t>
      </w:r>
    </w:p>
    <w:p w14:paraId="4E73477E">
      <w:pPr>
        <w:spacing w:line="360" w:lineRule="auto"/>
        <w:ind w:firstLine="240" w:firstLineChars="100"/>
        <w:rPr>
          <w:rFonts w:ascii="宋体" w:hAnsi="宋体" w:cs="宋体"/>
          <w:sz w:val="24"/>
        </w:rPr>
      </w:pPr>
      <w:r>
        <w:rPr>
          <w:rFonts w:hint="eastAsia" w:ascii="宋体" w:hAnsi="宋体" w:cs="宋体"/>
          <w:sz w:val="24"/>
        </w:rPr>
        <w:t>（9）拥有赛事标识、组合标识、主视觉等方面设计及应用于相关搭建物、制作物等方面的权利；</w:t>
      </w:r>
    </w:p>
    <w:p w14:paraId="330834F3">
      <w:pPr>
        <w:spacing w:line="360" w:lineRule="auto"/>
        <w:ind w:firstLine="240" w:firstLineChars="100"/>
        <w:rPr>
          <w:rFonts w:ascii="宋体" w:hAnsi="宋体" w:cs="宋体"/>
          <w:sz w:val="24"/>
        </w:rPr>
      </w:pPr>
      <w:r>
        <w:rPr>
          <w:rFonts w:hint="eastAsia" w:ascii="宋体" w:hAnsi="宋体" w:cs="宋体"/>
          <w:sz w:val="24"/>
        </w:rPr>
        <w:t>（10）拥有赛事数字信号、音像制品的权利，这些权利包括对全部的或部分的基本信号和单方面信号的编辑、重新制作基本信号和单方面信号、生产和销售任何家庭音像制品、商业音像制品和任何形式的带或不带官方赛事名称、标识和标志的数字信号、光盘（包括但不限于激光光盘、DVD和CD ROM）的从属许可；</w:t>
      </w:r>
    </w:p>
    <w:p w14:paraId="05A2EF5A">
      <w:pPr>
        <w:spacing w:line="360" w:lineRule="auto"/>
        <w:ind w:firstLine="240" w:firstLineChars="100"/>
        <w:rPr>
          <w:rFonts w:ascii="宋体" w:hAnsi="宋体" w:cs="宋体"/>
          <w:sz w:val="24"/>
        </w:rPr>
      </w:pPr>
      <w:r>
        <w:rPr>
          <w:rFonts w:hint="eastAsia" w:ascii="宋体" w:hAnsi="宋体" w:cs="宋体"/>
          <w:sz w:val="24"/>
        </w:rPr>
        <w:t>（11）开发赛事官方歌曲、视频的权利，权利包括制作赛事的官方歌曲、视频和用于商业用途比如销售收录有官方歌曲、视频的专辑等；</w:t>
      </w:r>
    </w:p>
    <w:p w14:paraId="34F46137">
      <w:pPr>
        <w:spacing w:line="360" w:lineRule="auto"/>
        <w:ind w:firstLine="240" w:firstLineChars="100"/>
        <w:rPr>
          <w:rFonts w:ascii="宋体" w:hAnsi="宋体" w:cs="宋体"/>
          <w:sz w:val="24"/>
        </w:rPr>
      </w:pPr>
      <w:r>
        <w:rPr>
          <w:rFonts w:hint="eastAsia" w:ascii="宋体" w:hAnsi="宋体" w:cs="宋体"/>
          <w:sz w:val="24"/>
        </w:rPr>
        <w:t>（12）开发赛事的游戏软件的权利，权利包括利用官方名称、标识或标志、制作与赛事相关的游戏软件并用于商业用途比如销售软件。</w:t>
      </w:r>
    </w:p>
    <w:p w14:paraId="2EB1C666">
      <w:pPr>
        <w:spacing w:line="360" w:lineRule="auto"/>
        <w:ind w:firstLine="240" w:firstLineChars="100"/>
        <w:rPr>
          <w:rFonts w:ascii="宋体" w:hAnsi="宋体" w:cs="宋体"/>
          <w:sz w:val="24"/>
        </w:rPr>
      </w:pPr>
      <w:r>
        <w:rPr>
          <w:rFonts w:hint="eastAsia" w:ascii="宋体" w:hAnsi="宋体" w:cs="宋体"/>
          <w:sz w:val="24"/>
        </w:rPr>
        <w:t>（13）乙方有权组织马拉松博览会等所有相关赛事活动。</w:t>
      </w:r>
    </w:p>
    <w:p w14:paraId="370605ED">
      <w:pPr>
        <w:spacing w:line="360" w:lineRule="auto"/>
        <w:ind w:firstLine="480" w:firstLineChars="200"/>
        <w:rPr>
          <w:rFonts w:ascii="宋体" w:hAnsi="宋体" w:cs="宋体"/>
          <w:sz w:val="24"/>
        </w:rPr>
      </w:pPr>
      <w:r>
        <w:rPr>
          <w:rFonts w:ascii="宋体" w:hAnsi="宋体" w:cs="宋体"/>
          <w:sz w:val="24"/>
        </w:rPr>
        <w:t>6.</w:t>
      </w:r>
      <w:r>
        <w:rPr>
          <w:rFonts w:hint="eastAsia" w:ascii="宋体" w:hAnsi="宋体" w:cs="宋体"/>
          <w:sz w:val="24"/>
        </w:rPr>
        <w:t>乙方行使市场开发权应以有利于赛事的方式进行，并应配合甲方及赛事的整体规划、宣传等方案；不得违反法律、法规及政策规定。</w:t>
      </w:r>
    </w:p>
    <w:p w14:paraId="07C6D8A7">
      <w:pPr>
        <w:spacing w:line="360" w:lineRule="auto"/>
        <w:ind w:firstLine="480" w:firstLineChars="200"/>
        <w:rPr>
          <w:rFonts w:ascii="宋体" w:hAnsi="宋体" w:cs="宋体"/>
          <w:sz w:val="24"/>
        </w:rPr>
      </w:pPr>
      <w:r>
        <w:rPr>
          <w:rFonts w:ascii="宋体" w:hAnsi="宋体" w:cs="宋体"/>
          <w:sz w:val="24"/>
        </w:rPr>
        <w:t>7.</w:t>
      </w:r>
      <w:r>
        <w:rPr>
          <w:rFonts w:hint="eastAsia" w:ascii="宋体" w:hAnsi="宋体" w:cs="宋体"/>
          <w:sz w:val="24"/>
        </w:rPr>
        <w:t>乙方制定赛事市场开发计划和招商方案，包括各市场开发项目、各等级招商体系的价格以及赞助商的回报和礼宾礼遇，并经过甲方书面同意后组织实施，甲方不因行使该权利而承担任何责任，也不因此减轻或免除乙方根据本合同约定或相关法律法规规定应承担的任何义务或责任。</w:t>
      </w:r>
    </w:p>
    <w:p w14:paraId="05FDCA47">
      <w:pPr>
        <w:spacing w:line="360" w:lineRule="auto"/>
        <w:ind w:firstLine="480" w:firstLineChars="200"/>
        <w:rPr>
          <w:rFonts w:ascii="宋体" w:hAnsi="宋体" w:cs="宋体"/>
          <w:sz w:val="24"/>
        </w:rPr>
      </w:pPr>
      <w:r>
        <w:rPr>
          <w:rFonts w:ascii="宋体" w:hAnsi="宋体" w:cs="宋体"/>
          <w:sz w:val="24"/>
        </w:rPr>
        <w:t>8.</w:t>
      </w:r>
      <w:r>
        <w:rPr>
          <w:rFonts w:hint="eastAsia" w:ascii="宋体" w:hAnsi="宋体" w:cs="宋体"/>
          <w:sz w:val="24"/>
        </w:rPr>
        <w:t>乙方享有报名及参赛选手的全部数据信息。</w:t>
      </w:r>
    </w:p>
    <w:p w14:paraId="142FD8EA">
      <w:pPr>
        <w:spacing w:line="360" w:lineRule="auto"/>
        <w:ind w:firstLine="480" w:firstLineChars="200"/>
        <w:rPr>
          <w:rFonts w:ascii="宋体" w:hAnsi="宋体" w:cs="宋体"/>
          <w:sz w:val="24"/>
        </w:rPr>
      </w:pPr>
      <w:r>
        <w:rPr>
          <w:rFonts w:ascii="宋体" w:hAnsi="宋体" w:cs="宋体"/>
          <w:sz w:val="24"/>
        </w:rPr>
        <w:t>9.</w:t>
      </w:r>
      <w:r>
        <w:rPr>
          <w:rFonts w:hint="eastAsia" w:ascii="宋体" w:hAnsi="宋体" w:cs="宋体"/>
          <w:sz w:val="24"/>
        </w:rPr>
        <w:t>乙方考虑甲方的政策、市场及媒体等一切实际情况，与甲方本着友好协商、共同促进的态度，推进赛事规范化、市场化、产业化。</w:t>
      </w:r>
    </w:p>
    <w:p w14:paraId="7273CEE8">
      <w:pPr>
        <w:spacing w:line="360" w:lineRule="auto"/>
        <w:ind w:firstLine="480" w:firstLineChars="200"/>
        <w:rPr>
          <w:rFonts w:ascii="宋体" w:hAnsi="宋体" w:cs="宋体"/>
          <w:sz w:val="24"/>
        </w:rPr>
      </w:pPr>
      <w:r>
        <w:rPr>
          <w:rFonts w:hint="eastAsia" w:ascii="宋体" w:hAnsi="宋体" w:cs="宋体"/>
          <w:sz w:val="24"/>
        </w:rPr>
        <w:t>10.乙方及乙方人员在合同履行过程中造成自身的一切人身、财产损害责任均由乙方承担并负责赔偿；如因乙方原因造成甲方或第三方损害，导致甲方被追偿或受损的，由乙方承担甲方遭受的全部损失。</w:t>
      </w:r>
    </w:p>
    <w:p w14:paraId="60FF50A1">
      <w:pPr>
        <w:spacing w:line="360" w:lineRule="auto"/>
        <w:outlineLvl w:val="0"/>
        <w:rPr>
          <w:rFonts w:ascii="宋体" w:hAnsi="宋体" w:cs="宋体"/>
          <w:b/>
          <w:bCs/>
          <w:sz w:val="24"/>
        </w:rPr>
      </w:pPr>
      <w:r>
        <w:rPr>
          <w:rFonts w:hint="eastAsia" w:ascii="宋体" w:hAnsi="宋体" w:cs="宋体"/>
          <w:b/>
          <w:bCs/>
          <w:sz w:val="24"/>
        </w:rPr>
        <w:t>六、组成本合同的有关文件</w:t>
      </w:r>
    </w:p>
    <w:p w14:paraId="7B0D1223">
      <w:pPr>
        <w:spacing w:line="360" w:lineRule="auto"/>
        <w:ind w:firstLine="480" w:firstLineChars="200"/>
        <w:rPr>
          <w:rFonts w:ascii="宋体" w:hAnsi="宋体" w:cs="宋体"/>
          <w:sz w:val="24"/>
        </w:rPr>
      </w:pPr>
      <w:r>
        <w:rPr>
          <w:rFonts w:hint="eastAsia" w:ascii="宋体" w:hAnsi="宋体" w:cs="宋体"/>
          <w:sz w:val="24"/>
        </w:rPr>
        <w:t>下列与本次采购活动有关的文件及有关附件是本合同不可分割的组成部分，与本合同具有同等法律效力，这些文件包括但不限于：</w:t>
      </w:r>
    </w:p>
    <w:p w14:paraId="689CE7AC">
      <w:pPr>
        <w:spacing w:line="360" w:lineRule="auto"/>
        <w:ind w:firstLine="240" w:firstLineChars="100"/>
        <w:rPr>
          <w:rFonts w:ascii="宋体" w:hAnsi="宋体" w:cs="宋体"/>
          <w:sz w:val="24"/>
        </w:rPr>
      </w:pPr>
      <w:r>
        <w:rPr>
          <w:rFonts w:hint="eastAsia" w:ascii="宋体" w:hAnsi="宋体" w:cs="宋体"/>
          <w:sz w:val="24"/>
        </w:rPr>
        <w:t>（1）</w:t>
      </w:r>
      <w:r>
        <w:rPr>
          <w:rFonts w:hint="eastAsia" w:ascii="宋体" w:hAnsi="宋体" w:cs="宋体"/>
          <w:sz w:val="24"/>
          <w:lang w:val="en-US" w:eastAsia="zh-CN"/>
        </w:rPr>
        <w:t>采购</w:t>
      </w:r>
      <w:r>
        <w:rPr>
          <w:rFonts w:hint="eastAsia" w:ascii="宋体" w:hAnsi="宋体" w:cs="宋体"/>
          <w:sz w:val="24"/>
        </w:rPr>
        <w:t xml:space="preserve">文件  </w:t>
      </w:r>
    </w:p>
    <w:p w14:paraId="1AAEF646">
      <w:pPr>
        <w:spacing w:line="360" w:lineRule="auto"/>
        <w:ind w:firstLine="240" w:firstLineChars="100"/>
        <w:rPr>
          <w:rFonts w:ascii="宋体" w:hAnsi="宋体" w:cs="宋体"/>
          <w:sz w:val="24"/>
        </w:rPr>
      </w:pPr>
      <w:r>
        <w:rPr>
          <w:rFonts w:hint="eastAsia" w:ascii="宋体" w:hAnsi="宋体" w:cs="宋体"/>
          <w:sz w:val="24"/>
        </w:rPr>
        <w:t>（2）乙方</w:t>
      </w:r>
      <w:r>
        <w:rPr>
          <w:rFonts w:hint="eastAsia" w:ascii="宋体" w:hAnsi="宋体" w:cs="宋体"/>
          <w:sz w:val="24"/>
          <w:lang w:val="en-US" w:eastAsia="zh-CN"/>
        </w:rPr>
        <w:t>响应</w:t>
      </w:r>
      <w:r>
        <w:rPr>
          <w:rFonts w:hint="eastAsia" w:ascii="宋体" w:hAnsi="宋体" w:cs="宋体"/>
          <w:sz w:val="24"/>
        </w:rPr>
        <w:t xml:space="preserve">文件； </w:t>
      </w:r>
    </w:p>
    <w:p w14:paraId="20DCEE3E">
      <w:pPr>
        <w:spacing w:line="360" w:lineRule="auto"/>
        <w:ind w:firstLine="240" w:firstLineChars="100"/>
        <w:rPr>
          <w:rFonts w:ascii="宋体" w:hAnsi="宋体" w:cs="宋体"/>
          <w:sz w:val="24"/>
        </w:rPr>
      </w:pPr>
      <w:r>
        <w:rPr>
          <w:rFonts w:hint="eastAsia" w:ascii="宋体" w:hAnsi="宋体" w:cs="宋体"/>
          <w:sz w:val="24"/>
        </w:rPr>
        <w:t>（3）中标</w:t>
      </w:r>
      <w:r>
        <w:rPr>
          <w:rFonts w:hint="eastAsia" w:ascii="宋体" w:hAnsi="宋体" w:cs="宋体"/>
          <w:sz w:val="24"/>
          <w:lang w:eastAsia="zh-CN"/>
        </w:rPr>
        <w:t>（</w:t>
      </w:r>
      <w:r>
        <w:rPr>
          <w:rFonts w:hint="eastAsia" w:ascii="宋体" w:hAnsi="宋体" w:cs="宋体"/>
          <w:sz w:val="24"/>
          <w:lang w:val="en-US" w:eastAsia="zh-CN"/>
        </w:rPr>
        <w:t>成交</w:t>
      </w:r>
      <w:r>
        <w:rPr>
          <w:rFonts w:hint="eastAsia" w:ascii="宋体" w:hAnsi="宋体" w:cs="宋体"/>
          <w:sz w:val="24"/>
          <w:lang w:eastAsia="zh-CN"/>
        </w:rPr>
        <w:t>）</w:t>
      </w:r>
      <w:r>
        <w:rPr>
          <w:rFonts w:hint="eastAsia" w:ascii="宋体" w:hAnsi="宋体" w:cs="宋体"/>
          <w:sz w:val="24"/>
        </w:rPr>
        <w:t xml:space="preserve">通知书；                             </w:t>
      </w:r>
    </w:p>
    <w:p w14:paraId="0227B789">
      <w:pPr>
        <w:spacing w:line="360" w:lineRule="auto"/>
        <w:ind w:firstLine="240" w:firstLineChars="100"/>
        <w:rPr>
          <w:rFonts w:ascii="宋体" w:hAnsi="宋体" w:cs="宋体"/>
          <w:sz w:val="24"/>
        </w:rPr>
      </w:pPr>
      <w:r>
        <w:rPr>
          <w:rFonts w:hint="eastAsia" w:ascii="宋体" w:hAnsi="宋体" w:cs="宋体"/>
          <w:sz w:val="24"/>
        </w:rPr>
        <w:t>（4）甲乙双方商定的其他文件等。</w:t>
      </w:r>
    </w:p>
    <w:p w14:paraId="6D551957">
      <w:pPr>
        <w:spacing w:line="360" w:lineRule="auto"/>
        <w:outlineLvl w:val="0"/>
        <w:rPr>
          <w:rFonts w:ascii="宋体" w:hAnsi="宋体" w:cs="宋体"/>
          <w:b/>
          <w:bCs/>
          <w:sz w:val="24"/>
        </w:rPr>
      </w:pPr>
      <w:r>
        <w:rPr>
          <w:rFonts w:hint="eastAsia" w:ascii="宋体" w:hAnsi="宋体" w:cs="宋体"/>
          <w:b/>
          <w:bCs/>
          <w:sz w:val="24"/>
        </w:rPr>
        <w:t>七、违约责任</w:t>
      </w:r>
    </w:p>
    <w:p w14:paraId="46DBB6C6">
      <w:pPr>
        <w:spacing w:line="360" w:lineRule="auto"/>
        <w:ind w:firstLine="480" w:firstLineChars="200"/>
        <w:rPr>
          <w:rFonts w:ascii="宋体" w:hAnsi="宋体" w:cs="宋体"/>
          <w:sz w:val="24"/>
        </w:rPr>
      </w:pPr>
      <w:r>
        <w:rPr>
          <w:rFonts w:hint="eastAsia" w:ascii="宋体" w:hAnsi="宋体" w:cs="宋体"/>
          <w:sz w:val="24"/>
        </w:rPr>
        <w:t>1.如乙方不能按约定进行服务的，甲方有权解除合同，乙方按照合同总价5%的标准支付违约金，解除合同的通知自发出之日生效。</w:t>
      </w:r>
    </w:p>
    <w:p w14:paraId="5CDCF4CB">
      <w:pPr>
        <w:spacing w:line="360" w:lineRule="auto"/>
        <w:ind w:firstLine="480" w:firstLineChars="200"/>
        <w:rPr>
          <w:rFonts w:ascii="宋体" w:hAnsi="宋体" w:cs="宋体"/>
          <w:sz w:val="24"/>
        </w:rPr>
      </w:pPr>
      <w:r>
        <w:rPr>
          <w:rFonts w:hint="eastAsia" w:ascii="宋体" w:hAnsi="宋体" w:cs="宋体"/>
          <w:sz w:val="24"/>
        </w:rPr>
        <w:t>2.甲方未按合同规定的期限向乙方支付货款的，每逾期1天甲方向乙方偿付欠款总额的5‰滞纳金，但累计滞纳金总额不超过欠款总额的5% 。</w:t>
      </w:r>
    </w:p>
    <w:p w14:paraId="46B82005">
      <w:pPr>
        <w:spacing w:line="360" w:lineRule="auto"/>
        <w:ind w:firstLine="480" w:firstLineChars="200"/>
        <w:rPr>
          <w:rFonts w:ascii="宋体" w:hAnsi="宋体" w:cs="宋体"/>
          <w:sz w:val="24"/>
        </w:rPr>
      </w:pPr>
      <w:r>
        <w:rPr>
          <w:rFonts w:hint="eastAsia" w:ascii="宋体" w:hAnsi="宋体" w:cs="宋体"/>
          <w:sz w:val="24"/>
        </w:rPr>
        <w:t>3.乙方未按本合同的规定和“服务承诺”提供伴随服务的，甲方有权提前解除本合同，同时乙方应按合同总价款的5 %向甲方承担违约责任。</w:t>
      </w:r>
    </w:p>
    <w:p w14:paraId="3717C5B3">
      <w:pPr>
        <w:spacing w:line="360" w:lineRule="auto"/>
        <w:ind w:firstLine="480" w:firstLineChars="200"/>
        <w:rPr>
          <w:rFonts w:ascii="宋体" w:hAnsi="宋体" w:cs="宋体"/>
          <w:sz w:val="24"/>
        </w:rPr>
      </w:pPr>
      <w:r>
        <w:rPr>
          <w:rFonts w:hint="eastAsia" w:ascii="宋体" w:hAnsi="宋体" w:cs="宋体"/>
          <w:sz w:val="24"/>
        </w:rPr>
        <w:t>4.乙方在承担上述一项或多项违约责任后，仍应继续履行合同规定的义务（甲方解除合同的除外）。甲方未能及时追究乙方的任何一项违约责任并不表明甲方放弃追究乙方该项或其他违约责任。</w:t>
      </w:r>
    </w:p>
    <w:p w14:paraId="1B6451DC">
      <w:pPr>
        <w:spacing w:line="360" w:lineRule="auto"/>
        <w:ind w:firstLine="480" w:firstLineChars="200"/>
        <w:rPr>
          <w:rFonts w:ascii="宋体" w:hAnsi="宋体" w:cs="宋体"/>
          <w:sz w:val="24"/>
        </w:rPr>
      </w:pPr>
      <w:r>
        <w:rPr>
          <w:rFonts w:hint="eastAsia" w:ascii="宋体" w:hAnsi="宋体" w:cs="宋体"/>
          <w:sz w:val="24"/>
        </w:rPr>
        <w:t>5.其他未尽事宜，以《民法典》等有关法律法规规定为准，无相关规定的，双方协商解决。</w:t>
      </w:r>
    </w:p>
    <w:p w14:paraId="49803122">
      <w:pPr>
        <w:spacing w:line="360" w:lineRule="auto"/>
        <w:outlineLvl w:val="0"/>
        <w:rPr>
          <w:rFonts w:ascii="宋体" w:hAnsi="宋体" w:cs="宋体"/>
          <w:b/>
          <w:bCs/>
          <w:sz w:val="24"/>
        </w:rPr>
      </w:pPr>
      <w:r>
        <w:rPr>
          <w:rFonts w:hint="eastAsia" w:ascii="宋体" w:hAnsi="宋体" w:cs="宋体"/>
          <w:b/>
          <w:bCs/>
          <w:sz w:val="24"/>
        </w:rPr>
        <w:t>八、合同的变更和终止</w:t>
      </w:r>
    </w:p>
    <w:p w14:paraId="2B84F52B">
      <w:pPr>
        <w:spacing w:line="360" w:lineRule="auto"/>
        <w:ind w:firstLine="480" w:firstLineChars="200"/>
        <w:rPr>
          <w:rFonts w:ascii="宋体" w:hAnsi="宋体" w:cs="宋体"/>
          <w:sz w:val="24"/>
        </w:rPr>
      </w:pPr>
      <w:r>
        <w:rPr>
          <w:rFonts w:hint="eastAsia" w:ascii="宋体" w:hAnsi="宋体" w:cs="宋体"/>
          <w:sz w:val="24"/>
        </w:rPr>
        <w:t>1.合同一经签订，甲乙双方不得擅自变更、中止或终止合同。</w:t>
      </w:r>
    </w:p>
    <w:p w14:paraId="77FF6933">
      <w:pPr>
        <w:spacing w:line="360" w:lineRule="auto"/>
        <w:ind w:firstLine="480" w:firstLineChars="200"/>
        <w:rPr>
          <w:rFonts w:ascii="宋体" w:hAnsi="宋体" w:cs="宋体"/>
          <w:sz w:val="24"/>
        </w:rPr>
      </w:pPr>
      <w:r>
        <w:rPr>
          <w:rFonts w:hint="eastAsia" w:ascii="宋体" w:hAnsi="宋体" w:cs="宋体"/>
          <w:sz w:val="24"/>
        </w:rPr>
        <w:t>2.除发生法律规定的不能预见、不能避免并不能克服的客观情况外，甲乙双方不得放弃或拒绝履行合同。</w:t>
      </w:r>
    </w:p>
    <w:p w14:paraId="629F2014">
      <w:pPr>
        <w:spacing w:line="360" w:lineRule="auto"/>
        <w:outlineLvl w:val="0"/>
        <w:rPr>
          <w:rFonts w:ascii="宋体" w:hAnsi="宋体" w:cs="宋体"/>
          <w:b/>
          <w:bCs/>
          <w:sz w:val="24"/>
        </w:rPr>
      </w:pPr>
      <w:r>
        <w:rPr>
          <w:rFonts w:hint="eastAsia" w:ascii="宋体" w:hAnsi="宋体" w:cs="宋体"/>
          <w:b/>
          <w:bCs/>
          <w:sz w:val="24"/>
        </w:rPr>
        <w:t>九、合同的转让</w:t>
      </w:r>
    </w:p>
    <w:p w14:paraId="515ED30C">
      <w:pPr>
        <w:spacing w:line="360" w:lineRule="auto"/>
        <w:ind w:firstLine="480" w:firstLineChars="200"/>
        <w:rPr>
          <w:rFonts w:ascii="宋体" w:hAnsi="宋体" w:cs="宋体"/>
          <w:sz w:val="24"/>
        </w:rPr>
      </w:pPr>
      <w:r>
        <w:rPr>
          <w:rFonts w:hint="eastAsia" w:ascii="宋体" w:hAnsi="宋体" w:cs="宋体"/>
          <w:sz w:val="24"/>
        </w:rPr>
        <w:t>乙方不得擅自部分或全部转让其应履行的合同义务。</w:t>
      </w:r>
    </w:p>
    <w:p w14:paraId="3287AAA9">
      <w:pPr>
        <w:spacing w:line="360" w:lineRule="auto"/>
        <w:outlineLvl w:val="0"/>
        <w:rPr>
          <w:rFonts w:ascii="宋体" w:hAnsi="宋体" w:cs="宋体"/>
          <w:b/>
          <w:bCs/>
          <w:sz w:val="24"/>
        </w:rPr>
      </w:pPr>
      <w:r>
        <w:rPr>
          <w:rFonts w:hint="eastAsia" w:ascii="宋体" w:hAnsi="宋体" w:cs="宋体"/>
          <w:b/>
          <w:bCs/>
          <w:sz w:val="24"/>
        </w:rPr>
        <w:t>十、不可抗力</w:t>
      </w:r>
    </w:p>
    <w:p w14:paraId="405E45BD">
      <w:pPr>
        <w:spacing w:line="360" w:lineRule="auto"/>
        <w:ind w:firstLine="480" w:firstLineChars="200"/>
        <w:rPr>
          <w:rFonts w:ascii="宋体" w:hAnsi="宋体" w:cs="宋体"/>
          <w:sz w:val="24"/>
        </w:rPr>
      </w:pPr>
      <w:r>
        <w:rPr>
          <w:rFonts w:hint="eastAsia" w:ascii="宋体" w:hAnsi="宋体" w:cs="宋体"/>
          <w:sz w:val="24"/>
        </w:rPr>
        <w:t>甲、乙方中任何一方，因不可抗力不能按时或完全履行合同的，应及时通知对方，并在5个工作日内提供相应证明。未履行完合同部分是否继续履行、如何履行等问题，可由双方初步协商，并向主管部门报告。确定为不可抗力原因造成的损失，免予承担责任。</w:t>
      </w:r>
    </w:p>
    <w:p w14:paraId="6B02471C">
      <w:pPr>
        <w:spacing w:line="360" w:lineRule="auto"/>
        <w:outlineLvl w:val="0"/>
        <w:rPr>
          <w:rFonts w:ascii="宋体" w:hAnsi="宋体" w:cs="宋体"/>
          <w:b/>
          <w:bCs/>
          <w:sz w:val="24"/>
        </w:rPr>
      </w:pPr>
      <w:r>
        <w:rPr>
          <w:rFonts w:hint="eastAsia" w:ascii="宋体" w:hAnsi="宋体" w:cs="宋体"/>
          <w:b/>
          <w:bCs/>
          <w:sz w:val="24"/>
        </w:rPr>
        <w:t>十一、争议的解决</w:t>
      </w:r>
    </w:p>
    <w:p w14:paraId="3A7577F4">
      <w:pPr>
        <w:spacing w:line="360" w:lineRule="auto"/>
        <w:ind w:firstLine="480" w:firstLineChars="200"/>
        <w:rPr>
          <w:rFonts w:ascii="宋体" w:hAnsi="宋体" w:cs="宋体"/>
          <w:sz w:val="24"/>
        </w:rPr>
      </w:pPr>
      <w:r>
        <w:rPr>
          <w:rFonts w:hint="eastAsia" w:ascii="宋体" w:hAnsi="宋体" w:cs="宋体"/>
          <w:sz w:val="24"/>
        </w:rPr>
        <w:t>1.因履行本合同引起的或与本合同有关的争议，甲、乙双方应首先通过友好协商解决，如果协商不能解决争议，则采取以下第（ ）种方式解决争议：</w:t>
      </w:r>
    </w:p>
    <w:p w14:paraId="0F7516F6">
      <w:pPr>
        <w:spacing w:line="360" w:lineRule="auto"/>
        <w:ind w:firstLine="240" w:firstLineChars="100"/>
        <w:rPr>
          <w:rFonts w:ascii="宋体" w:hAnsi="宋体" w:cs="宋体"/>
          <w:sz w:val="24"/>
        </w:rPr>
      </w:pPr>
      <w:r>
        <w:rPr>
          <w:rFonts w:hint="eastAsia" w:ascii="宋体" w:hAnsi="宋体" w:cs="宋体"/>
          <w:sz w:val="24"/>
        </w:rPr>
        <w:t>（1）向甲方所在地有管辖权的人民法院提起诉讼；</w:t>
      </w:r>
    </w:p>
    <w:p w14:paraId="7C327713">
      <w:pPr>
        <w:spacing w:line="360" w:lineRule="auto"/>
        <w:ind w:firstLine="240" w:firstLineChars="100"/>
        <w:rPr>
          <w:rFonts w:ascii="宋体" w:hAnsi="宋体" w:cs="宋体"/>
          <w:sz w:val="24"/>
        </w:rPr>
      </w:pPr>
      <w:r>
        <w:rPr>
          <w:rFonts w:hint="eastAsia" w:ascii="宋体" w:hAnsi="宋体" w:cs="宋体"/>
          <w:sz w:val="24"/>
        </w:rPr>
        <w:t>（2）向甲方所在地仲裁委员会按其仲裁规则申请仲裁；</w:t>
      </w:r>
    </w:p>
    <w:p w14:paraId="7DEEC50B">
      <w:pPr>
        <w:spacing w:line="360" w:lineRule="auto"/>
        <w:rPr>
          <w:rFonts w:ascii="宋体" w:hAnsi="宋体" w:cs="宋体"/>
          <w:sz w:val="24"/>
        </w:rPr>
      </w:pPr>
      <w:r>
        <w:rPr>
          <w:rFonts w:hint="eastAsia" w:ascii="宋体" w:hAnsi="宋体" w:cs="宋体"/>
          <w:sz w:val="24"/>
        </w:rPr>
        <w:t>如没有约定，默认采取第2种方式解决争议。</w:t>
      </w:r>
    </w:p>
    <w:p w14:paraId="5BB6F734">
      <w:pPr>
        <w:spacing w:line="360" w:lineRule="auto"/>
        <w:ind w:firstLine="480" w:firstLineChars="200"/>
        <w:rPr>
          <w:rFonts w:ascii="宋体" w:hAnsi="宋体" w:cs="宋体"/>
          <w:sz w:val="24"/>
        </w:rPr>
      </w:pPr>
      <w:r>
        <w:rPr>
          <w:rFonts w:hint="eastAsia" w:ascii="宋体" w:hAnsi="宋体" w:cs="宋体"/>
          <w:sz w:val="24"/>
        </w:rPr>
        <w:t>2.在法院审理和仲裁期间，除有争议部分外，本合同其他部分应继续履行。</w:t>
      </w:r>
    </w:p>
    <w:p w14:paraId="2F0FD7C4">
      <w:pPr>
        <w:spacing w:line="360" w:lineRule="auto"/>
        <w:outlineLvl w:val="0"/>
        <w:rPr>
          <w:rFonts w:ascii="宋体" w:hAnsi="宋体" w:cs="宋体"/>
          <w:b/>
          <w:bCs/>
          <w:sz w:val="24"/>
        </w:rPr>
      </w:pPr>
      <w:r>
        <w:rPr>
          <w:rFonts w:hint="eastAsia" w:ascii="宋体" w:hAnsi="宋体" w:cs="宋体"/>
          <w:b/>
          <w:bCs/>
          <w:sz w:val="24"/>
        </w:rPr>
        <w:t>十二、合同生效及其他</w:t>
      </w:r>
    </w:p>
    <w:p w14:paraId="3108E79F">
      <w:pPr>
        <w:spacing w:line="360" w:lineRule="auto"/>
        <w:ind w:firstLine="480" w:firstLineChars="200"/>
        <w:rPr>
          <w:rFonts w:ascii="宋体" w:hAnsi="宋体" w:cs="宋体"/>
          <w:sz w:val="24"/>
        </w:rPr>
      </w:pPr>
      <w:r>
        <w:rPr>
          <w:rFonts w:hint="eastAsia" w:ascii="宋体" w:hAnsi="宋体" w:cs="宋体"/>
          <w:sz w:val="24"/>
        </w:rPr>
        <w:t>1.本合同自经甲乙双方授权代表签订并加盖公章后，自签订之日起生效。</w:t>
      </w:r>
    </w:p>
    <w:p w14:paraId="4F75BC8E">
      <w:pPr>
        <w:spacing w:line="360" w:lineRule="auto"/>
        <w:ind w:firstLine="480" w:firstLineChars="200"/>
        <w:rPr>
          <w:rFonts w:ascii="宋体" w:hAnsi="宋体" w:cs="宋体"/>
          <w:sz w:val="24"/>
        </w:rPr>
      </w:pPr>
      <w:r>
        <w:rPr>
          <w:rFonts w:hint="eastAsia" w:ascii="宋体" w:hAnsi="宋体" w:cs="宋体"/>
          <w:sz w:val="24"/>
        </w:rPr>
        <w:t>2.本合同一式贰份，甲乙双方各执壹份。</w:t>
      </w:r>
    </w:p>
    <w:p w14:paraId="68AEC28C">
      <w:pPr>
        <w:spacing w:line="360" w:lineRule="auto"/>
        <w:ind w:firstLine="480" w:firstLineChars="200"/>
        <w:rPr>
          <w:rFonts w:ascii="宋体" w:hAnsi="宋体" w:cs="宋体"/>
          <w:sz w:val="24"/>
        </w:rPr>
      </w:pPr>
      <w:r>
        <w:rPr>
          <w:rFonts w:hint="eastAsia" w:ascii="宋体" w:hAnsi="宋体" w:cs="宋体"/>
          <w:sz w:val="24"/>
        </w:rPr>
        <w:t>3.本合同应按照中华人民共和国的现行法律进行解释。</w:t>
      </w:r>
    </w:p>
    <w:p w14:paraId="4BA5E57A">
      <w:pPr>
        <w:spacing w:line="360" w:lineRule="auto"/>
        <w:ind w:firstLine="480" w:firstLineChars="200"/>
        <w:rPr>
          <w:rFonts w:ascii="宋体" w:hAnsi="宋体" w:cs="宋体"/>
          <w:sz w:val="24"/>
        </w:rPr>
      </w:pPr>
      <w:r>
        <w:rPr>
          <w:rFonts w:hint="eastAsia" w:ascii="宋体" w:hAnsi="宋体" w:cs="宋体"/>
          <w:sz w:val="24"/>
        </w:rPr>
        <w:t>以下无正文为合同签署页</w:t>
      </w:r>
    </w:p>
    <w:p w14:paraId="4FFC5585">
      <w:pPr>
        <w:spacing w:line="480" w:lineRule="exact"/>
        <w:ind w:left="5667" w:hanging="5667" w:hangingChars="2352"/>
        <w:jc w:val="left"/>
        <w:rPr>
          <w:rFonts w:ascii="宋体" w:hAnsi="宋体" w:cs="仿宋"/>
          <w:bCs/>
          <w:sz w:val="24"/>
        </w:rPr>
      </w:pPr>
      <w:r>
        <w:rPr>
          <w:rFonts w:hint="eastAsia" w:ascii="宋体" w:hAnsi="宋体" w:cs="仿宋"/>
          <w:b/>
          <w:bCs/>
          <w:sz w:val="24"/>
        </w:rPr>
        <w:t>甲方：（盖章）</w:t>
      </w:r>
      <w:r>
        <w:rPr>
          <w:rFonts w:hint="eastAsia" w:ascii="宋体" w:hAnsi="宋体"/>
          <w:sz w:val="24"/>
        </w:rPr>
        <w:t xml:space="preserve"> </w:t>
      </w:r>
      <w:r>
        <w:rPr>
          <w:rFonts w:ascii="宋体" w:hAnsi="宋体"/>
          <w:sz w:val="24"/>
        </w:rPr>
        <w:t xml:space="preserve">                             </w:t>
      </w:r>
      <w:r>
        <w:rPr>
          <w:rFonts w:hint="eastAsia" w:ascii="宋体" w:hAnsi="宋体" w:cs="仿宋"/>
          <w:b/>
          <w:bCs/>
          <w:sz w:val="24"/>
        </w:rPr>
        <w:t>乙方：（盖章）</w:t>
      </w:r>
      <w:r>
        <w:rPr>
          <w:rFonts w:hint="eastAsia" w:ascii="宋体" w:hAnsi="宋体" w:cs="仿宋"/>
          <w:bCs/>
          <w:sz w:val="24"/>
        </w:rPr>
        <w:t xml:space="preserve"> </w:t>
      </w:r>
      <w:r>
        <w:rPr>
          <w:rFonts w:hint="eastAsia" w:ascii="宋体" w:hAnsi="宋体" w:cs="仿宋"/>
          <w:b/>
          <w:bCs/>
          <w:sz w:val="24"/>
        </w:rPr>
        <w:t xml:space="preserve">               </w:t>
      </w:r>
      <w:r>
        <w:rPr>
          <w:rFonts w:ascii="宋体" w:hAnsi="宋体" w:cs="仿宋"/>
          <w:b/>
          <w:bCs/>
          <w:sz w:val="24"/>
        </w:rPr>
        <w:t xml:space="preserve">                          </w:t>
      </w:r>
    </w:p>
    <w:p w14:paraId="1E259C5F">
      <w:pPr>
        <w:spacing w:line="480" w:lineRule="exact"/>
        <w:jc w:val="left"/>
        <w:rPr>
          <w:rFonts w:ascii="宋体" w:hAnsi="宋体" w:cs="仿宋"/>
          <w:bCs/>
          <w:sz w:val="24"/>
        </w:rPr>
      </w:pPr>
      <w:r>
        <w:rPr>
          <w:rFonts w:hint="eastAsia" w:ascii="宋体" w:hAnsi="宋体" w:cs="仿宋"/>
          <w:bCs/>
          <w:sz w:val="24"/>
        </w:rPr>
        <w:t xml:space="preserve">法定代表人或委托代理人：              </w:t>
      </w:r>
      <w:r>
        <w:rPr>
          <w:rFonts w:ascii="宋体" w:hAnsi="宋体" w:cs="仿宋"/>
          <w:bCs/>
          <w:sz w:val="24"/>
        </w:rPr>
        <w:t xml:space="preserve">     </w:t>
      </w:r>
      <w:r>
        <w:rPr>
          <w:rFonts w:hint="eastAsia" w:ascii="宋体" w:hAnsi="宋体" w:cs="仿宋"/>
          <w:bCs/>
          <w:sz w:val="24"/>
        </w:rPr>
        <w:t>法定代表人或委托代理人：</w:t>
      </w:r>
    </w:p>
    <w:p w14:paraId="38F527C9">
      <w:pPr>
        <w:spacing w:line="480" w:lineRule="exact"/>
        <w:ind w:left="4800" w:hanging="4800" w:hangingChars="2000"/>
        <w:jc w:val="left"/>
        <w:rPr>
          <w:rFonts w:ascii="宋体" w:hAnsi="宋体" w:cs="仿宋"/>
          <w:bCs/>
          <w:sz w:val="24"/>
        </w:rPr>
      </w:pPr>
      <w:r>
        <w:rPr>
          <w:rFonts w:hint="eastAsia" w:ascii="宋体" w:hAnsi="宋体" w:cs="仿宋"/>
          <w:bCs/>
          <w:sz w:val="24"/>
        </w:rPr>
        <w:t xml:space="preserve">地址：        </w:t>
      </w:r>
      <w:r>
        <w:rPr>
          <w:rFonts w:ascii="宋体" w:hAnsi="宋体" w:cs="仿宋"/>
          <w:bCs/>
          <w:sz w:val="24"/>
        </w:rPr>
        <w:t xml:space="preserve">                                </w:t>
      </w:r>
      <w:r>
        <w:rPr>
          <w:rFonts w:hint="eastAsia" w:ascii="宋体" w:hAnsi="宋体" w:cs="仿宋"/>
          <w:bCs/>
          <w:sz w:val="24"/>
        </w:rPr>
        <w:t xml:space="preserve">地址： </w:t>
      </w:r>
    </w:p>
    <w:p w14:paraId="688891E2">
      <w:pPr>
        <w:adjustRightInd w:val="0"/>
        <w:snapToGrid w:val="0"/>
        <w:spacing w:line="480" w:lineRule="exact"/>
        <w:rPr>
          <w:rFonts w:ascii="宋体" w:hAnsi="宋体" w:cs="仿宋"/>
          <w:bCs/>
          <w:sz w:val="24"/>
        </w:rPr>
      </w:pPr>
      <w:r>
        <w:rPr>
          <w:rFonts w:hint="eastAsia" w:ascii="宋体" w:hAnsi="宋体" w:cs="仿宋"/>
          <w:bCs/>
          <w:sz w:val="24"/>
        </w:rPr>
        <w:t xml:space="preserve">电话:                   </w:t>
      </w:r>
      <w:r>
        <w:rPr>
          <w:rFonts w:ascii="宋体" w:hAnsi="宋体" w:cs="仿宋"/>
          <w:bCs/>
          <w:sz w:val="24"/>
        </w:rPr>
        <w:t xml:space="preserve">                      </w:t>
      </w:r>
      <w:r>
        <w:rPr>
          <w:rFonts w:hint="eastAsia" w:ascii="宋体" w:hAnsi="宋体" w:cs="仿宋"/>
          <w:bCs/>
          <w:sz w:val="24"/>
        </w:rPr>
        <w:t xml:space="preserve">电话:  </w:t>
      </w:r>
    </w:p>
    <w:p w14:paraId="2E05A82B">
      <w:pPr>
        <w:tabs>
          <w:tab w:val="left" w:pos="900"/>
          <w:tab w:val="left" w:pos="1080"/>
        </w:tabs>
        <w:snapToGrid w:val="0"/>
        <w:spacing w:line="480" w:lineRule="exact"/>
        <w:rPr>
          <w:rFonts w:ascii="宋体" w:hAnsi="宋体" w:cs="仿宋"/>
          <w:bCs/>
          <w:sz w:val="24"/>
        </w:rPr>
      </w:pPr>
      <w:r>
        <w:rPr>
          <w:rFonts w:hint="eastAsia" w:ascii="宋体" w:hAnsi="宋体" w:cs="仿宋"/>
          <w:bCs/>
          <w:sz w:val="24"/>
        </w:rPr>
        <w:t xml:space="preserve">         </w:t>
      </w:r>
      <w:r>
        <w:rPr>
          <w:rFonts w:ascii="宋体" w:hAnsi="宋体" w:cs="仿宋"/>
          <w:bCs/>
          <w:sz w:val="24"/>
        </w:rPr>
        <w:t xml:space="preserve">               </w:t>
      </w:r>
      <w:r>
        <w:rPr>
          <w:rFonts w:hint="eastAsia" w:ascii="宋体" w:hAnsi="宋体" w:cs="仿宋"/>
          <w:bCs/>
          <w:sz w:val="24"/>
        </w:rPr>
        <w:t xml:space="preserve">              </w:t>
      </w:r>
      <w:r>
        <w:rPr>
          <w:rFonts w:ascii="宋体" w:hAnsi="宋体" w:cs="仿宋"/>
          <w:bCs/>
          <w:sz w:val="24"/>
        </w:rPr>
        <w:t xml:space="preserve">    </w:t>
      </w:r>
      <w:r>
        <w:rPr>
          <w:rFonts w:hint="eastAsia" w:ascii="宋体" w:hAnsi="宋体" w:cs="仿宋"/>
          <w:bCs/>
          <w:sz w:val="24"/>
        </w:rPr>
        <w:t xml:space="preserve">  </w:t>
      </w:r>
      <w:r>
        <w:rPr>
          <w:rFonts w:ascii="宋体" w:hAnsi="宋体" w:cs="仿宋"/>
          <w:bCs/>
          <w:sz w:val="24"/>
        </w:rPr>
        <w:t xml:space="preserve">  </w:t>
      </w:r>
      <w:r>
        <w:rPr>
          <w:rFonts w:hint="eastAsia" w:ascii="宋体" w:hAnsi="宋体" w:cs="仿宋"/>
          <w:bCs/>
          <w:sz w:val="24"/>
        </w:rPr>
        <w:t>开户行：</w:t>
      </w:r>
    </w:p>
    <w:p w14:paraId="68E42976">
      <w:pPr>
        <w:spacing w:line="360" w:lineRule="auto"/>
        <w:rPr>
          <w:rFonts w:hint="eastAsia" w:eastAsia="宋体" w:cs="宋体"/>
          <w:b/>
          <w:color w:val="000000" w:themeColor="text1"/>
          <w:sz w:val="21"/>
          <w14:textFill>
            <w14:solidFill>
              <w14:schemeClr w14:val="tx1"/>
            </w14:solidFill>
          </w14:textFill>
        </w:rPr>
      </w:pPr>
      <w:r>
        <w:rPr>
          <w:rFonts w:hint="eastAsia" w:ascii="宋体" w:hAnsi="宋体" w:cs="仿宋"/>
          <w:bCs/>
          <w:sz w:val="24"/>
        </w:rPr>
        <w:t>银行账号：</w:t>
      </w:r>
    </w:p>
    <w:p w14:paraId="01EE9E72">
      <w:pPr>
        <w:pStyle w:val="343"/>
        <w:spacing w:line="360" w:lineRule="auto"/>
        <w:ind w:firstLine="422"/>
        <w:rPr>
          <w:rFonts w:hint="eastAsia" w:eastAsia="宋体" w:cs="宋体"/>
          <w:b/>
          <w:color w:val="000000" w:themeColor="text1"/>
          <w:sz w:val="21"/>
          <w14:textFill>
            <w14:solidFill>
              <w14:schemeClr w14:val="tx1"/>
            </w14:solidFill>
          </w14:textFill>
        </w:rPr>
      </w:pPr>
      <w:r>
        <w:rPr>
          <w:rFonts w:hint="eastAsia" w:eastAsia="宋体" w:cs="宋体"/>
          <w:b/>
          <w:color w:val="000000" w:themeColor="text1"/>
          <w:sz w:val="21"/>
          <w14:textFill>
            <w14:solidFill>
              <w14:schemeClr w14:val="tx1"/>
            </w14:solidFill>
          </w14:textFill>
        </w:rPr>
        <w:t>注：以上合同供参考，具体以双方协商一致后签订的合同为准。</w:t>
      </w:r>
    </w:p>
    <w:p w14:paraId="60C7C71A">
      <w:pPr>
        <w:widowControl/>
        <w:jc w:val="center"/>
        <w:rPr>
          <w:rFonts w:ascii="宋体" w:hAnsi="宋体"/>
          <w:color w:val="000000" w:themeColor="text1"/>
          <w14:textFill>
            <w14:solidFill>
              <w14:schemeClr w14:val="tx1"/>
            </w14:solidFill>
          </w14:textFill>
        </w:rPr>
      </w:pPr>
      <w:r>
        <w:rPr>
          <w:rFonts w:hint="eastAsia" w:eastAsia="宋体" w:cs="宋体"/>
          <w:b/>
          <w:color w:val="000000" w:themeColor="text1"/>
          <w:sz w:val="21"/>
          <w14:textFill>
            <w14:solidFill>
              <w14:schemeClr w14:val="tx1"/>
            </w14:solidFill>
          </w14:textFill>
        </w:rPr>
        <w:br w:type="page"/>
      </w:r>
      <w:r>
        <w:rPr>
          <w:rFonts w:hint="eastAsia" w:ascii="宋体" w:hAnsi="宋体" w:eastAsia="宋体" w:cs="黑体"/>
          <w:b/>
          <w:color w:val="000000" w:themeColor="text1"/>
          <w:sz w:val="36"/>
          <w:szCs w:val="36"/>
          <w:lang w:val="en-US" w:eastAsia="zh-CN" w:bidi="ar-SA"/>
          <w14:textFill>
            <w14:solidFill>
              <w14:schemeClr w14:val="tx1"/>
            </w14:solidFill>
          </w14:textFill>
        </w:rPr>
        <w:t>第六章  响应文件格式</w:t>
      </w:r>
      <w:bookmarkEnd w:id="639"/>
      <w:bookmarkEnd w:id="640"/>
    </w:p>
    <w:p w14:paraId="6E90E706">
      <w:pPr>
        <w:spacing w:line="360" w:lineRule="auto"/>
        <w:ind w:firstLine="482"/>
        <w:contextualSpacing/>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供应商编制文件须知：</w:t>
      </w:r>
    </w:p>
    <w:p w14:paraId="6ECE805F">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1、供应商按照</w:t>
      </w:r>
      <w:r>
        <w:rPr>
          <w:rFonts w:hint="eastAsia" w:ascii="宋体" w:hAnsi="宋体"/>
          <w:bCs/>
          <w:color w:val="000000" w:themeColor="text1"/>
          <w:sz w:val="24"/>
          <w14:textFill>
            <w14:solidFill>
              <w14:schemeClr w14:val="tx1"/>
            </w14:solidFill>
          </w14:textFill>
        </w:rPr>
        <w:t>采购</w:t>
      </w:r>
      <w:r>
        <w:rPr>
          <w:rFonts w:ascii="宋体" w:hAnsi="宋体"/>
          <w:bCs/>
          <w:color w:val="000000" w:themeColor="text1"/>
          <w:sz w:val="24"/>
          <w14:textFill>
            <w14:solidFill>
              <w14:schemeClr w14:val="tx1"/>
            </w14:solidFill>
          </w14:textFill>
        </w:rPr>
        <w:t>文件要求编制响应文件，编制中涉及格式资料的，应按照本部分提供的内容和格式（所有表格的格式可扩展）填写提交。</w:t>
      </w:r>
    </w:p>
    <w:p w14:paraId="24A19C93">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p>
    <w:p w14:paraId="36FEACFC">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3、全部声明和问题的回答及所附材料必须是真实的、准确的和完整的。</w:t>
      </w:r>
    </w:p>
    <w:p w14:paraId="43FC820D">
      <w:pPr>
        <w:spacing w:line="360" w:lineRule="auto"/>
        <w:ind w:firstLine="480"/>
        <w:contextualSpacing/>
        <w:rPr>
          <w:rFonts w:ascii="宋体" w:hAnsi="宋体"/>
          <w:bCs/>
          <w:color w:val="000000" w:themeColor="text1"/>
          <w:sz w:val="24"/>
          <w14:textFill>
            <w14:solidFill>
              <w14:schemeClr w14:val="tx1"/>
            </w14:solidFill>
          </w14:textFill>
        </w:rPr>
        <w:sectPr>
          <w:pgSz w:w="11906" w:h="16838"/>
          <w:pgMar w:top="1440" w:right="1800" w:bottom="1440" w:left="1800" w:header="851" w:footer="992" w:gutter="0"/>
          <w:cols w:space="1701" w:num="1"/>
          <w:docGrid w:linePitch="360" w:charSpace="0"/>
        </w:sectPr>
      </w:pPr>
      <w:r>
        <w:rPr>
          <w:rFonts w:hint="eastAsia" w:ascii="宋体" w:hAnsi="宋体"/>
          <w:bCs/>
          <w:color w:val="000000" w:themeColor="text1"/>
          <w:sz w:val="24"/>
          <w14:textFill>
            <w14:solidFill>
              <w14:schemeClr w14:val="tx1"/>
            </w14:solidFill>
          </w14:textFill>
        </w:rPr>
        <w:t>4、供应商需按照磋商文件要求，加盖公章、签名。</w:t>
      </w:r>
    </w:p>
    <w:p w14:paraId="73EE293E">
      <w:pPr>
        <w:spacing w:line="360" w:lineRule="auto"/>
        <w:rPr>
          <w:rFonts w:ascii="宋体" w:hAnsi="宋体"/>
          <w:b/>
          <w:color w:val="000000" w:themeColor="text1"/>
          <w:sz w:val="24"/>
          <w14:textFill>
            <w14:solidFill>
              <w14:schemeClr w14:val="tx1"/>
            </w14:solidFill>
          </w14:textFill>
        </w:rPr>
      </w:pPr>
      <w:r>
        <w:rPr>
          <w:rFonts w:ascii="宋体" w:hAnsi="宋体"/>
          <w:b/>
          <w:color w:val="000000" w:themeColor="text1"/>
          <w:spacing w:val="20"/>
          <w:sz w:val="24"/>
          <w14:textFill>
            <w14:solidFill>
              <w14:schemeClr w14:val="tx1"/>
            </w14:solidFill>
          </w14:textFill>
        </w:rPr>
        <w:t>响应文件</w:t>
      </w:r>
      <w:r>
        <w:rPr>
          <w:rFonts w:ascii="宋体" w:hAnsi="宋体"/>
          <w:b/>
          <w:color w:val="000000" w:themeColor="text1"/>
          <w:sz w:val="24"/>
          <w14:textFill>
            <w14:solidFill>
              <w14:schemeClr w14:val="tx1"/>
            </w14:solidFill>
          </w14:textFill>
        </w:rPr>
        <w:t>封面（非实质性格式）</w:t>
      </w:r>
    </w:p>
    <w:p w14:paraId="0BFDCF65">
      <w:pPr>
        <w:spacing w:line="360" w:lineRule="auto"/>
        <w:jc w:val="center"/>
        <w:rPr>
          <w:rFonts w:ascii="宋体" w:hAnsi="宋体"/>
          <w:b/>
          <w:color w:val="000000" w:themeColor="text1"/>
          <w:spacing w:val="60"/>
          <w:sz w:val="84"/>
          <w:szCs w:val="84"/>
          <w14:textFill>
            <w14:solidFill>
              <w14:schemeClr w14:val="tx1"/>
            </w14:solidFill>
          </w14:textFill>
        </w:rPr>
      </w:pPr>
    </w:p>
    <w:p w14:paraId="1A869985">
      <w:pPr>
        <w:spacing w:line="360" w:lineRule="auto"/>
        <w:jc w:val="center"/>
        <w:rPr>
          <w:rFonts w:ascii="宋体" w:hAnsi="宋体"/>
          <w:b/>
          <w:color w:val="000000" w:themeColor="text1"/>
          <w:spacing w:val="60"/>
          <w:sz w:val="84"/>
          <w:szCs w:val="84"/>
          <w14:textFill>
            <w14:solidFill>
              <w14:schemeClr w14:val="tx1"/>
            </w14:solidFill>
          </w14:textFill>
        </w:rPr>
      </w:pPr>
    </w:p>
    <w:p w14:paraId="6B0F5DA8">
      <w:pPr>
        <w:spacing w:line="360" w:lineRule="auto"/>
        <w:jc w:val="center"/>
        <w:rPr>
          <w:rFonts w:ascii="宋体" w:hAnsi="宋体"/>
          <w:b/>
          <w:color w:val="000000" w:themeColor="text1"/>
          <w:spacing w:val="60"/>
          <w:sz w:val="84"/>
          <w:szCs w:val="84"/>
          <w14:textFill>
            <w14:solidFill>
              <w14:schemeClr w14:val="tx1"/>
            </w14:solidFill>
          </w14:textFill>
        </w:rPr>
      </w:pPr>
    </w:p>
    <w:p w14:paraId="397E836E">
      <w:pPr>
        <w:spacing w:line="360" w:lineRule="auto"/>
        <w:jc w:val="center"/>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t>响 应 文 件</w:t>
      </w:r>
    </w:p>
    <w:p w14:paraId="32B0F865">
      <w:pPr>
        <w:spacing w:line="360" w:lineRule="auto"/>
        <w:jc w:val="center"/>
        <w:rPr>
          <w:rFonts w:ascii="宋体" w:hAnsi="宋体"/>
          <w:b/>
          <w:color w:val="000000" w:themeColor="text1"/>
          <w:spacing w:val="60"/>
          <w:sz w:val="36"/>
          <w:szCs w:val="36"/>
          <w14:textFill>
            <w14:solidFill>
              <w14:schemeClr w14:val="tx1"/>
            </w14:solidFill>
          </w14:textFill>
        </w:rPr>
      </w:pPr>
    </w:p>
    <w:p w14:paraId="17BFD807">
      <w:pPr>
        <w:spacing w:line="360" w:lineRule="auto"/>
        <w:jc w:val="center"/>
        <w:rPr>
          <w:rFonts w:ascii="宋体" w:hAnsi="宋体"/>
          <w:b/>
          <w:color w:val="000000" w:themeColor="text1"/>
          <w:spacing w:val="60"/>
          <w:sz w:val="84"/>
          <w:szCs w:val="84"/>
          <w14:textFill>
            <w14:solidFill>
              <w14:schemeClr w14:val="tx1"/>
            </w14:solidFill>
          </w14:textFill>
        </w:rPr>
      </w:pPr>
    </w:p>
    <w:p w14:paraId="70496933">
      <w:pPr>
        <w:spacing w:line="360" w:lineRule="auto"/>
        <w:jc w:val="center"/>
        <w:rPr>
          <w:rFonts w:ascii="宋体" w:hAnsi="宋体"/>
          <w:b/>
          <w:color w:val="000000" w:themeColor="text1"/>
          <w:spacing w:val="60"/>
          <w:sz w:val="84"/>
          <w:szCs w:val="84"/>
          <w14:textFill>
            <w14:solidFill>
              <w14:schemeClr w14:val="tx1"/>
            </w14:solidFill>
          </w14:textFill>
        </w:rPr>
      </w:pPr>
    </w:p>
    <w:p w14:paraId="16722B38">
      <w:pPr>
        <w:ind w:firstLine="1084"/>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项 目 名 称：</w:t>
      </w:r>
      <w:r>
        <w:rPr>
          <w:rFonts w:hint="eastAsia" w:ascii="宋体" w:hAnsi="宋体"/>
          <w:b/>
          <w:color w:val="000000" w:themeColor="text1"/>
          <w:sz w:val="36"/>
          <w:u w:val="single"/>
          <w14:textFill>
            <w14:solidFill>
              <w14:schemeClr w14:val="tx1"/>
            </w14:solidFill>
          </w14:textFill>
        </w:rPr>
        <w:t xml:space="preserve"> </w:t>
      </w:r>
      <w:r>
        <w:rPr>
          <w:rFonts w:ascii="宋体" w:hAnsi="宋体"/>
          <w:b/>
          <w:color w:val="000000" w:themeColor="text1"/>
          <w:sz w:val="36"/>
          <w:u w:val="single"/>
          <w14:textFill>
            <w14:solidFill>
              <w14:schemeClr w14:val="tx1"/>
            </w14:solidFill>
          </w14:textFill>
        </w:rPr>
        <w:t xml:space="preserve">                  </w:t>
      </w:r>
    </w:p>
    <w:p w14:paraId="64758F63">
      <w:pPr>
        <w:ind w:firstLine="1084"/>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项 目 编 号：</w:t>
      </w:r>
      <w:r>
        <w:rPr>
          <w:rFonts w:hint="eastAsia" w:ascii="宋体" w:hAnsi="宋体"/>
          <w:b/>
          <w:color w:val="000000" w:themeColor="text1"/>
          <w:sz w:val="36"/>
          <w:u w:val="single"/>
          <w14:textFill>
            <w14:solidFill>
              <w14:schemeClr w14:val="tx1"/>
            </w14:solidFill>
          </w14:textFill>
        </w:rPr>
        <w:t xml:space="preserve"> </w:t>
      </w:r>
      <w:r>
        <w:rPr>
          <w:rFonts w:ascii="宋体" w:hAnsi="宋体"/>
          <w:b/>
          <w:color w:val="000000" w:themeColor="text1"/>
          <w:sz w:val="36"/>
          <w:u w:val="single"/>
          <w14:textFill>
            <w14:solidFill>
              <w14:schemeClr w14:val="tx1"/>
            </w14:solidFill>
          </w14:textFill>
        </w:rPr>
        <w:t xml:space="preserve">                  </w:t>
      </w:r>
    </w:p>
    <w:p w14:paraId="62A73EA5">
      <w:pPr>
        <w:ind w:firstLine="1084"/>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供应商名称 ：</w:t>
      </w:r>
      <w:bookmarkStart w:id="641" w:name="_Hlk149916267"/>
      <w:r>
        <w:rPr>
          <w:rFonts w:hint="eastAsia" w:ascii="宋体" w:hAnsi="宋体"/>
          <w:b/>
          <w:color w:val="000000" w:themeColor="text1"/>
          <w:sz w:val="36"/>
          <w:u w:val="single"/>
          <w14:textFill>
            <w14:solidFill>
              <w14:schemeClr w14:val="tx1"/>
            </w14:solidFill>
          </w14:textFill>
        </w:rPr>
        <w:t>（加盖CA电子公章）</w:t>
      </w:r>
      <w:bookmarkEnd w:id="641"/>
    </w:p>
    <w:p w14:paraId="1645CA24">
      <w:pPr>
        <w:ind w:firstLine="1084"/>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日      期 ：</w:t>
      </w:r>
      <w:r>
        <w:rPr>
          <w:rFonts w:hint="eastAsia" w:ascii="宋体" w:hAnsi="宋体"/>
          <w:b/>
          <w:color w:val="000000" w:themeColor="text1"/>
          <w:sz w:val="36"/>
          <w:u w:val="single"/>
          <w14:textFill>
            <w14:solidFill>
              <w14:schemeClr w14:val="tx1"/>
            </w14:solidFill>
          </w14:textFill>
        </w:rPr>
        <w:t xml:space="preserve"> </w:t>
      </w:r>
      <w:r>
        <w:rPr>
          <w:rFonts w:ascii="宋体" w:hAnsi="宋体"/>
          <w:b/>
          <w:color w:val="000000" w:themeColor="text1"/>
          <w:sz w:val="36"/>
          <w:u w:val="single"/>
          <w14:textFill>
            <w14:solidFill>
              <w14:schemeClr w14:val="tx1"/>
            </w14:solidFill>
          </w14:textFill>
        </w:rPr>
        <w:t xml:space="preserve">                  </w:t>
      </w:r>
    </w:p>
    <w:p w14:paraId="04DD9802">
      <w:pPr>
        <w:rPr>
          <w:rFonts w:ascii="宋体" w:hAnsi="宋体"/>
          <w:b/>
          <w:color w:val="000000" w:themeColor="text1"/>
          <w:sz w:val="36"/>
          <w14:textFill>
            <w14:solidFill>
              <w14:schemeClr w14:val="tx1"/>
            </w14:solidFill>
          </w14:textFill>
        </w:rPr>
        <w:sectPr>
          <w:pgSz w:w="11906" w:h="16838"/>
          <w:pgMar w:top="1440" w:right="1800" w:bottom="1440" w:left="1800" w:header="851" w:footer="992" w:gutter="0"/>
          <w:cols w:space="1701" w:num="1"/>
          <w:docGrid w:linePitch="360" w:charSpace="0"/>
        </w:sectPr>
      </w:pPr>
    </w:p>
    <w:p w14:paraId="79792A2E">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 </w:t>
      </w:r>
      <w:r>
        <w:rPr>
          <w:rFonts w:ascii="宋体" w:hAnsi="宋体"/>
          <w:color w:val="000000" w:themeColor="text1"/>
          <w:sz w:val="24"/>
          <w14:textFill>
            <w14:solidFill>
              <w14:schemeClr w14:val="tx1"/>
            </w14:solidFill>
          </w14:textFill>
        </w:rPr>
        <w:t>满足《中华人民共和国政府采购法》第二十二条规定及法律法规的其他规定</w:t>
      </w:r>
    </w:p>
    <w:p w14:paraId="27E6D02B">
      <w:pPr>
        <w:spacing w:line="360" w:lineRule="auto"/>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1-</w:t>
      </w:r>
      <w:r>
        <w:rPr>
          <w:rFonts w:hint="eastAsia" w:ascii="宋体" w:hAnsi="宋体"/>
          <w:bCs/>
          <w:color w:val="000000" w:themeColor="text1"/>
          <w:sz w:val="24"/>
          <w14:textFill>
            <w14:solidFill>
              <w14:schemeClr w14:val="tx1"/>
            </w14:solidFill>
          </w14:textFill>
        </w:rPr>
        <w:t>1</w:t>
      </w:r>
      <w:r>
        <w:rPr>
          <w:rFonts w:ascii="宋体" w:hAnsi="宋体"/>
          <w:bCs/>
          <w:color w:val="000000" w:themeColor="text1"/>
          <w:sz w:val="24"/>
          <w14:textFill>
            <w14:solidFill>
              <w14:schemeClr w14:val="tx1"/>
            </w14:solidFill>
          </w14:textFill>
        </w:rPr>
        <w:t xml:space="preserve"> 供应商资格声明</w:t>
      </w:r>
      <w:r>
        <w:rPr>
          <w:rFonts w:hint="eastAsia" w:ascii="宋体" w:hAnsi="宋体"/>
          <w:bCs/>
          <w:color w:val="000000" w:themeColor="text1"/>
          <w:sz w:val="24"/>
          <w14:textFill>
            <w14:solidFill>
              <w14:schemeClr w14:val="tx1"/>
            </w14:solidFill>
          </w14:textFill>
        </w:rPr>
        <w:t>函</w:t>
      </w:r>
      <w:r>
        <w:rPr>
          <w:rFonts w:ascii="宋体" w:hAnsi="宋体"/>
          <w:bCs/>
          <w:color w:val="000000" w:themeColor="text1"/>
          <w:sz w:val="24"/>
          <w14:textFill>
            <w14:solidFill>
              <w14:schemeClr w14:val="tx1"/>
            </w14:solidFill>
          </w14:textFill>
        </w:rPr>
        <w:t>（实质性格式）</w:t>
      </w:r>
    </w:p>
    <w:p w14:paraId="1A217D5B">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供应商资格声明函</w:t>
      </w:r>
    </w:p>
    <w:p w14:paraId="43C352EC">
      <w:pPr>
        <w:pStyle w:val="4"/>
        <w:spacing w:line="460" w:lineRule="exact"/>
        <w:ind w:firstLine="480"/>
        <w:rPr>
          <w:color w:val="000000" w:themeColor="text1"/>
          <w14:textFill>
            <w14:solidFill>
              <w14:schemeClr w14:val="tx1"/>
            </w14:solidFill>
          </w14:textFill>
        </w:rPr>
      </w:pPr>
      <w:r>
        <w:rPr>
          <w:rFonts w:hint="eastAsia" w:hAnsi="宋体"/>
          <w:bCs/>
          <w:color w:val="000000" w:themeColor="text1"/>
          <w14:textFill>
            <w14:solidFill>
              <w14:schemeClr w14:val="tx1"/>
            </w14:solidFill>
          </w14:textFill>
        </w:rPr>
        <w:t>致：</w:t>
      </w:r>
      <w:r>
        <w:rPr>
          <w:rFonts w:hint="eastAsia"/>
          <w:bCs/>
          <w:color w:val="000000" w:themeColor="text1"/>
          <w14:textFill>
            <w14:solidFill>
              <w14:schemeClr w14:val="tx1"/>
            </w14:solidFill>
          </w14:textFill>
        </w:rPr>
        <w:t>江苏春为全过程工程咨询有限公司</w:t>
      </w:r>
    </w:p>
    <w:p w14:paraId="6A56C0D3">
      <w:pPr>
        <w:pStyle w:val="4"/>
        <w:spacing w:line="460" w:lineRule="exact"/>
        <w:ind w:firstLine="960" w:firstLineChars="400"/>
        <w:rPr>
          <w:rFonts w:hint="eastAsia" w:eastAsia="宋体"/>
          <w:color w:val="000000" w:themeColor="text1"/>
          <w:lang w:eastAsia="zh-CN"/>
          <w14:textFill>
            <w14:solidFill>
              <w14:schemeClr w14:val="tx1"/>
            </w14:solidFill>
          </w14:textFill>
        </w:rPr>
      </w:pPr>
      <w:r>
        <w:rPr>
          <w:rFonts w:hint="eastAsia"/>
          <w:bCs/>
          <w:color w:val="000000" w:themeColor="text1"/>
          <w:lang w:eastAsia="zh-CN"/>
          <w14:textFill>
            <w14:solidFill>
              <w14:schemeClr w14:val="tx1"/>
            </w14:solidFill>
          </w14:textFill>
        </w:rPr>
        <w:t>常州市武进区文体广电和旅游局</w:t>
      </w:r>
    </w:p>
    <w:p w14:paraId="0420C32D">
      <w:pPr>
        <w:pStyle w:val="4"/>
        <w:spacing w:line="460" w:lineRule="exact"/>
        <w:ind w:firstLine="480"/>
      </w:pPr>
      <w:r>
        <w:rPr>
          <w:rFonts w:hint="eastAsia"/>
        </w:rPr>
        <w:t>按照《中华人民共和国政府采购法》第二十二条和磋商文件的规定，我单位郑重声明如下：</w:t>
      </w:r>
    </w:p>
    <w:p w14:paraId="11725ED5">
      <w:pPr>
        <w:pStyle w:val="4"/>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，具有独立承担民事责任的能力（如属于分公司经总公司授权参与项目，由总公司承担民事责任的，需提供总公司项目授权书）。</w:t>
      </w:r>
    </w:p>
    <w:p w14:paraId="6995A07D">
      <w:pPr>
        <w:pStyle w:val="4"/>
        <w:spacing w:line="460" w:lineRule="exact"/>
        <w:ind w:firstLine="480"/>
      </w:pPr>
      <w:r>
        <w:rPr>
          <w:rFonts w:hint="eastAsia"/>
        </w:rPr>
        <w:t>二、我单位未被“国家企业信用信息系统”列入经营异常名录或者严重违法企业名单。</w:t>
      </w:r>
    </w:p>
    <w:p w14:paraId="4C9887FD">
      <w:pPr>
        <w:pStyle w:val="4"/>
        <w:spacing w:line="460" w:lineRule="exact"/>
        <w:ind w:firstLine="480"/>
      </w:pPr>
      <w:r>
        <w:rPr>
          <w:rFonts w:hint="eastAsia"/>
        </w:rPr>
        <w:t>三、我单位具有良好的商业信誉（指供应商经营状况良好，无本资格声明第十条情形）和健全的财务会计制度。</w:t>
      </w:r>
    </w:p>
    <w:p w14:paraId="21CA9D7F">
      <w:pPr>
        <w:pStyle w:val="4"/>
        <w:spacing w:line="460" w:lineRule="exact"/>
        <w:ind w:firstLine="480"/>
      </w:pPr>
      <w:r>
        <w:rPr>
          <w:rFonts w:hint="eastAsia"/>
        </w:rPr>
        <w:t>四、我单位依法进行纳税和社会保险申报并实际履行了义务。</w:t>
      </w:r>
    </w:p>
    <w:p w14:paraId="24BBBD2B">
      <w:pPr>
        <w:pStyle w:val="4"/>
        <w:spacing w:line="460" w:lineRule="exact"/>
        <w:ind w:firstLine="480"/>
      </w:pPr>
      <w:r>
        <w:rPr>
          <w:rFonts w:hint="eastAsia"/>
        </w:rPr>
        <w:t>五、我单位具有履行本项目采购合同所必需的设备和专业技术能力，并具有履行合同的良好</w:t>
      </w:r>
      <w:r>
        <w:t>记录</w:t>
      </w:r>
      <w:r>
        <w:rPr>
          <w:rFonts w:hint="eastAsia"/>
        </w:rPr>
        <w:t>。为履行本项采购合同我单位具备如下主要设备和主要专业技术能力:</w:t>
      </w:r>
    </w:p>
    <w:p w14:paraId="70251CCC">
      <w:pPr>
        <w:pStyle w:val="4"/>
        <w:spacing w:line="460" w:lineRule="exact"/>
        <w:ind w:firstLine="480"/>
        <w:rPr>
          <w:u w:val="single"/>
        </w:rPr>
      </w:pPr>
      <w:r>
        <w:rPr>
          <w:rFonts w:hint="eastAsia"/>
        </w:rPr>
        <w:t>主要设备有：</w:t>
      </w:r>
      <w:r>
        <w:rPr>
          <w:rFonts w:hint="eastAsia"/>
          <w:u w:val="single"/>
        </w:rPr>
        <w:t xml:space="preserve"> </w:t>
      </w:r>
      <w:r>
        <w:rPr>
          <w:u w:val="single"/>
        </w:rPr>
        <w:t xml:space="preserve">                         </w:t>
      </w:r>
      <w:r>
        <w:rPr>
          <w:rFonts w:hint="eastAsia"/>
        </w:rPr>
        <w:t>。</w:t>
      </w:r>
      <w:r>
        <w:rPr>
          <w:u w:val="single"/>
        </w:rPr>
        <w:t xml:space="preserve">                      </w:t>
      </w:r>
      <w:r>
        <w:rPr>
          <w:u w:val="single" w:color="000000" w:themeColor="text1"/>
        </w:rPr>
        <w:t xml:space="preserve"> </w:t>
      </w:r>
      <w:r>
        <w:rPr>
          <w:u w:val="single"/>
        </w:rPr>
        <w:t xml:space="preserve">    </w:t>
      </w:r>
    </w:p>
    <w:p w14:paraId="6802BCC7">
      <w:pPr>
        <w:pStyle w:val="4"/>
        <w:spacing w:line="460" w:lineRule="exact"/>
        <w:ind w:firstLine="480"/>
      </w:pPr>
      <w:r>
        <w:rPr>
          <w:rFonts w:hint="eastAsia"/>
        </w:rPr>
        <w:t>主要专业技术能力有：</w:t>
      </w:r>
      <w:r>
        <w:rPr>
          <w:rFonts w:hint="eastAsia"/>
          <w:u w:val="single"/>
        </w:rPr>
        <w:t xml:space="preserve"> </w:t>
      </w:r>
      <w:r>
        <w:rPr>
          <w:u w:val="single"/>
        </w:rPr>
        <w:t xml:space="preserve">                        </w:t>
      </w:r>
      <w:r>
        <w:rPr>
          <w:rFonts w:hint="eastAsia"/>
        </w:rPr>
        <w:t>。</w:t>
      </w:r>
      <w:r>
        <w:rPr>
          <w:rFonts w:hint="eastAsia"/>
          <w:u w:val="single"/>
        </w:rPr>
        <w:t xml:space="preserve">                 </w:t>
      </w:r>
    </w:p>
    <w:p w14:paraId="5F31E335">
      <w:pPr>
        <w:pStyle w:val="4"/>
        <w:spacing w:line="460" w:lineRule="exact"/>
        <w:ind w:firstLine="480"/>
      </w:pPr>
      <w:r>
        <w:rPr>
          <w:rFonts w:hint="eastAsia"/>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05AD3926">
      <w:pPr>
        <w:pStyle w:val="4"/>
        <w:spacing w:line="460" w:lineRule="exact"/>
        <w:ind w:firstLine="480"/>
      </w:pPr>
      <w:r>
        <w:rPr>
          <w:rFonts w:hint="eastAsia"/>
        </w:rPr>
        <w:t>七、我单位具备法律、行政法规规定的其他条件。</w:t>
      </w:r>
    </w:p>
    <w:p w14:paraId="19D4E358">
      <w:pPr>
        <w:pStyle w:val="4"/>
        <w:spacing w:line="460" w:lineRule="exact"/>
        <w:ind w:firstLine="480"/>
      </w:pPr>
      <w:r>
        <w:rPr>
          <w:rFonts w:hint="eastAsia"/>
        </w:rPr>
        <w:t>八、与我单位存在“单位负责人为同一人或者存在直接控股、管理关系”的其他单位信息如下（如无此情形的，填写“无”）：</w:t>
      </w:r>
    </w:p>
    <w:p w14:paraId="59E66B41">
      <w:pPr>
        <w:pStyle w:val="4"/>
        <w:spacing w:line="460" w:lineRule="exact"/>
        <w:ind w:firstLine="480"/>
      </w:pPr>
      <w:r>
        <w:rPr>
          <w:rFonts w:hint="eastAsia"/>
        </w:rPr>
        <w:t>1、与我单位的法定代表人（单位负责人）为同一人的其他单位如下：</w:t>
      </w:r>
      <w:r>
        <w:rPr>
          <w:u w:val="single"/>
        </w:rPr>
        <w:t xml:space="preserve">          </w:t>
      </w:r>
      <w:r>
        <w:rPr>
          <w:rFonts w:hint="eastAsia"/>
        </w:rPr>
        <w:t>。</w:t>
      </w:r>
      <w:r>
        <w:rPr>
          <w:rFonts w:hint="eastAsia"/>
          <w:u w:val="single"/>
        </w:rPr>
        <w:t xml:space="preserve">     </w:t>
      </w:r>
      <w:r>
        <w:rPr>
          <w:rFonts w:hint="eastAsia"/>
        </w:rPr>
        <w:t xml:space="preserve">          </w:t>
      </w:r>
    </w:p>
    <w:p w14:paraId="3395AAF8">
      <w:pPr>
        <w:pStyle w:val="4"/>
        <w:spacing w:line="460" w:lineRule="exact"/>
        <w:ind w:firstLine="480"/>
      </w:pPr>
      <w:r>
        <w:rPr>
          <w:rFonts w:hint="eastAsia"/>
        </w:rPr>
        <w:t>2、我单位直接控股的其他单位如下：</w:t>
      </w:r>
      <w:r>
        <w:rPr>
          <w:u w:val="single"/>
        </w:rPr>
        <w:t xml:space="preserve">          </w:t>
      </w:r>
      <w:r>
        <w:rPr>
          <w:rFonts w:hint="eastAsia"/>
        </w:rPr>
        <w:t>。</w:t>
      </w:r>
      <w:r>
        <w:rPr>
          <w:rFonts w:hint="eastAsia"/>
          <w:u w:val="single"/>
        </w:rPr>
        <w:t xml:space="preserve">                    </w:t>
      </w:r>
      <w:r>
        <w:rPr>
          <w:rFonts w:hint="eastAsia"/>
        </w:rPr>
        <w:t xml:space="preserve"> </w:t>
      </w:r>
    </w:p>
    <w:p w14:paraId="045EF751">
      <w:pPr>
        <w:pStyle w:val="4"/>
        <w:spacing w:line="460" w:lineRule="exact"/>
        <w:ind w:firstLine="480"/>
      </w:pPr>
      <w:r>
        <w:rPr>
          <w:rFonts w:hint="eastAsia"/>
        </w:rPr>
        <w:t>3、与我单位存在管理关系的其他单位如下：</w:t>
      </w:r>
      <w:r>
        <w:rPr>
          <w:rFonts w:hint="eastAsia"/>
          <w:u w:val="single"/>
        </w:rPr>
        <w:t xml:space="preserve"> </w:t>
      </w:r>
      <w:r>
        <w:rPr>
          <w:u w:val="single"/>
        </w:rPr>
        <w:t xml:space="preserve">          </w:t>
      </w:r>
      <w:r>
        <w:rPr>
          <w:rFonts w:hint="eastAsia"/>
        </w:rPr>
        <w:t>。</w:t>
      </w:r>
      <w:r>
        <w:rPr>
          <w:rFonts w:hint="eastAsia"/>
          <w:u w:val="single"/>
        </w:rPr>
        <w:t xml:space="preserve">             </w:t>
      </w:r>
      <w:r>
        <w:rPr>
          <w:rFonts w:hint="eastAsia"/>
        </w:rPr>
        <w:t xml:space="preserve"> </w:t>
      </w:r>
    </w:p>
    <w:p w14:paraId="18A31360">
      <w:pPr>
        <w:pStyle w:val="4"/>
        <w:spacing w:line="460" w:lineRule="exact"/>
        <w:ind w:firstLine="480"/>
      </w:pPr>
      <w:r>
        <w:rPr>
          <w:rFonts w:hint="eastAsia"/>
          <w:lang w:val="en-US" w:eastAsia="zh-CN"/>
        </w:rPr>
        <w:t>九</w:t>
      </w:r>
      <w:r>
        <w:rPr>
          <w:rFonts w:hint="eastAsia"/>
        </w:rPr>
        <w:t>、</w:t>
      </w:r>
      <w:r>
        <w:t>我单位无以下不良信用记录情形：</w:t>
      </w:r>
    </w:p>
    <w:p w14:paraId="1BEBA841">
      <w:pPr>
        <w:pStyle w:val="4"/>
        <w:spacing w:line="460" w:lineRule="exact"/>
        <w:ind w:firstLine="480"/>
      </w:pPr>
      <w:r>
        <w:t>1</w:t>
      </w:r>
      <w:r>
        <w:rPr>
          <w:rFonts w:hint="eastAsia"/>
        </w:rPr>
        <w:t>、在“信用中国”网站被列入失信被执行人和重大税收违法案件当事人名单；</w:t>
      </w:r>
    </w:p>
    <w:p w14:paraId="5206521A">
      <w:pPr>
        <w:pStyle w:val="4"/>
        <w:spacing w:line="460" w:lineRule="exact"/>
        <w:ind w:firstLine="480"/>
      </w:pPr>
      <w:r>
        <w:t>2</w:t>
      </w:r>
      <w:r>
        <w:rPr>
          <w:rFonts w:hint="eastAsia"/>
        </w:rPr>
        <w:t>、在“中国政府采购网”网站被列入政府采购严重违法失信行为记录名单；</w:t>
      </w:r>
    </w:p>
    <w:p w14:paraId="5C4AF6CB">
      <w:pPr>
        <w:pStyle w:val="4"/>
        <w:spacing w:line="460" w:lineRule="exact"/>
        <w:ind w:firstLine="480"/>
      </w:pPr>
      <w:r>
        <w:t>3</w:t>
      </w:r>
      <w:r>
        <w:rPr>
          <w:rFonts w:hint="eastAsia"/>
        </w:rPr>
        <w:t>、</w:t>
      </w:r>
      <w:r>
        <w:t>不符合《政府采购法》第二十二条规定的条件。</w:t>
      </w:r>
    </w:p>
    <w:p w14:paraId="12574E19">
      <w:pPr>
        <w:pStyle w:val="4"/>
        <w:spacing w:line="460" w:lineRule="exact"/>
        <w:ind w:firstLine="480"/>
      </w:pPr>
    </w:p>
    <w:p w14:paraId="28675C05">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rPr>
        <w:t>我单位保证上述声明的事项都是真实的，如有虚假，我单位愿意承担相应的法律责任，并承担因此所造成的一切损失。</w:t>
      </w:r>
    </w:p>
    <w:p w14:paraId="6B560C49">
      <w:pPr>
        <w:spacing w:line="360" w:lineRule="auto"/>
        <w:ind w:firstLine="480"/>
        <w:contextualSpacing/>
        <w:rPr>
          <w:rFonts w:ascii="宋体" w:hAnsi="宋体"/>
          <w:bCs/>
          <w:color w:val="000000" w:themeColor="text1"/>
          <w:sz w:val="24"/>
          <w14:textFill>
            <w14:solidFill>
              <w14:schemeClr w14:val="tx1"/>
            </w14:solidFill>
          </w14:textFill>
        </w:rPr>
      </w:pPr>
    </w:p>
    <w:p w14:paraId="153217BA">
      <w:pPr>
        <w:spacing w:line="360" w:lineRule="auto"/>
        <w:ind w:firstLine="480"/>
        <w:contextualSpacing/>
        <w:rPr>
          <w:rFonts w:ascii="宋体" w:hAnsi="宋体"/>
          <w:bCs/>
          <w:color w:val="000000" w:themeColor="text1"/>
          <w:sz w:val="24"/>
          <w14:textFill>
            <w14:solidFill>
              <w14:schemeClr w14:val="tx1"/>
            </w14:solidFill>
          </w14:textFill>
        </w:rPr>
      </w:pPr>
    </w:p>
    <w:p w14:paraId="5A0FFD83">
      <w:pPr>
        <w:spacing w:line="360" w:lineRule="auto"/>
        <w:ind w:firstLine="480"/>
        <w:contextualSpacing/>
        <w:jc w:val="lef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供应商：（加盖CA电子公章）</w:t>
      </w:r>
    </w:p>
    <w:p w14:paraId="43120584">
      <w:pPr>
        <w:spacing w:line="360" w:lineRule="auto"/>
        <w:ind w:firstLine="480"/>
        <w:contextualSpacing/>
        <w:jc w:val="lef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法定代表人（或单位负责人）签字或盖章：</w:t>
      </w:r>
    </w:p>
    <w:p w14:paraId="6279912A">
      <w:pPr>
        <w:spacing w:line="360" w:lineRule="auto"/>
        <w:ind w:firstLine="480"/>
        <w:contextualSpacing/>
        <w:jc w:val="lef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日期：    年    月    日</w:t>
      </w:r>
    </w:p>
    <w:p w14:paraId="2BAB8D95">
      <w:pPr>
        <w:spacing w:line="360" w:lineRule="auto"/>
        <w:ind w:firstLine="480"/>
        <w:contextualSpacing/>
        <w:rPr>
          <w:rFonts w:ascii="宋体" w:hAnsi="宋体"/>
          <w:bCs/>
          <w:color w:val="000000" w:themeColor="text1"/>
          <w:sz w:val="24"/>
          <w14:textFill>
            <w14:solidFill>
              <w14:schemeClr w14:val="tx1"/>
            </w14:solidFill>
          </w14:textFill>
        </w:rPr>
      </w:pPr>
    </w:p>
    <w:p w14:paraId="296E2421">
      <w:pPr>
        <w:spacing w:line="360" w:lineRule="auto"/>
        <w:ind w:firstLine="480"/>
        <w:contextualSpacing/>
        <w:rPr>
          <w:rFonts w:ascii="宋体" w:hAnsi="宋体"/>
          <w:bCs/>
          <w:color w:val="000000" w:themeColor="text1"/>
          <w:sz w:val="24"/>
          <w14:textFill>
            <w14:solidFill>
              <w14:schemeClr w14:val="tx1"/>
            </w14:solidFill>
          </w14:textFill>
        </w:rPr>
        <w:sectPr>
          <w:pgSz w:w="11906" w:h="16838"/>
          <w:pgMar w:top="1440" w:right="1800" w:bottom="1440" w:left="1800" w:header="851" w:footer="992" w:gutter="0"/>
          <w:cols w:space="1701" w:num="1"/>
          <w:docGrid w:linePitch="360" w:charSpace="0"/>
        </w:sectPr>
      </w:pPr>
      <w:r>
        <w:rPr>
          <w:rFonts w:ascii="宋体" w:hAnsi="宋体"/>
          <w:bCs/>
          <w:color w:val="000000" w:themeColor="text1"/>
          <w:sz w:val="24"/>
          <w14:textFill>
            <w14:solidFill>
              <w14:schemeClr w14:val="tx1"/>
            </w14:solidFill>
          </w14:textFill>
        </w:rPr>
        <w:t>说明：</w:t>
      </w:r>
      <w:r>
        <w:rPr>
          <w:rFonts w:hint="eastAsia" w:ascii="宋体" w:hAnsi="宋体"/>
          <w:bCs/>
          <w:color w:val="000000" w:themeColor="text1"/>
          <w:sz w:val="24"/>
          <w14:textFill>
            <w14:solidFill>
              <w14:schemeClr w14:val="tx1"/>
            </w14:solidFill>
          </w14:textFill>
        </w:rPr>
        <w:t>供应商承诺不实的，依据《政府采购法》第七十七条“提供虚假材料谋取中标、成交的”有关规定予以处理</w:t>
      </w:r>
      <w:r>
        <w:rPr>
          <w:rFonts w:ascii="宋体" w:hAnsi="宋体"/>
          <w:bCs/>
          <w:color w:val="000000" w:themeColor="text1"/>
          <w:sz w:val="24"/>
          <w14:textFill>
            <w14:solidFill>
              <w14:schemeClr w14:val="tx1"/>
            </w14:solidFill>
          </w14:textFill>
        </w:rPr>
        <w:t>。</w:t>
      </w:r>
    </w:p>
    <w:p w14:paraId="17F262A8">
      <w:pPr>
        <w:widowControl/>
        <w:spacing w:line="360" w:lineRule="auto"/>
        <w:jc w:val="left"/>
        <w:rPr>
          <w:rFonts w:ascii="宋体" w:hAnsi="宋体"/>
          <w:bCs/>
          <w:color w:val="000000" w:themeColor="text1"/>
          <w:sz w:val="24"/>
          <w14:textFill>
            <w14:solidFill>
              <w14:schemeClr w14:val="tx1"/>
            </w14:solidFill>
          </w14:textFill>
        </w:rPr>
        <w:sectPr>
          <w:pgSz w:w="11906" w:h="16838"/>
          <w:pgMar w:top="1440" w:right="1800" w:bottom="1440" w:left="1800" w:header="851" w:footer="992" w:gutter="0"/>
          <w:cols w:space="1701" w:num="1"/>
          <w:docGrid w:linePitch="360" w:charSpace="0"/>
        </w:sectPr>
      </w:pPr>
      <w:r>
        <w:rPr>
          <w:rFonts w:hint="eastAsia" w:ascii="宋体" w:hAnsi="宋体"/>
          <w:color w:val="000000" w:themeColor="text1"/>
          <w:sz w:val="24"/>
          <w:szCs w:val="20"/>
          <w14:textFill>
            <w14:solidFill>
              <w14:schemeClr w14:val="tx1"/>
            </w14:solidFill>
          </w14:textFill>
        </w:rPr>
        <w:t xml:space="preserve">1-2 </w:t>
      </w:r>
      <w:r>
        <w:rPr>
          <w:rFonts w:hint="eastAsia" w:ascii="宋体" w:hAnsi="宋体"/>
          <w:bCs/>
          <w:sz w:val="24"/>
        </w:rPr>
        <w:t>营业执照副本（事业单位法人证书）</w:t>
      </w:r>
    </w:p>
    <w:p w14:paraId="5144473A">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2落实政府采购政策需满足的资格要求</w:t>
      </w:r>
    </w:p>
    <w:p w14:paraId="6E584928">
      <w:pPr>
        <w:spacing w:line="360" w:lineRule="auto"/>
        <w:contextualSpacing/>
        <w:rPr>
          <w:rFonts w:ascii="宋体" w:hAnsi="宋体"/>
          <w:bCs/>
          <w:i/>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2-1 中小企业声明函</w:t>
      </w:r>
    </w:p>
    <w:p w14:paraId="2E93B543">
      <w:pPr>
        <w:spacing w:line="360" w:lineRule="auto"/>
        <w:ind w:firstLine="480"/>
        <w:contextualSpacing/>
        <w:rPr>
          <w:rFonts w:ascii="宋体" w:hAnsi="宋体"/>
          <w:bCs/>
          <w:color w:val="000000" w:themeColor="text1"/>
          <w:sz w:val="24"/>
          <w14:textFill>
            <w14:solidFill>
              <w14:schemeClr w14:val="tx1"/>
            </w14:solidFill>
          </w14:textFill>
        </w:rPr>
      </w:pPr>
    </w:p>
    <w:p w14:paraId="7DC4ACFA">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说明：</w:t>
      </w:r>
    </w:p>
    <w:p w14:paraId="1C44A9A6">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（1）如本项目（包）不专门面向中小企业预留采购份额，</w:t>
      </w:r>
      <w:r>
        <w:rPr>
          <w:rFonts w:hint="eastAsia" w:ascii="宋体" w:hAnsi="宋体"/>
          <w:bCs/>
          <w:color w:val="000000" w:themeColor="text1"/>
          <w:sz w:val="24"/>
          <w14:textFill>
            <w14:solidFill>
              <w14:schemeClr w14:val="tx1"/>
            </w14:solidFill>
          </w14:textFill>
        </w:rPr>
        <w:t>供应商非必须</w:t>
      </w:r>
      <w:r>
        <w:rPr>
          <w:rFonts w:ascii="宋体" w:hAnsi="宋体"/>
          <w:bCs/>
          <w:color w:val="000000" w:themeColor="text1"/>
          <w:sz w:val="24"/>
          <w14:textFill>
            <w14:solidFill>
              <w14:schemeClr w14:val="tx1"/>
            </w14:solidFill>
          </w14:textFill>
        </w:rPr>
        <w:t>提供</w:t>
      </w:r>
      <w:r>
        <w:rPr>
          <w:rFonts w:hint="eastAsia" w:ascii="宋体" w:hAnsi="宋体"/>
          <w:bCs/>
          <w:color w:val="000000" w:themeColor="text1"/>
          <w:sz w:val="24"/>
          <w14:textFill>
            <w14:solidFill>
              <w14:schemeClr w14:val="tx1"/>
            </w14:solidFill>
          </w14:textFill>
        </w:rPr>
        <w:t>；当小微企业拟享受中小企业扶持政策时，仍应提供</w:t>
      </w:r>
      <w:r>
        <w:rPr>
          <w:rFonts w:ascii="宋体" w:hAnsi="宋体"/>
          <w:bCs/>
          <w:color w:val="000000" w:themeColor="text1"/>
          <w:sz w:val="24"/>
          <w14:textFill>
            <w14:solidFill>
              <w14:schemeClr w14:val="tx1"/>
            </w14:solidFill>
          </w14:textFill>
        </w:rPr>
        <w:t>《中小企业声明函》</w:t>
      </w:r>
      <w:r>
        <w:rPr>
          <w:rFonts w:hint="eastAsia" w:ascii="宋体" w:hAnsi="宋体"/>
          <w:bCs/>
          <w:color w:val="000000" w:themeColor="text1"/>
          <w:sz w:val="24"/>
          <w14:textFill>
            <w14:solidFill>
              <w14:schemeClr w14:val="tx1"/>
            </w14:solidFill>
          </w14:textFill>
        </w:rPr>
        <w:t>，</w:t>
      </w:r>
      <w:r>
        <w:rPr>
          <w:rFonts w:ascii="宋体" w:hAnsi="宋体"/>
          <w:bCs/>
          <w:color w:val="000000" w:themeColor="text1"/>
          <w:sz w:val="24"/>
          <w14:textFill>
            <w14:solidFill>
              <w14:schemeClr w14:val="tx1"/>
            </w14:solidFill>
          </w14:textFill>
        </w:rPr>
        <w:t>否则不得享受相关中小企业扶持政策。</w:t>
      </w:r>
    </w:p>
    <w:p w14:paraId="1B46FE58">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（2）如本项目（包）专门面向中小/小微企业采购，须提供《中小企业声明函》（实质性格式）。</w:t>
      </w:r>
    </w:p>
    <w:p w14:paraId="58BE7C7E">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4766958C">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（4）其它</w:t>
      </w:r>
    </w:p>
    <w:p w14:paraId="3DD4CE10">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1）中小企业参加政府采购活动，应当出具此格式文件。《中小企业声明函》由参加政府采购活动的供应商出具。联合体</w:t>
      </w:r>
      <w:r>
        <w:rPr>
          <w:rFonts w:hint="eastAsia" w:ascii="宋体" w:hAnsi="宋体"/>
          <w:bCs/>
          <w:color w:val="000000" w:themeColor="text1"/>
          <w:sz w:val="24"/>
          <w14:textFill>
            <w14:solidFill>
              <w14:schemeClr w14:val="tx1"/>
            </w14:solidFill>
          </w14:textFill>
        </w:rPr>
        <w:t>响应</w:t>
      </w:r>
      <w:r>
        <w:rPr>
          <w:rFonts w:ascii="宋体" w:hAnsi="宋体"/>
          <w:bCs/>
          <w:color w:val="000000" w:themeColor="text1"/>
          <w:sz w:val="24"/>
          <w14:textFill>
            <w14:solidFill>
              <w14:schemeClr w14:val="tx1"/>
            </w14:solidFill>
          </w14:textFill>
        </w:rPr>
        <w:t>的，《中小企业声明函》由牵头人出具。</w:t>
      </w:r>
    </w:p>
    <w:p w14:paraId="388446BD">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26FC6B57">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3）对于多标的的采购项目，供应商应充分、准确地了解所投产品制造企业信息。对相关情况了解不清楚的，不建议填报本声明函。</w:t>
      </w:r>
    </w:p>
    <w:p w14:paraId="6D8F9C6E">
      <w:pPr>
        <w:spacing w:line="360" w:lineRule="auto"/>
        <w:ind w:firstLine="480"/>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bCs/>
          <w:color w:val="000000" w:themeColor="text1"/>
          <w:sz w:val="24"/>
          <w14:textFill>
            <w14:solidFill>
              <w14:schemeClr w14:val="tx1"/>
            </w14:solidFill>
          </w14:textFill>
        </w:rPr>
        <w:t>。</w:t>
      </w:r>
    </w:p>
    <w:p w14:paraId="4DC551B4">
      <w:pPr>
        <w:widowControl/>
        <w:jc w:val="lef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br w:type="page" w:clear="all"/>
      </w:r>
    </w:p>
    <w:p w14:paraId="3D40A4C3">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中小企业声明函（</w:t>
      </w:r>
      <w:r>
        <w:rPr>
          <w:rFonts w:hint="eastAsia" w:ascii="宋体" w:hAnsi="宋体"/>
          <w:b/>
          <w:bCs/>
          <w:color w:val="000000" w:themeColor="text1"/>
          <w:sz w:val="28"/>
          <w:szCs w:val="28"/>
          <w14:textFill>
            <w14:solidFill>
              <w14:schemeClr w14:val="tx1"/>
            </w14:solidFill>
          </w14:textFill>
        </w:rPr>
        <w:t>工程、</w:t>
      </w:r>
      <w:r>
        <w:rPr>
          <w:rFonts w:hint="eastAsia" w:ascii="宋体" w:hAnsi="宋体"/>
          <w:b/>
          <w:color w:val="000000" w:themeColor="text1"/>
          <w:sz w:val="28"/>
          <w:szCs w:val="28"/>
          <w14:textFill>
            <w14:solidFill>
              <w14:schemeClr w14:val="tx1"/>
            </w14:solidFill>
          </w14:textFill>
        </w:rPr>
        <w:t>服务）格式</w:t>
      </w:r>
    </w:p>
    <w:p w14:paraId="18312EAE">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9C35853">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1.（标的名称），属于（采购文件中明确的所属行业）行业；承建（承接）企业为（企业名称），从业人员______人，营业收入为______万元，资产总额为______万元1，属于（中型企业、小型企业、微型企业）；</w:t>
      </w:r>
    </w:p>
    <w:p w14:paraId="1479C393">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2.（标的名称），属于（采购文件中明确的所属行业）行业；承建（承接）企业为（企业名称），从业人员______人，营业收入为______万元，资产总额为______万元，属于（中型企业、小型企业、微型企业）；</w:t>
      </w:r>
    </w:p>
    <w:p w14:paraId="21381236">
      <w:pPr>
        <w:spacing w:line="360" w:lineRule="auto"/>
        <w:ind w:firstLine="480"/>
        <w:contextualSpacing/>
        <w:rPr>
          <w:rFonts w:ascii="宋体" w:hAnsi="宋体"/>
          <w:bCs/>
          <w:color w:val="000000" w:themeColor="text1"/>
          <w:sz w:val="24"/>
          <w14:textFill>
            <w14:solidFill>
              <w14:schemeClr w14:val="tx1"/>
            </w14:solidFill>
          </w14:textFill>
        </w:rPr>
      </w:pPr>
    </w:p>
    <w:p w14:paraId="44F4DC49">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w:t>
      </w:r>
    </w:p>
    <w:p w14:paraId="091D532C">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以上企业，不属于大企业的分支机构，不存在控股股东为大企业的情形，也不存在与大企业的负责人为同一人的情形。</w:t>
      </w:r>
    </w:p>
    <w:p w14:paraId="14768197">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本企业对上述声明内容的真实性负责。如有虚假，将依法承担相应责任。</w:t>
      </w:r>
    </w:p>
    <w:p w14:paraId="4000CA54">
      <w:pPr>
        <w:spacing w:line="360" w:lineRule="auto"/>
        <w:ind w:firstLine="480"/>
        <w:contextualSpacing/>
        <w:rPr>
          <w:rFonts w:ascii="宋体" w:hAnsi="宋体"/>
          <w:bCs/>
          <w:color w:val="000000" w:themeColor="text1"/>
          <w:sz w:val="24"/>
          <w14:textFill>
            <w14:solidFill>
              <w14:schemeClr w14:val="tx1"/>
            </w14:solidFill>
          </w14:textFill>
        </w:rPr>
      </w:pPr>
    </w:p>
    <w:p w14:paraId="55F123DE">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企业名称</w:t>
      </w:r>
      <w:r>
        <w:rPr>
          <w:rFonts w:hint="eastAsia" w:ascii="宋体" w:hAnsi="宋体"/>
          <w:bCs/>
          <w:color w:val="000000" w:themeColor="text1"/>
          <w:sz w:val="24"/>
          <w14:textFill>
            <w14:solidFill>
              <w14:schemeClr w14:val="tx1"/>
            </w14:solidFill>
          </w14:textFill>
        </w:rPr>
        <w:t>（加盖CA电子公章）</w:t>
      </w:r>
      <w:r>
        <w:rPr>
          <w:rFonts w:ascii="宋体" w:hAnsi="宋体"/>
          <w:bCs/>
          <w:color w:val="000000" w:themeColor="text1"/>
          <w:sz w:val="24"/>
          <w14:textFill>
            <w14:solidFill>
              <w14:schemeClr w14:val="tx1"/>
            </w14:solidFill>
          </w14:textFill>
        </w:rPr>
        <w:t>：________</w:t>
      </w:r>
    </w:p>
    <w:p w14:paraId="55A99BE9">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日 期：________</w:t>
      </w:r>
    </w:p>
    <w:p w14:paraId="731A65BD">
      <w:pPr>
        <w:spacing w:line="360" w:lineRule="auto"/>
        <w:ind w:firstLine="480"/>
        <w:contextualSpacing/>
        <w:rPr>
          <w:rFonts w:ascii="宋体" w:hAnsi="宋体"/>
          <w:bCs/>
          <w:color w:val="000000" w:themeColor="text1"/>
          <w:sz w:val="24"/>
          <w14:textFill>
            <w14:solidFill>
              <w14:schemeClr w14:val="tx1"/>
            </w14:solidFill>
          </w14:textFill>
        </w:rPr>
      </w:pPr>
    </w:p>
    <w:p w14:paraId="70700A5A">
      <w:pPr>
        <w:spacing w:line="360" w:lineRule="auto"/>
        <w:ind w:firstLine="480"/>
        <w:contextualSpacing/>
        <w:rPr>
          <w:rFonts w:ascii="宋体" w:hAnsi="宋体"/>
          <w:bCs/>
          <w:color w:val="000000" w:themeColor="text1"/>
          <w:sz w:val="24"/>
          <w14:textFill>
            <w14:solidFill>
              <w14:schemeClr w14:val="tx1"/>
            </w14:solidFill>
          </w14:textFill>
        </w:rPr>
      </w:pPr>
    </w:p>
    <w:tbl>
      <w:tblPr>
        <w:tblStyle w:val="47"/>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8522"/>
      </w:tblGrid>
      <w:tr w14:paraId="5537EDF1">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522" w:type="dxa"/>
          </w:tcPr>
          <w:p w14:paraId="683D7B2E">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1从业人员、营业收入、资产总额填报上一年度数据，无上一年度数据的新成立企业可不填报。</w:t>
            </w:r>
          </w:p>
        </w:tc>
      </w:tr>
    </w:tbl>
    <w:p w14:paraId="2AE59A9A">
      <w:pPr>
        <w:jc w:val="center"/>
        <w:rPr>
          <w:rFonts w:ascii="宋体" w:hAnsi="宋体"/>
          <w:b/>
          <w:color w:val="000000" w:themeColor="text1"/>
          <w:sz w:val="36"/>
          <w:szCs w:val="36"/>
          <w14:textFill>
            <w14:solidFill>
              <w14:schemeClr w14:val="tx1"/>
            </w14:solidFill>
          </w14:textFill>
        </w:rPr>
        <w:sectPr>
          <w:pgSz w:w="11906" w:h="16838"/>
          <w:pgMar w:top="1440" w:right="1800" w:bottom="1440" w:left="1800" w:header="851" w:footer="992" w:gutter="0"/>
          <w:cols w:space="1701" w:num="1"/>
          <w:docGrid w:linePitch="360" w:charSpace="0"/>
        </w:sectPr>
      </w:pPr>
    </w:p>
    <w:p w14:paraId="17AE6BF7">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残疾人福利性单位声明函格式</w:t>
      </w:r>
    </w:p>
    <w:p w14:paraId="6BCEFDEB">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本单位郑重声明，根据《财政部 民政部 中国残疾人联合会关于促进残疾人就业政府采购政策的通知》（财库〔2017〕 141号）的规定，本单位</w:t>
      </w:r>
      <w:r>
        <w:rPr>
          <w:rFonts w:ascii="宋体" w:hAnsi="宋体"/>
          <w:b/>
          <w:bCs/>
          <w:color w:val="000000" w:themeColor="text1"/>
          <w:sz w:val="24"/>
          <w14:textFill>
            <w14:solidFill>
              <w14:schemeClr w14:val="tx1"/>
            </w14:solidFill>
          </w14:textFill>
        </w:rPr>
        <w:t>（请进行勾选）</w:t>
      </w:r>
      <w:r>
        <w:rPr>
          <w:rFonts w:ascii="宋体" w:hAnsi="宋体"/>
          <w:bCs/>
          <w:color w:val="000000" w:themeColor="text1"/>
          <w:sz w:val="24"/>
          <w14:textFill>
            <w14:solidFill>
              <w14:schemeClr w14:val="tx1"/>
            </w14:solidFill>
          </w14:textFill>
        </w:rPr>
        <w:t>：</w:t>
      </w:r>
    </w:p>
    <w:p w14:paraId="4C880B31">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□不属于符合条件的残疾人福利性单位。</w:t>
      </w:r>
    </w:p>
    <w:p w14:paraId="45E7A815">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9A7E818">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本单位对上述声明的真实性负责。如有虚假，将依法承担相应责任。</w:t>
      </w:r>
    </w:p>
    <w:p w14:paraId="7E3ACCB9">
      <w:pPr>
        <w:spacing w:line="360" w:lineRule="auto"/>
        <w:ind w:firstLine="480"/>
        <w:contextualSpacing/>
        <w:rPr>
          <w:rFonts w:ascii="宋体" w:hAnsi="宋体"/>
          <w:bCs/>
          <w:color w:val="000000" w:themeColor="text1"/>
          <w:sz w:val="24"/>
          <w14:textFill>
            <w14:solidFill>
              <w14:schemeClr w14:val="tx1"/>
            </w14:solidFill>
          </w14:textFill>
        </w:rPr>
      </w:pPr>
    </w:p>
    <w:p w14:paraId="774C33D8">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单位名称</w:t>
      </w:r>
      <w:r>
        <w:rPr>
          <w:rFonts w:hint="eastAsia" w:ascii="宋体" w:hAnsi="宋体"/>
          <w:bCs/>
          <w:color w:val="000000" w:themeColor="text1"/>
          <w:sz w:val="24"/>
          <w14:textFill>
            <w14:solidFill>
              <w14:schemeClr w14:val="tx1"/>
            </w14:solidFill>
          </w14:textFill>
        </w:rPr>
        <w:t>（加盖CA电子公章）：</w:t>
      </w:r>
    </w:p>
    <w:p w14:paraId="34B17178">
      <w:pPr>
        <w:spacing w:line="360" w:lineRule="auto"/>
        <w:ind w:firstLine="480"/>
        <w:rPr>
          <w:rFonts w:ascii="宋体" w:hAnsi="宋体"/>
          <w:color w:val="000000" w:themeColor="text1"/>
          <w:sz w:val="24"/>
          <w:szCs w:val="24"/>
          <w14:textFill>
            <w14:solidFill>
              <w14:schemeClr w14:val="tx1"/>
            </w14:solidFill>
          </w14:textFill>
        </w:rPr>
      </w:pPr>
      <w:r>
        <w:rPr>
          <w:rFonts w:ascii="宋体" w:hAnsi="宋体"/>
          <w:bCs/>
          <w:color w:val="000000" w:themeColor="text1"/>
          <w:sz w:val="24"/>
          <w14:textFill>
            <w14:solidFill>
              <w14:schemeClr w14:val="tx1"/>
            </w14:solidFill>
          </w14:textFill>
        </w:rPr>
        <w:t>日期：</w:t>
      </w:r>
    </w:p>
    <w:p w14:paraId="6D86B68F">
      <w:pPr>
        <w:widowControl/>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br w:type="page" w:clear="all"/>
      </w:r>
    </w:p>
    <w:p w14:paraId="4D6B8E7E">
      <w:pPr>
        <w:widowControl/>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3本项目的特定资格要求</w:t>
      </w:r>
    </w:p>
    <w:p w14:paraId="28A4DC63">
      <w:pPr>
        <w:pStyle w:val="17"/>
      </w:pPr>
      <w:r>
        <w:rPr>
          <w:rFonts w:hint="eastAsia"/>
        </w:rPr>
        <w:t>3</w:t>
      </w:r>
      <w:r>
        <w:t>-1</w:t>
      </w:r>
      <w:r>
        <w:rPr>
          <w:rFonts w:hint="eastAsia"/>
        </w:rPr>
        <w:t>其他特定资格要求(</w:t>
      </w:r>
      <w:r>
        <w:t>如有</w:t>
      </w:r>
      <w:r>
        <w:rPr>
          <w:rFonts w:hint="eastAsia"/>
        </w:rPr>
        <w:t>)</w:t>
      </w:r>
    </w:p>
    <w:p w14:paraId="4705201D">
      <w:pPr>
        <w:pStyle w:val="17"/>
      </w:pPr>
    </w:p>
    <w:p w14:paraId="01E4BD8B">
      <w:pPr>
        <w:widowControl/>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br w:type="page"/>
      </w:r>
    </w:p>
    <w:p w14:paraId="70D42399">
      <w:pPr>
        <w:widowControl/>
        <w:jc w:val="left"/>
        <w:rPr>
          <w:rFonts w:ascii="宋体" w:hAnsi="宋体"/>
          <w:color w:val="000000" w:themeColor="text1"/>
          <w:sz w:val="24"/>
          <w:szCs w:val="20"/>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响应</w:t>
      </w:r>
      <w:r>
        <w:rPr>
          <w:rFonts w:hint="eastAsia" w:ascii="宋体" w:hAnsi="宋体"/>
          <w:color w:val="000000" w:themeColor="text1"/>
          <w:sz w:val="24"/>
          <w14:textFill>
            <w14:solidFill>
              <w14:schemeClr w14:val="tx1"/>
            </w14:solidFill>
          </w14:textFill>
        </w:rPr>
        <w:t>函</w:t>
      </w:r>
      <w:r>
        <w:rPr>
          <w:rFonts w:ascii="宋体" w:hAnsi="宋体"/>
          <w:color w:val="000000" w:themeColor="text1"/>
          <w:sz w:val="24"/>
          <w:szCs w:val="20"/>
          <w14:textFill>
            <w14:solidFill>
              <w14:schemeClr w14:val="tx1"/>
            </w14:solidFill>
          </w14:textFill>
        </w:rPr>
        <w:t>（实质性格式）</w:t>
      </w:r>
    </w:p>
    <w:p w14:paraId="20A608DB">
      <w:pPr>
        <w:spacing w:line="360" w:lineRule="auto"/>
        <w:jc w:val="center"/>
        <w:rPr>
          <w:rFonts w:ascii="宋体" w:hAnsi="宋体"/>
          <w:b/>
          <w:color w:val="000000" w:themeColor="text1"/>
          <w:sz w:val="28"/>
          <w:szCs w:val="28"/>
          <w14:textFill>
            <w14:solidFill>
              <w14:schemeClr w14:val="tx1"/>
            </w14:solidFill>
          </w14:textFill>
        </w:rPr>
      </w:pPr>
      <w:bookmarkStart w:id="642" w:name="OLE_LINK4"/>
      <w:bookmarkStart w:id="643" w:name="OLE_LINK3"/>
      <w:r>
        <w:rPr>
          <w:rFonts w:hint="eastAsia" w:ascii="宋体" w:hAnsi="宋体"/>
          <w:b/>
          <w:color w:val="000000" w:themeColor="text1"/>
          <w:sz w:val="28"/>
          <w:szCs w:val="28"/>
          <w14:textFill>
            <w14:solidFill>
              <w14:schemeClr w14:val="tx1"/>
            </w14:solidFill>
          </w14:textFill>
        </w:rPr>
        <w:t>响应函</w:t>
      </w:r>
    </w:p>
    <w:p w14:paraId="366FAF09">
      <w:pPr>
        <w:pStyle w:val="4"/>
        <w:spacing w:line="460" w:lineRule="exact"/>
        <w:ind w:firstLine="480"/>
        <w:rPr>
          <w:color w:val="000000" w:themeColor="text1"/>
          <w14:textFill>
            <w14:solidFill>
              <w14:schemeClr w14:val="tx1"/>
            </w14:solidFill>
          </w14:textFill>
        </w:rPr>
      </w:pPr>
      <w:r>
        <w:rPr>
          <w:rFonts w:hAnsi="宋体"/>
          <w:bCs/>
          <w:color w:val="000000" w:themeColor="text1"/>
          <w14:textFill>
            <w14:solidFill>
              <w14:schemeClr w14:val="tx1"/>
            </w14:solidFill>
          </w14:textFill>
        </w:rPr>
        <w:t>致：</w:t>
      </w:r>
      <w:r>
        <w:rPr>
          <w:rFonts w:hint="eastAsia"/>
          <w:bCs/>
          <w:color w:val="000000" w:themeColor="text1"/>
          <w14:textFill>
            <w14:solidFill>
              <w14:schemeClr w14:val="tx1"/>
            </w14:solidFill>
          </w14:textFill>
        </w:rPr>
        <w:t>江苏春为全过程工程咨询有限公司</w:t>
      </w:r>
    </w:p>
    <w:p w14:paraId="4D1DDEA7">
      <w:pPr>
        <w:pStyle w:val="4"/>
        <w:spacing w:line="460" w:lineRule="exact"/>
        <w:ind w:firstLine="960" w:firstLineChars="400"/>
        <w:rPr>
          <w:rFonts w:hint="eastAsia" w:eastAsia="宋体"/>
          <w:color w:val="000000" w:themeColor="text1"/>
          <w:lang w:eastAsia="zh-CN"/>
          <w14:textFill>
            <w14:solidFill>
              <w14:schemeClr w14:val="tx1"/>
            </w14:solidFill>
          </w14:textFill>
        </w:rPr>
      </w:pPr>
      <w:r>
        <w:rPr>
          <w:rFonts w:hint="eastAsia"/>
          <w:bCs/>
          <w:color w:val="000000" w:themeColor="text1"/>
          <w:lang w:eastAsia="zh-CN"/>
          <w14:textFill>
            <w14:solidFill>
              <w14:schemeClr w14:val="tx1"/>
            </w14:solidFill>
          </w14:textFill>
        </w:rPr>
        <w:t>常州市武进区文体广电和旅游局</w:t>
      </w:r>
    </w:p>
    <w:p w14:paraId="0AB54749">
      <w:pPr>
        <w:spacing w:line="360" w:lineRule="auto"/>
        <w:ind w:firstLine="480"/>
        <w:contextualSpacing/>
        <w:rPr>
          <w:rFonts w:ascii="宋体" w:hAnsi="宋体"/>
          <w:bCs/>
          <w:color w:val="000000" w:themeColor="text1"/>
          <w:sz w:val="24"/>
          <w14:textFill>
            <w14:solidFill>
              <w14:schemeClr w14:val="tx1"/>
            </w14:solidFill>
          </w14:textFill>
        </w:rPr>
      </w:pPr>
    </w:p>
    <w:p w14:paraId="4DD645A5">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我方参加你方就___________（项目名称，项目编号）组织的</w:t>
      </w:r>
      <w:r>
        <w:rPr>
          <w:rFonts w:hint="eastAsia" w:ascii="宋体" w:hAnsi="宋体"/>
          <w:bCs/>
          <w:color w:val="000000" w:themeColor="text1"/>
          <w:sz w:val="24"/>
          <w14:textFill>
            <w14:solidFill>
              <w14:schemeClr w14:val="tx1"/>
            </w14:solidFill>
          </w14:textFill>
        </w:rPr>
        <w:t>政府采购</w:t>
      </w:r>
      <w:r>
        <w:rPr>
          <w:rFonts w:ascii="宋体" w:hAnsi="宋体"/>
          <w:bCs/>
          <w:color w:val="000000" w:themeColor="text1"/>
          <w:sz w:val="24"/>
          <w14:textFill>
            <w14:solidFill>
              <w14:schemeClr w14:val="tx1"/>
            </w14:solidFill>
          </w14:textFill>
        </w:rPr>
        <w:t>活动，并对此项目进行响应。</w:t>
      </w:r>
    </w:p>
    <w:p w14:paraId="24581A6E">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1. 我方已详细审查全部磋商文件，自愿参与响应并承诺如下：</w:t>
      </w:r>
    </w:p>
    <w:p w14:paraId="49895A6A">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（1）本响应有效期为自提交响应文件的截止之日起</w:t>
      </w:r>
      <w:r>
        <w:rPr>
          <w:rFonts w:hint="eastAsia" w:ascii="宋体" w:hAnsi="宋体"/>
          <w:bCs/>
          <w:color w:val="000000" w:themeColor="text1"/>
          <w:sz w:val="24"/>
          <w14:textFill>
            <w14:solidFill>
              <w14:schemeClr w14:val="tx1"/>
            </w14:solidFill>
          </w14:textFill>
        </w:rPr>
        <w:t>60</w:t>
      </w:r>
      <w:r>
        <w:rPr>
          <w:rFonts w:ascii="宋体" w:hAnsi="宋体"/>
          <w:bCs/>
          <w:color w:val="000000" w:themeColor="text1"/>
          <w:sz w:val="24"/>
          <w14:textFill>
            <w14:solidFill>
              <w14:schemeClr w14:val="tx1"/>
            </w14:solidFill>
          </w14:textFill>
        </w:rPr>
        <w:t>个日历日。</w:t>
      </w:r>
    </w:p>
    <w:p w14:paraId="276D6CB1">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（2）除合同条款及采购需求偏离表列出的偏离外，我方响应磋商文件的全部要求。</w:t>
      </w:r>
    </w:p>
    <w:p w14:paraId="08FDD274">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（3）我方已提供的全部文件资料是真实、准确的，并对此承担一切法律后果。</w:t>
      </w:r>
    </w:p>
    <w:p w14:paraId="5146C95B">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（4）如我方中标，我方将在法律规定的期限内与你方签订合同，按照磋商文件要求提交履约保证金，并在合同约定的期限内完成合同规定的全部义务。</w:t>
      </w:r>
    </w:p>
    <w:p w14:paraId="560D8477">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2. 其他补充条款（如有）：___________。</w:t>
      </w:r>
    </w:p>
    <w:p w14:paraId="39EC9F02">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与本响应有关的一切正式往来信函请寄：</w:t>
      </w:r>
    </w:p>
    <w:p w14:paraId="6CA713AB">
      <w:pPr>
        <w:spacing w:line="360" w:lineRule="auto"/>
        <w:ind w:firstLine="480"/>
        <w:contextualSpacing/>
        <w:rPr>
          <w:rFonts w:ascii="宋体" w:hAnsi="宋体"/>
          <w:bCs/>
          <w:color w:val="000000" w:themeColor="text1"/>
          <w:sz w:val="24"/>
          <w14:textFill>
            <w14:solidFill>
              <w14:schemeClr w14:val="tx1"/>
            </w14:solidFill>
          </w14:textFill>
        </w:rPr>
      </w:pPr>
    </w:p>
    <w:p w14:paraId="7F897735">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地址_________________________</w:t>
      </w:r>
    </w:p>
    <w:p w14:paraId="62BAEC1F">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传真_________________________</w:t>
      </w:r>
    </w:p>
    <w:p w14:paraId="0268DFD1">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电话_________________________</w:t>
      </w:r>
    </w:p>
    <w:p w14:paraId="507F2E5A">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电子函件_____________________</w:t>
      </w:r>
    </w:p>
    <w:p w14:paraId="1EC32A36">
      <w:pPr>
        <w:spacing w:line="360" w:lineRule="auto"/>
        <w:ind w:firstLine="480"/>
        <w:contextualSpacing/>
        <w:rPr>
          <w:rFonts w:ascii="宋体" w:hAnsi="宋体"/>
          <w:bCs/>
          <w:color w:val="000000" w:themeColor="text1"/>
          <w:sz w:val="24"/>
          <w14:textFill>
            <w14:solidFill>
              <w14:schemeClr w14:val="tx1"/>
            </w14:solidFill>
          </w14:textFill>
        </w:rPr>
      </w:pPr>
    </w:p>
    <w:p w14:paraId="625151F8">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供应商名称</w:t>
      </w:r>
      <w:r>
        <w:rPr>
          <w:rFonts w:hint="eastAsia" w:ascii="宋体" w:hAnsi="宋体"/>
          <w:bCs/>
          <w:color w:val="000000" w:themeColor="text1"/>
          <w:sz w:val="24"/>
          <w14:textFill>
            <w14:solidFill>
              <w14:schemeClr w14:val="tx1"/>
            </w14:solidFill>
          </w14:textFill>
        </w:rPr>
        <w:t>（加盖CA电子公章）</w:t>
      </w:r>
      <w:r>
        <w:rPr>
          <w:rFonts w:ascii="宋体" w:hAnsi="宋体"/>
          <w:bCs/>
          <w:color w:val="000000" w:themeColor="text1"/>
          <w:sz w:val="24"/>
          <w14:textFill>
            <w14:solidFill>
              <w14:schemeClr w14:val="tx1"/>
            </w14:solidFill>
          </w14:textFill>
        </w:rPr>
        <w:t xml:space="preserve"> ___________</w:t>
      </w:r>
    </w:p>
    <w:p w14:paraId="587458BD">
      <w:pPr>
        <w:spacing w:line="360" w:lineRule="auto"/>
        <w:ind w:firstLine="480"/>
        <w:contextualSpacing/>
        <w:rPr>
          <w:rFonts w:ascii="宋体" w:hAnsi="宋体"/>
          <w:bCs/>
          <w:color w:val="000000" w:themeColor="text1"/>
          <w:sz w:val="24"/>
          <w14:textFill>
            <w14:solidFill>
              <w14:schemeClr w14:val="tx1"/>
            </w14:solidFill>
          </w14:textFill>
        </w:rPr>
      </w:pPr>
      <w:r>
        <w:rPr>
          <w:color w:val="000000" w:themeColor="text1"/>
          <w:sz w:val="24"/>
          <w:szCs w:val="20"/>
          <w14:textFill>
            <w14:solidFill>
              <w14:schemeClr w14:val="tx1"/>
            </w14:solidFill>
          </w14:textFill>
        </w:rPr>
        <w:t>日期：</w:t>
      </w:r>
      <w:r>
        <w:rPr>
          <w:rFonts w:hint="eastAsia"/>
          <w:color w:val="000000" w:themeColor="text1"/>
          <w:sz w:val="24"/>
          <w:szCs w:val="20"/>
          <w14:textFill>
            <w14:solidFill>
              <w14:schemeClr w14:val="tx1"/>
            </w14:solidFill>
          </w14:textFill>
        </w:rPr>
        <w:t xml:space="preserve"> </w:t>
      </w:r>
      <w:r>
        <w:rPr>
          <w:color w:val="000000" w:themeColor="text1"/>
          <w:sz w:val="24"/>
          <w:szCs w:val="20"/>
          <w14:textFill>
            <w14:solidFill>
              <w14:schemeClr w14:val="tx1"/>
            </w14:solidFill>
          </w14:textFill>
        </w:rPr>
        <w:t xml:space="preserve">  年</w:t>
      </w:r>
      <w:r>
        <w:rPr>
          <w:rFonts w:hint="eastAsia"/>
          <w:color w:val="000000" w:themeColor="text1"/>
          <w:sz w:val="24"/>
          <w:szCs w:val="20"/>
          <w14:textFill>
            <w14:solidFill>
              <w14:schemeClr w14:val="tx1"/>
            </w14:solidFill>
          </w14:textFill>
        </w:rPr>
        <w:t xml:space="preserve"> </w:t>
      </w:r>
      <w:r>
        <w:rPr>
          <w:color w:val="000000" w:themeColor="text1"/>
          <w:sz w:val="24"/>
          <w:szCs w:val="20"/>
          <w14:textFill>
            <w14:solidFill>
              <w14:schemeClr w14:val="tx1"/>
            </w14:solidFill>
          </w14:textFill>
        </w:rPr>
        <w:t xml:space="preserve">  月</w:t>
      </w:r>
      <w:r>
        <w:rPr>
          <w:rFonts w:hint="eastAsia"/>
          <w:color w:val="000000" w:themeColor="text1"/>
          <w:sz w:val="24"/>
          <w:szCs w:val="20"/>
          <w14:textFill>
            <w14:solidFill>
              <w14:schemeClr w14:val="tx1"/>
            </w14:solidFill>
          </w14:textFill>
        </w:rPr>
        <w:t xml:space="preserve"> </w:t>
      </w:r>
      <w:r>
        <w:rPr>
          <w:color w:val="000000" w:themeColor="text1"/>
          <w:sz w:val="24"/>
          <w:szCs w:val="20"/>
          <w14:textFill>
            <w14:solidFill>
              <w14:schemeClr w14:val="tx1"/>
            </w14:solidFill>
          </w14:textFill>
        </w:rPr>
        <w:t xml:space="preserve">   日 </w:t>
      </w:r>
      <w:r>
        <w:rPr>
          <w:rFonts w:ascii="宋体" w:hAnsi="宋体"/>
          <w:bCs/>
          <w:color w:val="000000" w:themeColor="text1"/>
          <w:sz w:val="24"/>
          <w14:textFill>
            <w14:solidFill>
              <w14:schemeClr w14:val="tx1"/>
            </w14:solidFill>
          </w14:textFill>
        </w:rPr>
        <w:t xml:space="preserve">   </w:t>
      </w:r>
    </w:p>
    <w:p w14:paraId="114CB559">
      <w:pPr>
        <w:spacing w:line="360" w:lineRule="auto"/>
        <w:contextualSpacing/>
        <w:rPr>
          <w:rFonts w:ascii="宋体" w:hAnsi="宋体"/>
          <w:bCs/>
          <w:color w:val="000000" w:themeColor="text1"/>
          <w:sz w:val="24"/>
          <w14:textFill>
            <w14:solidFill>
              <w14:schemeClr w14:val="tx1"/>
            </w14:solidFill>
          </w14:textFill>
        </w:rPr>
        <w:sectPr>
          <w:pgSz w:w="11906" w:h="16838"/>
          <w:pgMar w:top="1440" w:right="1800" w:bottom="1440" w:left="1800" w:header="851" w:footer="992" w:gutter="0"/>
          <w:cols w:space="1701" w:num="1"/>
          <w:docGrid w:linePitch="360" w:charSpace="0"/>
        </w:sectPr>
      </w:pPr>
    </w:p>
    <w:p w14:paraId="4F5A25B1">
      <w:pPr>
        <w:spacing w:line="360" w:lineRule="auto"/>
        <w:outlineLvl w:val="2"/>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 xml:space="preserve"> 法定代表人资格证明书</w:t>
      </w:r>
      <w:r>
        <w:rPr>
          <w:rFonts w:ascii="宋体" w:hAnsi="宋体"/>
          <w:color w:val="000000" w:themeColor="text1"/>
          <w:sz w:val="24"/>
          <w14:textFill>
            <w14:solidFill>
              <w14:schemeClr w14:val="tx1"/>
            </w14:solidFill>
          </w14:textFill>
        </w:rPr>
        <w:t>（实质性格式）</w:t>
      </w:r>
    </w:p>
    <w:p w14:paraId="29A2605F">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法定代表人资格证明书</w:t>
      </w:r>
    </w:p>
    <w:p w14:paraId="6DD1D3CF">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单位名称:</w:t>
      </w:r>
    </w:p>
    <w:p w14:paraId="413DE1EB">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地址:</w:t>
      </w:r>
    </w:p>
    <w:p w14:paraId="620DC6B9">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姓名:     性别:       年龄:      职务:</w:t>
      </w:r>
    </w:p>
    <w:p w14:paraId="44CE45D4">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系（供应商名称）的法定代表人。为参与（项目名称）的政府采购活动，</w:t>
      </w:r>
      <w:r>
        <w:rPr>
          <w:rFonts w:ascii="宋体" w:hAnsi="宋体"/>
          <w:bCs/>
          <w:color w:val="000000" w:themeColor="text1"/>
          <w:sz w:val="24"/>
          <w14:textFill>
            <w14:solidFill>
              <w14:schemeClr w14:val="tx1"/>
            </w14:solidFill>
          </w14:textFill>
        </w:rPr>
        <w:t>签署、澄清确认、递交、撤回、修改</w:t>
      </w:r>
      <w:r>
        <w:rPr>
          <w:rFonts w:hint="eastAsia" w:ascii="宋体" w:hAnsi="宋体"/>
          <w:bCs/>
          <w:color w:val="000000" w:themeColor="text1"/>
          <w:sz w:val="24"/>
          <w14:textFill>
            <w14:solidFill>
              <w14:schemeClr w14:val="tx1"/>
            </w14:solidFill>
          </w14:textFill>
        </w:rPr>
        <w:t>上述项目的响应文件、进行合同磋商、签署合同和处理与之有关的一切事务。</w:t>
      </w:r>
    </w:p>
    <w:p w14:paraId="00B8BF07">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特此证明。</w:t>
      </w:r>
    </w:p>
    <w:p w14:paraId="7F926C7D">
      <w:pPr>
        <w:spacing w:line="360" w:lineRule="auto"/>
        <w:ind w:firstLine="480"/>
        <w:contextualSpacing/>
        <w:rPr>
          <w:rFonts w:ascii="宋体" w:hAnsi="宋体"/>
          <w:bCs/>
          <w:color w:val="000000" w:themeColor="text1"/>
          <w:sz w:val="24"/>
          <w14:textFill>
            <w14:solidFill>
              <w14:schemeClr w14:val="tx1"/>
            </w14:solidFill>
          </w14:textFill>
        </w:rPr>
      </w:pPr>
    </w:p>
    <w:p w14:paraId="0E652C95">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附：法定代表人（单位负责人）有效期内的身</w:t>
      </w:r>
      <w:r>
        <w:rPr>
          <w:rFonts w:hint="eastAsia" w:ascii="宋体" w:hAnsi="宋体"/>
          <w:bCs/>
          <w:color w:val="000000" w:themeColor="text1"/>
          <w:sz w:val="24"/>
          <w14:textFill>
            <w14:solidFill>
              <w14:schemeClr w14:val="tx1"/>
            </w14:solidFill>
          </w14:textFill>
        </w:rPr>
        <w:t>份</w:t>
      </w:r>
      <w:r>
        <w:rPr>
          <w:rFonts w:ascii="宋体" w:hAnsi="宋体"/>
          <w:bCs/>
          <w:color w:val="000000" w:themeColor="text1"/>
          <w:sz w:val="24"/>
          <w14:textFill>
            <w14:solidFill>
              <w14:schemeClr w14:val="tx1"/>
            </w14:solidFill>
          </w14:textFill>
        </w:rPr>
        <w:t>证正反</w:t>
      </w:r>
      <w:r>
        <w:rPr>
          <w:rFonts w:hint="eastAsia" w:ascii="宋体" w:hAnsi="宋体"/>
          <w:bCs/>
          <w:color w:val="000000" w:themeColor="text1"/>
          <w:sz w:val="24"/>
          <w14:textFill>
            <w14:solidFill>
              <w14:schemeClr w14:val="tx1"/>
            </w14:solidFill>
          </w14:textFill>
        </w:rPr>
        <w:t>面。</w:t>
      </w:r>
    </w:p>
    <w:tbl>
      <w:tblPr>
        <w:tblStyle w:val="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92C0D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6D0323B2">
            <w:pPr>
              <w:spacing w:line="360" w:lineRule="auto"/>
              <w:ind w:firstLine="480"/>
              <w:contextualSpacing/>
              <w:rPr>
                <w:rFonts w:ascii="宋体" w:hAnsi="宋体"/>
                <w:bCs/>
                <w:color w:val="000000" w:themeColor="text1"/>
                <w:sz w:val="24"/>
                <w14:textFill>
                  <w14:solidFill>
                    <w14:schemeClr w14:val="tx1"/>
                  </w14:solidFill>
                </w14:textFill>
              </w:rPr>
            </w:pPr>
          </w:p>
          <w:p w14:paraId="773E4A6C">
            <w:pPr>
              <w:spacing w:line="360" w:lineRule="auto"/>
              <w:ind w:firstLine="480"/>
              <w:contextualSpacing/>
              <w:rPr>
                <w:rFonts w:ascii="宋体" w:hAnsi="宋体"/>
                <w:bCs/>
                <w:color w:val="000000" w:themeColor="text1"/>
                <w:sz w:val="24"/>
                <w14:textFill>
                  <w14:solidFill>
                    <w14:schemeClr w14:val="tx1"/>
                  </w14:solidFill>
                </w14:textFill>
              </w:rPr>
            </w:pPr>
          </w:p>
          <w:p w14:paraId="76F26EFC">
            <w:pPr>
              <w:spacing w:line="360" w:lineRule="auto"/>
              <w:ind w:firstLine="480"/>
              <w:contextualSpacing/>
              <w:rPr>
                <w:rFonts w:ascii="宋体" w:hAnsi="宋体"/>
                <w:bCs/>
                <w:color w:val="000000" w:themeColor="text1"/>
                <w:sz w:val="24"/>
                <w14:textFill>
                  <w14:solidFill>
                    <w14:schemeClr w14:val="tx1"/>
                  </w14:solidFill>
                </w14:textFill>
              </w:rPr>
            </w:pPr>
          </w:p>
        </w:tc>
        <w:tc>
          <w:tcPr>
            <w:tcW w:w="4536" w:type="dxa"/>
          </w:tcPr>
          <w:p w14:paraId="7B216AA5">
            <w:pPr>
              <w:spacing w:line="360" w:lineRule="auto"/>
              <w:ind w:firstLine="480"/>
              <w:contextualSpacing/>
              <w:rPr>
                <w:rFonts w:ascii="宋体" w:hAnsi="宋体"/>
                <w:bCs/>
                <w:color w:val="000000" w:themeColor="text1"/>
                <w:sz w:val="24"/>
                <w14:textFill>
                  <w14:solidFill>
                    <w14:schemeClr w14:val="tx1"/>
                  </w14:solidFill>
                </w14:textFill>
              </w:rPr>
            </w:pPr>
          </w:p>
          <w:p w14:paraId="597694F9">
            <w:pPr>
              <w:spacing w:line="360" w:lineRule="auto"/>
              <w:ind w:firstLine="480"/>
              <w:contextualSpacing/>
              <w:rPr>
                <w:rFonts w:ascii="宋体" w:hAnsi="宋体"/>
                <w:bCs/>
                <w:color w:val="000000" w:themeColor="text1"/>
                <w:sz w:val="24"/>
                <w14:textFill>
                  <w14:solidFill>
                    <w14:schemeClr w14:val="tx1"/>
                  </w14:solidFill>
                </w14:textFill>
              </w:rPr>
            </w:pPr>
          </w:p>
          <w:p w14:paraId="0554D184">
            <w:pPr>
              <w:spacing w:line="360" w:lineRule="auto"/>
              <w:ind w:firstLine="480"/>
              <w:contextualSpacing/>
              <w:rPr>
                <w:rFonts w:ascii="宋体" w:hAnsi="宋体"/>
                <w:bCs/>
                <w:color w:val="000000" w:themeColor="text1"/>
                <w:sz w:val="24"/>
                <w14:textFill>
                  <w14:solidFill>
                    <w14:schemeClr w14:val="tx1"/>
                  </w14:solidFill>
                </w14:textFill>
              </w:rPr>
            </w:pPr>
          </w:p>
        </w:tc>
      </w:tr>
    </w:tbl>
    <w:p w14:paraId="0574D57B">
      <w:pPr>
        <w:spacing w:line="360" w:lineRule="auto"/>
        <w:ind w:firstLine="480"/>
        <w:contextualSpacing/>
        <w:rPr>
          <w:rFonts w:ascii="宋体" w:hAnsi="宋体"/>
          <w:bCs/>
          <w:color w:val="000000" w:themeColor="text1"/>
          <w:sz w:val="24"/>
          <w14:textFill>
            <w14:solidFill>
              <w14:schemeClr w14:val="tx1"/>
            </w14:solidFill>
          </w14:textFill>
        </w:rPr>
      </w:pPr>
    </w:p>
    <w:p w14:paraId="3B658589">
      <w:pPr>
        <w:spacing w:line="360" w:lineRule="auto"/>
        <w:ind w:firstLine="480"/>
        <w:contextualSpacing/>
        <w:rPr>
          <w:rFonts w:ascii="宋体" w:hAnsi="宋体"/>
          <w:bCs/>
          <w:color w:val="000000" w:themeColor="text1"/>
          <w:sz w:val="24"/>
          <w14:textFill>
            <w14:solidFill>
              <w14:schemeClr w14:val="tx1"/>
            </w14:solidFill>
          </w14:textFill>
        </w:rPr>
      </w:pPr>
    </w:p>
    <w:p w14:paraId="47E7F706">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供应商：（加盖CA电子公章）</w:t>
      </w:r>
    </w:p>
    <w:p w14:paraId="5D831598">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法定代表人</w:t>
      </w:r>
      <w:r>
        <w:rPr>
          <w:rFonts w:ascii="宋体" w:hAnsi="宋体"/>
          <w:bCs/>
          <w:color w:val="000000" w:themeColor="text1"/>
          <w:sz w:val="24"/>
          <w14:textFill>
            <w14:solidFill>
              <w14:schemeClr w14:val="tx1"/>
            </w14:solidFill>
          </w14:textFill>
        </w:rPr>
        <w:t>签字</w:t>
      </w:r>
      <w:r>
        <w:rPr>
          <w:rFonts w:hint="eastAsia" w:ascii="宋体" w:hAnsi="宋体"/>
          <w:bCs/>
          <w:color w:val="000000" w:themeColor="text1"/>
          <w:sz w:val="24"/>
          <w14:textFill>
            <w14:solidFill>
              <w14:schemeClr w14:val="tx1"/>
            </w14:solidFill>
          </w14:textFill>
        </w:rPr>
        <w:t>或盖章：</w:t>
      </w:r>
    </w:p>
    <w:p w14:paraId="36623A57">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日期：    年    月    日</w:t>
      </w:r>
    </w:p>
    <w:p w14:paraId="45C3E635">
      <w:pPr>
        <w:spacing w:line="360" w:lineRule="auto"/>
        <w:ind w:firstLine="480"/>
        <w:contextualSpacing/>
        <w:rPr>
          <w:rFonts w:ascii="宋体" w:hAnsi="宋体"/>
          <w:bCs/>
          <w:color w:val="000000" w:themeColor="text1"/>
          <w:sz w:val="24"/>
          <w14:textFill>
            <w14:solidFill>
              <w14:schemeClr w14:val="tx1"/>
            </w14:solidFill>
          </w14:textFill>
        </w:rPr>
      </w:pPr>
    </w:p>
    <w:p w14:paraId="4CA86632">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说明</w:t>
      </w:r>
      <w:r>
        <w:rPr>
          <w:rFonts w:ascii="宋体" w:hAnsi="宋体"/>
          <w:bCs/>
          <w:color w:val="000000" w:themeColor="text1"/>
          <w:sz w:val="24"/>
          <w14:textFill>
            <w14:solidFill>
              <w14:schemeClr w14:val="tx1"/>
            </w14:solidFill>
          </w14:textFill>
        </w:rPr>
        <w:t>：</w:t>
      </w:r>
    </w:p>
    <w:p w14:paraId="0E9D3C39">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1.若供应商为事业单位或其他组织或分支机构（仅当</w:t>
      </w:r>
      <w:r>
        <w:rPr>
          <w:rFonts w:hint="eastAsia" w:ascii="宋体" w:hAnsi="宋体"/>
          <w:bCs/>
          <w:color w:val="000000" w:themeColor="text1"/>
          <w:sz w:val="24"/>
          <w14:textFill>
            <w14:solidFill>
              <w14:schemeClr w14:val="tx1"/>
            </w14:solidFill>
          </w14:textFill>
        </w:rPr>
        <w:t>磋商文件</w:t>
      </w:r>
      <w:r>
        <w:rPr>
          <w:rFonts w:ascii="宋体" w:hAnsi="宋体"/>
          <w:bCs/>
          <w:color w:val="000000" w:themeColor="text1"/>
          <w:sz w:val="24"/>
          <w14:textFill>
            <w14:solidFill>
              <w14:schemeClr w14:val="tx1"/>
            </w14:solidFill>
          </w14:textFill>
        </w:rPr>
        <w:t>注明允许分支机构</w:t>
      </w:r>
      <w:r>
        <w:rPr>
          <w:rFonts w:hint="eastAsia" w:ascii="宋体" w:hAnsi="宋体"/>
          <w:bCs/>
          <w:color w:val="000000" w:themeColor="text1"/>
          <w:sz w:val="24"/>
          <w14:textFill>
            <w14:solidFill>
              <w14:schemeClr w14:val="tx1"/>
            </w14:solidFill>
          </w14:textFill>
        </w:rPr>
        <w:t>响应</w:t>
      </w:r>
      <w:r>
        <w:rPr>
          <w:rFonts w:ascii="宋体" w:hAnsi="宋体"/>
          <w:bCs/>
          <w:color w:val="000000" w:themeColor="text1"/>
          <w:sz w:val="24"/>
          <w14:textFill>
            <w14:solidFill>
              <w14:schemeClr w14:val="tx1"/>
            </w14:solidFill>
          </w14:textFill>
        </w:rPr>
        <w:t>的），则法定代表人（单位负责人）</w:t>
      </w:r>
      <w:r>
        <w:rPr>
          <w:rFonts w:hint="eastAsia" w:ascii="宋体" w:hAnsi="宋体"/>
          <w:bCs/>
          <w:color w:val="000000" w:themeColor="text1"/>
          <w:sz w:val="24"/>
          <w14:textFill>
            <w14:solidFill>
              <w14:schemeClr w14:val="tx1"/>
            </w14:solidFill>
          </w14:textFill>
        </w:rPr>
        <w:t>处</w:t>
      </w:r>
      <w:r>
        <w:rPr>
          <w:rFonts w:ascii="宋体" w:hAnsi="宋体"/>
          <w:bCs/>
          <w:color w:val="000000" w:themeColor="text1"/>
          <w:sz w:val="24"/>
          <w14:textFill>
            <w14:solidFill>
              <w14:schemeClr w14:val="tx1"/>
            </w14:solidFill>
          </w14:textFill>
        </w:rPr>
        <w:t>的签署人可为单位负责人</w:t>
      </w:r>
      <w:r>
        <w:rPr>
          <w:rFonts w:hint="eastAsia" w:ascii="宋体" w:hAnsi="宋体"/>
          <w:bCs/>
          <w:color w:val="000000" w:themeColor="text1"/>
          <w:sz w:val="24"/>
          <w14:textFill>
            <w14:solidFill>
              <w14:schemeClr w14:val="tx1"/>
            </w14:solidFill>
          </w14:textFill>
        </w:rPr>
        <w:t>。</w:t>
      </w:r>
    </w:p>
    <w:p w14:paraId="187AE15A">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w:t>
      </w:r>
      <w:r>
        <w:rPr>
          <w:rFonts w:ascii="宋体" w:hAnsi="宋体"/>
          <w:bCs/>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供应商为自然人的情形，可不提供本</w:t>
      </w:r>
      <w:r>
        <w:rPr>
          <w:rFonts w:ascii="宋体" w:hAnsi="宋体"/>
          <w:bCs/>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法定代表人资格证明书</w:t>
      </w:r>
      <w:r>
        <w:rPr>
          <w:rFonts w:ascii="宋体" w:hAnsi="宋体"/>
          <w:bCs/>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w:t>
      </w:r>
    </w:p>
    <w:p w14:paraId="4E4210B4">
      <w:pPr>
        <w:spacing w:line="360" w:lineRule="auto"/>
        <w:ind w:firstLine="480"/>
        <w:contextualSpacing/>
        <w:rPr>
          <w:rFonts w:ascii="宋体" w:hAnsi="宋体"/>
          <w:bCs/>
          <w:color w:val="000000" w:themeColor="text1"/>
          <w:sz w:val="24"/>
          <w14:textFill>
            <w14:solidFill>
              <w14:schemeClr w14:val="tx1"/>
            </w14:solidFill>
          </w14:textFill>
        </w:rPr>
        <w:sectPr>
          <w:pgSz w:w="11906" w:h="16838"/>
          <w:pgMar w:top="1440" w:right="1800" w:bottom="1440" w:left="1800" w:header="851" w:footer="992" w:gutter="0"/>
          <w:cols w:space="1701" w:num="1"/>
          <w:docGrid w:linePitch="360" w:charSpace="0"/>
        </w:sectPr>
      </w:pPr>
    </w:p>
    <w:p w14:paraId="1286AFC1">
      <w:pPr>
        <w:spacing w:line="360" w:lineRule="auto"/>
        <w:outlineLvl w:val="2"/>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6</w:t>
      </w:r>
      <w:r>
        <w:rPr>
          <w:rFonts w:hint="eastAsia" w:ascii="宋体" w:hAnsi="宋体"/>
          <w:color w:val="000000" w:themeColor="text1"/>
          <w:sz w:val="24"/>
          <w14:textFill>
            <w14:solidFill>
              <w14:schemeClr w14:val="tx1"/>
            </w14:solidFill>
          </w14:textFill>
        </w:rPr>
        <w:t xml:space="preserve"> 授权委托书（实质性格式）</w:t>
      </w:r>
    </w:p>
    <w:p w14:paraId="3CA13537">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授权委托书</w:t>
      </w:r>
    </w:p>
    <w:p w14:paraId="70A23344">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本授权委托书声明：_______________（供应商名称）的__________（法定代表人姓名、职务）代表供应商授权____________（被授权人的姓名、职务）为</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（项目名称）  项目的合法代理人，全权负责参加本次政府采购项目的采购活动、签订合约以及与之相关的各项工作。本供应商对代理人的所有签名负全部责任。</w:t>
      </w:r>
    </w:p>
    <w:p w14:paraId="0B554D91">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本授权书于__________年_______月________日签字生效，特此声明。</w:t>
      </w:r>
    </w:p>
    <w:p w14:paraId="7BEB41F4">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ascii="宋体" w:hAnsi="宋体"/>
          <w:bCs/>
          <w:color w:val="000000" w:themeColor="text1"/>
          <w:sz w:val="24"/>
          <w14:textFill>
            <w14:solidFill>
              <w14:schemeClr w14:val="tx1"/>
            </w14:solidFill>
          </w14:textFill>
        </w:rPr>
      </w:pPr>
    </w:p>
    <w:p w14:paraId="206484CC">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法定代表人</w:t>
      </w:r>
      <w:r>
        <w:rPr>
          <w:rFonts w:ascii="宋体" w:hAnsi="宋体"/>
          <w:sz w:val="24"/>
          <w:szCs w:val="20"/>
        </w:rPr>
        <w:t>签字</w:t>
      </w:r>
      <w:r>
        <w:rPr>
          <w:rFonts w:hint="eastAsia" w:ascii="宋体" w:hAnsi="宋体"/>
          <w:sz w:val="24"/>
          <w:szCs w:val="20"/>
        </w:rPr>
        <w:t>、签章</w:t>
      </w:r>
      <w:r>
        <w:rPr>
          <w:rFonts w:ascii="宋体" w:hAnsi="宋体"/>
          <w:sz w:val="24"/>
          <w:szCs w:val="20"/>
        </w:rPr>
        <w:t>或</w:t>
      </w:r>
      <w:r>
        <w:rPr>
          <w:rFonts w:hint="eastAsia" w:ascii="宋体" w:hAnsi="宋体"/>
          <w:sz w:val="24"/>
          <w:szCs w:val="20"/>
        </w:rPr>
        <w:t>印鉴</w:t>
      </w:r>
      <w:r>
        <w:rPr>
          <w:rFonts w:hint="eastAsia" w:ascii="宋体" w:hAnsi="宋体"/>
          <w:bCs/>
          <w:color w:val="000000" w:themeColor="text1"/>
          <w:sz w:val="24"/>
          <w14:textFill>
            <w14:solidFill>
              <w14:schemeClr w14:val="tx1"/>
            </w14:solidFill>
          </w14:textFill>
        </w:rPr>
        <w:t>：                日期：</w:t>
      </w:r>
    </w:p>
    <w:p w14:paraId="356FF887">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职务：                                       联系电话：</w:t>
      </w:r>
    </w:p>
    <w:p w14:paraId="16305DB5">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单位名称：                                   地址：</w:t>
      </w:r>
    </w:p>
    <w:p w14:paraId="41B1DB0D">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身份证号码： </w:t>
      </w:r>
    </w:p>
    <w:p w14:paraId="30DDB31E">
      <w:pPr>
        <w:spacing w:line="360" w:lineRule="auto"/>
        <w:ind w:firstLine="480"/>
        <w:contextualSpacing/>
        <w:rPr>
          <w:rFonts w:ascii="宋体" w:hAnsi="宋体"/>
          <w:bCs/>
          <w:color w:val="000000" w:themeColor="text1"/>
          <w:sz w:val="24"/>
          <w14:textFill>
            <w14:solidFill>
              <w14:schemeClr w14:val="tx1"/>
            </w14:solidFill>
          </w14:textFill>
        </w:rPr>
      </w:pPr>
    </w:p>
    <w:p w14:paraId="38F4EF8F">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委托代理人</w:t>
      </w:r>
      <w:r>
        <w:rPr>
          <w:rFonts w:ascii="宋体" w:hAnsi="宋体"/>
          <w:sz w:val="24"/>
          <w:szCs w:val="20"/>
        </w:rPr>
        <w:t>签字</w:t>
      </w:r>
      <w:r>
        <w:rPr>
          <w:rFonts w:hint="eastAsia" w:ascii="宋体" w:hAnsi="宋体"/>
          <w:sz w:val="24"/>
          <w:szCs w:val="20"/>
        </w:rPr>
        <w:t>、签章</w:t>
      </w:r>
      <w:r>
        <w:rPr>
          <w:rFonts w:ascii="宋体" w:hAnsi="宋体"/>
          <w:sz w:val="24"/>
          <w:szCs w:val="20"/>
        </w:rPr>
        <w:t>或</w:t>
      </w:r>
      <w:r>
        <w:rPr>
          <w:rFonts w:hint="eastAsia" w:ascii="宋体" w:hAnsi="宋体"/>
          <w:sz w:val="24"/>
          <w:szCs w:val="20"/>
        </w:rPr>
        <w:t>印鉴</w:t>
      </w:r>
      <w:r>
        <w:rPr>
          <w:rFonts w:hint="eastAsia" w:ascii="宋体" w:hAnsi="宋体"/>
          <w:bCs/>
          <w:color w:val="000000" w:themeColor="text1"/>
          <w:sz w:val="24"/>
          <w14:textFill>
            <w14:solidFill>
              <w14:schemeClr w14:val="tx1"/>
            </w14:solidFill>
          </w14:textFill>
        </w:rPr>
        <w:t>：                日期：</w:t>
      </w:r>
    </w:p>
    <w:p w14:paraId="2FED6D2F">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职务：                                       联系电话：</w:t>
      </w:r>
    </w:p>
    <w:p w14:paraId="4EB89426">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单位名称：                                   地址：</w:t>
      </w:r>
    </w:p>
    <w:p w14:paraId="12B10E40">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身份证号码：</w:t>
      </w:r>
    </w:p>
    <w:p w14:paraId="62AAB077">
      <w:pPr>
        <w:spacing w:line="360" w:lineRule="auto"/>
        <w:ind w:firstLine="480"/>
        <w:contextualSpacing/>
        <w:rPr>
          <w:rFonts w:ascii="宋体" w:hAnsi="宋体"/>
          <w:bCs/>
          <w:color w:val="000000" w:themeColor="text1"/>
          <w:sz w:val="24"/>
          <w14:textFill>
            <w14:solidFill>
              <w14:schemeClr w14:val="tx1"/>
            </w14:solidFill>
          </w14:textFill>
        </w:rPr>
      </w:pPr>
    </w:p>
    <w:p w14:paraId="2ABEBD73">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供应商：（加盖CA电子公章）</w:t>
      </w:r>
    </w:p>
    <w:p w14:paraId="11E8EF36">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地址：                                        电话：</w:t>
      </w:r>
    </w:p>
    <w:p w14:paraId="194A8479">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传真：                                        邮编：</w:t>
      </w:r>
    </w:p>
    <w:p w14:paraId="3F895247">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开户行：</w:t>
      </w:r>
    </w:p>
    <w:p w14:paraId="7CD8DDC6">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帐号：</w:t>
      </w:r>
    </w:p>
    <w:p w14:paraId="19A939B9">
      <w:pPr>
        <w:spacing w:line="360" w:lineRule="auto"/>
        <w:ind w:firstLine="480"/>
        <w:contextualSpacing/>
        <w:rPr>
          <w:rFonts w:ascii="宋体" w:hAnsi="宋体"/>
          <w:bCs/>
          <w:color w:val="000000" w:themeColor="text1"/>
          <w:sz w:val="24"/>
          <w14:textFill>
            <w14:solidFill>
              <w14:schemeClr w14:val="tx1"/>
            </w14:solidFill>
          </w14:textFill>
        </w:rPr>
      </w:pPr>
    </w:p>
    <w:p w14:paraId="7B1B2E7A">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附：委托代理人有效期内的身份证正反面。</w:t>
      </w:r>
    </w:p>
    <w:tbl>
      <w:tblPr>
        <w:tblStyle w:val="47"/>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87"/>
        <w:gridCol w:w="4452"/>
      </w:tblGrid>
      <w:tr w14:paraId="536E5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0" w:hRule="atLeast"/>
        </w:trPr>
        <w:tc>
          <w:tcPr>
            <w:tcW w:w="4587" w:type="dxa"/>
          </w:tcPr>
          <w:p w14:paraId="7465DEBB">
            <w:pPr>
              <w:spacing w:line="360" w:lineRule="auto"/>
              <w:ind w:firstLine="480"/>
              <w:contextualSpacing/>
              <w:rPr>
                <w:rFonts w:ascii="宋体" w:hAnsi="宋体"/>
                <w:bCs/>
                <w:color w:val="000000" w:themeColor="text1"/>
                <w:sz w:val="24"/>
                <w14:textFill>
                  <w14:solidFill>
                    <w14:schemeClr w14:val="tx1"/>
                  </w14:solidFill>
                </w14:textFill>
              </w:rPr>
            </w:pPr>
          </w:p>
          <w:p w14:paraId="22214DE5">
            <w:pPr>
              <w:spacing w:line="360" w:lineRule="auto"/>
              <w:ind w:firstLine="480"/>
              <w:contextualSpacing/>
              <w:rPr>
                <w:rFonts w:ascii="宋体" w:hAnsi="宋体"/>
                <w:bCs/>
                <w:color w:val="000000" w:themeColor="text1"/>
                <w:sz w:val="24"/>
                <w14:textFill>
                  <w14:solidFill>
                    <w14:schemeClr w14:val="tx1"/>
                  </w14:solidFill>
                </w14:textFill>
              </w:rPr>
            </w:pPr>
          </w:p>
          <w:p w14:paraId="48F6C53F">
            <w:pPr>
              <w:spacing w:line="360" w:lineRule="auto"/>
              <w:ind w:firstLine="480"/>
              <w:contextualSpacing/>
              <w:rPr>
                <w:rFonts w:ascii="宋体" w:hAnsi="宋体"/>
                <w:bCs/>
                <w:color w:val="000000" w:themeColor="text1"/>
                <w:sz w:val="24"/>
                <w14:textFill>
                  <w14:solidFill>
                    <w14:schemeClr w14:val="tx1"/>
                  </w14:solidFill>
                </w14:textFill>
              </w:rPr>
            </w:pPr>
          </w:p>
        </w:tc>
        <w:tc>
          <w:tcPr>
            <w:tcW w:w="4452" w:type="dxa"/>
          </w:tcPr>
          <w:p w14:paraId="29572101">
            <w:pPr>
              <w:spacing w:line="360" w:lineRule="auto"/>
              <w:ind w:firstLine="480"/>
              <w:contextualSpacing/>
              <w:rPr>
                <w:rFonts w:ascii="宋体" w:hAnsi="宋体"/>
                <w:bCs/>
                <w:color w:val="000000" w:themeColor="text1"/>
                <w:sz w:val="24"/>
                <w14:textFill>
                  <w14:solidFill>
                    <w14:schemeClr w14:val="tx1"/>
                  </w14:solidFill>
                </w14:textFill>
              </w:rPr>
            </w:pPr>
          </w:p>
          <w:p w14:paraId="1ECB79A8">
            <w:pPr>
              <w:spacing w:line="360" w:lineRule="auto"/>
              <w:ind w:firstLine="480"/>
              <w:contextualSpacing/>
              <w:rPr>
                <w:rFonts w:ascii="宋体" w:hAnsi="宋体"/>
                <w:bCs/>
                <w:color w:val="000000" w:themeColor="text1"/>
                <w:sz w:val="24"/>
                <w14:textFill>
                  <w14:solidFill>
                    <w14:schemeClr w14:val="tx1"/>
                  </w14:solidFill>
                </w14:textFill>
              </w:rPr>
            </w:pPr>
          </w:p>
          <w:p w14:paraId="40315ABE">
            <w:pPr>
              <w:spacing w:line="360" w:lineRule="auto"/>
              <w:ind w:firstLine="480"/>
              <w:contextualSpacing/>
              <w:rPr>
                <w:rFonts w:ascii="宋体" w:hAnsi="宋体"/>
                <w:bCs/>
                <w:color w:val="000000" w:themeColor="text1"/>
                <w:sz w:val="24"/>
                <w14:textFill>
                  <w14:solidFill>
                    <w14:schemeClr w14:val="tx1"/>
                  </w14:solidFill>
                </w14:textFill>
              </w:rPr>
            </w:pPr>
          </w:p>
        </w:tc>
      </w:tr>
    </w:tbl>
    <w:p w14:paraId="00968B8D">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说明：</w:t>
      </w:r>
    </w:p>
    <w:p w14:paraId="0E31AEBD">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1.若供应商为事业单位或其他组织或分支机构（仅当磋商文件注明允许分支机构响应的），则法定代表人处的签署人可为单位负责人。</w:t>
      </w:r>
    </w:p>
    <w:p w14:paraId="51D423B4">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2.法定代表人参加磋商会议时，提供《法定代表人资格证明书》。</w:t>
      </w:r>
    </w:p>
    <w:p w14:paraId="65C67FDB">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3.委托代理人参加磋商会议时，提供《法定代表人资格证明书》</w:t>
      </w:r>
      <w:r>
        <w:rPr>
          <w:rFonts w:hint="eastAsia" w:ascii="宋体" w:hAnsi="宋体"/>
          <w:bCs/>
          <w:color w:val="000000" w:themeColor="text1"/>
          <w:sz w:val="24"/>
          <w:lang w:eastAsia="zh-CN"/>
          <w14:textFill>
            <w14:solidFill>
              <w14:schemeClr w14:val="tx1"/>
            </w14:solidFill>
          </w14:textFill>
        </w:rPr>
        <w:t>、</w:t>
      </w:r>
      <w:r>
        <w:rPr>
          <w:rFonts w:hint="eastAsia" w:ascii="宋体" w:hAnsi="宋体"/>
          <w:bCs/>
          <w:color w:val="000000" w:themeColor="text1"/>
          <w:sz w:val="24"/>
          <w14:textFill>
            <w14:solidFill>
              <w14:schemeClr w14:val="tx1"/>
            </w14:solidFill>
          </w14:textFill>
        </w:rPr>
        <w:t>《授权委托书》。</w:t>
      </w:r>
    </w:p>
    <w:p w14:paraId="7D2739E1">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4.供应商为自然人的情形，可不提供本《授权委托书》。</w:t>
      </w:r>
    </w:p>
    <w:p w14:paraId="60002DA6">
      <w:pPr>
        <w:spacing w:line="360" w:lineRule="auto"/>
        <w:contextualSpacing/>
        <w:rPr>
          <w:rFonts w:ascii="宋体" w:hAnsi="宋体"/>
          <w:bCs/>
          <w:color w:val="000000" w:themeColor="text1"/>
          <w:sz w:val="24"/>
          <w14:textFill>
            <w14:solidFill>
              <w14:schemeClr w14:val="tx1"/>
            </w14:solidFill>
          </w14:textFill>
        </w:rPr>
        <w:sectPr>
          <w:pgSz w:w="11906" w:h="16838"/>
          <w:pgMar w:top="1440" w:right="1800" w:bottom="1440" w:left="1800" w:header="851" w:footer="992" w:gutter="0"/>
          <w:cols w:space="1701" w:num="1"/>
          <w:docGrid w:linePitch="360" w:charSpace="0"/>
        </w:sectPr>
      </w:pPr>
    </w:p>
    <w:p w14:paraId="46F57AC0">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7</w:t>
      </w:r>
      <w:r>
        <w:rPr>
          <w:rFonts w:hint="eastAsia" w:ascii="宋体" w:hAnsi="宋体"/>
          <w:color w:val="000000" w:themeColor="text1"/>
          <w:sz w:val="24"/>
          <w:szCs w:val="20"/>
          <w14:textFill>
            <w14:solidFill>
              <w14:schemeClr w14:val="tx1"/>
            </w14:solidFill>
          </w14:textFill>
        </w:rPr>
        <w:t xml:space="preserve"> 政府采购供应商信用承诺书</w:t>
      </w:r>
      <w:r>
        <w:rPr>
          <w:rFonts w:ascii="宋体" w:hAnsi="宋体"/>
          <w:color w:val="000000" w:themeColor="text1"/>
          <w:sz w:val="24"/>
          <w:szCs w:val="20"/>
          <w14:textFill>
            <w14:solidFill>
              <w14:schemeClr w14:val="tx1"/>
            </w14:solidFill>
          </w14:textFill>
        </w:rPr>
        <w:t>（实质性格式）</w:t>
      </w:r>
    </w:p>
    <w:p w14:paraId="45F0C1FB">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政府采购供应商信用承诺书</w:t>
      </w:r>
    </w:p>
    <w:p w14:paraId="27E63933">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为维护公开、公平、公正的政府采购市场秩序，树立诚实守信的供应商形象，本单位在参与政府采购活动中,自愿作出以下承诺：</w:t>
      </w:r>
    </w:p>
    <w:p w14:paraId="7EC83A97">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一、严格遵守国家法律、法规和规章，全面履行应尽的责任和义务，全面做到履约守信，具备《政府采购法》第二十二条第一款规定的条件。</w:t>
      </w:r>
    </w:p>
    <w:p w14:paraId="5B5C54A4">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二、本单位已经阅读并充分理解《常州市政府采购供应商信用管理暂行办法》，自愿按照《常州市政府采购供应商信用管理暂行办法》规定，发生失信行为将记录并公开到“信用常州”、常州市政府采购网。</w:t>
      </w:r>
    </w:p>
    <w:p w14:paraId="381BDCCA">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三、本单位提供给注册登记部门、行业管理部门、司法部门、行业组织以及在政府采购活动中提交的所有资料均合法、真实、有效，无任何伪造、修改、虚假成份，并对所提供资料的真实性负责。</w:t>
      </w:r>
    </w:p>
    <w:p w14:paraId="452C124B">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四、严格依法开展生产经营活动，主动接受行业监管，自愿接受依法开展的日常检查；违法失信经营后将自愿接受约束和惩戒，并依法承担相应责任。</w:t>
      </w:r>
    </w:p>
    <w:p w14:paraId="2C896ACD">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五、承诺本单位自觉接受行政管理部门、行业组织、社会公众、新闻舆论的监督。 </w:t>
      </w:r>
    </w:p>
    <w:p w14:paraId="78F4A063">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p>
    <w:p w14:paraId="1CC158E2">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七、承诺本单位在信用中国（江苏）网站中无违法违规、较重或严重失信记录。 </w:t>
      </w:r>
    </w:p>
    <w:p w14:paraId="0E93E833">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八、承诺本单位提出政府采购质疑和投诉坚持依法依规、诚实信用原则。</w:t>
      </w:r>
    </w:p>
    <w:p w14:paraId="74E04511">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九、根据政府采购相关法律法规的规定需要作出的其他承诺。 </w:t>
      </w:r>
    </w:p>
    <w:p w14:paraId="3880E00E">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十、承诺本单位若违背承诺约定，经查实，愿意接受行业主管部门和信用管理部门相应的规定处罚，承担违约责任，并依法承担相应的法律责任。</w:t>
      </w:r>
    </w:p>
    <w:p w14:paraId="439438CA">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十一、承诺本单位同意将以上承诺事项上网公示，违背承诺约定行为将作为失信信息，记录到常州市公共信用信息系统，并予以公开。</w:t>
      </w:r>
    </w:p>
    <w:p w14:paraId="6E19A31E">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供应商名称</w:t>
      </w:r>
      <w:r>
        <w:rPr>
          <w:rFonts w:hint="eastAsia" w:ascii="宋体" w:hAnsi="宋体"/>
          <w:bCs/>
          <w:color w:val="000000" w:themeColor="text1"/>
          <w:sz w:val="24"/>
          <w14:textFill>
            <w14:solidFill>
              <w14:schemeClr w14:val="tx1"/>
            </w14:solidFill>
          </w14:textFill>
        </w:rPr>
        <w:t>（加盖CA电子公章）</w:t>
      </w:r>
      <w:r>
        <w:rPr>
          <w:rFonts w:ascii="宋体" w:hAnsi="宋体"/>
          <w:bCs/>
          <w:color w:val="000000" w:themeColor="text1"/>
          <w:sz w:val="24"/>
          <w14:textFill>
            <w14:solidFill>
              <w14:schemeClr w14:val="tx1"/>
            </w14:solidFill>
          </w14:textFill>
        </w:rPr>
        <w:t>：____________</w:t>
      </w:r>
    </w:p>
    <w:p w14:paraId="55DB4B31">
      <w:pPr>
        <w:spacing w:line="360" w:lineRule="auto"/>
        <w:ind w:firstLine="480"/>
        <w:contextualSpacing/>
        <w:rPr>
          <w:rFonts w:ascii="宋体" w:hAnsi="宋体"/>
          <w:bCs/>
          <w:color w:val="000000" w:themeColor="text1"/>
          <w:sz w:val="24"/>
          <w14:textFill>
            <w14:solidFill>
              <w14:schemeClr w14:val="tx1"/>
            </w14:solidFill>
          </w14:textFill>
        </w:rPr>
      </w:pPr>
      <w:r>
        <w:rPr>
          <w:color w:val="000000" w:themeColor="text1"/>
          <w:sz w:val="24"/>
          <w:szCs w:val="20"/>
          <w14:textFill>
            <w14:solidFill>
              <w14:schemeClr w14:val="tx1"/>
            </w14:solidFill>
          </w14:textFill>
        </w:rPr>
        <w:t>日期：</w:t>
      </w:r>
      <w:r>
        <w:rPr>
          <w:rFonts w:hint="eastAsia"/>
          <w:color w:val="000000" w:themeColor="text1"/>
          <w:sz w:val="24"/>
          <w:szCs w:val="20"/>
          <w14:textFill>
            <w14:solidFill>
              <w14:schemeClr w14:val="tx1"/>
            </w14:solidFill>
          </w14:textFill>
        </w:rPr>
        <w:t xml:space="preserve"> </w:t>
      </w:r>
      <w:r>
        <w:rPr>
          <w:color w:val="000000" w:themeColor="text1"/>
          <w:sz w:val="24"/>
          <w:szCs w:val="20"/>
          <w14:textFill>
            <w14:solidFill>
              <w14:schemeClr w14:val="tx1"/>
            </w14:solidFill>
          </w14:textFill>
        </w:rPr>
        <w:t xml:space="preserve">  年</w:t>
      </w:r>
      <w:r>
        <w:rPr>
          <w:rFonts w:hint="eastAsia"/>
          <w:color w:val="000000" w:themeColor="text1"/>
          <w:sz w:val="24"/>
          <w:szCs w:val="20"/>
          <w14:textFill>
            <w14:solidFill>
              <w14:schemeClr w14:val="tx1"/>
            </w14:solidFill>
          </w14:textFill>
        </w:rPr>
        <w:t xml:space="preserve"> </w:t>
      </w:r>
      <w:r>
        <w:rPr>
          <w:color w:val="000000" w:themeColor="text1"/>
          <w:sz w:val="24"/>
          <w:szCs w:val="20"/>
          <w14:textFill>
            <w14:solidFill>
              <w14:schemeClr w14:val="tx1"/>
            </w14:solidFill>
          </w14:textFill>
        </w:rPr>
        <w:t xml:space="preserve">  月</w:t>
      </w:r>
      <w:r>
        <w:rPr>
          <w:rFonts w:hint="eastAsia"/>
          <w:color w:val="000000" w:themeColor="text1"/>
          <w:sz w:val="24"/>
          <w:szCs w:val="20"/>
          <w14:textFill>
            <w14:solidFill>
              <w14:schemeClr w14:val="tx1"/>
            </w14:solidFill>
          </w14:textFill>
        </w:rPr>
        <w:t xml:space="preserve"> </w:t>
      </w:r>
      <w:r>
        <w:rPr>
          <w:color w:val="000000" w:themeColor="text1"/>
          <w:sz w:val="24"/>
          <w:szCs w:val="20"/>
          <w14:textFill>
            <w14:solidFill>
              <w14:schemeClr w14:val="tx1"/>
            </w14:solidFill>
          </w14:textFill>
        </w:rPr>
        <w:t xml:space="preserve">   日 </w:t>
      </w:r>
      <w:r>
        <w:rPr>
          <w:rFonts w:ascii="宋体" w:hAnsi="宋体"/>
          <w:bCs/>
          <w:color w:val="000000" w:themeColor="text1"/>
          <w:sz w:val="24"/>
          <w14:textFill>
            <w14:solidFill>
              <w14:schemeClr w14:val="tx1"/>
            </w14:solidFill>
          </w14:textFill>
        </w:rPr>
        <w:t xml:space="preserve"> </w:t>
      </w:r>
    </w:p>
    <w:p w14:paraId="7824107F">
      <w:pPr>
        <w:spacing w:line="360" w:lineRule="auto"/>
        <w:outlineLvl w:val="2"/>
        <w:rPr>
          <w:rFonts w:ascii="宋体" w:hAnsi="宋体"/>
          <w:color w:val="000000" w:themeColor="text1"/>
          <w:sz w:val="24"/>
          <w:szCs w:val="20"/>
          <w14:textFill>
            <w14:solidFill>
              <w14:schemeClr w14:val="tx1"/>
            </w14:solidFill>
          </w14:textFill>
        </w:rPr>
        <w:sectPr>
          <w:pgSz w:w="11906" w:h="16838"/>
          <w:pgMar w:top="1440" w:right="1800" w:bottom="1440" w:left="1800" w:header="851" w:footer="992" w:gutter="0"/>
          <w:cols w:space="1701" w:num="1"/>
          <w:docGrid w:linePitch="360" w:charSpace="0"/>
        </w:sectPr>
      </w:pPr>
    </w:p>
    <w:bookmarkEnd w:id="642"/>
    <w:bookmarkEnd w:id="643"/>
    <w:p w14:paraId="0EFF23B9">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8</w:t>
      </w:r>
      <w:r>
        <w:rPr>
          <w:rFonts w:hint="eastAsia" w:ascii="宋体" w:hAnsi="宋体"/>
          <w:color w:val="000000" w:themeColor="text1"/>
          <w:sz w:val="24"/>
          <w:szCs w:val="20"/>
          <w14:textFill>
            <w14:solidFill>
              <w14:schemeClr w14:val="tx1"/>
            </w14:solidFill>
          </w14:textFill>
        </w:rPr>
        <w:t xml:space="preserve"> 报价</w:t>
      </w:r>
      <w:r>
        <w:rPr>
          <w:rFonts w:ascii="宋体" w:hAnsi="宋体"/>
          <w:color w:val="000000" w:themeColor="text1"/>
          <w:sz w:val="24"/>
          <w:szCs w:val="20"/>
          <w14:textFill>
            <w14:solidFill>
              <w14:schemeClr w14:val="tx1"/>
            </w14:solidFill>
          </w14:textFill>
        </w:rPr>
        <w:t>一览表</w:t>
      </w:r>
    </w:p>
    <w:p w14:paraId="2ECCF71D">
      <w:pPr>
        <w:spacing w:line="360" w:lineRule="auto"/>
        <w:jc w:val="center"/>
        <w:rPr>
          <w:rFonts w:ascii="宋体" w:hAnsi="宋体"/>
          <w:b/>
          <w:color w:val="000000" w:themeColor="text1"/>
          <w:sz w:val="28"/>
          <w:szCs w:val="28"/>
          <w14:textFill>
            <w14:solidFill>
              <w14:schemeClr w14:val="tx1"/>
            </w14:solidFill>
          </w14:textFill>
        </w:rPr>
      </w:pPr>
      <w:bookmarkStart w:id="644" w:name="_Toc164608672"/>
      <w:bookmarkStart w:id="645" w:name="_Toc264969248"/>
      <w:bookmarkStart w:id="646" w:name="_Toc226337254"/>
      <w:bookmarkStart w:id="647" w:name="_Toc305158900"/>
      <w:bookmarkStart w:id="648" w:name="_Toc226965748"/>
      <w:bookmarkStart w:id="649" w:name="_Toc195842923"/>
      <w:bookmarkStart w:id="650" w:name="_Toc164608827"/>
      <w:bookmarkStart w:id="651" w:name="_Toc226309802"/>
      <w:bookmarkStart w:id="652" w:name="_Toc265228396"/>
      <w:bookmarkStart w:id="653" w:name="_Toc305158826"/>
      <w:bookmarkStart w:id="654" w:name="_Toc226965831"/>
      <w:r>
        <w:rPr>
          <w:rFonts w:hint="eastAsia" w:ascii="宋体" w:hAnsi="宋体"/>
          <w:b/>
          <w:color w:val="000000" w:themeColor="text1"/>
          <w:sz w:val="28"/>
          <w:szCs w:val="28"/>
          <w14:textFill>
            <w14:solidFill>
              <w14:schemeClr w14:val="tx1"/>
            </w14:solidFill>
          </w14:textFill>
        </w:rPr>
        <w:t>报价一览表</w:t>
      </w:r>
      <w:bookmarkEnd w:id="644"/>
      <w:bookmarkEnd w:id="645"/>
      <w:bookmarkEnd w:id="646"/>
      <w:bookmarkEnd w:id="647"/>
      <w:bookmarkEnd w:id="648"/>
      <w:bookmarkEnd w:id="649"/>
      <w:bookmarkEnd w:id="650"/>
      <w:bookmarkEnd w:id="651"/>
      <w:bookmarkEnd w:id="652"/>
      <w:bookmarkEnd w:id="653"/>
      <w:bookmarkEnd w:id="654"/>
    </w:p>
    <w:p w14:paraId="763E509C">
      <w:pPr>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（一）供应商在提交响应文件时，应按照投标工具（苏采云客户端）的提示流程编制提交报价一览表，报价一览表格式以投标工具中的为准。</w:t>
      </w:r>
    </w:p>
    <w:p w14:paraId="44BD348E">
      <w:pPr>
        <w:spacing w:line="360" w:lineRule="auto"/>
        <w:outlineLvl w:val="2"/>
        <w:rPr>
          <w:rFonts w:ascii="宋体" w:hAnsi="宋体"/>
          <w:color w:val="000000" w:themeColor="text1"/>
          <w:sz w:val="24"/>
          <w:szCs w:val="20"/>
          <w14:textFill>
            <w14:solidFill>
              <w14:schemeClr w14:val="tx1"/>
            </w14:solidFill>
          </w14:textFill>
        </w:rPr>
      </w:pPr>
    </w:p>
    <w:p w14:paraId="52499268">
      <w:pPr>
        <w:widowControl/>
        <w:jc w:val="left"/>
        <w:rPr>
          <w:color w:val="000000" w:themeColor="text1"/>
          <w:szCs w:val="20"/>
          <w14:textFill>
            <w14:solidFill>
              <w14:schemeClr w14:val="tx1"/>
            </w14:solidFill>
          </w14:textFill>
        </w:rPr>
      </w:pPr>
      <w:r>
        <w:rPr>
          <w:rFonts w:ascii="宋体" w:hAnsi="宋体"/>
          <w:color w:val="000000" w:themeColor="text1"/>
          <w:sz w:val="24"/>
          <w:szCs w:val="20"/>
          <w14:textFill>
            <w14:solidFill>
              <w14:schemeClr w14:val="tx1"/>
            </w14:solidFill>
          </w14:textFill>
        </w:rPr>
        <w:br w:type="page" w:clear="all"/>
      </w:r>
    </w:p>
    <w:p w14:paraId="0004B436">
      <w:pPr>
        <w:widowControl/>
        <w:jc w:val="left"/>
        <w:rPr>
          <w:rFonts w:ascii="宋体" w:hAnsi="宋体" w:cstheme="minorBidi"/>
          <w:b/>
          <w:sz w:val="24"/>
        </w:rPr>
      </w:pPr>
      <w:r>
        <w:rPr>
          <w:rFonts w:ascii="宋体" w:hAnsi="宋体"/>
          <w:sz w:val="24"/>
          <w:szCs w:val="20"/>
        </w:rPr>
        <w:t>9</w:t>
      </w:r>
      <w:r>
        <w:rPr>
          <w:rFonts w:hint="eastAsia" w:ascii="宋体" w:hAnsi="宋体" w:cstheme="minorBidi"/>
          <w:b/>
          <w:sz w:val="24"/>
        </w:rPr>
        <w:t>分项报价表</w:t>
      </w:r>
    </w:p>
    <w:p w14:paraId="19DFF2E9">
      <w:pPr>
        <w:rPr>
          <w:rFonts w:ascii="宋体" w:hAnsi="宋体" w:cs="宋体"/>
          <w:b/>
          <w:sz w:val="28"/>
        </w:rPr>
      </w:pPr>
    </w:p>
    <w:p w14:paraId="48E28E24">
      <w:pPr>
        <w:jc w:val="center"/>
        <w:rPr>
          <w:rFonts w:hint="eastAsia" w:ascii="宋体" w:hAnsi="宋体" w:eastAsia="宋体" w:cs="宋体"/>
          <w:b/>
          <w:sz w:val="32"/>
          <w:lang w:eastAsia="zh-CN"/>
        </w:rPr>
      </w:pPr>
      <w:r>
        <w:rPr>
          <w:rFonts w:hint="eastAsia" w:ascii="宋体" w:hAnsi="宋体" w:cs="宋体"/>
          <w:b/>
          <w:sz w:val="32"/>
        </w:rPr>
        <w:t>分项报价表</w:t>
      </w:r>
      <w:r>
        <w:rPr>
          <w:rFonts w:hint="eastAsia" w:ascii="宋体" w:hAnsi="宋体" w:cs="宋体"/>
          <w:b/>
          <w:sz w:val="32"/>
          <w:lang w:eastAsia="zh-CN"/>
        </w:rPr>
        <w:t>（</w:t>
      </w:r>
      <w:r>
        <w:rPr>
          <w:rFonts w:hint="eastAsia" w:ascii="宋体" w:hAnsi="宋体" w:cs="宋体"/>
          <w:b/>
          <w:sz w:val="32"/>
          <w:lang w:val="en-US" w:eastAsia="zh-CN"/>
        </w:rPr>
        <w:t>格式自拟</w:t>
      </w:r>
      <w:r>
        <w:rPr>
          <w:rFonts w:hint="eastAsia" w:ascii="宋体" w:hAnsi="宋体" w:cs="宋体"/>
          <w:b/>
          <w:sz w:val="32"/>
          <w:lang w:eastAsia="zh-CN"/>
        </w:rPr>
        <w:t>）</w:t>
      </w:r>
    </w:p>
    <w:p w14:paraId="7E85BE5B">
      <w:pPr>
        <w:ind w:firstLine="309"/>
        <w:rPr>
          <w:rFonts w:ascii="宋体" w:hAnsi="宋体" w:cs="宋体"/>
          <w:sz w:val="24"/>
        </w:rPr>
      </w:pPr>
    </w:p>
    <w:p w14:paraId="7FE4C1A8">
      <w:pPr>
        <w:tabs>
          <w:tab w:val="left" w:pos="1800"/>
          <w:tab w:val="left" w:pos="5580"/>
        </w:tabs>
        <w:spacing w:line="360" w:lineRule="auto"/>
        <w:ind w:firstLine="360" w:firstLineChars="150"/>
        <w:jc w:val="left"/>
        <w:rPr>
          <w:rFonts w:ascii="宋体" w:hAnsi="宋体"/>
          <w:szCs w:val="21"/>
        </w:rPr>
      </w:pPr>
      <w:r>
        <w:rPr>
          <w:color w:val="000000" w:themeColor="text1"/>
          <w:sz w:val="24"/>
          <w14:textFill>
            <w14:solidFill>
              <w14:schemeClr w14:val="tx1"/>
            </w14:solidFill>
          </w14:textFill>
        </w:rPr>
        <w:t>项目编号：______________  项目名称：___________</w:t>
      </w:r>
      <w:r>
        <w:rPr>
          <w:rFonts w:hint="eastAsia" w:ascii="宋体" w:hAnsi="宋体"/>
          <w:sz w:val="24"/>
        </w:rPr>
        <w:t xml:space="preserve"> 报价单位：人民币元</w:t>
      </w:r>
    </w:p>
    <w:tbl>
      <w:tblPr>
        <w:tblStyle w:val="47"/>
        <w:tblW w:w="9114" w:type="dxa"/>
        <w:tblInd w:w="95" w:type="dxa"/>
        <w:tblLayout w:type="fixed"/>
        <w:tblCellMar>
          <w:top w:w="0" w:type="dxa"/>
          <w:left w:w="108" w:type="dxa"/>
          <w:bottom w:w="0" w:type="dxa"/>
          <w:right w:w="108" w:type="dxa"/>
        </w:tblCellMar>
      </w:tblPr>
      <w:tblGrid>
        <w:gridCol w:w="751"/>
        <w:gridCol w:w="3050"/>
        <w:gridCol w:w="934"/>
        <w:gridCol w:w="915"/>
        <w:gridCol w:w="1621"/>
        <w:gridCol w:w="1843"/>
      </w:tblGrid>
      <w:tr w14:paraId="4319FD59">
        <w:tblPrEx>
          <w:tblCellMar>
            <w:top w:w="0" w:type="dxa"/>
            <w:left w:w="108" w:type="dxa"/>
            <w:bottom w:w="0" w:type="dxa"/>
            <w:right w:w="108" w:type="dxa"/>
          </w:tblCellMar>
        </w:tblPrEx>
        <w:trPr>
          <w:trHeight w:val="546" w:hRule="atLeast"/>
        </w:trPr>
        <w:tc>
          <w:tcPr>
            <w:tcW w:w="751" w:type="dxa"/>
            <w:tcBorders>
              <w:top w:val="single" w:color="auto" w:sz="4" w:space="0"/>
              <w:left w:val="single" w:color="auto" w:sz="4" w:space="0"/>
              <w:bottom w:val="single" w:color="auto" w:sz="4" w:space="0"/>
              <w:right w:val="single" w:color="auto" w:sz="4" w:space="0"/>
            </w:tcBorders>
            <w:noWrap/>
            <w:vAlign w:val="center"/>
          </w:tcPr>
          <w:p w14:paraId="33FCD793">
            <w:pPr>
              <w:widowControl/>
              <w:jc w:val="center"/>
              <w:rPr>
                <w:rFonts w:ascii="宋体" w:hAnsi="宋体" w:cs="宋体"/>
                <w:sz w:val="24"/>
              </w:rPr>
            </w:pPr>
            <w:r>
              <w:rPr>
                <w:rFonts w:hint="eastAsia" w:ascii="宋体" w:hAnsi="宋体" w:cs="宋体"/>
                <w:sz w:val="24"/>
              </w:rPr>
              <w:t>序号</w:t>
            </w:r>
          </w:p>
        </w:tc>
        <w:tc>
          <w:tcPr>
            <w:tcW w:w="3050" w:type="dxa"/>
            <w:tcBorders>
              <w:top w:val="single" w:color="auto" w:sz="4" w:space="0"/>
              <w:left w:val="nil"/>
              <w:bottom w:val="single" w:color="auto" w:sz="4" w:space="0"/>
              <w:right w:val="single" w:color="auto" w:sz="4" w:space="0"/>
            </w:tcBorders>
            <w:vAlign w:val="center"/>
          </w:tcPr>
          <w:p w14:paraId="46F266FE">
            <w:pPr>
              <w:widowControl/>
              <w:jc w:val="center"/>
              <w:rPr>
                <w:rFonts w:ascii="宋体" w:hAnsi="宋体" w:cs="宋体"/>
                <w:sz w:val="24"/>
              </w:rPr>
            </w:pPr>
            <w:r>
              <w:rPr>
                <w:rFonts w:hint="eastAsia" w:ascii="宋体" w:hAnsi="宋体" w:cs="宋体"/>
                <w:sz w:val="24"/>
              </w:rPr>
              <w:t>分项名称</w:t>
            </w:r>
          </w:p>
        </w:tc>
        <w:tc>
          <w:tcPr>
            <w:tcW w:w="934" w:type="dxa"/>
            <w:tcBorders>
              <w:top w:val="single" w:color="auto" w:sz="4" w:space="0"/>
              <w:left w:val="nil"/>
              <w:bottom w:val="single" w:color="auto" w:sz="4" w:space="0"/>
              <w:right w:val="single" w:color="auto" w:sz="4" w:space="0"/>
            </w:tcBorders>
            <w:vAlign w:val="center"/>
          </w:tcPr>
          <w:p w14:paraId="7EB5BFFA">
            <w:pPr>
              <w:widowControl/>
              <w:jc w:val="center"/>
              <w:rPr>
                <w:rFonts w:ascii="宋体" w:hAnsi="宋体" w:cs="宋体"/>
                <w:sz w:val="24"/>
              </w:rPr>
            </w:pPr>
            <w:r>
              <w:rPr>
                <w:rFonts w:hint="eastAsia" w:ascii="宋体" w:hAnsi="宋体" w:cs="宋体"/>
                <w:sz w:val="24"/>
              </w:rPr>
              <w:t>数量</w:t>
            </w:r>
          </w:p>
        </w:tc>
        <w:tc>
          <w:tcPr>
            <w:tcW w:w="915" w:type="dxa"/>
            <w:tcBorders>
              <w:top w:val="single" w:color="auto" w:sz="4" w:space="0"/>
              <w:left w:val="nil"/>
              <w:bottom w:val="single" w:color="auto" w:sz="4" w:space="0"/>
              <w:right w:val="single" w:color="auto" w:sz="4" w:space="0"/>
            </w:tcBorders>
            <w:vAlign w:val="center"/>
          </w:tcPr>
          <w:p w14:paraId="30693BF4">
            <w:pPr>
              <w:widowControl/>
              <w:jc w:val="center"/>
              <w:rPr>
                <w:rFonts w:ascii="宋体" w:hAnsi="宋体" w:cs="宋体"/>
                <w:sz w:val="24"/>
              </w:rPr>
            </w:pPr>
            <w:r>
              <w:rPr>
                <w:rFonts w:hint="eastAsia" w:ascii="宋体" w:hAnsi="宋体" w:cs="宋体"/>
                <w:sz w:val="24"/>
              </w:rPr>
              <w:t>单位</w:t>
            </w:r>
          </w:p>
        </w:tc>
        <w:tc>
          <w:tcPr>
            <w:tcW w:w="1621" w:type="dxa"/>
            <w:tcBorders>
              <w:top w:val="single" w:color="auto" w:sz="4" w:space="0"/>
              <w:left w:val="nil"/>
              <w:bottom w:val="single" w:color="auto" w:sz="4" w:space="0"/>
              <w:right w:val="single" w:color="auto" w:sz="4" w:space="0"/>
            </w:tcBorders>
            <w:vAlign w:val="center"/>
          </w:tcPr>
          <w:p w14:paraId="1F700CD3">
            <w:pPr>
              <w:widowControl/>
              <w:jc w:val="center"/>
              <w:rPr>
                <w:rFonts w:ascii="宋体" w:hAnsi="宋体" w:cs="宋体"/>
                <w:sz w:val="24"/>
              </w:rPr>
            </w:pPr>
            <w:r>
              <w:rPr>
                <w:rFonts w:hint="eastAsia" w:ascii="宋体" w:hAnsi="宋体" w:cs="宋体"/>
                <w:sz w:val="24"/>
              </w:rPr>
              <w:t>单价</w:t>
            </w:r>
          </w:p>
        </w:tc>
        <w:tc>
          <w:tcPr>
            <w:tcW w:w="1843" w:type="dxa"/>
            <w:tcBorders>
              <w:top w:val="single" w:color="auto" w:sz="4" w:space="0"/>
              <w:left w:val="nil"/>
              <w:bottom w:val="single" w:color="auto" w:sz="4" w:space="0"/>
              <w:right w:val="single" w:color="auto" w:sz="4" w:space="0"/>
            </w:tcBorders>
            <w:vAlign w:val="center"/>
          </w:tcPr>
          <w:p w14:paraId="4A0EDE84">
            <w:pPr>
              <w:widowControl/>
              <w:jc w:val="center"/>
              <w:rPr>
                <w:rFonts w:ascii="宋体" w:hAnsi="宋体" w:cs="宋体"/>
                <w:sz w:val="24"/>
              </w:rPr>
            </w:pPr>
            <w:r>
              <w:rPr>
                <w:rFonts w:hint="eastAsia" w:ascii="宋体" w:hAnsi="宋体" w:cs="宋体"/>
                <w:sz w:val="24"/>
              </w:rPr>
              <w:t>合价</w:t>
            </w:r>
          </w:p>
        </w:tc>
      </w:tr>
      <w:tr w14:paraId="27BDE6E0">
        <w:tblPrEx>
          <w:tblCellMar>
            <w:top w:w="0" w:type="dxa"/>
            <w:left w:w="108" w:type="dxa"/>
            <w:bottom w:w="0" w:type="dxa"/>
            <w:right w:w="108" w:type="dxa"/>
          </w:tblCellMar>
        </w:tblPrEx>
        <w:trPr>
          <w:trHeight w:val="555" w:hRule="atLeast"/>
        </w:trPr>
        <w:tc>
          <w:tcPr>
            <w:tcW w:w="751" w:type="dxa"/>
            <w:tcBorders>
              <w:top w:val="nil"/>
              <w:left w:val="single" w:color="auto" w:sz="4" w:space="0"/>
              <w:bottom w:val="single" w:color="auto" w:sz="4" w:space="0"/>
              <w:right w:val="single" w:color="auto" w:sz="4" w:space="0"/>
            </w:tcBorders>
            <w:noWrap/>
            <w:vAlign w:val="center"/>
          </w:tcPr>
          <w:p w14:paraId="039D4BD3">
            <w:pPr>
              <w:jc w:val="center"/>
              <w:rPr>
                <w:rFonts w:ascii="宋体" w:hAnsi="宋体" w:cs="宋体"/>
                <w:sz w:val="24"/>
              </w:rPr>
            </w:pPr>
            <w:r>
              <w:rPr>
                <w:rFonts w:ascii="宋体" w:hAnsi="宋体"/>
                <w:sz w:val="24"/>
              </w:rPr>
              <w:t>1</w:t>
            </w:r>
          </w:p>
        </w:tc>
        <w:tc>
          <w:tcPr>
            <w:tcW w:w="3050" w:type="dxa"/>
            <w:tcBorders>
              <w:top w:val="nil"/>
              <w:left w:val="nil"/>
              <w:bottom w:val="single" w:color="auto" w:sz="4" w:space="0"/>
              <w:right w:val="single" w:color="auto" w:sz="4" w:space="0"/>
            </w:tcBorders>
            <w:vAlign w:val="center"/>
          </w:tcPr>
          <w:p w14:paraId="04E175FF">
            <w:pPr>
              <w:jc w:val="center"/>
              <w:rPr>
                <w:rFonts w:ascii="宋体" w:hAnsi="宋体" w:cs="宋体"/>
                <w:sz w:val="24"/>
              </w:rPr>
            </w:pPr>
          </w:p>
        </w:tc>
        <w:tc>
          <w:tcPr>
            <w:tcW w:w="934" w:type="dxa"/>
            <w:tcBorders>
              <w:top w:val="nil"/>
              <w:left w:val="nil"/>
              <w:bottom w:val="single" w:color="auto" w:sz="4" w:space="0"/>
              <w:right w:val="single" w:color="auto" w:sz="4" w:space="0"/>
            </w:tcBorders>
            <w:vAlign w:val="center"/>
          </w:tcPr>
          <w:p w14:paraId="1963894E">
            <w:pPr>
              <w:widowControl/>
              <w:jc w:val="center"/>
              <w:rPr>
                <w:rFonts w:ascii="宋体" w:hAnsi="宋体" w:cs="宋体"/>
                <w:sz w:val="24"/>
              </w:rPr>
            </w:pPr>
          </w:p>
        </w:tc>
        <w:tc>
          <w:tcPr>
            <w:tcW w:w="915" w:type="dxa"/>
            <w:tcBorders>
              <w:top w:val="nil"/>
              <w:left w:val="nil"/>
              <w:bottom w:val="single" w:color="auto" w:sz="4" w:space="0"/>
              <w:right w:val="single" w:color="auto" w:sz="4" w:space="0"/>
            </w:tcBorders>
            <w:vAlign w:val="center"/>
          </w:tcPr>
          <w:p w14:paraId="43ABF363">
            <w:pPr>
              <w:widowControl/>
              <w:jc w:val="center"/>
              <w:rPr>
                <w:rFonts w:ascii="宋体" w:hAnsi="宋体" w:cs="宋体"/>
                <w:sz w:val="24"/>
              </w:rPr>
            </w:pPr>
          </w:p>
        </w:tc>
        <w:tc>
          <w:tcPr>
            <w:tcW w:w="1621" w:type="dxa"/>
            <w:tcBorders>
              <w:top w:val="nil"/>
              <w:left w:val="nil"/>
              <w:bottom w:val="single" w:color="auto" w:sz="4" w:space="0"/>
              <w:right w:val="single" w:color="auto" w:sz="4" w:space="0"/>
            </w:tcBorders>
            <w:vAlign w:val="center"/>
          </w:tcPr>
          <w:p w14:paraId="26709992">
            <w:pPr>
              <w:widowControl/>
              <w:jc w:val="center"/>
              <w:rPr>
                <w:rFonts w:ascii="宋体" w:hAnsi="宋体" w:cs="宋体"/>
                <w:sz w:val="24"/>
              </w:rPr>
            </w:pPr>
          </w:p>
        </w:tc>
        <w:tc>
          <w:tcPr>
            <w:tcW w:w="1843" w:type="dxa"/>
            <w:tcBorders>
              <w:top w:val="nil"/>
              <w:left w:val="nil"/>
              <w:bottom w:val="single" w:color="auto" w:sz="4" w:space="0"/>
              <w:right w:val="single" w:color="auto" w:sz="4" w:space="0"/>
            </w:tcBorders>
            <w:vAlign w:val="center"/>
          </w:tcPr>
          <w:p w14:paraId="72531D20">
            <w:pPr>
              <w:widowControl/>
              <w:jc w:val="center"/>
              <w:rPr>
                <w:rFonts w:ascii="宋体" w:hAnsi="宋体" w:cs="宋体"/>
                <w:sz w:val="24"/>
              </w:rPr>
            </w:pPr>
          </w:p>
        </w:tc>
      </w:tr>
      <w:tr w14:paraId="1D92F999">
        <w:tblPrEx>
          <w:tblCellMar>
            <w:top w:w="0" w:type="dxa"/>
            <w:left w:w="108" w:type="dxa"/>
            <w:bottom w:w="0" w:type="dxa"/>
            <w:right w:w="108" w:type="dxa"/>
          </w:tblCellMar>
        </w:tblPrEx>
        <w:trPr>
          <w:trHeight w:val="545" w:hRule="atLeast"/>
        </w:trPr>
        <w:tc>
          <w:tcPr>
            <w:tcW w:w="751" w:type="dxa"/>
            <w:tcBorders>
              <w:top w:val="nil"/>
              <w:left w:val="single" w:color="auto" w:sz="4" w:space="0"/>
              <w:bottom w:val="single" w:color="auto" w:sz="4" w:space="0"/>
              <w:right w:val="single" w:color="auto" w:sz="4" w:space="0"/>
            </w:tcBorders>
            <w:noWrap/>
            <w:vAlign w:val="center"/>
          </w:tcPr>
          <w:p w14:paraId="326142D4">
            <w:pPr>
              <w:jc w:val="center"/>
              <w:rPr>
                <w:rFonts w:ascii="宋体" w:hAnsi="宋体" w:cs="宋体"/>
                <w:sz w:val="24"/>
              </w:rPr>
            </w:pPr>
            <w:r>
              <w:rPr>
                <w:rFonts w:ascii="宋体" w:hAnsi="宋体"/>
                <w:sz w:val="24"/>
              </w:rPr>
              <w:t>2</w:t>
            </w:r>
          </w:p>
        </w:tc>
        <w:tc>
          <w:tcPr>
            <w:tcW w:w="3050" w:type="dxa"/>
            <w:tcBorders>
              <w:top w:val="nil"/>
              <w:left w:val="nil"/>
              <w:bottom w:val="single" w:color="auto" w:sz="4" w:space="0"/>
              <w:right w:val="single" w:color="auto" w:sz="4" w:space="0"/>
            </w:tcBorders>
            <w:vAlign w:val="center"/>
          </w:tcPr>
          <w:p w14:paraId="072A859E">
            <w:pPr>
              <w:jc w:val="center"/>
              <w:rPr>
                <w:rFonts w:ascii="宋体" w:hAnsi="宋体" w:cs="宋体"/>
                <w:sz w:val="24"/>
              </w:rPr>
            </w:pPr>
          </w:p>
        </w:tc>
        <w:tc>
          <w:tcPr>
            <w:tcW w:w="934" w:type="dxa"/>
            <w:tcBorders>
              <w:top w:val="nil"/>
              <w:left w:val="nil"/>
              <w:bottom w:val="single" w:color="auto" w:sz="4" w:space="0"/>
              <w:right w:val="single" w:color="auto" w:sz="4" w:space="0"/>
            </w:tcBorders>
            <w:vAlign w:val="center"/>
          </w:tcPr>
          <w:p w14:paraId="6BBB14B1">
            <w:pPr>
              <w:widowControl/>
              <w:jc w:val="center"/>
              <w:rPr>
                <w:rFonts w:ascii="宋体" w:hAnsi="宋体" w:cs="宋体"/>
                <w:sz w:val="24"/>
              </w:rPr>
            </w:pPr>
          </w:p>
        </w:tc>
        <w:tc>
          <w:tcPr>
            <w:tcW w:w="915" w:type="dxa"/>
            <w:tcBorders>
              <w:top w:val="nil"/>
              <w:left w:val="nil"/>
              <w:bottom w:val="single" w:color="auto" w:sz="4" w:space="0"/>
              <w:right w:val="single" w:color="auto" w:sz="4" w:space="0"/>
            </w:tcBorders>
            <w:vAlign w:val="center"/>
          </w:tcPr>
          <w:p w14:paraId="7578DDF9">
            <w:pPr>
              <w:widowControl/>
              <w:jc w:val="center"/>
              <w:rPr>
                <w:rFonts w:ascii="宋体" w:hAnsi="宋体" w:cs="宋体"/>
                <w:sz w:val="24"/>
              </w:rPr>
            </w:pPr>
          </w:p>
        </w:tc>
        <w:tc>
          <w:tcPr>
            <w:tcW w:w="1621" w:type="dxa"/>
            <w:tcBorders>
              <w:top w:val="nil"/>
              <w:left w:val="nil"/>
              <w:bottom w:val="single" w:color="auto" w:sz="4" w:space="0"/>
              <w:right w:val="single" w:color="auto" w:sz="4" w:space="0"/>
            </w:tcBorders>
            <w:vAlign w:val="center"/>
          </w:tcPr>
          <w:p w14:paraId="3918B71F">
            <w:pPr>
              <w:widowControl/>
              <w:jc w:val="center"/>
              <w:rPr>
                <w:rFonts w:ascii="宋体" w:hAnsi="宋体" w:cs="宋体"/>
                <w:sz w:val="24"/>
              </w:rPr>
            </w:pPr>
          </w:p>
        </w:tc>
        <w:tc>
          <w:tcPr>
            <w:tcW w:w="1843" w:type="dxa"/>
            <w:tcBorders>
              <w:top w:val="nil"/>
              <w:left w:val="nil"/>
              <w:bottom w:val="single" w:color="auto" w:sz="4" w:space="0"/>
              <w:right w:val="single" w:color="auto" w:sz="4" w:space="0"/>
            </w:tcBorders>
            <w:vAlign w:val="center"/>
          </w:tcPr>
          <w:p w14:paraId="60C3C879">
            <w:pPr>
              <w:widowControl/>
              <w:jc w:val="center"/>
              <w:rPr>
                <w:rFonts w:ascii="宋体" w:hAnsi="宋体" w:cs="宋体"/>
                <w:sz w:val="24"/>
              </w:rPr>
            </w:pPr>
          </w:p>
        </w:tc>
      </w:tr>
      <w:tr w14:paraId="719F5859">
        <w:tblPrEx>
          <w:tblCellMar>
            <w:top w:w="0" w:type="dxa"/>
            <w:left w:w="108" w:type="dxa"/>
            <w:bottom w:w="0" w:type="dxa"/>
            <w:right w:w="108" w:type="dxa"/>
          </w:tblCellMar>
        </w:tblPrEx>
        <w:trPr>
          <w:trHeight w:val="545" w:hRule="atLeast"/>
        </w:trPr>
        <w:tc>
          <w:tcPr>
            <w:tcW w:w="751" w:type="dxa"/>
            <w:tcBorders>
              <w:top w:val="nil"/>
              <w:left w:val="single" w:color="auto" w:sz="4" w:space="0"/>
              <w:bottom w:val="single" w:color="auto" w:sz="4" w:space="0"/>
              <w:right w:val="single" w:color="auto" w:sz="4" w:space="0"/>
            </w:tcBorders>
            <w:noWrap/>
            <w:vAlign w:val="center"/>
          </w:tcPr>
          <w:p w14:paraId="2F474517">
            <w:pPr>
              <w:jc w:val="center"/>
              <w:rPr>
                <w:rFonts w:ascii="宋体" w:hAnsi="宋体" w:cs="宋体"/>
                <w:sz w:val="24"/>
              </w:rPr>
            </w:pPr>
            <w:r>
              <w:rPr>
                <w:rFonts w:ascii="宋体" w:hAnsi="宋体"/>
                <w:sz w:val="24"/>
              </w:rPr>
              <w:t>3</w:t>
            </w:r>
          </w:p>
        </w:tc>
        <w:tc>
          <w:tcPr>
            <w:tcW w:w="3050" w:type="dxa"/>
            <w:tcBorders>
              <w:top w:val="nil"/>
              <w:left w:val="nil"/>
              <w:bottom w:val="single" w:color="auto" w:sz="4" w:space="0"/>
              <w:right w:val="single" w:color="auto" w:sz="4" w:space="0"/>
            </w:tcBorders>
            <w:vAlign w:val="center"/>
          </w:tcPr>
          <w:p w14:paraId="555CC080">
            <w:pPr>
              <w:jc w:val="center"/>
              <w:rPr>
                <w:rFonts w:ascii="宋体" w:hAnsi="宋体" w:cs="宋体"/>
                <w:sz w:val="24"/>
              </w:rPr>
            </w:pPr>
          </w:p>
        </w:tc>
        <w:tc>
          <w:tcPr>
            <w:tcW w:w="934" w:type="dxa"/>
            <w:tcBorders>
              <w:top w:val="nil"/>
              <w:left w:val="nil"/>
              <w:bottom w:val="single" w:color="auto" w:sz="4" w:space="0"/>
              <w:right w:val="single" w:color="auto" w:sz="4" w:space="0"/>
            </w:tcBorders>
            <w:vAlign w:val="center"/>
          </w:tcPr>
          <w:p w14:paraId="22B78871">
            <w:pPr>
              <w:widowControl/>
              <w:jc w:val="center"/>
              <w:rPr>
                <w:rFonts w:ascii="宋体" w:hAnsi="宋体" w:cs="宋体"/>
                <w:sz w:val="24"/>
              </w:rPr>
            </w:pPr>
          </w:p>
        </w:tc>
        <w:tc>
          <w:tcPr>
            <w:tcW w:w="915" w:type="dxa"/>
            <w:tcBorders>
              <w:top w:val="nil"/>
              <w:left w:val="nil"/>
              <w:bottom w:val="single" w:color="auto" w:sz="4" w:space="0"/>
              <w:right w:val="single" w:color="auto" w:sz="4" w:space="0"/>
            </w:tcBorders>
            <w:vAlign w:val="center"/>
          </w:tcPr>
          <w:p w14:paraId="52E1B838">
            <w:pPr>
              <w:widowControl/>
              <w:jc w:val="center"/>
              <w:rPr>
                <w:rFonts w:ascii="宋体" w:hAnsi="宋体" w:cs="宋体"/>
                <w:sz w:val="24"/>
              </w:rPr>
            </w:pPr>
          </w:p>
        </w:tc>
        <w:tc>
          <w:tcPr>
            <w:tcW w:w="1621" w:type="dxa"/>
            <w:tcBorders>
              <w:top w:val="nil"/>
              <w:left w:val="nil"/>
              <w:bottom w:val="single" w:color="auto" w:sz="4" w:space="0"/>
              <w:right w:val="single" w:color="auto" w:sz="4" w:space="0"/>
            </w:tcBorders>
            <w:vAlign w:val="center"/>
          </w:tcPr>
          <w:p w14:paraId="5BDB4FE4">
            <w:pPr>
              <w:widowControl/>
              <w:jc w:val="center"/>
              <w:rPr>
                <w:rFonts w:ascii="宋体" w:hAnsi="宋体" w:cs="宋体"/>
                <w:sz w:val="24"/>
              </w:rPr>
            </w:pPr>
          </w:p>
        </w:tc>
        <w:tc>
          <w:tcPr>
            <w:tcW w:w="1843" w:type="dxa"/>
            <w:tcBorders>
              <w:top w:val="nil"/>
              <w:left w:val="nil"/>
              <w:bottom w:val="single" w:color="auto" w:sz="4" w:space="0"/>
              <w:right w:val="single" w:color="auto" w:sz="4" w:space="0"/>
            </w:tcBorders>
            <w:vAlign w:val="center"/>
          </w:tcPr>
          <w:p w14:paraId="1BB3820C">
            <w:pPr>
              <w:widowControl/>
              <w:jc w:val="center"/>
              <w:rPr>
                <w:rFonts w:ascii="宋体" w:hAnsi="宋体" w:cs="宋体"/>
                <w:sz w:val="24"/>
              </w:rPr>
            </w:pPr>
          </w:p>
        </w:tc>
      </w:tr>
      <w:tr w14:paraId="1641EC91">
        <w:tblPrEx>
          <w:tblCellMar>
            <w:top w:w="0" w:type="dxa"/>
            <w:left w:w="108" w:type="dxa"/>
            <w:bottom w:w="0" w:type="dxa"/>
            <w:right w:w="108" w:type="dxa"/>
          </w:tblCellMar>
        </w:tblPrEx>
        <w:trPr>
          <w:trHeight w:val="545" w:hRule="atLeast"/>
        </w:trPr>
        <w:tc>
          <w:tcPr>
            <w:tcW w:w="751" w:type="dxa"/>
            <w:tcBorders>
              <w:top w:val="nil"/>
              <w:left w:val="single" w:color="auto" w:sz="4" w:space="0"/>
              <w:bottom w:val="single" w:color="auto" w:sz="4" w:space="0"/>
              <w:right w:val="single" w:color="auto" w:sz="4" w:space="0"/>
            </w:tcBorders>
            <w:noWrap/>
            <w:vAlign w:val="center"/>
          </w:tcPr>
          <w:p w14:paraId="3AA84E58">
            <w:pPr>
              <w:jc w:val="center"/>
              <w:rPr>
                <w:rFonts w:hint="default" w:ascii="宋体" w:hAnsi="宋体" w:eastAsia="宋体"/>
                <w:sz w:val="24"/>
                <w:lang w:val="en-US" w:eastAsia="zh-CN"/>
              </w:rPr>
            </w:pPr>
            <w:r>
              <w:rPr>
                <w:rFonts w:hint="eastAsia" w:ascii="宋体" w:hAnsi="宋体"/>
                <w:sz w:val="24"/>
                <w:lang w:val="en-US" w:eastAsia="zh-CN"/>
              </w:rPr>
              <w:t>....</w:t>
            </w:r>
          </w:p>
        </w:tc>
        <w:tc>
          <w:tcPr>
            <w:tcW w:w="3050" w:type="dxa"/>
            <w:tcBorders>
              <w:top w:val="nil"/>
              <w:left w:val="nil"/>
              <w:bottom w:val="single" w:color="auto" w:sz="4" w:space="0"/>
              <w:right w:val="single" w:color="auto" w:sz="4" w:space="0"/>
            </w:tcBorders>
            <w:vAlign w:val="center"/>
          </w:tcPr>
          <w:p w14:paraId="1444CE2B">
            <w:pPr>
              <w:jc w:val="center"/>
              <w:rPr>
                <w:rFonts w:ascii="宋体" w:hAnsi="宋体" w:cs="宋体"/>
                <w:sz w:val="24"/>
              </w:rPr>
            </w:pPr>
          </w:p>
        </w:tc>
        <w:tc>
          <w:tcPr>
            <w:tcW w:w="934" w:type="dxa"/>
            <w:tcBorders>
              <w:top w:val="nil"/>
              <w:left w:val="nil"/>
              <w:bottom w:val="single" w:color="auto" w:sz="4" w:space="0"/>
              <w:right w:val="single" w:color="auto" w:sz="4" w:space="0"/>
            </w:tcBorders>
            <w:vAlign w:val="center"/>
          </w:tcPr>
          <w:p w14:paraId="4E63DB45">
            <w:pPr>
              <w:widowControl/>
              <w:jc w:val="center"/>
              <w:rPr>
                <w:rFonts w:ascii="宋体" w:hAnsi="宋体" w:cs="宋体"/>
                <w:sz w:val="24"/>
              </w:rPr>
            </w:pPr>
          </w:p>
        </w:tc>
        <w:tc>
          <w:tcPr>
            <w:tcW w:w="915" w:type="dxa"/>
            <w:tcBorders>
              <w:top w:val="nil"/>
              <w:left w:val="nil"/>
              <w:bottom w:val="single" w:color="auto" w:sz="4" w:space="0"/>
              <w:right w:val="single" w:color="auto" w:sz="4" w:space="0"/>
            </w:tcBorders>
            <w:vAlign w:val="center"/>
          </w:tcPr>
          <w:p w14:paraId="4AD3C9A7">
            <w:pPr>
              <w:widowControl/>
              <w:jc w:val="center"/>
              <w:rPr>
                <w:rFonts w:ascii="宋体" w:hAnsi="宋体" w:cs="宋体"/>
                <w:sz w:val="24"/>
              </w:rPr>
            </w:pPr>
          </w:p>
        </w:tc>
        <w:tc>
          <w:tcPr>
            <w:tcW w:w="1621" w:type="dxa"/>
            <w:tcBorders>
              <w:top w:val="nil"/>
              <w:left w:val="nil"/>
              <w:bottom w:val="single" w:color="auto" w:sz="4" w:space="0"/>
              <w:right w:val="single" w:color="auto" w:sz="4" w:space="0"/>
            </w:tcBorders>
            <w:vAlign w:val="center"/>
          </w:tcPr>
          <w:p w14:paraId="09F71FAC">
            <w:pPr>
              <w:widowControl/>
              <w:jc w:val="center"/>
              <w:rPr>
                <w:rFonts w:ascii="宋体" w:hAnsi="宋体" w:cs="宋体"/>
                <w:sz w:val="24"/>
              </w:rPr>
            </w:pPr>
          </w:p>
        </w:tc>
        <w:tc>
          <w:tcPr>
            <w:tcW w:w="1843" w:type="dxa"/>
            <w:tcBorders>
              <w:top w:val="nil"/>
              <w:left w:val="nil"/>
              <w:bottom w:val="single" w:color="auto" w:sz="4" w:space="0"/>
              <w:right w:val="single" w:color="auto" w:sz="4" w:space="0"/>
            </w:tcBorders>
            <w:vAlign w:val="center"/>
          </w:tcPr>
          <w:p w14:paraId="4AB29D01">
            <w:pPr>
              <w:widowControl/>
              <w:jc w:val="center"/>
              <w:rPr>
                <w:rFonts w:ascii="宋体" w:hAnsi="宋体" w:cs="宋体"/>
                <w:sz w:val="24"/>
              </w:rPr>
            </w:pPr>
          </w:p>
        </w:tc>
      </w:tr>
      <w:tr w14:paraId="0C3FFB56">
        <w:tblPrEx>
          <w:tblCellMar>
            <w:top w:w="0" w:type="dxa"/>
            <w:left w:w="108" w:type="dxa"/>
            <w:bottom w:w="0" w:type="dxa"/>
            <w:right w:w="108" w:type="dxa"/>
          </w:tblCellMar>
        </w:tblPrEx>
        <w:trPr>
          <w:trHeight w:val="561" w:hRule="atLeast"/>
        </w:trPr>
        <w:tc>
          <w:tcPr>
            <w:tcW w:w="7271" w:type="dxa"/>
            <w:gridSpan w:val="5"/>
            <w:tcBorders>
              <w:top w:val="single" w:color="auto" w:sz="4" w:space="0"/>
              <w:left w:val="single" w:color="auto" w:sz="4" w:space="0"/>
              <w:bottom w:val="single" w:color="auto" w:sz="4" w:space="0"/>
              <w:right w:val="single" w:color="000000" w:sz="4" w:space="0"/>
            </w:tcBorders>
            <w:noWrap/>
            <w:vAlign w:val="center"/>
          </w:tcPr>
          <w:p w14:paraId="5357B154">
            <w:pPr>
              <w:widowControl/>
              <w:jc w:val="center"/>
              <w:rPr>
                <w:rFonts w:ascii="宋体" w:hAnsi="宋体" w:cs="宋体"/>
                <w:sz w:val="24"/>
              </w:rPr>
            </w:pPr>
            <w:r>
              <w:rPr>
                <w:rFonts w:hint="eastAsia" w:ascii="宋体" w:hAnsi="宋体" w:cs="宋体"/>
                <w:sz w:val="24"/>
              </w:rPr>
              <w:t>　合计</w:t>
            </w:r>
          </w:p>
        </w:tc>
        <w:tc>
          <w:tcPr>
            <w:tcW w:w="1843" w:type="dxa"/>
            <w:tcBorders>
              <w:top w:val="nil"/>
              <w:left w:val="nil"/>
              <w:bottom w:val="single" w:color="auto" w:sz="4" w:space="0"/>
              <w:right w:val="single" w:color="auto" w:sz="4" w:space="0"/>
            </w:tcBorders>
            <w:vAlign w:val="center"/>
          </w:tcPr>
          <w:p w14:paraId="7C4E5C0B">
            <w:pPr>
              <w:widowControl/>
              <w:jc w:val="center"/>
              <w:rPr>
                <w:rFonts w:ascii="宋体" w:hAnsi="宋体" w:cs="宋体"/>
                <w:sz w:val="24"/>
              </w:rPr>
            </w:pPr>
            <w:r>
              <w:rPr>
                <w:rFonts w:hint="eastAsia" w:ascii="宋体" w:hAnsi="宋体" w:cs="宋体"/>
                <w:sz w:val="24"/>
              </w:rPr>
              <w:t>　</w:t>
            </w:r>
          </w:p>
        </w:tc>
      </w:tr>
    </w:tbl>
    <w:p w14:paraId="2AB5268C">
      <w:pPr>
        <w:tabs>
          <w:tab w:val="left" w:pos="1800"/>
          <w:tab w:val="left" w:pos="5580"/>
        </w:tabs>
        <w:jc w:val="left"/>
        <w:rPr>
          <w:rFonts w:ascii="宋体" w:hAnsi="宋体"/>
          <w:sz w:val="24"/>
        </w:rPr>
      </w:pPr>
    </w:p>
    <w:p w14:paraId="2979F828">
      <w:pPr>
        <w:autoSpaceDE w:val="0"/>
        <w:autoSpaceDN w:val="0"/>
        <w:adjustRightInd w:val="0"/>
        <w:snapToGrid w:val="0"/>
        <w:spacing w:before="25" w:after="25" w:line="360" w:lineRule="auto"/>
        <w:rPr>
          <w:rFonts w:ascii="宋体" w:hAnsi="宋体"/>
          <w:sz w:val="24"/>
        </w:rPr>
      </w:pPr>
    </w:p>
    <w:p w14:paraId="54411E0E">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供应商名称</w:t>
      </w:r>
      <w:r>
        <w:rPr>
          <w:rFonts w:hint="eastAsia" w:ascii="宋体" w:hAnsi="宋体" w:cs="宋体"/>
          <w:color w:val="000000" w:themeColor="text1"/>
          <w:spacing w:val="8"/>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加盖CA电子公章</w:t>
      </w:r>
      <w:r>
        <w:rPr>
          <w:rFonts w:hint="eastAsia" w:ascii="宋体" w:hAnsi="宋体" w:cs="宋体"/>
          <w:color w:val="000000" w:themeColor="text1"/>
          <w:spacing w:val="8"/>
          <w:sz w:val="24"/>
          <w:szCs w:val="24"/>
          <w14:textFill>
            <w14:solidFill>
              <w14:schemeClr w14:val="tx1"/>
            </w14:solidFill>
          </w14:textFill>
        </w:rPr>
        <w:t>）</w:t>
      </w:r>
      <w:r>
        <w:rPr>
          <w:rFonts w:ascii="宋体" w:hAnsi="宋体"/>
          <w:bCs/>
          <w:color w:val="000000" w:themeColor="text1"/>
          <w:sz w:val="24"/>
          <w14:textFill>
            <w14:solidFill>
              <w14:schemeClr w14:val="tx1"/>
            </w14:solidFill>
          </w14:textFill>
        </w:rPr>
        <w:t>：    ____________</w:t>
      </w:r>
    </w:p>
    <w:p w14:paraId="1BFCE549">
      <w:pPr>
        <w:spacing w:line="360" w:lineRule="auto"/>
        <w:ind w:firstLine="480"/>
        <w:contextualSpacing/>
        <w:rPr>
          <w:rFonts w:ascii="宋体" w:hAnsi="宋体"/>
          <w:bCs/>
          <w:color w:val="000000" w:themeColor="text1"/>
          <w:sz w:val="24"/>
          <w14:textFill>
            <w14:solidFill>
              <w14:schemeClr w14:val="tx1"/>
            </w14:solidFill>
          </w14:textFill>
        </w:rPr>
        <w:sectPr>
          <w:pgSz w:w="11906" w:h="16838"/>
          <w:pgMar w:top="1440" w:right="1800" w:bottom="1440" w:left="1800" w:header="851" w:footer="992" w:gutter="0"/>
          <w:cols w:space="1701" w:num="1"/>
          <w:docGrid w:linePitch="360" w:charSpace="0"/>
        </w:sectPr>
      </w:pPr>
      <w:r>
        <w:rPr>
          <w:color w:val="000000" w:themeColor="text1"/>
          <w:sz w:val="24"/>
          <w:szCs w:val="20"/>
          <w14:textFill>
            <w14:solidFill>
              <w14:schemeClr w14:val="tx1"/>
            </w14:solidFill>
          </w14:textFill>
        </w:rPr>
        <w:t>日期：</w:t>
      </w:r>
      <w:r>
        <w:rPr>
          <w:rFonts w:hint="eastAsia"/>
          <w:color w:val="000000" w:themeColor="text1"/>
          <w:sz w:val="24"/>
          <w:szCs w:val="20"/>
          <w14:textFill>
            <w14:solidFill>
              <w14:schemeClr w14:val="tx1"/>
            </w14:solidFill>
          </w14:textFill>
        </w:rPr>
        <w:t xml:space="preserve"> </w:t>
      </w:r>
      <w:r>
        <w:rPr>
          <w:color w:val="000000" w:themeColor="text1"/>
          <w:sz w:val="24"/>
          <w:szCs w:val="20"/>
          <w14:textFill>
            <w14:solidFill>
              <w14:schemeClr w14:val="tx1"/>
            </w14:solidFill>
          </w14:textFill>
        </w:rPr>
        <w:t xml:space="preserve">  年</w:t>
      </w:r>
      <w:r>
        <w:rPr>
          <w:rFonts w:hint="eastAsia"/>
          <w:color w:val="000000" w:themeColor="text1"/>
          <w:sz w:val="24"/>
          <w:szCs w:val="20"/>
          <w14:textFill>
            <w14:solidFill>
              <w14:schemeClr w14:val="tx1"/>
            </w14:solidFill>
          </w14:textFill>
        </w:rPr>
        <w:t xml:space="preserve"> </w:t>
      </w:r>
      <w:r>
        <w:rPr>
          <w:color w:val="000000" w:themeColor="text1"/>
          <w:sz w:val="24"/>
          <w:szCs w:val="20"/>
          <w14:textFill>
            <w14:solidFill>
              <w14:schemeClr w14:val="tx1"/>
            </w14:solidFill>
          </w14:textFill>
        </w:rPr>
        <w:t xml:space="preserve">  月</w:t>
      </w:r>
      <w:r>
        <w:rPr>
          <w:rFonts w:hint="eastAsia"/>
          <w:color w:val="000000" w:themeColor="text1"/>
          <w:sz w:val="24"/>
          <w:szCs w:val="20"/>
          <w14:textFill>
            <w14:solidFill>
              <w14:schemeClr w14:val="tx1"/>
            </w14:solidFill>
          </w14:textFill>
        </w:rPr>
        <w:t xml:space="preserve"> </w:t>
      </w:r>
      <w:r>
        <w:rPr>
          <w:color w:val="000000" w:themeColor="text1"/>
          <w:sz w:val="24"/>
          <w:szCs w:val="20"/>
          <w14:textFill>
            <w14:solidFill>
              <w14:schemeClr w14:val="tx1"/>
            </w14:solidFill>
          </w14:textFill>
        </w:rPr>
        <w:t xml:space="preserve">  日     </w:t>
      </w:r>
    </w:p>
    <w:p w14:paraId="79B1E7B0">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10</w:t>
      </w:r>
      <w:r>
        <w:rPr>
          <w:rFonts w:hint="eastAsia" w:ascii="宋体" w:hAnsi="宋体"/>
          <w:color w:val="000000" w:themeColor="text1"/>
          <w:sz w:val="24"/>
          <w:szCs w:val="20"/>
          <w14:textFill>
            <w14:solidFill>
              <w14:schemeClr w14:val="tx1"/>
            </w14:solidFill>
          </w14:textFill>
        </w:rPr>
        <w:t xml:space="preserve"> </w:t>
      </w:r>
      <w:r>
        <w:rPr>
          <w:rFonts w:ascii="宋体" w:hAnsi="宋体"/>
          <w:color w:val="000000" w:themeColor="text1"/>
          <w:sz w:val="24"/>
          <w:szCs w:val="20"/>
          <w14:textFill>
            <w14:solidFill>
              <w14:schemeClr w14:val="tx1"/>
            </w14:solidFill>
          </w14:textFill>
        </w:rPr>
        <w:t>合同条款偏离表</w:t>
      </w:r>
    </w:p>
    <w:p w14:paraId="67C6146E">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合同条款偏离表</w:t>
      </w:r>
    </w:p>
    <w:p w14:paraId="5DC62F5F">
      <w:pPr>
        <w:spacing w:line="360" w:lineRule="auto"/>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项目编号：_______________     项目名称：_____________________</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2"/>
        <w:gridCol w:w="1912"/>
        <w:gridCol w:w="1647"/>
        <w:gridCol w:w="1631"/>
        <w:gridCol w:w="1644"/>
        <w:gridCol w:w="876"/>
      </w:tblGrid>
      <w:tr w14:paraId="02714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522" w:type="dxa"/>
            <w:gridSpan w:val="6"/>
            <w:vAlign w:val="center"/>
          </w:tcPr>
          <w:p w14:paraId="610DE596">
            <w:pPr>
              <w:spacing w:line="360" w:lineRule="auto"/>
              <w:contextualSpacing/>
              <w:jc w:val="left"/>
              <w:rPr>
                <w:rFonts w:ascii="宋体" w:hAnsi="宋体"/>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对本项目合同条款的偏离情况</w:t>
            </w:r>
            <w:r>
              <w:rPr>
                <w:rFonts w:hint="eastAsia" w:ascii="宋体" w:hAnsi="宋体"/>
                <w:bCs/>
                <w:color w:val="000000" w:themeColor="text1"/>
                <w:sz w:val="24"/>
                <w14:textFill>
                  <w14:solidFill>
                    <w14:schemeClr w14:val="tx1"/>
                  </w14:solidFill>
                </w14:textFill>
              </w:rPr>
              <w:t>（请进行勾选）：</w:t>
            </w:r>
          </w:p>
          <w:p w14:paraId="65AB2FFB">
            <w:pPr>
              <w:spacing w:line="360" w:lineRule="auto"/>
              <w:contextualSpacing/>
              <w:jc w:val="left"/>
              <w:rPr>
                <w:rFonts w:ascii="宋体" w:hAnsi="宋体"/>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□无偏离</w:t>
            </w:r>
            <w:r>
              <w:rPr>
                <w:rFonts w:ascii="宋体" w:hAnsi="宋体"/>
                <w:bCs/>
                <w:color w:val="000000" w:themeColor="text1"/>
                <w:sz w:val="24"/>
                <w14:textFill>
                  <w14:solidFill>
                    <w14:schemeClr w14:val="tx1"/>
                  </w14:solidFill>
                </w14:textFill>
              </w:rPr>
              <w:t>（如无偏离，仅勾选无偏离即可）</w:t>
            </w:r>
          </w:p>
          <w:p w14:paraId="73EFD440">
            <w:pPr>
              <w:spacing w:line="360" w:lineRule="auto"/>
              <w:contextualSpacing/>
              <w:jc w:val="left"/>
              <w:rPr>
                <w:rFonts w:ascii="宋体" w:hAnsi="宋体"/>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□有偏离</w:t>
            </w:r>
            <w:r>
              <w:rPr>
                <w:rFonts w:ascii="宋体" w:hAnsi="宋体"/>
                <w:bCs/>
                <w:color w:val="000000" w:themeColor="text1"/>
                <w:sz w:val="24"/>
                <w14:textFill>
                  <w14:solidFill>
                    <w14:schemeClr w14:val="tx1"/>
                  </w14:solidFill>
                </w14:textFill>
              </w:rPr>
              <w:t>（如有偏离，则须在本表中对偏离项逐一列明）</w:t>
            </w:r>
          </w:p>
        </w:tc>
      </w:tr>
      <w:tr w14:paraId="57DDC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12" w:type="dxa"/>
            <w:vAlign w:val="center"/>
          </w:tcPr>
          <w:p w14:paraId="3589522F">
            <w:pPr>
              <w:spacing w:line="360" w:lineRule="auto"/>
              <w:contextualSpacing/>
              <w:jc w:val="center"/>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序号</w:t>
            </w:r>
          </w:p>
        </w:tc>
        <w:tc>
          <w:tcPr>
            <w:tcW w:w="1912" w:type="dxa"/>
            <w:vAlign w:val="center"/>
          </w:tcPr>
          <w:p w14:paraId="037184C7">
            <w:pPr>
              <w:spacing w:line="360" w:lineRule="auto"/>
              <w:contextualSpacing/>
              <w:jc w:val="center"/>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磋商文件条目号（页码）</w:t>
            </w:r>
          </w:p>
        </w:tc>
        <w:tc>
          <w:tcPr>
            <w:tcW w:w="1647" w:type="dxa"/>
            <w:vAlign w:val="center"/>
          </w:tcPr>
          <w:p w14:paraId="57626FFE">
            <w:pPr>
              <w:spacing w:line="360" w:lineRule="auto"/>
              <w:contextualSpacing/>
              <w:jc w:val="center"/>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磋商文件要求</w:t>
            </w:r>
          </w:p>
        </w:tc>
        <w:tc>
          <w:tcPr>
            <w:tcW w:w="1631" w:type="dxa"/>
            <w:vAlign w:val="center"/>
          </w:tcPr>
          <w:p w14:paraId="60164E27">
            <w:pPr>
              <w:spacing w:line="360" w:lineRule="auto"/>
              <w:contextualSpacing/>
              <w:jc w:val="center"/>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响应文件内容</w:t>
            </w:r>
          </w:p>
        </w:tc>
        <w:tc>
          <w:tcPr>
            <w:tcW w:w="1644" w:type="dxa"/>
            <w:vAlign w:val="center"/>
          </w:tcPr>
          <w:p w14:paraId="69D876AE">
            <w:pPr>
              <w:spacing w:line="360" w:lineRule="auto"/>
              <w:contextualSpacing/>
              <w:jc w:val="center"/>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偏离情况</w:t>
            </w:r>
          </w:p>
          <w:p w14:paraId="43DDC5F1">
            <w:pPr>
              <w:spacing w:line="360" w:lineRule="auto"/>
              <w:contextualSpacing/>
              <w:jc w:val="center"/>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（据实填写）</w:t>
            </w:r>
          </w:p>
        </w:tc>
        <w:tc>
          <w:tcPr>
            <w:tcW w:w="876" w:type="dxa"/>
            <w:vAlign w:val="center"/>
          </w:tcPr>
          <w:p w14:paraId="1FD7BFC6">
            <w:pPr>
              <w:spacing w:line="360" w:lineRule="auto"/>
              <w:contextualSpacing/>
              <w:jc w:val="center"/>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说明</w:t>
            </w:r>
          </w:p>
        </w:tc>
      </w:tr>
      <w:tr w14:paraId="49FCC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12" w:type="dxa"/>
            <w:vAlign w:val="center"/>
          </w:tcPr>
          <w:p w14:paraId="133316ED">
            <w:pPr>
              <w:spacing w:line="360" w:lineRule="auto"/>
              <w:contextualSpacing/>
              <w:jc w:val="center"/>
              <w:rPr>
                <w:rFonts w:ascii="宋体" w:hAnsi="宋体"/>
                <w:bCs/>
                <w:color w:val="000000" w:themeColor="text1"/>
                <w:sz w:val="24"/>
                <w14:textFill>
                  <w14:solidFill>
                    <w14:schemeClr w14:val="tx1"/>
                  </w14:solidFill>
                </w14:textFill>
              </w:rPr>
            </w:pPr>
          </w:p>
        </w:tc>
        <w:tc>
          <w:tcPr>
            <w:tcW w:w="1912" w:type="dxa"/>
            <w:vAlign w:val="center"/>
          </w:tcPr>
          <w:p w14:paraId="235C65DF">
            <w:pPr>
              <w:spacing w:line="360" w:lineRule="auto"/>
              <w:contextualSpacing/>
              <w:jc w:val="center"/>
              <w:rPr>
                <w:rFonts w:ascii="宋体" w:hAnsi="宋体"/>
                <w:bCs/>
                <w:color w:val="000000" w:themeColor="text1"/>
                <w:sz w:val="24"/>
                <w14:textFill>
                  <w14:solidFill>
                    <w14:schemeClr w14:val="tx1"/>
                  </w14:solidFill>
                </w14:textFill>
              </w:rPr>
            </w:pPr>
          </w:p>
        </w:tc>
        <w:tc>
          <w:tcPr>
            <w:tcW w:w="1647" w:type="dxa"/>
            <w:vAlign w:val="center"/>
          </w:tcPr>
          <w:p w14:paraId="746140E7">
            <w:pPr>
              <w:spacing w:line="360" w:lineRule="auto"/>
              <w:contextualSpacing/>
              <w:jc w:val="center"/>
              <w:rPr>
                <w:rFonts w:ascii="宋体" w:hAnsi="宋体"/>
                <w:bCs/>
                <w:color w:val="000000" w:themeColor="text1"/>
                <w:sz w:val="24"/>
                <w14:textFill>
                  <w14:solidFill>
                    <w14:schemeClr w14:val="tx1"/>
                  </w14:solidFill>
                </w14:textFill>
              </w:rPr>
            </w:pPr>
          </w:p>
        </w:tc>
        <w:tc>
          <w:tcPr>
            <w:tcW w:w="1631" w:type="dxa"/>
            <w:vAlign w:val="center"/>
          </w:tcPr>
          <w:p w14:paraId="6D3A9FBB">
            <w:pPr>
              <w:spacing w:line="360" w:lineRule="auto"/>
              <w:contextualSpacing/>
              <w:jc w:val="center"/>
              <w:rPr>
                <w:rFonts w:ascii="宋体" w:hAnsi="宋体"/>
                <w:bCs/>
                <w:color w:val="000000" w:themeColor="text1"/>
                <w:sz w:val="24"/>
                <w14:textFill>
                  <w14:solidFill>
                    <w14:schemeClr w14:val="tx1"/>
                  </w14:solidFill>
                </w14:textFill>
              </w:rPr>
            </w:pPr>
          </w:p>
        </w:tc>
        <w:tc>
          <w:tcPr>
            <w:tcW w:w="1644" w:type="dxa"/>
            <w:vAlign w:val="center"/>
          </w:tcPr>
          <w:p w14:paraId="262C3BB7">
            <w:pPr>
              <w:spacing w:line="360" w:lineRule="auto"/>
              <w:contextualSpacing/>
              <w:jc w:val="center"/>
              <w:rPr>
                <w:rFonts w:ascii="宋体" w:hAnsi="宋体"/>
                <w:bCs/>
                <w:color w:val="000000" w:themeColor="text1"/>
                <w:sz w:val="24"/>
                <w14:textFill>
                  <w14:solidFill>
                    <w14:schemeClr w14:val="tx1"/>
                  </w14:solidFill>
                </w14:textFill>
              </w:rPr>
            </w:pPr>
          </w:p>
        </w:tc>
        <w:tc>
          <w:tcPr>
            <w:tcW w:w="876" w:type="dxa"/>
            <w:vAlign w:val="center"/>
          </w:tcPr>
          <w:p w14:paraId="4EE2D08F">
            <w:pPr>
              <w:spacing w:line="360" w:lineRule="auto"/>
              <w:contextualSpacing/>
              <w:jc w:val="center"/>
              <w:rPr>
                <w:rFonts w:ascii="宋体" w:hAnsi="宋体"/>
                <w:bCs/>
                <w:color w:val="000000" w:themeColor="text1"/>
                <w:sz w:val="24"/>
                <w14:textFill>
                  <w14:solidFill>
                    <w14:schemeClr w14:val="tx1"/>
                  </w14:solidFill>
                </w14:textFill>
              </w:rPr>
            </w:pPr>
          </w:p>
        </w:tc>
      </w:tr>
      <w:tr w14:paraId="30798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12" w:type="dxa"/>
            <w:vAlign w:val="center"/>
          </w:tcPr>
          <w:p w14:paraId="79947C48">
            <w:pPr>
              <w:spacing w:line="360" w:lineRule="auto"/>
              <w:contextualSpacing/>
              <w:jc w:val="center"/>
              <w:rPr>
                <w:rFonts w:ascii="宋体" w:hAnsi="宋体"/>
                <w:bCs/>
                <w:color w:val="000000" w:themeColor="text1"/>
                <w:sz w:val="24"/>
                <w14:textFill>
                  <w14:solidFill>
                    <w14:schemeClr w14:val="tx1"/>
                  </w14:solidFill>
                </w14:textFill>
              </w:rPr>
            </w:pPr>
          </w:p>
        </w:tc>
        <w:tc>
          <w:tcPr>
            <w:tcW w:w="1912" w:type="dxa"/>
            <w:vAlign w:val="center"/>
          </w:tcPr>
          <w:p w14:paraId="53E36465">
            <w:pPr>
              <w:spacing w:line="360" w:lineRule="auto"/>
              <w:contextualSpacing/>
              <w:jc w:val="center"/>
              <w:rPr>
                <w:rFonts w:ascii="宋体" w:hAnsi="宋体"/>
                <w:bCs/>
                <w:color w:val="000000" w:themeColor="text1"/>
                <w:sz w:val="24"/>
                <w14:textFill>
                  <w14:solidFill>
                    <w14:schemeClr w14:val="tx1"/>
                  </w14:solidFill>
                </w14:textFill>
              </w:rPr>
            </w:pPr>
          </w:p>
        </w:tc>
        <w:tc>
          <w:tcPr>
            <w:tcW w:w="1647" w:type="dxa"/>
            <w:vAlign w:val="center"/>
          </w:tcPr>
          <w:p w14:paraId="7B42A71E">
            <w:pPr>
              <w:spacing w:line="360" w:lineRule="auto"/>
              <w:contextualSpacing/>
              <w:jc w:val="center"/>
              <w:rPr>
                <w:rFonts w:ascii="宋体" w:hAnsi="宋体"/>
                <w:bCs/>
                <w:color w:val="000000" w:themeColor="text1"/>
                <w:sz w:val="24"/>
                <w14:textFill>
                  <w14:solidFill>
                    <w14:schemeClr w14:val="tx1"/>
                  </w14:solidFill>
                </w14:textFill>
              </w:rPr>
            </w:pPr>
          </w:p>
        </w:tc>
        <w:tc>
          <w:tcPr>
            <w:tcW w:w="1631" w:type="dxa"/>
            <w:vAlign w:val="center"/>
          </w:tcPr>
          <w:p w14:paraId="2B733178">
            <w:pPr>
              <w:spacing w:line="360" w:lineRule="auto"/>
              <w:contextualSpacing/>
              <w:jc w:val="center"/>
              <w:rPr>
                <w:rFonts w:ascii="宋体" w:hAnsi="宋体"/>
                <w:bCs/>
                <w:color w:val="000000" w:themeColor="text1"/>
                <w:sz w:val="24"/>
                <w14:textFill>
                  <w14:solidFill>
                    <w14:schemeClr w14:val="tx1"/>
                  </w14:solidFill>
                </w14:textFill>
              </w:rPr>
            </w:pPr>
          </w:p>
        </w:tc>
        <w:tc>
          <w:tcPr>
            <w:tcW w:w="1644" w:type="dxa"/>
            <w:vAlign w:val="center"/>
          </w:tcPr>
          <w:p w14:paraId="4243CB5B">
            <w:pPr>
              <w:spacing w:line="360" w:lineRule="auto"/>
              <w:contextualSpacing/>
              <w:jc w:val="center"/>
              <w:rPr>
                <w:rFonts w:ascii="宋体" w:hAnsi="宋体"/>
                <w:bCs/>
                <w:color w:val="000000" w:themeColor="text1"/>
                <w:sz w:val="24"/>
                <w14:textFill>
                  <w14:solidFill>
                    <w14:schemeClr w14:val="tx1"/>
                  </w14:solidFill>
                </w14:textFill>
              </w:rPr>
            </w:pPr>
          </w:p>
        </w:tc>
        <w:tc>
          <w:tcPr>
            <w:tcW w:w="876" w:type="dxa"/>
            <w:vAlign w:val="center"/>
          </w:tcPr>
          <w:p w14:paraId="01D709F1">
            <w:pPr>
              <w:spacing w:line="360" w:lineRule="auto"/>
              <w:contextualSpacing/>
              <w:jc w:val="center"/>
              <w:rPr>
                <w:rFonts w:ascii="宋体" w:hAnsi="宋体"/>
                <w:bCs/>
                <w:color w:val="000000" w:themeColor="text1"/>
                <w:sz w:val="24"/>
                <w14:textFill>
                  <w14:solidFill>
                    <w14:schemeClr w14:val="tx1"/>
                  </w14:solidFill>
                </w14:textFill>
              </w:rPr>
            </w:pPr>
          </w:p>
        </w:tc>
      </w:tr>
      <w:tr w14:paraId="0FED5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12" w:type="dxa"/>
            <w:vAlign w:val="center"/>
          </w:tcPr>
          <w:p w14:paraId="357146CB">
            <w:pPr>
              <w:spacing w:line="360" w:lineRule="auto"/>
              <w:contextualSpacing/>
              <w:jc w:val="center"/>
              <w:rPr>
                <w:rFonts w:ascii="宋体" w:hAnsi="宋体"/>
                <w:bCs/>
                <w:color w:val="000000" w:themeColor="text1"/>
                <w:sz w:val="24"/>
                <w14:textFill>
                  <w14:solidFill>
                    <w14:schemeClr w14:val="tx1"/>
                  </w14:solidFill>
                </w14:textFill>
              </w:rPr>
            </w:pPr>
          </w:p>
        </w:tc>
        <w:tc>
          <w:tcPr>
            <w:tcW w:w="1912" w:type="dxa"/>
            <w:vAlign w:val="center"/>
          </w:tcPr>
          <w:p w14:paraId="1C8A2BBB">
            <w:pPr>
              <w:spacing w:line="360" w:lineRule="auto"/>
              <w:contextualSpacing/>
              <w:jc w:val="center"/>
              <w:rPr>
                <w:rFonts w:ascii="宋体" w:hAnsi="宋体"/>
                <w:bCs/>
                <w:color w:val="000000" w:themeColor="text1"/>
                <w:sz w:val="24"/>
                <w14:textFill>
                  <w14:solidFill>
                    <w14:schemeClr w14:val="tx1"/>
                  </w14:solidFill>
                </w14:textFill>
              </w:rPr>
            </w:pPr>
          </w:p>
        </w:tc>
        <w:tc>
          <w:tcPr>
            <w:tcW w:w="1647" w:type="dxa"/>
            <w:vAlign w:val="center"/>
          </w:tcPr>
          <w:p w14:paraId="31485A63">
            <w:pPr>
              <w:spacing w:line="360" w:lineRule="auto"/>
              <w:contextualSpacing/>
              <w:jc w:val="center"/>
              <w:rPr>
                <w:rFonts w:ascii="宋体" w:hAnsi="宋体"/>
                <w:bCs/>
                <w:color w:val="000000" w:themeColor="text1"/>
                <w:sz w:val="24"/>
                <w14:textFill>
                  <w14:solidFill>
                    <w14:schemeClr w14:val="tx1"/>
                  </w14:solidFill>
                </w14:textFill>
              </w:rPr>
            </w:pPr>
          </w:p>
        </w:tc>
        <w:tc>
          <w:tcPr>
            <w:tcW w:w="1631" w:type="dxa"/>
            <w:vAlign w:val="center"/>
          </w:tcPr>
          <w:p w14:paraId="57F01159">
            <w:pPr>
              <w:spacing w:line="360" w:lineRule="auto"/>
              <w:contextualSpacing/>
              <w:jc w:val="center"/>
              <w:rPr>
                <w:rFonts w:ascii="宋体" w:hAnsi="宋体"/>
                <w:bCs/>
                <w:color w:val="000000" w:themeColor="text1"/>
                <w:sz w:val="24"/>
                <w14:textFill>
                  <w14:solidFill>
                    <w14:schemeClr w14:val="tx1"/>
                  </w14:solidFill>
                </w14:textFill>
              </w:rPr>
            </w:pPr>
          </w:p>
        </w:tc>
        <w:tc>
          <w:tcPr>
            <w:tcW w:w="1644" w:type="dxa"/>
            <w:vAlign w:val="center"/>
          </w:tcPr>
          <w:p w14:paraId="403DF5B0">
            <w:pPr>
              <w:spacing w:line="360" w:lineRule="auto"/>
              <w:contextualSpacing/>
              <w:jc w:val="center"/>
              <w:rPr>
                <w:rFonts w:ascii="宋体" w:hAnsi="宋体"/>
                <w:bCs/>
                <w:color w:val="000000" w:themeColor="text1"/>
                <w:sz w:val="24"/>
                <w14:textFill>
                  <w14:solidFill>
                    <w14:schemeClr w14:val="tx1"/>
                  </w14:solidFill>
                </w14:textFill>
              </w:rPr>
            </w:pPr>
          </w:p>
        </w:tc>
        <w:tc>
          <w:tcPr>
            <w:tcW w:w="876" w:type="dxa"/>
            <w:vAlign w:val="center"/>
          </w:tcPr>
          <w:p w14:paraId="1E7F2FB5">
            <w:pPr>
              <w:spacing w:line="360" w:lineRule="auto"/>
              <w:contextualSpacing/>
              <w:jc w:val="center"/>
              <w:rPr>
                <w:rFonts w:ascii="宋体" w:hAnsi="宋体"/>
                <w:bCs/>
                <w:color w:val="000000" w:themeColor="text1"/>
                <w:sz w:val="24"/>
                <w14:textFill>
                  <w14:solidFill>
                    <w14:schemeClr w14:val="tx1"/>
                  </w14:solidFill>
                </w14:textFill>
              </w:rPr>
            </w:pPr>
          </w:p>
        </w:tc>
      </w:tr>
      <w:tr w14:paraId="43176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12" w:type="dxa"/>
            <w:vAlign w:val="center"/>
          </w:tcPr>
          <w:p w14:paraId="610066D8">
            <w:pPr>
              <w:spacing w:line="360" w:lineRule="auto"/>
              <w:contextualSpacing/>
              <w:jc w:val="center"/>
              <w:rPr>
                <w:rFonts w:ascii="宋体" w:hAnsi="宋体"/>
                <w:bCs/>
                <w:color w:val="000000" w:themeColor="text1"/>
                <w:sz w:val="24"/>
                <w14:textFill>
                  <w14:solidFill>
                    <w14:schemeClr w14:val="tx1"/>
                  </w14:solidFill>
                </w14:textFill>
              </w:rPr>
            </w:pPr>
          </w:p>
        </w:tc>
        <w:tc>
          <w:tcPr>
            <w:tcW w:w="1912" w:type="dxa"/>
            <w:vAlign w:val="center"/>
          </w:tcPr>
          <w:p w14:paraId="7516D9A4">
            <w:pPr>
              <w:spacing w:line="360" w:lineRule="auto"/>
              <w:contextualSpacing/>
              <w:jc w:val="center"/>
              <w:rPr>
                <w:rFonts w:ascii="宋体" w:hAnsi="宋体"/>
                <w:bCs/>
                <w:color w:val="000000" w:themeColor="text1"/>
                <w:sz w:val="24"/>
                <w14:textFill>
                  <w14:solidFill>
                    <w14:schemeClr w14:val="tx1"/>
                  </w14:solidFill>
                </w14:textFill>
              </w:rPr>
            </w:pPr>
          </w:p>
        </w:tc>
        <w:tc>
          <w:tcPr>
            <w:tcW w:w="1647" w:type="dxa"/>
            <w:vAlign w:val="center"/>
          </w:tcPr>
          <w:p w14:paraId="43EF1D2F">
            <w:pPr>
              <w:spacing w:line="360" w:lineRule="auto"/>
              <w:contextualSpacing/>
              <w:jc w:val="center"/>
              <w:rPr>
                <w:rFonts w:ascii="宋体" w:hAnsi="宋体"/>
                <w:bCs/>
                <w:color w:val="000000" w:themeColor="text1"/>
                <w:sz w:val="24"/>
                <w14:textFill>
                  <w14:solidFill>
                    <w14:schemeClr w14:val="tx1"/>
                  </w14:solidFill>
                </w14:textFill>
              </w:rPr>
            </w:pPr>
          </w:p>
        </w:tc>
        <w:tc>
          <w:tcPr>
            <w:tcW w:w="1631" w:type="dxa"/>
            <w:vAlign w:val="center"/>
          </w:tcPr>
          <w:p w14:paraId="724D0C56">
            <w:pPr>
              <w:spacing w:line="360" w:lineRule="auto"/>
              <w:contextualSpacing/>
              <w:jc w:val="center"/>
              <w:rPr>
                <w:rFonts w:ascii="宋体" w:hAnsi="宋体"/>
                <w:bCs/>
                <w:color w:val="000000" w:themeColor="text1"/>
                <w:sz w:val="24"/>
                <w14:textFill>
                  <w14:solidFill>
                    <w14:schemeClr w14:val="tx1"/>
                  </w14:solidFill>
                </w14:textFill>
              </w:rPr>
            </w:pPr>
          </w:p>
        </w:tc>
        <w:tc>
          <w:tcPr>
            <w:tcW w:w="1644" w:type="dxa"/>
            <w:vAlign w:val="center"/>
          </w:tcPr>
          <w:p w14:paraId="026325E4">
            <w:pPr>
              <w:spacing w:line="360" w:lineRule="auto"/>
              <w:contextualSpacing/>
              <w:jc w:val="center"/>
              <w:rPr>
                <w:rFonts w:ascii="宋体" w:hAnsi="宋体"/>
                <w:bCs/>
                <w:color w:val="000000" w:themeColor="text1"/>
                <w:sz w:val="24"/>
                <w14:textFill>
                  <w14:solidFill>
                    <w14:schemeClr w14:val="tx1"/>
                  </w14:solidFill>
                </w14:textFill>
              </w:rPr>
            </w:pPr>
          </w:p>
        </w:tc>
        <w:tc>
          <w:tcPr>
            <w:tcW w:w="876" w:type="dxa"/>
            <w:vAlign w:val="center"/>
          </w:tcPr>
          <w:p w14:paraId="00AE409B">
            <w:pPr>
              <w:spacing w:line="360" w:lineRule="auto"/>
              <w:contextualSpacing/>
              <w:jc w:val="center"/>
              <w:rPr>
                <w:rFonts w:ascii="宋体" w:hAnsi="宋体"/>
                <w:bCs/>
                <w:color w:val="000000" w:themeColor="text1"/>
                <w:sz w:val="24"/>
                <w14:textFill>
                  <w14:solidFill>
                    <w14:schemeClr w14:val="tx1"/>
                  </w14:solidFill>
                </w14:textFill>
              </w:rPr>
            </w:pPr>
          </w:p>
        </w:tc>
      </w:tr>
    </w:tbl>
    <w:p w14:paraId="702609B5">
      <w:pPr>
        <w:spacing w:line="360" w:lineRule="auto"/>
        <w:ind w:firstLine="480"/>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注：</w:t>
      </w:r>
    </w:p>
    <w:p w14:paraId="0A697681">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 </w:t>
      </w:r>
      <w:r>
        <w:rPr>
          <w:rFonts w:hint="eastAsia" w:ascii="宋体" w:hAnsi="宋体"/>
          <w:bCs/>
          <w:color w:val="000000" w:themeColor="text1"/>
          <w:sz w:val="24"/>
          <w14:textFill>
            <w14:solidFill>
              <w14:schemeClr w14:val="tx1"/>
            </w14:solidFill>
          </w14:textFill>
        </w:rPr>
        <w:t>对合同条款中的所有要求，除本表所列明的所有偏离外，均视作供应商已对之理解和响应。</w:t>
      </w:r>
    </w:p>
    <w:p w14:paraId="30C8AD0C">
      <w:pPr>
        <w:tabs>
          <w:tab w:val="left" w:pos="1800"/>
          <w:tab w:val="left" w:pos="5580"/>
        </w:tabs>
        <w:ind w:firstLine="480" w:firstLineChars="200"/>
        <w:jc w:val="left"/>
        <w:rPr>
          <w:rFonts w:hint="default" w:eastAsia="宋体"/>
          <w:color w:val="000000" w:themeColor="text1"/>
          <w:sz w:val="24"/>
          <w:lang w:val="en-US" w:eastAsia="zh-CN"/>
          <w14:textFill>
            <w14:solidFill>
              <w14:schemeClr w14:val="tx1"/>
            </w14:solidFill>
          </w14:textFill>
        </w:rPr>
      </w:pPr>
      <w:r>
        <w:rPr>
          <w:rFonts w:ascii="宋体" w:hAnsi="宋体"/>
          <w:bCs/>
          <w:color w:val="000000" w:themeColor="text1"/>
          <w:sz w:val="24"/>
          <w14:textFill>
            <w14:solidFill>
              <w14:schemeClr w14:val="tx1"/>
            </w14:solidFill>
          </w14:textFill>
        </w:rPr>
        <w:t xml:space="preserve">2. </w:t>
      </w:r>
      <w:r>
        <w:rPr>
          <w:rFonts w:hint="eastAsia" w:ascii="宋体" w:hAnsi="宋体"/>
          <w:bCs/>
          <w:color w:val="000000" w:themeColor="text1"/>
          <w:sz w:val="24"/>
          <w14:textFill>
            <w14:solidFill>
              <w14:schemeClr w14:val="tx1"/>
            </w14:solidFill>
          </w14:textFill>
        </w:rPr>
        <w:t>“偏离情况”列应据实填写“正偏离”或“负偏离”</w:t>
      </w:r>
      <w:r>
        <w:rPr>
          <w:rFonts w:hint="eastAsia"/>
          <w:color w:val="000000" w:themeColor="text1"/>
          <w:sz w:val="24"/>
          <w:lang w:eastAsia="zh-CN"/>
          <w14:textFill>
            <w14:solidFill>
              <w14:schemeClr w14:val="tx1"/>
            </w14:solidFill>
          </w14:textFill>
        </w:rPr>
        <w:t>，</w:t>
      </w:r>
      <w:r>
        <w:rPr>
          <w:rFonts w:hint="eastAsia"/>
          <w:b/>
          <w:bCs/>
          <w:color w:val="000000" w:themeColor="text1"/>
          <w:sz w:val="24"/>
          <w:lang w:val="en-US" w:eastAsia="zh-CN"/>
          <w14:textFill>
            <w14:solidFill>
              <w14:schemeClr w14:val="tx1"/>
            </w14:solidFill>
          </w14:textFill>
        </w:rPr>
        <w:t>本项目不接受负偏离，否则视为无效响应</w:t>
      </w:r>
      <w:r>
        <w:rPr>
          <w:rFonts w:hint="eastAsia"/>
          <w:color w:val="000000" w:themeColor="text1"/>
          <w:sz w:val="24"/>
          <w:lang w:val="en-US" w:eastAsia="zh-CN"/>
          <w14:textFill>
            <w14:solidFill>
              <w14:schemeClr w14:val="tx1"/>
            </w14:solidFill>
          </w14:textFill>
        </w:rPr>
        <w:t>。</w:t>
      </w:r>
    </w:p>
    <w:p w14:paraId="1A1000BC">
      <w:pPr>
        <w:spacing w:line="360" w:lineRule="auto"/>
        <w:ind w:firstLine="480"/>
        <w:contextualSpacing/>
        <w:rPr>
          <w:rFonts w:ascii="宋体" w:hAnsi="宋体"/>
          <w:bCs/>
          <w:color w:val="000000" w:themeColor="text1"/>
          <w:sz w:val="24"/>
          <w14:textFill>
            <w14:solidFill>
              <w14:schemeClr w14:val="tx1"/>
            </w14:solidFill>
          </w14:textFill>
        </w:rPr>
      </w:pPr>
    </w:p>
    <w:p w14:paraId="189FF5FA">
      <w:pPr>
        <w:spacing w:line="360" w:lineRule="auto"/>
        <w:ind w:firstLine="480"/>
        <w:contextualSpacing/>
        <w:rPr>
          <w:rFonts w:ascii="宋体" w:hAnsi="宋体"/>
          <w:bCs/>
          <w:color w:val="000000" w:themeColor="text1"/>
          <w:sz w:val="24"/>
          <w14:textFill>
            <w14:solidFill>
              <w14:schemeClr w14:val="tx1"/>
            </w14:solidFill>
          </w14:textFill>
        </w:rPr>
      </w:pPr>
    </w:p>
    <w:p w14:paraId="2351E72F">
      <w:pPr>
        <w:spacing w:line="360" w:lineRule="auto"/>
        <w:ind w:firstLine="480"/>
        <w:contextualSpacing/>
        <w:rPr>
          <w:rFonts w:ascii="宋体" w:hAnsi="宋体"/>
          <w:bCs/>
          <w:color w:val="000000" w:themeColor="text1"/>
          <w:sz w:val="24"/>
          <w14:textFill>
            <w14:solidFill>
              <w14:schemeClr w14:val="tx1"/>
            </w14:solidFill>
          </w14:textFill>
        </w:rPr>
      </w:pPr>
    </w:p>
    <w:p w14:paraId="0108A86A">
      <w:pPr>
        <w:spacing w:line="360" w:lineRule="auto"/>
        <w:ind w:firstLine="480"/>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供应商名称</w:t>
      </w:r>
      <w:r>
        <w:rPr>
          <w:rFonts w:hint="eastAsia" w:ascii="宋体" w:hAnsi="宋体" w:cs="宋体"/>
          <w:color w:val="000000" w:themeColor="text1"/>
          <w:spacing w:val="8"/>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加盖CA电子公章</w:t>
      </w:r>
      <w:r>
        <w:rPr>
          <w:rFonts w:hint="eastAsia" w:ascii="宋体" w:hAnsi="宋体" w:cs="宋体"/>
          <w:color w:val="000000" w:themeColor="text1"/>
          <w:spacing w:val="8"/>
          <w:sz w:val="24"/>
          <w:szCs w:val="24"/>
          <w14:textFill>
            <w14:solidFill>
              <w14:schemeClr w14:val="tx1"/>
            </w14:solidFill>
          </w14:textFill>
        </w:rPr>
        <w:t>）</w:t>
      </w:r>
      <w:r>
        <w:rPr>
          <w:rFonts w:ascii="宋体" w:hAnsi="宋体"/>
          <w:bCs/>
          <w:color w:val="000000" w:themeColor="text1"/>
          <w:sz w:val="24"/>
          <w14:textFill>
            <w14:solidFill>
              <w14:schemeClr w14:val="tx1"/>
            </w14:solidFill>
          </w14:textFill>
        </w:rPr>
        <w:t>：    ____________</w:t>
      </w:r>
    </w:p>
    <w:p w14:paraId="379BDE14">
      <w:pPr>
        <w:spacing w:line="360" w:lineRule="auto"/>
        <w:ind w:firstLine="480"/>
        <w:contextualSpacing/>
        <w:rPr>
          <w:rFonts w:ascii="宋体" w:hAnsi="宋体"/>
          <w:bCs/>
          <w:color w:val="000000" w:themeColor="text1"/>
          <w:sz w:val="24"/>
          <w14:textFill>
            <w14:solidFill>
              <w14:schemeClr w14:val="tx1"/>
            </w14:solidFill>
          </w14:textFill>
        </w:rPr>
        <w:sectPr>
          <w:pgSz w:w="11906" w:h="16838"/>
          <w:pgMar w:top="1440" w:right="1800" w:bottom="1440" w:left="1800" w:header="851" w:footer="992" w:gutter="0"/>
          <w:cols w:space="1701" w:num="1"/>
          <w:docGrid w:linePitch="360" w:charSpace="0"/>
        </w:sectPr>
      </w:pPr>
      <w:r>
        <w:rPr>
          <w:color w:val="000000" w:themeColor="text1"/>
          <w:sz w:val="24"/>
          <w:szCs w:val="20"/>
          <w14:textFill>
            <w14:solidFill>
              <w14:schemeClr w14:val="tx1"/>
            </w14:solidFill>
          </w14:textFill>
        </w:rPr>
        <w:t>日期：</w:t>
      </w:r>
      <w:r>
        <w:rPr>
          <w:rFonts w:hint="eastAsia"/>
          <w:color w:val="000000" w:themeColor="text1"/>
          <w:sz w:val="24"/>
          <w:szCs w:val="20"/>
          <w14:textFill>
            <w14:solidFill>
              <w14:schemeClr w14:val="tx1"/>
            </w14:solidFill>
          </w14:textFill>
        </w:rPr>
        <w:t xml:space="preserve"> </w:t>
      </w:r>
      <w:r>
        <w:rPr>
          <w:color w:val="000000" w:themeColor="text1"/>
          <w:sz w:val="24"/>
          <w:szCs w:val="20"/>
          <w14:textFill>
            <w14:solidFill>
              <w14:schemeClr w14:val="tx1"/>
            </w14:solidFill>
          </w14:textFill>
        </w:rPr>
        <w:t xml:space="preserve">  年</w:t>
      </w:r>
      <w:r>
        <w:rPr>
          <w:rFonts w:hint="eastAsia"/>
          <w:color w:val="000000" w:themeColor="text1"/>
          <w:sz w:val="24"/>
          <w:szCs w:val="20"/>
          <w14:textFill>
            <w14:solidFill>
              <w14:schemeClr w14:val="tx1"/>
            </w14:solidFill>
          </w14:textFill>
        </w:rPr>
        <w:t xml:space="preserve"> </w:t>
      </w:r>
      <w:r>
        <w:rPr>
          <w:color w:val="000000" w:themeColor="text1"/>
          <w:sz w:val="24"/>
          <w:szCs w:val="20"/>
          <w14:textFill>
            <w14:solidFill>
              <w14:schemeClr w14:val="tx1"/>
            </w14:solidFill>
          </w14:textFill>
        </w:rPr>
        <w:t xml:space="preserve">  月</w:t>
      </w:r>
      <w:r>
        <w:rPr>
          <w:rFonts w:hint="eastAsia"/>
          <w:color w:val="000000" w:themeColor="text1"/>
          <w:sz w:val="24"/>
          <w:szCs w:val="20"/>
          <w14:textFill>
            <w14:solidFill>
              <w14:schemeClr w14:val="tx1"/>
            </w14:solidFill>
          </w14:textFill>
        </w:rPr>
        <w:t xml:space="preserve"> </w:t>
      </w:r>
      <w:r>
        <w:rPr>
          <w:color w:val="000000" w:themeColor="text1"/>
          <w:sz w:val="24"/>
          <w:szCs w:val="20"/>
          <w14:textFill>
            <w14:solidFill>
              <w14:schemeClr w14:val="tx1"/>
            </w14:solidFill>
          </w14:textFill>
        </w:rPr>
        <w:t xml:space="preserve">   日</w:t>
      </w:r>
    </w:p>
    <w:p w14:paraId="23D094E0">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11</w:t>
      </w:r>
      <w:r>
        <w:rPr>
          <w:rFonts w:hint="eastAsia" w:ascii="宋体" w:hAnsi="宋体"/>
          <w:color w:val="000000" w:themeColor="text1"/>
          <w:sz w:val="24"/>
          <w:szCs w:val="20"/>
          <w14:textFill>
            <w14:solidFill>
              <w14:schemeClr w14:val="tx1"/>
            </w14:solidFill>
          </w14:textFill>
        </w:rPr>
        <w:t xml:space="preserve"> </w:t>
      </w:r>
      <w:r>
        <w:rPr>
          <w:rFonts w:ascii="宋体" w:hAnsi="宋体"/>
          <w:color w:val="000000" w:themeColor="text1"/>
          <w:sz w:val="24"/>
          <w:szCs w:val="20"/>
          <w14:textFill>
            <w14:solidFill>
              <w14:schemeClr w14:val="tx1"/>
            </w14:solidFill>
          </w14:textFill>
        </w:rPr>
        <w:t>采购需求偏离表</w:t>
      </w:r>
    </w:p>
    <w:p w14:paraId="343B961F">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采购需求偏离表</w:t>
      </w:r>
    </w:p>
    <w:p w14:paraId="44291102">
      <w:pPr>
        <w:tabs>
          <w:tab w:val="left" w:pos="1800"/>
          <w:tab w:val="left" w:pos="5580"/>
        </w:tabs>
        <w:spacing w:line="360" w:lineRule="auto"/>
        <w:ind w:firstLine="360" w:firstLineChars="15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项目编号：_______________     项目名称：_____________________</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7"/>
        <w:gridCol w:w="1193"/>
        <w:gridCol w:w="1731"/>
        <w:gridCol w:w="1732"/>
        <w:gridCol w:w="2144"/>
        <w:gridCol w:w="729"/>
      </w:tblGrid>
      <w:tr w14:paraId="6ABF5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0B6EDEF9">
            <w:pPr>
              <w:adjustRightInd w:val="0"/>
              <w:snapToGrid w:val="0"/>
              <w:jc w:val="left"/>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对本项目采购需求的偏离情况（请进行勾选）：</w:t>
            </w:r>
          </w:p>
          <w:p w14:paraId="7F5614F7">
            <w:pPr>
              <w:adjustRightInd w:val="0"/>
              <w:snapToGrid w:val="0"/>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t>□无偏离</w:t>
            </w:r>
            <w:r>
              <w:rPr>
                <w:color w:val="000000" w:themeColor="text1"/>
                <w:sz w:val="24"/>
                <w14:textFill>
                  <w14:solidFill>
                    <w14:schemeClr w14:val="tx1"/>
                  </w14:solidFill>
                </w14:textFill>
              </w:rPr>
              <w:t>（</w:t>
            </w:r>
            <w:r>
              <w:rPr>
                <w:color w:val="000000" w:themeColor="text1"/>
                <w:sz w:val="24"/>
                <w:szCs w:val="21"/>
                <w14:textFill>
                  <w14:solidFill>
                    <w14:schemeClr w14:val="tx1"/>
                  </w14:solidFill>
                </w14:textFill>
              </w:rPr>
              <w:t>如无偏离，仅勾选无偏离即可</w:t>
            </w:r>
            <w:r>
              <w:rPr>
                <w:color w:val="000000" w:themeColor="text1"/>
                <w:sz w:val="24"/>
                <w14:textFill>
                  <w14:solidFill>
                    <w14:schemeClr w14:val="tx1"/>
                  </w14:solidFill>
                </w14:textFill>
              </w:rPr>
              <w:t>）</w:t>
            </w:r>
          </w:p>
          <w:p w14:paraId="5317BA05">
            <w:pPr>
              <w:adjustRightInd w:val="0"/>
              <w:snapToGrid w:val="0"/>
              <w:jc w:val="left"/>
              <w:rPr>
                <w:color w:val="000000" w:themeColor="text1"/>
                <w:sz w:val="24"/>
                <w14:textFill>
                  <w14:solidFill>
                    <w14:schemeClr w14:val="tx1"/>
                  </w14:solidFill>
                </w14:textFill>
              </w:rPr>
            </w:pPr>
            <w:r>
              <w:rPr>
                <w:b/>
                <w:color w:val="000000" w:themeColor="text1"/>
                <w:sz w:val="24"/>
                <w14:textFill>
                  <w14:solidFill>
                    <w14:schemeClr w14:val="tx1"/>
                  </w14:solidFill>
                </w14:textFill>
              </w:rPr>
              <w:t>□有偏离</w:t>
            </w:r>
            <w:r>
              <w:rPr>
                <w:color w:val="000000" w:themeColor="text1"/>
                <w:sz w:val="24"/>
                <w14:textFill>
                  <w14:solidFill>
                    <w14:schemeClr w14:val="tx1"/>
                  </w14:solidFill>
                </w14:textFill>
              </w:rPr>
              <w:t>（</w:t>
            </w:r>
            <w:r>
              <w:rPr>
                <w:color w:val="000000" w:themeColor="text1"/>
                <w:sz w:val="24"/>
                <w:szCs w:val="21"/>
                <w14:textFill>
                  <w14:solidFill>
                    <w14:schemeClr w14:val="tx1"/>
                  </w14:solidFill>
                </w14:textFill>
              </w:rPr>
              <w:t>如有偏离，</w:t>
            </w:r>
            <w:r>
              <w:rPr>
                <w:color w:val="000000" w:themeColor="text1"/>
                <w:sz w:val="24"/>
                <w14:textFill>
                  <w14:solidFill>
                    <w14:schemeClr w14:val="tx1"/>
                  </w14:solidFill>
                </w14:textFill>
              </w:rPr>
              <w:t>则须在本表中对偏离项逐一列明）</w:t>
            </w:r>
          </w:p>
        </w:tc>
      </w:tr>
      <w:tr w14:paraId="4B622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6609C04C">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序号</w:t>
            </w:r>
          </w:p>
        </w:tc>
        <w:tc>
          <w:tcPr>
            <w:tcW w:w="1301" w:type="dxa"/>
            <w:vAlign w:val="center"/>
          </w:tcPr>
          <w:p w14:paraId="4582015A">
            <w:pPr>
              <w:adjustRightInd w:val="0"/>
              <w:snapToGrid w:val="0"/>
              <w:jc w:val="center"/>
              <w:rPr>
                <w:color w:val="000000" w:themeColor="text1"/>
                <w:sz w:val="24"/>
                <w14:textFill>
                  <w14:solidFill>
                    <w14:schemeClr w14:val="tx1"/>
                  </w14:solidFill>
                </w14:textFill>
              </w:rPr>
            </w:pPr>
            <w:r>
              <w:rPr>
                <w:color w:val="000000" w:themeColor="text1"/>
                <w:sz w:val="24"/>
                <w:szCs w:val="21"/>
                <w14:textFill>
                  <w14:solidFill>
                    <w14:schemeClr w14:val="tx1"/>
                  </w14:solidFill>
                </w14:textFill>
              </w:rPr>
              <w:t>磋商文件</w:t>
            </w:r>
            <w:r>
              <w:rPr>
                <w:color w:val="000000" w:themeColor="text1"/>
                <w:sz w:val="24"/>
                <w14:textFill>
                  <w14:solidFill>
                    <w14:schemeClr w14:val="tx1"/>
                  </w14:solidFill>
                </w14:textFill>
              </w:rPr>
              <w:t>条目号（页码）</w:t>
            </w:r>
          </w:p>
        </w:tc>
        <w:tc>
          <w:tcPr>
            <w:tcW w:w="2007" w:type="dxa"/>
            <w:vAlign w:val="center"/>
          </w:tcPr>
          <w:p w14:paraId="5DA34F61">
            <w:pPr>
              <w:adjustRightInd w:val="0"/>
              <w:snapToGrid w:val="0"/>
              <w:jc w:val="center"/>
              <w:rPr>
                <w:color w:val="000000" w:themeColor="text1"/>
                <w:sz w:val="24"/>
                <w14:textFill>
                  <w14:solidFill>
                    <w14:schemeClr w14:val="tx1"/>
                  </w14:solidFill>
                </w14:textFill>
              </w:rPr>
            </w:pPr>
            <w:r>
              <w:rPr>
                <w:color w:val="000000" w:themeColor="text1"/>
                <w:sz w:val="24"/>
                <w:szCs w:val="21"/>
                <w14:textFill>
                  <w14:solidFill>
                    <w14:schemeClr w14:val="tx1"/>
                  </w14:solidFill>
                </w14:textFill>
              </w:rPr>
              <w:t>磋商文件</w:t>
            </w:r>
            <w:r>
              <w:rPr>
                <w:color w:val="000000" w:themeColor="text1"/>
                <w:sz w:val="24"/>
                <w14:textFill>
                  <w14:solidFill>
                    <w14:schemeClr w14:val="tx1"/>
                  </w14:solidFill>
                </w14:textFill>
              </w:rPr>
              <w:t>要求</w:t>
            </w:r>
          </w:p>
        </w:tc>
        <w:tc>
          <w:tcPr>
            <w:tcW w:w="2008" w:type="dxa"/>
            <w:vAlign w:val="center"/>
          </w:tcPr>
          <w:p w14:paraId="7D36CD8E">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响应文件内容</w:t>
            </w:r>
          </w:p>
        </w:tc>
        <w:tc>
          <w:tcPr>
            <w:tcW w:w="2458" w:type="dxa"/>
            <w:vAlign w:val="center"/>
          </w:tcPr>
          <w:p w14:paraId="4D74BFB8">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偏离情况</w:t>
            </w:r>
          </w:p>
          <w:p w14:paraId="1A866E76">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（据实填写）</w:t>
            </w:r>
          </w:p>
        </w:tc>
        <w:tc>
          <w:tcPr>
            <w:tcW w:w="788" w:type="dxa"/>
            <w:vAlign w:val="center"/>
          </w:tcPr>
          <w:p w14:paraId="716A2370">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说明</w:t>
            </w:r>
          </w:p>
        </w:tc>
      </w:tr>
      <w:tr w14:paraId="5C6B7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44D51A5E">
            <w:pPr>
              <w:adjustRightInd w:val="0"/>
              <w:snapToGrid w:val="0"/>
              <w:jc w:val="center"/>
              <w:rPr>
                <w:color w:val="000000" w:themeColor="text1"/>
                <w:sz w:val="24"/>
                <w14:textFill>
                  <w14:solidFill>
                    <w14:schemeClr w14:val="tx1"/>
                  </w14:solidFill>
                </w14:textFill>
              </w:rPr>
            </w:pPr>
          </w:p>
        </w:tc>
        <w:tc>
          <w:tcPr>
            <w:tcW w:w="1301" w:type="dxa"/>
            <w:vAlign w:val="center"/>
          </w:tcPr>
          <w:p w14:paraId="5513FD6D">
            <w:pPr>
              <w:adjustRightInd w:val="0"/>
              <w:snapToGrid w:val="0"/>
              <w:jc w:val="center"/>
              <w:rPr>
                <w:color w:val="000000" w:themeColor="text1"/>
                <w:sz w:val="24"/>
                <w14:textFill>
                  <w14:solidFill>
                    <w14:schemeClr w14:val="tx1"/>
                  </w14:solidFill>
                </w14:textFill>
              </w:rPr>
            </w:pPr>
          </w:p>
        </w:tc>
        <w:tc>
          <w:tcPr>
            <w:tcW w:w="2007" w:type="dxa"/>
            <w:vAlign w:val="center"/>
          </w:tcPr>
          <w:p w14:paraId="6578FD04">
            <w:pPr>
              <w:adjustRightInd w:val="0"/>
              <w:snapToGrid w:val="0"/>
              <w:jc w:val="center"/>
              <w:rPr>
                <w:color w:val="000000" w:themeColor="text1"/>
                <w:sz w:val="24"/>
                <w14:textFill>
                  <w14:solidFill>
                    <w14:schemeClr w14:val="tx1"/>
                  </w14:solidFill>
                </w14:textFill>
              </w:rPr>
            </w:pPr>
          </w:p>
        </w:tc>
        <w:tc>
          <w:tcPr>
            <w:tcW w:w="2008" w:type="dxa"/>
            <w:vAlign w:val="center"/>
          </w:tcPr>
          <w:p w14:paraId="743C5446">
            <w:pPr>
              <w:adjustRightInd w:val="0"/>
              <w:snapToGrid w:val="0"/>
              <w:jc w:val="center"/>
              <w:rPr>
                <w:color w:val="000000" w:themeColor="text1"/>
                <w:sz w:val="24"/>
                <w14:textFill>
                  <w14:solidFill>
                    <w14:schemeClr w14:val="tx1"/>
                  </w14:solidFill>
                </w14:textFill>
              </w:rPr>
            </w:pPr>
          </w:p>
        </w:tc>
        <w:tc>
          <w:tcPr>
            <w:tcW w:w="2458" w:type="dxa"/>
            <w:vAlign w:val="center"/>
          </w:tcPr>
          <w:p w14:paraId="688A09E9">
            <w:pPr>
              <w:adjustRightInd w:val="0"/>
              <w:snapToGrid w:val="0"/>
              <w:jc w:val="center"/>
              <w:rPr>
                <w:color w:val="000000" w:themeColor="text1"/>
                <w:sz w:val="24"/>
                <w14:textFill>
                  <w14:solidFill>
                    <w14:schemeClr w14:val="tx1"/>
                  </w14:solidFill>
                </w14:textFill>
              </w:rPr>
            </w:pPr>
          </w:p>
        </w:tc>
        <w:tc>
          <w:tcPr>
            <w:tcW w:w="788" w:type="dxa"/>
            <w:vAlign w:val="center"/>
          </w:tcPr>
          <w:p w14:paraId="635FDE51">
            <w:pPr>
              <w:adjustRightInd w:val="0"/>
              <w:snapToGrid w:val="0"/>
              <w:jc w:val="center"/>
              <w:rPr>
                <w:color w:val="000000" w:themeColor="text1"/>
                <w:sz w:val="24"/>
                <w14:textFill>
                  <w14:solidFill>
                    <w14:schemeClr w14:val="tx1"/>
                  </w14:solidFill>
                </w14:textFill>
              </w:rPr>
            </w:pPr>
          </w:p>
        </w:tc>
      </w:tr>
      <w:tr w14:paraId="38E5F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62AA17E3">
            <w:pPr>
              <w:adjustRightInd w:val="0"/>
              <w:snapToGrid w:val="0"/>
              <w:jc w:val="center"/>
              <w:rPr>
                <w:color w:val="000000" w:themeColor="text1"/>
                <w:sz w:val="24"/>
                <w14:textFill>
                  <w14:solidFill>
                    <w14:schemeClr w14:val="tx1"/>
                  </w14:solidFill>
                </w14:textFill>
              </w:rPr>
            </w:pPr>
          </w:p>
        </w:tc>
        <w:tc>
          <w:tcPr>
            <w:tcW w:w="1301" w:type="dxa"/>
            <w:vAlign w:val="center"/>
          </w:tcPr>
          <w:p w14:paraId="21B6E5A6">
            <w:pPr>
              <w:adjustRightInd w:val="0"/>
              <w:snapToGrid w:val="0"/>
              <w:jc w:val="center"/>
              <w:rPr>
                <w:color w:val="000000" w:themeColor="text1"/>
                <w:sz w:val="24"/>
                <w14:textFill>
                  <w14:solidFill>
                    <w14:schemeClr w14:val="tx1"/>
                  </w14:solidFill>
                </w14:textFill>
              </w:rPr>
            </w:pPr>
          </w:p>
        </w:tc>
        <w:tc>
          <w:tcPr>
            <w:tcW w:w="2007" w:type="dxa"/>
            <w:vAlign w:val="center"/>
          </w:tcPr>
          <w:p w14:paraId="7FE15BCB">
            <w:pPr>
              <w:adjustRightInd w:val="0"/>
              <w:snapToGrid w:val="0"/>
              <w:jc w:val="center"/>
              <w:rPr>
                <w:color w:val="000000" w:themeColor="text1"/>
                <w:sz w:val="24"/>
                <w14:textFill>
                  <w14:solidFill>
                    <w14:schemeClr w14:val="tx1"/>
                  </w14:solidFill>
                </w14:textFill>
              </w:rPr>
            </w:pPr>
          </w:p>
        </w:tc>
        <w:tc>
          <w:tcPr>
            <w:tcW w:w="2008" w:type="dxa"/>
            <w:vAlign w:val="center"/>
          </w:tcPr>
          <w:p w14:paraId="5326E739">
            <w:pPr>
              <w:adjustRightInd w:val="0"/>
              <w:snapToGrid w:val="0"/>
              <w:jc w:val="center"/>
              <w:rPr>
                <w:color w:val="000000" w:themeColor="text1"/>
                <w:sz w:val="24"/>
                <w14:textFill>
                  <w14:solidFill>
                    <w14:schemeClr w14:val="tx1"/>
                  </w14:solidFill>
                </w14:textFill>
              </w:rPr>
            </w:pPr>
          </w:p>
        </w:tc>
        <w:tc>
          <w:tcPr>
            <w:tcW w:w="2458" w:type="dxa"/>
            <w:vAlign w:val="center"/>
          </w:tcPr>
          <w:p w14:paraId="0385E08C">
            <w:pPr>
              <w:adjustRightInd w:val="0"/>
              <w:snapToGrid w:val="0"/>
              <w:jc w:val="center"/>
              <w:rPr>
                <w:color w:val="000000" w:themeColor="text1"/>
                <w:sz w:val="24"/>
                <w14:textFill>
                  <w14:solidFill>
                    <w14:schemeClr w14:val="tx1"/>
                  </w14:solidFill>
                </w14:textFill>
              </w:rPr>
            </w:pPr>
          </w:p>
        </w:tc>
        <w:tc>
          <w:tcPr>
            <w:tcW w:w="788" w:type="dxa"/>
            <w:vAlign w:val="center"/>
          </w:tcPr>
          <w:p w14:paraId="704A3633">
            <w:pPr>
              <w:adjustRightInd w:val="0"/>
              <w:snapToGrid w:val="0"/>
              <w:jc w:val="center"/>
              <w:rPr>
                <w:color w:val="000000" w:themeColor="text1"/>
                <w:sz w:val="24"/>
                <w14:textFill>
                  <w14:solidFill>
                    <w14:schemeClr w14:val="tx1"/>
                  </w14:solidFill>
                </w14:textFill>
              </w:rPr>
            </w:pPr>
          </w:p>
        </w:tc>
      </w:tr>
      <w:tr w14:paraId="081FD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0D6ECFE5">
            <w:pPr>
              <w:adjustRightInd w:val="0"/>
              <w:snapToGrid w:val="0"/>
              <w:jc w:val="center"/>
              <w:rPr>
                <w:color w:val="000000" w:themeColor="text1"/>
                <w:sz w:val="24"/>
                <w14:textFill>
                  <w14:solidFill>
                    <w14:schemeClr w14:val="tx1"/>
                  </w14:solidFill>
                </w14:textFill>
              </w:rPr>
            </w:pPr>
          </w:p>
        </w:tc>
        <w:tc>
          <w:tcPr>
            <w:tcW w:w="1301" w:type="dxa"/>
            <w:vAlign w:val="center"/>
          </w:tcPr>
          <w:p w14:paraId="445AA3AF">
            <w:pPr>
              <w:adjustRightInd w:val="0"/>
              <w:snapToGrid w:val="0"/>
              <w:jc w:val="center"/>
              <w:rPr>
                <w:color w:val="000000" w:themeColor="text1"/>
                <w:sz w:val="24"/>
                <w14:textFill>
                  <w14:solidFill>
                    <w14:schemeClr w14:val="tx1"/>
                  </w14:solidFill>
                </w14:textFill>
              </w:rPr>
            </w:pPr>
          </w:p>
        </w:tc>
        <w:tc>
          <w:tcPr>
            <w:tcW w:w="2007" w:type="dxa"/>
            <w:vAlign w:val="center"/>
          </w:tcPr>
          <w:p w14:paraId="235F6960">
            <w:pPr>
              <w:adjustRightInd w:val="0"/>
              <w:snapToGrid w:val="0"/>
              <w:jc w:val="center"/>
              <w:rPr>
                <w:color w:val="000000" w:themeColor="text1"/>
                <w:sz w:val="24"/>
                <w14:textFill>
                  <w14:solidFill>
                    <w14:schemeClr w14:val="tx1"/>
                  </w14:solidFill>
                </w14:textFill>
              </w:rPr>
            </w:pPr>
          </w:p>
        </w:tc>
        <w:tc>
          <w:tcPr>
            <w:tcW w:w="2008" w:type="dxa"/>
            <w:vAlign w:val="center"/>
          </w:tcPr>
          <w:p w14:paraId="0D77D341">
            <w:pPr>
              <w:adjustRightInd w:val="0"/>
              <w:snapToGrid w:val="0"/>
              <w:jc w:val="center"/>
              <w:rPr>
                <w:color w:val="000000" w:themeColor="text1"/>
                <w:sz w:val="24"/>
                <w14:textFill>
                  <w14:solidFill>
                    <w14:schemeClr w14:val="tx1"/>
                  </w14:solidFill>
                </w14:textFill>
              </w:rPr>
            </w:pPr>
          </w:p>
        </w:tc>
        <w:tc>
          <w:tcPr>
            <w:tcW w:w="2458" w:type="dxa"/>
            <w:vAlign w:val="center"/>
          </w:tcPr>
          <w:p w14:paraId="07BD36D1">
            <w:pPr>
              <w:adjustRightInd w:val="0"/>
              <w:snapToGrid w:val="0"/>
              <w:jc w:val="center"/>
              <w:rPr>
                <w:color w:val="000000" w:themeColor="text1"/>
                <w:sz w:val="24"/>
                <w14:textFill>
                  <w14:solidFill>
                    <w14:schemeClr w14:val="tx1"/>
                  </w14:solidFill>
                </w14:textFill>
              </w:rPr>
            </w:pPr>
          </w:p>
        </w:tc>
        <w:tc>
          <w:tcPr>
            <w:tcW w:w="788" w:type="dxa"/>
            <w:vAlign w:val="center"/>
          </w:tcPr>
          <w:p w14:paraId="02A0E07D">
            <w:pPr>
              <w:adjustRightInd w:val="0"/>
              <w:snapToGrid w:val="0"/>
              <w:jc w:val="center"/>
              <w:rPr>
                <w:color w:val="000000" w:themeColor="text1"/>
                <w:sz w:val="24"/>
                <w14:textFill>
                  <w14:solidFill>
                    <w14:schemeClr w14:val="tx1"/>
                  </w14:solidFill>
                </w14:textFill>
              </w:rPr>
            </w:pPr>
          </w:p>
        </w:tc>
      </w:tr>
      <w:tr w14:paraId="2A18E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02D53E68">
            <w:pPr>
              <w:adjustRightInd w:val="0"/>
              <w:snapToGrid w:val="0"/>
              <w:jc w:val="center"/>
              <w:rPr>
                <w:color w:val="000000" w:themeColor="text1"/>
                <w:sz w:val="24"/>
                <w14:textFill>
                  <w14:solidFill>
                    <w14:schemeClr w14:val="tx1"/>
                  </w14:solidFill>
                </w14:textFill>
              </w:rPr>
            </w:pPr>
          </w:p>
        </w:tc>
        <w:tc>
          <w:tcPr>
            <w:tcW w:w="1301" w:type="dxa"/>
            <w:vAlign w:val="center"/>
          </w:tcPr>
          <w:p w14:paraId="511487F3">
            <w:pPr>
              <w:adjustRightInd w:val="0"/>
              <w:snapToGrid w:val="0"/>
              <w:jc w:val="center"/>
              <w:rPr>
                <w:color w:val="000000" w:themeColor="text1"/>
                <w:sz w:val="24"/>
                <w14:textFill>
                  <w14:solidFill>
                    <w14:schemeClr w14:val="tx1"/>
                  </w14:solidFill>
                </w14:textFill>
              </w:rPr>
            </w:pPr>
          </w:p>
        </w:tc>
        <w:tc>
          <w:tcPr>
            <w:tcW w:w="2007" w:type="dxa"/>
            <w:vAlign w:val="center"/>
          </w:tcPr>
          <w:p w14:paraId="37A774BD">
            <w:pPr>
              <w:adjustRightInd w:val="0"/>
              <w:snapToGrid w:val="0"/>
              <w:jc w:val="center"/>
              <w:rPr>
                <w:color w:val="000000" w:themeColor="text1"/>
                <w:sz w:val="24"/>
                <w14:textFill>
                  <w14:solidFill>
                    <w14:schemeClr w14:val="tx1"/>
                  </w14:solidFill>
                </w14:textFill>
              </w:rPr>
            </w:pPr>
          </w:p>
        </w:tc>
        <w:tc>
          <w:tcPr>
            <w:tcW w:w="2008" w:type="dxa"/>
            <w:vAlign w:val="center"/>
          </w:tcPr>
          <w:p w14:paraId="09CA70C0">
            <w:pPr>
              <w:adjustRightInd w:val="0"/>
              <w:snapToGrid w:val="0"/>
              <w:jc w:val="center"/>
              <w:rPr>
                <w:color w:val="000000" w:themeColor="text1"/>
                <w:sz w:val="24"/>
                <w14:textFill>
                  <w14:solidFill>
                    <w14:schemeClr w14:val="tx1"/>
                  </w14:solidFill>
                </w14:textFill>
              </w:rPr>
            </w:pPr>
          </w:p>
        </w:tc>
        <w:tc>
          <w:tcPr>
            <w:tcW w:w="2458" w:type="dxa"/>
            <w:vAlign w:val="center"/>
          </w:tcPr>
          <w:p w14:paraId="5E37B8C0">
            <w:pPr>
              <w:adjustRightInd w:val="0"/>
              <w:snapToGrid w:val="0"/>
              <w:jc w:val="center"/>
              <w:rPr>
                <w:color w:val="000000" w:themeColor="text1"/>
                <w:sz w:val="24"/>
                <w14:textFill>
                  <w14:solidFill>
                    <w14:schemeClr w14:val="tx1"/>
                  </w14:solidFill>
                </w14:textFill>
              </w:rPr>
            </w:pPr>
          </w:p>
        </w:tc>
        <w:tc>
          <w:tcPr>
            <w:tcW w:w="788" w:type="dxa"/>
            <w:vAlign w:val="center"/>
          </w:tcPr>
          <w:p w14:paraId="44682C3A">
            <w:pPr>
              <w:adjustRightInd w:val="0"/>
              <w:snapToGrid w:val="0"/>
              <w:jc w:val="center"/>
              <w:rPr>
                <w:color w:val="000000" w:themeColor="text1"/>
                <w:sz w:val="24"/>
                <w14:textFill>
                  <w14:solidFill>
                    <w14:schemeClr w14:val="tx1"/>
                  </w14:solidFill>
                </w14:textFill>
              </w:rPr>
            </w:pPr>
          </w:p>
        </w:tc>
      </w:tr>
    </w:tbl>
    <w:p w14:paraId="4D479644">
      <w:pPr>
        <w:tabs>
          <w:tab w:val="left" w:pos="1800"/>
          <w:tab w:val="left" w:pos="5580"/>
        </w:tabs>
        <w:jc w:val="left"/>
        <w:rPr>
          <w:color w:val="000000" w:themeColor="text1"/>
          <w:sz w:val="24"/>
          <w14:textFill>
            <w14:solidFill>
              <w14:schemeClr w14:val="tx1"/>
            </w14:solidFill>
          </w14:textFill>
        </w:rPr>
      </w:pPr>
    </w:p>
    <w:p w14:paraId="7E07565B">
      <w:pPr>
        <w:tabs>
          <w:tab w:val="left" w:pos="1800"/>
          <w:tab w:val="left" w:pos="5580"/>
        </w:tabs>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注：</w:t>
      </w:r>
    </w:p>
    <w:p w14:paraId="649627AB">
      <w:pPr>
        <w:tabs>
          <w:tab w:val="left" w:pos="1800"/>
          <w:tab w:val="left" w:pos="5580"/>
        </w:tabs>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 </w:t>
      </w:r>
      <w:r>
        <w:rPr>
          <w:rFonts w:hint="eastAsia"/>
          <w:color w:val="000000" w:themeColor="text1"/>
          <w:sz w:val="24"/>
          <w14:textFill>
            <w14:solidFill>
              <w14:schemeClr w14:val="tx1"/>
            </w14:solidFill>
          </w14:textFill>
        </w:rPr>
        <w:t>对采购需求中的所有要求，除本表所列明的所有偏离外，均视作供应商已对之理解和响应。</w:t>
      </w:r>
    </w:p>
    <w:p w14:paraId="1BDD71A8">
      <w:pPr>
        <w:tabs>
          <w:tab w:val="left" w:pos="1800"/>
          <w:tab w:val="left" w:pos="5580"/>
        </w:tabs>
        <w:jc w:val="left"/>
        <w:rPr>
          <w:rFonts w:hint="default" w:eastAsia="宋体"/>
          <w:b/>
          <w:bCs/>
          <w:color w:val="000000" w:themeColor="text1"/>
          <w:sz w:val="24"/>
          <w:lang w:val="en-US" w:eastAsia="zh-CN"/>
          <w14:textFill>
            <w14:solidFill>
              <w14:schemeClr w14:val="tx1"/>
            </w14:solidFill>
          </w14:textFill>
        </w:rPr>
      </w:pPr>
      <w:r>
        <w:rPr>
          <w:color w:val="000000" w:themeColor="text1"/>
          <w:sz w:val="24"/>
          <w14:textFill>
            <w14:solidFill>
              <w14:schemeClr w14:val="tx1"/>
            </w14:solidFill>
          </w14:textFill>
        </w:rPr>
        <w:t xml:space="preserve">2. </w:t>
      </w:r>
      <w:r>
        <w:rPr>
          <w:rFonts w:hint="eastAsia"/>
          <w:color w:val="000000" w:themeColor="text1"/>
          <w:sz w:val="24"/>
          <w14:textFill>
            <w14:solidFill>
              <w14:schemeClr w14:val="tx1"/>
            </w14:solidFill>
          </w14:textFill>
        </w:rPr>
        <w:t>“偏离情况”列应据实填写“正偏离”或“负偏离”</w:t>
      </w:r>
      <w:r>
        <w:rPr>
          <w:rFonts w:hint="eastAsia"/>
          <w:color w:val="000000" w:themeColor="text1"/>
          <w:sz w:val="24"/>
          <w:lang w:eastAsia="zh-CN"/>
          <w14:textFill>
            <w14:solidFill>
              <w14:schemeClr w14:val="tx1"/>
            </w14:solidFill>
          </w14:textFill>
        </w:rPr>
        <w:t>，</w:t>
      </w:r>
      <w:r>
        <w:rPr>
          <w:rFonts w:hint="eastAsia"/>
          <w:b/>
          <w:bCs/>
          <w:color w:val="000000" w:themeColor="text1"/>
          <w:sz w:val="24"/>
          <w:lang w:val="en-US" w:eastAsia="zh-CN"/>
          <w14:textFill>
            <w14:solidFill>
              <w14:schemeClr w14:val="tx1"/>
            </w14:solidFill>
          </w14:textFill>
        </w:rPr>
        <w:t>本项目不接受负偏离，否则视为无效响应。</w:t>
      </w:r>
    </w:p>
    <w:p w14:paraId="64C92F11">
      <w:pPr>
        <w:tabs>
          <w:tab w:val="left" w:pos="1800"/>
          <w:tab w:val="left" w:pos="5580"/>
        </w:tabs>
        <w:jc w:val="left"/>
        <w:rPr>
          <w:color w:val="000000" w:themeColor="text1"/>
          <w:sz w:val="24"/>
          <w14:textFill>
            <w14:solidFill>
              <w14:schemeClr w14:val="tx1"/>
            </w14:solidFill>
          </w14:textFill>
        </w:rPr>
      </w:pPr>
    </w:p>
    <w:p w14:paraId="01B5667E">
      <w:pPr>
        <w:rPr>
          <w:color w:val="000000" w:themeColor="text1"/>
          <w:sz w:val="24"/>
          <w:szCs w:val="20"/>
          <w14:textFill>
            <w14:solidFill>
              <w14:schemeClr w14:val="tx1"/>
            </w14:solidFill>
          </w14:textFill>
        </w:rPr>
      </w:pPr>
    </w:p>
    <w:p w14:paraId="762695C1">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 xml:space="preserve">                  </w:t>
      </w:r>
    </w:p>
    <w:p w14:paraId="50B1D070">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r>
        <w:rPr>
          <w:color w:val="000000" w:themeColor="text1"/>
          <w:sz w:val="24"/>
          <w14:textFill>
            <w14:solidFill>
              <w14:schemeClr w14:val="tx1"/>
            </w14:solidFill>
          </w14:textFill>
        </w:rPr>
        <w:t>供应商名称</w:t>
      </w:r>
      <w:r>
        <w:rPr>
          <w:rFonts w:hint="eastAsia" w:ascii="宋体" w:hAnsi="宋体" w:cs="宋体"/>
          <w:color w:val="000000" w:themeColor="text1"/>
          <w:spacing w:val="8"/>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加盖CA电子公章</w:t>
      </w:r>
      <w:r>
        <w:rPr>
          <w:rFonts w:hint="eastAsia" w:ascii="宋体" w:hAnsi="宋体" w:cs="宋体"/>
          <w:color w:val="000000" w:themeColor="text1"/>
          <w:spacing w:val="8"/>
          <w:sz w:val="24"/>
          <w:szCs w:val="24"/>
          <w14:textFill>
            <w14:solidFill>
              <w14:schemeClr w14:val="tx1"/>
            </w14:solidFill>
          </w14:textFill>
        </w:rPr>
        <w:t>）</w:t>
      </w:r>
      <w:r>
        <w:rPr>
          <w:color w:val="000000" w:themeColor="text1"/>
          <w:sz w:val="24"/>
          <w:lang w:val="zh-CN"/>
          <w14:textFill>
            <w14:solidFill>
              <w14:schemeClr w14:val="tx1"/>
            </w14:solidFill>
          </w14:textFill>
        </w:rPr>
        <w:t>：    ____________</w:t>
      </w:r>
    </w:p>
    <w:p w14:paraId="214F7A80">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r>
        <w:rPr>
          <w:color w:val="000000" w:themeColor="text1"/>
          <w:sz w:val="24"/>
          <w:szCs w:val="20"/>
          <w14:textFill>
            <w14:solidFill>
              <w14:schemeClr w14:val="tx1"/>
            </w14:solidFill>
          </w14:textFill>
        </w:rPr>
        <w:t>日期：</w:t>
      </w:r>
      <w:r>
        <w:rPr>
          <w:rFonts w:hint="eastAsia"/>
          <w:color w:val="000000" w:themeColor="text1"/>
          <w:sz w:val="24"/>
          <w:szCs w:val="20"/>
          <w14:textFill>
            <w14:solidFill>
              <w14:schemeClr w14:val="tx1"/>
            </w14:solidFill>
          </w14:textFill>
        </w:rPr>
        <w:t xml:space="preserve"> </w:t>
      </w:r>
      <w:r>
        <w:rPr>
          <w:color w:val="000000" w:themeColor="text1"/>
          <w:sz w:val="24"/>
          <w:szCs w:val="20"/>
          <w14:textFill>
            <w14:solidFill>
              <w14:schemeClr w14:val="tx1"/>
            </w14:solidFill>
          </w14:textFill>
        </w:rPr>
        <w:t xml:space="preserve">  年</w:t>
      </w:r>
      <w:r>
        <w:rPr>
          <w:rFonts w:hint="eastAsia"/>
          <w:color w:val="000000" w:themeColor="text1"/>
          <w:sz w:val="24"/>
          <w:szCs w:val="20"/>
          <w14:textFill>
            <w14:solidFill>
              <w14:schemeClr w14:val="tx1"/>
            </w14:solidFill>
          </w14:textFill>
        </w:rPr>
        <w:t xml:space="preserve"> </w:t>
      </w:r>
      <w:r>
        <w:rPr>
          <w:color w:val="000000" w:themeColor="text1"/>
          <w:sz w:val="24"/>
          <w:szCs w:val="20"/>
          <w14:textFill>
            <w14:solidFill>
              <w14:schemeClr w14:val="tx1"/>
            </w14:solidFill>
          </w14:textFill>
        </w:rPr>
        <w:t xml:space="preserve">  月</w:t>
      </w:r>
      <w:r>
        <w:rPr>
          <w:rFonts w:hint="eastAsia"/>
          <w:color w:val="000000" w:themeColor="text1"/>
          <w:sz w:val="24"/>
          <w:szCs w:val="20"/>
          <w14:textFill>
            <w14:solidFill>
              <w14:schemeClr w14:val="tx1"/>
            </w14:solidFill>
          </w14:textFill>
        </w:rPr>
        <w:t xml:space="preserve"> </w:t>
      </w:r>
      <w:r>
        <w:rPr>
          <w:color w:val="000000" w:themeColor="text1"/>
          <w:sz w:val="24"/>
          <w:szCs w:val="20"/>
          <w14:textFill>
            <w14:solidFill>
              <w14:schemeClr w14:val="tx1"/>
            </w14:solidFill>
          </w14:textFill>
        </w:rPr>
        <w:t xml:space="preserve">   日  </w:t>
      </w:r>
    </w:p>
    <w:p w14:paraId="11637A2D">
      <w:pPr>
        <w:spacing w:line="360" w:lineRule="auto"/>
        <w:outlineLvl w:val="2"/>
        <w:rPr>
          <w:rFonts w:hint="eastAsia" w:ascii="宋体" w:hAnsi="宋体" w:eastAsia="宋体"/>
          <w:color w:val="000000" w:themeColor="text1"/>
          <w:sz w:val="24"/>
          <w:lang w:eastAsia="zh-CN"/>
          <w14:textFill>
            <w14:solidFill>
              <w14:schemeClr w14:val="tx1"/>
            </w14:solidFill>
          </w14:textFill>
        </w:rPr>
      </w:pPr>
      <w:r>
        <w:rPr>
          <w:color w:val="000000" w:themeColor="text1"/>
          <w:sz w:val="24"/>
          <w:szCs w:val="20"/>
          <w14:textFill>
            <w14:solidFill>
              <w14:schemeClr w14:val="tx1"/>
            </w14:solidFill>
          </w14:textFill>
        </w:rPr>
        <w:br w:type="page"/>
      </w:r>
      <w:r>
        <w:rPr>
          <w:rFonts w:hint="eastAsia" w:ascii="宋体" w:hAnsi="宋体"/>
          <w:color w:val="000000" w:themeColor="text1"/>
          <w:sz w:val="24"/>
          <w14:textFill>
            <w14:solidFill>
              <w14:schemeClr w14:val="tx1"/>
            </w14:solidFill>
          </w14:textFill>
        </w:rPr>
        <w:t>1</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 xml:space="preserve"> 项目实施方案等，内容及格式自拟</w:t>
      </w:r>
      <w:r>
        <w:rPr>
          <w:rFonts w:hint="eastAsia" w:ascii="宋体" w:hAnsi="宋体"/>
          <w:color w:val="000000" w:themeColor="text1"/>
          <w:sz w:val="24"/>
          <w:lang w:eastAsia="zh-CN"/>
          <w14:textFill>
            <w14:solidFill>
              <w14:schemeClr w14:val="tx1"/>
            </w14:solidFill>
          </w14:textFill>
        </w:rPr>
        <w:t>。</w:t>
      </w:r>
    </w:p>
    <w:p w14:paraId="686A0722">
      <w:pPr>
        <w:spacing w:line="360" w:lineRule="auto"/>
        <w:outlineLvl w:val="2"/>
        <w:rPr>
          <w:rFonts w:ascii="宋体" w:hAnsi="宋体"/>
          <w:color w:val="000000" w:themeColor="text1"/>
          <w:sz w:val="24"/>
          <w14:textFill>
            <w14:solidFill>
              <w14:schemeClr w14:val="tx1"/>
            </w14:solidFill>
          </w14:textFill>
        </w:rPr>
      </w:pPr>
    </w:p>
    <w:p w14:paraId="0FB063A4">
      <w:pPr>
        <w:spacing w:line="360" w:lineRule="auto"/>
        <w:outlineLvl w:val="2"/>
        <w:rPr>
          <w:rFonts w:ascii="宋体" w:hAnsi="宋体"/>
          <w:color w:val="000000" w:themeColor="text1"/>
          <w:sz w:val="24"/>
          <w14:textFill>
            <w14:solidFill>
              <w14:schemeClr w14:val="tx1"/>
            </w14:solidFill>
          </w14:textFill>
        </w:rPr>
      </w:pPr>
    </w:p>
    <w:p w14:paraId="25B2219E">
      <w:pPr>
        <w:spacing w:line="360" w:lineRule="auto"/>
        <w:outlineLvl w:val="2"/>
        <w:rPr>
          <w:rFonts w:ascii="宋体" w:hAnsi="宋体"/>
          <w:color w:val="000000" w:themeColor="text1"/>
          <w:sz w:val="24"/>
          <w14:textFill>
            <w14:solidFill>
              <w14:schemeClr w14:val="tx1"/>
            </w14:solidFill>
          </w14:textFill>
        </w:rPr>
      </w:pPr>
    </w:p>
    <w:p w14:paraId="5CAB3E98">
      <w:pPr>
        <w:spacing w:line="360" w:lineRule="auto"/>
        <w:outlineLvl w:val="2"/>
        <w:rPr>
          <w:rFonts w:ascii="宋体" w:hAnsi="宋体"/>
          <w:color w:val="000000" w:themeColor="text1"/>
          <w:sz w:val="24"/>
          <w14:textFill>
            <w14:solidFill>
              <w14:schemeClr w14:val="tx1"/>
            </w14:solidFill>
          </w14:textFill>
        </w:rPr>
      </w:pPr>
    </w:p>
    <w:p w14:paraId="59720C5A">
      <w:pPr>
        <w:spacing w:line="360" w:lineRule="auto"/>
        <w:outlineLvl w:val="2"/>
        <w:rPr>
          <w:rFonts w:ascii="宋体" w:hAnsi="宋体"/>
          <w:color w:val="000000" w:themeColor="text1"/>
          <w:sz w:val="24"/>
          <w14:textFill>
            <w14:solidFill>
              <w14:schemeClr w14:val="tx1"/>
            </w14:solidFill>
          </w14:textFill>
        </w:rPr>
      </w:pPr>
    </w:p>
    <w:p w14:paraId="058F40CE">
      <w:pPr>
        <w:spacing w:line="360" w:lineRule="auto"/>
        <w:outlineLvl w:val="2"/>
        <w:rPr>
          <w:rFonts w:ascii="宋体" w:hAnsi="宋体"/>
          <w:color w:val="000000" w:themeColor="text1"/>
          <w:sz w:val="24"/>
          <w14:textFill>
            <w14:solidFill>
              <w14:schemeClr w14:val="tx1"/>
            </w14:solidFill>
          </w14:textFill>
        </w:rPr>
      </w:pPr>
    </w:p>
    <w:p w14:paraId="0710F803">
      <w:pPr>
        <w:spacing w:line="360" w:lineRule="auto"/>
        <w:outlineLvl w:val="2"/>
        <w:rPr>
          <w:rFonts w:ascii="宋体" w:hAnsi="宋体"/>
          <w:color w:val="000000" w:themeColor="text1"/>
          <w:sz w:val="24"/>
          <w14:textFill>
            <w14:solidFill>
              <w14:schemeClr w14:val="tx1"/>
            </w14:solidFill>
          </w14:textFill>
        </w:rPr>
      </w:pPr>
    </w:p>
    <w:p w14:paraId="3E1A14CA">
      <w:pPr>
        <w:spacing w:line="360" w:lineRule="auto"/>
        <w:outlineLvl w:val="2"/>
        <w:rPr>
          <w:rFonts w:ascii="宋体" w:hAnsi="宋体"/>
          <w:color w:val="000000" w:themeColor="text1"/>
          <w:sz w:val="24"/>
          <w14:textFill>
            <w14:solidFill>
              <w14:schemeClr w14:val="tx1"/>
            </w14:solidFill>
          </w14:textFill>
        </w:rPr>
      </w:pPr>
    </w:p>
    <w:p w14:paraId="460499FC">
      <w:pPr>
        <w:spacing w:line="360" w:lineRule="auto"/>
        <w:outlineLvl w:val="2"/>
        <w:rPr>
          <w:rFonts w:ascii="宋体" w:hAnsi="宋体"/>
          <w:color w:val="000000" w:themeColor="text1"/>
          <w:sz w:val="24"/>
          <w14:textFill>
            <w14:solidFill>
              <w14:schemeClr w14:val="tx1"/>
            </w14:solidFill>
          </w14:textFill>
        </w:rPr>
      </w:pPr>
    </w:p>
    <w:p w14:paraId="087884D3">
      <w:pPr>
        <w:spacing w:line="360" w:lineRule="auto"/>
        <w:outlineLvl w:val="2"/>
        <w:rPr>
          <w:rFonts w:ascii="宋体" w:hAnsi="宋体"/>
          <w:color w:val="000000" w:themeColor="text1"/>
          <w:sz w:val="24"/>
          <w14:textFill>
            <w14:solidFill>
              <w14:schemeClr w14:val="tx1"/>
            </w14:solidFill>
          </w14:textFill>
        </w:rPr>
      </w:pPr>
    </w:p>
    <w:p w14:paraId="09347461">
      <w:pPr>
        <w:spacing w:line="360" w:lineRule="auto"/>
        <w:outlineLvl w:val="2"/>
        <w:rPr>
          <w:rFonts w:ascii="宋体" w:hAnsi="宋体"/>
          <w:color w:val="000000" w:themeColor="text1"/>
          <w:sz w:val="24"/>
          <w14:textFill>
            <w14:solidFill>
              <w14:schemeClr w14:val="tx1"/>
            </w14:solidFill>
          </w14:textFill>
        </w:rPr>
      </w:pPr>
    </w:p>
    <w:p w14:paraId="0C8ED115">
      <w:pPr>
        <w:spacing w:line="360" w:lineRule="auto"/>
        <w:outlineLvl w:val="2"/>
        <w:rPr>
          <w:rFonts w:ascii="宋体" w:hAnsi="宋体"/>
          <w:color w:val="000000" w:themeColor="text1"/>
          <w:sz w:val="24"/>
          <w14:textFill>
            <w14:solidFill>
              <w14:schemeClr w14:val="tx1"/>
            </w14:solidFill>
          </w14:textFill>
        </w:rPr>
      </w:pPr>
    </w:p>
    <w:p w14:paraId="25EDF413">
      <w:pPr>
        <w:spacing w:line="360" w:lineRule="auto"/>
        <w:outlineLvl w:val="2"/>
        <w:rPr>
          <w:rFonts w:ascii="宋体" w:hAnsi="宋体"/>
          <w:color w:val="000000" w:themeColor="text1"/>
          <w:sz w:val="24"/>
          <w14:textFill>
            <w14:solidFill>
              <w14:schemeClr w14:val="tx1"/>
            </w14:solidFill>
          </w14:textFill>
        </w:rPr>
      </w:pPr>
    </w:p>
    <w:p w14:paraId="1C955ED8">
      <w:pPr>
        <w:spacing w:line="360" w:lineRule="auto"/>
        <w:outlineLvl w:val="2"/>
        <w:rPr>
          <w:rFonts w:ascii="宋体" w:hAnsi="宋体"/>
          <w:color w:val="000000" w:themeColor="text1"/>
          <w:sz w:val="24"/>
          <w14:textFill>
            <w14:solidFill>
              <w14:schemeClr w14:val="tx1"/>
            </w14:solidFill>
          </w14:textFill>
        </w:rPr>
      </w:pPr>
    </w:p>
    <w:p w14:paraId="62603D8D">
      <w:pPr>
        <w:spacing w:line="360" w:lineRule="auto"/>
        <w:outlineLvl w:val="2"/>
        <w:rPr>
          <w:rFonts w:ascii="宋体" w:hAnsi="宋体"/>
          <w:color w:val="000000" w:themeColor="text1"/>
          <w:sz w:val="24"/>
          <w14:textFill>
            <w14:solidFill>
              <w14:schemeClr w14:val="tx1"/>
            </w14:solidFill>
          </w14:textFill>
        </w:rPr>
      </w:pPr>
    </w:p>
    <w:p w14:paraId="03A33778">
      <w:pPr>
        <w:spacing w:line="360" w:lineRule="auto"/>
        <w:outlineLvl w:val="2"/>
        <w:rPr>
          <w:rFonts w:ascii="宋体" w:hAnsi="宋体"/>
          <w:color w:val="000000" w:themeColor="text1"/>
          <w:sz w:val="24"/>
          <w14:textFill>
            <w14:solidFill>
              <w14:schemeClr w14:val="tx1"/>
            </w14:solidFill>
          </w14:textFill>
        </w:rPr>
      </w:pPr>
    </w:p>
    <w:p w14:paraId="7E377A2C">
      <w:pPr>
        <w:spacing w:line="360" w:lineRule="auto"/>
        <w:outlineLvl w:val="2"/>
        <w:rPr>
          <w:rFonts w:ascii="宋体" w:hAnsi="宋体"/>
          <w:color w:val="000000" w:themeColor="text1"/>
          <w:sz w:val="24"/>
          <w14:textFill>
            <w14:solidFill>
              <w14:schemeClr w14:val="tx1"/>
            </w14:solidFill>
          </w14:textFill>
        </w:rPr>
      </w:pPr>
    </w:p>
    <w:p w14:paraId="1B660EA5">
      <w:pPr>
        <w:spacing w:line="360" w:lineRule="auto"/>
        <w:outlineLvl w:val="2"/>
        <w:rPr>
          <w:rFonts w:ascii="宋体" w:hAnsi="宋体"/>
          <w:color w:val="000000" w:themeColor="text1"/>
          <w:sz w:val="24"/>
          <w14:textFill>
            <w14:solidFill>
              <w14:schemeClr w14:val="tx1"/>
            </w14:solidFill>
          </w14:textFill>
        </w:rPr>
      </w:pPr>
    </w:p>
    <w:p w14:paraId="24AC231E">
      <w:pPr>
        <w:spacing w:line="360" w:lineRule="auto"/>
        <w:outlineLvl w:val="2"/>
        <w:rPr>
          <w:rFonts w:ascii="宋体" w:hAnsi="宋体"/>
          <w:color w:val="000000" w:themeColor="text1"/>
          <w:sz w:val="24"/>
          <w14:textFill>
            <w14:solidFill>
              <w14:schemeClr w14:val="tx1"/>
            </w14:solidFill>
          </w14:textFill>
        </w:rPr>
      </w:pPr>
    </w:p>
    <w:p w14:paraId="7F676C46">
      <w:pPr>
        <w:spacing w:line="360" w:lineRule="auto"/>
        <w:outlineLvl w:val="2"/>
        <w:rPr>
          <w:rFonts w:ascii="宋体" w:hAnsi="宋体"/>
          <w:color w:val="000000" w:themeColor="text1"/>
          <w:sz w:val="24"/>
          <w14:textFill>
            <w14:solidFill>
              <w14:schemeClr w14:val="tx1"/>
            </w14:solidFill>
          </w14:textFill>
        </w:rPr>
      </w:pPr>
    </w:p>
    <w:p w14:paraId="1306E87E">
      <w:pPr>
        <w:spacing w:line="360" w:lineRule="auto"/>
        <w:outlineLvl w:val="2"/>
        <w:rPr>
          <w:rFonts w:ascii="宋体" w:hAnsi="宋体"/>
          <w:color w:val="000000" w:themeColor="text1"/>
          <w:sz w:val="24"/>
          <w14:textFill>
            <w14:solidFill>
              <w14:schemeClr w14:val="tx1"/>
            </w14:solidFill>
          </w14:textFill>
        </w:rPr>
      </w:pPr>
    </w:p>
    <w:p w14:paraId="2FDBC164">
      <w:pPr>
        <w:spacing w:line="360" w:lineRule="auto"/>
        <w:outlineLvl w:val="2"/>
        <w:rPr>
          <w:rFonts w:ascii="宋体" w:hAnsi="宋体"/>
          <w:color w:val="000000" w:themeColor="text1"/>
          <w:sz w:val="24"/>
          <w14:textFill>
            <w14:solidFill>
              <w14:schemeClr w14:val="tx1"/>
            </w14:solidFill>
          </w14:textFill>
        </w:rPr>
      </w:pPr>
    </w:p>
    <w:p w14:paraId="2A011737">
      <w:pPr>
        <w:spacing w:line="360" w:lineRule="auto"/>
        <w:outlineLvl w:val="2"/>
        <w:rPr>
          <w:rFonts w:ascii="宋体" w:hAnsi="宋体"/>
          <w:color w:val="000000" w:themeColor="text1"/>
          <w:sz w:val="24"/>
          <w14:textFill>
            <w14:solidFill>
              <w14:schemeClr w14:val="tx1"/>
            </w14:solidFill>
          </w14:textFill>
        </w:rPr>
      </w:pPr>
    </w:p>
    <w:p w14:paraId="56B183C4">
      <w:pPr>
        <w:spacing w:line="360" w:lineRule="auto"/>
        <w:outlineLvl w:val="2"/>
        <w:rPr>
          <w:rFonts w:ascii="宋体" w:hAnsi="宋体"/>
          <w:color w:val="000000" w:themeColor="text1"/>
          <w:sz w:val="24"/>
          <w14:textFill>
            <w14:solidFill>
              <w14:schemeClr w14:val="tx1"/>
            </w14:solidFill>
          </w14:textFill>
        </w:rPr>
      </w:pPr>
    </w:p>
    <w:p w14:paraId="6BCACB73">
      <w:pPr>
        <w:spacing w:line="360" w:lineRule="auto"/>
        <w:outlineLvl w:val="2"/>
        <w:rPr>
          <w:rFonts w:ascii="宋体" w:hAnsi="宋体"/>
          <w:color w:val="000000" w:themeColor="text1"/>
          <w:sz w:val="24"/>
          <w14:textFill>
            <w14:solidFill>
              <w14:schemeClr w14:val="tx1"/>
            </w14:solidFill>
          </w14:textFill>
        </w:rPr>
      </w:pPr>
    </w:p>
    <w:p w14:paraId="1D4F1670">
      <w:pPr>
        <w:spacing w:line="360" w:lineRule="auto"/>
        <w:outlineLvl w:val="2"/>
        <w:rPr>
          <w:rFonts w:ascii="宋体" w:hAnsi="宋体"/>
          <w:color w:val="000000" w:themeColor="text1"/>
          <w:sz w:val="24"/>
          <w14:textFill>
            <w14:solidFill>
              <w14:schemeClr w14:val="tx1"/>
            </w14:solidFill>
          </w14:textFill>
        </w:rPr>
      </w:pPr>
    </w:p>
    <w:p w14:paraId="038E56BF">
      <w:pPr>
        <w:spacing w:line="360" w:lineRule="auto"/>
        <w:outlineLvl w:val="2"/>
        <w:rPr>
          <w:rFonts w:ascii="宋体" w:hAnsi="宋体"/>
          <w:color w:val="000000" w:themeColor="text1"/>
          <w:sz w:val="24"/>
          <w14:textFill>
            <w14:solidFill>
              <w14:schemeClr w14:val="tx1"/>
            </w14:solidFill>
          </w14:textFill>
        </w:rPr>
      </w:pPr>
    </w:p>
    <w:p w14:paraId="626EE3CB">
      <w:pPr>
        <w:spacing w:line="360" w:lineRule="auto"/>
        <w:outlineLvl w:val="2"/>
        <w:rPr>
          <w:rFonts w:ascii="宋体" w:hAnsi="宋体"/>
          <w:color w:val="000000" w:themeColor="text1"/>
          <w:sz w:val="24"/>
          <w14:textFill>
            <w14:solidFill>
              <w14:schemeClr w14:val="tx1"/>
            </w14:solidFill>
          </w14:textFill>
        </w:rPr>
      </w:pPr>
    </w:p>
    <w:p w14:paraId="40F01005">
      <w:pPr>
        <w:spacing w:line="360" w:lineRule="auto"/>
        <w:outlineLvl w:val="2"/>
        <w:rPr>
          <w:rFonts w:ascii="宋体" w:hAnsi="宋体"/>
          <w:color w:val="000000" w:themeColor="text1"/>
          <w:sz w:val="24"/>
          <w14:textFill>
            <w14:solidFill>
              <w14:schemeClr w14:val="tx1"/>
            </w14:solidFill>
          </w14:textFill>
        </w:rPr>
      </w:pPr>
    </w:p>
    <w:p w14:paraId="06767F43">
      <w:pPr>
        <w:spacing w:line="360" w:lineRule="auto"/>
        <w:outlineLvl w:val="2"/>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w:t>
      </w: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拟派本项目团队成员一览表</w:t>
      </w:r>
    </w:p>
    <w:p w14:paraId="50F0B53C">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拟派本项目团队成员一览表</w:t>
      </w:r>
    </w:p>
    <w:p w14:paraId="29588248">
      <w:pPr>
        <w:spacing w:line="360" w:lineRule="auto"/>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项目编号： </w:t>
      </w:r>
    </w:p>
    <w:tbl>
      <w:tblPr>
        <w:tblStyle w:val="47"/>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764"/>
        <w:gridCol w:w="945"/>
        <w:gridCol w:w="945"/>
        <w:gridCol w:w="945"/>
        <w:gridCol w:w="945"/>
        <w:gridCol w:w="945"/>
        <w:gridCol w:w="945"/>
        <w:gridCol w:w="945"/>
        <w:gridCol w:w="945"/>
        <w:gridCol w:w="945"/>
      </w:tblGrid>
      <w:tr w14:paraId="7DABA38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20258435">
            <w:pPr>
              <w:spacing w:line="360" w:lineRule="auto"/>
              <w:contextualSpacing/>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序号</w:t>
            </w:r>
          </w:p>
        </w:tc>
        <w:tc>
          <w:tcPr>
            <w:tcW w:w="945" w:type="dxa"/>
            <w:tcBorders>
              <w:top w:val="single" w:color="000000" w:sz="4" w:space="0"/>
              <w:left w:val="single" w:color="000000" w:sz="4" w:space="0"/>
              <w:bottom w:val="single" w:color="000000" w:sz="4" w:space="0"/>
              <w:right w:val="single" w:color="000000" w:sz="4" w:space="0"/>
            </w:tcBorders>
            <w:vAlign w:val="center"/>
          </w:tcPr>
          <w:p w14:paraId="02BB20B9">
            <w:pPr>
              <w:spacing w:line="360" w:lineRule="auto"/>
              <w:contextualSpacing/>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姓名</w:t>
            </w:r>
          </w:p>
        </w:tc>
        <w:tc>
          <w:tcPr>
            <w:tcW w:w="945" w:type="dxa"/>
            <w:tcBorders>
              <w:top w:val="single" w:color="000000" w:sz="4" w:space="0"/>
              <w:left w:val="single" w:color="000000" w:sz="4" w:space="0"/>
              <w:bottom w:val="single" w:color="000000" w:sz="4" w:space="0"/>
              <w:right w:val="single" w:color="000000" w:sz="4" w:space="0"/>
            </w:tcBorders>
            <w:vAlign w:val="center"/>
          </w:tcPr>
          <w:p w14:paraId="20092234">
            <w:pPr>
              <w:spacing w:line="360" w:lineRule="auto"/>
              <w:contextualSpacing/>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性别</w:t>
            </w:r>
          </w:p>
        </w:tc>
        <w:tc>
          <w:tcPr>
            <w:tcW w:w="945" w:type="dxa"/>
            <w:tcBorders>
              <w:top w:val="single" w:color="000000" w:sz="4" w:space="0"/>
              <w:left w:val="single" w:color="000000" w:sz="4" w:space="0"/>
              <w:bottom w:val="single" w:color="000000" w:sz="4" w:space="0"/>
              <w:right w:val="single" w:color="000000" w:sz="4" w:space="0"/>
            </w:tcBorders>
            <w:vAlign w:val="center"/>
          </w:tcPr>
          <w:p w14:paraId="13586089">
            <w:pPr>
              <w:spacing w:line="360" w:lineRule="auto"/>
              <w:contextualSpacing/>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年龄</w:t>
            </w:r>
          </w:p>
        </w:tc>
        <w:tc>
          <w:tcPr>
            <w:tcW w:w="945" w:type="dxa"/>
            <w:tcBorders>
              <w:top w:val="single" w:color="000000" w:sz="4" w:space="0"/>
              <w:left w:val="single" w:color="000000" w:sz="4" w:space="0"/>
              <w:bottom w:val="single" w:color="000000" w:sz="4" w:space="0"/>
              <w:right w:val="single" w:color="000000" w:sz="4" w:space="0"/>
            </w:tcBorders>
            <w:vAlign w:val="center"/>
          </w:tcPr>
          <w:p w14:paraId="58184E87">
            <w:pPr>
              <w:spacing w:line="360" w:lineRule="auto"/>
              <w:contextualSpacing/>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毕业学校和学历</w:t>
            </w:r>
          </w:p>
        </w:tc>
        <w:tc>
          <w:tcPr>
            <w:tcW w:w="945" w:type="dxa"/>
            <w:tcBorders>
              <w:top w:val="single" w:color="000000" w:sz="4" w:space="0"/>
              <w:left w:val="single" w:color="000000" w:sz="4" w:space="0"/>
              <w:bottom w:val="single" w:color="000000" w:sz="4" w:space="0"/>
              <w:right w:val="single" w:color="000000" w:sz="4" w:space="0"/>
            </w:tcBorders>
            <w:vAlign w:val="center"/>
          </w:tcPr>
          <w:p w14:paraId="3A8DD86A">
            <w:pPr>
              <w:spacing w:line="360" w:lineRule="auto"/>
              <w:contextualSpacing/>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专业</w:t>
            </w:r>
          </w:p>
        </w:tc>
        <w:tc>
          <w:tcPr>
            <w:tcW w:w="945" w:type="dxa"/>
            <w:tcBorders>
              <w:top w:val="single" w:color="000000" w:sz="4" w:space="0"/>
              <w:left w:val="single" w:color="000000" w:sz="4" w:space="0"/>
              <w:bottom w:val="single" w:color="000000" w:sz="4" w:space="0"/>
              <w:right w:val="single" w:color="000000" w:sz="4" w:space="0"/>
            </w:tcBorders>
            <w:vAlign w:val="center"/>
          </w:tcPr>
          <w:p w14:paraId="16881747">
            <w:pPr>
              <w:spacing w:line="360" w:lineRule="auto"/>
              <w:contextualSpacing/>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职称</w:t>
            </w:r>
          </w:p>
        </w:tc>
        <w:tc>
          <w:tcPr>
            <w:tcW w:w="945" w:type="dxa"/>
            <w:tcBorders>
              <w:top w:val="single" w:color="000000" w:sz="4" w:space="0"/>
              <w:left w:val="single" w:color="000000" w:sz="4" w:space="0"/>
              <w:bottom w:val="single" w:color="000000" w:sz="4" w:space="0"/>
              <w:right w:val="single" w:color="000000" w:sz="4" w:space="0"/>
            </w:tcBorders>
            <w:vAlign w:val="center"/>
          </w:tcPr>
          <w:p w14:paraId="5616FA8F">
            <w:pPr>
              <w:spacing w:line="360" w:lineRule="auto"/>
              <w:contextualSpacing/>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专业培训及证书</w:t>
            </w:r>
          </w:p>
        </w:tc>
        <w:tc>
          <w:tcPr>
            <w:tcW w:w="945" w:type="dxa"/>
            <w:tcBorders>
              <w:top w:val="single" w:color="000000" w:sz="4" w:space="0"/>
              <w:left w:val="single" w:color="000000" w:sz="4" w:space="0"/>
              <w:bottom w:val="single" w:color="000000" w:sz="4" w:space="0"/>
              <w:right w:val="single" w:color="000000" w:sz="4" w:space="0"/>
            </w:tcBorders>
            <w:vAlign w:val="center"/>
          </w:tcPr>
          <w:p w14:paraId="6211A1CA">
            <w:pPr>
              <w:spacing w:line="360" w:lineRule="auto"/>
              <w:contextualSpacing/>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责任</w:t>
            </w:r>
          </w:p>
          <w:p w14:paraId="70970F00">
            <w:pPr>
              <w:spacing w:line="360" w:lineRule="auto"/>
              <w:contextualSpacing/>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或分工</w:t>
            </w:r>
          </w:p>
        </w:tc>
        <w:tc>
          <w:tcPr>
            <w:tcW w:w="945" w:type="dxa"/>
            <w:tcBorders>
              <w:top w:val="single" w:color="000000" w:sz="4" w:space="0"/>
              <w:left w:val="single" w:color="000000" w:sz="4" w:space="0"/>
              <w:bottom w:val="single" w:color="000000" w:sz="4" w:space="0"/>
              <w:right w:val="single" w:color="000000" w:sz="4" w:space="0"/>
            </w:tcBorders>
            <w:vAlign w:val="center"/>
          </w:tcPr>
          <w:p w14:paraId="392D9CEC">
            <w:pPr>
              <w:spacing w:line="360" w:lineRule="auto"/>
              <w:contextualSpacing/>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项目经历或主要工作</w:t>
            </w:r>
          </w:p>
          <w:p w14:paraId="5FCCD83E">
            <w:pPr>
              <w:spacing w:line="360" w:lineRule="auto"/>
              <w:contextualSpacing/>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业绩</w:t>
            </w:r>
          </w:p>
        </w:tc>
      </w:tr>
      <w:tr w14:paraId="4FC25AE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5FF1FD93">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199F812C">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00F4001D">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D6368A2">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4314482B">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3A7834C3">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6B27B02B">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691CAA1E">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48439221">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AD867B9">
            <w:pPr>
              <w:spacing w:line="360" w:lineRule="auto"/>
              <w:contextualSpacing/>
              <w:jc w:val="center"/>
              <w:rPr>
                <w:rFonts w:ascii="宋体" w:hAnsi="宋体"/>
                <w:bCs/>
                <w:color w:val="000000" w:themeColor="text1"/>
                <w:sz w:val="24"/>
                <w14:textFill>
                  <w14:solidFill>
                    <w14:schemeClr w14:val="tx1"/>
                  </w14:solidFill>
                </w14:textFill>
              </w:rPr>
            </w:pPr>
          </w:p>
        </w:tc>
      </w:tr>
      <w:tr w14:paraId="252BFC7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07763BE3">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1AF5917E">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432CA645">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2E31E72A">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CFD8C9A">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40A3401C">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118E8654">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2CFA6B8F">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1E3CED5B">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3375D880">
            <w:pPr>
              <w:spacing w:line="360" w:lineRule="auto"/>
              <w:contextualSpacing/>
              <w:jc w:val="center"/>
              <w:rPr>
                <w:rFonts w:ascii="宋体" w:hAnsi="宋体"/>
                <w:bCs/>
                <w:color w:val="000000" w:themeColor="text1"/>
                <w:sz w:val="24"/>
                <w14:textFill>
                  <w14:solidFill>
                    <w14:schemeClr w14:val="tx1"/>
                  </w14:solidFill>
                </w14:textFill>
              </w:rPr>
            </w:pPr>
          </w:p>
        </w:tc>
      </w:tr>
      <w:tr w14:paraId="3750196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24205A05">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23FA3E1">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049A050D">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45D3FCC">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494AC8A4">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4592581D">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01B37B92">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5FBB639">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0CDDB67F">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3E7532E8">
            <w:pPr>
              <w:spacing w:line="360" w:lineRule="auto"/>
              <w:contextualSpacing/>
              <w:jc w:val="center"/>
              <w:rPr>
                <w:rFonts w:ascii="宋体" w:hAnsi="宋体"/>
                <w:bCs/>
                <w:color w:val="000000" w:themeColor="text1"/>
                <w:sz w:val="24"/>
                <w14:textFill>
                  <w14:solidFill>
                    <w14:schemeClr w14:val="tx1"/>
                  </w14:solidFill>
                </w14:textFill>
              </w:rPr>
            </w:pPr>
          </w:p>
        </w:tc>
      </w:tr>
      <w:tr w14:paraId="2AD7358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73673CA3">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277E8C63">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11EBA152">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6AAD3AF5">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4C91E445">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56480B5">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583209A">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19166383">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821501D">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2C5CC605">
            <w:pPr>
              <w:spacing w:line="360" w:lineRule="auto"/>
              <w:contextualSpacing/>
              <w:jc w:val="center"/>
              <w:rPr>
                <w:rFonts w:ascii="宋体" w:hAnsi="宋体"/>
                <w:bCs/>
                <w:color w:val="000000" w:themeColor="text1"/>
                <w:sz w:val="24"/>
                <w14:textFill>
                  <w14:solidFill>
                    <w14:schemeClr w14:val="tx1"/>
                  </w14:solidFill>
                </w14:textFill>
              </w:rPr>
            </w:pPr>
          </w:p>
        </w:tc>
      </w:tr>
      <w:tr w14:paraId="2314A7B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4B10B560">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1992FD0">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2B03EFEE">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016BA4B7">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959BEEA">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20653AAB">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05269CD6">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34AA12E3">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6D0DB759">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A54FE22">
            <w:pPr>
              <w:spacing w:line="360" w:lineRule="auto"/>
              <w:contextualSpacing/>
              <w:jc w:val="center"/>
              <w:rPr>
                <w:rFonts w:ascii="宋体" w:hAnsi="宋体"/>
                <w:bCs/>
                <w:color w:val="000000" w:themeColor="text1"/>
                <w:sz w:val="24"/>
                <w14:textFill>
                  <w14:solidFill>
                    <w14:schemeClr w14:val="tx1"/>
                  </w14:solidFill>
                </w14:textFill>
              </w:rPr>
            </w:pPr>
          </w:p>
        </w:tc>
      </w:tr>
      <w:tr w14:paraId="0650C5A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73A59336">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890CBA4">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06B8A50">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A199C0D">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306FB0EF">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1A547A19">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127B69D5">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0921C5F5">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9298A15">
            <w:pPr>
              <w:spacing w:line="360" w:lineRule="auto"/>
              <w:contextualSpacing/>
              <w:jc w:val="center"/>
              <w:rPr>
                <w:rFonts w:ascii="宋体" w:hAnsi="宋体"/>
                <w:bCs/>
                <w:color w:val="000000" w:themeColor="text1"/>
                <w:sz w:val="24"/>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6EE81926">
            <w:pPr>
              <w:spacing w:line="360" w:lineRule="auto"/>
              <w:contextualSpacing/>
              <w:jc w:val="center"/>
              <w:rPr>
                <w:rFonts w:ascii="宋体" w:hAnsi="宋体"/>
                <w:bCs/>
                <w:color w:val="000000" w:themeColor="text1"/>
                <w:sz w:val="24"/>
                <w14:textFill>
                  <w14:solidFill>
                    <w14:schemeClr w14:val="tx1"/>
                  </w14:solidFill>
                </w14:textFill>
              </w:rPr>
            </w:pPr>
          </w:p>
        </w:tc>
      </w:tr>
    </w:tbl>
    <w:p w14:paraId="5CD575F4">
      <w:pPr>
        <w:spacing w:line="360" w:lineRule="auto"/>
        <w:ind w:firstLine="480"/>
        <w:contextualSpacing/>
        <w:rPr>
          <w:rFonts w:ascii="宋体" w:hAnsi="宋体"/>
          <w:bCs/>
          <w:color w:val="000000" w:themeColor="text1"/>
          <w:sz w:val="24"/>
          <w14:textFill>
            <w14:solidFill>
              <w14:schemeClr w14:val="tx1"/>
            </w14:solidFill>
          </w14:textFill>
        </w:rPr>
      </w:pPr>
    </w:p>
    <w:p w14:paraId="445AB8A2">
      <w:pPr>
        <w:spacing w:line="360" w:lineRule="auto"/>
        <w:contextualSpacing/>
        <w:rPr>
          <w:rFonts w:ascii="宋体" w:hAnsi="宋体"/>
          <w:bCs/>
          <w:color w:val="000000" w:themeColor="text1"/>
          <w:sz w:val="24"/>
          <w14:textFill>
            <w14:solidFill>
              <w14:schemeClr w14:val="tx1"/>
            </w14:solidFill>
          </w14:textFill>
        </w:rPr>
      </w:pPr>
    </w:p>
    <w:p w14:paraId="732C2D34">
      <w:pPr>
        <w:spacing w:line="360" w:lineRule="auto"/>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供应商名称</w:t>
      </w:r>
      <w:r>
        <w:rPr>
          <w:rFonts w:hint="eastAsia" w:ascii="宋体" w:hAnsi="宋体" w:cs="宋体"/>
          <w:color w:val="000000" w:themeColor="text1"/>
          <w:spacing w:val="8"/>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加盖CA电子公章</w:t>
      </w:r>
      <w:r>
        <w:rPr>
          <w:rFonts w:hint="eastAsia" w:ascii="宋体" w:hAnsi="宋体" w:cs="宋体"/>
          <w:color w:val="000000" w:themeColor="text1"/>
          <w:spacing w:val="8"/>
          <w:sz w:val="24"/>
          <w:szCs w:val="24"/>
          <w14:textFill>
            <w14:solidFill>
              <w14:schemeClr w14:val="tx1"/>
            </w14:solidFill>
          </w14:textFill>
        </w:rPr>
        <w:t>）</w:t>
      </w:r>
      <w:r>
        <w:rPr>
          <w:rFonts w:ascii="宋体" w:hAnsi="宋体"/>
          <w:bCs/>
          <w:color w:val="000000" w:themeColor="text1"/>
          <w:sz w:val="24"/>
          <w14:textFill>
            <w14:solidFill>
              <w14:schemeClr w14:val="tx1"/>
            </w14:solidFill>
          </w14:textFill>
        </w:rPr>
        <w:t>：    ____________</w:t>
      </w:r>
    </w:p>
    <w:p w14:paraId="14C9AC9D">
      <w:pPr>
        <w:spacing w:line="360" w:lineRule="auto"/>
        <w:contextualSpacing/>
        <w:rPr>
          <w:rFonts w:ascii="宋体" w:hAnsi="宋体"/>
          <w:bCs/>
          <w:color w:val="000000" w:themeColor="text1"/>
          <w:sz w:val="24"/>
          <w14:textFill>
            <w14:solidFill>
              <w14:schemeClr w14:val="tx1"/>
            </w14:solidFill>
          </w14:textFill>
        </w:rPr>
      </w:pPr>
      <w:r>
        <w:rPr>
          <w:color w:val="000000" w:themeColor="text1"/>
          <w:sz w:val="24"/>
          <w:szCs w:val="20"/>
          <w14:textFill>
            <w14:solidFill>
              <w14:schemeClr w14:val="tx1"/>
            </w14:solidFill>
          </w14:textFill>
        </w:rPr>
        <w:t>日期：</w:t>
      </w:r>
      <w:r>
        <w:rPr>
          <w:rFonts w:hint="eastAsia"/>
          <w:color w:val="000000" w:themeColor="text1"/>
          <w:sz w:val="24"/>
          <w:szCs w:val="20"/>
          <w14:textFill>
            <w14:solidFill>
              <w14:schemeClr w14:val="tx1"/>
            </w14:solidFill>
          </w14:textFill>
        </w:rPr>
        <w:t xml:space="preserve"> </w:t>
      </w:r>
      <w:r>
        <w:rPr>
          <w:color w:val="000000" w:themeColor="text1"/>
          <w:sz w:val="24"/>
          <w:szCs w:val="20"/>
          <w14:textFill>
            <w14:solidFill>
              <w14:schemeClr w14:val="tx1"/>
            </w14:solidFill>
          </w14:textFill>
        </w:rPr>
        <w:t xml:space="preserve">  年</w:t>
      </w:r>
      <w:r>
        <w:rPr>
          <w:rFonts w:hint="eastAsia"/>
          <w:color w:val="000000" w:themeColor="text1"/>
          <w:sz w:val="24"/>
          <w:szCs w:val="20"/>
          <w14:textFill>
            <w14:solidFill>
              <w14:schemeClr w14:val="tx1"/>
            </w14:solidFill>
          </w14:textFill>
        </w:rPr>
        <w:t xml:space="preserve"> </w:t>
      </w:r>
      <w:r>
        <w:rPr>
          <w:color w:val="000000" w:themeColor="text1"/>
          <w:sz w:val="24"/>
          <w:szCs w:val="20"/>
          <w14:textFill>
            <w14:solidFill>
              <w14:schemeClr w14:val="tx1"/>
            </w14:solidFill>
          </w14:textFill>
        </w:rPr>
        <w:t xml:space="preserve">  月</w:t>
      </w:r>
      <w:r>
        <w:rPr>
          <w:rFonts w:hint="eastAsia"/>
          <w:color w:val="000000" w:themeColor="text1"/>
          <w:sz w:val="24"/>
          <w:szCs w:val="20"/>
          <w14:textFill>
            <w14:solidFill>
              <w14:schemeClr w14:val="tx1"/>
            </w14:solidFill>
          </w14:textFill>
        </w:rPr>
        <w:t xml:space="preserve"> </w:t>
      </w:r>
      <w:r>
        <w:rPr>
          <w:color w:val="000000" w:themeColor="text1"/>
          <w:sz w:val="24"/>
          <w:szCs w:val="20"/>
          <w14:textFill>
            <w14:solidFill>
              <w14:schemeClr w14:val="tx1"/>
            </w14:solidFill>
          </w14:textFill>
        </w:rPr>
        <w:t xml:space="preserve">   日</w:t>
      </w:r>
      <w:r>
        <w:rPr>
          <w:rFonts w:ascii="宋体" w:hAnsi="宋体"/>
          <w:bCs/>
          <w:color w:val="000000" w:themeColor="text1"/>
          <w:sz w:val="24"/>
          <w14:textFill>
            <w14:solidFill>
              <w14:schemeClr w14:val="tx1"/>
            </w14:solidFill>
          </w14:textFill>
        </w:rPr>
        <w:t xml:space="preserve">  </w:t>
      </w:r>
      <w:bookmarkStart w:id="655" w:name="_Toc288738839"/>
      <w:bookmarkStart w:id="656" w:name="_Toc288738397"/>
    </w:p>
    <w:p w14:paraId="28AAF4AD">
      <w:pPr>
        <w:spacing w:line="360" w:lineRule="auto"/>
        <w:outlineLvl w:val="2"/>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br w:type="page" w:clear="all"/>
      </w:r>
      <w:r>
        <w:rPr>
          <w:rFonts w:hint="eastAsia" w:ascii="宋体" w:hAnsi="宋体"/>
          <w:color w:val="000000" w:themeColor="text1"/>
          <w:sz w:val="24"/>
          <w14:textFill>
            <w14:solidFill>
              <w14:schemeClr w14:val="tx1"/>
            </w14:solidFill>
          </w14:textFill>
        </w:rPr>
        <w:t>1</w:t>
      </w: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 xml:space="preserve"> 相关业绩案例一览表</w:t>
      </w:r>
    </w:p>
    <w:p w14:paraId="7BF080B7">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相关业绩案例一览表</w:t>
      </w:r>
      <w:bookmarkEnd w:id="655"/>
      <w:bookmarkEnd w:id="656"/>
    </w:p>
    <w:p w14:paraId="6FD701DD">
      <w:pPr>
        <w:spacing w:line="360" w:lineRule="auto"/>
        <w:contextualSpacing/>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项目编号：                   </w:t>
      </w:r>
    </w:p>
    <w:tbl>
      <w:tblPr>
        <w:tblStyle w:val="47"/>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2449F8A1">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33DA67C8">
            <w:pPr>
              <w:spacing w:line="360" w:lineRule="auto"/>
              <w:contextualSpacing/>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14:paraId="151B6B6A">
            <w:pPr>
              <w:spacing w:line="360" w:lineRule="auto"/>
              <w:contextualSpacing/>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14:paraId="3D7AA1EF">
            <w:pPr>
              <w:spacing w:line="360" w:lineRule="auto"/>
              <w:contextualSpacing/>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14:paraId="0FE977AF">
            <w:pPr>
              <w:spacing w:line="360" w:lineRule="auto"/>
              <w:contextualSpacing/>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14:paraId="158101B2">
            <w:pPr>
              <w:spacing w:line="360" w:lineRule="auto"/>
              <w:contextualSpacing/>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14:paraId="2F293ED1">
            <w:pPr>
              <w:spacing w:line="360" w:lineRule="auto"/>
              <w:contextualSpacing/>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联系电话</w:t>
            </w:r>
          </w:p>
        </w:tc>
      </w:tr>
      <w:tr w14:paraId="1A243D7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38A44F66">
            <w:pPr>
              <w:spacing w:line="360" w:lineRule="auto"/>
              <w:contextualSpacing/>
              <w:jc w:val="center"/>
              <w:rPr>
                <w:rFonts w:ascii="宋体" w:hAnsi="宋体"/>
                <w:bCs/>
                <w:color w:val="000000" w:themeColor="text1"/>
                <w:sz w:val="24"/>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3E5B5070">
            <w:pPr>
              <w:spacing w:line="360" w:lineRule="auto"/>
              <w:contextualSpacing/>
              <w:jc w:val="center"/>
              <w:rPr>
                <w:rFonts w:ascii="宋体" w:hAnsi="宋体"/>
                <w:bCs/>
                <w:color w:val="000000" w:themeColor="text1"/>
                <w:sz w:val="24"/>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69D28BFC">
            <w:pPr>
              <w:spacing w:line="360" w:lineRule="auto"/>
              <w:contextualSpacing/>
              <w:jc w:val="center"/>
              <w:rPr>
                <w:rFonts w:ascii="宋体" w:hAnsi="宋体"/>
                <w:bCs/>
                <w:color w:val="000000" w:themeColor="text1"/>
                <w:sz w:val="24"/>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5097D959">
            <w:pPr>
              <w:spacing w:line="360" w:lineRule="auto"/>
              <w:contextualSpacing/>
              <w:jc w:val="center"/>
              <w:rPr>
                <w:rFonts w:ascii="宋体" w:hAnsi="宋体"/>
                <w:bCs/>
                <w:color w:val="000000" w:themeColor="text1"/>
                <w:sz w:val="24"/>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0C0F172C">
            <w:pPr>
              <w:spacing w:line="360" w:lineRule="auto"/>
              <w:contextualSpacing/>
              <w:jc w:val="center"/>
              <w:rPr>
                <w:rFonts w:ascii="宋体" w:hAnsi="宋体"/>
                <w:bCs/>
                <w:color w:val="000000" w:themeColor="text1"/>
                <w:sz w:val="24"/>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37EE8B0C">
            <w:pPr>
              <w:spacing w:line="360" w:lineRule="auto"/>
              <w:contextualSpacing/>
              <w:jc w:val="center"/>
              <w:rPr>
                <w:rFonts w:ascii="宋体" w:hAnsi="宋体"/>
                <w:bCs/>
                <w:color w:val="000000" w:themeColor="text1"/>
                <w:sz w:val="24"/>
                <w14:textFill>
                  <w14:solidFill>
                    <w14:schemeClr w14:val="tx1"/>
                  </w14:solidFill>
                </w14:textFill>
              </w:rPr>
            </w:pPr>
          </w:p>
        </w:tc>
      </w:tr>
      <w:tr w14:paraId="3F65B6E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42B58F5B">
            <w:pPr>
              <w:spacing w:line="360" w:lineRule="auto"/>
              <w:contextualSpacing/>
              <w:jc w:val="center"/>
              <w:rPr>
                <w:rFonts w:ascii="宋体" w:hAnsi="宋体"/>
                <w:bCs/>
                <w:color w:val="000000" w:themeColor="text1"/>
                <w:sz w:val="24"/>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294818E7">
            <w:pPr>
              <w:spacing w:line="360" w:lineRule="auto"/>
              <w:contextualSpacing/>
              <w:jc w:val="center"/>
              <w:rPr>
                <w:rFonts w:ascii="宋体" w:hAnsi="宋体"/>
                <w:bCs/>
                <w:color w:val="000000" w:themeColor="text1"/>
                <w:sz w:val="24"/>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24B1B3B9">
            <w:pPr>
              <w:spacing w:line="360" w:lineRule="auto"/>
              <w:contextualSpacing/>
              <w:jc w:val="center"/>
              <w:rPr>
                <w:rFonts w:ascii="宋体" w:hAnsi="宋体"/>
                <w:bCs/>
                <w:color w:val="000000" w:themeColor="text1"/>
                <w:sz w:val="24"/>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0BCDCF13">
            <w:pPr>
              <w:spacing w:line="360" w:lineRule="auto"/>
              <w:contextualSpacing/>
              <w:jc w:val="center"/>
              <w:rPr>
                <w:rFonts w:ascii="宋体" w:hAnsi="宋体"/>
                <w:bCs/>
                <w:color w:val="000000" w:themeColor="text1"/>
                <w:sz w:val="24"/>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7DDA673C">
            <w:pPr>
              <w:spacing w:line="360" w:lineRule="auto"/>
              <w:contextualSpacing/>
              <w:jc w:val="center"/>
              <w:rPr>
                <w:rFonts w:ascii="宋体" w:hAnsi="宋体"/>
                <w:bCs/>
                <w:color w:val="000000" w:themeColor="text1"/>
                <w:sz w:val="24"/>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4EDE6D32">
            <w:pPr>
              <w:spacing w:line="360" w:lineRule="auto"/>
              <w:contextualSpacing/>
              <w:jc w:val="center"/>
              <w:rPr>
                <w:rFonts w:ascii="宋体" w:hAnsi="宋体"/>
                <w:bCs/>
                <w:color w:val="000000" w:themeColor="text1"/>
                <w:sz w:val="24"/>
                <w14:textFill>
                  <w14:solidFill>
                    <w14:schemeClr w14:val="tx1"/>
                  </w14:solidFill>
                </w14:textFill>
              </w:rPr>
            </w:pPr>
          </w:p>
        </w:tc>
      </w:tr>
      <w:tr w14:paraId="59FF7C9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09104FF9">
            <w:pPr>
              <w:spacing w:line="360" w:lineRule="auto"/>
              <w:contextualSpacing/>
              <w:jc w:val="center"/>
              <w:rPr>
                <w:rFonts w:ascii="宋体" w:hAnsi="宋体"/>
                <w:bCs/>
                <w:color w:val="000000" w:themeColor="text1"/>
                <w:sz w:val="24"/>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514CCBC3">
            <w:pPr>
              <w:spacing w:line="360" w:lineRule="auto"/>
              <w:contextualSpacing/>
              <w:jc w:val="center"/>
              <w:rPr>
                <w:rFonts w:ascii="宋体" w:hAnsi="宋体"/>
                <w:bCs/>
                <w:color w:val="000000" w:themeColor="text1"/>
                <w:sz w:val="24"/>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35DE9B6B">
            <w:pPr>
              <w:spacing w:line="360" w:lineRule="auto"/>
              <w:contextualSpacing/>
              <w:jc w:val="center"/>
              <w:rPr>
                <w:rFonts w:ascii="宋体" w:hAnsi="宋体"/>
                <w:bCs/>
                <w:color w:val="000000" w:themeColor="text1"/>
                <w:sz w:val="24"/>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0515B12A">
            <w:pPr>
              <w:spacing w:line="360" w:lineRule="auto"/>
              <w:contextualSpacing/>
              <w:jc w:val="center"/>
              <w:rPr>
                <w:rFonts w:ascii="宋体" w:hAnsi="宋体"/>
                <w:bCs/>
                <w:color w:val="000000" w:themeColor="text1"/>
                <w:sz w:val="24"/>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72FF5348">
            <w:pPr>
              <w:spacing w:line="360" w:lineRule="auto"/>
              <w:contextualSpacing/>
              <w:jc w:val="center"/>
              <w:rPr>
                <w:rFonts w:ascii="宋体" w:hAnsi="宋体"/>
                <w:bCs/>
                <w:color w:val="000000" w:themeColor="text1"/>
                <w:sz w:val="24"/>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63EB950D">
            <w:pPr>
              <w:spacing w:line="360" w:lineRule="auto"/>
              <w:contextualSpacing/>
              <w:jc w:val="center"/>
              <w:rPr>
                <w:rFonts w:ascii="宋体" w:hAnsi="宋体"/>
                <w:bCs/>
                <w:color w:val="000000" w:themeColor="text1"/>
                <w:sz w:val="24"/>
                <w14:textFill>
                  <w14:solidFill>
                    <w14:schemeClr w14:val="tx1"/>
                  </w14:solidFill>
                </w14:textFill>
              </w:rPr>
            </w:pPr>
          </w:p>
        </w:tc>
      </w:tr>
      <w:tr w14:paraId="692E48A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163ADC39">
            <w:pPr>
              <w:spacing w:line="360" w:lineRule="auto"/>
              <w:contextualSpacing/>
              <w:jc w:val="center"/>
              <w:rPr>
                <w:rFonts w:ascii="宋体" w:hAnsi="宋体"/>
                <w:bCs/>
                <w:color w:val="000000" w:themeColor="text1"/>
                <w:sz w:val="24"/>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758CDB60">
            <w:pPr>
              <w:spacing w:line="360" w:lineRule="auto"/>
              <w:contextualSpacing/>
              <w:jc w:val="center"/>
              <w:rPr>
                <w:rFonts w:ascii="宋体" w:hAnsi="宋体"/>
                <w:bCs/>
                <w:color w:val="000000" w:themeColor="text1"/>
                <w:sz w:val="24"/>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465281D5">
            <w:pPr>
              <w:spacing w:line="360" w:lineRule="auto"/>
              <w:contextualSpacing/>
              <w:jc w:val="center"/>
              <w:rPr>
                <w:rFonts w:ascii="宋体" w:hAnsi="宋体"/>
                <w:bCs/>
                <w:color w:val="000000" w:themeColor="text1"/>
                <w:sz w:val="24"/>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5BA28874">
            <w:pPr>
              <w:spacing w:line="360" w:lineRule="auto"/>
              <w:contextualSpacing/>
              <w:jc w:val="center"/>
              <w:rPr>
                <w:rFonts w:ascii="宋体" w:hAnsi="宋体"/>
                <w:bCs/>
                <w:color w:val="000000" w:themeColor="text1"/>
                <w:sz w:val="24"/>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51D4AB5B">
            <w:pPr>
              <w:spacing w:line="360" w:lineRule="auto"/>
              <w:contextualSpacing/>
              <w:jc w:val="center"/>
              <w:rPr>
                <w:rFonts w:ascii="宋体" w:hAnsi="宋体"/>
                <w:bCs/>
                <w:color w:val="000000" w:themeColor="text1"/>
                <w:sz w:val="24"/>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3E9A264E">
            <w:pPr>
              <w:spacing w:line="360" w:lineRule="auto"/>
              <w:contextualSpacing/>
              <w:jc w:val="center"/>
              <w:rPr>
                <w:rFonts w:ascii="宋体" w:hAnsi="宋体"/>
                <w:bCs/>
                <w:color w:val="000000" w:themeColor="text1"/>
                <w:sz w:val="24"/>
                <w14:textFill>
                  <w14:solidFill>
                    <w14:schemeClr w14:val="tx1"/>
                  </w14:solidFill>
                </w14:textFill>
              </w:rPr>
            </w:pPr>
          </w:p>
        </w:tc>
      </w:tr>
      <w:tr w14:paraId="0066B4E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3F8F9713">
            <w:pPr>
              <w:spacing w:line="360" w:lineRule="auto"/>
              <w:contextualSpacing/>
              <w:jc w:val="center"/>
              <w:rPr>
                <w:rFonts w:ascii="宋体" w:hAnsi="宋体"/>
                <w:bCs/>
                <w:color w:val="000000" w:themeColor="text1"/>
                <w:sz w:val="24"/>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2BDA887A">
            <w:pPr>
              <w:spacing w:line="360" w:lineRule="auto"/>
              <w:contextualSpacing/>
              <w:jc w:val="center"/>
              <w:rPr>
                <w:rFonts w:ascii="宋体" w:hAnsi="宋体"/>
                <w:bCs/>
                <w:color w:val="000000" w:themeColor="text1"/>
                <w:sz w:val="24"/>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51EC31A9">
            <w:pPr>
              <w:spacing w:line="360" w:lineRule="auto"/>
              <w:contextualSpacing/>
              <w:jc w:val="center"/>
              <w:rPr>
                <w:rFonts w:ascii="宋体" w:hAnsi="宋体"/>
                <w:bCs/>
                <w:color w:val="000000" w:themeColor="text1"/>
                <w:sz w:val="24"/>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7FF4E72A">
            <w:pPr>
              <w:spacing w:line="360" w:lineRule="auto"/>
              <w:contextualSpacing/>
              <w:jc w:val="center"/>
              <w:rPr>
                <w:rFonts w:ascii="宋体" w:hAnsi="宋体"/>
                <w:bCs/>
                <w:color w:val="000000" w:themeColor="text1"/>
                <w:sz w:val="24"/>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29F88D35">
            <w:pPr>
              <w:spacing w:line="360" w:lineRule="auto"/>
              <w:contextualSpacing/>
              <w:jc w:val="center"/>
              <w:rPr>
                <w:rFonts w:ascii="宋体" w:hAnsi="宋体"/>
                <w:bCs/>
                <w:color w:val="000000" w:themeColor="text1"/>
                <w:sz w:val="24"/>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7EE1B484">
            <w:pPr>
              <w:spacing w:line="360" w:lineRule="auto"/>
              <w:contextualSpacing/>
              <w:jc w:val="center"/>
              <w:rPr>
                <w:rFonts w:ascii="宋体" w:hAnsi="宋体"/>
                <w:bCs/>
                <w:color w:val="000000" w:themeColor="text1"/>
                <w:sz w:val="24"/>
                <w14:textFill>
                  <w14:solidFill>
                    <w14:schemeClr w14:val="tx1"/>
                  </w14:solidFill>
                </w14:textFill>
              </w:rPr>
            </w:pPr>
          </w:p>
        </w:tc>
      </w:tr>
      <w:tr w14:paraId="680D308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63B35242">
            <w:pPr>
              <w:spacing w:line="360" w:lineRule="auto"/>
              <w:contextualSpacing/>
              <w:jc w:val="center"/>
              <w:rPr>
                <w:rFonts w:ascii="宋体" w:hAnsi="宋体"/>
                <w:bCs/>
                <w:color w:val="000000" w:themeColor="text1"/>
                <w:sz w:val="24"/>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599BA3C8">
            <w:pPr>
              <w:spacing w:line="360" w:lineRule="auto"/>
              <w:contextualSpacing/>
              <w:jc w:val="center"/>
              <w:rPr>
                <w:rFonts w:ascii="宋体" w:hAnsi="宋体"/>
                <w:bCs/>
                <w:color w:val="000000" w:themeColor="text1"/>
                <w:sz w:val="24"/>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0814B607">
            <w:pPr>
              <w:spacing w:line="360" w:lineRule="auto"/>
              <w:contextualSpacing/>
              <w:jc w:val="center"/>
              <w:rPr>
                <w:rFonts w:ascii="宋体" w:hAnsi="宋体"/>
                <w:bCs/>
                <w:color w:val="000000" w:themeColor="text1"/>
                <w:sz w:val="24"/>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067349F6">
            <w:pPr>
              <w:spacing w:line="360" w:lineRule="auto"/>
              <w:contextualSpacing/>
              <w:jc w:val="center"/>
              <w:rPr>
                <w:rFonts w:ascii="宋体" w:hAnsi="宋体"/>
                <w:bCs/>
                <w:color w:val="000000" w:themeColor="text1"/>
                <w:sz w:val="24"/>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6D83AC05">
            <w:pPr>
              <w:spacing w:line="360" w:lineRule="auto"/>
              <w:contextualSpacing/>
              <w:jc w:val="center"/>
              <w:rPr>
                <w:rFonts w:ascii="宋体" w:hAnsi="宋体"/>
                <w:bCs/>
                <w:color w:val="000000" w:themeColor="text1"/>
                <w:sz w:val="24"/>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7B65DBAF">
            <w:pPr>
              <w:spacing w:line="360" w:lineRule="auto"/>
              <w:contextualSpacing/>
              <w:jc w:val="center"/>
              <w:rPr>
                <w:rFonts w:ascii="宋体" w:hAnsi="宋体"/>
                <w:bCs/>
                <w:color w:val="000000" w:themeColor="text1"/>
                <w:sz w:val="24"/>
                <w14:textFill>
                  <w14:solidFill>
                    <w14:schemeClr w14:val="tx1"/>
                  </w14:solidFill>
                </w14:textFill>
              </w:rPr>
            </w:pPr>
          </w:p>
        </w:tc>
      </w:tr>
      <w:tr w14:paraId="2B60824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2B097D8A">
            <w:pPr>
              <w:spacing w:line="360" w:lineRule="auto"/>
              <w:contextualSpacing/>
              <w:jc w:val="center"/>
              <w:rPr>
                <w:rFonts w:ascii="宋体" w:hAnsi="宋体"/>
                <w:bCs/>
                <w:color w:val="000000" w:themeColor="text1"/>
                <w:sz w:val="24"/>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5ECC410D">
            <w:pPr>
              <w:spacing w:line="360" w:lineRule="auto"/>
              <w:contextualSpacing/>
              <w:jc w:val="center"/>
              <w:rPr>
                <w:rFonts w:ascii="宋体" w:hAnsi="宋体"/>
                <w:bCs/>
                <w:color w:val="000000" w:themeColor="text1"/>
                <w:sz w:val="24"/>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457DCD56">
            <w:pPr>
              <w:spacing w:line="360" w:lineRule="auto"/>
              <w:contextualSpacing/>
              <w:jc w:val="center"/>
              <w:rPr>
                <w:rFonts w:ascii="宋体" w:hAnsi="宋体"/>
                <w:bCs/>
                <w:color w:val="000000" w:themeColor="text1"/>
                <w:sz w:val="24"/>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13B26615">
            <w:pPr>
              <w:spacing w:line="360" w:lineRule="auto"/>
              <w:contextualSpacing/>
              <w:jc w:val="center"/>
              <w:rPr>
                <w:rFonts w:ascii="宋体" w:hAnsi="宋体"/>
                <w:bCs/>
                <w:color w:val="000000" w:themeColor="text1"/>
                <w:sz w:val="24"/>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3ABE706F">
            <w:pPr>
              <w:spacing w:line="360" w:lineRule="auto"/>
              <w:contextualSpacing/>
              <w:jc w:val="center"/>
              <w:rPr>
                <w:rFonts w:ascii="宋体" w:hAnsi="宋体"/>
                <w:bCs/>
                <w:color w:val="000000" w:themeColor="text1"/>
                <w:sz w:val="24"/>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6472F064">
            <w:pPr>
              <w:spacing w:line="360" w:lineRule="auto"/>
              <w:contextualSpacing/>
              <w:jc w:val="center"/>
              <w:rPr>
                <w:rFonts w:ascii="宋体" w:hAnsi="宋体"/>
                <w:bCs/>
                <w:color w:val="000000" w:themeColor="text1"/>
                <w:sz w:val="24"/>
                <w14:textFill>
                  <w14:solidFill>
                    <w14:schemeClr w14:val="tx1"/>
                  </w14:solidFill>
                </w14:textFill>
              </w:rPr>
            </w:pPr>
          </w:p>
        </w:tc>
      </w:tr>
      <w:tr w14:paraId="1309D96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1823127E">
            <w:pPr>
              <w:spacing w:line="360" w:lineRule="auto"/>
              <w:contextualSpacing/>
              <w:jc w:val="center"/>
              <w:rPr>
                <w:rFonts w:ascii="宋体" w:hAnsi="宋体"/>
                <w:bCs/>
                <w:color w:val="000000" w:themeColor="text1"/>
                <w:sz w:val="24"/>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0EFF2599">
            <w:pPr>
              <w:spacing w:line="360" w:lineRule="auto"/>
              <w:contextualSpacing/>
              <w:jc w:val="center"/>
              <w:rPr>
                <w:rFonts w:ascii="宋体" w:hAnsi="宋体"/>
                <w:bCs/>
                <w:color w:val="000000" w:themeColor="text1"/>
                <w:sz w:val="24"/>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36F4856F">
            <w:pPr>
              <w:spacing w:line="360" w:lineRule="auto"/>
              <w:contextualSpacing/>
              <w:jc w:val="center"/>
              <w:rPr>
                <w:rFonts w:ascii="宋体" w:hAnsi="宋体"/>
                <w:bCs/>
                <w:color w:val="000000" w:themeColor="text1"/>
                <w:sz w:val="24"/>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480BE11E">
            <w:pPr>
              <w:spacing w:line="360" w:lineRule="auto"/>
              <w:contextualSpacing/>
              <w:jc w:val="center"/>
              <w:rPr>
                <w:rFonts w:ascii="宋体" w:hAnsi="宋体"/>
                <w:bCs/>
                <w:color w:val="000000" w:themeColor="text1"/>
                <w:sz w:val="24"/>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36F4063C">
            <w:pPr>
              <w:spacing w:line="360" w:lineRule="auto"/>
              <w:contextualSpacing/>
              <w:jc w:val="center"/>
              <w:rPr>
                <w:rFonts w:ascii="宋体" w:hAnsi="宋体"/>
                <w:bCs/>
                <w:color w:val="000000" w:themeColor="text1"/>
                <w:sz w:val="24"/>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3AE2423F">
            <w:pPr>
              <w:spacing w:line="360" w:lineRule="auto"/>
              <w:contextualSpacing/>
              <w:jc w:val="center"/>
              <w:rPr>
                <w:rFonts w:ascii="宋体" w:hAnsi="宋体"/>
                <w:bCs/>
                <w:color w:val="000000" w:themeColor="text1"/>
                <w:sz w:val="24"/>
                <w14:textFill>
                  <w14:solidFill>
                    <w14:schemeClr w14:val="tx1"/>
                  </w14:solidFill>
                </w14:textFill>
              </w:rPr>
            </w:pPr>
          </w:p>
        </w:tc>
      </w:tr>
      <w:tr w14:paraId="0516F04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35E7EE49">
            <w:pPr>
              <w:spacing w:line="360" w:lineRule="auto"/>
              <w:contextualSpacing/>
              <w:jc w:val="center"/>
              <w:rPr>
                <w:rFonts w:ascii="宋体" w:hAnsi="宋体"/>
                <w:bCs/>
                <w:color w:val="000000" w:themeColor="text1"/>
                <w:sz w:val="24"/>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05001091">
            <w:pPr>
              <w:spacing w:line="360" w:lineRule="auto"/>
              <w:contextualSpacing/>
              <w:jc w:val="center"/>
              <w:rPr>
                <w:rFonts w:ascii="宋体" w:hAnsi="宋体"/>
                <w:bCs/>
                <w:color w:val="000000" w:themeColor="text1"/>
                <w:sz w:val="24"/>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192BCBB0">
            <w:pPr>
              <w:spacing w:line="360" w:lineRule="auto"/>
              <w:contextualSpacing/>
              <w:jc w:val="center"/>
              <w:rPr>
                <w:rFonts w:ascii="宋体" w:hAnsi="宋体"/>
                <w:bCs/>
                <w:color w:val="000000" w:themeColor="text1"/>
                <w:sz w:val="24"/>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74AFB8D3">
            <w:pPr>
              <w:spacing w:line="360" w:lineRule="auto"/>
              <w:contextualSpacing/>
              <w:jc w:val="center"/>
              <w:rPr>
                <w:rFonts w:ascii="宋体" w:hAnsi="宋体"/>
                <w:bCs/>
                <w:color w:val="000000" w:themeColor="text1"/>
                <w:sz w:val="24"/>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7D37EB17">
            <w:pPr>
              <w:spacing w:line="360" w:lineRule="auto"/>
              <w:contextualSpacing/>
              <w:jc w:val="center"/>
              <w:rPr>
                <w:rFonts w:ascii="宋体" w:hAnsi="宋体"/>
                <w:bCs/>
                <w:color w:val="000000" w:themeColor="text1"/>
                <w:sz w:val="24"/>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1DA98202">
            <w:pPr>
              <w:spacing w:line="360" w:lineRule="auto"/>
              <w:contextualSpacing/>
              <w:jc w:val="center"/>
              <w:rPr>
                <w:rFonts w:ascii="宋体" w:hAnsi="宋体"/>
                <w:bCs/>
                <w:color w:val="000000" w:themeColor="text1"/>
                <w:sz w:val="24"/>
                <w14:textFill>
                  <w14:solidFill>
                    <w14:schemeClr w14:val="tx1"/>
                  </w14:solidFill>
                </w14:textFill>
              </w:rPr>
            </w:pPr>
          </w:p>
        </w:tc>
      </w:tr>
    </w:tbl>
    <w:p w14:paraId="04650E74">
      <w:pPr>
        <w:spacing w:line="360" w:lineRule="auto"/>
        <w:contextualSpacing/>
        <w:rPr>
          <w:rFonts w:ascii="宋体" w:hAnsi="宋体"/>
          <w:bCs/>
          <w:color w:val="000000" w:themeColor="text1"/>
          <w:sz w:val="24"/>
          <w14:textFill>
            <w14:solidFill>
              <w14:schemeClr w14:val="tx1"/>
            </w14:solidFill>
          </w14:textFill>
        </w:rPr>
      </w:pPr>
    </w:p>
    <w:p w14:paraId="3B42037D">
      <w:pPr>
        <w:spacing w:line="360" w:lineRule="auto"/>
        <w:contextualSpacing/>
        <w:rPr>
          <w:rFonts w:ascii="宋体" w:hAnsi="宋体"/>
          <w:bCs/>
          <w:color w:val="000000" w:themeColor="text1"/>
          <w:sz w:val="24"/>
          <w14:textFill>
            <w14:solidFill>
              <w14:schemeClr w14:val="tx1"/>
            </w14:solidFill>
          </w14:textFill>
        </w:rPr>
      </w:pPr>
    </w:p>
    <w:p w14:paraId="23B34762">
      <w:pPr>
        <w:spacing w:line="360" w:lineRule="auto"/>
        <w:contextualSpacing/>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供应商名称</w:t>
      </w:r>
      <w:r>
        <w:rPr>
          <w:rFonts w:hint="eastAsia" w:ascii="宋体" w:hAnsi="宋体" w:cs="宋体"/>
          <w:color w:val="000000" w:themeColor="text1"/>
          <w:spacing w:val="8"/>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加盖CA电子公章</w:t>
      </w:r>
      <w:r>
        <w:rPr>
          <w:rFonts w:hint="eastAsia" w:ascii="宋体" w:hAnsi="宋体" w:cs="宋体"/>
          <w:color w:val="000000" w:themeColor="text1"/>
          <w:spacing w:val="8"/>
          <w:sz w:val="24"/>
          <w:szCs w:val="24"/>
          <w14:textFill>
            <w14:solidFill>
              <w14:schemeClr w14:val="tx1"/>
            </w14:solidFill>
          </w14:textFill>
        </w:rPr>
        <w:t>）</w:t>
      </w:r>
      <w:r>
        <w:rPr>
          <w:rFonts w:ascii="宋体" w:hAnsi="宋体"/>
          <w:bCs/>
          <w:color w:val="000000" w:themeColor="text1"/>
          <w:sz w:val="24"/>
          <w14:textFill>
            <w14:solidFill>
              <w14:schemeClr w14:val="tx1"/>
            </w14:solidFill>
          </w14:textFill>
        </w:rPr>
        <w:t>：    ____________</w:t>
      </w:r>
    </w:p>
    <w:p w14:paraId="30477D5F">
      <w:pPr>
        <w:spacing w:line="360" w:lineRule="auto"/>
        <w:contextualSpacing/>
        <w:rPr>
          <w:rFonts w:ascii="宋体" w:hAnsi="宋体"/>
          <w:bCs/>
          <w:color w:val="000000" w:themeColor="text1"/>
          <w:sz w:val="24"/>
          <w14:textFill>
            <w14:solidFill>
              <w14:schemeClr w14:val="tx1"/>
            </w14:solidFill>
          </w14:textFill>
        </w:rPr>
      </w:pPr>
      <w:r>
        <w:rPr>
          <w:color w:val="000000" w:themeColor="text1"/>
          <w:sz w:val="24"/>
          <w:szCs w:val="20"/>
          <w14:textFill>
            <w14:solidFill>
              <w14:schemeClr w14:val="tx1"/>
            </w14:solidFill>
          </w14:textFill>
        </w:rPr>
        <w:t>日期：</w:t>
      </w:r>
      <w:r>
        <w:rPr>
          <w:rFonts w:hint="eastAsia"/>
          <w:color w:val="000000" w:themeColor="text1"/>
          <w:sz w:val="24"/>
          <w:szCs w:val="20"/>
          <w14:textFill>
            <w14:solidFill>
              <w14:schemeClr w14:val="tx1"/>
            </w14:solidFill>
          </w14:textFill>
        </w:rPr>
        <w:t xml:space="preserve"> </w:t>
      </w:r>
      <w:r>
        <w:rPr>
          <w:color w:val="000000" w:themeColor="text1"/>
          <w:sz w:val="24"/>
          <w:szCs w:val="20"/>
          <w14:textFill>
            <w14:solidFill>
              <w14:schemeClr w14:val="tx1"/>
            </w14:solidFill>
          </w14:textFill>
        </w:rPr>
        <w:t xml:space="preserve">  年</w:t>
      </w:r>
      <w:r>
        <w:rPr>
          <w:rFonts w:hint="eastAsia"/>
          <w:color w:val="000000" w:themeColor="text1"/>
          <w:sz w:val="24"/>
          <w:szCs w:val="20"/>
          <w14:textFill>
            <w14:solidFill>
              <w14:schemeClr w14:val="tx1"/>
            </w14:solidFill>
          </w14:textFill>
        </w:rPr>
        <w:t xml:space="preserve"> </w:t>
      </w:r>
      <w:r>
        <w:rPr>
          <w:color w:val="000000" w:themeColor="text1"/>
          <w:sz w:val="24"/>
          <w:szCs w:val="20"/>
          <w14:textFill>
            <w14:solidFill>
              <w14:schemeClr w14:val="tx1"/>
            </w14:solidFill>
          </w14:textFill>
        </w:rPr>
        <w:t xml:space="preserve">  月</w:t>
      </w:r>
      <w:r>
        <w:rPr>
          <w:rFonts w:hint="eastAsia"/>
          <w:color w:val="000000" w:themeColor="text1"/>
          <w:sz w:val="24"/>
          <w:szCs w:val="20"/>
          <w14:textFill>
            <w14:solidFill>
              <w14:schemeClr w14:val="tx1"/>
            </w14:solidFill>
          </w14:textFill>
        </w:rPr>
        <w:t xml:space="preserve"> </w:t>
      </w:r>
      <w:r>
        <w:rPr>
          <w:color w:val="000000" w:themeColor="text1"/>
          <w:sz w:val="24"/>
          <w:szCs w:val="20"/>
          <w14:textFill>
            <w14:solidFill>
              <w14:schemeClr w14:val="tx1"/>
            </w14:solidFill>
          </w14:textFill>
        </w:rPr>
        <w:t xml:space="preserve">   日</w:t>
      </w:r>
      <w:r>
        <w:rPr>
          <w:rFonts w:ascii="宋体" w:hAnsi="宋体"/>
          <w:bCs/>
          <w:color w:val="000000" w:themeColor="text1"/>
          <w:sz w:val="24"/>
          <w14:textFill>
            <w14:solidFill>
              <w14:schemeClr w14:val="tx1"/>
            </w14:solidFill>
          </w14:textFill>
        </w:rPr>
        <w:t xml:space="preserve">  </w:t>
      </w:r>
    </w:p>
    <w:p w14:paraId="620F8CDD">
      <w:pPr>
        <w:spacing w:line="360" w:lineRule="auto"/>
        <w:contextualSpacing/>
        <w:rPr>
          <w:rFonts w:ascii="宋体" w:hAnsi="宋体"/>
          <w:bCs/>
          <w:color w:val="000000" w:themeColor="text1"/>
          <w:sz w:val="24"/>
          <w14:textFill>
            <w14:solidFill>
              <w14:schemeClr w14:val="tx1"/>
            </w14:solidFill>
          </w14:textFill>
        </w:rPr>
        <w:sectPr>
          <w:pgSz w:w="11906" w:h="16838"/>
          <w:pgMar w:top="1440" w:right="1800" w:bottom="1440" w:left="1800" w:header="851" w:footer="992" w:gutter="0"/>
          <w:cols w:space="1701" w:num="1"/>
          <w:docGrid w:linePitch="360" w:charSpace="0"/>
        </w:sectPr>
      </w:pPr>
    </w:p>
    <w:p w14:paraId="3F129D18">
      <w:pPr>
        <w:spacing w:line="360" w:lineRule="auto"/>
        <w:outlineLvl w:val="2"/>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w:t>
      </w: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磋商文件要求提供或供应商认为应附的其他材料</w:t>
      </w:r>
    </w:p>
    <w:p w14:paraId="1A09A9BC">
      <w:pPr>
        <w:spacing w:line="360" w:lineRule="auto"/>
        <w:contextualSpacing/>
        <w:rPr>
          <w:rFonts w:ascii="宋体" w:hAnsi="宋体"/>
          <w:bCs/>
          <w:color w:val="000000" w:themeColor="text1"/>
          <w:sz w:val="24"/>
          <w14:textFill>
            <w14:solidFill>
              <w14:schemeClr w14:val="tx1"/>
            </w14:solidFill>
          </w14:textFill>
        </w:rPr>
      </w:pPr>
    </w:p>
    <w:p w14:paraId="6E5CD254">
      <w:pPr>
        <w:spacing w:line="360" w:lineRule="auto"/>
        <w:contextualSpacing/>
        <w:rPr>
          <w:rFonts w:ascii="宋体" w:hAnsi="宋体"/>
          <w:bCs/>
          <w:color w:val="000000" w:themeColor="text1"/>
          <w:sz w:val="24"/>
          <w14:textFill>
            <w14:solidFill>
              <w14:schemeClr w14:val="tx1"/>
            </w14:solidFill>
          </w14:textFill>
        </w:rPr>
      </w:pPr>
    </w:p>
    <w:p w14:paraId="5051D022">
      <w:pPr>
        <w:spacing w:line="360" w:lineRule="auto"/>
        <w:contextualSpacing/>
        <w:rPr>
          <w:rFonts w:ascii="宋体" w:hAnsi="宋体"/>
          <w:bCs/>
          <w:color w:val="000000" w:themeColor="text1"/>
          <w:sz w:val="24"/>
          <w14:textFill>
            <w14:solidFill>
              <w14:schemeClr w14:val="tx1"/>
            </w14:solidFill>
          </w14:textFill>
        </w:rPr>
      </w:pP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auto"/>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PingFang SC Regular">
    <w:altName w:val="宋体"/>
    <w:panose1 w:val="00000000000000000000"/>
    <w:charset w:val="86"/>
    <w:family w:val="roman"/>
    <w:pitch w:val="default"/>
    <w:sig w:usb0="00000000" w:usb1="00000000" w:usb2="00000017" w:usb3="00000000" w:csb0="00040001" w:csb1="00000000"/>
  </w:font>
  <w:font w:name="Segoe UI">
    <w:panose1 w:val="020B0502040204020203"/>
    <w:charset w:val="00"/>
    <w:family w:val="swiss"/>
    <w:pitch w:val="default"/>
    <w:sig w:usb0="E4002EFF" w:usb1="C000E47F" w:usb2="00000009" w:usb3="00000000" w:csb0="200001FF" w:csb1="00000000"/>
  </w:font>
  <w:font w:name="MS Gothic">
    <w:panose1 w:val="020B0609070205080204"/>
    <w:charset w:val="80"/>
    <w:family w:val="modern"/>
    <w:pitch w:val="default"/>
    <w:sig w:usb0="E00002FF" w:usb1="6AC7FDFB" w:usb2="08000012" w:usb3="00000000" w:csb0="4002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C8A8B">
    <w:pPr>
      <w:pStyle w:val="2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00550">
    <w:pPr>
      <w:pStyle w:val="28"/>
    </w:pPr>
    <w:r>
      <mc:AlternateContent>
        <mc:Choice Requires="wps">
          <w:drawing>
            <wp:anchor distT="0" distB="0" distL="114300" distR="114300" simplePos="0" relativeHeight="251659264" behindDoc="0" locked="0" layoutInCell="1" allowOverlap="1">
              <wp:simplePos x="0" y="0"/>
              <wp:positionH relativeFrom="margin">
                <wp:posOffset>2484120</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57966" cy="302307"/>
                      </a:xfrm>
                      <a:prstGeom prst="rect">
                        <a:avLst/>
                      </a:prstGeom>
                      <a:noFill/>
                      <a:ln>
                        <a:noFill/>
                      </a:ln>
                    </wps:spPr>
                    <wps:txbx>
                      <w:txbxContent>
                        <w:p w14:paraId="271E1904">
                          <w:pPr>
                            <w:pStyle w:val="28"/>
                            <w:tabs>
                              <w:tab w:val="clear" w:pos="4153"/>
                              <w:tab w:val="clear" w:pos="8306"/>
                            </w:tabs>
                          </w:pPr>
                          <w:r>
                            <w:fldChar w:fldCharType="begin"/>
                          </w:r>
                          <w:r>
                            <w:instrText xml:space="preserve"> PAGE  \* MERGEFORMAT </w:instrText>
                          </w:r>
                          <w:r>
                            <w:fldChar w:fldCharType="separate"/>
                          </w:r>
                          <w:r>
                            <w:t>32</w:t>
                          </w:r>
                          <w:r>
                            <w:fldChar w:fldCharType="end"/>
                          </w:r>
                        </w:p>
                        <w:p w14:paraId="37D289E7"/>
                      </w:txbxContent>
                    </wps:txbx>
                    <wps:bodyPr wrap="none" lIns="0" tIns="0" rIns="0" bIns="0" upright="1">
                      <a:spAutoFit/>
                    </wps:bodyPr>
                  </wps:wsp>
                </a:graphicData>
              </a:graphic>
            </wp:anchor>
          </w:drawing>
        </mc:Choice>
        <mc:Fallback>
          <w:pict>
            <v:shape id="_x0000_s1026" o:spid="_x0000_s1026" o:spt="202" type="#_x0000_t202" style="position:absolute;left:0pt;margin-left:195.6pt;margin-top:0pt;height:144pt;width:144pt;mso-position-horizontal-relative:margin;mso-wrap-style:none;z-index:251659264;mso-width-relative:page;mso-height-relative:page;" filled="f" stroked="f" coordsize="21600,21600" o:gfxdata="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uJq49QAAAAIAQAADwAAAAAAAAABACAA&#10;AAAiAAAAZHJzL2Rvd25yZXYueG1sUEsBAhQAFAAAAAgAh07iQM0RPJzYAQAApAMAAA4AAAAAAAAA&#10;AQAgAAAAIwEAAGRycy9lMm9Eb2MueG1sUEsFBgAAAAAGAAYAWQEAAG0FAAAAAA==&#10;">
              <v:fill on="f" focussize="0,0"/>
              <v:stroke on="f"/>
              <v:imagedata o:title=""/>
              <o:lock v:ext="edit" aspectratio="f"/>
              <v:textbox inset="0mm,0mm,0mm,0mm" style="mso-fit-shape-to-text:t;">
                <w:txbxContent>
                  <w:p w14:paraId="271E1904">
                    <w:pPr>
                      <w:pStyle w:val="28"/>
                      <w:tabs>
                        <w:tab w:val="clear" w:pos="4153"/>
                        <w:tab w:val="clear" w:pos="8306"/>
                      </w:tabs>
                    </w:pPr>
                    <w:r>
                      <w:fldChar w:fldCharType="begin"/>
                    </w:r>
                    <w:r>
                      <w:instrText xml:space="preserve"> PAGE  \* MERGEFORMAT </w:instrText>
                    </w:r>
                    <w:r>
                      <w:fldChar w:fldCharType="separate"/>
                    </w:r>
                    <w:r>
                      <w:t>32</w:t>
                    </w:r>
                    <w:r>
                      <w:fldChar w:fldCharType="end"/>
                    </w:r>
                  </w:p>
                  <w:p w14:paraId="37D289E7"/>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54481">
    <w:pPr>
      <w:pStyle w:val="28"/>
      <w:framePr w:wrap="around" w:vAnchor="text" w:hAnchor="margin" w:xAlign="right" w:y="1"/>
      <w:rPr>
        <w:rStyle w:val="52"/>
      </w:rPr>
    </w:pPr>
    <w:r>
      <w:fldChar w:fldCharType="begin"/>
    </w:r>
    <w:r>
      <w:rPr>
        <w:rStyle w:val="52"/>
      </w:rPr>
      <w:instrText xml:space="preserve">PAGE  </w:instrText>
    </w:r>
    <w:r>
      <w:fldChar w:fldCharType="separate"/>
    </w:r>
    <w:r>
      <w:rPr>
        <w:rStyle w:val="52"/>
      </w:rPr>
      <w:t>1</w:t>
    </w:r>
    <w:r>
      <w:fldChar w:fldCharType="end"/>
    </w:r>
  </w:p>
  <w:p w14:paraId="663945AA">
    <w:pPr>
      <w:pStyle w:val="2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E02132">
    <w:pPr>
      <w:pStyle w:val="30"/>
      <w:jc w:val="right"/>
    </w:pPr>
    <w:r>
      <w:rPr>
        <w:rFonts w:hint="eastAsia"/>
      </w:rPr>
      <w:t>常州市政府采购项目竞争性磋商文件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4A4ED4"/>
    <w:multiLevelType w:val="multilevel"/>
    <w:tmpl w:val="034A4ED4"/>
    <w:lvl w:ilvl="0" w:tentative="0">
      <w:start w:val="8"/>
      <w:numFmt w:val="japaneseCounting"/>
      <w:lvlText w:val="（%1）"/>
      <w:lvlJc w:val="left"/>
      <w:pPr>
        <w:ind w:left="765" w:hanging="765"/>
      </w:pPr>
      <w:rPr>
        <w:rFonts w:hint="default"/>
        <w:u w:val="none" w:color="auto"/>
      </w:rPr>
    </w:lvl>
    <w:lvl w:ilvl="1" w:tentative="0">
      <w:start w:val="1"/>
      <w:numFmt w:val="lowerLetter"/>
      <w:lvlText w:val="%2)"/>
      <w:lvlJc w:val="left"/>
      <w:pPr>
        <w:ind w:left="840" w:hanging="420"/>
      </w:pPr>
      <w:rPr>
        <w:rFonts w:hint="default"/>
        <w:u w:val="none" w:color="auto"/>
      </w:rPr>
    </w:lvl>
    <w:lvl w:ilvl="2" w:tentative="0">
      <w:start w:val="1"/>
      <w:numFmt w:val="lowerRoman"/>
      <w:lvlText w:val="%3."/>
      <w:lvlJc w:val="right"/>
      <w:pPr>
        <w:ind w:left="1260" w:hanging="420"/>
      </w:pPr>
      <w:rPr>
        <w:rFonts w:hint="default"/>
        <w:u w:val="none" w:color="auto"/>
      </w:rPr>
    </w:lvl>
    <w:lvl w:ilvl="3" w:tentative="0">
      <w:start w:val="1"/>
      <w:numFmt w:val="decimal"/>
      <w:lvlText w:val="%4."/>
      <w:lvlJc w:val="left"/>
      <w:pPr>
        <w:ind w:left="1680" w:hanging="420"/>
      </w:pPr>
      <w:rPr>
        <w:rFonts w:hint="default"/>
        <w:u w:val="none" w:color="auto"/>
      </w:rPr>
    </w:lvl>
    <w:lvl w:ilvl="4" w:tentative="0">
      <w:start w:val="1"/>
      <w:numFmt w:val="lowerLetter"/>
      <w:lvlText w:val="%5)"/>
      <w:lvlJc w:val="left"/>
      <w:pPr>
        <w:ind w:left="2100" w:hanging="420"/>
      </w:pPr>
      <w:rPr>
        <w:rFonts w:hint="default"/>
        <w:u w:val="none" w:color="auto"/>
      </w:rPr>
    </w:lvl>
    <w:lvl w:ilvl="5" w:tentative="0">
      <w:start w:val="1"/>
      <w:numFmt w:val="lowerRoman"/>
      <w:lvlText w:val="%6."/>
      <w:lvlJc w:val="right"/>
      <w:pPr>
        <w:ind w:left="2520" w:hanging="420"/>
      </w:pPr>
      <w:rPr>
        <w:rFonts w:hint="default"/>
        <w:u w:val="none" w:color="auto"/>
      </w:rPr>
    </w:lvl>
    <w:lvl w:ilvl="6" w:tentative="0">
      <w:start w:val="1"/>
      <w:numFmt w:val="decimal"/>
      <w:lvlText w:val="%7."/>
      <w:lvlJc w:val="left"/>
      <w:pPr>
        <w:ind w:left="2940" w:hanging="420"/>
      </w:pPr>
      <w:rPr>
        <w:rFonts w:hint="default"/>
        <w:u w:val="none" w:color="auto"/>
      </w:rPr>
    </w:lvl>
    <w:lvl w:ilvl="7" w:tentative="0">
      <w:start w:val="1"/>
      <w:numFmt w:val="lowerLetter"/>
      <w:lvlText w:val="%8)"/>
      <w:lvlJc w:val="left"/>
      <w:pPr>
        <w:ind w:left="3360" w:hanging="420"/>
      </w:pPr>
      <w:rPr>
        <w:rFonts w:hint="default"/>
        <w:u w:val="none" w:color="auto"/>
      </w:rPr>
    </w:lvl>
    <w:lvl w:ilvl="8" w:tentative="0">
      <w:start w:val="1"/>
      <w:numFmt w:val="lowerRoman"/>
      <w:lvlText w:val="%9."/>
      <w:lvlJc w:val="right"/>
      <w:pPr>
        <w:ind w:left="3780" w:hanging="420"/>
      </w:pPr>
      <w:rPr>
        <w:rFonts w:hint="default"/>
        <w:u w:val="none" w:color="auto"/>
      </w:rPr>
    </w:lvl>
  </w:abstractNum>
  <w:abstractNum w:abstractNumId="1">
    <w:nsid w:val="22136133"/>
    <w:multiLevelType w:val="multilevel"/>
    <w:tmpl w:val="22136133"/>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
    <w:nsid w:val="23B2C2EC"/>
    <w:multiLevelType w:val="multilevel"/>
    <w:tmpl w:val="23B2C2EC"/>
    <w:lvl w:ilvl="0" w:tentative="0">
      <w:start w:val="1"/>
      <w:numFmt w:val="chineseCounting"/>
      <w:suff w:val="nothing"/>
      <w:lvlText w:val="（%1）"/>
      <w:lvlJc w:val="left"/>
      <w:rPr>
        <w:rFonts w:hint="default"/>
        <w:u w:val="none" w:color="auto"/>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3">
    <w:nsid w:val="2C613DCB"/>
    <w:multiLevelType w:val="multilevel"/>
    <w:tmpl w:val="2C613DC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2E2B75A0"/>
    <w:multiLevelType w:val="multilevel"/>
    <w:tmpl w:val="2E2B75A0"/>
    <w:lvl w:ilvl="0" w:tentative="0">
      <w:start w:val="2"/>
      <w:numFmt w:val="none"/>
      <w:lvlText w:val="二、"/>
      <w:lvlJc w:val="left"/>
      <w:pPr>
        <w:ind w:left="510" w:hanging="510"/>
      </w:pPr>
      <w:rPr>
        <w:rFonts w:hint="default"/>
        <w:b/>
        <w:u w:val="none" w:color="auto"/>
      </w:rPr>
    </w:lvl>
    <w:lvl w:ilvl="1" w:tentative="0">
      <w:start w:val="1"/>
      <w:numFmt w:val="lowerLetter"/>
      <w:lvlText w:val="%2)"/>
      <w:lvlJc w:val="left"/>
      <w:pPr>
        <w:ind w:left="840" w:hanging="420"/>
      </w:pPr>
      <w:rPr>
        <w:rFonts w:hint="default"/>
        <w:u w:val="none" w:color="auto"/>
      </w:rPr>
    </w:lvl>
    <w:lvl w:ilvl="2" w:tentative="0">
      <w:start w:val="1"/>
      <w:numFmt w:val="lowerRoman"/>
      <w:lvlText w:val="%3."/>
      <w:lvlJc w:val="right"/>
      <w:pPr>
        <w:ind w:left="1260" w:hanging="420"/>
      </w:pPr>
      <w:rPr>
        <w:rFonts w:hint="default"/>
        <w:u w:val="none" w:color="auto"/>
      </w:rPr>
    </w:lvl>
    <w:lvl w:ilvl="3" w:tentative="0">
      <w:start w:val="1"/>
      <w:numFmt w:val="decimal"/>
      <w:lvlText w:val="%4."/>
      <w:lvlJc w:val="left"/>
      <w:pPr>
        <w:ind w:left="1680" w:hanging="420"/>
      </w:pPr>
      <w:rPr>
        <w:rFonts w:hint="default"/>
        <w:u w:val="none" w:color="auto"/>
      </w:rPr>
    </w:lvl>
    <w:lvl w:ilvl="4" w:tentative="0">
      <w:start w:val="1"/>
      <w:numFmt w:val="lowerLetter"/>
      <w:lvlText w:val="%5)"/>
      <w:lvlJc w:val="left"/>
      <w:pPr>
        <w:ind w:left="2100" w:hanging="420"/>
      </w:pPr>
      <w:rPr>
        <w:rFonts w:hint="default"/>
        <w:u w:val="none" w:color="auto"/>
      </w:rPr>
    </w:lvl>
    <w:lvl w:ilvl="5" w:tentative="0">
      <w:start w:val="1"/>
      <w:numFmt w:val="lowerRoman"/>
      <w:lvlText w:val="%6."/>
      <w:lvlJc w:val="right"/>
      <w:pPr>
        <w:ind w:left="2520" w:hanging="420"/>
      </w:pPr>
      <w:rPr>
        <w:rFonts w:hint="default"/>
        <w:u w:val="none" w:color="auto"/>
      </w:rPr>
    </w:lvl>
    <w:lvl w:ilvl="6" w:tentative="0">
      <w:start w:val="1"/>
      <w:numFmt w:val="decimal"/>
      <w:lvlText w:val="%7."/>
      <w:lvlJc w:val="left"/>
      <w:pPr>
        <w:ind w:left="2940" w:hanging="420"/>
      </w:pPr>
      <w:rPr>
        <w:rFonts w:hint="default"/>
        <w:u w:val="none" w:color="auto"/>
      </w:rPr>
    </w:lvl>
    <w:lvl w:ilvl="7" w:tentative="0">
      <w:start w:val="1"/>
      <w:numFmt w:val="lowerLetter"/>
      <w:lvlText w:val="%8)"/>
      <w:lvlJc w:val="left"/>
      <w:pPr>
        <w:ind w:left="3360" w:hanging="420"/>
      </w:pPr>
      <w:rPr>
        <w:rFonts w:hint="default"/>
        <w:u w:val="none" w:color="auto"/>
      </w:rPr>
    </w:lvl>
    <w:lvl w:ilvl="8" w:tentative="0">
      <w:start w:val="1"/>
      <w:numFmt w:val="lowerRoman"/>
      <w:lvlText w:val="%9."/>
      <w:lvlJc w:val="right"/>
      <w:pPr>
        <w:ind w:left="3780" w:hanging="420"/>
      </w:pPr>
      <w:rPr>
        <w:rFonts w:hint="default"/>
        <w:u w:val="none" w:color="auto"/>
      </w:rPr>
    </w:lvl>
  </w:abstractNum>
  <w:abstractNum w:abstractNumId="5">
    <w:nsid w:val="30741DA7"/>
    <w:multiLevelType w:val="multilevel"/>
    <w:tmpl w:val="30741DA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宋体" w:hAnsi="宋体" w:eastAsia="宋体" w:cs="宋体"/>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
    <w:nsid w:val="53F76B9E"/>
    <w:multiLevelType w:val="multilevel"/>
    <w:tmpl w:val="53F76B9E"/>
    <w:lvl w:ilvl="0" w:tentative="0">
      <w:start w:val="4"/>
      <w:numFmt w:val="japaneseCounting"/>
      <w:lvlText w:val="（%1）"/>
      <w:lvlJc w:val="left"/>
      <w:pPr>
        <w:ind w:left="765" w:hanging="765"/>
      </w:pPr>
      <w:rPr>
        <w:rFonts w:hint="default"/>
        <w:u w:val="none" w:color="auto"/>
      </w:rPr>
    </w:lvl>
    <w:lvl w:ilvl="1" w:tentative="0">
      <w:start w:val="1"/>
      <w:numFmt w:val="lowerLetter"/>
      <w:lvlText w:val="%2)"/>
      <w:lvlJc w:val="left"/>
      <w:pPr>
        <w:ind w:left="840" w:hanging="420"/>
      </w:pPr>
      <w:rPr>
        <w:rFonts w:hint="default"/>
        <w:u w:val="none" w:color="auto"/>
      </w:rPr>
    </w:lvl>
    <w:lvl w:ilvl="2" w:tentative="0">
      <w:start w:val="1"/>
      <w:numFmt w:val="lowerRoman"/>
      <w:lvlText w:val="%3."/>
      <w:lvlJc w:val="right"/>
      <w:pPr>
        <w:ind w:left="1260" w:hanging="420"/>
      </w:pPr>
      <w:rPr>
        <w:rFonts w:hint="default"/>
        <w:u w:val="none" w:color="auto"/>
      </w:rPr>
    </w:lvl>
    <w:lvl w:ilvl="3" w:tentative="0">
      <w:start w:val="1"/>
      <w:numFmt w:val="decimal"/>
      <w:lvlText w:val="%4."/>
      <w:lvlJc w:val="left"/>
      <w:pPr>
        <w:ind w:left="1680" w:hanging="420"/>
      </w:pPr>
      <w:rPr>
        <w:rFonts w:hint="default"/>
        <w:u w:val="none" w:color="auto"/>
      </w:rPr>
    </w:lvl>
    <w:lvl w:ilvl="4" w:tentative="0">
      <w:start w:val="1"/>
      <w:numFmt w:val="lowerLetter"/>
      <w:lvlText w:val="%5)"/>
      <w:lvlJc w:val="left"/>
      <w:pPr>
        <w:ind w:left="2100" w:hanging="420"/>
      </w:pPr>
      <w:rPr>
        <w:rFonts w:hint="default"/>
        <w:u w:val="none" w:color="auto"/>
      </w:rPr>
    </w:lvl>
    <w:lvl w:ilvl="5" w:tentative="0">
      <w:start w:val="1"/>
      <w:numFmt w:val="lowerRoman"/>
      <w:lvlText w:val="%6."/>
      <w:lvlJc w:val="right"/>
      <w:pPr>
        <w:ind w:left="2520" w:hanging="420"/>
      </w:pPr>
      <w:rPr>
        <w:rFonts w:hint="default"/>
        <w:u w:val="none" w:color="auto"/>
      </w:rPr>
    </w:lvl>
    <w:lvl w:ilvl="6" w:tentative="0">
      <w:start w:val="1"/>
      <w:numFmt w:val="decimal"/>
      <w:lvlText w:val="%7."/>
      <w:lvlJc w:val="left"/>
      <w:pPr>
        <w:ind w:left="2940" w:hanging="420"/>
      </w:pPr>
      <w:rPr>
        <w:rFonts w:hint="default"/>
        <w:u w:val="none" w:color="auto"/>
      </w:rPr>
    </w:lvl>
    <w:lvl w:ilvl="7" w:tentative="0">
      <w:start w:val="1"/>
      <w:numFmt w:val="lowerLetter"/>
      <w:lvlText w:val="%8)"/>
      <w:lvlJc w:val="left"/>
      <w:pPr>
        <w:ind w:left="3360" w:hanging="420"/>
      </w:pPr>
      <w:rPr>
        <w:rFonts w:hint="default"/>
        <w:u w:val="none" w:color="auto"/>
      </w:rPr>
    </w:lvl>
    <w:lvl w:ilvl="8" w:tentative="0">
      <w:start w:val="1"/>
      <w:numFmt w:val="lowerRoman"/>
      <w:lvlText w:val="%9."/>
      <w:lvlJc w:val="right"/>
      <w:pPr>
        <w:ind w:left="3780" w:hanging="420"/>
      </w:pPr>
      <w:rPr>
        <w:rFonts w:hint="default"/>
        <w:u w:val="none" w:color="auto"/>
      </w:rPr>
    </w:lvl>
  </w:abstractNum>
  <w:abstractNum w:abstractNumId="7">
    <w:nsid w:val="773E68A1"/>
    <w:multiLevelType w:val="multilevel"/>
    <w:tmpl w:val="773E68A1"/>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num w:numId="1">
    <w:abstractNumId w:val="1"/>
  </w:num>
  <w:num w:numId="2">
    <w:abstractNumId w:val="3"/>
  </w:num>
  <w:num w:numId="3">
    <w:abstractNumId w:val="7"/>
  </w:num>
  <w:num w:numId="4">
    <w:abstractNumId w:val="5"/>
  </w:num>
  <w:num w:numId="5">
    <w:abstractNumId w:val="4"/>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hiZDZhYWIwZDMwOGZmMTVhMjllYWQwZDJiMTc5MDgifQ=="/>
  </w:docVars>
  <w:rsids>
    <w:rsidRoot w:val="001C71A0"/>
    <w:rsid w:val="00003771"/>
    <w:rsid w:val="00004578"/>
    <w:rsid w:val="000048D1"/>
    <w:rsid w:val="00005975"/>
    <w:rsid w:val="00005BE5"/>
    <w:rsid w:val="0000601C"/>
    <w:rsid w:val="00006773"/>
    <w:rsid w:val="000124E7"/>
    <w:rsid w:val="00015149"/>
    <w:rsid w:val="00022C6C"/>
    <w:rsid w:val="000243B5"/>
    <w:rsid w:val="0002697D"/>
    <w:rsid w:val="00042728"/>
    <w:rsid w:val="00044D25"/>
    <w:rsid w:val="0004576B"/>
    <w:rsid w:val="00052041"/>
    <w:rsid w:val="000526A0"/>
    <w:rsid w:val="0005321B"/>
    <w:rsid w:val="00053353"/>
    <w:rsid w:val="0006185E"/>
    <w:rsid w:val="00074B4C"/>
    <w:rsid w:val="00075D2E"/>
    <w:rsid w:val="00081388"/>
    <w:rsid w:val="00087F10"/>
    <w:rsid w:val="000928AC"/>
    <w:rsid w:val="000A7656"/>
    <w:rsid w:val="000B56B6"/>
    <w:rsid w:val="000B585D"/>
    <w:rsid w:val="000C14F7"/>
    <w:rsid w:val="000C5DCF"/>
    <w:rsid w:val="000C6FA1"/>
    <w:rsid w:val="000D0256"/>
    <w:rsid w:val="000D070E"/>
    <w:rsid w:val="000E0534"/>
    <w:rsid w:val="000E2E84"/>
    <w:rsid w:val="000E494A"/>
    <w:rsid w:val="000E679B"/>
    <w:rsid w:val="000F1DF8"/>
    <w:rsid w:val="000F64F1"/>
    <w:rsid w:val="000F70B8"/>
    <w:rsid w:val="000F7601"/>
    <w:rsid w:val="001057F4"/>
    <w:rsid w:val="001058DD"/>
    <w:rsid w:val="00106682"/>
    <w:rsid w:val="00112080"/>
    <w:rsid w:val="00122633"/>
    <w:rsid w:val="00123262"/>
    <w:rsid w:val="00124B69"/>
    <w:rsid w:val="00125A85"/>
    <w:rsid w:val="00130993"/>
    <w:rsid w:val="00135541"/>
    <w:rsid w:val="00136F1B"/>
    <w:rsid w:val="00144E7A"/>
    <w:rsid w:val="0014766D"/>
    <w:rsid w:val="001527AA"/>
    <w:rsid w:val="00156A7F"/>
    <w:rsid w:val="00157432"/>
    <w:rsid w:val="00160637"/>
    <w:rsid w:val="00164717"/>
    <w:rsid w:val="00171FAC"/>
    <w:rsid w:val="0017619E"/>
    <w:rsid w:val="0018128D"/>
    <w:rsid w:val="00190D81"/>
    <w:rsid w:val="001969A2"/>
    <w:rsid w:val="001A5B77"/>
    <w:rsid w:val="001B244B"/>
    <w:rsid w:val="001B3634"/>
    <w:rsid w:val="001B71EE"/>
    <w:rsid w:val="001C3E8F"/>
    <w:rsid w:val="001C4831"/>
    <w:rsid w:val="001C50CF"/>
    <w:rsid w:val="001C685F"/>
    <w:rsid w:val="001C71A0"/>
    <w:rsid w:val="001C7EBA"/>
    <w:rsid w:val="001D0243"/>
    <w:rsid w:val="001D07C5"/>
    <w:rsid w:val="001D4FEC"/>
    <w:rsid w:val="001D6494"/>
    <w:rsid w:val="001D78DD"/>
    <w:rsid w:val="001E0920"/>
    <w:rsid w:val="001E195F"/>
    <w:rsid w:val="001E436A"/>
    <w:rsid w:val="001E4CE0"/>
    <w:rsid w:val="001E64B3"/>
    <w:rsid w:val="001F40EC"/>
    <w:rsid w:val="001F5CA5"/>
    <w:rsid w:val="001F65BE"/>
    <w:rsid w:val="002065FD"/>
    <w:rsid w:val="002119A3"/>
    <w:rsid w:val="002131AB"/>
    <w:rsid w:val="00214D24"/>
    <w:rsid w:val="0021547C"/>
    <w:rsid w:val="00223B32"/>
    <w:rsid w:val="0022405E"/>
    <w:rsid w:val="002265A5"/>
    <w:rsid w:val="00230C14"/>
    <w:rsid w:val="0023361A"/>
    <w:rsid w:val="00236F2F"/>
    <w:rsid w:val="0024609F"/>
    <w:rsid w:val="002472A5"/>
    <w:rsid w:val="00247479"/>
    <w:rsid w:val="00252690"/>
    <w:rsid w:val="0025435C"/>
    <w:rsid w:val="002551AE"/>
    <w:rsid w:val="00257541"/>
    <w:rsid w:val="00261023"/>
    <w:rsid w:val="00264175"/>
    <w:rsid w:val="0026542F"/>
    <w:rsid w:val="00265A7D"/>
    <w:rsid w:val="002664DF"/>
    <w:rsid w:val="00271B5E"/>
    <w:rsid w:val="0027253A"/>
    <w:rsid w:val="0027306A"/>
    <w:rsid w:val="00281DFB"/>
    <w:rsid w:val="0028494D"/>
    <w:rsid w:val="002851AD"/>
    <w:rsid w:val="00285C9C"/>
    <w:rsid w:val="00290510"/>
    <w:rsid w:val="0029069F"/>
    <w:rsid w:val="00292C17"/>
    <w:rsid w:val="002A0BF6"/>
    <w:rsid w:val="002A2DB7"/>
    <w:rsid w:val="002A779E"/>
    <w:rsid w:val="002B0A56"/>
    <w:rsid w:val="002B0C1E"/>
    <w:rsid w:val="002B48EA"/>
    <w:rsid w:val="002B7063"/>
    <w:rsid w:val="002C39D0"/>
    <w:rsid w:val="002D4040"/>
    <w:rsid w:val="002D7D4F"/>
    <w:rsid w:val="002F0140"/>
    <w:rsid w:val="002F21E1"/>
    <w:rsid w:val="002F34C8"/>
    <w:rsid w:val="0030562E"/>
    <w:rsid w:val="003114A5"/>
    <w:rsid w:val="003138BA"/>
    <w:rsid w:val="0031642E"/>
    <w:rsid w:val="0031718F"/>
    <w:rsid w:val="0031724E"/>
    <w:rsid w:val="00322A82"/>
    <w:rsid w:val="00327170"/>
    <w:rsid w:val="00327C14"/>
    <w:rsid w:val="0033158D"/>
    <w:rsid w:val="0033574F"/>
    <w:rsid w:val="00340779"/>
    <w:rsid w:val="003436C2"/>
    <w:rsid w:val="00343E74"/>
    <w:rsid w:val="00346573"/>
    <w:rsid w:val="00347168"/>
    <w:rsid w:val="00347AFF"/>
    <w:rsid w:val="00352851"/>
    <w:rsid w:val="003544CF"/>
    <w:rsid w:val="00357D0D"/>
    <w:rsid w:val="003607B1"/>
    <w:rsid w:val="0036521A"/>
    <w:rsid w:val="00367D8B"/>
    <w:rsid w:val="00370612"/>
    <w:rsid w:val="0037615E"/>
    <w:rsid w:val="00380D6C"/>
    <w:rsid w:val="003833F6"/>
    <w:rsid w:val="00393019"/>
    <w:rsid w:val="00395EA3"/>
    <w:rsid w:val="00396183"/>
    <w:rsid w:val="003969A3"/>
    <w:rsid w:val="0039707B"/>
    <w:rsid w:val="00397FE9"/>
    <w:rsid w:val="003A4049"/>
    <w:rsid w:val="003A67C3"/>
    <w:rsid w:val="003B31EC"/>
    <w:rsid w:val="003C009B"/>
    <w:rsid w:val="003C26D6"/>
    <w:rsid w:val="003C4DFB"/>
    <w:rsid w:val="003C6339"/>
    <w:rsid w:val="003D2364"/>
    <w:rsid w:val="003D2F88"/>
    <w:rsid w:val="003D4343"/>
    <w:rsid w:val="003D7824"/>
    <w:rsid w:val="003E33ED"/>
    <w:rsid w:val="003E6938"/>
    <w:rsid w:val="003F63E1"/>
    <w:rsid w:val="003F6962"/>
    <w:rsid w:val="004117C2"/>
    <w:rsid w:val="00411DCF"/>
    <w:rsid w:val="00412FD4"/>
    <w:rsid w:val="00416273"/>
    <w:rsid w:val="00416A45"/>
    <w:rsid w:val="00420C75"/>
    <w:rsid w:val="00423885"/>
    <w:rsid w:val="004254AF"/>
    <w:rsid w:val="00425A8E"/>
    <w:rsid w:val="004346E8"/>
    <w:rsid w:val="00434ECC"/>
    <w:rsid w:val="004444ED"/>
    <w:rsid w:val="004618CF"/>
    <w:rsid w:val="00462CEB"/>
    <w:rsid w:val="0046335C"/>
    <w:rsid w:val="00463B95"/>
    <w:rsid w:val="0047015F"/>
    <w:rsid w:val="00471815"/>
    <w:rsid w:val="0047450F"/>
    <w:rsid w:val="00475116"/>
    <w:rsid w:val="00476103"/>
    <w:rsid w:val="00476A99"/>
    <w:rsid w:val="004803AE"/>
    <w:rsid w:val="00481999"/>
    <w:rsid w:val="00481F87"/>
    <w:rsid w:val="004841E8"/>
    <w:rsid w:val="004859B2"/>
    <w:rsid w:val="00490B47"/>
    <w:rsid w:val="004976B3"/>
    <w:rsid w:val="004A2284"/>
    <w:rsid w:val="004A2953"/>
    <w:rsid w:val="004A3E04"/>
    <w:rsid w:val="004A4006"/>
    <w:rsid w:val="004B4017"/>
    <w:rsid w:val="004B496D"/>
    <w:rsid w:val="004B5FAC"/>
    <w:rsid w:val="004B6B8A"/>
    <w:rsid w:val="004D1C18"/>
    <w:rsid w:val="004D2A04"/>
    <w:rsid w:val="004D4C57"/>
    <w:rsid w:val="004D76F9"/>
    <w:rsid w:val="004E16B7"/>
    <w:rsid w:val="004E1B1C"/>
    <w:rsid w:val="004F0C1D"/>
    <w:rsid w:val="004F33D2"/>
    <w:rsid w:val="005010BB"/>
    <w:rsid w:val="005045EF"/>
    <w:rsid w:val="00504C45"/>
    <w:rsid w:val="00505943"/>
    <w:rsid w:val="005063AA"/>
    <w:rsid w:val="00506A42"/>
    <w:rsid w:val="00506AF6"/>
    <w:rsid w:val="00507654"/>
    <w:rsid w:val="00511033"/>
    <w:rsid w:val="00513DC2"/>
    <w:rsid w:val="00516D3A"/>
    <w:rsid w:val="00517039"/>
    <w:rsid w:val="00517147"/>
    <w:rsid w:val="00520B53"/>
    <w:rsid w:val="005254D9"/>
    <w:rsid w:val="005272B3"/>
    <w:rsid w:val="00530172"/>
    <w:rsid w:val="00532FB7"/>
    <w:rsid w:val="0053600A"/>
    <w:rsid w:val="005361F9"/>
    <w:rsid w:val="00543580"/>
    <w:rsid w:val="005450ED"/>
    <w:rsid w:val="0055457C"/>
    <w:rsid w:val="00563605"/>
    <w:rsid w:val="005640D4"/>
    <w:rsid w:val="00566815"/>
    <w:rsid w:val="0057241E"/>
    <w:rsid w:val="005753DA"/>
    <w:rsid w:val="0058062C"/>
    <w:rsid w:val="00584C27"/>
    <w:rsid w:val="00585F9A"/>
    <w:rsid w:val="005913EE"/>
    <w:rsid w:val="005A4340"/>
    <w:rsid w:val="005A4577"/>
    <w:rsid w:val="005B137A"/>
    <w:rsid w:val="005B48A5"/>
    <w:rsid w:val="005B598D"/>
    <w:rsid w:val="005B60B9"/>
    <w:rsid w:val="005C020A"/>
    <w:rsid w:val="005C06C2"/>
    <w:rsid w:val="005C177D"/>
    <w:rsid w:val="005C2978"/>
    <w:rsid w:val="005C35C7"/>
    <w:rsid w:val="005C3BE2"/>
    <w:rsid w:val="005D10C5"/>
    <w:rsid w:val="005D1693"/>
    <w:rsid w:val="005E312F"/>
    <w:rsid w:val="005E68B7"/>
    <w:rsid w:val="005E7842"/>
    <w:rsid w:val="005E79A8"/>
    <w:rsid w:val="005F03CB"/>
    <w:rsid w:val="005F1EEF"/>
    <w:rsid w:val="005F3326"/>
    <w:rsid w:val="005F4438"/>
    <w:rsid w:val="005F5DCC"/>
    <w:rsid w:val="00600089"/>
    <w:rsid w:val="00602962"/>
    <w:rsid w:val="00605174"/>
    <w:rsid w:val="006143A8"/>
    <w:rsid w:val="00615A81"/>
    <w:rsid w:val="0062359F"/>
    <w:rsid w:val="006353EF"/>
    <w:rsid w:val="006428AF"/>
    <w:rsid w:val="00643772"/>
    <w:rsid w:val="0065653C"/>
    <w:rsid w:val="00660253"/>
    <w:rsid w:val="0066604A"/>
    <w:rsid w:val="006662B0"/>
    <w:rsid w:val="00670C8F"/>
    <w:rsid w:val="00677407"/>
    <w:rsid w:val="00677734"/>
    <w:rsid w:val="006819E5"/>
    <w:rsid w:val="00681D73"/>
    <w:rsid w:val="00683321"/>
    <w:rsid w:val="0068599B"/>
    <w:rsid w:val="00690EA0"/>
    <w:rsid w:val="00691775"/>
    <w:rsid w:val="006A5B68"/>
    <w:rsid w:val="006B30AE"/>
    <w:rsid w:val="006B3953"/>
    <w:rsid w:val="006B4BBD"/>
    <w:rsid w:val="006B54B9"/>
    <w:rsid w:val="006C2901"/>
    <w:rsid w:val="006C509C"/>
    <w:rsid w:val="006C5353"/>
    <w:rsid w:val="006C5DD4"/>
    <w:rsid w:val="006C613C"/>
    <w:rsid w:val="006C710E"/>
    <w:rsid w:val="006D5E0D"/>
    <w:rsid w:val="006E37D2"/>
    <w:rsid w:val="006F066A"/>
    <w:rsid w:val="006F132C"/>
    <w:rsid w:val="006F21A7"/>
    <w:rsid w:val="006F343F"/>
    <w:rsid w:val="00704CA8"/>
    <w:rsid w:val="00706399"/>
    <w:rsid w:val="00707078"/>
    <w:rsid w:val="00710FF9"/>
    <w:rsid w:val="00714108"/>
    <w:rsid w:val="007214E2"/>
    <w:rsid w:val="00721593"/>
    <w:rsid w:val="007230F9"/>
    <w:rsid w:val="00724C51"/>
    <w:rsid w:val="007308B2"/>
    <w:rsid w:val="00731E59"/>
    <w:rsid w:val="00732A64"/>
    <w:rsid w:val="0073329C"/>
    <w:rsid w:val="00733C98"/>
    <w:rsid w:val="00734A16"/>
    <w:rsid w:val="0074185B"/>
    <w:rsid w:val="00743AEE"/>
    <w:rsid w:val="007450AB"/>
    <w:rsid w:val="0074597F"/>
    <w:rsid w:val="007641FD"/>
    <w:rsid w:val="00764D25"/>
    <w:rsid w:val="00765F86"/>
    <w:rsid w:val="00766010"/>
    <w:rsid w:val="007662AE"/>
    <w:rsid w:val="007670D1"/>
    <w:rsid w:val="007715B1"/>
    <w:rsid w:val="007726E0"/>
    <w:rsid w:val="00776FBB"/>
    <w:rsid w:val="007800A8"/>
    <w:rsid w:val="007805EC"/>
    <w:rsid w:val="00781F4E"/>
    <w:rsid w:val="00782A56"/>
    <w:rsid w:val="007835F0"/>
    <w:rsid w:val="0078526A"/>
    <w:rsid w:val="00786213"/>
    <w:rsid w:val="00792096"/>
    <w:rsid w:val="00794F3C"/>
    <w:rsid w:val="007951AF"/>
    <w:rsid w:val="00795228"/>
    <w:rsid w:val="007B0AF5"/>
    <w:rsid w:val="007B2341"/>
    <w:rsid w:val="007B294C"/>
    <w:rsid w:val="007B66D0"/>
    <w:rsid w:val="007C1D13"/>
    <w:rsid w:val="007C21BF"/>
    <w:rsid w:val="007D0DC8"/>
    <w:rsid w:val="007D5D88"/>
    <w:rsid w:val="007D6DAD"/>
    <w:rsid w:val="007E259F"/>
    <w:rsid w:val="007E5921"/>
    <w:rsid w:val="007F0C97"/>
    <w:rsid w:val="007F17C1"/>
    <w:rsid w:val="008028A7"/>
    <w:rsid w:val="00802967"/>
    <w:rsid w:val="008036CF"/>
    <w:rsid w:val="00807A29"/>
    <w:rsid w:val="00810083"/>
    <w:rsid w:val="0081550A"/>
    <w:rsid w:val="00822D2F"/>
    <w:rsid w:val="00823D62"/>
    <w:rsid w:val="00824A86"/>
    <w:rsid w:val="008268EC"/>
    <w:rsid w:val="00830215"/>
    <w:rsid w:val="0083092E"/>
    <w:rsid w:val="008317A6"/>
    <w:rsid w:val="00833101"/>
    <w:rsid w:val="0083334F"/>
    <w:rsid w:val="008425CA"/>
    <w:rsid w:val="00843260"/>
    <w:rsid w:val="00843B6B"/>
    <w:rsid w:val="008531E4"/>
    <w:rsid w:val="0085439B"/>
    <w:rsid w:val="008575F2"/>
    <w:rsid w:val="0086687A"/>
    <w:rsid w:val="008703B8"/>
    <w:rsid w:val="00871464"/>
    <w:rsid w:val="00871B6A"/>
    <w:rsid w:val="00872E80"/>
    <w:rsid w:val="008827D9"/>
    <w:rsid w:val="008844F8"/>
    <w:rsid w:val="00887F6D"/>
    <w:rsid w:val="00892CF7"/>
    <w:rsid w:val="00897240"/>
    <w:rsid w:val="00897D93"/>
    <w:rsid w:val="008A0DCC"/>
    <w:rsid w:val="008A2C65"/>
    <w:rsid w:val="008A39FE"/>
    <w:rsid w:val="008A3C19"/>
    <w:rsid w:val="008A4109"/>
    <w:rsid w:val="008A697A"/>
    <w:rsid w:val="008A72AC"/>
    <w:rsid w:val="008B027B"/>
    <w:rsid w:val="008B2D8F"/>
    <w:rsid w:val="008B40B3"/>
    <w:rsid w:val="008C0DBC"/>
    <w:rsid w:val="008C1305"/>
    <w:rsid w:val="008D011C"/>
    <w:rsid w:val="008D0740"/>
    <w:rsid w:val="008D22C4"/>
    <w:rsid w:val="008E1806"/>
    <w:rsid w:val="008E1D41"/>
    <w:rsid w:val="008E23C2"/>
    <w:rsid w:val="008F3D74"/>
    <w:rsid w:val="008F4E56"/>
    <w:rsid w:val="00900B02"/>
    <w:rsid w:val="0090248E"/>
    <w:rsid w:val="00906F15"/>
    <w:rsid w:val="009072B5"/>
    <w:rsid w:val="00907FAB"/>
    <w:rsid w:val="0091081A"/>
    <w:rsid w:val="00913174"/>
    <w:rsid w:val="0092500C"/>
    <w:rsid w:val="00926005"/>
    <w:rsid w:val="00931097"/>
    <w:rsid w:val="00932128"/>
    <w:rsid w:val="00933C34"/>
    <w:rsid w:val="00934BD3"/>
    <w:rsid w:val="00934C39"/>
    <w:rsid w:val="009406D6"/>
    <w:rsid w:val="0094534A"/>
    <w:rsid w:val="009471D0"/>
    <w:rsid w:val="00951D67"/>
    <w:rsid w:val="00956771"/>
    <w:rsid w:val="00956A89"/>
    <w:rsid w:val="00957544"/>
    <w:rsid w:val="00974A3A"/>
    <w:rsid w:val="0098260F"/>
    <w:rsid w:val="00982CDB"/>
    <w:rsid w:val="00993DD9"/>
    <w:rsid w:val="0099704F"/>
    <w:rsid w:val="009A435E"/>
    <w:rsid w:val="009A4FE5"/>
    <w:rsid w:val="009A7117"/>
    <w:rsid w:val="009B61FD"/>
    <w:rsid w:val="009C06F5"/>
    <w:rsid w:val="009C3632"/>
    <w:rsid w:val="009C791D"/>
    <w:rsid w:val="009D5D2A"/>
    <w:rsid w:val="009D7DF4"/>
    <w:rsid w:val="009E3A06"/>
    <w:rsid w:val="009E55DE"/>
    <w:rsid w:val="009E5AFC"/>
    <w:rsid w:val="009F2FE4"/>
    <w:rsid w:val="009F3E28"/>
    <w:rsid w:val="009F79A4"/>
    <w:rsid w:val="00A000A4"/>
    <w:rsid w:val="00A17373"/>
    <w:rsid w:val="00A20081"/>
    <w:rsid w:val="00A244AA"/>
    <w:rsid w:val="00A26CA5"/>
    <w:rsid w:val="00A26E5E"/>
    <w:rsid w:val="00A27EDB"/>
    <w:rsid w:val="00A33F4D"/>
    <w:rsid w:val="00A40693"/>
    <w:rsid w:val="00A40F77"/>
    <w:rsid w:val="00A41FCF"/>
    <w:rsid w:val="00A438CB"/>
    <w:rsid w:val="00A44E3D"/>
    <w:rsid w:val="00A5017E"/>
    <w:rsid w:val="00A56AD3"/>
    <w:rsid w:val="00A60557"/>
    <w:rsid w:val="00A6116C"/>
    <w:rsid w:val="00A66866"/>
    <w:rsid w:val="00A77EA8"/>
    <w:rsid w:val="00A83A05"/>
    <w:rsid w:val="00A84014"/>
    <w:rsid w:val="00A93801"/>
    <w:rsid w:val="00A95DDB"/>
    <w:rsid w:val="00AA7F51"/>
    <w:rsid w:val="00AB7B89"/>
    <w:rsid w:val="00AD66CC"/>
    <w:rsid w:val="00AE2A1C"/>
    <w:rsid w:val="00AE5C89"/>
    <w:rsid w:val="00AE78A6"/>
    <w:rsid w:val="00AF1B38"/>
    <w:rsid w:val="00B00284"/>
    <w:rsid w:val="00B01DBE"/>
    <w:rsid w:val="00B0359D"/>
    <w:rsid w:val="00B06E18"/>
    <w:rsid w:val="00B07080"/>
    <w:rsid w:val="00B10CE9"/>
    <w:rsid w:val="00B12630"/>
    <w:rsid w:val="00B27A20"/>
    <w:rsid w:val="00B309FB"/>
    <w:rsid w:val="00B34F0D"/>
    <w:rsid w:val="00B356E8"/>
    <w:rsid w:val="00B37076"/>
    <w:rsid w:val="00B409E6"/>
    <w:rsid w:val="00B40C14"/>
    <w:rsid w:val="00B42711"/>
    <w:rsid w:val="00B43239"/>
    <w:rsid w:val="00B43ABE"/>
    <w:rsid w:val="00B47FC3"/>
    <w:rsid w:val="00B54869"/>
    <w:rsid w:val="00B55183"/>
    <w:rsid w:val="00B608DC"/>
    <w:rsid w:val="00B75070"/>
    <w:rsid w:val="00B765AE"/>
    <w:rsid w:val="00B81E28"/>
    <w:rsid w:val="00B925C2"/>
    <w:rsid w:val="00B949F3"/>
    <w:rsid w:val="00B9532B"/>
    <w:rsid w:val="00B95795"/>
    <w:rsid w:val="00B97102"/>
    <w:rsid w:val="00BA0B9B"/>
    <w:rsid w:val="00BA38E0"/>
    <w:rsid w:val="00BB5057"/>
    <w:rsid w:val="00BB634A"/>
    <w:rsid w:val="00BC4134"/>
    <w:rsid w:val="00BC5237"/>
    <w:rsid w:val="00BC6FA1"/>
    <w:rsid w:val="00BD055E"/>
    <w:rsid w:val="00BD05AE"/>
    <w:rsid w:val="00BD177C"/>
    <w:rsid w:val="00BD247E"/>
    <w:rsid w:val="00BD3652"/>
    <w:rsid w:val="00BD6D80"/>
    <w:rsid w:val="00BD7B2C"/>
    <w:rsid w:val="00BE22F0"/>
    <w:rsid w:val="00BE3515"/>
    <w:rsid w:val="00BE473B"/>
    <w:rsid w:val="00BE504A"/>
    <w:rsid w:val="00BE5E58"/>
    <w:rsid w:val="00BE6AA1"/>
    <w:rsid w:val="00C00BE2"/>
    <w:rsid w:val="00C036F7"/>
    <w:rsid w:val="00C06695"/>
    <w:rsid w:val="00C06B64"/>
    <w:rsid w:val="00C13A65"/>
    <w:rsid w:val="00C14B76"/>
    <w:rsid w:val="00C17713"/>
    <w:rsid w:val="00C21E67"/>
    <w:rsid w:val="00C25DB9"/>
    <w:rsid w:val="00C30919"/>
    <w:rsid w:val="00C37F36"/>
    <w:rsid w:val="00C4472C"/>
    <w:rsid w:val="00C54344"/>
    <w:rsid w:val="00C55408"/>
    <w:rsid w:val="00C558CF"/>
    <w:rsid w:val="00C60CE1"/>
    <w:rsid w:val="00C60DE2"/>
    <w:rsid w:val="00C670C2"/>
    <w:rsid w:val="00C67B50"/>
    <w:rsid w:val="00C762CB"/>
    <w:rsid w:val="00C7705C"/>
    <w:rsid w:val="00C811A7"/>
    <w:rsid w:val="00C957A1"/>
    <w:rsid w:val="00CA0CDB"/>
    <w:rsid w:val="00CA33F3"/>
    <w:rsid w:val="00CA635E"/>
    <w:rsid w:val="00CA7B80"/>
    <w:rsid w:val="00CB0A83"/>
    <w:rsid w:val="00CB3501"/>
    <w:rsid w:val="00CB61B2"/>
    <w:rsid w:val="00CC36BF"/>
    <w:rsid w:val="00CC4987"/>
    <w:rsid w:val="00CC527B"/>
    <w:rsid w:val="00CD153F"/>
    <w:rsid w:val="00CE2474"/>
    <w:rsid w:val="00CE7B3B"/>
    <w:rsid w:val="00D04B80"/>
    <w:rsid w:val="00D20632"/>
    <w:rsid w:val="00D227DB"/>
    <w:rsid w:val="00D24B2E"/>
    <w:rsid w:val="00D25E5A"/>
    <w:rsid w:val="00D261DA"/>
    <w:rsid w:val="00D41DE6"/>
    <w:rsid w:val="00D42567"/>
    <w:rsid w:val="00D43EE8"/>
    <w:rsid w:val="00D44721"/>
    <w:rsid w:val="00D46EBF"/>
    <w:rsid w:val="00D5054E"/>
    <w:rsid w:val="00D5529C"/>
    <w:rsid w:val="00D561D8"/>
    <w:rsid w:val="00D565CB"/>
    <w:rsid w:val="00D577D2"/>
    <w:rsid w:val="00D57AF5"/>
    <w:rsid w:val="00D60AF1"/>
    <w:rsid w:val="00D6194B"/>
    <w:rsid w:val="00D67A51"/>
    <w:rsid w:val="00D72601"/>
    <w:rsid w:val="00D73F88"/>
    <w:rsid w:val="00D8410E"/>
    <w:rsid w:val="00D93F2C"/>
    <w:rsid w:val="00D94446"/>
    <w:rsid w:val="00D95A39"/>
    <w:rsid w:val="00DB37B0"/>
    <w:rsid w:val="00DB6159"/>
    <w:rsid w:val="00DB61E4"/>
    <w:rsid w:val="00DC26B9"/>
    <w:rsid w:val="00DD1464"/>
    <w:rsid w:val="00DD26BD"/>
    <w:rsid w:val="00DD3B44"/>
    <w:rsid w:val="00DD58F4"/>
    <w:rsid w:val="00DD5DA1"/>
    <w:rsid w:val="00DD6D43"/>
    <w:rsid w:val="00DD7043"/>
    <w:rsid w:val="00DE16DD"/>
    <w:rsid w:val="00DE2472"/>
    <w:rsid w:val="00DE2AB7"/>
    <w:rsid w:val="00DE681E"/>
    <w:rsid w:val="00DF0A9D"/>
    <w:rsid w:val="00DF1174"/>
    <w:rsid w:val="00DF65F8"/>
    <w:rsid w:val="00DF6C84"/>
    <w:rsid w:val="00E0642D"/>
    <w:rsid w:val="00E07C31"/>
    <w:rsid w:val="00E115A7"/>
    <w:rsid w:val="00E13908"/>
    <w:rsid w:val="00E21012"/>
    <w:rsid w:val="00E22840"/>
    <w:rsid w:val="00E26FCD"/>
    <w:rsid w:val="00E445E1"/>
    <w:rsid w:val="00E46293"/>
    <w:rsid w:val="00E475DE"/>
    <w:rsid w:val="00E503BC"/>
    <w:rsid w:val="00E61619"/>
    <w:rsid w:val="00E62744"/>
    <w:rsid w:val="00E70F95"/>
    <w:rsid w:val="00E74800"/>
    <w:rsid w:val="00E8194C"/>
    <w:rsid w:val="00E86432"/>
    <w:rsid w:val="00E9313C"/>
    <w:rsid w:val="00E93FE5"/>
    <w:rsid w:val="00E95BE0"/>
    <w:rsid w:val="00E972C3"/>
    <w:rsid w:val="00EA0E4C"/>
    <w:rsid w:val="00EA19C0"/>
    <w:rsid w:val="00EA21B7"/>
    <w:rsid w:val="00EA4CD3"/>
    <w:rsid w:val="00EB0A6C"/>
    <w:rsid w:val="00EB1072"/>
    <w:rsid w:val="00EB2DA5"/>
    <w:rsid w:val="00EB5828"/>
    <w:rsid w:val="00EB5965"/>
    <w:rsid w:val="00EB7879"/>
    <w:rsid w:val="00EC17AB"/>
    <w:rsid w:val="00EC7BFF"/>
    <w:rsid w:val="00ED4935"/>
    <w:rsid w:val="00ED599D"/>
    <w:rsid w:val="00ED611C"/>
    <w:rsid w:val="00ED6C4F"/>
    <w:rsid w:val="00EE0B7A"/>
    <w:rsid w:val="00EE3EAC"/>
    <w:rsid w:val="00EE40E6"/>
    <w:rsid w:val="00EF0A28"/>
    <w:rsid w:val="00EF3A6C"/>
    <w:rsid w:val="00EF57DD"/>
    <w:rsid w:val="00EF5D87"/>
    <w:rsid w:val="00EF70FE"/>
    <w:rsid w:val="00F00B76"/>
    <w:rsid w:val="00F11CCC"/>
    <w:rsid w:val="00F13A8C"/>
    <w:rsid w:val="00F14361"/>
    <w:rsid w:val="00F14BC1"/>
    <w:rsid w:val="00F2414F"/>
    <w:rsid w:val="00F2606C"/>
    <w:rsid w:val="00F2669D"/>
    <w:rsid w:val="00F31DC4"/>
    <w:rsid w:val="00F31EF9"/>
    <w:rsid w:val="00F34BAC"/>
    <w:rsid w:val="00F363B1"/>
    <w:rsid w:val="00F36F2C"/>
    <w:rsid w:val="00F37D97"/>
    <w:rsid w:val="00F402EB"/>
    <w:rsid w:val="00F43999"/>
    <w:rsid w:val="00F51C2D"/>
    <w:rsid w:val="00F5682D"/>
    <w:rsid w:val="00F574A0"/>
    <w:rsid w:val="00F600F8"/>
    <w:rsid w:val="00F660EB"/>
    <w:rsid w:val="00F80238"/>
    <w:rsid w:val="00F80EC9"/>
    <w:rsid w:val="00F82BBF"/>
    <w:rsid w:val="00F8635C"/>
    <w:rsid w:val="00F92E6C"/>
    <w:rsid w:val="00F93550"/>
    <w:rsid w:val="00F9525C"/>
    <w:rsid w:val="00F957B7"/>
    <w:rsid w:val="00F975AA"/>
    <w:rsid w:val="00FA0A80"/>
    <w:rsid w:val="00FA1BE7"/>
    <w:rsid w:val="00FA276D"/>
    <w:rsid w:val="00FA67EB"/>
    <w:rsid w:val="00FA7AB6"/>
    <w:rsid w:val="00FB35C3"/>
    <w:rsid w:val="00FB4FB7"/>
    <w:rsid w:val="00FB6A7D"/>
    <w:rsid w:val="00FC42C5"/>
    <w:rsid w:val="00FC71A0"/>
    <w:rsid w:val="00FD064A"/>
    <w:rsid w:val="00FD23A6"/>
    <w:rsid w:val="00FD5AF0"/>
    <w:rsid w:val="00FE0EBD"/>
    <w:rsid w:val="00FE134C"/>
    <w:rsid w:val="00FE45E9"/>
    <w:rsid w:val="00FE5182"/>
    <w:rsid w:val="00FF1778"/>
    <w:rsid w:val="00FF683A"/>
    <w:rsid w:val="029D2EEE"/>
    <w:rsid w:val="039C6C8F"/>
    <w:rsid w:val="040D4F07"/>
    <w:rsid w:val="04E946A2"/>
    <w:rsid w:val="0591134E"/>
    <w:rsid w:val="0AA075E9"/>
    <w:rsid w:val="168004AF"/>
    <w:rsid w:val="18460003"/>
    <w:rsid w:val="186E33F9"/>
    <w:rsid w:val="1DF14A65"/>
    <w:rsid w:val="1EBF1518"/>
    <w:rsid w:val="1F5B6523"/>
    <w:rsid w:val="23F342E5"/>
    <w:rsid w:val="29141D35"/>
    <w:rsid w:val="2A292A32"/>
    <w:rsid w:val="2BEA3F2C"/>
    <w:rsid w:val="2DCF60C9"/>
    <w:rsid w:val="2E344369"/>
    <w:rsid w:val="2F037DD9"/>
    <w:rsid w:val="2F176914"/>
    <w:rsid w:val="30E83202"/>
    <w:rsid w:val="331714ED"/>
    <w:rsid w:val="38E21FD1"/>
    <w:rsid w:val="39DA7334"/>
    <w:rsid w:val="3A0D119D"/>
    <w:rsid w:val="3C453925"/>
    <w:rsid w:val="3F8970A9"/>
    <w:rsid w:val="400D61AA"/>
    <w:rsid w:val="40C506C7"/>
    <w:rsid w:val="452355CB"/>
    <w:rsid w:val="46B56B3E"/>
    <w:rsid w:val="492E1DA2"/>
    <w:rsid w:val="4C3E2D28"/>
    <w:rsid w:val="4D9D385D"/>
    <w:rsid w:val="4EDD3791"/>
    <w:rsid w:val="4F9C38B7"/>
    <w:rsid w:val="579324DF"/>
    <w:rsid w:val="58FB7E18"/>
    <w:rsid w:val="59BA08C1"/>
    <w:rsid w:val="5B6D0809"/>
    <w:rsid w:val="5E9D36BD"/>
    <w:rsid w:val="5EEF1CDA"/>
    <w:rsid w:val="6BC74683"/>
    <w:rsid w:val="71273577"/>
    <w:rsid w:val="7A0F14BB"/>
    <w:rsid w:val="7A51411A"/>
    <w:rsid w:val="7C1D0A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sz w:val="21"/>
      <w:szCs w:val="22"/>
      <w:lang w:val="en-US" w:eastAsia="zh-CN" w:bidi="ar-SA"/>
    </w:rPr>
  </w:style>
  <w:style w:type="paragraph" w:styleId="2">
    <w:name w:val="heading 1"/>
    <w:basedOn w:val="1"/>
    <w:next w:val="1"/>
    <w:link w:val="206"/>
    <w:qFormat/>
    <w:uiPriority w:val="0"/>
    <w:pPr>
      <w:spacing w:line="360" w:lineRule="auto"/>
      <w:jc w:val="center"/>
      <w:outlineLvl w:val="0"/>
    </w:pPr>
    <w:rPr>
      <w:b/>
      <w:sz w:val="36"/>
      <w:szCs w:val="36"/>
    </w:rPr>
  </w:style>
  <w:style w:type="paragraph" w:styleId="3">
    <w:name w:val="heading 2"/>
    <w:basedOn w:val="1"/>
    <w:next w:val="4"/>
    <w:link w:val="207"/>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209"/>
    <w:qFormat/>
    <w:uiPriority w:val="0"/>
    <w:pPr>
      <w:keepNext/>
      <w:keepLines/>
      <w:spacing w:before="260" w:after="260" w:line="416" w:lineRule="auto"/>
      <w:outlineLvl w:val="2"/>
    </w:pPr>
    <w:rPr>
      <w:b/>
      <w:bCs/>
      <w:sz w:val="32"/>
      <w:szCs w:val="32"/>
    </w:rPr>
  </w:style>
  <w:style w:type="paragraph" w:styleId="6">
    <w:name w:val="heading 4"/>
    <w:basedOn w:val="1"/>
    <w:next w:val="1"/>
    <w:link w:val="210"/>
    <w:qFormat/>
    <w:uiPriority w:val="0"/>
    <w:pPr>
      <w:keepNext/>
      <w:keepLines/>
      <w:spacing w:before="280" w:after="290" w:line="376" w:lineRule="atLeast"/>
      <w:outlineLvl w:val="3"/>
    </w:pPr>
    <w:rPr>
      <w:rFonts w:ascii="Arial" w:hAnsi="Arial" w:eastAsia="黑体" w:cs="Times New Roman"/>
      <w:b/>
      <w:sz w:val="28"/>
    </w:rPr>
  </w:style>
  <w:style w:type="paragraph" w:styleId="7">
    <w:name w:val="heading 5"/>
    <w:basedOn w:val="1"/>
    <w:next w:val="1"/>
    <w:link w:val="211"/>
    <w:qFormat/>
    <w:uiPriority w:val="0"/>
    <w:pPr>
      <w:keepNext/>
      <w:keepLines/>
      <w:spacing w:before="280" w:after="290" w:line="376" w:lineRule="atLeast"/>
      <w:outlineLvl w:val="4"/>
    </w:pPr>
    <w:rPr>
      <w:rFonts w:ascii="Times New Roman" w:hAnsi="Times New Roman" w:cs="Times New Roman"/>
      <w:b/>
      <w:sz w:val="28"/>
    </w:rPr>
  </w:style>
  <w:style w:type="paragraph" w:styleId="8">
    <w:name w:val="heading 6"/>
    <w:basedOn w:val="1"/>
    <w:next w:val="1"/>
    <w:link w:val="212"/>
    <w:qFormat/>
    <w:uiPriority w:val="0"/>
    <w:pPr>
      <w:keepNext/>
      <w:keepLines/>
      <w:spacing w:before="240" w:after="64" w:line="320" w:lineRule="atLeast"/>
      <w:outlineLvl w:val="5"/>
    </w:pPr>
    <w:rPr>
      <w:rFonts w:ascii="Arial" w:hAnsi="Arial" w:eastAsia="黑体" w:cs="Times New Roman"/>
      <w:b/>
      <w:sz w:val="24"/>
    </w:rPr>
  </w:style>
  <w:style w:type="paragraph" w:styleId="9">
    <w:name w:val="heading 7"/>
    <w:basedOn w:val="1"/>
    <w:next w:val="1"/>
    <w:link w:val="213"/>
    <w:qFormat/>
    <w:uiPriority w:val="0"/>
    <w:pPr>
      <w:keepNext/>
      <w:keepLines/>
      <w:spacing w:before="240" w:after="64" w:line="320" w:lineRule="atLeast"/>
      <w:outlineLvl w:val="6"/>
    </w:pPr>
    <w:rPr>
      <w:rFonts w:ascii="Times New Roman" w:hAnsi="Times New Roman" w:cs="Times New Roman"/>
      <w:b/>
      <w:sz w:val="24"/>
    </w:rPr>
  </w:style>
  <w:style w:type="paragraph" w:styleId="10">
    <w:name w:val="heading 8"/>
    <w:basedOn w:val="1"/>
    <w:next w:val="1"/>
    <w:link w:val="214"/>
    <w:qFormat/>
    <w:uiPriority w:val="0"/>
    <w:pPr>
      <w:keepNext/>
      <w:keepLines/>
      <w:spacing w:before="240" w:after="64" w:line="320" w:lineRule="atLeast"/>
      <w:outlineLvl w:val="7"/>
    </w:pPr>
    <w:rPr>
      <w:rFonts w:ascii="Arial" w:hAnsi="Arial" w:eastAsia="黑体" w:cs="Times New Roman"/>
      <w:sz w:val="24"/>
    </w:rPr>
  </w:style>
  <w:style w:type="paragraph" w:styleId="11">
    <w:name w:val="heading 9"/>
    <w:basedOn w:val="1"/>
    <w:next w:val="1"/>
    <w:link w:val="215"/>
    <w:qFormat/>
    <w:uiPriority w:val="0"/>
    <w:pPr>
      <w:keepNext/>
      <w:keepLines/>
      <w:spacing w:before="240" w:after="64" w:line="320" w:lineRule="atLeast"/>
      <w:outlineLvl w:val="8"/>
    </w:pPr>
    <w:rPr>
      <w:rFonts w:ascii="Arial" w:hAnsi="Arial" w:eastAsia="黑体" w:cs="Times New Roman"/>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208"/>
    <w:qFormat/>
    <w:uiPriority w:val="0"/>
    <w:pPr>
      <w:ind w:firstLine="420"/>
      <w:jc w:val="left"/>
    </w:pPr>
    <w:rPr>
      <w:rFonts w:ascii="宋体"/>
      <w:sz w:val="24"/>
    </w:rPr>
  </w:style>
  <w:style w:type="paragraph" w:styleId="12">
    <w:name w:val="toc 7"/>
    <w:basedOn w:val="1"/>
    <w:next w:val="1"/>
    <w:qFormat/>
    <w:uiPriority w:val="0"/>
    <w:pPr>
      <w:ind w:left="2520"/>
    </w:pPr>
    <w:rPr>
      <w:rFonts w:ascii="Times New Roman" w:hAnsi="Times New Roman" w:cs="Times New Roman"/>
      <w:szCs w:val="24"/>
    </w:rPr>
  </w:style>
  <w:style w:type="paragraph" w:styleId="13">
    <w:name w:val="caption"/>
    <w:basedOn w:val="1"/>
    <w:next w:val="1"/>
    <w:qFormat/>
    <w:uiPriority w:val="0"/>
    <w:pPr>
      <w:spacing w:line="480" w:lineRule="auto"/>
    </w:pPr>
    <w:rPr>
      <w:rFonts w:ascii="华文中宋" w:hAnsi="华文中宋" w:eastAsia="华文中宋" w:cs="Times New Roman"/>
      <w:sz w:val="36"/>
      <w:szCs w:val="20"/>
    </w:rPr>
  </w:style>
  <w:style w:type="paragraph" w:styleId="14">
    <w:name w:val="Document Map"/>
    <w:basedOn w:val="1"/>
    <w:link w:val="230"/>
    <w:qFormat/>
    <w:uiPriority w:val="0"/>
    <w:rPr>
      <w:rFonts w:ascii="宋体"/>
      <w:sz w:val="18"/>
      <w:szCs w:val="18"/>
    </w:rPr>
  </w:style>
  <w:style w:type="paragraph" w:styleId="15">
    <w:name w:val="annotation text"/>
    <w:basedOn w:val="1"/>
    <w:link w:val="216"/>
    <w:qFormat/>
    <w:uiPriority w:val="0"/>
    <w:pPr>
      <w:jc w:val="left"/>
    </w:pPr>
  </w:style>
  <w:style w:type="paragraph" w:styleId="16">
    <w:name w:val="Body Text 3"/>
    <w:basedOn w:val="1"/>
    <w:link w:val="238"/>
    <w:qFormat/>
    <w:uiPriority w:val="0"/>
    <w:pPr>
      <w:spacing w:after="120"/>
    </w:pPr>
    <w:rPr>
      <w:rFonts w:ascii="Times New Roman" w:hAnsi="Times New Roman" w:cs="Times New Roman"/>
      <w:sz w:val="16"/>
      <w:szCs w:val="16"/>
    </w:rPr>
  </w:style>
  <w:style w:type="paragraph" w:styleId="17">
    <w:name w:val="Body Text"/>
    <w:basedOn w:val="1"/>
    <w:link w:val="205"/>
    <w:qFormat/>
    <w:uiPriority w:val="0"/>
    <w:pPr>
      <w:tabs>
        <w:tab w:val="left" w:pos="567"/>
      </w:tabs>
      <w:spacing w:before="120" w:line="22" w:lineRule="atLeast"/>
    </w:pPr>
    <w:rPr>
      <w:rFonts w:ascii="宋体" w:hAnsi="宋体" w:cs="Times New Roman"/>
      <w:sz w:val="24"/>
      <w:szCs w:val="24"/>
    </w:rPr>
  </w:style>
  <w:style w:type="paragraph" w:styleId="18">
    <w:name w:val="Body Text Indent"/>
    <w:basedOn w:val="1"/>
    <w:next w:val="1"/>
    <w:link w:val="222"/>
    <w:qFormat/>
    <w:uiPriority w:val="0"/>
    <w:pPr>
      <w:spacing w:line="360" w:lineRule="auto"/>
      <w:ind w:firstLine="570"/>
    </w:pPr>
  </w:style>
  <w:style w:type="paragraph" w:styleId="19">
    <w:name w:val="List 2"/>
    <w:basedOn w:val="1"/>
    <w:qFormat/>
    <w:uiPriority w:val="0"/>
    <w:pPr>
      <w:ind w:left="100" w:hanging="200"/>
    </w:pPr>
    <w:rPr>
      <w:rFonts w:ascii="Times New Roman" w:hAnsi="Times New Roman" w:cs="Times New Roman"/>
      <w:szCs w:val="24"/>
    </w:rPr>
  </w:style>
  <w:style w:type="paragraph" w:styleId="20">
    <w:name w:val="Block Text"/>
    <w:basedOn w:val="1"/>
    <w:qFormat/>
    <w:uiPriority w:val="0"/>
    <w:pPr>
      <w:widowControl/>
      <w:ind w:left="480" w:right="-341" w:firstLine="513"/>
    </w:pPr>
    <w:rPr>
      <w:rFonts w:ascii="Times New Roman" w:hAnsi="Times New Roman" w:cs="Times New Roman"/>
      <w:sz w:val="24"/>
      <w:szCs w:val="20"/>
    </w:rPr>
  </w:style>
  <w:style w:type="paragraph" w:styleId="21">
    <w:name w:val="toc 5"/>
    <w:basedOn w:val="1"/>
    <w:next w:val="1"/>
    <w:qFormat/>
    <w:uiPriority w:val="0"/>
    <w:pPr>
      <w:ind w:left="1680"/>
    </w:pPr>
    <w:rPr>
      <w:rFonts w:ascii="Times New Roman" w:hAnsi="Times New Roman" w:cs="Times New Roman"/>
      <w:szCs w:val="24"/>
    </w:rPr>
  </w:style>
  <w:style w:type="paragraph" w:styleId="22">
    <w:name w:val="toc 3"/>
    <w:basedOn w:val="1"/>
    <w:next w:val="1"/>
    <w:qFormat/>
    <w:uiPriority w:val="0"/>
    <w:pPr>
      <w:ind w:left="840"/>
    </w:pPr>
    <w:rPr>
      <w:rFonts w:ascii="Times New Roman" w:hAnsi="Times New Roman" w:cs="Times New Roman"/>
      <w:szCs w:val="24"/>
    </w:rPr>
  </w:style>
  <w:style w:type="paragraph" w:styleId="23">
    <w:name w:val="Plain Text"/>
    <w:basedOn w:val="1"/>
    <w:link w:val="239"/>
    <w:qFormat/>
    <w:uiPriority w:val="99"/>
    <w:rPr>
      <w:rFonts w:ascii="宋体" w:hAnsi="Courier New" w:cs="Times New Roman"/>
      <w:szCs w:val="20"/>
    </w:rPr>
  </w:style>
  <w:style w:type="paragraph" w:styleId="24">
    <w:name w:val="toc 8"/>
    <w:basedOn w:val="1"/>
    <w:next w:val="1"/>
    <w:qFormat/>
    <w:uiPriority w:val="0"/>
    <w:pPr>
      <w:ind w:left="2940"/>
    </w:pPr>
    <w:rPr>
      <w:rFonts w:ascii="Times New Roman" w:hAnsi="Times New Roman" w:cs="Times New Roman"/>
      <w:szCs w:val="24"/>
    </w:rPr>
  </w:style>
  <w:style w:type="paragraph" w:styleId="25">
    <w:name w:val="Body Text Indent 2"/>
    <w:basedOn w:val="1"/>
    <w:link w:val="231"/>
    <w:qFormat/>
    <w:uiPriority w:val="0"/>
    <w:pPr>
      <w:ind w:firstLine="480"/>
    </w:pPr>
    <w:rPr>
      <w:rFonts w:ascii="仿宋_GB2312" w:hAnsi="Times New Roman" w:eastAsia="仿宋_GB2312" w:cs="Times New Roman"/>
      <w:sz w:val="24"/>
      <w:szCs w:val="24"/>
    </w:rPr>
  </w:style>
  <w:style w:type="paragraph" w:styleId="26">
    <w:name w:val="endnote text"/>
    <w:basedOn w:val="1"/>
    <w:link w:val="203"/>
    <w:semiHidden/>
    <w:unhideWhenUsed/>
    <w:qFormat/>
    <w:uiPriority w:val="99"/>
    <w:rPr>
      <w:sz w:val="20"/>
    </w:rPr>
  </w:style>
  <w:style w:type="paragraph" w:styleId="27">
    <w:name w:val="Balloon Text"/>
    <w:basedOn w:val="1"/>
    <w:link w:val="217"/>
    <w:qFormat/>
    <w:uiPriority w:val="0"/>
    <w:rPr>
      <w:sz w:val="18"/>
      <w:szCs w:val="18"/>
    </w:rPr>
  </w:style>
  <w:style w:type="paragraph" w:styleId="28">
    <w:name w:val="footer"/>
    <w:basedOn w:val="1"/>
    <w:link w:val="218"/>
    <w:qFormat/>
    <w:uiPriority w:val="0"/>
    <w:pPr>
      <w:tabs>
        <w:tab w:val="center" w:pos="4153"/>
        <w:tab w:val="right" w:pos="8306"/>
      </w:tabs>
      <w:jc w:val="left"/>
    </w:pPr>
    <w:rPr>
      <w:sz w:val="18"/>
      <w:szCs w:val="18"/>
    </w:rPr>
  </w:style>
  <w:style w:type="paragraph" w:styleId="29">
    <w:name w:val="envelope return"/>
    <w:basedOn w:val="1"/>
    <w:qFormat/>
    <w:uiPriority w:val="0"/>
    <w:rPr>
      <w:rFonts w:ascii="Arial" w:hAnsi="Arial" w:cs="Times New Roman"/>
      <w:szCs w:val="24"/>
    </w:rPr>
  </w:style>
  <w:style w:type="paragraph" w:styleId="30">
    <w:name w:val="header"/>
    <w:basedOn w:val="1"/>
    <w:link w:val="219"/>
    <w:qFormat/>
    <w:uiPriority w:val="0"/>
    <w:pPr>
      <w:pBdr>
        <w:bottom w:val="single" w:color="000000" w:sz="6" w:space="1"/>
      </w:pBdr>
      <w:tabs>
        <w:tab w:val="center" w:pos="4153"/>
        <w:tab w:val="right" w:pos="8306"/>
      </w:tabs>
      <w:jc w:val="center"/>
    </w:pPr>
    <w:rPr>
      <w:sz w:val="18"/>
      <w:szCs w:val="18"/>
    </w:rPr>
  </w:style>
  <w:style w:type="paragraph" w:styleId="31">
    <w:name w:val="toc 1"/>
    <w:basedOn w:val="1"/>
    <w:next w:val="1"/>
    <w:qFormat/>
    <w:uiPriority w:val="0"/>
    <w:rPr>
      <w:rFonts w:ascii="宋体" w:hAnsi="宋体" w:cs="宋体"/>
      <w:b/>
      <w:sz w:val="32"/>
    </w:rPr>
  </w:style>
  <w:style w:type="paragraph" w:styleId="32">
    <w:name w:val="toc 4"/>
    <w:basedOn w:val="1"/>
    <w:next w:val="1"/>
    <w:qFormat/>
    <w:uiPriority w:val="0"/>
    <w:pPr>
      <w:ind w:left="1260"/>
    </w:pPr>
  </w:style>
  <w:style w:type="paragraph" w:styleId="33">
    <w:name w:val="Subtitle"/>
    <w:basedOn w:val="1"/>
    <w:next w:val="1"/>
    <w:link w:val="69"/>
    <w:qFormat/>
    <w:uiPriority w:val="11"/>
    <w:pPr>
      <w:spacing w:before="200" w:after="200"/>
    </w:pPr>
    <w:rPr>
      <w:sz w:val="24"/>
      <w:szCs w:val="24"/>
    </w:rPr>
  </w:style>
  <w:style w:type="paragraph" w:styleId="34">
    <w:name w:val="footnote text"/>
    <w:basedOn w:val="1"/>
    <w:link w:val="202"/>
    <w:semiHidden/>
    <w:unhideWhenUsed/>
    <w:qFormat/>
    <w:uiPriority w:val="99"/>
    <w:pPr>
      <w:spacing w:after="40"/>
    </w:pPr>
    <w:rPr>
      <w:sz w:val="18"/>
    </w:rPr>
  </w:style>
  <w:style w:type="paragraph" w:styleId="35">
    <w:name w:val="toc 6"/>
    <w:basedOn w:val="1"/>
    <w:next w:val="1"/>
    <w:qFormat/>
    <w:uiPriority w:val="0"/>
    <w:pPr>
      <w:ind w:left="2100"/>
    </w:pPr>
    <w:rPr>
      <w:rFonts w:ascii="Times New Roman" w:hAnsi="Times New Roman" w:cs="Times New Roman"/>
      <w:szCs w:val="24"/>
    </w:rPr>
  </w:style>
  <w:style w:type="paragraph" w:styleId="36">
    <w:name w:val="Body Text Indent 3"/>
    <w:basedOn w:val="1"/>
    <w:link w:val="228"/>
    <w:qFormat/>
    <w:uiPriority w:val="0"/>
    <w:pPr>
      <w:spacing w:before="120" w:line="22" w:lineRule="atLeast"/>
      <w:ind w:left="720" w:firstLine="480"/>
      <w:jc w:val="left"/>
    </w:pPr>
    <w:rPr>
      <w:rFonts w:ascii="宋体" w:hAnsi="Times New Roman" w:cs="Times New Roman"/>
      <w:sz w:val="24"/>
    </w:rPr>
  </w:style>
  <w:style w:type="paragraph" w:styleId="37">
    <w:name w:val="table of figures"/>
    <w:basedOn w:val="1"/>
    <w:next w:val="1"/>
    <w:unhideWhenUsed/>
    <w:qFormat/>
    <w:uiPriority w:val="99"/>
  </w:style>
  <w:style w:type="paragraph" w:styleId="38">
    <w:name w:val="toc 2"/>
    <w:basedOn w:val="1"/>
    <w:next w:val="1"/>
    <w:qFormat/>
    <w:uiPriority w:val="0"/>
    <w:pPr>
      <w:tabs>
        <w:tab w:val="right" w:leader="dot" w:pos="8937"/>
      </w:tabs>
      <w:spacing w:line="312" w:lineRule="auto"/>
      <w:ind w:left="420"/>
    </w:pPr>
    <w:rPr>
      <w:rFonts w:ascii="Times New Roman" w:hAnsi="Times New Roman" w:cs="Times New Roman"/>
      <w:szCs w:val="24"/>
    </w:rPr>
  </w:style>
  <w:style w:type="paragraph" w:styleId="39">
    <w:name w:val="toc 9"/>
    <w:basedOn w:val="1"/>
    <w:next w:val="1"/>
    <w:qFormat/>
    <w:uiPriority w:val="0"/>
    <w:pPr>
      <w:ind w:left="3360"/>
    </w:pPr>
    <w:rPr>
      <w:rFonts w:ascii="Times New Roman" w:hAnsi="Times New Roman" w:cs="Times New Roman"/>
      <w:szCs w:val="24"/>
    </w:rPr>
  </w:style>
  <w:style w:type="paragraph" w:styleId="40">
    <w:name w:val="HTML Preformatted"/>
    <w:basedOn w:val="1"/>
    <w:link w:val="22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szCs w:val="24"/>
    </w:rPr>
  </w:style>
  <w:style w:type="paragraph" w:styleId="41">
    <w:name w:val="Normal (Web)"/>
    <w:basedOn w:val="1"/>
    <w:link w:val="237"/>
    <w:qFormat/>
    <w:uiPriority w:val="0"/>
    <w:pPr>
      <w:widowControl/>
      <w:spacing w:before="100" w:beforeAutospacing="1" w:after="100" w:afterAutospacing="1"/>
      <w:jc w:val="left"/>
    </w:pPr>
    <w:rPr>
      <w:rFonts w:ascii="Arial Unicode MS" w:hAnsi="Arial Unicode MS" w:eastAsia="Arial Unicode MS" w:cs="Times New Roman"/>
      <w:sz w:val="24"/>
      <w:szCs w:val="24"/>
    </w:rPr>
  </w:style>
  <w:style w:type="paragraph" w:styleId="42">
    <w:name w:val="index 1"/>
    <w:basedOn w:val="1"/>
    <w:next w:val="1"/>
    <w:qFormat/>
    <w:uiPriority w:val="0"/>
    <w:rPr>
      <w:rFonts w:ascii="Times New Roman" w:hAnsi="Times New Roman" w:cs="Times New Roman"/>
      <w:szCs w:val="20"/>
    </w:rPr>
  </w:style>
  <w:style w:type="paragraph" w:styleId="43">
    <w:name w:val="Title"/>
    <w:basedOn w:val="1"/>
    <w:link w:val="220"/>
    <w:qFormat/>
    <w:uiPriority w:val="0"/>
    <w:pPr>
      <w:jc w:val="center"/>
      <w:outlineLvl w:val="0"/>
    </w:pPr>
    <w:rPr>
      <w:rFonts w:ascii="Cambria" w:hAnsi="Cambria"/>
      <w:b/>
      <w:bCs/>
      <w:sz w:val="32"/>
      <w:szCs w:val="32"/>
    </w:rPr>
  </w:style>
  <w:style w:type="paragraph" w:styleId="44">
    <w:name w:val="annotation subject"/>
    <w:basedOn w:val="15"/>
    <w:next w:val="15"/>
    <w:link w:val="232"/>
    <w:qFormat/>
    <w:uiPriority w:val="0"/>
    <w:rPr>
      <w:b/>
      <w:bCs/>
    </w:rPr>
  </w:style>
  <w:style w:type="paragraph" w:styleId="45">
    <w:name w:val="Body Text First Indent"/>
    <w:basedOn w:val="17"/>
    <w:link w:val="223"/>
    <w:qFormat/>
    <w:uiPriority w:val="0"/>
    <w:pPr>
      <w:tabs>
        <w:tab w:val="clear" w:pos="567"/>
      </w:tabs>
      <w:spacing w:before="0" w:after="120" w:line="240" w:lineRule="auto"/>
      <w:ind w:firstLine="420"/>
    </w:pPr>
    <w:rPr>
      <w:sz w:val="21"/>
      <w:szCs w:val="22"/>
    </w:rPr>
  </w:style>
  <w:style w:type="paragraph" w:styleId="46">
    <w:name w:val="Body Text First Indent 2"/>
    <w:basedOn w:val="18"/>
    <w:next w:val="1"/>
    <w:link w:val="225"/>
    <w:qFormat/>
    <w:uiPriority w:val="0"/>
    <w:pPr>
      <w:spacing w:after="120" w:line="480" w:lineRule="exact"/>
      <w:ind w:left="420" w:firstLine="420"/>
    </w:pPr>
    <w:rPr>
      <w:rFonts w:ascii="Times New Roman" w:hAnsi="Times New Roman" w:cs="Times New Roman"/>
      <w:sz w:val="24"/>
    </w:rPr>
  </w:style>
  <w:style w:type="table" w:styleId="4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0">
    <w:name w:val="Strong"/>
    <w:qFormat/>
    <w:uiPriority w:val="0"/>
    <w:rPr>
      <w:b/>
      <w:bCs/>
    </w:rPr>
  </w:style>
  <w:style w:type="character" w:styleId="51">
    <w:name w:val="endnote reference"/>
    <w:semiHidden/>
    <w:unhideWhenUsed/>
    <w:qFormat/>
    <w:uiPriority w:val="99"/>
    <w:rPr>
      <w:vertAlign w:val="superscript"/>
    </w:rPr>
  </w:style>
  <w:style w:type="character" w:styleId="52">
    <w:name w:val="page number"/>
    <w:basedOn w:val="49"/>
    <w:qFormat/>
    <w:uiPriority w:val="0"/>
  </w:style>
  <w:style w:type="character" w:styleId="53">
    <w:name w:val="Emphasis"/>
    <w:qFormat/>
    <w:uiPriority w:val="0"/>
    <w:rPr>
      <w:color w:val="CC0033"/>
    </w:rPr>
  </w:style>
  <w:style w:type="character" w:styleId="54">
    <w:name w:val="Hyperlink"/>
    <w:qFormat/>
    <w:uiPriority w:val="0"/>
    <w:rPr>
      <w:color w:val="0000FF"/>
      <w:u w:val="single"/>
    </w:rPr>
  </w:style>
  <w:style w:type="character" w:styleId="55">
    <w:name w:val="annotation reference"/>
    <w:qFormat/>
    <w:uiPriority w:val="0"/>
    <w:rPr>
      <w:sz w:val="21"/>
      <w:szCs w:val="21"/>
    </w:rPr>
  </w:style>
  <w:style w:type="character" w:styleId="56">
    <w:name w:val="HTML Cite"/>
    <w:qFormat/>
    <w:uiPriority w:val="0"/>
    <w:rPr>
      <w:i/>
      <w:iCs/>
    </w:rPr>
  </w:style>
  <w:style w:type="character" w:styleId="57">
    <w:name w:val="footnote reference"/>
    <w:unhideWhenUsed/>
    <w:qFormat/>
    <w:uiPriority w:val="99"/>
    <w:rPr>
      <w:vertAlign w:val="superscript"/>
    </w:rPr>
  </w:style>
  <w:style w:type="paragraph" w:customStyle="1" w:styleId="58">
    <w:name w:val="段"/>
    <w:basedOn w:val="1"/>
    <w:next w:val="1"/>
    <w:qFormat/>
    <w:uiPriority w:val="0"/>
    <w:pPr>
      <w:widowControl/>
      <w:ind w:firstLine="200"/>
    </w:pPr>
    <w:rPr>
      <w:rFonts w:hint="eastAsia" w:ascii="宋体" w:hAnsi="Times New Roman" w:cs="Times New Roman"/>
      <w:szCs w:val="20"/>
    </w:rPr>
  </w:style>
  <w:style w:type="character" w:customStyle="1" w:styleId="59">
    <w:name w:val="Heading 1 Char"/>
    <w:qFormat/>
    <w:uiPriority w:val="9"/>
    <w:rPr>
      <w:rFonts w:ascii="Arial" w:hAnsi="Arial" w:eastAsia="Arial" w:cs="Arial"/>
      <w:sz w:val="40"/>
      <w:szCs w:val="40"/>
    </w:rPr>
  </w:style>
  <w:style w:type="character" w:customStyle="1" w:styleId="60">
    <w:name w:val="Heading 2 Char"/>
    <w:qFormat/>
    <w:uiPriority w:val="9"/>
    <w:rPr>
      <w:rFonts w:ascii="Arial" w:hAnsi="Arial" w:eastAsia="Arial" w:cs="Arial"/>
      <w:sz w:val="34"/>
    </w:rPr>
  </w:style>
  <w:style w:type="character" w:customStyle="1" w:styleId="61">
    <w:name w:val="Heading 3 Char"/>
    <w:qFormat/>
    <w:uiPriority w:val="9"/>
    <w:rPr>
      <w:rFonts w:ascii="Arial" w:hAnsi="Arial" w:eastAsia="Arial" w:cs="Arial"/>
      <w:sz w:val="30"/>
      <w:szCs w:val="30"/>
    </w:rPr>
  </w:style>
  <w:style w:type="character" w:customStyle="1" w:styleId="62">
    <w:name w:val="Heading 4 Char"/>
    <w:qFormat/>
    <w:uiPriority w:val="9"/>
    <w:rPr>
      <w:rFonts w:ascii="Arial" w:hAnsi="Arial" w:eastAsia="Arial" w:cs="Arial"/>
      <w:b/>
      <w:bCs/>
      <w:sz w:val="26"/>
      <w:szCs w:val="26"/>
    </w:rPr>
  </w:style>
  <w:style w:type="character" w:customStyle="1" w:styleId="63">
    <w:name w:val="Heading 5 Char"/>
    <w:qFormat/>
    <w:uiPriority w:val="9"/>
    <w:rPr>
      <w:rFonts w:ascii="Arial" w:hAnsi="Arial" w:eastAsia="Arial" w:cs="Arial"/>
      <w:b/>
      <w:bCs/>
      <w:sz w:val="24"/>
      <w:szCs w:val="24"/>
    </w:rPr>
  </w:style>
  <w:style w:type="character" w:customStyle="1" w:styleId="64">
    <w:name w:val="Heading 6 Char"/>
    <w:qFormat/>
    <w:uiPriority w:val="9"/>
    <w:rPr>
      <w:rFonts w:ascii="Arial" w:hAnsi="Arial" w:eastAsia="Arial" w:cs="Arial"/>
      <w:b/>
      <w:bCs/>
      <w:sz w:val="22"/>
      <w:szCs w:val="22"/>
    </w:rPr>
  </w:style>
  <w:style w:type="character" w:customStyle="1" w:styleId="65">
    <w:name w:val="Heading 7 Char"/>
    <w:qFormat/>
    <w:uiPriority w:val="9"/>
    <w:rPr>
      <w:rFonts w:ascii="Arial" w:hAnsi="Arial" w:eastAsia="Arial" w:cs="Arial"/>
      <w:b/>
      <w:bCs/>
      <w:i/>
      <w:iCs/>
      <w:sz w:val="22"/>
      <w:szCs w:val="22"/>
    </w:rPr>
  </w:style>
  <w:style w:type="character" w:customStyle="1" w:styleId="66">
    <w:name w:val="Heading 8 Char"/>
    <w:qFormat/>
    <w:uiPriority w:val="9"/>
    <w:rPr>
      <w:rFonts w:ascii="Arial" w:hAnsi="Arial" w:eastAsia="Arial" w:cs="Arial"/>
      <w:i/>
      <w:iCs/>
      <w:sz w:val="22"/>
      <w:szCs w:val="22"/>
    </w:rPr>
  </w:style>
  <w:style w:type="character" w:customStyle="1" w:styleId="67">
    <w:name w:val="Heading 9 Char"/>
    <w:qFormat/>
    <w:uiPriority w:val="9"/>
    <w:rPr>
      <w:rFonts w:ascii="Arial" w:hAnsi="Arial" w:eastAsia="Arial" w:cs="Arial"/>
      <w:i/>
      <w:iCs/>
      <w:sz w:val="21"/>
      <w:szCs w:val="21"/>
    </w:rPr>
  </w:style>
  <w:style w:type="character" w:customStyle="1" w:styleId="68">
    <w:name w:val="Title Char"/>
    <w:qFormat/>
    <w:uiPriority w:val="10"/>
    <w:rPr>
      <w:sz w:val="48"/>
      <w:szCs w:val="48"/>
    </w:rPr>
  </w:style>
  <w:style w:type="character" w:customStyle="1" w:styleId="69">
    <w:name w:val="副标题 Char"/>
    <w:link w:val="33"/>
    <w:qFormat/>
    <w:uiPriority w:val="11"/>
    <w:rPr>
      <w:sz w:val="24"/>
      <w:szCs w:val="24"/>
    </w:rPr>
  </w:style>
  <w:style w:type="paragraph" w:styleId="70">
    <w:name w:val="Quote"/>
    <w:basedOn w:val="1"/>
    <w:next w:val="1"/>
    <w:link w:val="71"/>
    <w:qFormat/>
    <w:uiPriority w:val="29"/>
    <w:pPr>
      <w:ind w:left="720" w:right="720"/>
    </w:pPr>
    <w:rPr>
      <w:i/>
    </w:rPr>
  </w:style>
  <w:style w:type="character" w:customStyle="1" w:styleId="71">
    <w:name w:val="引用 Char"/>
    <w:link w:val="70"/>
    <w:qFormat/>
    <w:uiPriority w:val="29"/>
    <w:rPr>
      <w:i/>
    </w:rPr>
  </w:style>
  <w:style w:type="paragraph" w:styleId="72">
    <w:name w:val="Intense Quote"/>
    <w:basedOn w:val="1"/>
    <w:next w:val="1"/>
    <w:link w:val="7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3">
    <w:name w:val="明显引用 Char"/>
    <w:link w:val="72"/>
    <w:qFormat/>
    <w:uiPriority w:val="30"/>
    <w:rPr>
      <w:i/>
    </w:rPr>
  </w:style>
  <w:style w:type="character" w:customStyle="1" w:styleId="74">
    <w:name w:val="Header Char"/>
    <w:qFormat/>
    <w:uiPriority w:val="99"/>
  </w:style>
  <w:style w:type="character" w:customStyle="1" w:styleId="75">
    <w:name w:val="Footer Char"/>
    <w:qFormat/>
    <w:uiPriority w:val="99"/>
  </w:style>
  <w:style w:type="character" w:customStyle="1" w:styleId="76">
    <w:name w:val="Caption Char"/>
    <w:qFormat/>
    <w:uiPriority w:val="99"/>
  </w:style>
  <w:style w:type="table" w:customStyle="1" w:styleId="7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8">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0">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8">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5">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2">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9">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3">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0">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7">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2">
    <w:name w:val="脚注文本 Char"/>
    <w:link w:val="34"/>
    <w:qFormat/>
    <w:uiPriority w:val="99"/>
    <w:rPr>
      <w:sz w:val="18"/>
    </w:rPr>
  </w:style>
  <w:style w:type="character" w:customStyle="1" w:styleId="203">
    <w:name w:val="尾注文本 Char"/>
    <w:link w:val="26"/>
    <w:qFormat/>
    <w:uiPriority w:val="99"/>
    <w:rPr>
      <w:sz w:val="20"/>
    </w:rPr>
  </w:style>
  <w:style w:type="paragraph" w:customStyle="1" w:styleId="204">
    <w:name w:val="TOC 标题1"/>
    <w:unhideWhenUsed/>
    <w:qFormat/>
    <w:uiPriority w:val="39"/>
    <w:rPr>
      <w:rFonts w:ascii="Times New Roman" w:hAnsi="Times New Roman" w:eastAsia="宋体" w:cs="Times New Roman"/>
      <w:lang w:val="en-US" w:eastAsia="zh-CN" w:bidi="ar-SA"/>
    </w:rPr>
  </w:style>
  <w:style w:type="character" w:customStyle="1" w:styleId="205">
    <w:name w:val="正文文本 Char"/>
    <w:basedOn w:val="49"/>
    <w:link w:val="17"/>
    <w:qFormat/>
    <w:uiPriority w:val="0"/>
    <w:rPr>
      <w:rFonts w:ascii="宋体" w:hAnsi="宋体" w:eastAsia="宋体" w:cs="Times New Roman"/>
      <w:sz w:val="24"/>
      <w:szCs w:val="24"/>
    </w:rPr>
  </w:style>
  <w:style w:type="character" w:customStyle="1" w:styleId="206">
    <w:name w:val="标题 1 Char"/>
    <w:basedOn w:val="49"/>
    <w:link w:val="2"/>
    <w:qFormat/>
    <w:uiPriority w:val="0"/>
    <w:rPr>
      <w:b/>
      <w:sz w:val="36"/>
      <w:szCs w:val="36"/>
    </w:rPr>
  </w:style>
  <w:style w:type="character" w:customStyle="1" w:styleId="207">
    <w:name w:val="标题 2 Char"/>
    <w:basedOn w:val="49"/>
    <w:link w:val="3"/>
    <w:qFormat/>
    <w:uiPriority w:val="0"/>
    <w:rPr>
      <w:rFonts w:ascii="Arial" w:hAnsi="Arial" w:eastAsia="黑体"/>
      <w:b/>
      <w:bCs/>
      <w:sz w:val="32"/>
      <w:szCs w:val="32"/>
      <w:lang w:val="en-US" w:eastAsia="zh-CN"/>
    </w:rPr>
  </w:style>
  <w:style w:type="character" w:customStyle="1" w:styleId="208">
    <w:name w:val="正文缩进 Char"/>
    <w:link w:val="4"/>
    <w:qFormat/>
    <w:uiPriority w:val="0"/>
    <w:rPr>
      <w:rFonts w:ascii="宋体" w:hAnsi="Times New Roman" w:eastAsia="宋体" w:cs="Times New Roman"/>
      <w:sz w:val="24"/>
      <w:szCs w:val="24"/>
    </w:rPr>
  </w:style>
  <w:style w:type="character" w:customStyle="1" w:styleId="209">
    <w:name w:val="标题 3 Char"/>
    <w:basedOn w:val="49"/>
    <w:link w:val="5"/>
    <w:qFormat/>
    <w:uiPriority w:val="0"/>
    <w:rPr>
      <w:rFonts w:eastAsia="宋体"/>
      <w:b/>
      <w:bCs/>
      <w:sz w:val="32"/>
      <w:szCs w:val="32"/>
      <w:lang w:val="en-US" w:eastAsia="zh-CN"/>
    </w:rPr>
  </w:style>
  <w:style w:type="character" w:customStyle="1" w:styleId="210">
    <w:name w:val="标题 4 Char"/>
    <w:basedOn w:val="49"/>
    <w:link w:val="6"/>
    <w:qFormat/>
    <w:uiPriority w:val="0"/>
    <w:rPr>
      <w:rFonts w:ascii="Arial" w:hAnsi="Arial" w:eastAsia="黑体" w:cs="Times New Roman"/>
      <w:b/>
      <w:sz w:val="28"/>
    </w:rPr>
  </w:style>
  <w:style w:type="character" w:customStyle="1" w:styleId="211">
    <w:name w:val="标题 5 Char"/>
    <w:basedOn w:val="49"/>
    <w:link w:val="7"/>
    <w:qFormat/>
    <w:uiPriority w:val="0"/>
    <w:rPr>
      <w:rFonts w:ascii="Times New Roman" w:hAnsi="Times New Roman" w:eastAsia="宋体" w:cs="Times New Roman"/>
      <w:b/>
      <w:sz w:val="28"/>
    </w:rPr>
  </w:style>
  <w:style w:type="character" w:customStyle="1" w:styleId="212">
    <w:name w:val="标题 6 Char"/>
    <w:basedOn w:val="49"/>
    <w:link w:val="8"/>
    <w:qFormat/>
    <w:uiPriority w:val="0"/>
    <w:rPr>
      <w:rFonts w:ascii="Arial" w:hAnsi="Arial" w:eastAsia="黑体" w:cs="Times New Roman"/>
      <w:b/>
      <w:sz w:val="24"/>
    </w:rPr>
  </w:style>
  <w:style w:type="character" w:customStyle="1" w:styleId="213">
    <w:name w:val="标题 7 Char"/>
    <w:basedOn w:val="49"/>
    <w:link w:val="9"/>
    <w:qFormat/>
    <w:uiPriority w:val="0"/>
    <w:rPr>
      <w:rFonts w:ascii="Times New Roman" w:hAnsi="Times New Roman" w:eastAsia="宋体" w:cs="Times New Roman"/>
      <w:b/>
      <w:sz w:val="24"/>
    </w:rPr>
  </w:style>
  <w:style w:type="character" w:customStyle="1" w:styleId="214">
    <w:name w:val="标题 8 Char"/>
    <w:basedOn w:val="49"/>
    <w:link w:val="10"/>
    <w:qFormat/>
    <w:uiPriority w:val="0"/>
    <w:rPr>
      <w:rFonts w:ascii="Arial" w:hAnsi="Arial" w:eastAsia="黑体" w:cs="Times New Roman"/>
      <w:sz w:val="24"/>
    </w:rPr>
  </w:style>
  <w:style w:type="character" w:customStyle="1" w:styleId="215">
    <w:name w:val="标题 9 Char"/>
    <w:basedOn w:val="49"/>
    <w:link w:val="11"/>
    <w:qFormat/>
    <w:uiPriority w:val="0"/>
    <w:rPr>
      <w:rFonts w:ascii="Arial" w:hAnsi="Arial" w:eastAsia="黑体" w:cs="Times New Roman"/>
      <w:sz w:val="21"/>
    </w:rPr>
  </w:style>
  <w:style w:type="character" w:customStyle="1" w:styleId="216">
    <w:name w:val="批注文字 Char"/>
    <w:basedOn w:val="49"/>
    <w:link w:val="15"/>
    <w:qFormat/>
    <w:uiPriority w:val="0"/>
  </w:style>
  <w:style w:type="character" w:customStyle="1" w:styleId="217">
    <w:name w:val="批注框文本 Char"/>
    <w:basedOn w:val="49"/>
    <w:link w:val="27"/>
    <w:qFormat/>
    <w:uiPriority w:val="0"/>
    <w:rPr>
      <w:sz w:val="18"/>
      <w:szCs w:val="18"/>
    </w:rPr>
  </w:style>
  <w:style w:type="character" w:customStyle="1" w:styleId="218">
    <w:name w:val="页脚 Char"/>
    <w:basedOn w:val="49"/>
    <w:link w:val="28"/>
    <w:qFormat/>
    <w:uiPriority w:val="0"/>
    <w:rPr>
      <w:sz w:val="18"/>
      <w:szCs w:val="18"/>
    </w:rPr>
  </w:style>
  <w:style w:type="character" w:customStyle="1" w:styleId="219">
    <w:name w:val="页眉 Char"/>
    <w:basedOn w:val="49"/>
    <w:link w:val="30"/>
    <w:qFormat/>
    <w:uiPriority w:val="0"/>
    <w:rPr>
      <w:sz w:val="18"/>
      <w:szCs w:val="18"/>
    </w:rPr>
  </w:style>
  <w:style w:type="character" w:customStyle="1" w:styleId="220">
    <w:name w:val="标题 Char"/>
    <w:basedOn w:val="49"/>
    <w:link w:val="43"/>
    <w:qFormat/>
    <w:uiPriority w:val="0"/>
    <w:rPr>
      <w:rFonts w:ascii="Cambria" w:hAnsi="Cambria" w:eastAsia="宋体" w:cs="黑体"/>
      <w:b/>
      <w:bCs/>
      <w:sz w:val="32"/>
      <w:szCs w:val="32"/>
    </w:rPr>
  </w:style>
  <w:style w:type="character" w:customStyle="1" w:styleId="221">
    <w:name w:val="已访问的超链接1"/>
    <w:qFormat/>
    <w:uiPriority w:val="0"/>
    <w:rPr>
      <w:color w:val="800080"/>
      <w:u w:val="single"/>
    </w:rPr>
  </w:style>
  <w:style w:type="character" w:customStyle="1" w:styleId="222">
    <w:name w:val="正文文本缩进 Char"/>
    <w:basedOn w:val="49"/>
    <w:link w:val="18"/>
    <w:qFormat/>
    <w:uiPriority w:val="0"/>
    <w:rPr>
      <w:sz w:val="21"/>
      <w:szCs w:val="22"/>
    </w:rPr>
  </w:style>
  <w:style w:type="character" w:customStyle="1" w:styleId="223">
    <w:name w:val="正文首行缩进 Char"/>
    <w:basedOn w:val="205"/>
    <w:link w:val="45"/>
    <w:qFormat/>
    <w:uiPriority w:val="0"/>
    <w:rPr>
      <w:rFonts w:ascii="宋体" w:hAnsi="宋体" w:eastAsia="宋体" w:cs="Times New Roman"/>
      <w:sz w:val="21"/>
      <w:szCs w:val="22"/>
    </w:rPr>
  </w:style>
  <w:style w:type="character" w:customStyle="1" w:styleId="224">
    <w:name w:val="street-address"/>
    <w:basedOn w:val="49"/>
    <w:qFormat/>
    <w:uiPriority w:val="0"/>
  </w:style>
  <w:style w:type="character" w:customStyle="1" w:styleId="225">
    <w:name w:val="正文首行缩进 2 Char"/>
    <w:basedOn w:val="222"/>
    <w:link w:val="46"/>
    <w:qFormat/>
    <w:uiPriority w:val="0"/>
    <w:rPr>
      <w:rFonts w:ascii="Times New Roman" w:hAnsi="Times New Roman" w:eastAsia="宋体" w:cs="Times New Roman"/>
      <w:sz w:val="24"/>
      <w:szCs w:val="22"/>
    </w:rPr>
  </w:style>
  <w:style w:type="character" w:customStyle="1" w:styleId="226">
    <w:name w:val="日期 Char"/>
    <w:basedOn w:val="49"/>
    <w:link w:val="227"/>
    <w:qFormat/>
    <w:uiPriority w:val="0"/>
    <w:rPr>
      <w:rFonts w:ascii="仿宋_GB2312" w:hAnsi="宋体" w:eastAsia="仿宋_GB2312" w:cs="Times New Roman"/>
      <w:color w:val="000000"/>
      <w:sz w:val="24"/>
      <w:szCs w:val="24"/>
    </w:rPr>
  </w:style>
  <w:style w:type="paragraph" w:customStyle="1" w:styleId="227">
    <w:name w:val="Date1"/>
    <w:basedOn w:val="1"/>
    <w:next w:val="1"/>
    <w:link w:val="226"/>
    <w:qFormat/>
    <w:uiPriority w:val="0"/>
    <w:pPr>
      <w:ind w:left="100"/>
    </w:pPr>
    <w:rPr>
      <w:rFonts w:ascii="仿宋_GB2312" w:hAnsi="宋体" w:eastAsia="仿宋_GB2312" w:cs="Times New Roman"/>
      <w:color w:val="000000"/>
      <w:sz w:val="24"/>
      <w:szCs w:val="24"/>
    </w:rPr>
  </w:style>
  <w:style w:type="character" w:customStyle="1" w:styleId="228">
    <w:name w:val="正文文本缩进 3 Char"/>
    <w:basedOn w:val="49"/>
    <w:link w:val="36"/>
    <w:qFormat/>
    <w:uiPriority w:val="0"/>
    <w:rPr>
      <w:rFonts w:ascii="宋体" w:hAnsi="Times New Roman" w:eastAsia="宋体" w:cs="Times New Roman"/>
      <w:sz w:val="24"/>
    </w:rPr>
  </w:style>
  <w:style w:type="character" w:customStyle="1" w:styleId="229">
    <w:name w:val="HTML 预设格式 Char"/>
    <w:basedOn w:val="49"/>
    <w:link w:val="40"/>
    <w:qFormat/>
    <w:uiPriority w:val="0"/>
    <w:rPr>
      <w:rFonts w:ascii="宋体" w:hAnsi="宋体" w:eastAsia="宋体" w:cs="宋体"/>
      <w:sz w:val="24"/>
      <w:szCs w:val="24"/>
    </w:rPr>
  </w:style>
  <w:style w:type="character" w:customStyle="1" w:styleId="230">
    <w:name w:val="文档结构图 Char"/>
    <w:basedOn w:val="49"/>
    <w:link w:val="14"/>
    <w:qFormat/>
    <w:uiPriority w:val="0"/>
    <w:rPr>
      <w:rFonts w:ascii="宋体" w:eastAsia="宋体"/>
      <w:sz w:val="18"/>
      <w:szCs w:val="18"/>
    </w:rPr>
  </w:style>
  <w:style w:type="character" w:customStyle="1" w:styleId="231">
    <w:name w:val="正文文本缩进 2 Char"/>
    <w:basedOn w:val="49"/>
    <w:link w:val="25"/>
    <w:qFormat/>
    <w:uiPriority w:val="0"/>
    <w:rPr>
      <w:rFonts w:ascii="仿宋_GB2312" w:hAnsi="Times New Roman" w:eastAsia="仿宋_GB2312" w:cs="Times New Roman"/>
      <w:sz w:val="24"/>
      <w:szCs w:val="24"/>
    </w:rPr>
  </w:style>
  <w:style w:type="character" w:customStyle="1" w:styleId="232">
    <w:name w:val="批注主题 Char"/>
    <w:basedOn w:val="233"/>
    <w:link w:val="44"/>
    <w:qFormat/>
    <w:uiPriority w:val="0"/>
    <w:rPr>
      <w:rFonts w:ascii="Times New Roman" w:hAnsi="Times New Roman" w:eastAsia="宋体" w:cs="Times New Roman"/>
      <w:b/>
      <w:bCs/>
      <w:szCs w:val="24"/>
    </w:rPr>
  </w:style>
  <w:style w:type="character" w:customStyle="1" w:styleId="233">
    <w:name w:val="批注文字 Char1"/>
    <w:qFormat/>
    <w:uiPriority w:val="0"/>
    <w:rPr>
      <w:rFonts w:ascii="Times New Roman" w:hAnsi="Times New Roman" w:eastAsia="宋体" w:cs="Times New Roman"/>
      <w:szCs w:val="24"/>
    </w:rPr>
  </w:style>
  <w:style w:type="character" w:customStyle="1" w:styleId="234">
    <w:name w:val="正文文本缩进 Char1"/>
    <w:link w:val="235"/>
    <w:qFormat/>
    <w:uiPriority w:val="0"/>
    <w:rPr>
      <w:rFonts w:ascii="宋体" w:hAnsi="宋体" w:eastAsia="宋体"/>
      <w:sz w:val="24"/>
      <w:szCs w:val="24"/>
    </w:rPr>
  </w:style>
  <w:style w:type="paragraph" w:customStyle="1" w:styleId="235">
    <w:name w:val="正文文本缩进1"/>
    <w:basedOn w:val="1"/>
    <w:link w:val="234"/>
    <w:qFormat/>
    <w:uiPriority w:val="0"/>
    <w:pPr>
      <w:spacing w:line="480" w:lineRule="exact"/>
      <w:ind w:firstLine="480"/>
    </w:pPr>
    <w:rPr>
      <w:rFonts w:ascii="宋体" w:hAnsi="宋体" w:cs="Times New Roman"/>
      <w:sz w:val="24"/>
      <w:szCs w:val="24"/>
    </w:rPr>
  </w:style>
  <w:style w:type="character" w:customStyle="1" w:styleId="236">
    <w:name w:val="locality"/>
    <w:basedOn w:val="49"/>
    <w:qFormat/>
    <w:uiPriority w:val="0"/>
  </w:style>
  <w:style w:type="character" w:customStyle="1" w:styleId="237">
    <w:name w:val="普通(网站) Char"/>
    <w:link w:val="41"/>
    <w:qFormat/>
    <w:uiPriority w:val="0"/>
    <w:rPr>
      <w:rFonts w:ascii="Arial Unicode MS" w:hAnsi="Arial Unicode MS" w:eastAsia="Arial Unicode MS" w:cs="Arial Unicode MS"/>
      <w:sz w:val="24"/>
      <w:szCs w:val="24"/>
    </w:rPr>
  </w:style>
  <w:style w:type="character" w:customStyle="1" w:styleId="238">
    <w:name w:val="正文文本 3 Char"/>
    <w:basedOn w:val="49"/>
    <w:link w:val="16"/>
    <w:qFormat/>
    <w:uiPriority w:val="0"/>
    <w:rPr>
      <w:rFonts w:ascii="Times New Roman" w:hAnsi="Times New Roman" w:eastAsia="宋体" w:cs="Times New Roman"/>
      <w:sz w:val="16"/>
      <w:szCs w:val="16"/>
    </w:rPr>
  </w:style>
  <w:style w:type="character" w:customStyle="1" w:styleId="239">
    <w:name w:val="纯文本 Char"/>
    <w:basedOn w:val="49"/>
    <w:link w:val="23"/>
    <w:qFormat/>
    <w:uiPriority w:val="99"/>
    <w:rPr>
      <w:rFonts w:ascii="宋体" w:hAnsi="Courier New" w:eastAsia="宋体" w:cs="Times New Roman"/>
      <w:szCs w:val="20"/>
    </w:rPr>
  </w:style>
  <w:style w:type="character" w:customStyle="1" w:styleId="240">
    <w:name w:val="Char Char111"/>
    <w:qFormat/>
    <w:uiPriority w:val="0"/>
    <w:rPr>
      <w:rFonts w:ascii="宋体" w:eastAsia="宋体"/>
      <w:b/>
      <w:sz w:val="24"/>
      <w:u w:val="single"/>
      <w:lang w:val="en-US" w:eastAsia="zh-CN"/>
    </w:rPr>
  </w:style>
  <w:style w:type="character" w:customStyle="1" w:styleId="241">
    <w:name w:val="Char Char11"/>
    <w:qFormat/>
    <w:uiPriority w:val="0"/>
    <w:rPr>
      <w:rFonts w:ascii="宋体" w:eastAsia="宋体"/>
      <w:b/>
      <w:sz w:val="24"/>
      <w:u w:val="single"/>
      <w:lang w:val="en-US" w:eastAsia="zh-CN"/>
    </w:rPr>
  </w:style>
  <w:style w:type="character" w:customStyle="1" w:styleId="242">
    <w:name w:val="chanpin1"/>
    <w:qFormat/>
    <w:uiPriority w:val="0"/>
    <w:rPr>
      <w:rFonts w:ascii="ˎ̥" w:hAnsi="ˎ̥"/>
      <w:color w:val="000000"/>
      <w:sz w:val="20"/>
      <w:szCs w:val="20"/>
      <w:u w:val="none"/>
    </w:rPr>
  </w:style>
  <w:style w:type="character" w:customStyle="1" w:styleId="243">
    <w:name w:val="c21"/>
    <w:qFormat/>
    <w:uiPriority w:val="0"/>
    <w:rPr>
      <w:rFonts w:ascii="ˎ̥" w:hAnsi="ˎ̥"/>
      <w:color w:val="000000"/>
      <w:sz w:val="20"/>
      <w:szCs w:val="20"/>
      <w:u w:val="none"/>
    </w:rPr>
  </w:style>
  <w:style w:type="character" w:customStyle="1" w:styleId="244">
    <w:name w:val="段1 Char"/>
    <w:qFormat/>
    <w:uiPriority w:val="0"/>
    <w:rPr>
      <w:rFonts w:ascii="宋体" w:eastAsia="宋体"/>
      <w:sz w:val="24"/>
      <w:lang w:val="en-US" w:eastAsia="zh-CN"/>
    </w:rPr>
  </w:style>
  <w:style w:type="character" w:customStyle="1" w:styleId="245">
    <w:name w:val="正文表格 Char Char"/>
    <w:link w:val="246"/>
    <w:qFormat/>
    <w:uiPriority w:val="0"/>
    <w:rPr>
      <w:rFonts w:ascii="宋体" w:hAnsi="宋体"/>
      <w:color w:val="000000"/>
      <w:sz w:val="21"/>
      <w:szCs w:val="21"/>
    </w:rPr>
  </w:style>
  <w:style w:type="paragraph" w:customStyle="1" w:styleId="246">
    <w:name w:val="正文表格"/>
    <w:basedOn w:val="1"/>
    <w:link w:val="245"/>
    <w:qFormat/>
    <w:uiPriority w:val="0"/>
    <w:pPr>
      <w:jc w:val="left"/>
    </w:pPr>
    <w:rPr>
      <w:rFonts w:ascii="宋体" w:hAnsi="宋体" w:cs="Times New Roman"/>
      <w:color w:val="000000"/>
      <w:szCs w:val="21"/>
    </w:rPr>
  </w:style>
  <w:style w:type="character" w:customStyle="1" w:styleId="247">
    <w:name w:val="chanpin拷贝"/>
    <w:basedOn w:val="49"/>
    <w:qFormat/>
    <w:uiPriority w:val="0"/>
  </w:style>
  <w:style w:type="character" w:customStyle="1" w:styleId="248">
    <w:name w:val="批注文字 字符"/>
    <w:qFormat/>
    <w:uiPriority w:val="0"/>
    <w:rPr>
      <w:rFonts w:ascii="Times New Roman" w:hAnsi="Times New Roman" w:eastAsia="宋体" w:cs="Times New Roman"/>
      <w:sz w:val="24"/>
      <w:lang w:val="en-US" w:eastAsia="zh-CN"/>
    </w:rPr>
  </w:style>
  <w:style w:type="character" w:customStyle="1" w:styleId="249">
    <w:name w:val="正文缩进 Char Char"/>
    <w:link w:val="250"/>
    <w:qFormat/>
    <w:uiPriority w:val="0"/>
    <w:rPr>
      <w:rFonts w:ascii="宋体" w:eastAsia="宋体"/>
      <w:color w:val="000000"/>
      <w:sz w:val="28"/>
    </w:rPr>
  </w:style>
  <w:style w:type="paragraph" w:customStyle="1" w:styleId="250">
    <w:name w:val="正文缩进1"/>
    <w:basedOn w:val="1"/>
    <w:link w:val="249"/>
    <w:qFormat/>
    <w:uiPriority w:val="0"/>
    <w:pPr>
      <w:widowControl/>
      <w:spacing w:line="480" w:lineRule="exact"/>
      <w:ind w:firstLine="567"/>
    </w:pPr>
    <w:rPr>
      <w:rFonts w:ascii="宋体" w:hAnsi="Times New Roman" w:cs="Times New Roman"/>
      <w:color w:val="000000"/>
      <w:sz w:val="28"/>
      <w:szCs w:val="20"/>
    </w:rPr>
  </w:style>
  <w:style w:type="character" w:customStyle="1" w:styleId="251">
    <w:name w:val="bjh-p"/>
    <w:qFormat/>
    <w:uiPriority w:val="0"/>
  </w:style>
  <w:style w:type="character" w:customStyle="1" w:styleId="252">
    <w:name w:val="纯文本 字符1"/>
    <w:qFormat/>
    <w:uiPriority w:val="99"/>
    <w:rPr>
      <w:rFonts w:ascii="宋体" w:hAnsi="Courier New"/>
    </w:rPr>
  </w:style>
  <w:style w:type="character" w:customStyle="1" w:styleId="253">
    <w:name w:val="注释 Char Char"/>
    <w:link w:val="254"/>
    <w:qFormat/>
    <w:uiPriority w:val="0"/>
    <w:rPr>
      <w:rFonts w:ascii="宋体" w:hAnsi="宋体"/>
      <w:sz w:val="21"/>
      <w:szCs w:val="21"/>
    </w:rPr>
  </w:style>
  <w:style w:type="paragraph" w:customStyle="1" w:styleId="254">
    <w:name w:val="注释"/>
    <w:basedOn w:val="1"/>
    <w:link w:val="253"/>
    <w:qFormat/>
    <w:uiPriority w:val="0"/>
    <w:pPr>
      <w:ind w:left="420" w:hanging="420"/>
      <w:jc w:val="left"/>
    </w:pPr>
    <w:rPr>
      <w:rFonts w:ascii="宋体" w:hAnsi="宋体" w:cs="Times New Roman"/>
      <w:szCs w:val="21"/>
    </w:rPr>
  </w:style>
  <w:style w:type="character" w:customStyle="1" w:styleId="255">
    <w:name w:val="font61"/>
    <w:basedOn w:val="49"/>
    <w:qFormat/>
    <w:uiPriority w:val="0"/>
    <w:rPr>
      <w:rFonts w:hint="eastAsia" w:ascii="宋体" w:hAnsi="宋体" w:eastAsia="宋体" w:cs="宋体"/>
      <w:color w:val="000000"/>
      <w:sz w:val="20"/>
      <w:szCs w:val="20"/>
      <w:u w:val="none"/>
    </w:rPr>
  </w:style>
  <w:style w:type="character" w:customStyle="1" w:styleId="256">
    <w:name w:val="black1"/>
    <w:qFormat/>
    <w:uiPriority w:val="0"/>
    <w:rPr>
      <w:color w:val="000000"/>
    </w:rPr>
  </w:style>
  <w:style w:type="character" w:customStyle="1" w:styleId="257">
    <w:name w:val="font201"/>
    <w:basedOn w:val="49"/>
    <w:qFormat/>
    <w:uiPriority w:val="0"/>
    <w:rPr>
      <w:rFonts w:hint="eastAsia" w:ascii="宋体" w:hAnsi="宋体" w:eastAsia="宋体" w:cs="宋体"/>
      <w:b/>
      <w:color w:val="000000"/>
      <w:sz w:val="24"/>
      <w:szCs w:val="24"/>
      <w:u w:val="none"/>
      <w:vertAlign w:val="superscript"/>
    </w:rPr>
  </w:style>
  <w:style w:type="character" w:customStyle="1" w:styleId="258">
    <w:name w:val="成文日期 Char Char"/>
    <w:link w:val="259"/>
    <w:qFormat/>
    <w:uiPriority w:val="0"/>
    <w:rPr>
      <w:rFonts w:ascii="仿宋_GB2312" w:hAnsi="Times New Roman" w:eastAsia="仿宋_GB2312" w:cs="Times New Roman"/>
      <w:sz w:val="32"/>
      <w:szCs w:val="20"/>
    </w:rPr>
  </w:style>
  <w:style w:type="paragraph" w:customStyle="1" w:styleId="259">
    <w:name w:val="成文日期"/>
    <w:basedOn w:val="1"/>
    <w:link w:val="258"/>
    <w:qFormat/>
    <w:uiPriority w:val="0"/>
    <w:pPr>
      <w:spacing w:line="570" w:lineRule="exact"/>
      <w:ind w:right="400" w:firstLine="200"/>
      <w:jc w:val="right"/>
    </w:pPr>
    <w:rPr>
      <w:rFonts w:ascii="仿宋_GB2312" w:hAnsi="Times New Roman" w:eastAsia="仿宋_GB2312" w:cs="Times New Roman"/>
      <w:sz w:val="32"/>
      <w:szCs w:val="20"/>
    </w:rPr>
  </w:style>
  <w:style w:type="character" w:customStyle="1" w:styleId="260">
    <w:name w:val="正文重点 Char Char"/>
    <w:link w:val="261"/>
    <w:qFormat/>
    <w:uiPriority w:val="0"/>
    <w:rPr>
      <w:b/>
      <w:sz w:val="24"/>
    </w:rPr>
  </w:style>
  <w:style w:type="paragraph" w:customStyle="1" w:styleId="261">
    <w:name w:val="正文重点"/>
    <w:basedOn w:val="1"/>
    <w:link w:val="260"/>
    <w:qFormat/>
    <w:uiPriority w:val="0"/>
    <w:pPr>
      <w:spacing w:line="360" w:lineRule="auto"/>
      <w:ind w:firstLine="482"/>
      <w:jc w:val="left"/>
    </w:pPr>
    <w:rPr>
      <w:rFonts w:ascii="Times New Roman" w:hAnsi="Times New Roman" w:cs="Times New Roman"/>
      <w:b/>
      <w:sz w:val="24"/>
      <w:szCs w:val="20"/>
    </w:rPr>
  </w:style>
  <w:style w:type="character" w:customStyle="1" w:styleId="262">
    <w:name w:val="列出段落 Char1"/>
    <w:qFormat/>
    <w:uiPriority w:val="0"/>
    <w:rPr>
      <w:rFonts w:ascii="Calibri" w:hAnsi="Calibri" w:eastAsia="宋体"/>
      <w:sz w:val="21"/>
      <w:szCs w:val="22"/>
      <w:lang w:val="en-US" w:eastAsia="zh-CN"/>
    </w:rPr>
  </w:style>
  <w:style w:type="character" w:customStyle="1" w:styleId="263">
    <w:name w:val="纯文本 字符"/>
    <w:qFormat/>
    <w:uiPriority w:val="0"/>
    <w:rPr>
      <w:rFonts w:ascii="宋体" w:hAnsi="Courier New" w:eastAsia="宋体" w:cs="Times New Roman"/>
      <w:sz w:val="21"/>
      <w:szCs w:val="21"/>
      <w:lang w:val="en-US" w:eastAsia="zh-CN"/>
    </w:rPr>
  </w:style>
  <w:style w:type="character" w:customStyle="1" w:styleId="264">
    <w:name w:val="font141"/>
    <w:basedOn w:val="49"/>
    <w:qFormat/>
    <w:uiPriority w:val="0"/>
    <w:rPr>
      <w:rFonts w:hint="eastAsia" w:ascii="宋体" w:hAnsi="宋体" w:eastAsia="宋体" w:cs="宋体"/>
      <w:color w:val="000000"/>
      <w:sz w:val="20"/>
      <w:szCs w:val="20"/>
      <w:u w:val="none"/>
    </w:rPr>
  </w:style>
  <w:style w:type="character" w:customStyle="1" w:styleId="265">
    <w:name w:val="正文文本缩进 Char2"/>
    <w:qFormat/>
    <w:uiPriority w:val="0"/>
    <w:rPr>
      <w:rFonts w:ascii="Times New Roman" w:hAnsi="Times New Roman" w:eastAsia="宋体" w:cs="Times New Roman"/>
      <w:sz w:val="24"/>
      <w:szCs w:val="24"/>
    </w:rPr>
  </w:style>
  <w:style w:type="character" w:customStyle="1" w:styleId="266">
    <w:name w:val="正文缩进 Char1"/>
    <w:qFormat/>
    <w:uiPriority w:val="0"/>
    <w:rPr>
      <w:rFonts w:ascii="宋体" w:eastAsia="宋体"/>
      <w:sz w:val="24"/>
      <w:szCs w:val="24"/>
      <w:lang w:val="en-US" w:eastAsia="zh-CN"/>
    </w:rPr>
  </w:style>
  <w:style w:type="character" w:customStyle="1" w:styleId="267">
    <w:name w:val="标题 3 Char1"/>
    <w:qFormat/>
    <w:uiPriority w:val="0"/>
    <w:rPr>
      <w:rFonts w:ascii="宋体" w:eastAsia="宋体"/>
      <w:b/>
      <w:sz w:val="24"/>
      <w:u w:val="single"/>
      <w:lang w:val="en-US" w:eastAsia="zh-CN"/>
    </w:rPr>
  </w:style>
  <w:style w:type="character" w:customStyle="1" w:styleId="268">
    <w:name w:val="标题 2 Char1"/>
    <w:qFormat/>
    <w:uiPriority w:val="0"/>
    <w:rPr>
      <w:rFonts w:ascii="Arial" w:hAnsi="Arial" w:eastAsia="黑体"/>
      <w:b/>
      <w:sz w:val="30"/>
      <w:lang w:val="en-US" w:eastAsia="zh-CN"/>
    </w:rPr>
  </w:style>
  <w:style w:type="character" w:customStyle="1" w:styleId="269">
    <w:name w:val="正文大标题 Char Char"/>
    <w:link w:val="270"/>
    <w:qFormat/>
    <w:uiPriority w:val="0"/>
    <w:rPr>
      <w:rFonts w:ascii="宋体" w:hAnsi="宋体"/>
      <w:b/>
      <w:color w:val="000000"/>
      <w:sz w:val="28"/>
      <w:szCs w:val="21"/>
    </w:rPr>
  </w:style>
  <w:style w:type="paragraph" w:customStyle="1" w:styleId="270">
    <w:name w:val="正文大标题"/>
    <w:basedOn w:val="271"/>
    <w:next w:val="4"/>
    <w:link w:val="269"/>
    <w:qFormat/>
    <w:uiPriority w:val="0"/>
    <w:pPr>
      <w:jc w:val="center"/>
    </w:pPr>
    <w:rPr>
      <w:i w:val="0"/>
      <w:color w:val="000000"/>
      <w:sz w:val="28"/>
      <w:szCs w:val="21"/>
    </w:rPr>
  </w:style>
  <w:style w:type="paragraph" w:customStyle="1" w:styleId="271">
    <w:name w:val="正文小标题"/>
    <w:basedOn w:val="1"/>
    <w:next w:val="4"/>
    <w:link w:val="272"/>
    <w:qFormat/>
    <w:uiPriority w:val="0"/>
    <w:pPr>
      <w:spacing w:before="312" w:after="312"/>
      <w:ind w:firstLine="482"/>
      <w:jc w:val="left"/>
    </w:pPr>
    <w:rPr>
      <w:rFonts w:ascii="宋体" w:hAnsi="宋体" w:cs="Times New Roman"/>
      <w:b/>
      <w:i/>
      <w:color w:val="FF0000"/>
      <w:sz w:val="24"/>
      <w:szCs w:val="20"/>
    </w:rPr>
  </w:style>
  <w:style w:type="character" w:customStyle="1" w:styleId="272">
    <w:name w:val="正文小标题 Char Char"/>
    <w:link w:val="271"/>
    <w:qFormat/>
    <w:uiPriority w:val="0"/>
    <w:rPr>
      <w:rFonts w:ascii="宋体" w:hAnsi="宋体" w:eastAsia="宋体" w:cs="Times New Roman"/>
      <w:b/>
      <w:i/>
      <w:color w:val="FF0000"/>
      <w:sz w:val="24"/>
    </w:rPr>
  </w:style>
  <w:style w:type="character" w:customStyle="1" w:styleId="273">
    <w:name w:val="中等深浅网格 1 - 强调文字颜色 2 Char"/>
    <w:link w:val="274"/>
    <w:qFormat/>
    <w:uiPriority w:val="0"/>
    <w:rPr>
      <w:sz w:val="21"/>
      <w:szCs w:val="24"/>
      <w:lang w:val="zh-CN" w:eastAsia="zh-CN" w:bidi="ar-SA"/>
    </w:rPr>
  </w:style>
  <w:style w:type="paragraph" w:customStyle="1" w:styleId="274">
    <w:name w:val="1"/>
    <w:link w:val="273"/>
    <w:qFormat/>
    <w:uiPriority w:val="0"/>
    <w:rPr>
      <w:rFonts w:ascii="Times New Roman" w:hAnsi="Times New Roman" w:eastAsia="宋体" w:cs="Times New Roman"/>
      <w:sz w:val="21"/>
      <w:szCs w:val="24"/>
      <w:lang w:val="zh-CN" w:eastAsia="zh-CN" w:bidi="ar-SA"/>
    </w:rPr>
  </w:style>
  <w:style w:type="character" w:customStyle="1" w:styleId="275">
    <w:name w:val="页脚 Char1"/>
    <w:qFormat/>
    <w:uiPriority w:val="0"/>
    <w:rPr>
      <w:rFonts w:ascii="宋体" w:eastAsia="宋体"/>
      <w:sz w:val="18"/>
      <w:lang w:val="en-US" w:eastAsia="zh-CN"/>
    </w:rPr>
  </w:style>
  <w:style w:type="character" w:customStyle="1" w:styleId="276">
    <w:name w:val="页眉 Char1"/>
    <w:qFormat/>
    <w:uiPriority w:val="0"/>
    <w:rPr>
      <w:rFonts w:eastAsia="宋体"/>
      <w:sz w:val="18"/>
      <w:szCs w:val="18"/>
      <w:lang w:val="en-US" w:eastAsia="zh-CN"/>
    </w:rPr>
  </w:style>
  <w:style w:type="character" w:customStyle="1" w:styleId="277">
    <w:name w:val="NormalCharacter1"/>
    <w:qFormat/>
    <w:uiPriority w:val="0"/>
  </w:style>
  <w:style w:type="character" w:customStyle="1" w:styleId="278">
    <w:name w:val="标题 Char1"/>
    <w:qFormat/>
    <w:uiPriority w:val="0"/>
    <w:rPr>
      <w:rFonts w:ascii="Times New Roman" w:hAnsi="Times New Roman" w:eastAsia="宋体" w:cs="Times New Roman"/>
      <w:b/>
      <w:sz w:val="32"/>
    </w:rPr>
  </w:style>
  <w:style w:type="character" w:customStyle="1" w:styleId="279">
    <w:name w:val="txt"/>
    <w:basedOn w:val="49"/>
    <w:qFormat/>
    <w:uiPriority w:val="0"/>
  </w:style>
  <w:style w:type="character" w:customStyle="1" w:styleId="280">
    <w:name w:val="列出段落 Char"/>
    <w:link w:val="281"/>
    <w:qFormat/>
    <w:uiPriority w:val="0"/>
  </w:style>
  <w:style w:type="paragraph" w:styleId="281">
    <w:name w:val="List Paragraph"/>
    <w:basedOn w:val="1"/>
    <w:link w:val="280"/>
    <w:qFormat/>
    <w:uiPriority w:val="34"/>
    <w:pPr>
      <w:ind w:firstLine="420"/>
    </w:pPr>
  </w:style>
  <w:style w:type="character" w:customStyle="1" w:styleId="282">
    <w:name w:val="title4"/>
    <w:qFormat/>
    <w:uiPriority w:val="0"/>
    <w:rPr>
      <w:b/>
      <w:bCs/>
      <w:color w:val="1D87B3"/>
      <w:sz w:val="15"/>
      <w:szCs w:val="15"/>
    </w:rPr>
  </w:style>
  <w:style w:type="character" w:customStyle="1" w:styleId="283">
    <w:name w:val="普通文字1 Char1"/>
    <w:qFormat/>
    <w:uiPriority w:val="0"/>
    <w:rPr>
      <w:rFonts w:ascii="宋体" w:hAnsi="Courier New" w:eastAsia="宋体"/>
      <w:sz w:val="21"/>
      <w:lang w:val="en-US" w:eastAsia="zh-CN"/>
    </w:rPr>
  </w:style>
  <w:style w:type="character" w:customStyle="1" w:styleId="284">
    <w:name w:val="正文格式 Char Char"/>
    <w:link w:val="285"/>
    <w:qFormat/>
    <w:uiPriority w:val="0"/>
    <w:rPr>
      <w:rFonts w:ascii="宋体" w:hAnsi="宋体"/>
      <w:sz w:val="24"/>
      <w:szCs w:val="24"/>
    </w:rPr>
  </w:style>
  <w:style w:type="paragraph" w:customStyle="1" w:styleId="285">
    <w:name w:val="正文格式"/>
    <w:basedOn w:val="1"/>
    <w:link w:val="284"/>
    <w:qFormat/>
    <w:uiPriority w:val="0"/>
    <w:pPr>
      <w:spacing w:before="156" w:line="360" w:lineRule="auto"/>
      <w:ind w:firstLine="480"/>
    </w:pPr>
    <w:rPr>
      <w:rFonts w:ascii="宋体" w:hAnsi="宋体" w:cs="Times New Roman"/>
      <w:sz w:val="24"/>
      <w:szCs w:val="24"/>
    </w:rPr>
  </w:style>
  <w:style w:type="character" w:customStyle="1" w:styleId="286">
    <w:name w:val="纯文本 Char1"/>
    <w:qFormat/>
    <w:uiPriority w:val="0"/>
    <w:rPr>
      <w:rFonts w:ascii="宋体" w:hAnsi="Courier New" w:eastAsia="宋体"/>
      <w:sz w:val="21"/>
      <w:lang w:val="en-US" w:eastAsia="zh-CN"/>
    </w:rPr>
  </w:style>
  <w:style w:type="character" w:customStyle="1" w:styleId="287">
    <w:name w:val="apple-style-span"/>
    <w:qFormat/>
    <w:uiPriority w:val="0"/>
    <w:rPr>
      <w:rFonts w:cs="Times New Roman"/>
    </w:rPr>
  </w:style>
  <w:style w:type="paragraph" w:customStyle="1" w:styleId="288">
    <w:name w:val="标题1-附件"/>
    <w:basedOn w:val="2"/>
    <w:qFormat/>
    <w:uiPriority w:val="0"/>
    <w:pPr>
      <w:keepNext/>
      <w:keepLines/>
      <w:spacing w:before="240" w:after="120" w:line="300" w:lineRule="auto"/>
      <w:jc w:val="left"/>
    </w:pPr>
    <w:rPr>
      <w:rFonts w:ascii="宋体" w:hAnsi="Times New Roman" w:cs="Times New Roman"/>
      <w:sz w:val="24"/>
      <w:szCs w:val="24"/>
    </w:rPr>
  </w:style>
  <w:style w:type="paragraph" w:customStyle="1" w:styleId="289">
    <w:name w:val="项目编号3"/>
    <w:basedOn w:val="290"/>
    <w:qFormat/>
    <w:uiPriority w:val="0"/>
    <w:pPr>
      <w:tabs>
        <w:tab w:val="left" w:pos="768"/>
      </w:tabs>
      <w:ind w:left="768" w:hanging="360"/>
    </w:pPr>
  </w:style>
  <w:style w:type="paragraph" w:customStyle="1" w:styleId="290">
    <w:name w:val="正文文本样式"/>
    <w:basedOn w:val="1"/>
    <w:qFormat/>
    <w:uiPriority w:val="0"/>
    <w:pPr>
      <w:spacing w:line="360" w:lineRule="auto"/>
      <w:ind w:firstLine="482"/>
    </w:pPr>
    <w:rPr>
      <w:rFonts w:ascii="Times New Roman" w:hAnsi="Times New Roman" w:cs="宋体"/>
      <w:sz w:val="24"/>
      <w:szCs w:val="20"/>
    </w:rPr>
  </w:style>
  <w:style w:type="paragraph" w:customStyle="1" w:styleId="291">
    <w:name w:val="样式 宋体 五号 行距: 单倍行距"/>
    <w:basedOn w:val="1"/>
    <w:qFormat/>
    <w:uiPriority w:val="0"/>
    <w:pPr>
      <w:jc w:val="left"/>
    </w:pPr>
    <w:rPr>
      <w:rFonts w:ascii="宋体" w:hAnsi="宋体" w:cs="Times New Roman"/>
      <w:szCs w:val="20"/>
    </w:rPr>
  </w:style>
  <w:style w:type="paragraph" w:customStyle="1" w:styleId="292">
    <w:name w:val="Char Char1 Char Char Char Char Char Char1"/>
    <w:basedOn w:val="1"/>
    <w:qFormat/>
    <w:uiPriority w:val="0"/>
    <w:pPr>
      <w:widowControl/>
      <w:spacing w:after="160" w:line="240" w:lineRule="exact"/>
      <w:jc w:val="left"/>
    </w:pPr>
    <w:rPr>
      <w:rFonts w:ascii="Verdana" w:hAnsi="Verdana" w:eastAsia="仿宋_GB2312" w:cs="Times New Roman"/>
      <w:sz w:val="24"/>
      <w:szCs w:val="20"/>
      <w:lang w:eastAsia="en-US"/>
    </w:rPr>
  </w:style>
  <w:style w:type="paragraph" w:customStyle="1" w:styleId="293">
    <w:name w:val="background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94">
    <w:name w:val="Char1 Char Char Char1"/>
    <w:basedOn w:val="1"/>
    <w:qFormat/>
    <w:uiPriority w:val="0"/>
    <w:rPr>
      <w:rFonts w:ascii="Tahoma" w:hAnsi="Tahoma" w:cs="仿宋_GB2312"/>
      <w:sz w:val="24"/>
      <w:szCs w:val="28"/>
    </w:rPr>
  </w:style>
  <w:style w:type="paragraph" w:customStyle="1" w:styleId="295">
    <w:name w:val="Char1"/>
    <w:basedOn w:val="1"/>
    <w:qFormat/>
    <w:uiPriority w:val="0"/>
    <w:pPr>
      <w:tabs>
        <w:tab w:val="left" w:pos="360"/>
      </w:tabs>
    </w:pPr>
    <w:rPr>
      <w:rFonts w:ascii="Times New Roman" w:hAnsi="Times New Roman" w:cs="Times New Roman"/>
      <w:sz w:val="24"/>
      <w:szCs w:val="24"/>
    </w:rPr>
  </w:style>
  <w:style w:type="paragraph" w:customStyle="1" w:styleId="29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97">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8">
    <w:name w:val="Char3"/>
    <w:basedOn w:val="1"/>
    <w:qFormat/>
    <w:uiPriority w:val="0"/>
    <w:pPr>
      <w:tabs>
        <w:tab w:val="left" w:pos="360"/>
      </w:tabs>
    </w:pPr>
    <w:rPr>
      <w:rFonts w:ascii="Times New Roman" w:hAnsi="Times New Roman" w:cs="Times New Roman"/>
      <w:sz w:val="24"/>
      <w:szCs w:val="24"/>
    </w:rPr>
  </w:style>
  <w:style w:type="paragraph" w:customStyle="1" w:styleId="299">
    <w:name w:val="Char Char Char Char Char Char Char Char Char Char1"/>
    <w:basedOn w:val="1"/>
    <w:qFormat/>
    <w:uiPriority w:val="0"/>
    <w:rPr>
      <w:rFonts w:ascii="宋体" w:hAnsi="宋体" w:cs="Courier New"/>
      <w:sz w:val="32"/>
      <w:szCs w:val="32"/>
    </w:rPr>
  </w:style>
  <w:style w:type="paragraph" w:customStyle="1" w:styleId="300">
    <w:name w:val="Char Char Char1 Char2"/>
    <w:basedOn w:val="1"/>
    <w:qFormat/>
    <w:uiPriority w:val="0"/>
    <w:rPr>
      <w:rFonts w:ascii="Tahoma" w:hAnsi="Tahoma" w:cs="Times New Roman"/>
      <w:sz w:val="24"/>
      <w:szCs w:val="20"/>
    </w:rPr>
  </w:style>
  <w:style w:type="paragraph" w:customStyle="1" w:styleId="301">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2">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styleId="303">
    <w:name w:val="No Spacing"/>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04">
    <w:name w:val="xl23"/>
    <w:basedOn w:val="1"/>
    <w:qFormat/>
    <w:uiPriority w:val="0"/>
    <w:pPr>
      <w:widowControl/>
      <w:spacing w:before="100" w:beforeAutospacing="1" w:after="100" w:afterAutospacing="1" w:line="360" w:lineRule="auto"/>
    </w:pPr>
    <w:rPr>
      <w:rFonts w:ascii="Times New Roman" w:hAnsi="Times New Roman" w:cs="Times New Roman"/>
      <w:sz w:val="24"/>
      <w:szCs w:val="20"/>
    </w:rPr>
  </w:style>
  <w:style w:type="paragraph" w:customStyle="1" w:styleId="305">
    <w:name w:val="列出段落1"/>
    <w:basedOn w:val="1"/>
    <w:qFormat/>
    <w:uiPriority w:val="34"/>
    <w:pPr>
      <w:ind w:firstLine="420"/>
    </w:pPr>
    <w:rPr>
      <w:rFonts w:cs="Times New Roman"/>
    </w:rPr>
  </w:style>
  <w:style w:type="paragraph" w:customStyle="1" w:styleId="306">
    <w:name w:val="Char3 Char Char Char"/>
    <w:basedOn w:val="1"/>
    <w:qFormat/>
    <w:uiPriority w:val="0"/>
    <w:rPr>
      <w:rFonts w:ascii="Tahoma" w:hAnsi="Tahoma" w:cs="Times New Roman"/>
      <w:sz w:val="24"/>
      <w:szCs w:val="20"/>
    </w:rPr>
  </w:style>
  <w:style w:type="paragraph" w:customStyle="1" w:styleId="307">
    <w:name w:val="22222222222222"/>
    <w:basedOn w:val="1"/>
    <w:qFormat/>
    <w:uiPriority w:val="0"/>
    <w:pPr>
      <w:widowControl/>
      <w:spacing w:line="360" w:lineRule="auto"/>
      <w:ind w:firstLine="480"/>
      <w:jc w:val="left"/>
    </w:pPr>
    <w:rPr>
      <w:rFonts w:ascii="Times New Roman" w:hAnsi="Times New Roman" w:cs="Times New Roman"/>
      <w:color w:val="FF0000"/>
      <w:sz w:val="24"/>
      <w:szCs w:val="20"/>
    </w:rPr>
  </w:style>
  <w:style w:type="paragraph" w:customStyle="1" w:styleId="308">
    <w:name w:val="项目编号1"/>
    <w:basedOn w:val="1"/>
    <w:qFormat/>
    <w:uiPriority w:val="0"/>
    <w:pPr>
      <w:spacing w:before="100" w:beforeAutospacing="1" w:after="100" w:afterAutospacing="1" w:line="360" w:lineRule="auto"/>
      <w:ind w:left="680" w:hanging="680"/>
    </w:pPr>
    <w:rPr>
      <w:rFonts w:ascii="Times New Roman" w:hAnsi="Times New Roman" w:cs="Times New Roman"/>
      <w:sz w:val="24"/>
      <w:szCs w:val="24"/>
    </w:rPr>
  </w:style>
  <w:style w:type="paragraph" w:customStyle="1" w:styleId="309">
    <w:name w:val="正文缩进11"/>
    <w:basedOn w:val="1"/>
    <w:qFormat/>
    <w:uiPriority w:val="0"/>
    <w:pPr>
      <w:ind w:firstLine="420"/>
      <w:jc w:val="left"/>
    </w:pPr>
    <w:rPr>
      <w:rFonts w:ascii="宋体"/>
      <w:sz w:val="24"/>
    </w:rPr>
  </w:style>
  <w:style w:type="paragraph" w:customStyle="1" w:styleId="310">
    <w:name w:val="default"/>
    <w:basedOn w:val="1"/>
    <w:qFormat/>
    <w:uiPriority w:val="0"/>
    <w:pPr>
      <w:widowControl/>
      <w:spacing w:before="100" w:beforeAutospacing="1" w:after="100" w:afterAutospacing="1"/>
      <w:jc w:val="left"/>
    </w:pPr>
    <w:rPr>
      <w:rFonts w:ascii="宋体" w:hAnsi="宋体" w:cs="宋体"/>
      <w:sz w:val="24"/>
      <w:szCs w:val="24"/>
    </w:rPr>
  </w:style>
  <w:style w:type="paragraph" w:customStyle="1" w:styleId="311">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rPr>
  </w:style>
  <w:style w:type="paragraph" w:customStyle="1" w:styleId="31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3">
    <w:name w:val="Char Char Char1 Char1"/>
    <w:basedOn w:val="1"/>
    <w:qFormat/>
    <w:uiPriority w:val="0"/>
    <w:rPr>
      <w:rFonts w:ascii="Tahoma" w:hAnsi="Tahoma" w:cs="Times New Roman"/>
      <w:sz w:val="24"/>
      <w:szCs w:val="20"/>
    </w:rPr>
  </w:style>
  <w:style w:type="paragraph" w:customStyle="1" w:styleId="314">
    <w:name w:val="正文列项_字母"/>
    <w:basedOn w:val="1"/>
    <w:qFormat/>
    <w:uiPriority w:val="0"/>
    <w:pPr>
      <w:tabs>
        <w:tab w:val="left" w:pos="360"/>
      </w:tabs>
      <w:spacing w:line="460" w:lineRule="exact"/>
      <w:ind w:left="480" w:hanging="180"/>
      <w:outlineLvl w:val="6"/>
    </w:pPr>
    <w:rPr>
      <w:rFonts w:ascii="宋体" w:hAnsi="Times New Roman" w:cs="Times New Roman"/>
      <w:sz w:val="28"/>
      <w:szCs w:val="20"/>
    </w:rPr>
  </w:style>
  <w:style w:type="paragraph" w:customStyle="1" w:styleId="315">
    <w:name w:val="章标题"/>
    <w:next w:val="1"/>
    <w:qFormat/>
    <w:uiPriority w:val="0"/>
    <w:pPr>
      <w:tabs>
        <w:tab w:val="left" w:pos="360"/>
      </w:tabs>
      <w:spacing w:before="156" w:after="156" w:line="460" w:lineRule="exact"/>
      <w:ind w:hanging="360"/>
      <w:jc w:val="both"/>
      <w:outlineLvl w:val="0"/>
    </w:pPr>
    <w:rPr>
      <w:rFonts w:ascii="黑体" w:hAnsi="Times New Roman" w:eastAsia="黑体" w:cs="Times New Roman"/>
      <w:b/>
      <w:sz w:val="28"/>
      <w:lang w:val="en-US" w:eastAsia="zh-CN" w:bidi="ar-SA"/>
    </w:rPr>
  </w:style>
  <w:style w:type="paragraph" w:customStyle="1" w:styleId="316">
    <w:name w:val="Char Char Char Char Char Char Char1"/>
    <w:basedOn w:val="1"/>
    <w:qFormat/>
    <w:uiPriority w:val="0"/>
    <w:pPr>
      <w:spacing w:line="360" w:lineRule="auto"/>
      <w:ind w:firstLine="200"/>
    </w:pPr>
    <w:rPr>
      <w:rFonts w:ascii="Times New Roman" w:hAnsi="Times New Roman" w:eastAsia="仿宋_GB2312" w:cs="Times New Roman"/>
      <w:sz w:val="24"/>
      <w:szCs w:val="24"/>
    </w:rPr>
  </w:style>
  <w:style w:type="paragraph" w:customStyle="1" w:styleId="317">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8">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szCs w:val="24"/>
    </w:rPr>
  </w:style>
  <w:style w:type="paragraph" w:customStyle="1" w:styleId="319">
    <w:name w:val="正文 A"/>
    <w:qFormat/>
    <w:uiPriority w:val="0"/>
    <w:pPr>
      <w:widowControl w:val="0"/>
      <w:jc w:val="both"/>
    </w:pPr>
    <w:rPr>
      <w:rFonts w:ascii="Times New Roman" w:hAnsi="Times New Roman" w:eastAsia="Times New Roman" w:cs="Times New Roman"/>
      <w:color w:val="000000"/>
      <w:sz w:val="21"/>
      <w:szCs w:val="21"/>
      <w:lang w:val="en-US" w:eastAsia="zh-CN" w:bidi="ar-SA"/>
    </w:rPr>
  </w:style>
  <w:style w:type="paragraph" w:customStyle="1" w:styleId="320">
    <w:name w:val="图文"/>
    <w:basedOn w:val="1"/>
    <w:qFormat/>
    <w:uiPriority w:val="0"/>
    <w:pPr>
      <w:spacing w:after="50" w:line="360" w:lineRule="auto"/>
    </w:pPr>
    <w:rPr>
      <w:rFonts w:ascii="Times New Roman" w:hAnsi="Times New Roman" w:cs="Times New Roman"/>
      <w:sz w:val="24"/>
      <w:szCs w:val="24"/>
    </w:rPr>
  </w:style>
  <w:style w:type="paragraph" w:customStyle="1" w:styleId="321">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2">
    <w:name w:val="Char3 Char Char Char2"/>
    <w:basedOn w:val="1"/>
    <w:qFormat/>
    <w:uiPriority w:val="0"/>
    <w:rPr>
      <w:rFonts w:ascii="Tahoma" w:hAnsi="Tahoma" w:cs="Times New Roman"/>
      <w:sz w:val="24"/>
      <w:szCs w:val="20"/>
    </w:rPr>
  </w:style>
  <w:style w:type="paragraph" w:customStyle="1" w:styleId="323">
    <w:name w:val="Char Char Char"/>
    <w:basedOn w:val="1"/>
    <w:qFormat/>
    <w:uiPriority w:val="0"/>
    <w:rPr>
      <w:rFonts w:ascii="Tahoma" w:hAnsi="Tahoma" w:cs="Times New Roman"/>
      <w:sz w:val="24"/>
      <w:szCs w:val="20"/>
    </w:rPr>
  </w:style>
  <w:style w:type="paragraph" w:customStyle="1" w:styleId="324">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25">
    <w:name w:val="五级条标题"/>
    <w:basedOn w:val="326"/>
    <w:next w:val="1"/>
    <w:qFormat/>
    <w:uiPriority w:val="0"/>
    <w:pPr>
      <w:tabs>
        <w:tab w:val="left" w:pos="360"/>
        <w:tab w:val="left" w:pos="840"/>
      </w:tabs>
      <w:outlineLvl w:val="5"/>
    </w:pPr>
  </w:style>
  <w:style w:type="paragraph" w:customStyle="1" w:styleId="326">
    <w:name w:val="四级条标题"/>
    <w:basedOn w:val="327"/>
    <w:next w:val="1"/>
    <w:qFormat/>
    <w:uiPriority w:val="0"/>
    <w:pPr>
      <w:tabs>
        <w:tab w:val="left" w:pos="360"/>
        <w:tab w:val="left" w:pos="840"/>
      </w:tabs>
      <w:outlineLvl w:val="4"/>
    </w:pPr>
  </w:style>
  <w:style w:type="paragraph" w:customStyle="1" w:styleId="327">
    <w:name w:val="三级条标题"/>
    <w:basedOn w:val="328"/>
    <w:next w:val="1"/>
    <w:qFormat/>
    <w:uiPriority w:val="0"/>
    <w:pPr>
      <w:tabs>
        <w:tab w:val="left" w:pos="360"/>
        <w:tab w:val="left" w:pos="840"/>
      </w:tabs>
      <w:outlineLvl w:val="3"/>
    </w:pPr>
  </w:style>
  <w:style w:type="paragraph" w:customStyle="1" w:styleId="328">
    <w:name w:val="二级条标题"/>
    <w:basedOn w:val="329"/>
    <w:next w:val="1"/>
    <w:qFormat/>
    <w:uiPriority w:val="0"/>
    <w:pPr>
      <w:tabs>
        <w:tab w:val="left" w:pos="360"/>
        <w:tab w:val="left" w:pos="840"/>
      </w:tabs>
      <w:outlineLvl w:val="2"/>
    </w:pPr>
    <w:rPr>
      <w:rFonts w:ascii="宋体" w:eastAsia="宋体"/>
      <w:b w:val="0"/>
    </w:rPr>
  </w:style>
  <w:style w:type="paragraph" w:customStyle="1" w:styleId="329">
    <w:name w:val="一级条标题"/>
    <w:basedOn w:val="315"/>
    <w:next w:val="1"/>
    <w:qFormat/>
    <w:uiPriority w:val="0"/>
    <w:pPr>
      <w:tabs>
        <w:tab w:val="left" w:pos="840"/>
      </w:tabs>
      <w:ind w:hanging="840"/>
      <w:outlineLvl w:val="1"/>
    </w:pPr>
  </w:style>
  <w:style w:type="paragraph" w:customStyle="1" w:styleId="330">
    <w:name w:val="正文缩进2"/>
    <w:basedOn w:val="1"/>
    <w:qFormat/>
    <w:uiPriority w:val="0"/>
    <w:pPr>
      <w:widowControl/>
      <w:spacing w:line="480" w:lineRule="exact"/>
      <w:ind w:firstLine="567"/>
    </w:pPr>
    <w:rPr>
      <w:rFonts w:ascii="宋体" w:hAnsi="Times New Roman" w:cs="Times New Roman"/>
      <w:color w:val="000000"/>
      <w:sz w:val="28"/>
      <w:szCs w:val="20"/>
      <w:lang w:val="zh-CN"/>
    </w:rPr>
  </w:style>
  <w:style w:type="paragraph" w:customStyle="1" w:styleId="331">
    <w:name w:val="文档正文"/>
    <w:basedOn w:val="1"/>
    <w:qFormat/>
    <w:uiPriority w:val="0"/>
    <w:pPr>
      <w:spacing w:before="120" w:after="120" w:line="180" w:lineRule="auto"/>
    </w:pPr>
    <w:rPr>
      <w:rFonts w:ascii="Arial" w:hAnsi="Arial" w:cs="Times New Roman"/>
      <w:szCs w:val="20"/>
    </w:rPr>
  </w:style>
  <w:style w:type="paragraph" w:customStyle="1" w:styleId="332">
    <w:name w:val="正文须知-2级"/>
    <w:basedOn w:val="1"/>
    <w:qFormat/>
    <w:uiPriority w:val="0"/>
    <w:pPr>
      <w:spacing w:line="300" w:lineRule="auto"/>
      <w:ind w:left="851" w:hanging="567"/>
    </w:pPr>
    <w:rPr>
      <w:rFonts w:ascii="宋体" w:cs="Times New Roman"/>
      <w:sz w:val="24"/>
      <w:szCs w:val="21"/>
    </w:rPr>
  </w:style>
  <w:style w:type="paragraph" w:customStyle="1" w:styleId="333">
    <w:name w:val="正文须知-3级"/>
    <w:basedOn w:val="1"/>
    <w:qFormat/>
    <w:uiPriority w:val="0"/>
    <w:pPr>
      <w:spacing w:line="300" w:lineRule="auto"/>
      <w:ind w:left="1418" w:hanging="355"/>
    </w:pPr>
    <w:rPr>
      <w:rFonts w:ascii="宋体" w:cs="Times New Roman"/>
      <w:sz w:val="24"/>
      <w:szCs w:val="21"/>
    </w:rPr>
  </w:style>
  <w:style w:type="paragraph" w:customStyle="1" w:styleId="334">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cs="Times New Roman"/>
      <w:b/>
      <w:bCs/>
      <w:color w:val="000000"/>
      <w:sz w:val="20"/>
      <w:szCs w:val="20"/>
    </w:rPr>
  </w:style>
  <w:style w:type="paragraph" w:customStyle="1" w:styleId="335">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336">
    <w:name w:val="Table Paragraph"/>
    <w:basedOn w:val="1"/>
    <w:qFormat/>
    <w:uiPriority w:val="0"/>
    <w:pPr>
      <w:jc w:val="left"/>
    </w:pPr>
    <w:rPr>
      <w:rFonts w:ascii="宋体" w:hAnsi="宋体" w:cs="宋体"/>
      <w:sz w:val="22"/>
      <w:lang w:eastAsia="en-US"/>
    </w:rPr>
  </w:style>
  <w:style w:type="paragraph" w:customStyle="1" w:styleId="337">
    <w:name w:val="正文文本1"/>
    <w:basedOn w:val="1"/>
    <w:qFormat/>
    <w:uiPriority w:val="0"/>
    <w:pPr>
      <w:tabs>
        <w:tab w:val="left" w:pos="567"/>
      </w:tabs>
      <w:spacing w:before="120" w:line="22" w:lineRule="atLeast"/>
    </w:pPr>
    <w:rPr>
      <w:rFonts w:ascii="宋体" w:hAnsi="宋体"/>
      <w:sz w:val="24"/>
    </w:rPr>
  </w:style>
  <w:style w:type="paragraph" w:customStyle="1" w:styleId="338">
    <w:name w:val="项目符号1"/>
    <w:basedOn w:val="290"/>
    <w:qFormat/>
    <w:uiPriority w:val="0"/>
    <w:pPr>
      <w:ind w:left="-25" w:firstLine="0"/>
    </w:pPr>
  </w:style>
  <w:style w:type="paragraph" w:customStyle="1" w:styleId="339">
    <w:name w:val="标题 21"/>
    <w:basedOn w:val="1"/>
    <w:next w:val="309"/>
    <w:qFormat/>
    <w:uiPriority w:val="0"/>
    <w:pPr>
      <w:keepNext/>
      <w:keepLines/>
      <w:spacing w:before="120" w:line="300" w:lineRule="auto"/>
      <w:jc w:val="center"/>
      <w:outlineLvl w:val="1"/>
    </w:pPr>
    <w:rPr>
      <w:rFonts w:ascii="Arial" w:hAnsi="Arial" w:eastAsia="黑体"/>
      <w:b/>
      <w:sz w:val="30"/>
      <w:szCs w:val="20"/>
    </w:rPr>
  </w:style>
  <w:style w:type="paragraph" w:customStyle="1" w:styleId="340">
    <w:name w:val="Char3 Char Char Char1"/>
    <w:basedOn w:val="1"/>
    <w:qFormat/>
    <w:uiPriority w:val="0"/>
    <w:rPr>
      <w:rFonts w:ascii="Tahoma" w:hAnsi="Tahoma" w:cs="Times New Roman"/>
      <w:sz w:val="24"/>
      <w:szCs w:val="20"/>
    </w:rPr>
  </w:style>
  <w:style w:type="paragraph" w:customStyle="1" w:styleId="341">
    <w:name w:val="Char Char4"/>
    <w:basedOn w:val="1"/>
    <w:qFormat/>
    <w:uiPriority w:val="0"/>
    <w:pPr>
      <w:widowControl/>
      <w:spacing w:line="400" w:lineRule="exact"/>
      <w:jc w:val="center"/>
    </w:pPr>
    <w:rPr>
      <w:rFonts w:ascii="Times New Roman" w:hAnsi="Times New Roman" w:cs="Times New Roman"/>
      <w:szCs w:val="24"/>
    </w:rPr>
  </w:style>
  <w:style w:type="paragraph" w:customStyle="1" w:styleId="342">
    <w:name w:val="_Style 160"/>
    <w:qFormat/>
    <w:uiPriority w:val="0"/>
    <w:rPr>
      <w:rFonts w:ascii="Times New Roman" w:hAnsi="Times New Roman" w:eastAsia="宋体" w:cs="Times New Roman"/>
      <w:sz w:val="21"/>
      <w:szCs w:val="24"/>
      <w:lang w:val="en-US" w:eastAsia="zh-CN" w:bidi="ar-SA"/>
    </w:rPr>
  </w:style>
  <w:style w:type="paragraph" w:customStyle="1" w:styleId="343">
    <w:name w:val="Plain Text1"/>
    <w:next w:val="32"/>
    <w:qFormat/>
    <w:uiPriority w:val="0"/>
    <w:pPr>
      <w:widowControl w:val="0"/>
      <w:jc w:val="both"/>
    </w:pPr>
    <w:rPr>
      <w:rFonts w:ascii="宋体" w:hAnsi="宋体" w:eastAsia="楷体_GB2312" w:cs="Times New Roman"/>
      <w:sz w:val="26"/>
      <w:szCs w:val="22"/>
      <w:lang w:val="en-US" w:eastAsia="zh-CN" w:bidi="ar-SA"/>
    </w:rPr>
  </w:style>
  <w:style w:type="paragraph" w:customStyle="1" w:styleId="344">
    <w:name w:val="font8"/>
    <w:basedOn w:val="1"/>
    <w:qFormat/>
    <w:uiPriority w:val="0"/>
    <w:pPr>
      <w:widowControl/>
      <w:spacing w:before="100" w:beforeAutospacing="1" w:after="100" w:afterAutospacing="1"/>
      <w:jc w:val="left"/>
    </w:pPr>
    <w:rPr>
      <w:rFonts w:ascii="Times New Roman" w:hAnsi="Times New Roman" w:cs="Times New Roman"/>
      <w:sz w:val="36"/>
      <w:szCs w:val="36"/>
    </w:rPr>
  </w:style>
  <w:style w:type="paragraph" w:customStyle="1" w:styleId="34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cs="Times New Roman"/>
      <w:color w:val="000000"/>
      <w:sz w:val="20"/>
      <w:szCs w:val="20"/>
    </w:rPr>
  </w:style>
  <w:style w:type="paragraph" w:customStyle="1" w:styleId="346">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47">
    <w:name w:val="Char Char Char Char Char Char Char"/>
    <w:basedOn w:val="1"/>
    <w:qFormat/>
    <w:uiPriority w:val="0"/>
    <w:pPr>
      <w:spacing w:line="360" w:lineRule="auto"/>
      <w:ind w:firstLine="200"/>
    </w:pPr>
    <w:rPr>
      <w:rFonts w:ascii="Times New Roman" w:hAnsi="Times New Roman" w:eastAsia="仿宋_GB2312" w:cs="Times New Roman"/>
      <w:sz w:val="24"/>
      <w:szCs w:val="24"/>
    </w:rPr>
  </w:style>
  <w:style w:type="paragraph" w:customStyle="1" w:styleId="348">
    <w:name w:val="Char Char Char Char Char Char Char Char Char Char2"/>
    <w:basedOn w:val="1"/>
    <w:qFormat/>
    <w:uiPriority w:val="0"/>
    <w:rPr>
      <w:rFonts w:ascii="宋体" w:hAnsi="宋体" w:cs="Courier New"/>
      <w:sz w:val="32"/>
      <w:szCs w:val="32"/>
    </w:rPr>
  </w:style>
  <w:style w:type="paragraph" w:customStyle="1" w:styleId="349">
    <w:name w:val="正文_0_3"/>
    <w:qFormat/>
    <w:uiPriority w:val="0"/>
    <w:pPr>
      <w:widowControl w:val="0"/>
      <w:jc w:val="both"/>
    </w:pPr>
    <w:rPr>
      <w:rFonts w:ascii="Calibri" w:hAnsi="Calibri" w:eastAsia="宋体" w:cs="Times New Roman"/>
      <w:sz w:val="21"/>
      <w:szCs w:val="22"/>
      <w:lang w:val="en-US" w:eastAsia="zh-CN" w:bidi="ar-SA"/>
    </w:rPr>
  </w:style>
  <w:style w:type="paragraph" w:customStyle="1" w:styleId="350">
    <w:name w:val="Char Char41"/>
    <w:basedOn w:val="1"/>
    <w:qFormat/>
    <w:uiPriority w:val="0"/>
    <w:pPr>
      <w:widowControl/>
      <w:spacing w:line="400" w:lineRule="exact"/>
      <w:jc w:val="center"/>
    </w:pPr>
    <w:rPr>
      <w:rFonts w:ascii="Times New Roman" w:hAnsi="Times New Roman" w:cs="Times New Roman"/>
      <w:szCs w:val="24"/>
    </w:rPr>
  </w:style>
  <w:style w:type="paragraph" w:customStyle="1" w:styleId="351">
    <w:name w:val="图例"/>
    <w:basedOn w:val="1"/>
    <w:qFormat/>
    <w:uiPriority w:val="0"/>
    <w:pPr>
      <w:spacing w:before="120" w:after="120" w:line="360" w:lineRule="auto"/>
      <w:jc w:val="center"/>
    </w:pPr>
    <w:rPr>
      <w:rFonts w:ascii="Times New Roman" w:hAnsi="Times New Roman" w:eastAsia="仿宋_GB2312" w:cs="Times New Roman"/>
      <w:b/>
      <w:sz w:val="24"/>
      <w:szCs w:val="20"/>
    </w:rPr>
  </w:style>
  <w:style w:type="paragraph" w:customStyle="1" w:styleId="352">
    <w:name w:val="Char Char Char Char Char Char Char Char Char Char Char Char Char Char Char Char"/>
    <w:basedOn w:val="1"/>
    <w:qFormat/>
    <w:uiPriority w:val="0"/>
    <w:pPr>
      <w:widowControl/>
      <w:spacing w:after="160" w:line="240" w:lineRule="exact"/>
      <w:jc w:val="center"/>
    </w:pPr>
    <w:rPr>
      <w:rFonts w:ascii="宋体" w:hAnsi="宋体" w:cs="Times New Roman"/>
      <w:b/>
      <w:sz w:val="30"/>
      <w:szCs w:val="30"/>
      <w:lang w:eastAsia="en-US"/>
    </w:rPr>
  </w:style>
  <w:style w:type="paragraph" w:customStyle="1" w:styleId="353">
    <w:name w:val="正文列项_数字"/>
    <w:basedOn w:val="1"/>
    <w:qFormat/>
    <w:uiPriority w:val="0"/>
    <w:pPr>
      <w:tabs>
        <w:tab w:val="left" w:pos="360"/>
      </w:tabs>
      <w:spacing w:line="460" w:lineRule="exact"/>
      <w:ind w:left="680" w:hanging="150"/>
      <w:outlineLvl w:val="7"/>
    </w:pPr>
    <w:rPr>
      <w:rFonts w:ascii="宋体" w:hAnsi="Times New Roman" w:cs="Times New Roman"/>
      <w:sz w:val="28"/>
      <w:szCs w:val="20"/>
    </w:rPr>
  </w:style>
  <w:style w:type="paragraph" w:customStyle="1" w:styleId="354">
    <w:name w:val="缺省文本"/>
    <w:basedOn w:val="1"/>
    <w:qFormat/>
    <w:uiPriority w:val="0"/>
    <w:pPr>
      <w:jc w:val="left"/>
    </w:pPr>
    <w:rPr>
      <w:rFonts w:ascii="Times New Roman" w:hAnsi="Times New Roman" w:cs="Times New Roman"/>
      <w:sz w:val="24"/>
      <w:szCs w:val="24"/>
    </w:rPr>
  </w:style>
  <w:style w:type="paragraph" w:customStyle="1" w:styleId="355">
    <w:name w:val="Char Char Char Char Char Char Char Char Char Char"/>
    <w:basedOn w:val="1"/>
    <w:qFormat/>
    <w:uiPriority w:val="0"/>
    <w:rPr>
      <w:rFonts w:ascii="Times New Roman" w:hAnsi="Times New Roman" w:cs="Times New Roman"/>
      <w:szCs w:val="24"/>
    </w:rPr>
  </w:style>
  <w:style w:type="paragraph" w:customStyle="1" w:styleId="356">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57">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58">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59">
    <w:name w:val="Char2 Char Char Char Char Char Char1"/>
    <w:basedOn w:val="1"/>
    <w:qFormat/>
    <w:uiPriority w:val="0"/>
    <w:pPr>
      <w:widowControl/>
      <w:spacing w:line="400" w:lineRule="exact"/>
      <w:jc w:val="center"/>
    </w:pPr>
    <w:rPr>
      <w:rFonts w:ascii="Times New Roman" w:hAnsi="Times New Roman" w:cs="Times New Roman"/>
      <w:szCs w:val="24"/>
    </w:rPr>
  </w:style>
  <w:style w:type="paragraph" w:customStyle="1" w:styleId="360">
    <w:name w:val="179"/>
    <w:basedOn w:val="1"/>
    <w:qFormat/>
    <w:uiPriority w:val="0"/>
    <w:pPr>
      <w:ind w:firstLine="420"/>
    </w:pPr>
    <w:rPr>
      <w:rFonts w:cs="Times New Roman"/>
    </w:rPr>
  </w:style>
  <w:style w:type="paragraph" w:customStyle="1" w:styleId="361">
    <w:name w:val="Char22"/>
    <w:basedOn w:val="1"/>
    <w:qFormat/>
    <w:uiPriority w:val="0"/>
    <w:rPr>
      <w:rFonts w:ascii="Tahoma" w:hAnsi="Tahoma" w:cs="Times New Roman"/>
      <w:sz w:val="24"/>
      <w:szCs w:val="20"/>
    </w:rPr>
  </w:style>
  <w:style w:type="paragraph" w:customStyle="1" w:styleId="362">
    <w:name w:val="Char2 Char Char Char Char Char Char"/>
    <w:basedOn w:val="1"/>
    <w:qFormat/>
    <w:uiPriority w:val="0"/>
    <w:pPr>
      <w:widowControl/>
      <w:spacing w:line="400" w:lineRule="exact"/>
      <w:jc w:val="center"/>
    </w:pPr>
    <w:rPr>
      <w:rFonts w:ascii="Times New Roman" w:hAnsi="Times New Roman" w:cs="Times New Roman"/>
      <w:szCs w:val="24"/>
    </w:rPr>
  </w:style>
  <w:style w:type="paragraph" w:customStyle="1" w:styleId="363">
    <w:name w:val="Char Char1"/>
    <w:basedOn w:val="14"/>
    <w:qFormat/>
    <w:uiPriority w:val="0"/>
    <w:pPr>
      <w:shd w:val="clear" w:color="auto" w:fill="000080"/>
    </w:pPr>
    <w:rPr>
      <w:rFonts w:ascii="Tahoma" w:hAnsi="Tahoma" w:cs="Times New Roman"/>
      <w:sz w:val="24"/>
      <w:szCs w:val="24"/>
    </w:rPr>
  </w:style>
  <w:style w:type="paragraph" w:customStyle="1" w:styleId="364">
    <w:name w:val="Char Char Char1"/>
    <w:basedOn w:val="1"/>
    <w:qFormat/>
    <w:uiPriority w:val="0"/>
    <w:rPr>
      <w:rFonts w:ascii="Tahoma" w:hAnsi="Tahoma" w:cs="Times New Roman"/>
      <w:sz w:val="24"/>
      <w:szCs w:val="20"/>
    </w:rPr>
  </w:style>
  <w:style w:type="paragraph" w:customStyle="1" w:styleId="36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Times New Roman" w:hAnsi="Times New Roman" w:eastAsia="Arial Unicode MS" w:cs="Times New Roman"/>
      <w:color w:val="000000"/>
      <w:sz w:val="20"/>
      <w:szCs w:val="20"/>
    </w:rPr>
  </w:style>
  <w:style w:type="paragraph" w:customStyle="1" w:styleId="36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67">
    <w:name w:val="Char"/>
    <w:basedOn w:val="1"/>
    <w:qFormat/>
    <w:uiPriority w:val="0"/>
    <w:pPr>
      <w:tabs>
        <w:tab w:val="left" w:pos="360"/>
      </w:tabs>
    </w:pPr>
    <w:rPr>
      <w:rFonts w:ascii="Times New Roman" w:hAnsi="Times New Roman" w:cs="Times New Roman"/>
      <w:sz w:val="24"/>
      <w:szCs w:val="24"/>
    </w:rPr>
  </w:style>
  <w:style w:type="paragraph" w:customStyle="1" w:styleId="368">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cs="Times New Roman"/>
      <w:color w:val="FF6600"/>
      <w:sz w:val="20"/>
      <w:szCs w:val="20"/>
    </w:rPr>
  </w:style>
  <w:style w:type="paragraph" w:customStyle="1" w:styleId="369">
    <w:name w:val="List Paragraph1"/>
    <w:basedOn w:val="1"/>
    <w:qFormat/>
    <w:uiPriority w:val="0"/>
    <w:pPr>
      <w:ind w:firstLine="420"/>
    </w:pPr>
    <w:rPr>
      <w:rFonts w:cs="Times New Roman"/>
    </w:rPr>
  </w:style>
  <w:style w:type="paragraph" w:customStyle="1" w:styleId="370">
    <w:name w:val="Char Char Char2"/>
    <w:basedOn w:val="1"/>
    <w:qFormat/>
    <w:uiPriority w:val="0"/>
    <w:rPr>
      <w:rFonts w:ascii="Tahoma" w:hAnsi="Tahoma" w:cs="Times New Roman"/>
      <w:sz w:val="24"/>
      <w:szCs w:val="20"/>
    </w:rPr>
  </w:style>
  <w:style w:type="paragraph" w:customStyle="1" w:styleId="371">
    <w:name w:val="Char Char1 Char Char Char Char Char Char"/>
    <w:basedOn w:val="1"/>
    <w:qFormat/>
    <w:uiPriority w:val="0"/>
    <w:pPr>
      <w:widowControl/>
      <w:spacing w:after="160" w:line="240" w:lineRule="exact"/>
      <w:jc w:val="left"/>
    </w:pPr>
    <w:rPr>
      <w:rFonts w:ascii="Verdana" w:hAnsi="Verdana" w:eastAsia="仿宋_GB2312" w:cs="Times New Roman"/>
      <w:sz w:val="24"/>
      <w:szCs w:val="20"/>
      <w:lang w:eastAsia="en-US"/>
    </w:rPr>
  </w:style>
  <w:style w:type="paragraph" w:customStyle="1" w:styleId="372">
    <w:name w:val="正文文本缩进2"/>
    <w:basedOn w:val="1"/>
    <w:qFormat/>
    <w:uiPriority w:val="0"/>
    <w:pPr>
      <w:spacing w:line="480" w:lineRule="exact"/>
      <w:ind w:firstLine="480"/>
    </w:pPr>
    <w:rPr>
      <w:rFonts w:ascii="宋体" w:hAnsi="宋体" w:cs="Times New Roman"/>
      <w:sz w:val="24"/>
      <w:szCs w:val="24"/>
      <w:lang w:val="zh-CN"/>
    </w:rPr>
  </w:style>
  <w:style w:type="paragraph" w:customStyle="1" w:styleId="373">
    <w:name w:val="Char2"/>
    <w:basedOn w:val="1"/>
    <w:qFormat/>
    <w:uiPriority w:val="0"/>
    <w:rPr>
      <w:rFonts w:ascii="Tahoma" w:hAnsi="Tahoma" w:cs="Times New Roman"/>
      <w:sz w:val="24"/>
      <w:szCs w:val="20"/>
    </w:rPr>
  </w:style>
  <w:style w:type="paragraph" w:customStyle="1" w:styleId="374">
    <w:name w:val="修订1"/>
    <w:qFormat/>
    <w:uiPriority w:val="0"/>
    <w:rPr>
      <w:rFonts w:ascii="Times New Roman" w:hAnsi="Times New Roman" w:eastAsia="宋体" w:cs="Times New Roman"/>
      <w:sz w:val="21"/>
      <w:szCs w:val="24"/>
      <w:lang w:val="en-US" w:eastAsia="zh-CN" w:bidi="ar-SA"/>
    </w:rPr>
  </w:style>
  <w:style w:type="paragraph" w:customStyle="1" w:styleId="375">
    <w:name w:val="Char Char Char Char Char Char Char Char Char Char Char Char Char Char Char Char1"/>
    <w:basedOn w:val="1"/>
    <w:qFormat/>
    <w:uiPriority w:val="0"/>
    <w:pPr>
      <w:widowControl/>
      <w:spacing w:after="160" w:line="240" w:lineRule="exact"/>
      <w:jc w:val="center"/>
    </w:pPr>
    <w:rPr>
      <w:rFonts w:ascii="宋体" w:hAnsi="宋体" w:cs="Times New Roman"/>
      <w:b/>
      <w:sz w:val="30"/>
      <w:szCs w:val="30"/>
      <w:lang w:eastAsia="en-US"/>
    </w:rPr>
  </w:style>
  <w:style w:type="paragraph" w:customStyle="1" w:styleId="376">
    <w:name w:val="样式 标题 2 + 宋体 五号 行距: 单倍行距"/>
    <w:basedOn w:val="3"/>
    <w:qFormat/>
    <w:uiPriority w:val="0"/>
    <w:pPr>
      <w:tabs>
        <w:tab w:val="left" w:pos="1188"/>
      </w:tabs>
      <w:spacing w:line="240" w:lineRule="auto"/>
      <w:ind w:left="850" w:hanging="566"/>
      <w:jc w:val="left"/>
    </w:pPr>
    <w:rPr>
      <w:rFonts w:ascii="宋体" w:hAnsi="宋体" w:eastAsia="宋体" w:cs="Times New Roman"/>
      <w:sz w:val="21"/>
      <w:szCs w:val="20"/>
    </w:rPr>
  </w:style>
  <w:style w:type="paragraph" w:customStyle="1" w:styleId="377">
    <w:name w:val="字元 字元"/>
    <w:basedOn w:val="1"/>
    <w:qFormat/>
    <w:uiPriority w:val="0"/>
    <w:rPr>
      <w:rFonts w:ascii="Tahoma" w:hAnsi="Tahoma" w:cs="Times New Roman"/>
      <w:sz w:val="24"/>
      <w:szCs w:val="20"/>
    </w:rPr>
  </w:style>
  <w:style w:type="paragraph" w:customStyle="1" w:styleId="378">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379">
    <w:name w:val="标题 3_0"/>
    <w:basedOn w:val="349"/>
    <w:next w:val="349"/>
    <w:qFormat/>
    <w:uiPriority w:val="0"/>
    <w:pPr>
      <w:keepNext/>
      <w:keepLines/>
      <w:spacing w:before="260" w:after="260" w:line="413" w:lineRule="auto"/>
      <w:outlineLvl w:val="2"/>
    </w:pPr>
    <w:rPr>
      <w:b/>
      <w:sz w:val="32"/>
    </w:rPr>
  </w:style>
  <w:style w:type="paragraph" w:customStyle="1" w:styleId="380">
    <w:name w:val="1名"/>
    <w:basedOn w:val="1"/>
    <w:qFormat/>
    <w:uiPriority w:val="0"/>
    <w:pPr>
      <w:tabs>
        <w:tab w:val="left" w:pos="360"/>
      </w:tabs>
      <w:spacing w:before="120"/>
      <w:ind w:left="284" w:hanging="284"/>
    </w:pPr>
    <w:rPr>
      <w:rFonts w:ascii="宋体" w:hAnsi="Times New Roman" w:cs="Times New Roman"/>
      <w:sz w:val="28"/>
      <w:szCs w:val="20"/>
    </w:rPr>
  </w:style>
  <w:style w:type="paragraph" w:customStyle="1" w:styleId="381">
    <w:name w:val="列出段落2"/>
    <w:basedOn w:val="1"/>
    <w:qFormat/>
    <w:uiPriority w:val="0"/>
    <w:pPr>
      <w:ind w:firstLine="420"/>
    </w:pPr>
    <w:rPr>
      <w:rFonts w:cs="Times New Roman"/>
    </w:rPr>
  </w:style>
  <w:style w:type="paragraph" w:customStyle="1" w:styleId="382">
    <w:name w:val="正文须知-1级"/>
    <w:basedOn w:val="1"/>
    <w:next w:val="1"/>
    <w:qFormat/>
    <w:uiPriority w:val="0"/>
    <w:pPr>
      <w:spacing w:line="300" w:lineRule="auto"/>
      <w:ind w:left="284" w:hanging="284"/>
    </w:pPr>
    <w:rPr>
      <w:rFonts w:ascii="宋体" w:cs="Times New Roman"/>
      <w:sz w:val="24"/>
      <w:szCs w:val="21"/>
    </w:rPr>
  </w:style>
  <w:style w:type="paragraph" w:customStyle="1" w:styleId="383">
    <w:name w:val="正文 + 楷体_GB2312"/>
    <w:basedOn w:val="1"/>
    <w:qFormat/>
    <w:uiPriority w:val="0"/>
    <w:pPr>
      <w:widowControl/>
      <w:jc w:val="left"/>
    </w:pPr>
    <w:rPr>
      <w:rFonts w:ascii="楷体_GB2312" w:hAnsi="Times New Roman" w:eastAsia="楷体_GB2312" w:cs="Arial"/>
      <w:sz w:val="24"/>
      <w:szCs w:val="24"/>
    </w:rPr>
  </w:style>
  <w:style w:type="paragraph" w:customStyle="1" w:styleId="384">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rPr>
  </w:style>
  <w:style w:type="paragraph" w:customStyle="1" w:styleId="385">
    <w:name w:val="??"/>
    <w:qFormat/>
    <w:uiPriority w:val="0"/>
    <w:pPr>
      <w:widowControl w:val="0"/>
      <w:jc w:val="both"/>
    </w:pPr>
    <w:rPr>
      <w:rFonts w:ascii="Times New Roman" w:hAnsi="Times New Roman" w:eastAsia="宋体" w:cs="Times New Roman"/>
      <w:sz w:val="21"/>
      <w:lang w:val="en-US" w:eastAsia="en-US" w:bidi="ar-SA"/>
    </w:rPr>
  </w:style>
  <w:style w:type="paragraph" w:customStyle="1" w:styleId="386">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87">
    <w:name w:val="默认段落字体 Para Char Char Char Char"/>
    <w:basedOn w:val="1"/>
    <w:qFormat/>
    <w:uiPriority w:val="0"/>
    <w:rPr>
      <w:rFonts w:ascii="Arial" w:hAnsi="Arial" w:cs="Arial"/>
      <w:szCs w:val="21"/>
    </w:rPr>
  </w:style>
  <w:style w:type="paragraph" w:customStyle="1" w:styleId="388">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89">
    <w:name w:val="正文文本样式 加粗"/>
    <w:basedOn w:val="290"/>
    <w:qFormat/>
    <w:uiPriority w:val="0"/>
    <w:rPr>
      <w:b/>
    </w:rPr>
  </w:style>
  <w:style w:type="paragraph" w:customStyle="1" w:styleId="390">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9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cs="Times New Roman"/>
      <w:color w:val="000000"/>
      <w:sz w:val="22"/>
    </w:rPr>
  </w:style>
  <w:style w:type="paragraph" w:customStyle="1" w:styleId="392">
    <w:name w:val="font7"/>
    <w:basedOn w:val="1"/>
    <w:qFormat/>
    <w:uiPriority w:val="0"/>
    <w:pPr>
      <w:widowControl/>
      <w:spacing w:before="100" w:beforeAutospacing="1" w:after="100" w:afterAutospacing="1"/>
      <w:jc w:val="left"/>
    </w:pPr>
    <w:rPr>
      <w:rFonts w:ascii="Times New Roman" w:hAnsi="Times New Roman" w:eastAsia="Arial Unicode MS" w:cs="Times New Roman"/>
      <w:b/>
      <w:bCs/>
      <w:color w:val="000000"/>
      <w:sz w:val="20"/>
      <w:szCs w:val="20"/>
    </w:rPr>
  </w:style>
  <w:style w:type="paragraph" w:customStyle="1" w:styleId="393">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94">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395">
    <w:name w:val="图中文字"/>
    <w:basedOn w:val="1"/>
    <w:qFormat/>
    <w:uiPriority w:val="0"/>
    <w:pPr>
      <w:spacing w:line="0" w:lineRule="atLeast"/>
      <w:jc w:val="center"/>
    </w:pPr>
    <w:rPr>
      <w:rFonts w:ascii="Times New Roman" w:hAnsi="Times New Roman" w:cs="Times New Roman"/>
      <w:sz w:val="24"/>
      <w:szCs w:val="20"/>
    </w:rPr>
  </w:style>
  <w:style w:type="paragraph" w:customStyle="1" w:styleId="396">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97">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cs="Times New Roman"/>
      <w:sz w:val="20"/>
      <w:szCs w:val="20"/>
    </w:rPr>
  </w:style>
  <w:style w:type="paragraph" w:customStyle="1" w:styleId="398">
    <w:name w:val="1 Char Char Char Char"/>
    <w:basedOn w:val="1"/>
    <w:qFormat/>
    <w:uiPriority w:val="0"/>
    <w:rPr>
      <w:rFonts w:ascii="Tahoma" w:hAnsi="Tahoma" w:cs="Times New Roman"/>
      <w:sz w:val="24"/>
      <w:szCs w:val="20"/>
    </w:rPr>
  </w:style>
  <w:style w:type="paragraph" w:customStyle="1" w:styleId="399">
    <w:name w:val="表格1"/>
    <w:basedOn w:val="1"/>
    <w:qFormat/>
    <w:uiPriority w:val="0"/>
    <w:pPr>
      <w:ind w:firstLine="480"/>
      <w:jc w:val="center"/>
    </w:pPr>
    <w:rPr>
      <w:rFonts w:ascii="Times New Roman" w:hAnsi="Times New Roman" w:cs="Times New Roman"/>
      <w:sz w:val="24"/>
      <w:szCs w:val="20"/>
    </w:rPr>
  </w:style>
  <w:style w:type="paragraph" w:customStyle="1" w:styleId="40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01">
    <w:name w:val="Default"/>
    <w:qFormat/>
    <w:uiPriority w:val="0"/>
    <w:pPr>
      <w:widowControl w:val="0"/>
    </w:pPr>
    <w:rPr>
      <w:rFonts w:ascii="Symbol" w:hAnsi="Symbol" w:eastAsia="宋体" w:cs="Symbol"/>
      <w:color w:val="000000"/>
      <w:sz w:val="24"/>
      <w:szCs w:val="24"/>
      <w:lang w:val="en-US" w:eastAsia="zh-CN" w:bidi="ar-SA"/>
    </w:rPr>
  </w:style>
  <w:style w:type="paragraph" w:customStyle="1" w:styleId="402">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03">
    <w:name w:val="字元 字元2"/>
    <w:basedOn w:val="1"/>
    <w:qFormat/>
    <w:uiPriority w:val="0"/>
    <w:rPr>
      <w:rFonts w:ascii="Tahoma" w:hAnsi="Tahoma" w:cs="Times New Roman"/>
      <w:sz w:val="24"/>
      <w:szCs w:val="20"/>
    </w:rPr>
  </w:style>
  <w:style w:type="paragraph" w:customStyle="1" w:styleId="404">
    <w:name w:val="项目编号2"/>
    <w:basedOn w:val="308"/>
    <w:qFormat/>
    <w:uiPriority w:val="0"/>
    <w:pPr>
      <w:ind w:left="-25" w:firstLine="0"/>
    </w:pPr>
  </w:style>
  <w:style w:type="paragraph" w:customStyle="1" w:styleId="405">
    <w:name w:val="Char Char Char Char Char Char Char2"/>
    <w:basedOn w:val="1"/>
    <w:qFormat/>
    <w:uiPriority w:val="0"/>
    <w:pPr>
      <w:spacing w:line="360" w:lineRule="auto"/>
      <w:ind w:firstLine="200"/>
    </w:pPr>
    <w:rPr>
      <w:rFonts w:ascii="Times New Roman" w:hAnsi="Times New Roman" w:eastAsia="仿宋_GB2312" w:cs="Times New Roman"/>
      <w:sz w:val="24"/>
      <w:szCs w:val="24"/>
    </w:rPr>
  </w:style>
  <w:style w:type="paragraph" w:customStyle="1" w:styleId="40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407">
    <w:name w:val="Char21"/>
    <w:basedOn w:val="1"/>
    <w:qFormat/>
    <w:uiPriority w:val="0"/>
    <w:rPr>
      <w:rFonts w:ascii="Tahoma" w:hAnsi="Tahoma" w:cs="Times New Roman"/>
      <w:sz w:val="24"/>
      <w:szCs w:val="20"/>
    </w:rPr>
  </w:style>
  <w:style w:type="paragraph" w:customStyle="1" w:styleId="408">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409">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10">
    <w:name w:val="样式2"/>
    <w:basedOn w:val="42"/>
    <w:qFormat/>
    <w:uiPriority w:val="0"/>
    <w:pPr>
      <w:spacing w:line="360" w:lineRule="auto"/>
      <w:jc w:val="center"/>
    </w:pPr>
    <w:rPr>
      <w:sz w:val="24"/>
    </w:rPr>
  </w:style>
  <w:style w:type="paragraph" w:customStyle="1" w:styleId="411">
    <w:name w:val="字元 字元1"/>
    <w:basedOn w:val="1"/>
    <w:qFormat/>
    <w:uiPriority w:val="0"/>
    <w:rPr>
      <w:rFonts w:ascii="Tahoma" w:hAnsi="Tahoma" w:cs="Times New Roman"/>
      <w:sz w:val="24"/>
      <w:szCs w:val="20"/>
    </w:rPr>
  </w:style>
  <w:style w:type="paragraph" w:customStyle="1" w:styleId="412">
    <w:name w:val="Char Char1 Char Char Char Char Char Char Char Char"/>
    <w:basedOn w:val="1"/>
    <w:qFormat/>
    <w:uiPriority w:val="0"/>
    <w:pPr>
      <w:widowControl/>
      <w:spacing w:after="160" w:line="240" w:lineRule="exact"/>
      <w:jc w:val="left"/>
    </w:pPr>
    <w:rPr>
      <w:rFonts w:ascii="Verdana" w:hAnsi="Verdana" w:cs="Times New Roman"/>
      <w:sz w:val="20"/>
      <w:szCs w:val="20"/>
      <w:lang w:eastAsia="en-US"/>
    </w:rPr>
  </w:style>
  <w:style w:type="paragraph" w:customStyle="1" w:styleId="413">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cs="Times New Roman"/>
      <w:color w:val="000000"/>
      <w:sz w:val="20"/>
      <w:szCs w:val="20"/>
    </w:rPr>
  </w:style>
  <w:style w:type="paragraph" w:customStyle="1" w:styleId="414">
    <w:name w:val="一、"/>
    <w:basedOn w:val="1"/>
    <w:qFormat/>
    <w:uiPriority w:val="0"/>
    <w:pPr>
      <w:ind w:firstLine="640"/>
    </w:pPr>
    <w:rPr>
      <w:rFonts w:ascii="黑体" w:hAnsi="黑体" w:eastAsia="黑体" w:cs="Times New Roman"/>
      <w:szCs w:val="32"/>
    </w:rPr>
  </w:style>
  <w:style w:type="paragraph" w:customStyle="1" w:styleId="415">
    <w:name w:val="[基本段落]"/>
    <w:basedOn w:val="1"/>
    <w:qFormat/>
    <w:uiPriority w:val="0"/>
    <w:pPr>
      <w:spacing w:line="288" w:lineRule="auto"/>
    </w:pPr>
    <w:rPr>
      <w:rFonts w:ascii="宋体" w:hAnsi="Times New Roman" w:cs="宋体"/>
      <w:color w:val="000000"/>
      <w:sz w:val="24"/>
      <w:szCs w:val="24"/>
      <w:lang w:val="zh-CN"/>
    </w:rPr>
  </w:style>
  <w:style w:type="paragraph" w:customStyle="1" w:styleId="416">
    <w:name w:val="默认"/>
    <w:qFormat/>
    <w:uiPriority w:val="0"/>
    <w:pPr>
      <w:spacing w:before="160" w:line="288" w:lineRule="auto"/>
    </w:pPr>
    <w:rPr>
      <w:rFonts w:ascii="PingFang SC Regular" w:hAnsi="PingFang SC Regular" w:eastAsia="PingFang SC Regular" w:cs="PingFang SC Regular"/>
      <w:color w:val="000000"/>
      <w:sz w:val="24"/>
      <w:szCs w:val="24"/>
      <w:lang w:val="en-US" w:eastAsia="zh-CN" w:bidi="ar-SA"/>
    </w:rPr>
  </w:style>
  <w:style w:type="paragraph" w:customStyle="1" w:styleId="417">
    <w:name w:val="正文1"/>
    <w:qFormat/>
    <w:uiPriority w:val="0"/>
    <w:rPr>
      <w:rFonts w:ascii="PingFang SC Regular" w:hAnsi="PingFang SC Regular" w:eastAsia="Arial Unicode MS" w:cs="Arial Unicode MS"/>
      <w:color w:val="000000"/>
      <w:sz w:val="22"/>
      <w:szCs w:val="22"/>
      <w:lang w:val="en-US" w:eastAsia="zh-CN" w:bidi="ar-SA"/>
    </w:rPr>
  </w:style>
  <w:style w:type="character" w:customStyle="1" w:styleId="418">
    <w:name w:val="fontstyle01"/>
    <w:qFormat/>
    <w:uiPriority w:val="0"/>
    <w:rPr>
      <w:rFonts w:ascii="宋体" w:hAnsi="宋体" w:eastAsia="宋体" w:cs="宋体"/>
      <w:color w:val="000000"/>
      <w:sz w:val="22"/>
      <w:szCs w:val="22"/>
    </w:rPr>
  </w:style>
  <w:style w:type="character" w:customStyle="1" w:styleId="419">
    <w:name w:val="font51"/>
    <w:basedOn w:val="49"/>
    <w:qFormat/>
    <w:uiPriority w:val="0"/>
    <w:rPr>
      <w:rFonts w:hint="default" w:ascii="Times New Roman" w:hAnsi="Times New Roman" w:cs="Times New Roman"/>
      <w:color w:val="000000"/>
      <w:sz w:val="24"/>
      <w:szCs w:val="24"/>
      <w:u w:val="none"/>
    </w:rPr>
  </w:style>
  <w:style w:type="character" w:customStyle="1" w:styleId="420">
    <w:name w:val="font31"/>
    <w:basedOn w:val="49"/>
    <w:qFormat/>
    <w:uiPriority w:val="0"/>
    <w:rPr>
      <w:rFonts w:hint="eastAsia" w:ascii="宋体" w:hAnsi="宋体" w:eastAsia="宋体" w:cs="宋体"/>
      <w:color w:val="000000"/>
      <w:sz w:val="24"/>
      <w:szCs w:val="24"/>
      <w:u w:val="none"/>
    </w:rPr>
  </w:style>
  <w:style w:type="paragraph" w:customStyle="1" w:styleId="421">
    <w:name w:val="Í¼±íÕýÎÄ"/>
    <w:basedOn w:val="1"/>
    <w:next w:val="4"/>
    <w:qFormat/>
    <w:uiPriority w:val="0"/>
    <w:pPr>
      <w:ind w:firstLine="420"/>
    </w:pPr>
    <w:rPr>
      <w:rFonts w:ascii="Times New Roman" w:hAnsi="Times New Roman" w:cs="Times New Roman"/>
      <w:sz w:val="24"/>
      <w:szCs w:val="20"/>
    </w:rPr>
  </w:style>
  <w:style w:type="paragraph" w:customStyle="1" w:styleId="422">
    <w:name w:val="正文文本缩进11"/>
    <w:basedOn w:val="1"/>
    <w:next w:val="423"/>
    <w:qFormat/>
    <w:uiPriority w:val="0"/>
    <w:pPr>
      <w:spacing w:line="360" w:lineRule="auto"/>
      <w:ind w:firstLine="570"/>
    </w:pPr>
    <w:rPr>
      <w:sz w:val="24"/>
    </w:rPr>
  </w:style>
  <w:style w:type="paragraph" w:customStyle="1" w:styleId="423">
    <w:name w:val="寄信人地址1"/>
    <w:basedOn w:val="1"/>
    <w:qFormat/>
    <w:uiPriority w:val="0"/>
    <w:rPr>
      <w:rFonts w:ascii="Arial" w:hAnsi="Arial"/>
    </w:rPr>
  </w:style>
  <w:style w:type="character" w:customStyle="1" w:styleId="424">
    <w:name w:val="font21"/>
    <w:basedOn w:val="49"/>
    <w:qFormat/>
    <w:uiPriority w:val="0"/>
    <w:rPr>
      <w:rFonts w:hint="eastAsia" w:ascii="宋体" w:hAnsi="宋体" w:eastAsia="宋体" w:cs="宋体"/>
      <w:color w:val="000000"/>
      <w:sz w:val="36"/>
      <w:szCs w:val="36"/>
      <w:u w:val="none"/>
    </w:rPr>
  </w:style>
  <w:style w:type="paragraph" w:customStyle="1" w:styleId="425">
    <w:name w:val="列出段落[858D7CFB-ED40-4347-BF05-701D383B685F][858D7CFB-ED40-4347-BF05-701D383B685F]"/>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80780B-AF3B-481D-AB06-852DFA99105E}">
  <ds:schemaRefs/>
</ds:datastoreItem>
</file>

<file path=docProps/app.xml><?xml version="1.0" encoding="utf-8"?>
<Properties xmlns="http://schemas.openxmlformats.org/officeDocument/2006/extended-properties" xmlns:vt="http://schemas.openxmlformats.org/officeDocument/2006/docPropsVTypes">
  <Template>Normal.dotm</Template>
  <Pages>65</Pages>
  <Words>616</Words>
  <Characters>741</Characters>
  <Lines>256</Lines>
  <Paragraphs>72</Paragraphs>
  <TotalTime>9</TotalTime>
  <ScaleCrop>false</ScaleCrop>
  <LinksUpToDate>false</LinksUpToDate>
  <CharactersWithSpaces>748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2025-11-13T08:16:00Z</dcterms:created>
  <dc:creator>刘亚</dc:creator>
  <cp:lastModifiedBy>陈文萍</cp:lastModifiedBy>
  <cp:lastPrinted>2026-07-30T02:27:00Z</cp:lastPrinted>
  <dcterms:modified xsi:type="dcterms:W3CDTF">2026-08-06T05:00:17Z</dcterms:modified>
  <dc:title>cop</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118B5E6C27D94E07A94596A2E9702E38_13</vt:lpwstr>
  </property>
  <property fmtid="{D5CDD505-2E9C-101B-9397-08002B2CF9AE}" pid="4" name="KSOTemplateDocerSaveRecord">
    <vt:lpwstr>eyJoZGlkIjoiM2M1MzFhYmNmZDEzMWIwM2FhZTI4ODBkMDFiMWMxOTQiLCJ1c2VySWQiOiIxMzEwODYxMzYzIn0=</vt:lpwstr>
  </property>
</Properties>
</file>