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769"/>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769"/>
        <w:ind w:firstLine="0"/>
        <w:jc w:val="center"/>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t xml:space="preserve">招　标　文　件</w:t>
      </w:r>
      <w:r>
        <w:rPr>
          <w:rFonts w:hint="eastAsia" w:ascii="Times New Roman" w:hAnsi="Times New Roman" w:eastAsia="黑体"/>
          <w:b/>
          <w:bCs/>
          <w:caps w:val="0"/>
          <w:color w:val="000000"/>
          <w:sz w:val="84"/>
          <w:highlight w:val="none"/>
        </w:rPr>
      </w:r>
      <w:r/>
    </w:p>
    <w:p>
      <w:pPr>
        <w:pStyle w:val="769"/>
        <w:ind w:left="0" w:firstLine="0"/>
        <w:jc w:val="center"/>
        <w:rPr>
          <w:rFonts w:hint="eastAsia" w:ascii="Times New Roman" w:hAnsi="Times New Roman" w:eastAsia="宋体"/>
          <w:b/>
          <w:bCs/>
          <w:caps w:val="0"/>
          <w:color w:val="000000"/>
          <w:sz w:val="32"/>
          <w:highlight w:val="none"/>
          <w:lang w:eastAsia="zh-CN"/>
        </w:rPr>
      </w:pPr>
      <w:r>
        <w:rPr>
          <w:rFonts w:hint="eastAsia" w:ascii="Times New Roman" w:hAnsi="Times New Roman"/>
          <w:b/>
          <w:bCs/>
          <w:caps w:val="0"/>
          <w:color w:val="000000"/>
          <w:sz w:val="28"/>
          <w:szCs w:val="28"/>
          <w:highlight w:val="none"/>
        </w:rPr>
        <w:t xml:space="preserve">项目名称：</w:t>
      </w:r>
      <w:r>
        <w:rPr>
          <w:rFonts w:hint="eastAsia" w:ascii="Times New Roman" w:hAnsi="Times New Roman" w:eastAsia="宋体" w:cs="Times New Roman"/>
          <w:b/>
          <w:bCs/>
          <w:caps w:val="0"/>
          <w:color w:val="000000"/>
          <w:sz w:val="28"/>
          <w:szCs w:val="28"/>
          <w:highlight w:val="none"/>
          <w:lang w:eastAsia="zh-CN"/>
        </w:rPr>
        <w:t xml:space="preserve">宿豫区妇幼保健院及庐山社区卫生服务中心智能化设备采购项目</w:t>
      </w:r>
      <w:r>
        <w:rPr>
          <w:rFonts w:hint="eastAsia" w:ascii="Times New Roman" w:hAnsi="Times New Roman" w:eastAsia="宋体"/>
          <w:b/>
          <w:bCs/>
          <w:caps w:val="0"/>
          <w:color w:val="000000"/>
          <w:sz w:val="32"/>
          <w:highlight w:val="none"/>
          <w:lang w:eastAsia="zh-CN"/>
        </w:rPr>
      </w:r>
      <w:r/>
    </w:p>
    <w:p>
      <w:pPr>
        <w:pStyle w:val="680"/>
        <w:jc w:val="center"/>
        <w:rPr>
          <w:rFonts w:hint="eastAsia" w:ascii="Times New Roman" w:hAnsi="Times New Roman" w:eastAsia="宋体"/>
          <w:b/>
          <w:caps w:val="0"/>
          <w:color w:val="000000"/>
          <w:sz w:val="28"/>
          <w:szCs w:val="28"/>
          <w:highlight w:val="none"/>
          <w:lang w:eastAsia="zh-CN"/>
        </w:rPr>
      </w:pPr>
      <w:r>
        <w:rPr>
          <w:rFonts w:hint="eastAsia" w:ascii="Times New Roman" w:hAnsi="Times New Roman"/>
          <w:b/>
          <w:bCs/>
          <w:caps w:val="0"/>
          <w:color w:val="000000"/>
          <w:sz w:val="28"/>
          <w:szCs w:val="28"/>
          <w:highlight w:val="none"/>
        </w:rPr>
        <w:t xml:space="preserve">项目编号：JSZC-321311-TYJT-G2026-0014 </w:t>
      </w:r>
      <w:r>
        <w:rPr>
          <w:rFonts w:hint="eastAsia" w:ascii="Times New Roman" w:hAnsi="Times New Roman" w:eastAsia="宋体"/>
          <w:b/>
          <w:caps w:val="0"/>
          <w:color w:val="000000"/>
          <w:sz w:val="28"/>
          <w:szCs w:val="28"/>
          <w:highlight w:val="none"/>
          <w:lang w:eastAsia="zh-CN"/>
        </w:rPr>
      </w:r>
      <w:r/>
    </w:p>
    <w:p>
      <w:pPr>
        <w:pStyle w:val="680"/>
        <w:jc w:val="center"/>
        <w:rPr>
          <w:rFonts w:hint="eastAsia" w:ascii="Times New Roman" w:hAnsi="Times New Roman"/>
          <w:b/>
          <w:caps w:val="0"/>
          <w:color w:val="000000"/>
          <w:sz w:val="28"/>
          <w:szCs w:val="28"/>
          <w:highlight w:val="none"/>
        </w:rPr>
      </w:pPr>
      <w:r>
        <w:rPr>
          <w:rFonts w:hint="eastAsia" w:ascii="Times New Roman" w:hAnsi="Times New Roman"/>
          <w:b/>
          <w:caps w:val="0"/>
          <w:color w:val="000000"/>
          <w:sz w:val="28"/>
          <w:szCs w:val="28"/>
          <w:highlight w:val="none"/>
        </w:rPr>
        <w:t xml:space="preserve">（</w:t>
      </w:r>
      <w:r>
        <w:rPr>
          <w:rFonts w:hint="eastAsia"/>
          <w:b/>
          <w:caps w:val="0"/>
          <w:color w:val="000000"/>
          <w:sz w:val="28"/>
          <w:szCs w:val="28"/>
          <w:highlight w:val="none"/>
          <w:lang w:val="en-US" w:eastAsia="zh-CN"/>
        </w:rPr>
        <w:t xml:space="preserve">货物</w:t>
      </w:r>
      <w:r>
        <w:rPr>
          <w:rFonts w:hint="eastAsia" w:ascii="Times New Roman" w:hAnsi="Times New Roman"/>
          <w:b/>
          <w:caps w:val="0"/>
          <w:color w:val="000000"/>
          <w:sz w:val="28"/>
          <w:szCs w:val="28"/>
          <w:highlight w:val="none"/>
        </w:rPr>
        <w:t xml:space="preserve">类项目</w:t>
      </w:r>
      <w:r>
        <w:rPr>
          <w:rFonts w:ascii="Times New Roman" w:hAnsi="Times New Roman"/>
          <w:b/>
          <w:caps w:val="0"/>
          <w:color w:val="000000"/>
          <w:sz w:val="28"/>
          <w:szCs w:val="28"/>
          <w:highlight w:val="none"/>
        </w:rPr>
        <w:t xml:space="preserve">，</w:t>
      </w:r>
      <w:r>
        <w:rPr>
          <w:rFonts w:hint="eastAsia"/>
          <w:b/>
          <w:caps w:val="0"/>
          <w:color w:val="000000"/>
          <w:sz w:val="28"/>
          <w:szCs w:val="28"/>
          <w:highlight w:val="none"/>
          <w:u w:val="none"/>
          <w:lang w:val="en-US" w:eastAsia="zh-CN"/>
        </w:rPr>
        <w:t xml:space="preserve">非</w:t>
      </w:r>
      <w:r>
        <w:rPr>
          <w:rFonts w:hint="eastAsia" w:ascii="Times New Roman" w:hAnsi="Times New Roman"/>
          <w:b/>
          <w:caps w:val="0"/>
          <w:color w:val="000000"/>
          <w:sz w:val="28"/>
          <w:szCs w:val="28"/>
          <w:highlight w:val="none"/>
        </w:rPr>
        <w:t xml:space="preserve">专门面向中小企业）</w:t>
      </w:r>
      <w:r>
        <w:rPr>
          <w:rFonts w:hint="eastAsia" w:ascii="Times New Roman" w:hAnsi="Times New Roman"/>
          <w:b/>
          <w:caps w:val="0"/>
          <w:color w:val="000000"/>
          <w:sz w:val="28"/>
          <w:szCs w:val="28"/>
          <w:highlight w:val="none"/>
        </w:rPr>
      </w:r>
      <w:r/>
    </w:p>
    <w:p>
      <w:pPr>
        <w:pStyle w:val="769"/>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9"/>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9"/>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9"/>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9"/>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9"/>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9"/>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9"/>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W w:w="0" w:type="auto"/>
        <w:jc w:val="center"/>
        <w:tblInd w:w="763"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pStyle w:val="680"/>
              <w:jc w:val="left"/>
              <w:spacing w:line="500" w:lineRule="exact"/>
              <w:rPr>
                <w:rFonts w:hint="eastAsia" w:ascii="仿宋" w:hAnsi="仿宋" w:eastAsia="仿宋" w:cs="仿宋"/>
                <w:sz w:val="24"/>
                <w:szCs w:val="24"/>
                <w:highlight w:val="none"/>
              </w:rPr>
            </w:pPr>
            <w:r>
              <w:rPr>
                <w:rFonts w:hint="eastAsia" w:ascii="Times New Roman" w:hAnsi="Times New Roman" w:eastAsia="宋体" w:cs="Times New Roman"/>
                <w:b/>
                <w:bCs/>
                <w:spacing w:val="45"/>
                <w:sz w:val="32"/>
                <w:szCs w:val="24"/>
                <w:highlight w:val="none"/>
              </w:rPr>
              <w:t xml:space="preserve">采  购 人</w:t>
            </w:r>
            <w:r>
              <w:rPr>
                <w:rFonts w:hint="eastAsia" w:ascii="Times New Roman" w:hAnsi="Times New Roman" w:eastAsia="宋体" w:cs="Times New Roman"/>
                <w:b/>
                <w:bCs/>
                <w:spacing w:val="1"/>
                <w:sz w:val="32"/>
                <w:szCs w:val="24"/>
                <w:highlight w:val="none"/>
              </w:rPr>
              <w:t xml:space="preserve">：</w:t>
            </w:r>
            <w:r>
              <w:rPr>
                <w:rFonts w:hint="eastAsia" w:ascii="仿宋" w:hAnsi="仿宋" w:eastAsia="仿宋" w:cs="仿宋"/>
                <w:sz w:val="24"/>
                <w:szCs w:val="24"/>
                <w:highlight w:val="none"/>
              </w:r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pStyle w:val="680"/>
              <w:jc w:val="left"/>
              <w:spacing w:line="500" w:lineRule="exact"/>
              <w:rPr>
                <w:rFonts w:hint="eastAsia" w:ascii="仿宋" w:hAnsi="仿宋" w:eastAsia="宋体" w:cs="仿宋"/>
                <w:sz w:val="28"/>
                <w:szCs w:val="28"/>
                <w:highlight w:val="none"/>
                <w:lang w:eastAsia="zh-CN"/>
              </w:rPr>
            </w:pPr>
            <w:r>
              <w:rPr>
                <w:rFonts w:hint="eastAsia" w:ascii="仿宋" w:hAnsi="仿宋" w:eastAsia="宋体" w:cs="仿宋"/>
                <w:sz w:val="28"/>
                <w:szCs w:val="28"/>
                <w:highlight w:val="none"/>
                <w:lang w:eastAsia="zh-CN"/>
              </w:rPr>
              <w:t xml:space="preserve">宿迁市宿豫区卫生健康局</w:t>
            </w:r>
            <w:r>
              <w:rPr>
                <w:rFonts w:hint="eastAsia" w:ascii="仿宋" w:hAnsi="仿宋" w:eastAsia="宋体" w:cs="仿宋"/>
                <w:sz w:val="28"/>
                <w:szCs w:val="28"/>
                <w:highlight w:val="none"/>
                <w:lang w:eastAsia="zh-CN"/>
              </w:rPr>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pStyle w:val="680"/>
              <w:jc w:val="left"/>
              <w:spacing w:line="500" w:lineRule="exact"/>
              <w:rPr>
                <w:rFonts w:ascii="Times New Roman" w:hAnsi="Times New Roman" w:eastAsia="宋体" w:cs="Times New Roman"/>
                <w:b/>
                <w:bCs/>
                <w:spacing w:val="45"/>
                <w:sz w:val="32"/>
                <w:szCs w:val="24"/>
                <w:highlight w:val="none"/>
              </w:rPr>
            </w:pPr>
            <w:r>
              <w:rPr>
                <w:rFonts w:hint="eastAsia" w:ascii="Times New Roman" w:hAnsi="Times New Roman" w:eastAsia="宋体" w:cs="Times New Roman"/>
                <w:b/>
                <w:bCs/>
                <w:sz w:val="32"/>
                <w:szCs w:val="24"/>
                <w:highlight w:val="none"/>
              </w:rPr>
              <w:t xml:space="preserve">采购代理机构：</w:t>
            </w:r>
            <w:r>
              <w:rPr>
                <w:rFonts w:ascii="Times New Roman" w:hAnsi="Times New Roman" w:eastAsia="宋体" w:cs="Times New Roman"/>
                <w:b/>
                <w:bCs/>
                <w:spacing w:val="45"/>
                <w:sz w:val="32"/>
                <w:szCs w:val="24"/>
                <w:highlight w:val="none"/>
              </w:r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pStyle w:val="680"/>
              <w:jc w:val="left"/>
              <w:spacing w:line="500" w:lineRule="exact"/>
              <w:rPr>
                <w:rFonts w:hint="eastAsia" w:ascii="仿宋" w:hAnsi="仿宋" w:eastAsia="宋体" w:cs="仿宋"/>
                <w:sz w:val="28"/>
                <w:szCs w:val="28"/>
                <w:highlight w:val="none"/>
              </w:rPr>
            </w:pPr>
            <w:r>
              <w:rPr>
                <w:rFonts w:hint="eastAsia" w:ascii="仿宋" w:hAnsi="仿宋" w:eastAsia="宋体" w:cs="仿宋"/>
                <w:sz w:val="28"/>
                <w:szCs w:val="28"/>
                <w:highlight w:val="none"/>
              </w:rPr>
              <w:t xml:space="preserve">江苏天园项目管理集团有限公司</w:t>
            </w:r>
            <w:r>
              <w:rPr>
                <w:rFonts w:hint="eastAsia" w:ascii="仿宋" w:hAnsi="仿宋" w:eastAsia="宋体" w:cs="仿宋"/>
                <w:sz w:val="28"/>
                <w:szCs w:val="28"/>
                <w:highlight w:val="none"/>
              </w:rPr>
            </w:r>
            <w:r/>
          </w:p>
        </w:tc>
      </w:tr>
    </w:tbl>
    <w:p>
      <w:pPr>
        <w:pStyle w:val="6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0"/>
        <w:jc w:val="center"/>
        <w:spacing w:before="120" w:after="120" w:line="360" w:lineRule="auto"/>
        <w:rPr>
          <w:rFonts w:hint="eastAsia" w:ascii="Times New Roman" w:hAnsi="Times New Roman"/>
          <w:caps w:val="0"/>
          <w:color w:val="000000"/>
          <w:highlight w:val="none"/>
          <w:u w:val="single"/>
        </w:rPr>
      </w:pPr>
      <w:r>
        <w:rPr>
          <w:rFonts w:ascii="Times New Roman" w:hAnsi="Times New Roman" w:eastAsia="宋体" w:cs="Times New Roman"/>
          <w:b/>
          <w:sz w:val="32"/>
          <w:szCs w:val="24"/>
          <w:highlight w:val="none"/>
          <w:lang w:bidi="ar"/>
        </w:rPr>
        <w:t xml:space="preserve">202</w:t>
      </w:r>
      <w:r>
        <w:rPr>
          <w:rFonts w:hint="eastAsia" w:eastAsia="宋体" w:cs="Times New Roman"/>
          <w:b/>
          <w:sz w:val="32"/>
          <w:szCs w:val="24"/>
          <w:highlight w:val="none"/>
          <w:lang w:val="en-US" w:eastAsia="zh-CN" w:bidi="ar"/>
        </w:rPr>
        <w:t xml:space="preserve">6</w:t>
      </w:r>
      <w:r>
        <w:rPr>
          <w:rFonts w:hint="eastAsia" w:ascii="Times New Roman" w:hAnsi="Times New Roman" w:eastAsia="宋体" w:cs="宋体"/>
          <w:b/>
          <w:sz w:val="32"/>
          <w:szCs w:val="24"/>
          <w:highlight w:val="none"/>
          <w:lang w:bidi="ar"/>
        </w:rPr>
        <w:t xml:space="preserve">年</w:t>
      </w:r>
      <w:r>
        <w:rPr>
          <w:rFonts w:hint="eastAsia" w:eastAsia="宋体" w:cs="宋体"/>
          <w:b/>
          <w:sz w:val="32"/>
          <w:szCs w:val="24"/>
          <w:highlight w:val="none"/>
          <w:lang w:val="en-US" w:eastAsia="zh-CN" w:bidi="ar"/>
        </w:rPr>
        <w:t xml:space="preserve">8</w:t>
      </w:r>
      <w:r>
        <w:rPr>
          <w:rFonts w:hint="eastAsia" w:ascii="Times New Roman" w:hAnsi="Times New Roman" w:eastAsia="宋体" w:cs="宋体"/>
          <w:b/>
          <w:sz w:val="32"/>
          <w:szCs w:val="24"/>
          <w:highlight w:val="none"/>
          <w:lang w:bidi="ar"/>
        </w:rPr>
        <w:t xml:space="preserve">月</w:t>
      </w:r>
      <w:r>
        <w:rPr>
          <w:rFonts w:hint="eastAsia" w:eastAsia="宋体" w:cs="宋体"/>
          <w:b/>
          <w:sz w:val="32"/>
          <w:szCs w:val="24"/>
          <w:highlight w:val="none"/>
          <w:lang w:val="en-US" w:eastAsia="zh-CN" w:bidi="ar"/>
        </w:rPr>
        <w:t xml:space="preserve">06</w:t>
      </w:r>
      <w:r>
        <w:rPr>
          <w:rFonts w:hint="eastAsia" w:ascii="Times New Roman" w:hAnsi="Times New Roman" w:eastAsia="宋体" w:cs="宋体"/>
          <w:b/>
          <w:sz w:val="32"/>
          <w:szCs w:val="24"/>
          <w:highlight w:val="none"/>
          <w:lang w:bidi="ar"/>
        </w:rPr>
        <w:t xml:space="preserve">日</w:t>
      </w:r>
      <w:r>
        <w:rPr>
          <w:rFonts w:hint="eastAsia" w:ascii="Times New Roman" w:hAnsi="Times New Roman"/>
          <w:caps w:val="0"/>
          <w:color w:val="000000"/>
          <w:highlight w:val="none"/>
          <w:u w:val="single"/>
        </w:rPr>
      </w:r>
      <w:r/>
    </w:p>
    <w:p>
      <w:pPr>
        <w:pStyle w:val="769"/>
        <w:ind w:firstLine="0"/>
        <w:jc w:val="cente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jc w:val="center"/>
        <w:spacing w:line="480" w:lineRule="auto"/>
        <w:rPr>
          <w:rFonts w:hint="eastAsia" w:ascii="Times New Roman" w:hAnsi="Times New Roman" w:eastAsia="黑体"/>
          <w:b/>
          <w:caps w:val="0"/>
          <w:color w:val="000000"/>
          <w:sz w:val="44"/>
          <w:highlight w:val="none"/>
        </w:rPr>
        <w:outlineLvl w:val="0"/>
      </w:pPr>
      <w:r>
        <w:rPr>
          <w:rFonts w:ascii="Times New Roman" w:hAnsi="Times New Roman"/>
          <w:caps w:val="0"/>
          <w:color w:val="000000"/>
          <w:highlight w:val="none"/>
        </w:rPr>
        <w:br w:type="page" w:clear="all"/>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ascii="Times New Roman" w:hAnsi="Times New Roman"/>
          <w:caps w:val="0"/>
          <w:color w:val="000000"/>
          <w:highlight w:val="none"/>
        </w:rPr>
        <w:t xml:space="preserve"> </w:t>
      </w:r>
      <w:r>
        <w:rPr>
          <w:rFonts w:hint="eastAsia" w:ascii="Times New Roman" w:hAnsi="Times New Roman" w:eastAsia="黑体"/>
          <w:b/>
          <w:caps w:val="0"/>
          <w:color w:val="000000"/>
          <w:sz w:val="44"/>
          <w:highlight w:val="none"/>
        </w:rPr>
        <w:t xml:space="preserve">总  目  录</w:t>
      </w:r>
      <w:r>
        <w:rPr>
          <w:rFonts w:hint="eastAsia" w:ascii="Times New Roman" w:hAnsi="Times New Roman" w:eastAsia="黑体"/>
          <w:b/>
          <w:caps w:val="0"/>
          <w:color w:val="000000"/>
          <w:sz w:val="44"/>
          <w:highlight w:val="none"/>
        </w:rPr>
      </w:r>
      <w:r/>
    </w:p>
    <w:p>
      <w:pPr>
        <w:pStyle w:val="680"/>
        <w:spacing w:line="480" w:lineRule="auto"/>
        <w:rPr>
          <w:rFonts w:hint="eastAsia" w:ascii="Times New Roman" w:hAnsi="Times New Roman" w:eastAsia="仿宋_GB2312"/>
          <w:b/>
          <w:caps w:val="0"/>
          <w:color w:val="000000"/>
          <w:sz w:val="28"/>
          <w:highlight w:val="none"/>
        </w:rPr>
      </w:pPr>
      <w:r>
        <w:rPr>
          <w:rFonts w:hint="eastAsia" w:ascii="Times New Roman" w:hAnsi="Times New Roman" w:eastAsia="仿宋_GB2312"/>
          <w:b/>
          <w:caps w:val="0"/>
          <w:color w:val="000000"/>
          <w:sz w:val="28"/>
          <w:highlight w:val="none"/>
        </w:rPr>
      </w:r>
      <w:r/>
    </w:p>
    <w:p>
      <w:pPr>
        <w:pStyle w:val="680"/>
        <w:numPr>
          <w:ilvl w:val="0"/>
          <w:numId w:val="4"/>
        </w:numPr>
        <w:spacing w:line="480" w:lineRule="auto"/>
        <w:tabs>
          <w:tab w:val="left" w:pos="1440" w:leader="none"/>
        </w:tabs>
        <w:rPr>
          <w:rFonts w:hint="eastAsia" w:ascii="Times New Roman" w:hAnsi="Times New Roman" w:eastAsia="黑体"/>
          <w:caps w:val="0"/>
          <w:color w:val="000000"/>
          <w:sz w:val="32"/>
          <w:highlight w:val="none"/>
        </w:rPr>
        <w:outlineLvl w:val="0"/>
      </w:pPr>
      <w:r>
        <w:rPr>
          <w:rFonts w:hint="eastAsia" w:ascii="Times New Roman" w:hAnsi="Times New Roman" w:eastAsia="黑体"/>
          <w:caps w:val="0"/>
          <w:color w:val="000000"/>
          <w:sz w:val="36"/>
          <w:highlight w:val="none"/>
        </w:rPr>
        <w:t xml:space="preserve">投标邀请…………………………………… </w:t>
      </w:r>
      <w:r>
        <w:rPr>
          <w:rFonts w:hint="eastAsia" w:ascii="Times New Roman" w:hAnsi="Times New Roman" w:eastAsia="黑体"/>
          <w:caps w:val="0"/>
          <w:color w:val="000000"/>
          <w:sz w:val="32"/>
          <w:highlight w:val="none"/>
        </w:rPr>
      </w:r>
      <w:r/>
    </w:p>
    <w:p>
      <w:pPr>
        <w:pStyle w:val="680"/>
        <w:numPr>
          <w:ilvl w:val="0"/>
          <w:numId w:val="4"/>
        </w:numPr>
        <w:keepLines w:val="0"/>
        <w:keepNext w:val="0"/>
        <w:pageBreakBefore w:val="0"/>
        <w:spacing w:line="480" w:lineRule="auto"/>
        <w:widowControl w:val="off"/>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bCs/>
          <w:caps w:val="0"/>
          <w:color w:val="000000"/>
          <w:sz w:val="36"/>
          <w:szCs w:val="36"/>
          <w:highlight w:val="none"/>
        </w:rPr>
        <w:t xml:space="preserve">投标人须知</w:t>
      </w:r>
      <w:r>
        <w:rPr>
          <w:rFonts w:hint="eastAsia" w:ascii="Times New Roman" w:hAnsi="Times New Roman" w:eastAsia="黑体"/>
          <w:caps w:val="0"/>
          <w:color w:val="000000"/>
          <w:sz w:val="36"/>
          <w:szCs w:val="36"/>
          <w:highlight w:val="none"/>
        </w:rPr>
        <w:t xml:space="preserve">…</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6"/>
          <w:highlight w:val="none"/>
        </w:rPr>
      </w:r>
      <w:r/>
    </w:p>
    <w:p>
      <w:pPr>
        <w:pStyle w:val="680"/>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合同文本……………………………………</w:t>
      </w:r>
      <w:r>
        <w:rPr>
          <w:rFonts w:hint="eastAsia" w:ascii="Times New Roman" w:hAnsi="Times New Roman" w:eastAsia="黑体"/>
          <w:caps w:val="0"/>
          <w:color w:val="000000"/>
          <w:sz w:val="36"/>
          <w:highlight w:val="none"/>
        </w:rPr>
      </w:r>
      <w:r/>
    </w:p>
    <w:p>
      <w:pPr>
        <w:pStyle w:val="680"/>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采购需求……………………………………</w:t>
      </w:r>
      <w:r>
        <w:rPr>
          <w:rFonts w:hint="eastAsia" w:ascii="Times New Roman" w:hAnsi="Times New Roman" w:eastAsia="黑体"/>
          <w:caps w:val="0"/>
          <w:color w:val="000000"/>
          <w:sz w:val="36"/>
          <w:highlight w:val="none"/>
        </w:rPr>
      </w:r>
      <w:r/>
    </w:p>
    <w:p>
      <w:pPr>
        <w:pStyle w:val="680"/>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bCs/>
          <w:caps w:val="0"/>
          <w:color w:val="000000"/>
          <w:sz w:val="36"/>
          <w:szCs w:val="36"/>
          <w:highlight w:val="none"/>
        </w:rPr>
        <w:t xml:space="preserve">评标方法与评标标准</w:t>
      </w:r>
      <w:r>
        <w:rPr>
          <w:rFonts w:hint="eastAsia" w:ascii="Times New Roman" w:hAnsi="Times New Roman" w:eastAsia="黑体"/>
          <w:caps w:val="0"/>
          <w:color w:val="000000"/>
          <w:sz w:val="36"/>
          <w:highlight w:val="none"/>
        </w:rPr>
        <w:t xml:space="preserve">………………………</w:t>
      </w:r>
      <w:r>
        <w:rPr>
          <w:rFonts w:hint="eastAsia" w:ascii="Times New Roman" w:hAnsi="Times New Roman" w:eastAsia="黑体"/>
          <w:caps w:val="0"/>
          <w:color w:val="000000"/>
          <w:sz w:val="36"/>
          <w:highlight w:val="none"/>
        </w:rPr>
      </w:r>
      <w:r/>
    </w:p>
    <w:p>
      <w:pPr>
        <w:pStyle w:val="680"/>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投标文件格式………………………………</w:t>
      </w:r>
      <w:r>
        <w:rPr>
          <w:rFonts w:hint="eastAsia" w:ascii="Times New Roman" w:hAnsi="Times New Roman" w:eastAsia="黑体"/>
          <w:caps w:val="0"/>
          <w:color w:val="000000"/>
          <w:sz w:val="36"/>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81"/>
        <w:rPr>
          <w:rFonts w:hint="eastAsia" w:ascii="Times New Roman" w:hAnsi="Times New Roman" w:eastAsia="黑体"/>
          <w:bCs/>
          <w:caps w:val="0"/>
          <w:color w:val="000000"/>
          <w:sz w:val="44"/>
          <w:szCs w:val="44"/>
          <w:highlight w:val="none"/>
        </w:rPr>
        <w:outlineLvl w:val="0"/>
      </w:pPr>
      <w:r>
        <w:rPr>
          <w:rFonts w:hint="eastAsia" w:ascii="Times New Roman" w:hAnsi="Times New Roman" w:eastAsia="黑体"/>
          <w:caps w:val="0"/>
          <w:color w:val="000000"/>
          <w:sz w:val="44"/>
          <w:szCs w:val="44"/>
          <w:highlight w:val="none"/>
        </w:rPr>
        <w:t xml:space="preserve">第一章  </w:t>
      </w:r>
      <w:bookmarkEnd w:id="0"/>
      <w:r>
        <w:rPr>
          <w:rFonts w:hint="eastAsia" w:ascii="Times New Roman" w:hAnsi="Times New Roman" w:eastAsia="黑体"/>
          <w:caps w:val="0"/>
          <w:color w:val="000000"/>
          <w:sz w:val="44"/>
          <w:szCs w:val="44"/>
          <w:highlight w:val="none"/>
        </w:rPr>
        <w:t xml:space="preserve">投标邀请</w:t>
      </w:r>
      <w:r>
        <w:rPr>
          <w:rFonts w:hint="eastAsia" w:ascii="Times New Roman" w:hAnsi="Times New Roman" w:eastAsia="黑体"/>
          <w:bCs/>
          <w:caps w:val="0"/>
          <w:color w:val="000000"/>
          <w:sz w:val="44"/>
          <w:szCs w:val="44"/>
          <w:highlight w:val="none"/>
        </w:rPr>
      </w:r>
      <w:r/>
    </w:p>
    <w:p>
      <w:pPr>
        <w:pStyle w:val="680"/>
        <w:ind w:left="0" w:firstLine="480"/>
        <w:keepLines w:val="0"/>
        <w:keepNext w:val="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受</w:t>
      </w:r>
      <w:r>
        <w:rPr>
          <w:rFonts w:hint="eastAsia"/>
          <w:caps w:val="0"/>
          <w:color w:val="000000"/>
          <w:sz w:val="24"/>
          <w:szCs w:val="24"/>
          <w:highlight w:val="none"/>
          <w:u w:val="single"/>
          <w:lang w:eastAsia="zh-CN"/>
        </w:rPr>
        <w:t xml:space="preserve">宿迁市宿豫区卫生健康局</w:t>
      </w:r>
      <w:r>
        <w:rPr>
          <w:rFonts w:hint="eastAsia" w:ascii="Times New Roman" w:hAnsi="Times New Roman"/>
          <w:caps w:val="0"/>
          <w:color w:val="000000"/>
          <w:sz w:val="24"/>
          <w:szCs w:val="24"/>
          <w:highlight w:val="none"/>
        </w:rPr>
        <w:t xml:space="preserve">的委托，</w:t>
      </w:r>
      <w:r>
        <w:rPr>
          <w:rFonts w:hint="eastAsia" w:ascii="Times New Roman" w:hAnsi="Times New Roman"/>
          <w:caps w:val="0"/>
          <w:color w:val="000000"/>
          <w:sz w:val="24"/>
          <w:szCs w:val="24"/>
          <w:highlight w:val="none"/>
          <w:u w:val="single"/>
          <w:lang w:val="en-US" w:eastAsia="zh-CN"/>
        </w:rPr>
        <w:t xml:space="preserve">江苏天园项目管理集团有限公司</w:t>
      </w:r>
      <w:r>
        <w:rPr>
          <w:rFonts w:hint="eastAsia" w:ascii="Times New Roman" w:hAnsi="Times New Roman"/>
          <w:caps w:val="0"/>
          <w:color w:val="000000"/>
          <w:sz w:val="24"/>
          <w:szCs w:val="24"/>
          <w:highlight w:val="none"/>
        </w:rPr>
        <w:t xml:space="preserve">就</w:t>
      </w:r>
      <w:r>
        <w:rPr>
          <w:rFonts w:hint="eastAsia"/>
          <w:caps w:val="0"/>
          <w:color w:val="000000"/>
          <w:sz w:val="24"/>
          <w:szCs w:val="24"/>
          <w:highlight w:val="none"/>
          <w:u w:val="single"/>
          <w:lang w:eastAsia="zh-CN"/>
        </w:rPr>
        <w:t xml:space="preserve">宿豫区妇幼保健院及庐山社区卫生服务中心智能化设备采购项目</w:t>
      </w:r>
      <w:r>
        <w:rPr>
          <w:rFonts w:hint="eastAsia" w:ascii="Times New Roman" w:hAnsi="Times New Roman"/>
          <w:caps w:val="0"/>
          <w:color w:val="000000"/>
          <w:sz w:val="24"/>
          <w:szCs w:val="24"/>
          <w:highlight w:val="none"/>
          <w:u w:val="single"/>
        </w:rPr>
        <w:t xml:space="preserve">(JSZC-321311-TYJT-G2026-0014)</w:t>
      </w:r>
      <w:r>
        <w:rPr>
          <w:rFonts w:hint="eastAsia" w:ascii="Times New Roman" w:hAnsi="Times New Roman"/>
          <w:caps w:val="0"/>
          <w:color w:val="000000"/>
          <w:sz w:val="24"/>
          <w:szCs w:val="24"/>
          <w:highlight w:val="none"/>
        </w:rPr>
        <w:t xml:space="preserve">项目进行公开招标采购，欢迎符合条件的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投标。</w:t>
      </w:r>
      <w:r>
        <w:rPr>
          <w:rFonts w:ascii="Times New Roman" w:hAnsi="Times New Roman"/>
          <w:caps w:val="0"/>
          <w:color w:val="000000"/>
          <w:sz w:val="24"/>
          <w:szCs w:val="24"/>
          <w:highlight w:val="none"/>
        </w:rPr>
      </w:r>
      <w:r/>
    </w:p>
    <w:p>
      <w:pPr>
        <w:pStyle w:val="680"/>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rPr>
          <w:rFonts w:ascii="Times New Roman" w:hAnsi="Times New Roman"/>
          <w:caps w:val="0"/>
          <w:color w:val="000000"/>
          <w:sz w:val="24"/>
          <w:szCs w:val="24"/>
          <w:highlight w:val="none"/>
        </w:rPr>
      </w:r>
      <w:r/>
    </w:p>
    <w:p>
      <w:pPr>
        <w:pStyle w:val="680"/>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lang w:eastAsia="zh-CN"/>
        </w:rPr>
        <w:t xml:space="preserve">宿豫区妇幼保健院及庐山社区卫生服务中心智能化设备采购项目</w:t>
      </w:r>
      <w:r>
        <w:rPr>
          <w:rFonts w:hint="eastAsia" w:ascii="Times New Roman" w:hAnsi="Times New Roman"/>
          <w:caps w:val="0"/>
          <w:color w:val="000000"/>
          <w:sz w:val="24"/>
          <w:szCs w:val="24"/>
          <w:highlight w:val="none"/>
        </w:rPr>
        <w:t xml:space="preserve"> 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2026</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08</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27</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683"/>
        <w:ind w:left="0" w:firstLine="498"/>
        <w:pageBreakBefore w:val="0"/>
        <w:spacing w:before="145" w:after="145" w:line="360" w:lineRule="auto"/>
        <w:rPr>
          <w:rFonts w:ascii="Times New Roman" w:hAnsi="Times New Roman"/>
          <w:caps w:val="0"/>
          <w:color w:val="000000"/>
          <w:highlight w:val="none"/>
        </w:rPr>
      </w:pPr>
      <w:r/>
      <w:bookmarkStart w:id="6" w:name="_Toc38985263"/>
      <w:r/>
      <w:bookmarkStart w:id="7" w:name="_Toc35393621"/>
      <w:r/>
      <w:bookmarkStart w:id="8" w:name="_Toc28359079"/>
      <w:r/>
      <w:bookmarkStart w:id="9" w:name="_Toc28359002"/>
      <w:r/>
      <w:bookmarkStart w:id="10" w:name="_Toc35393790"/>
      <w:r/>
      <w:bookmarkStart w:id="11" w:name="_Hlk24379207"/>
      <w:r>
        <w:rPr>
          <w:rFonts w:hint="eastAsia" w:ascii="Times New Roman" w:hAnsi="Times New Roman"/>
          <w:caps w:val="0"/>
          <w:color w:val="000000"/>
          <w:highlight w:val="none"/>
        </w:rPr>
        <w:t xml:space="preserve">一、项目基本情况</w:t>
      </w:r>
      <w:bookmarkEnd w:id="6"/>
      <w:r/>
      <w:bookmarkEnd w:id="7"/>
      <w:r/>
      <w:bookmarkEnd w:id="8"/>
      <w:r/>
      <w:bookmarkEnd w:id="9"/>
      <w:r/>
      <w:bookmarkEnd w:id="10"/>
      <w:r>
        <w:rPr>
          <w:rFonts w:ascii="Times New Roman" w:hAnsi="Times New Roman"/>
          <w:caps w:val="0"/>
          <w:color w:val="000000"/>
          <w:highlight w:val="none"/>
        </w:rPr>
      </w:r>
      <w:r/>
    </w:p>
    <w:p>
      <w:pPr>
        <w:pStyle w:val="680"/>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lang w:val="en-US" w:eastAsia="zh-CN"/>
        </w:rPr>
      </w:pPr>
      <w:r>
        <w:rPr>
          <w:rFonts w:hint="eastAsia" w:ascii="Times New Roman" w:hAnsi="Times New Roman" w:eastAsia="宋体"/>
          <w:caps w:val="0"/>
          <w:color w:val="000000"/>
          <w:sz w:val="24"/>
          <w:szCs w:val="24"/>
          <w:highlight w:val="none"/>
        </w:rPr>
        <w:t xml:space="preserve">1.项目编号：JSZC-321311-TYJT-G2026-0014 </w:t>
      </w:r>
      <w:r>
        <w:rPr>
          <w:rFonts w:ascii="Times New Roman" w:hAnsi="Times New Roman" w:eastAsia="宋体"/>
          <w:caps w:val="0"/>
          <w:color w:val="000000"/>
          <w:sz w:val="24"/>
          <w:szCs w:val="24"/>
          <w:highlight w:val="none"/>
          <w:lang w:val="en-US" w:eastAsia="zh-CN"/>
        </w:rPr>
      </w:r>
      <w:r/>
    </w:p>
    <w:p>
      <w:pPr>
        <w:pStyle w:val="680"/>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2.项目名称：</w:t>
      </w:r>
      <w:r>
        <w:rPr>
          <w:rFonts w:hint="eastAsia" w:eastAsia="宋体"/>
          <w:caps w:val="0"/>
          <w:color w:val="000000"/>
          <w:sz w:val="24"/>
          <w:szCs w:val="24"/>
          <w:highlight w:val="none"/>
          <w:lang w:eastAsia="zh-CN"/>
        </w:rPr>
        <w:t xml:space="preserve">宿豫区妇幼保健院及庐山社区卫生服务中心智能化设备采购项目</w:t>
      </w:r>
      <w:r>
        <w:rPr>
          <w:rFonts w:hint="eastAsia" w:ascii="Times New Roman" w:hAnsi="Times New Roman" w:eastAsia="宋体"/>
          <w:caps w:val="0"/>
          <w:color w:val="000000"/>
          <w:sz w:val="24"/>
          <w:szCs w:val="24"/>
          <w:highlight w:val="none"/>
          <w:lang w:eastAsia="zh-CN"/>
        </w:rPr>
      </w:r>
      <w:r/>
    </w:p>
    <w:p>
      <w:pPr>
        <w:pStyle w:val="680"/>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val="en-US" w:eastAsia="zh-CN"/>
        </w:rPr>
      </w:pPr>
      <w:r/>
      <w:bookmarkEnd w:id="11"/>
      <w:r>
        <w:rPr>
          <w:rFonts w:hint="eastAsia" w:ascii="Times New Roman" w:hAnsi="Times New Roman" w:eastAsia="宋体"/>
          <w:caps w:val="0"/>
          <w:color w:val="000000"/>
          <w:sz w:val="24"/>
          <w:szCs w:val="24"/>
          <w:highlight w:val="none"/>
        </w:rPr>
        <w:t xml:space="preserve">3.预算金额：</w:t>
      </w:r>
      <w:r>
        <w:rPr>
          <w:rFonts w:hint="eastAsia" w:ascii="Times New Roman" w:hAnsi="Times New Roman" w:cs="仿宋"/>
          <w:sz w:val="24"/>
          <w:szCs w:val="24"/>
          <w:highlight w:val="none"/>
          <w:lang w:val="en-US" w:eastAsia="zh-CN"/>
        </w:rPr>
        <w:t xml:space="preserve">389.2万元</w:t>
      </w:r>
      <w:r>
        <w:rPr>
          <w:rFonts w:hint="eastAsia" w:ascii="Times New Roman" w:hAnsi="Times New Roman" w:eastAsia="宋体"/>
          <w:caps w:val="0"/>
          <w:color w:val="000000"/>
          <w:sz w:val="24"/>
          <w:szCs w:val="24"/>
          <w:highlight w:val="none"/>
          <w:lang w:val="en-US" w:eastAsia="zh-CN"/>
        </w:rPr>
      </w:r>
      <w:r/>
    </w:p>
    <w:p>
      <w:pPr>
        <w:pStyle w:val="680"/>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4.本项目设定最高限价</w:t>
      </w:r>
      <w:r>
        <w:rPr>
          <w:rFonts w:hint="eastAsia" w:eastAsia="宋体"/>
          <w:caps w:val="0"/>
          <w:color w:val="000000"/>
          <w:sz w:val="24"/>
          <w:szCs w:val="24"/>
          <w:highlight w:val="none"/>
          <w:lang w:eastAsia="zh-CN"/>
        </w:rPr>
        <w:t xml:space="preserve">：</w:t>
      </w:r>
      <w:r>
        <w:rPr>
          <w:rFonts w:hint="eastAsia" w:ascii="Times New Roman" w:hAnsi="Times New Roman" w:cs="仿宋"/>
          <w:sz w:val="24"/>
          <w:szCs w:val="24"/>
          <w:highlight w:val="none"/>
          <w:lang w:val="en-US" w:eastAsia="zh-CN"/>
        </w:rPr>
        <w:t xml:space="preserve">389.2万元</w:t>
      </w:r>
      <w:r>
        <w:rPr>
          <w:rFonts w:hint="eastAsia" w:eastAsia="宋体"/>
          <w:caps w:val="0"/>
          <w:color w:val="000000"/>
          <w:sz w:val="24"/>
          <w:szCs w:val="24"/>
          <w:highlight w:val="none"/>
          <w:lang w:eastAsia="zh-CN"/>
        </w:rPr>
        <w:t xml:space="preserve">。</w:t>
      </w:r>
      <w:r>
        <w:rPr>
          <w:rFonts w:hint="eastAsia" w:ascii="Times New Roman" w:hAnsi="Times New Roman" w:eastAsia="宋体"/>
          <w:caps w:val="0"/>
          <w:color w:val="000000"/>
          <w:sz w:val="24"/>
          <w:szCs w:val="24"/>
          <w:highlight w:val="none"/>
          <w:lang w:eastAsia="zh-CN"/>
        </w:rPr>
      </w:r>
      <w:r/>
    </w:p>
    <w:p>
      <w:pPr>
        <w:pStyle w:val="680"/>
        <w:ind w:firstLine="480"/>
        <w:spacing w:line="480" w:lineRule="exact"/>
        <w:rPr>
          <w:rFonts w:hint="eastAsia" w:eastAsia="宋体" w:cs="宋体"/>
          <w:caps w:val="0"/>
          <w:color w:val="000000"/>
          <w:sz w:val="24"/>
          <w:szCs w:val="24"/>
          <w:highlight w:val="none"/>
          <w:lang w:val="en-US" w:eastAsia="zh-CN"/>
        </w:rPr>
      </w:pPr>
      <w:r>
        <w:rPr>
          <w:rFonts w:hint="eastAsia" w:ascii="Times New Roman" w:hAnsi="Times New Roman" w:eastAsia="宋体"/>
          <w:caps w:val="0"/>
          <w:color w:val="000000"/>
          <w:sz w:val="24"/>
          <w:szCs w:val="24"/>
          <w:highlight w:val="none"/>
        </w:rPr>
        <w:t xml:space="preserve">5.采购需求（简介）：</w:t>
      </w:r>
      <w:r>
        <w:rPr>
          <w:rFonts w:hint="eastAsia" w:ascii="Times New Roman" w:hAnsi="Times New Roman" w:eastAsia="宋体" w:cs="仿宋"/>
          <w:sz w:val="24"/>
          <w:szCs w:val="24"/>
          <w:highlight w:val="none"/>
        </w:rPr>
        <w:t xml:space="preserve">本次项目主要</w:t>
      </w:r>
      <w:r>
        <w:rPr>
          <w:rFonts w:hint="eastAsia" w:ascii="Times New Roman" w:hAnsi="Times New Roman" w:eastAsia="宋体" w:cs="仿宋"/>
          <w:sz w:val="24"/>
          <w:szCs w:val="24"/>
          <w:highlight w:val="none"/>
          <w:lang w:val="en-US" w:eastAsia="zh-CN"/>
        </w:rPr>
        <w:t xml:space="preserve">对</w:t>
      </w:r>
      <w:r>
        <w:rPr>
          <w:rFonts w:hint="eastAsia" w:ascii="Times New Roman" w:hAnsi="Times New Roman" w:eastAsia="宋体" w:cs="仿宋"/>
          <w:sz w:val="24"/>
          <w:szCs w:val="24"/>
          <w:highlight w:val="none"/>
        </w:rPr>
        <w:t xml:space="preserve">多媒体会议、综合安防、医疗叫号、医护对讲、信息发布、显示大屏、标准时钟等设备的采购及系统安装</w:t>
      </w:r>
      <w:r>
        <w:rPr>
          <w:rFonts w:hint="eastAsia" w:ascii="Times New Roman" w:hAnsi="Times New Roman" w:eastAsia="宋体" w:cs="仿宋"/>
          <w:sz w:val="24"/>
          <w:szCs w:val="24"/>
          <w:highlight w:val="none"/>
          <w:lang w:val="en-US" w:eastAsia="zh-CN"/>
        </w:rPr>
        <w:t xml:space="preserve">。详见采购需求内容。</w:t>
      </w:r>
      <w:r>
        <w:rPr>
          <w:rFonts w:hint="eastAsia" w:eastAsia="宋体" w:cs="宋体"/>
          <w:caps w:val="0"/>
          <w:color w:val="000000"/>
          <w:sz w:val="24"/>
          <w:szCs w:val="24"/>
          <w:highlight w:val="none"/>
          <w:lang w:val="en-US" w:eastAsia="zh-CN"/>
        </w:rPr>
      </w:r>
      <w:r/>
    </w:p>
    <w:p>
      <w:pPr>
        <w:pStyle w:val="680"/>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rPr>
        <w:t xml:space="preserve">6.合同履行期限：</w:t>
      </w:r>
      <w:r>
        <w:rPr>
          <w:rFonts w:hint="eastAsia" w:ascii="Times New Roman" w:hAnsi="Times New Roman" w:eastAsia="宋体" w:cs="仿宋"/>
          <w:sz w:val="24"/>
          <w:szCs w:val="24"/>
          <w:highlight w:val="none"/>
          <w:lang w:val="en-US" w:eastAsia="zh-CN"/>
        </w:rPr>
        <w:t xml:space="preserve">合同签订后</w:t>
      </w:r>
      <w:r>
        <w:rPr>
          <w:rFonts w:hint="eastAsia" w:ascii="Calibri" w:hAnsi="Calibri" w:eastAsia="宋体" w:cs="仿宋"/>
          <w:sz w:val="24"/>
          <w:szCs w:val="24"/>
          <w:highlight w:val="none"/>
          <w:lang w:val="en-US" w:eastAsia="zh-CN"/>
        </w:rPr>
        <w:t xml:space="preserve">6</w:t>
      </w:r>
      <w:r>
        <w:rPr>
          <w:rFonts w:hint="eastAsia" w:ascii="Times New Roman" w:hAnsi="Times New Roman" w:eastAsia="宋体" w:cs="仿宋"/>
          <w:sz w:val="24"/>
          <w:szCs w:val="24"/>
          <w:highlight w:val="none"/>
          <w:lang w:val="en-US" w:eastAsia="zh-CN"/>
        </w:rPr>
        <w:t xml:space="preserve">0日历天内完成全部安装调试并投入正常使用，</w:t>
      </w:r>
      <w:r>
        <w:rPr>
          <w:rFonts w:hint="eastAsia" w:ascii="宋体" w:hAnsi="宋体" w:eastAsia="宋体" w:cs="宋体"/>
          <w:sz w:val="24"/>
          <w:szCs w:val="22"/>
          <w:highlight w:val="none"/>
        </w:rPr>
        <w:t xml:space="preserve">售后服务期</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年</w:t>
      </w:r>
      <w:r>
        <w:rPr>
          <w:rStyle w:val="821"/>
          <w:rFonts w:hint="eastAsia" w:ascii="宋体" w:hAnsi="宋体" w:eastAsia="宋体" w:cs="宋体"/>
          <w:sz w:val="24"/>
          <w:szCs w:val="22"/>
          <w:highlight w:val="none"/>
        </w:rPr>
        <w:t xml:space="preserve">。</w:t>
      </w:r>
      <w:r>
        <w:rPr>
          <w:rFonts w:hint="eastAsia" w:ascii="Times New Roman" w:hAnsi="Times New Roman" w:eastAsia="宋体" w:cs="Times New Roman"/>
          <w:caps w:val="0"/>
          <w:color w:val="000000"/>
          <w:sz w:val="24"/>
          <w:szCs w:val="24"/>
          <w:highlight w:val="none"/>
          <w:lang w:val="en-US" w:eastAsia="zh-CN"/>
        </w:rPr>
      </w:r>
      <w:r/>
    </w:p>
    <w:p>
      <w:pPr>
        <w:pStyle w:val="680"/>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w:t>
      </w:r>
      <w:r>
        <w:rPr>
          <w:rFonts w:hint="eastAsia" w:ascii="Times New Roman" w:hAnsi="Times New Roman" w:eastAsia="宋体" w:cs="Times New Roman"/>
          <w:caps w:val="0"/>
          <w:color w:val="000000"/>
          <w:sz w:val="24"/>
          <w:szCs w:val="24"/>
          <w:highlight w:val="none"/>
        </w:rPr>
        <w:t xml:space="preserve">不接受</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683"/>
        <w:ind w:left="0" w:firstLine="498"/>
        <w:pageBreakBefore w:val="0"/>
        <w:spacing w:before="145" w:after="145" w:line="360" w:lineRule="auto"/>
        <w:rPr>
          <w:rFonts w:ascii="Times New Roman" w:hAnsi="Times New Roman"/>
          <w:caps w:val="0"/>
          <w:color w:val="000000"/>
          <w:highlight w:val="none"/>
        </w:rPr>
      </w:pPr>
      <w:r/>
      <w:bookmarkStart w:id="12" w:name="_Toc35393622"/>
      <w:r/>
      <w:bookmarkStart w:id="13" w:name="_Toc38985264"/>
      <w:r/>
      <w:bookmarkStart w:id="14" w:name="_Toc28359080"/>
      <w:r/>
      <w:bookmarkStart w:id="15" w:name="_Toc35393791"/>
      <w:r/>
      <w:bookmarkStart w:id="16" w:name="_Toc28359003"/>
      <w:r>
        <w:rPr>
          <w:rFonts w:hint="eastAsia" w:ascii="Times New Roman" w:hAnsi="Times New Roman"/>
          <w:caps w:val="0"/>
          <w:color w:val="000000"/>
          <w:highlight w:val="none"/>
        </w:rPr>
        <w:t xml:space="preserve">二、申请人的资格要求：</w:t>
      </w:r>
      <w:bookmarkEnd w:id="12"/>
      <w:r/>
      <w:bookmarkEnd w:id="13"/>
      <w:r/>
      <w:bookmarkEnd w:id="14"/>
      <w:r/>
      <w:bookmarkEnd w:id="15"/>
      <w:r/>
      <w:bookmarkEnd w:id="16"/>
      <w:r>
        <w:rPr>
          <w:rFonts w:ascii="Times New Roman" w:hAnsi="Times New Roman"/>
          <w:caps w:val="0"/>
          <w:color w:val="000000"/>
          <w:highlight w:val="none"/>
        </w:rPr>
      </w:r>
      <w:r/>
    </w:p>
    <w:p>
      <w:pPr>
        <w:pStyle w:val="680"/>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bookmarkStart w:id="17" w:name="_Toc35393792"/>
      <w:r/>
      <w:bookmarkStart w:id="18" w:name="_Toc28359081"/>
      <w:r/>
      <w:bookmarkStart w:id="19" w:name="_Toc28359004"/>
      <w:r/>
      <w:bookmarkStart w:id="20" w:name="_Toc38985265"/>
      <w:r/>
      <w:bookmarkStart w:id="21" w:name="_Toc35393623"/>
      <w:r>
        <w:rPr>
          <w:rFonts w:hint="eastAsia" w:ascii="Times New Roman" w:hAnsi="Times New Roman" w:eastAsia="宋体"/>
          <w:caps w:val="0"/>
          <w:color w:val="000000"/>
          <w:sz w:val="24"/>
          <w:szCs w:val="24"/>
          <w:highlight w:val="none"/>
        </w:rPr>
        <w:t xml:space="preserve">（一</w:t>
      </w:r>
      <w:r>
        <w:rPr>
          <w:rFonts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t xml:space="preserve">通用</w:t>
      </w:r>
      <w:r>
        <w:rPr>
          <w:rFonts w:ascii="Times New Roman" w:hAnsi="Times New Roman" w:eastAsia="宋体"/>
          <w:caps w:val="0"/>
          <w:color w:val="000000"/>
          <w:sz w:val="24"/>
          <w:szCs w:val="24"/>
          <w:highlight w:val="none"/>
        </w:rPr>
        <w:t xml:space="preserve">资格要求</w:t>
      </w:r>
      <w:r>
        <w:rPr>
          <w:rFonts w:hint="eastAsia" w:ascii="Times New Roman" w:hAnsi="Times New Roman" w:eastAsia="宋体"/>
          <w:caps w:val="0"/>
          <w:color w:val="000000"/>
          <w:sz w:val="24"/>
          <w:szCs w:val="24"/>
          <w:highlight w:val="none"/>
        </w:rPr>
      </w:r>
      <w:r/>
    </w:p>
    <w:p>
      <w:pPr>
        <w:pStyle w:val="680"/>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rPr>
        <w:t xml:space="preserve">具备《中华人民共和国政府采购法》第二十二条第一款规定的6项条件（按要求提供投标函）。</w:t>
      </w:r>
      <w:r>
        <w:rPr>
          <w:rFonts w:hint="eastAsia" w:ascii="Times New Roman" w:hAnsi="Times New Roman" w:eastAsia="宋体" w:cs="Times New Roman"/>
          <w:caps w:val="0"/>
          <w:color w:val="000000"/>
          <w:sz w:val="24"/>
          <w:szCs w:val="24"/>
          <w:highlight w:val="none"/>
        </w:rPr>
      </w:r>
      <w:r/>
    </w:p>
    <w:p>
      <w:pPr>
        <w:pStyle w:val="680"/>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w:t>
      </w:r>
      <w:r>
        <w:rPr>
          <w:rFonts w:hint="eastAsia" w:ascii="Times New Roman" w:hAnsi="Times New Roman" w:cs="仿宋"/>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r>
      <w:r/>
    </w:p>
    <w:p>
      <w:pPr>
        <w:pStyle w:val="680"/>
        <w:ind w:left="0" w:firstLine="480"/>
        <w:keepLines w:val="0"/>
        <w:keepNext w:val="0"/>
        <w:pageBreakBefore w:val="0"/>
        <w:spacing w:line="560" w:lineRule="exact"/>
        <w:widowControl w:val="off"/>
        <w:rPr>
          <w:rFonts w:ascii="Times New Roman" w:hAnsi="Times New Roman" w:eastAsia="宋体" w:cs="宋体"/>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3.落实政府</w:t>
      </w:r>
      <w:r>
        <w:rPr>
          <w:rFonts w:hint="eastAsia" w:ascii="Times New Roman" w:hAnsi="Times New Roman" w:eastAsia="宋体" w:cs="Times New Roman"/>
          <w:caps w:val="0"/>
          <w:color w:val="000000"/>
          <w:sz w:val="24"/>
          <w:szCs w:val="24"/>
          <w:highlight w:val="none"/>
        </w:rPr>
        <w:t xml:space="preserve">采购政策需满足的资格要求：</w:t>
      </w:r>
      <w:r>
        <w:rPr>
          <w:rFonts w:hint="eastAsia" w:ascii="Times New Roman" w:hAnsi="Times New Roman" w:eastAsia="宋体"/>
          <w:caps w:val="0"/>
          <w:color w:val="000000"/>
          <w:sz w:val="24"/>
          <w:szCs w:val="24"/>
          <w:highlight w:val="none"/>
        </w:rPr>
        <w:t xml:space="preserve">无</w:t>
      </w:r>
      <w:r>
        <w:rPr>
          <w:rFonts w:ascii="Times New Roman" w:hAnsi="Times New Roman" w:eastAsia="宋体" w:cs="宋体"/>
          <w:caps w:val="0"/>
          <w:color w:val="000000"/>
          <w:sz w:val="24"/>
          <w:szCs w:val="24"/>
          <w:highlight w:val="none"/>
        </w:rPr>
      </w:r>
      <w:r/>
    </w:p>
    <w:p>
      <w:pPr>
        <w:pStyle w:val="680"/>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lang w:val="en-US" w:eastAsia="zh-CN"/>
        </w:rPr>
      </w:pPr>
      <w:r>
        <w:rPr>
          <w:rFonts w:hint="eastAsia" w:ascii="Times New Roman" w:hAnsi="Times New Roman" w:eastAsia="宋体"/>
          <w:caps w:val="0"/>
          <w:color w:val="000000"/>
          <w:sz w:val="24"/>
          <w:szCs w:val="24"/>
          <w:highlight w:val="none"/>
        </w:rPr>
        <w:t xml:space="preserve">（二）本项目的特定资格要求</w:t>
      </w:r>
      <w:r>
        <w:rPr>
          <w:rFonts w:hint="eastAsia" w:eastAsia="宋体"/>
          <w:caps w:val="0"/>
          <w:color w:val="000000"/>
          <w:sz w:val="24"/>
          <w:szCs w:val="24"/>
          <w:highlight w:val="none"/>
          <w:lang w:eastAsia="zh-CN"/>
        </w:rPr>
        <w:t xml:space="preserve">：</w:t>
      </w:r>
      <w:r>
        <w:rPr>
          <w:rFonts w:hint="eastAsia" w:eastAsia="宋体"/>
          <w:caps w:val="0"/>
          <w:color w:val="000000"/>
          <w:sz w:val="24"/>
          <w:szCs w:val="24"/>
          <w:highlight w:val="none"/>
          <w:lang w:val="en-US" w:eastAsia="zh-CN"/>
        </w:rPr>
        <w:t xml:space="preserve">无</w:t>
      </w:r>
      <w:r>
        <w:rPr>
          <w:rFonts w:ascii="Times New Roman" w:hAnsi="Times New Roman" w:eastAsia="宋体"/>
          <w:caps w:val="0"/>
          <w:color w:val="000000"/>
          <w:sz w:val="24"/>
          <w:szCs w:val="24"/>
          <w:highlight w:val="none"/>
          <w:lang w:val="en-US" w:eastAsia="zh-CN"/>
        </w:rPr>
      </w:r>
      <w:r/>
    </w:p>
    <w:p>
      <w:pPr>
        <w:pStyle w:val="683"/>
        <w:ind w:left="0" w:firstLine="498"/>
        <w:pageBreakBefore w:val="0"/>
        <w:spacing w:before="145" w:after="145"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17"/>
      <w:r/>
      <w:bookmarkEnd w:id="18"/>
      <w:r/>
      <w:bookmarkEnd w:id="19"/>
      <w:r/>
      <w:bookmarkEnd w:id="20"/>
      <w:r/>
      <w:bookmarkEnd w:id="21"/>
      <w:r>
        <w:rPr>
          <w:rFonts w:ascii="Times New Roman" w:hAnsi="Times New Roman"/>
          <w:caps w:val="0"/>
          <w:color w:val="000000"/>
          <w:highlight w:val="none"/>
        </w:rPr>
      </w:r>
      <w:r/>
    </w:p>
    <w:p>
      <w:pPr>
        <w:pStyle w:val="680"/>
        <w:ind w:firstLine="480"/>
        <w:spacing w:line="480" w:lineRule="exact"/>
        <w:rPr>
          <w:rFonts w:ascii="Times New Roman" w:hAnsi="Times New Roman" w:eastAsia="宋体" w:cs="仿宋"/>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Times New Roman" w:hAnsi="Times New Roman" w:eastAsia="宋体" w:cs="仿宋"/>
          <w:sz w:val="24"/>
          <w:szCs w:val="24"/>
          <w:highlight w:val="none"/>
        </w:rPr>
        <w:t xml:space="preserve">1.时间：招标公告发布之日起5个工作日。</w:t>
      </w:r>
      <w:r>
        <w:rPr>
          <w:rFonts w:ascii="Times New Roman" w:hAnsi="Times New Roman" w:eastAsia="宋体" w:cs="仿宋"/>
          <w:sz w:val="24"/>
          <w:szCs w:val="24"/>
          <w:highlight w:val="none"/>
        </w:rPr>
      </w:r>
      <w:r/>
    </w:p>
    <w:p>
      <w:pPr>
        <w:pStyle w:val="680"/>
        <w:ind w:firstLine="480"/>
        <w:spacing w:line="480" w:lineRule="exact"/>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rPr>
        <w:t xml:space="preserve">2.方式：投标人应在招标文件提供的时间内，通过“苏采云”系统（网址： http://jszfcg.jsczt.cn/），使用CA锁登录系统后，找到本项目获取招标文件（后缀名为“.kedt”）。</w:t>
      </w:r>
      <w:r>
        <w:rPr>
          <w:rFonts w:ascii="Times New Roman" w:hAnsi="Times New Roman" w:eastAsia="宋体" w:cs="仿宋"/>
          <w:sz w:val="24"/>
          <w:szCs w:val="24"/>
          <w:highlight w:val="none"/>
        </w:rPr>
      </w:r>
      <w:r/>
    </w:p>
    <w:p>
      <w:pPr>
        <w:pStyle w:val="683"/>
        <w:ind w:left="0" w:firstLine="498"/>
        <w:pageBreakBefore w:val="0"/>
        <w:spacing w:before="145" w:after="145"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四、提交投标文件</w:t>
      </w:r>
      <w:bookmarkEnd w:id="22"/>
      <w:r/>
      <w:bookmarkEnd w:id="23"/>
      <w:r>
        <w:rPr>
          <w:rFonts w:hint="eastAsia" w:ascii="Times New Roman" w:hAnsi="Times New Roman"/>
          <w:caps w:val="0"/>
          <w:color w:val="000000"/>
          <w:highlight w:val="none"/>
        </w:rPr>
        <w:t xml:space="preserve">截止时间、开标时间和地点</w:t>
      </w:r>
      <w:bookmarkEnd w:id="24"/>
      <w:r/>
      <w:bookmarkEnd w:id="25"/>
      <w:r/>
      <w:bookmarkEnd w:id="26"/>
      <w:r>
        <w:rPr>
          <w:rFonts w:ascii="Times New Roman" w:hAnsi="Times New Roman"/>
          <w:caps w:val="0"/>
          <w:color w:val="000000"/>
          <w:highlight w:val="none"/>
        </w:rPr>
      </w:r>
      <w:r/>
    </w:p>
    <w:p>
      <w:pPr>
        <w:pStyle w:val="680"/>
        <w:ind w:firstLine="480"/>
        <w:spacing w:line="480" w:lineRule="exact"/>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rPr>
        <w:t xml:space="preserve">1.提交投标文件截止时间、开标时间：2026年08月27日09点30分（北京时间）</w:t>
      </w:r>
      <w:r>
        <w:rPr>
          <w:rFonts w:ascii="Times New Roman" w:hAnsi="Times New Roman" w:eastAsia="宋体" w:cs="仿宋"/>
          <w:sz w:val="24"/>
          <w:szCs w:val="24"/>
          <w:highlight w:val="none"/>
        </w:rPr>
      </w:r>
      <w:r/>
    </w:p>
    <w:p>
      <w:pPr>
        <w:pStyle w:val="680"/>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s="仿宋"/>
          <w:sz w:val="24"/>
          <w:szCs w:val="24"/>
          <w:highlight w:val="none"/>
        </w:rPr>
        <w:t xml:space="preserve">2.地点：“苏采云”政府采购交易系统网上开标大厅。</w:t>
      </w:r>
      <w:r>
        <w:rPr>
          <w:rFonts w:hint="eastAsia" w:ascii="Times New Roman" w:hAnsi="Times New Roman" w:eastAsia="宋体" w:cs="宋体"/>
          <w:caps w:val="0"/>
          <w:color w:val="000000"/>
          <w:sz w:val="24"/>
          <w:szCs w:val="24"/>
          <w:highlight w:val="none"/>
        </w:rPr>
      </w:r>
      <w:r/>
    </w:p>
    <w:p>
      <w:pPr>
        <w:pStyle w:val="683"/>
        <w:ind w:left="0" w:firstLine="498"/>
        <w:pageBreakBefore w:val="0"/>
        <w:spacing w:before="145" w:after="145" w:line="360" w:lineRule="auto"/>
        <w:rPr>
          <w:rFonts w:ascii="Times New Roman" w:hAnsi="Times New Roman"/>
          <w:caps w:val="0"/>
          <w:color w:val="000000"/>
          <w:highlight w:val="none"/>
        </w:rPr>
      </w:pPr>
      <w:r/>
      <w:bookmarkStart w:id="27" w:name="_Toc35393625"/>
      <w:r/>
      <w:bookmarkStart w:id="28" w:name="_Toc28359007"/>
      <w:r/>
      <w:bookmarkStart w:id="29" w:name="_Toc38985267"/>
      <w:r/>
      <w:bookmarkStart w:id="30" w:name="_Toc35393794"/>
      <w:r/>
      <w:bookmarkStart w:id="31" w:name="_Toc28359084"/>
      <w:r>
        <w:rPr>
          <w:rFonts w:hint="eastAsia" w:ascii="Times New Roman" w:hAnsi="Times New Roman"/>
          <w:caps w:val="0"/>
          <w:color w:val="000000"/>
          <w:highlight w:val="none"/>
        </w:rPr>
        <w:t xml:space="preserve">五、公告期限</w:t>
      </w:r>
      <w:bookmarkEnd w:id="27"/>
      <w:r/>
      <w:bookmarkEnd w:id="28"/>
      <w:r/>
      <w:bookmarkEnd w:id="29"/>
      <w:r/>
      <w:bookmarkEnd w:id="30"/>
      <w:r/>
      <w:bookmarkEnd w:id="31"/>
      <w:r>
        <w:rPr>
          <w:rFonts w:ascii="Times New Roman" w:hAnsi="Times New Roman"/>
          <w:caps w:val="0"/>
          <w:color w:val="000000"/>
          <w:highlight w:val="none"/>
        </w:rPr>
      </w:r>
      <w:r/>
    </w:p>
    <w:p>
      <w:pPr>
        <w:pStyle w:val="680"/>
        <w:ind w:left="0" w:firstLine="482"/>
        <w:keepLines w:val="0"/>
        <w:keepNext w:val="0"/>
        <w:pageBreakBefore w:val="0"/>
        <w:spacing w:line="560" w:lineRule="exact"/>
        <w:widowControl w:val="off"/>
        <w:rPr>
          <w:rFonts w:ascii="Times New Roman" w:hAnsi="Times New Roman" w:eastAsia="宋体" w:cs="宋体"/>
          <w:caps w:val="0"/>
          <w:color w:val="000000"/>
          <w:sz w:val="24"/>
          <w:szCs w:val="24"/>
          <w:highlight w:val="none"/>
        </w:rPr>
      </w:pPr>
      <w:r/>
      <w:bookmarkStart w:id="32" w:name="_Toc38985268"/>
      <w:r/>
      <w:bookmarkStart w:id="33" w:name="_Toc35393626"/>
      <w:r/>
      <w:bookmarkStart w:id="34" w:name="_Toc35393795"/>
      <w:r>
        <w:rPr>
          <w:rFonts w:hint="eastAsia" w:ascii="Times New Roman" w:hAnsi="Times New Roman" w:eastAsia="宋体" w:cs="宋体"/>
          <w:caps w:val="0"/>
          <w:color w:val="000000"/>
          <w:sz w:val="24"/>
          <w:szCs w:val="24"/>
          <w:highlight w:val="none"/>
        </w:rPr>
        <w:t xml:space="preserve">招标公告及招标文件公告期限为自本公告发布之日起5个工作日。</w:t>
      </w:r>
      <w:r>
        <w:rPr>
          <w:rFonts w:ascii="Times New Roman" w:hAnsi="Times New Roman" w:eastAsia="宋体" w:cs="宋体"/>
          <w:caps w:val="0"/>
          <w:color w:val="000000"/>
          <w:sz w:val="24"/>
          <w:szCs w:val="24"/>
          <w:highlight w:val="none"/>
        </w:rPr>
      </w:r>
      <w:r/>
    </w:p>
    <w:p>
      <w:pPr>
        <w:pStyle w:val="683"/>
        <w:ind w:left="0" w:firstLine="498"/>
        <w:pageBreakBefore w:val="0"/>
        <w:spacing w:before="145" w:after="145"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六、其他补充事宜</w:t>
      </w:r>
      <w:bookmarkEnd w:id="32"/>
      <w:r/>
      <w:bookmarkEnd w:id="33"/>
      <w:r/>
      <w:bookmarkEnd w:id="34"/>
      <w:r>
        <w:rPr>
          <w:rFonts w:ascii="Times New Roman" w:hAnsi="Times New Roman"/>
          <w:caps w:val="0"/>
          <w:color w:val="000000"/>
          <w:highlight w:val="none"/>
        </w:rPr>
      </w:r>
      <w:r/>
    </w:p>
    <w:p>
      <w:pPr>
        <w:pStyle w:val="680"/>
        <w:ind w:firstLine="480"/>
        <w:spacing w:line="480" w:lineRule="exact"/>
        <w:rPr>
          <w:rFonts w:ascii="Times New Roman" w:hAnsi="Times New Roman" w:eastAsia="宋体" w:cs="仿宋"/>
          <w:sz w:val="24"/>
          <w:szCs w:val="24"/>
          <w:highlight w:val="none"/>
        </w:rPr>
      </w:pPr>
      <w:r/>
      <w:bookmarkStart w:id="35" w:name="_Toc38985269"/>
      <w:r/>
      <w:bookmarkStart w:id="36" w:name="_Toc35393627"/>
      <w:r/>
      <w:bookmarkStart w:id="37" w:name="_Toc35393796"/>
      <w:r/>
      <w:bookmarkStart w:id="38" w:name="_Toc28359008"/>
      <w:r/>
      <w:bookmarkStart w:id="39" w:name="_Toc28359085"/>
      <w:r/>
      <w:bookmarkStart w:id="40" w:name="EB64e1f522fd8c43fcb4d3ba471386b3e7"/>
      <w:r>
        <w:rPr>
          <w:rFonts w:hint="eastAsia" w:ascii="Times New Roman" w:hAnsi="Times New Roman" w:eastAsia="宋体" w:cs="仿宋"/>
          <w:sz w:val="24"/>
          <w:szCs w:val="24"/>
          <w:highlight w:val="none"/>
        </w:rPr>
        <w:t xml:space="preserve">1.招标公告发布媒体：</w:t>
      </w:r>
      <w:bookmarkStart w:id="41" w:name="OLE_LINK3"/>
      <w:r>
        <w:rPr>
          <w:rFonts w:hint="eastAsia" w:ascii="Times New Roman" w:hAnsi="Times New Roman" w:eastAsia="宋体" w:cs="仿宋"/>
          <w:sz w:val="24"/>
          <w:szCs w:val="24"/>
          <w:highlight w:val="none"/>
        </w:rPr>
        <w:t xml:space="preserve">江苏政府采购网</w:t>
      </w:r>
      <w:bookmarkEnd w:id="41"/>
      <w:r>
        <w:rPr>
          <w:rFonts w:hint="eastAsia" w:ascii="Times New Roman" w:hAnsi="Times New Roman" w:eastAsia="宋体" w:cs="仿宋"/>
          <w:sz w:val="24"/>
          <w:szCs w:val="24"/>
          <w:highlight w:val="none"/>
        </w:rPr>
        <w:t xml:space="preserve">、宿迁市政府采购网等。</w:t>
      </w:r>
      <w:r>
        <w:rPr>
          <w:rFonts w:ascii="Times New Roman" w:hAnsi="Times New Roman" w:eastAsia="宋体" w:cs="仿宋"/>
          <w:sz w:val="24"/>
          <w:szCs w:val="24"/>
          <w:highlight w:val="none"/>
        </w:rPr>
      </w:r>
      <w:r/>
    </w:p>
    <w:p>
      <w:pPr>
        <w:pStyle w:val="680"/>
        <w:ind w:firstLine="480"/>
        <w:spacing w:line="480" w:lineRule="exact"/>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rPr>
        <w:t xml:space="preserve">2.“CA”数字证书办理：“苏采云”系统目前仅支持“苏采云”系统下的意源CA。省内各地区办理的“苏采云”系统下的意源CA全省通用。宿迁地区CA数字证书办理联系方式：18351098172。</w:t>
      </w:r>
      <w:r>
        <w:rPr>
          <w:rFonts w:ascii="Times New Roman" w:hAnsi="Times New Roman" w:eastAsia="宋体" w:cs="仿宋"/>
          <w:sz w:val="24"/>
          <w:szCs w:val="24"/>
          <w:highlight w:val="none"/>
        </w:rPr>
      </w:r>
      <w:r/>
    </w:p>
    <w:p>
      <w:pPr>
        <w:pStyle w:val="680"/>
        <w:ind w:firstLine="480"/>
        <w:spacing w:line="480" w:lineRule="exact"/>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rPr>
        <w:t xml:space="preserve">3.宿迁地区“苏采云”系统技术支持客服电话：</w:t>
      </w:r>
      <w:r>
        <w:rPr>
          <w:rFonts w:hint="eastAsia" w:ascii="Times New Roman" w:hAnsi="Times New Roman" w:cs="仿宋"/>
          <w:sz w:val="24"/>
          <w:szCs w:val="24"/>
        </w:rPr>
        <w:t xml:space="preserve">0527-84363067、0519-86722806</w:t>
      </w:r>
      <w:r>
        <w:rPr>
          <w:rFonts w:hint="eastAsia" w:ascii="Times New Roman" w:hAnsi="Times New Roman" w:eastAsia="宋体" w:cs="仿宋"/>
          <w:sz w:val="24"/>
          <w:szCs w:val="24"/>
          <w:highlight w:val="none"/>
        </w:rPr>
        <w:t xml:space="preserve">。</w:t>
      </w:r>
      <w:bookmarkEnd w:id="40"/>
      <w:r>
        <w:rPr>
          <w:rFonts w:ascii="Times New Roman" w:hAnsi="Times New Roman" w:eastAsia="宋体" w:cs="仿宋"/>
          <w:sz w:val="24"/>
          <w:szCs w:val="24"/>
          <w:highlight w:val="none"/>
        </w:rPr>
      </w:r>
      <w:r/>
    </w:p>
    <w:p>
      <w:pPr>
        <w:pStyle w:val="680"/>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none"/>
          <w:lang w:val="en-US" w:eastAsia="zh-CN"/>
        </w:rPr>
      </w:pPr>
      <w:r>
        <w:rPr>
          <w:rFonts w:hint="eastAsia" w:ascii="Times New Roman" w:hAnsi="Times New Roman" w:eastAsia="宋体" w:cs="仿宋"/>
          <w:sz w:val="24"/>
          <w:szCs w:val="24"/>
          <w:highlight w:val="none"/>
        </w:rPr>
        <w:t xml:space="preserve">4.</w:t>
      </w:r>
      <w:r>
        <w:rPr>
          <w:rFonts w:hint="eastAsia" w:ascii="Times New Roman" w:hAnsi="Times New Roman" w:eastAsia="宋体" w:cs="仿宋"/>
          <w:sz w:val="24"/>
          <w:szCs w:val="22"/>
          <w:highlight w:val="none"/>
        </w:rPr>
        <w:t xml:space="preserve">质疑渠道：投标人登录“苏采云”系统“项目质疑申请”模块向采购人提出，质疑处理联系方式详见“采购人信息”；</w:t>
      </w:r>
      <w:r>
        <w:rPr>
          <w:rFonts w:hint="eastAsia" w:ascii="Times New Roman" w:hAnsi="Times New Roman" w:eastAsia="宋体" w:cs="仿宋"/>
          <w:sz w:val="24"/>
          <w:szCs w:val="24"/>
          <w:highlight w:val="none"/>
        </w:rPr>
        <w:t xml:space="preserve">财政部门投诉受理电话</w:t>
      </w:r>
      <w:r>
        <w:rPr>
          <w:rFonts w:hint="eastAsia" w:ascii="Times New Roman" w:hAnsi="Times New Roman" w:eastAsia="宋体" w:cs="仿宋"/>
          <w:sz w:val="24"/>
          <w:szCs w:val="22"/>
          <w:highlight w:val="none"/>
        </w:rPr>
        <w:t xml:space="preserve">：</w:t>
      </w:r>
      <w:r>
        <w:rPr>
          <w:rFonts w:ascii="Times New Roman" w:hAnsi="Times New Roman" w:eastAsia="Times New Roman" w:cs="Times New Roman"/>
          <w:color w:val="000000"/>
          <w:sz w:val="24"/>
        </w:rPr>
        <w:t xml:space="preserve">0527-84465519</w:t>
      </w:r>
      <w:r>
        <w:rPr>
          <w:rFonts w:hint="eastAsia" w:ascii="Times New Roman" w:hAnsi="Times New Roman" w:eastAsia="宋体" w:cs="仿宋"/>
          <w:sz w:val="24"/>
          <w:szCs w:val="22"/>
          <w:highlight w:val="none"/>
        </w:rPr>
        <w:t xml:space="preserve">。</w:t>
      </w:r>
      <w:r>
        <w:rPr>
          <w:rFonts w:hint="eastAsia" w:ascii="Times New Roman" w:hAnsi="Times New Roman" w:eastAsia="宋体" w:cs="Times New Roman"/>
          <w:caps w:val="0"/>
          <w:color w:val="000000"/>
          <w:sz w:val="24"/>
          <w:highlight w:val="none"/>
          <w:lang w:val="en-US" w:eastAsia="zh-CN"/>
        </w:rPr>
        <w:t xml:space="preserve"> </w:t>
      </w:r>
      <w:r>
        <w:rPr>
          <w:rFonts w:hint="eastAsia" w:ascii="Times New Roman" w:hAnsi="Times New Roman" w:eastAsia="宋体" w:cs="仿宋_GB2312"/>
          <w:b/>
          <w:bCs/>
          <w:iCs/>
          <w:caps w:val="0"/>
          <w:color w:val="000000"/>
          <w:sz w:val="24"/>
          <w:highlight w:val="none"/>
          <w:lang w:val="en-US" w:eastAsia="zh-CN"/>
        </w:rPr>
      </w:r>
      <w:r/>
    </w:p>
    <w:p>
      <w:pPr>
        <w:pStyle w:val="683"/>
        <w:ind w:left="0" w:firstLine="498"/>
        <w:pageBreakBefore w:val="0"/>
        <w:spacing w:before="145" w:after="145"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七、本次招标联系方式</w:t>
      </w:r>
      <w:bookmarkEnd w:id="35"/>
      <w:r/>
      <w:bookmarkEnd w:id="36"/>
      <w:r/>
      <w:bookmarkEnd w:id="37"/>
      <w:r/>
      <w:bookmarkEnd w:id="38"/>
      <w:r/>
      <w:bookmarkEnd w:id="39"/>
      <w:r>
        <w:rPr>
          <w:rFonts w:ascii="Times New Roman" w:hAnsi="Times New Roman"/>
          <w:caps w:val="0"/>
          <w:color w:val="000000"/>
          <w:highlight w:val="none"/>
        </w:rPr>
      </w:r>
      <w:r/>
    </w:p>
    <w:p>
      <w:pPr>
        <w:pStyle w:val="680"/>
        <w:ind w:firstLine="480"/>
        <w:jc w:val="left"/>
        <w:spacing w:line="480" w:lineRule="exact"/>
        <w:widowControl/>
        <w:rPr>
          <w:rFonts w:hint="eastAsia" w:ascii="宋体" w:hAnsi="宋体" w:eastAsia="宋体" w:cs="Times New Roman"/>
          <w:sz w:val="24"/>
          <w:szCs w:val="24"/>
          <w:highlight w:val="none"/>
          <w:u w:val="none"/>
        </w:rPr>
      </w:pPr>
      <w:r>
        <w:rPr>
          <w:rFonts w:hint="eastAsia" w:ascii="宋体" w:hAnsi="宋体" w:eastAsia="宋体" w:cs="宋体"/>
          <w:sz w:val="24"/>
          <w:szCs w:val="24"/>
          <w:highlight w:val="none"/>
          <w:u w:val="none"/>
        </w:rPr>
        <w:t xml:space="preserve">1.采购人信息</w:t>
      </w:r>
      <w:r>
        <w:rPr>
          <w:rFonts w:hint="eastAsia" w:ascii="宋体" w:hAnsi="宋体" w:eastAsia="宋体" w:cs="Times New Roman"/>
          <w:sz w:val="24"/>
          <w:szCs w:val="24"/>
          <w:highlight w:val="none"/>
          <w:u w:val="none"/>
        </w:rPr>
      </w:r>
      <w:r/>
    </w:p>
    <w:p>
      <w:pPr>
        <w:pStyle w:val="680"/>
        <w:ind w:firstLine="480"/>
        <w:jc w:val="left"/>
        <w:spacing w:line="480" w:lineRule="exact"/>
        <w:rPr>
          <w:rFonts w:hint="eastAsia" w:ascii="宋体" w:hAnsi="宋体" w:eastAsia="宋体" w:cs="Times New Roman"/>
          <w:sz w:val="24"/>
          <w:szCs w:val="24"/>
          <w:highlight w:val="none"/>
          <w:u w:val="none"/>
          <w:lang w:eastAsia="zh-CN"/>
        </w:rPr>
      </w:pPr>
      <w:r>
        <w:rPr>
          <w:rFonts w:hint="eastAsia" w:ascii="宋体" w:hAnsi="宋体" w:eastAsia="宋体" w:cs="Times New Roman"/>
          <w:sz w:val="24"/>
          <w:szCs w:val="24"/>
          <w:highlight w:val="none"/>
          <w:u w:val="none"/>
        </w:rPr>
        <w:t xml:space="preserve">名   称：</w:t>
      </w:r>
      <w:r>
        <w:rPr>
          <w:rFonts w:hint="eastAsia" w:ascii="宋体" w:hAnsi="宋体" w:eastAsia="宋体" w:cs="Times New Roman"/>
          <w:sz w:val="24"/>
          <w:szCs w:val="24"/>
          <w:highlight w:val="none"/>
          <w:u w:val="none"/>
          <w:lang w:eastAsia="zh-CN"/>
        </w:rPr>
        <w:t xml:space="preserve">宿迁市宿豫区卫生健康局</w:t>
      </w:r>
      <w:r>
        <w:rPr>
          <w:rFonts w:hint="eastAsia" w:ascii="宋体" w:hAnsi="宋体" w:eastAsia="宋体" w:cs="Times New Roman"/>
          <w:sz w:val="24"/>
          <w:szCs w:val="24"/>
          <w:highlight w:val="none"/>
          <w:u w:val="none"/>
          <w:lang w:eastAsia="zh-CN"/>
        </w:rPr>
      </w:r>
      <w:r/>
    </w:p>
    <w:p>
      <w:pPr>
        <w:pStyle w:val="680"/>
        <w:ind w:firstLine="480"/>
        <w:jc w:val="left"/>
        <w:spacing w:line="480" w:lineRule="exact"/>
        <w:rPr>
          <w:rFonts w:hint="eastAsia" w:ascii="宋体" w:hAnsi="宋体" w:eastAsia="宋体" w:cs="Times New Roman"/>
          <w:sz w:val="24"/>
          <w:szCs w:val="24"/>
          <w:highlight w:val="none"/>
          <w:u w:val="none"/>
        </w:rPr>
      </w:pPr>
      <w:r>
        <w:rPr>
          <w:rFonts w:hint="eastAsia" w:ascii="宋体" w:hAnsi="宋体" w:eastAsia="宋体" w:cs="Times New Roman"/>
          <w:sz w:val="24"/>
          <w:szCs w:val="24"/>
          <w:highlight w:val="none"/>
          <w:u w:val="none"/>
        </w:rPr>
        <w:t xml:space="preserve">地   址：宿迁市洪泽湖东路19号</w:t>
      </w:r>
      <w:r>
        <w:rPr>
          <w:rFonts w:hint="eastAsia" w:ascii="宋体" w:hAnsi="宋体" w:eastAsia="宋体" w:cs="Times New Roman"/>
          <w:sz w:val="24"/>
          <w:szCs w:val="24"/>
          <w:highlight w:val="none"/>
          <w:u w:val="none"/>
          <w:lang w:val="en-US" w:eastAsia="zh-CN"/>
        </w:rPr>
        <w:t xml:space="preserve"> </w:t>
      </w:r>
      <w:r>
        <w:rPr>
          <w:rFonts w:hint="eastAsia" w:ascii="宋体" w:hAnsi="宋体" w:eastAsia="宋体" w:cs="Times New Roman"/>
          <w:sz w:val="24"/>
          <w:szCs w:val="24"/>
          <w:highlight w:val="none"/>
          <w:u w:val="none"/>
        </w:rPr>
      </w:r>
      <w:r/>
    </w:p>
    <w:p>
      <w:pPr>
        <w:pStyle w:val="680"/>
        <w:ind w:firstLine="480"/>
        <w:jc w:val="left"/>
        <w:spacing w:line="480" w:lineRule="exact"/>
        <w:rPr>
          <w:rFonts w:hint="eastAsia" w:ascii="宋体" w:hAnsi="宋体" w:eastAsia="宋体" w:cs="Times New Roman"/>
          <w:sz w:val="24"/>
          <w:szCs w:val="24"/>
          <w:highlight w:val="none"/>
          <w:u w:val="none"/>
        </w:rPr>
      </w:pPr>
      <w:r>
        <w:rPr>
          <w:rFonts w:hint="eastAsia" w:ascii="宋体" w:hAnsi="宋体" w:eastAsia="宋体" w:cs="Times New Roman"/>
          <w:sz w:val="24"/>
          <w:szCs w:val="24"/>
          <w:highlight w:val="none"/>
          <w:u w:val="none"/>
        </w:rPr>
        <w:t xml:space="preserve">联 系 人</w:t>
      </w:r>
      <w:bookmarkStart w:id="42" w:name="_Toc28359086"/>
      <w:r/>
      <w:bookmarkStart w:id="43" w:name="_Toc28359009"/>
      <w:r>
        <w:rPr>
          <w:rFonts w:hint="eastAsia" w:ascii="宋体" w:hAnsi="宋体" w:eastAsia="宋体" w:cs="Times New Roman"/>
          <w:sz w:val="24"/>
          <w:szCs w:val="24"/>
          <w:highlight w:val="none"/>
          <w:u w:val="none"/>
          <w:lang w:eastAsia="zh-CN"/>
        </w:rPr>
        <w:t xml:space="preserve">：唐建春</w:t>
      </w:r>
      <w:r>
        <w:rPr>
          <w:rFonts w:hint="eastAsia" w:ascii="宋体" w:hAnsi="宋体" w:eastAsia="宋体" w:cs="Times New Roman"/>
          <w:sz w:val="24"/>
          <w:szCs w:val="24"/>
          <w:highlight w:val="none"/>
          <w:u w:val="none"/>
        </w:rPr>
      </w:r>
      <w:r/>
    </w:p>
    <w:p>
      <w:pPr>
        <w:pStyle w:val="680"/>
        <w:ind w:firstLine="480"/>
        <w:jc w:val="left"/>
        <w:spacing w:line="480" w:lineRule="exact"/>
        <w:rPr>
          <w:rFonts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rPr>
        <w:t xml:space="preserve">联系方式：0527-84465915 </w:t>
      </w:r>
      <w:r>
        <w:rPr>
          <w:rFonts w:hint="eastAsia" w:ascii="宋体" w:hAnsi="宋体" w:eastAsia="宋体" w:cs="Times New Roman"/>
          <w:sz w:val="24"/>
          <w:szCs w:val="24"/>
          <w:highlight w:val="none"/>
          <w:u w:val="none"/>
          <w:lang w:val="en-US" w:eastAsia="zh-CN"/>
        </w:rPr>
        <w:t xml:space="preserve">     </w:t>
      </w:r>
      <w:r>
        <w:rPr>
          <w:rFonts w:ascii="宋体" w:hAnsi="宋体" w:eastAsia="宋体" w:cs="Times New Roman"/>
          <w:sz w:val="24"/>
          <w:szCs w:val="24"/>
          <w:highlight w:val="none"/>
          <w:u w:val="none"/>
          <w:lang w:val="en-US" w:eastAsia="zh-CN"/>
        </w:rPr>
      </w:r>
      <w:r/>
    </w:p>
    <w:p>
      <w:pPr>
        <w:pStyle w:val="680"/>
        <w:ind w:firstLine="480"/>
        <w:jc w:val="left"/>
        <w:spacing w:line="480" w:lineRule="exact"/>
        <w:rPr>
          <w:rFonts w:hint="eastAsia" w:ascii="宋体" w:hAnsi="宋体" w:eastAsia="宋体" w:cs="Times New Roman"/>
          <w:sz w:val="24"/>
          <w:szCs w:val="24"/>
          <w:highlight w:val="none"/>
          <w:u w:val="none"/>
        </w:rPr>
      </w:pPr>
      <w:r>
        <w:rPr>
          <w:rFonts w:hint="eastAsia" w:ascii="宋体" w:hAnsi="宋体" w:eastAsia="宋体" w:cs="宋体"/>
          <w:sz w:val="24"/>
          <w:szCs w:val="24"/>
          <w:highlight w:val="none"/>
          <w:u w:val="none"/>
        </w:rPr>
        <w:t xml:space="preserve">2.</w:t>
      </w:r>
      <w:bookmarkEnd w:id="42"/>
      <w:r/>
      <w:bookmarkEnd w:id="43"/>
      <w:r>
        <w:rPr>
          <w:rFonts w:hint="eastAsia" w:ascii="宋体" w:hAnsi="宋体" w:eastAsia="宋体" w:cs="宋体"/>
          <w:sz w:val="24"/>
          <w:szCs w:val="24"/>
          <w:highlight w:val="none"/>
          <w:u w:val="none"/>
        </w:rPr>
        <w:t xml:space="preserve">采购代理机构信息</w:t>
      </w:r>
      <w:r>
        <w:rPr>
          <w:rFonts w:hint="eastAsia" w:ascii="宋体" w:hAnsi="宋体" w:eastAsia="宋体" w:cs="Times New Roman"/>
          <w:sz w:val="24"/>
          <w:szCs w:val="24"/>
          <w:highlight w:val="none"/>
          <w:u w:val="none"/>
        </w:rPr>
      </w:r>
      <w:r/>
    </w:p>
    <w:p>
      <w:pPr>
        <w:pStyle w:val="680"/>
        <w:ind w:firstLine="480"/>
        <w:jc w:val="left"/>
        <w:spacing w:line="480" w:lineRule="exact"/>
        <w:rPr>
          <w:rFonts w:hint="eastAsia" w:ascii="宋体" w:hAnsi="宋体" w:eastAsia="宋体" w:cs="Times New Roman"/>
          <w:sz w:val="24"/>
          <w:szCs w:val="24"/>
          <w:highlight w:val="none"/>
          <w:u w:val="none"/>
        </w:rPr>
      </w:pPr>
      <w:r>
        <w:rPr>
          <w:rFonts w:hint="eastAsia" w:ascii="宋体" w:hAnsi="宋体" w:eastAsia="宋体" w:cs="Times New Roman"/>
          <w:sz w:val="24"/>
          <w:szCs w:val="24"/>
          <w:highlight w:val="none"/>
          <w:u w:val="none"/>
        </w:rPr>
        <w:t xml:space="preserve">名    称：江苏天园项目管理集团有限公司</w:t>
      </w:r>
      <w:r>
        <w:rPr>
          <w:rFonts w:hint="eastAsia" w:ascii="宋体" w:hAnsi="宋体" w:eastAsia="宋体" w:cs="Times New Roman"/>
          <w:sz w:val="24"/>
          <w:szCs w:val="24"/>
          <w:highlight w:val="none"/>
          <w:u w:val="none"/>
        </w:rPr>
      </w:r>
      <w:r/>
    </w:p>
    <w:p>
      <w:pPr>
        <w:pStyle w:val="680"/>
        <w:ind w:firstLine="480"/>
        <w:spacing w:line="480" w:lineRule="exact"/>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rPr>
        <w:t xml:space="preserve">地  　址：宿迁市宿城区迅驰路23号（天园大厦）</w:t>
      </w:r>
      <w:r>
        <w:rPr>
          <w:rFonts w:hint="eastAsia" w:ascii="宋体" w:hAnsi="宋体" w:eastAsia="宋体" w:cs="Times New Roman"/>
          <w:sz w:val="24"/>
          <w:szCs w:val="24"/>
          <w:highlight w:val="none"/>
          <w:u w:val="none"/>
          <w:lang w:val="en-US" w:eastAsia="zh-CN"/>
        </w:rPr>
        <w:t xml:space="preserve">二楼</w:t>
      </w:r>
      <w:r>
        <w:rPr>
          <w:rFonts w:hint="eastAsia" w:ascii="宋体" w:hAnsi="宋体" w:eastAsia="宋体" w:cs="Times New Roman"/>
          <w:sz w:val="24"/>
          <w:szCs w:val="24"/>
          <w:highlight w:val="none"/>
          <w:u w:val="none"/>
          <w:lang w:val="en-US" w:eastAsia="zh-CN"/>
        </w:rPr>
      </w:r>
      <w:r/>
    </w:p>
    <w:p>
      <w:pPr>
        <w:pStyle w:val="680"/>
        <w:ind w:firstLine="480"/>
        <w:spacing w:line="480" w:lineRule="exact"/>
        <w:rPr>
          <w:rFonts w:hint="eastAsia" w:ascii="宋体" w:hAnsi="宋体" w:eastAsia="宋体" w:cs="Times New Roman"/>
          <w:color w:val="000000"/>
          <w:sz w:val="24"/>
          <w:szCs w:val="24"/>
          <w:highlight w:val="none"/>
          <w:u w:val="none"/>
        </w:rPr>
      </w:pPr>
      <w:r>
        <w:rPr>
          <w:rFonts w:hint="eastAsia" w:ascii="宋体" w:hAnsi="宋体" w:eastAsia="宋体" w:cs="Times New Roman"/>
          <w:color w:val="000000"/>
          <w:sz w:val="24"/>
          <w:szCs w:val="24"/>
          <w:highlight w:val="none"/>
          <w:u w:val="none"/>
        </w:rPr>
        <w:t xml:space="preserve">联 系 人：夏静静  </w:t>
      </w:r>
      <w:r>
        <w:rPr>
          <w:rFonts w:hint="eastAsia" w:ascii="宋体" w:hAnsi="宋体" w:eastAsia="宋体" w:cs="Times New Roman"/>
          <w:color w:val="000000"/>
          <w:sz w:val="24"/>
          <w:szCs w:val="24"/>
          <w:highlight w:val="none"/>
          <w:u w:val="none"/>
        </w:rPr>
      </w:r>
      <w:r/>
    </w:p>
    <w:p>
      <w:pPr>
        <w:pStyle w:val="680"/>
        <w:ind w:left="0" w:firstLine="480"/>
        <w:keepLines w:val="0"/>
        <w:keepNext w:val="0"/>
        <w:pageBreakBefore w:val="0"/>
        <w:spacing w:line="560" w:lineRule="exact"/>
        <w:widowControl w:val="off"/>
        <w:tabs>
          <w:tab w:val="left" w:pos="900" w:leader="none"/>
        </w:tabs>
        <w:rPr>
          <w:rFonts w:ascii="Times New Roman" w:hAnsi="Times New Roman" w:eastAsia="宋体"/>
          <w:bCs/>
          <w:caps w:val="0"/>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rPr>
        <w:t xml:space="preserve">联系方式：15250757602</w:t>
      </w:r>
      <w:r>
        <w:rPr>
          <w:rFonts w:ascii="Times New Roman" w:hAnsi="Times New Roman" w:eastAsia="宋体"/>
          <w:bCs/>
          <w:caps w:val="0"/>
          <w:color w:val="000000"/>
          <w:sz w:val="24"/>
          <w:szCs w:val="24"/>
          <w:highlight w:val="none"/>
          <w:u w:val="none"/>
          <w:lang w:val="en-US" w:eastAsia="zh-CN"/>
        </w:rPr>
      </w:r>
      <w:r/>
    </w:p>
    <w:p>
      <w:pPr>
        <w:pStyle w:val="680"/>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680"/>
        <w:ind w:right="840"/>
        <w:rPr>
          <w:rFonts w:hint="eastAsia" w:ascii="Times New Roman" w:hAnsi="Times New Roman"/>
          <w:caps w:val="0"/>
          <w:color w:val="000000"/>
          <w:sz w:val="24"/>
          <w:szCs w:val="24"/>
          <w:highlight w:val="none"/>
        </w:rPr>
      </w:pPr>
      <w:r>
        <w:rPr>
          <w:rFonts w:ascii="Times New Roman" w:hAnsi="Times New Roman"/>
          <w:caps w:val="0"/>
          <w:color w:val="000000"/>
          <w:sz w:val="24"/>
          <w:szCs w:val="24"/>
          <w:highlight w:val="none"/>
        </w:rPr>
        <w:br w:type="page" w:clear="all"/>
      </w:r>
      <w:r>
        <w:rPr>
          <w:rFonts w:hint="eastAsia" w:ascii="Times New Roman" w:hAnsi="Times New Roman"/>
          <w:caps w:val="0"/>
          <w:color w:val="000000"/>
          <w:sz w:val="24"/>
          <w:szCs w:val="24"/>
          <w:highlight w:val="none"/>
        </w:rPr>
      </w:r>
      <w:r/>
    </w:p>
    <w:p>
      <w:pPr>
        <w:pStyle w:val="682"/>
        <w:ind w:firstLine="2429"/>
        <w:jc w:val="both"/>
        <w:rPr>
          <w:rFonts w:hint="eastAsia" w:ascii="Times New Roman" w:hAnsi="Times New Roman" w:eastAsia="黑体"/>
          <w:b w:val="0"/>
          <w:bCs w:val="0"/>
          <w:caps w:val="0"/>
          <w:color w:val="000000"/>
          <w:highlight w:val="none"/>
        </w:rPr>
      </w:pPr>
      <w:r/>
      <w:bookmarkStart w:id="44" w:name="_Toc120614211"/>
      <w:r>
        <w:rPr>
          <w:rFonts w:hint="eastAsia" w:ascii="Times New Roman" w:hAnsi="Times New Roman" w:eastAsia="黑体"/>
          <w:caps w:val="0"/>
          <w:color w:val="000000"/>
          <w:highlight w:val="none"/>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Times New Roman" w:hAnsi="Times New Roman" w:eastAsia="黑体"/>
          <w:caps w:val="0"/>
          <w:color w:val="000000"/>
          <w:highlight w:val="none"/>
        </w:rPr>
        <w:t xml:space="preserve">投标人须知</w:t>
      </w:r>
      <w:bookmarkEnd w:id="45"/>
      <w:r/>
      <w:bookmarkEnd w:id="46"/>
      <w:r/>
      <w:bookmarkEnd w:id="47"/>
      <w:r/>
      <w:bookmarkEnd w:id="48"/>
      <w:r>
        <w:rPr>
          <w:rFonts w:hint="eastAsia" w:ascii="Times New Roman" w:hAnsi="Times New Roman" w:eastAsia="黑体"/>
          <w:b w:val="0"/>
          <w:bCs w:val="0"/>
          <w:caps w:val="0"/>
          <w:color w:val="000000"/>
          <w:highlight w:val="none"/>
        </w:rPr>
      </w:r>
      <w:r/>
    </w:p>
    <w:p>
      <w:pPr>
        <w:pStyle w:val="683"/>
        <w:ind w:left="0" w:firstLine="498"/>
        <w:pageBreakBefore w:val="0"/>
        <w:spacing w:before="0" w:after="0" w:line="560" w:lineRule="exact"/>
        <w:widowControl w:val="off"/>
        <w:rPr>
          <w:rFonts w:hint="eastAsia" w:ascii="Times New Roman" w:hAnsi="Times New Roman"/>
          <w:caps w:val="0"/>
          <w:color w:val="000000"/>
          <w:highlight w:val="none"/>
        </w:rPr>
      </w:pPr>
      <w:r/>
      <w:bookmarkStart w:id="49" w:name="_Toc513029203"/>
      <w:r/>
      <w:bookmarkStart w:id="50" w:name="_Toc20823275"/>
      <w:r/>
      <w:bookmarkStart w:id="51" w:name="_Toc16938519"/>
      <w:r/>
      <w:bookmarkStart w:id="52" w:name="_Toc120614214"/>
      <w:r>
        <w:rPr>
          <w:rFonts w:hint="eastAsia" w:ascii="Times New Roman" w:hAnsi="Times New Roman"/>
          <w:caps w:val="0"/>
          <w:color w:val="000000"/>
          <w:highlight w:val="none"/>
        </w:rPr>
        <w:t xml:space="preserve">一、总则</w:t>
      </w:r>
      <w:bookmarkEnd w:id="49"/>
      <w:r/>
      <w:bookmarkEnd w:id="50"/>
      <w:r/>
      <w:bookmarkEnd w:id="51"/>
      <w:r/>
      <w:bookmarkEnd w:id="52"/>
      <w:r>
        <w:rPr>
          <w:rFonts w:hint="eastAsia" w:ascii="Times New Roman" w:hAnsi="Times New Roman"/>
          <w:caps w:val="0"/>
          <w:color w:val="000000"/>
          <w:highlight w:val="none"/>
        </w:rPr>
      </w:r>
      <w:r/>
    </w:p>
    <w:p>
      <w:pPr>
        <w:pStyle w:val="684"/>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Times New Roman" w:hAnsi="Times New Roman"/>
          <w:b w:val="0"/>
          <w:bCs w:val="0"/>
          <w:caps w:val="0"/>
          <w:color w:val="000000"/>
          <w:highlight w:val="none"/>
        </w:rPr>
        <w:t xml:space="preserve">1</w:t>
      </w:r>
      <w:bookmarkEnd w:id="54"/>
      <w:r>
        <w:rPr>
          <w:rFonts w:hint="eastAsia" w:ascii="Times New Roman" w:hAnsi="Times New Roman"/>
          <w:b w:val="0"/>
          <w:bCs w:val="0"/>
          <w:caps w:val="0"/>
          <w:color w:val="000000"/>
          <w:highlight w:val="none"/>
        </w:rPr>
        <w:t xml:space="preserve">、招标方式</w:t>
      </w:r>
      <w:bookmarkEnd w:id="55"/>
      <w:r/>
      <w:bookmarkEnd w:id="56"/>
      <w:r/>
      <w:bookmarkEnd w:id="57"/>
      <w:r>
        <w:rPr>
          <w:rFonts w:hint="eastAsia" w:ascii="Times New Roman" w:hAnsi="Times New Roman"/>
          <w:b w:val="0"/>
          <w:bCs w:val="0"/>
          <w:caps w:val="0"/>
          <w:color w:val="000000"/>
          <w:highlight w:val="none"/>
        </w:rPr>
      </w:r>
      <w:r/>
    </w:p>
    <w:p>
      <w:pPr>
        <w:pStyle w:val="680"/>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1.1 本次招标采取公开招标方式，本招标文件仅适用于招标公告中所述项目。</w:t>
      </w:r>
      <w:r>
        <w:rPr>
          <w:rFonts w:hint="eastAsia" w:ascii="Times New Roman" w:hAnsi="Times New Roman"/>
          <w:caps w:val="0"/>
          <w:color w:val="000000"/>
          <w:sz w:val="24"/>
          <w:highlight w:val="none"/>
        </w:rPr>
      </w:r>
      <w:r/>
    </w:p>
    <w:p>
      <w:pPr>
        <w:pStyle w:val="684"/>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58" w:name="_Toc513029205"/>
      <w:r/>
      <w:bookmarkStart w:id="59" w:name="_Toc20823277"/>
      <w:r/>
      <w:bookmarkStart w:id="60" w:name="_Toc16938521"/>
      <w:r>
        <w:rPr>
          <w:rFonts w:hint="eastAsia" w:ascii="Times New Roman" w:hAnsi="Times New Roman"/>
          <w:b w:val="0"/>
          <w:bCs w:val="0"/>
          <w:caps w:val="0"/>
          <w:color w:val="000000"/>
          <w:highlight w:val="none"/>
        </w:rPr>
        <w:t xml:space="preserve">2、合格的投标人</w:t>
      </w:r>
      <w:bookmarkEnd w:id="58"/>
      <w:r/>
      <w:bookmarkEnd w:id="59"/>
      <w:r/>
      <w:bookmarkEnd w:id="60"/>
      <w:r>
        <w:rPr>
          <w:rFonts w:hint="eastAsia" w:ascii="Times New Roman" w:hAnsi="Times New Roman"/>
          <w:b w:val="0"/>
          <w:bCs w:val="0"/>
          <w:caps w:val="0"/>
          <w:color w:val="000000"/>
          <w:highlight w:val="none"/>
        </w:rPr>
      </w:r>
      <w:r/>
    </w:p>
    <w:p>
      <w:pPr>
        <w:pStyle w:val="680"/>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2.1满足招标公告中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rPr>
          <w:rFonts w:hint="eastAsia" w:ascii="Times New Roman" w:hAnsi="Times New Roman" w:eastAsia="宋体" w:cs="Times New Roman"/>
          <w:caps w:val="0"/>
          <w:color w:val="000000"/>
          <w:sz w:val="24"/>
          <w:highlight w:val="none"/>
        </w:rPr>
      </w:r>
      <w:r/>
    </w:p>
    <w:p>
      <w:pPr>
        <w:pStyle w:val="680"/>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2.2 满足本文件实质性要求和条件的规定。</w:t>
      </w:r>
      <w:r>
        <w:rPr>
          <w:rFonts w:hint="eastAsia" w:ascii="Times New Roman" w:hAnsi="Times New Roman" w:eastAsia="宋体" w:cs="Times New Roman"/>
          <w:caps w:val="0"/>
          <w:color w:val="000000"/>
          <w:sz w:val="24"/>
          <w:highlight w:val="none"/>
        </w:rPr>
      </w:r>
      <w:r/>
    </w:p>
    <w:p>
      <w:pPr>
        <w:pStyle w:val="684"/>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61" w:name="_Toc16938522"/>
      <w:r/>
      <w:bookmarkStart w:id="62" w:name="_Toc20823278"/>
      <w:r/>
      <w:bookmarkStart w:id="63" w:name="_Toc513029206"/>
      <w:r>
        <w:rPr>
          <w:rFonts w:hint="eastAsia" w:ascii="Times New Roman" w:hAnsi="Times New Roman"/>
          <w:b w:val="0"/>
          <w:bCs w:val="0"/>
          <w:caps w:val="0"/>
          <w:color w:val="000000"/>
          <w:highlight w:val="none"/>
        </w:rPr>
        <w:t xml:space="preserve">3、适用法律</w:t>
      </w:r>
      <w:bookmarkEnd w:id="61"/>
      <w:r/>
      <w:bookmarkEnd w:id="62"/>
      <w:r/>
      <w:bookmarkEnd w:id="63"/>
      <w:r>
        <w:rPr>
          <w:rFonts w:hint="eastAsia" w:ascii="Times New Roman" w:hAnsi="Times New Roman"/>
          <w:b w:val="0"/>
          <w:bCs w:val="0"/>
          <w:caps w:val="0"/>
          <w:color w:val="000000"/>
          <w:highlight w:val="none"/>
        </w:rPr>
      </w:r>
      <w:r/>
    </w:p>
    <w:p>
      <w:pPr>
        <w:pStyle w:val="680"/>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highlight w:val="none"/>
        </w:rPr>
      </w:r>
      <w:r/>
    </w:p>
    <w:p>
      <w:pPr>
        <w:pStyle w:val="684"/>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64" w:name="_Toc20823279"/>
      <w:r/>
      <w:bookmarkStart w:id="65" w:name="_Toc513029207"/>
      <w:r/>
      <w:bookmarkStart w:id="66" w:name="_Toc462564067"/>
      <w:r/>
      <w:bookmarkStart w:id="67" w:name="_Toc16938523"/>
      <w:r>
        <w:rPr>
          <w:rFonts w:hint="eastAsia" w:ascii="Times New Roman" w:hAnsi="Times New Roman"/>
          <w:b w:val="0"/>
          <w:bCs w:val="0"/>
          <w:caps w:val="0"/>
          <w:color w:val="000000"/>
          <w:highlight w:val="none"/>
        </w:rPr>
        <w:t xml:space="preserve">4、投标费用</w:t>
      </w:r>
      <w:bookmarkEnd w:id="64"/>
      <w:r/>
      <w:bookmarkEnd w:id="65"/>
      <w:r/>
      <w:bookmarkEnd w:id="66"/>
      <w:r/>
      <w:bookmarkEnd w:id="67"/>
      <w:r>
        <w:rPr>
          <w:rFonts w:hint="eastAsia" w:ascii="Times New Roman" w:hAnsi="Times New Roman"/>
          <w:b w:val="0"/>
          <w:bCs w:val="0"/>
          <w:caps w:val="0"/>
          <w:color w:val="000000"/>
          <w:highlight w:val="none"/>
        </w:rPr>
      </w:r>
      <w:r/>
    </w:p>
    <w:p>
      <w:pPr>
        <w:pStyle w:val="680"/>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4.1 投标人应自行承担所有与参加投标有关的费用。</w:t>
      </w:r>
      <w:r>
        <w:rPr>
          <w:rFonts w:hint="eastAsia" w:ascii="Times New Roman" w:hAnsi="Times New Roman" w:eastAsia="宋体" w:cs="Times New Roman"/>
          <w:caps w:val="0"/>
          <w:color w:val="000000"/>
          <w:sz w:val="24"/>
          <w:highlight w:val="none"/>
        </w:rPr>
      </w:r>
      <w:r/>
    </w:p>
    <w:p>
      <w:pPr>
        <w:pStyle w:val="680"/>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2 </w:t>
      </w:r>
      <w:r>
        <w:rPr>
          <w:rFonts w:hint="eastAsia" w:ascii="Times New Roman" w:hAnsi="Times New Roman" w:eastAsia="宋体" w:cs="Times New Roman"/>
          <w:caps w:val="0"/>
          <w:color w:val="000000"/>
          <w:sz w:val="24"/>
          <w:szCs w:val="21"/>
          <w:highlight w:val="none"/>
        </w:rPr>
        <w:t xml:space="preserve"> 种方式执行</w:t>
      </w:r>
      <w:r>
        <w:rPr>
          <w:rFonts w:hint="eastAsia" w:ascii="Times New Roman" w:hAnsi="Times New Roman" w:eastAsia="宋体" w:cs="Times New Roman"/>
          <w:caps w:val="0"/>
          <w:color w:val="000000"/>
          <w:sz w:val="24"/>
          <w:szCs w:val="21"/>
          <w:highlight w:val="none"/>
        </w:rPr>
      </w:r>
      <w:r/>
    </w:p>
    <w:p>
      <w:pPr>
        <w:pStyle w:val="680"/>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zh-CN"/>
        </w:rPr>
      </w:pPr>
      <w:r>
        <w:rPr>
          <w:rFonts w:hint="eastAsia" w:ascii="Times New Roman" w:hAnsi="Times New Roman" w:eastAsia="宋体" w:cs="Times New Roman"/>
          <w:caps w:val="0"/>
          <w:color w:val="000000"/>
          <w:sz w:val="24"/>
          <w:szCs w:val="21"/>
          <w:highlight w:val="none"/>
          <w:lang w:val="zh-CN"/>
        </w:rPr>
        <w:t xml:space="preserve">4.2.1无需支付；</w:t>
      </w:r>
      <w:r>
        <w:rPr>
          <w:rFonts w:hint="eastAsia" w:ascii="Times New Roman" w:hAnsi="Times New Roman" w:eastAsia="宋体" w:cs="Times New Roman"/>
          <w:caps w:val="0"/>
          <w:color w:val="000000"/>
          <w:sz w:val="24"/>
          <w:szCs w:val="21"/>
          <w:highlight w:val="none"/>
          <w:lang w:val="zh-CN"/>
        </w:rPr>
      </w:r>
      <w:r/>
    </w:p>
    <w:p>
      <w:pPr>
        <w:pStyle w:val="756"/>
        <w:ind w:left="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rPr>
      </w:pPr>
      <w:r>
        <w:rPr>
          <w:rFonts w:hint="eastAsia" w:ascii="Times New Roman" w:hAnsi="Times New Roman" w:eastAsia="宋体" w:cs="Times New Roman"/>
          <w:caps w:val="0"/>
          <w:color w:val="000000"/>
          <w:sz w:val="24"/>
          <w:szCs w:val="21"/>
          <w:highlight w:val="none"/>
          <w:lang w:val="zh-CN"/>
        </w:rPr>
        <w:t xml:space="preserve">4.2.2</w:t>
      </w:r>
      <w:r>
        <w:rPr>
          <w:rFonts w:hint="eastAsia" w:ascii="Times New Roman" w:hAnsi="Times New Roman" w:eastAsia="宋体" w:cs="Times New Roman"/>
          <w:caps w:val="0"/>
          <w:color w:val="000000"/>
          <w:sz w:val="24"/>
          <w:szCs w:val="21"/>
          <w:highlight w:val="none"/>
          <w:lang w:val="en-US" w:eastAsia="zh-CN"/>
        </w:rPr>
        <w:t xml:space="preserve">中标人</w:t>
      </w:r>
      <w:r>
        <w:rPr>
          <w:rFonts w:hint="eastAsia" w:ascii="Times New Roman" w:hAnsi="Times New Roman" w:eastAsia="宋体" w:cs="Times New Roman"/>
          <w:caps w:val="0"/>
          <w:color w:val="000000"/>
          <w:sz w:val="24"/>
          <w:szCs w:val="21"/>
          <w:highlight w:val="none"/>
          <w:lang w:val="zh-CN"/>
        </w:rPr>
        <w:t xml:space="preserve">支付，具体方式及标准为：</w:t>
      </w:r>
      <w:r>
        <w:rPr>
          <w:rFonts w:hint="eastAsia" w:ascii="Times New Roman" w:hAnsi="Times New Roman" w:eastAsia="宋体" w:cs="Times New Roman"/>
          <w:caps w:val="0"/>
          <w:color w:val="000000"/>
          <w:sz w:val="24"/>
          <w:szCs w:val="21"/>
          <w:highlight w:val="none"/>
          <w:u w:val="none"/>
          <w:lang w:val="en-US" w:eastAsia="zh-CN"/>
        </w:rPr>
        <w:t xml:space="preserve">参照计价格[2002]1980号文件规定标准下浮50%标准计取，可通过转账、支票或数字人民币等方式。</w:t>
      </w:r>
      <w:r>
        <w:rPr>
          <w:rFonts w:hint="eastAsia" w:ascii="Times New Roman" w:hAnsi="Times New Roman" w:eastAsia="宋体" w:cs="Times New Roman"/>
          <w:caps w:val="0"/>
          <w:color w:val="000000"/>
          <w:sz w:val="24"/>
          <w:szCs w:val="21"/>
          <w:highlight w:val="none"/>
          <w:lang w:val="en-US" w:eastAsia="zh-CN"/>
        </w:rPr>
      </w:r>
      <w:r/>
    </w:p>
    <w:p>
      <w:pPr>
        <w:pStyle w:val="684"/>
        <w:ind w:left="0" w:firstLine="602"/>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rPr>
          <w:rFonts w:hint="eastAsia" w:ascii="Times New Roman" w:hAnsi="Times New Roman"/>
          <w:b w:val="0"/>
          <w:bCs w:val="0"/>
          <w:caps w:val="0"/>
          <w:color w:val="000000"/>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rPr>
          <w:rFonts w:hint="eastAsia" w:ascii="Times New Roman" w:hAnsi="Times New Roman"/>
          <w:caps w:val="0"/>
          <w:color w:val="000000"/>
          <w:sz w:val="24"/>
          <w:szCs w:val="24"/>
          <w:highlight w:val="none"/>
        </w:rPr>
      </w:r>
      <w:r/>
    </w:p>
    <w:p>
      <w:pPr>
        <w:pStyle w:val="683"/>
        <w:ind w:left="0" w:firstLine="321"/>
        <w:pageBreakBefore w:val="0"/>
        <w:spacing w:before="0" w:after="0" w:line="560" w:lineRule="exact"/>
        <w:rPr>
          <w:rFonts w:hint="eastAsia" w:ascii="Times New Roman" w:hAnsi="Times New Roman"/>
          <w:caps w:val="0"/>
          <w:color w:val="000000"/>
          <w:highlight w:val="none"/>
        </w:rPr>
      </w:pPr>
      <w:r/>
      <w:bookmarkStart w:id="68" w:name="_Toc513029209"/>
      <w:r/>
      <w:bookmarkStart w:id="69" w:name="_Toc16938525"/>
      <w:r/>
      <w:bookmarkStart w:id="70" w:name="_Toc20823281"/>
      <w:r/>
      <w:bookmarkStart w:id="71" w:name="_Toc120614215"/>
      <w:r>
        <w:rPr>
          <w:rFonts w:hint="eastAsia" w:ascii="Times New Roman" w:hAnsi="Times New Roman"/>
          <w:caps w:val="0"/>
          <w:color w:val="000000"/>
          <w:highlight w:val="none"/>
        </w:rPr>
        <w:t xml:space="preserve">二、招标文件</w:t>
      </w:r>
      <w:bookmarkEnd w:id="68"/>
      <w:r/>
      <w:bookmarkEnd w:id="69"/>
      <w:r/>
      <w:bookmarkEnd w:id="70"/>
      <w:r/>
      <w:bookmarkEnd w:id="71"/>
      <w:r>
        <w:rPr>
          <w:rFonts w:hint="eastAsia" w:ascii="Times New Roman" w:hAnsi="Times New Roman"/>
          <w:caps w:val="0"/>
          <w:color w:val="000000"/>
          <w:highlight w:val="none"/>
        </w:rPr>
      </w:r>
      <w:r/>
    </w:p>
    <w:p>
      <w:pPr>
        <w:pStyle w:val="684"/>
        <w:ind w:left="0" w:firstLine="420"/>
        <w:pageBreakBefore w:val="0"/>
        <w:spacing w:before="0" w:after="0" w:line="560" w:lineRule="exact"/>
        <w:rPr>
          <w:rFonts w:hint="eastAsia" w:ascii="Times New Roman" w:hAnsi="Times New Roman"/>
          <w:b w:val="0"/>
          <w:bCs w:val="0"/>
          <w:caps w:val="0"/>
          <w:color w:val="000000"/>
          <w:highlight w:val="none"/>
        </w:rPr>
      </w:pPr>
      <w:r/>
      <w:bookmarkStart w:id="72" w:name="_Toc20823282"/>
      <w:r/>
      <w:bookmarkStart w:id="73" w:name="_Toc513029210"/>
      <w:r/>
      <w:bookmarkStart w:id="74" w:name="_Toc16938526"/>
      <w:r>
        <w:rPr>
          <w:rFonts w:hint="eastAsia" w:ascii="Times New Roman" w:hAnsi="Times New Roman"/>
          <w:b w:val="0"/>
          <w:bCs w:val="0"/>
          <w:caps w:val="0"/>
          <w:color w:val="000000"/>
          <w:highlight w:val="none"/>
        </w:rPr>
        <w:t xml:space="preserve">6、招标文件构成</w:t>
      </w:r>
      <w:bookmarkEnd w:id="72"/>
      <w:r/>
      <w:bookmarkEnd w:id="73"/>
      <w:r/>
      <w:bookmarkEnd w:id="74"/>
      <w:r>
        <w:rPr>
          <w:rFonts w:hint="eastAsia" w:ascii="Times New Roman" w:hAnsi="Times New Roman"/>
          <w:b w:val="0"/>
          <w:bCs w:val="0"/>
          <w:caps w:val="0"/>
          <w:color w:val="000000"/>
          <w:highlight w:val="none"/>
        </w:rPr>
      </w:r>
      <w:r/>
    </w:p>
    <w:p>
      <w:pPr>
        <w:pStyle w:val="680"/>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rPr>
          <w:rFonts w:hint="eastAsia" w:ascii="Times New Roman" w:hAnsi="Times New Roman"/>
          <w:caps w:val="0"/>
          <w:color w:val="000000"/>
          <w:sz w:val="24"/>
          <w:highlight w:val="none"/>
        </w:rPr>
      </w:r>
      <w:r/>
    </w:p>
    <w:p>
      <w:pPr>
        <w:pStyle w:val="680"/>
        <w:ind w:left="0" w:firstLine="36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rPr>
          <w:rFonts w:hint="eastAsia" w:ascii="Times New Roman" w:hAnsi="Times New Roman"/>
          <w:caps w:val="0"/>
          <w:color w:val="000000"/>
          <w:sz w:val="24"/>
          <w:szCs w:val="24"/>
          <w:highlight w:val="none"/>
        </w:rPr>
      </w:r>
      <w:r/>
    </w:p>
    <w:p>
      <w:pPr>
        <w:pStyle w:val="680"/>
        <w:ind w:left="0" w:firstLine="36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（2）投标人须知</w:t>
      </w:r>
      <w:r>
        <w:rPr>
          <w:rFonts w:hint="eastAsia" w:ascii="Times New Roman" w:hAnsi="Times New Roman"/>
          <w:caps w:val="0"/>
          <w:color w:val="000000"/>
          <w:sz w:val="24"/>
          <w:szCs w:val="24"/>
          <w:highlight w:val="none"/>
        </w:rPr>
      </w:r>
      <w:r/>
    </w:p>
    <w:p>
      <w:pPr>
        <w:pStyle w:val="680"/>
        <w:ind w:left="0" w:firstLine="36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（3）合同文本</w:t>
      </w:r>
      <w:r>
        <w:rPr>
          <w:rFonts w:hint="eastAsia" w:ascii="Times New Roman" w:hAnsi="Times New Roman"/>
          <w:caps w:val="0"/>
          <w:color w:val="000000"/>
          <w:sz w:val="24"/>
          <w:szCs w:val="24"/>
          <w:highlight w:val="none"/>
        </w:rPr>
      </w:r>
      <w:r/>
    </w:p>
    <w:p>
      <w:pPr>
        <w:pStyle w:val="680"/>
        <w:ind w:left="0" w:firstLine="36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（4）采购需求</w:t>
      </w:r>
      <w:r>
        <w:rPr>
          <w:rFonts w:hint="eastAsia" w:ascii="Times New Roman" w:hAnsi="Times New Roman"/>
          <w:caps w:val="0"/>
          <w:color w:val="000000"/>
          <w:sz w:val="24"/>
          <w:szCs w:val="24"/>
          <w:highlight w:val="none"/>
        </w:rPr>
      </w:r>
      <w:r/>
    </w:p>
    <w:p>
      <w:pPr>
        <w:pStyle w:val="680"/>
        <w:ind w:left="0" w:firstLine="36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（5）评标方法与评标标准</w:t>
      </w:r>
      <w:r>
        <w:rPr>
          <w:rFonts w:hint="eastAsia" w:ascii="Times New Roman" w:hAnsi="Times New Roman"/>
          <w:caps w:val="0"/>
          <w:color w:val="000000"/>
          <w:sz w:val="24"/>
          <w:szCs w:val="24"/>
          <w:highlight w:val="none"/>
        </w:rPr>
      </w:r>
      <w:r/>
    </w:p>
    <w:p>
      <w:pPr>
        <w:pStyle w:val="680"/>
        <w:ind w:left="0" w:firstLine="36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（6）投标文件格式</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rPr>
          <w:rFonts w:hint="eastAsia" w:ascii="Times New Roman" w:hAnsi="Times New Roman"/>
          <w:caps w:val="0"/>
          <w:color w:val="000000"/>
          <w:sz w:val="24"/>
          <w:highlight w:val="none"/>
        </w:rPr>
      </w:r>
      <w:r/>
    </w:p>
    <w:p>
      <w:pPr>
        <w:pStyle w:val="680"/>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highlight w:val="none"/>
        </w:rPr>
      </w:r>
      <w:r/>
    </w:p>
    <w:p>
      <w:pPr>
        <w:pStyle w:val="684"/>
        <w:ind w:left="0" w:firstLine="560"/>
        <w:pageBreakBefore w:val="0"/>
        <w:spacing w:before="0" w:after="0" w:line="560" w:lineRule="exact"/>
        <w:rPr>
          <w:rFonts w:hint="eastAsia" w:ascii="Times New Roman" w:hAnsi="Times New Roman"/>
          <w:b w:val="0"/>
          <w:bCs w:val="0"/>
          <w:caps w:val="0"/>
          <w:color w:val="000000"/>
          <w:highlight w:val="none"/>
        </w:rPr>
      </w:pPr>
      <w:r/>
      <w:bookmarkStart w:id="75" w:name="_Toc20823283"/>
      <w:r/>
      <w:bookmarkStart w:id="76" w:name="_Toc16938527"/>
      <w:r/>
      <w:bookmarkStart w:id="77" w:name="_Toc462564070"/>
      <w:r/>
      <w:bookmarkStart w:id="78" w:name="_Toc513029211"/>
      <w:r>
        <w:rPr>
          <w:rFonts w:hint="eastAsia" w:ascii="Times New Roman" w:hAnsi="Times New Roman"/>
          <w:b w:val="0"/>
          <w:bCs w:val="0"/>
          <w:caps w:val="0"/>
          <w:color w:val="000000"/>
          <w:highlight w:val="none"/>
        </w:rPr>
        <w:t xml:space="preserve">7、招标文件的澄清</w:t>
      </w:r>
      <w:bookmarkEnd w:id="75"/>
      <w:r/>
      <w:bookmarkEnd w:id="76"/>
      <w:r/>
      <w:bookmarkEnd w:id="77"/>
      <w:r/>
      <w:bookmarkEnd w:id="78"/>
      <w:r>
        <w:rPr>
          <w:rFonts w:hint="eastAsia" w:ascii="Times New Roman" w:hAnsi="Times New Roman"/>
          <w:b w:val="0"/>
          <w:bCs w:val="0"/>
          <w:caps w:val="0"/>
          <w:color w:val="000000"/>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szCs w:val="24"/>
          <w:highlight w:val="none"/>
        </w:rPr>
      </w:r>
      <w:r/>
    </w:p>
    <w:p>
      <w:pPr>
        <w:pStyle w:val="684"/>
        <w:ind w:left="0" w:firstLine="560"/>
        <w:pageBreakBefore w:val="0"/>
        <w:spacing w:before="0" w:after="0" w:line="560" w:lineRule="exact"/>
        <w:rPr>
          <w:rFonts w:hint="eastAsia" w:ascii="Times New Roman" w:hAnsi="Times New Roman"/>
          <w:b w:val="0"/>
          <w:bCs w:val="0"/>
          <w:caps w:val="0"/>
          <w:color w:val="000000"/>
          <w:highlight w:val="none"/>
        </w:rPr>
      </w:pPr>
      <w:r/>
      <w:bookmarkStart w:id="79" w:name="_Toc16938528"/>
      <w:r/>
      <w:bookmarkStart w:id="80" w:name="_Toc513029212"/>
      <w:r/>
      <w:bookmarkStart w:id="81" w:name="_Toc462564071"/>
      <w:r/>
      <w:bookmarkStart w:id="82" w:name="_Toc20823284"/>
      <w:r>
        <w:rPr>
          <w:rFonts w:hint="eastAsia" w:ascii="Times New Roman" w:hAnsi="Times New Roman"/>
          <w:b w:val="0"/>
          <w:bCs w:val="0"/>
          <w:caps w:val="0"/>
          <w:color w:val="000000"/>
          <w:highlight w:val="none"/>
        </w:rPr>
        <w:t xml:space="preserve">8、招标文件的修改</w:t>
      </w:r>
      <w:bookmarkEnd w:id="79"/>
      <w:r/>
      <w:bookmarkEnd w:id="80"/>
      <w:r/>
      <w:bookmarkEnd w:id="81"/>
      <w:r/>
      <w:bookmarkEnd w:id="82"/>
      <w:r>
        <w:rPr>
          <w:rFonts w:hint="eastAsia" w:ascii="Times New Roman" w:hAnsi="Times New Roman"/>
          <w:b w:val="0"/>
          <w:bCs w:val="0"/>
          <w:caps w:val="0"/>
          <w:color w:val="000000"/>
          <w:highlight w:val="none"/>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highlight w:val="none"/>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rPr>
          <w:rFonts w:hint="eastAsia" w:ascii="Times New Roman" w:hAnsi="Times New Roman" w:eastAsia="宋体" w:cs="Times New Roman"/>
          <w:bCs/>
          <w:caps w:val="0"/>
          <w:color w:val="000000"/>
          <w:sz w:val="24"/>
          <w:highlight w:val="none"/>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rPr>
          <w:rFonts w:hint="eastAsia" w:ascii="Times New Roman" w:hAnsi="Times New Roman" w:eastAsia="宋体" w:cs="Times New Roman"/>
          <w:bCs/>
          <w:caps w:val="0"/>
          <w:color w:val="000000"/>
          <w:sz w:val="24"/>
          <w:highlight w:val="none"/>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highlight w:val="none"/>
          <w:lang w:eastAsia="zh-CN"/>
        </w:rPr>
        <w:t xml:space="preserve">，</w:t>
      </w:r>
      <w:r>
        <w:rPr>
          <w:rFonts w:hint="eastAsia" w:ascii="Times New Roman" w:hAnsi="Times New Roman" w:eastAsia="宋体" w:cs="Times New Roman"/>
          <w:bCs/>
          <w:caps w:val="0"/>
          <w:color w:val="000000"/>
          <w:sz w:val="24"/>
          <w:highlight w:val="none"/>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highlight w:val="none"/>
        </w:rPr>
        <w:t xml:space="preserve">。</w:t>
      </w:r>
      <w:r>
        <w:rPr>
          <w:rFonts w:hint="eastAsia" w:ascii="Times New Roman" w:hAnsi="Times New Roman" w:eastAsia="宋体" w:cs="Times New Roman"/>
          <w:bCs/>
          <w:caps w:val="0"/>
          <w:color w:val="000000"/>
          <w:sz w:val="24"/>
          <w:highlight w:val="none"/>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8.5</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highlight w:val="none"/>
        </w:rPr>
      </w:r>
      <w:r/>
    </w:p>
    <w:p>
      <w:pPr>
        <w:pStyle w:val="683"/>
        <w:ind w:left="0" w:firstLine="482"/>
        <w:pageBreakBefore w:val="0"/>
        <w:spacing w:before="0" w:after="0" w:line="560" w:lineRule="exact"/>
        <w:rPr>
          <w:rFonts w:hint="eastAsia" w:ascii="Times New Roman" w:hAnsi="Times New Roman"/>
          <w:caps w:val="0"/>
          <w:color w:val="000000"/>
          <w:highlight w:val="none"/>
        </w:rPr>
      </w:pPr>
      <w:r/>
      <w:bookmarkStart w:id="83" w:name="_Toc462564072"/>
      <w:r/>
      <w:bookmarkStart w:id="84" w:name="_Toc16938529"/>
      <w:r/>
      <w:bookmarkStart w:id="85" w:name="_Toc513029213"/>
      <w:r/>
      <w:bookmarkStart w:id="86" w:name="_Toc20823285"/>
      <w:r/>
      <w:bookmarkStart w:id="87" w:name="_Toc120614216"/>
      <w:r>
        <w:rPr>
          <w:rFonts w:hint="eastAsia" w:ascii="Times New Roman" w:hAnsi="Times New Roman"/>
          <w:caps w:val="0"/>
          <w:color w:val="000000"/>
          <w:highlight w:val="none"/>
        </w:rPr>
        <w:t xml:space="preserve">三、投标文件的编制</w:t>
      </w:r>
      <w:bookmarkEnd w:id="83"/>
      <w:r/>
      <w:bookmarkEnd w:id="84"/>
      <w:r/>
      <w:bookmarkEnd w:id="85"/>
      <w:r/>
      <w:bookmarkEnd w:id="86"/>
      <w:r/>
      <w:bookmarkEnd w:id="87"/>
      <w:r>
        <w:rPr>
          <w:rFonts w:hint="eastAsia" w:ascii="Times New Roman" w:hAnsi="Times New Roman"/>
          <w:caps w:val="0"/>
          <w:color w:val="000000"/>
          <w:highlight w:val="none"/>
        </w:rPr>
      </w:r>
      <w:r/>
    </w:p>
    <w:p>
      <w:pPr>
        <w:pStyle w:val="684"/>
        <w:ind w:left="0" w:firstLine="560"/>
        <w:pageBreakBefore w:val="0"/>
        <w:spacing w:before="0" w:after="0" w:line="560" w:lineRule="exact"/>
        <w:rPr>
          <w:rFonts w:hint="eastAsia" w:ascii="Times New Roman" w:hAnsi="Times New Roman"/>
          <w:bCs w:val="0"/>
          <w:caps w:val="0"/>
          <w:color w:val="000000"/>
          <w:highlight w:val="none"/>
        </w:rPr>
      </w:pPr>
      <w:r/>
      <w:bookmarkStart w:id="88" w:name="_Toc16938530"/>
      <w:r/>
      <w:bookmarkStart w:id="89" w:name="_Toc20823286"/>
      <w:r/>
      <w:bookmarkStart w:id="90" w:name="_Toc513029214"/>
      <w:r/>
      <w:bookmarkStart w:id="91" w:name="_Toc462564073"/>
      <w:r>
        <w:rPr>
          <w:rFonts w:hint="eastAsia" w:ascii="Times New Roman" w:hAnsi="Times New Roman"/>
          <w:b w:val="0"/>
          <w:bCs w:val="0"/>
          <w:caps w:val="0"/>
          <w:color w:val="000000"/>
          <w:highlight w:val="none"/>
        </w:rPr>
        <w:t xml:space="preserve">9、投标文件的语言及度量衡单位</w:t>
      </w:r>
      <w:bookmarkEnd w:id="88"/>
      <w:r/>
      <w:bookmarkEnd w:id="89"/>
      <w:r/>
      <w:bookmarkEnd w:id="90"/>
      <w:r/>
      <w:bookmarkEnd w:id="91"/>
      <w:r>
        <w:rPr>
          <w:rFonts w:hint="eastAsia" w:ascii="Times New Roman" w:hAnsi="Times New Roman"/>
          <w:bCs w:val="0"/>
          <w:caps w:val="0"/>
          <w:color w:val="000000"/>
          <w:highlight w:val="none"/>
        </w:rPr>
      </w:r>
      <w:r/>
    </w:p>
    <w:p>
      <w:pPr>
        <w:pStyle w:val="680"/>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rPr>
      </w:r>
      <w:r/>
    </w:p>
    <w:p>
      <w:pPr>
        <w:pStyle w:val="680"/>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rPr>
          <w:rFonts w:hint="eastAsia" w:ascii="Times New Roman" w:hAnsi="Times New Roman"/>
          <w:caps w:val="0"/>
          <w:color w:val="000000"/>
          <w:sz w:val="24"/>
          <w:highlight w:val="none"/>
        </w:rPr>
      </w:r>
      <w:r/>
    </w:p>
    <w:p>
      <w:pPr>
        <w:pStyle w:val="684"/>
        <w:ind w:left="0" w:firstLine="420"/>
        <w:pageBreakBefore w:val="0"/>
        <w:spacing w:before="0" w:after="0" w:line="560" w:lineRule="exact"/>
        <w:rPr>
          <w:rFonts w:hint="eastAsia" w:ascii="Times New Roman" w:hAnsi="Times New Roman"/>
          <w:b w:val="0"/>
          <w:bCs w:val="0"/>
          <w:caps w:val="0"/>
          <w:color w:val="000000"/>
          <w:highlight w:val="none"/>
        </w:rPr>
      </w:pPr>
      <w:r/>
      <w:bookmarkStart w:id="92" w:name="_Toc462564074"/>
      <w:r/>
      <w:bookmarkStart w:id="93" w:name="_Toc513029215"/>
      <w:r/>
      <w:bookmarkStart w:id="94" w:name="_Toc16938531"/>
      <w:r/>
      <w:bookmarkStart w:id="95" w:name="_Toc20823287"/>
      <w:r>
        <w:rPr>
          <w:rFonts w:hint="eastAsia" w:ascii="Times New Roman" w:hAnsi="Times New Roman"/>
          <w:b w:val="0"/>
          <w:bCs w:val="0"/>
          <w:caps w:val="0"/>
          <w:color w:val="000000"/>
          <w:highlight w:val="none"/>
        </w:rPr>
        <w:t xml:space="preserve">10、投标文件构成</w:t>
      </w:r>
      <w:bookmarkEnd w:id="92"/>
      <w:r/>
      <w:bookmarkEnd w:id="93"/>
      <w:r/>
      <w:bookmarkEnd w:id="94"/>
      <w:r/>
      <w:bookmarkEnd w:id="95"/>
      <w:r>
        <w:rPr>
          <w:rFonts w:hint="eastAsia" w:ascii="Times New Roman" w:hAnsi="Times New Roman"/>
          <w:b w:val="0"/>
          <w:bCs w:val="0"/>
          <w:caps w:val="0"/>
          <w:color w:val="000000"/>
          <w:highlight w:val="none"/>
        </w:rPr>
      </w:r>
      <w:r/>
    </w:p>
    <w:p>
      <w:pPr>
        <w:pStyle w:val="680"/>
        <w:ind w:left="0" w:firstLine="480"/>
        <w:jc w:val="left"/>
        <w:keepLines w:val="0"/>
        <w:keepNext w:val="0"/>
        <w:pageBreakBefore w:val="0"/>
        <w:spacing w:line="560" w:lineRule="exact"/>
        <w:widowControl/>
        <w:rPr>
          <w:rFonts w:hint="eastAsia" w:ascii="Times New Roman" w:hAnsi="Times New Roman" w:eastAsia="宋体" w:cs="Times New Roman"/>
          <w:bCs/>
          <w:caps w:val="0"/>
          <w:color w:val="000000"/>
          <w:sz w:val="24"/>
          <w:highlight w:val="none"/>
          <w:lang w:val="en-US" w:eastAsia="zh-CN"/>
        </w:rPr>
        <w:suppressLineNumbers w:val="0"/>
      </w:pPr>
      <w:r>
        <w:rPr>
          <w:rFonts w:hint="eastAsia" w:ascii="Times New Roman" w:hAnsi="Times New Roman" w:eastAsia="宋体" w:cs="Times New Roman"/>
          <w:bCs/>
          <w:caps w:val="0"/>
          <w:color w:val="000000"/>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highlight w:val="none"/>
          <w:lang w:val="en-US" w:eastAsia="zh-CN"/>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highlight w:val="none"/>
          <w:lang w:val="en-US" w:eastAsia="zh-CN"/>
        </w:rPr>
      </w:r>
      <w:r/>
    </w:p>
    <w:p>
      <w:pPr>
        <w:pStyle w:val="680"/>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highlight w:val="none"/>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highlight w:val="none"/>
          <w:lang w:val="en-US" w:eastAsia="zh-CN"/>
        </w:rPr>
      </w:r>
      <w:r/>
    </w:p>
    <w:p>
      <w:pPr>
        <w:pStyle w:val="680"/>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highlight w:val="none"/>
          <w:lang w:val="en-US" w:eastAsia="zh-CN"/>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none"/>
          <w:lang w:val="en-US" w:eastAsia="zh-CN"/>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highlight w:val="none"/>
          <w:lang w:val="en-US" w:eastAsia="zh-CN"/>
        </w:rPr>
      </w:r>
      <w:r/>
    </w:p>
    <w:p>
      <w:pPr>
        <w:pStyle w:val="680"/>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bookmarkStart w:id="96"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Pr>
          <w:rFonts w:ascii="Times New Roman" w:hAnsi="Times New Roman" w:eastAsia="宋体" w:cs="Times New Roman"/>
          <w:bCs/>
          <w:caps w:val="0"/>
          <w:color w:val="000000"/>
          <w:sz w:val="24"/>
          <w:highlight w:val="none"/>
          <w:lang w:val="en-US" w:eastAsia="zh-CN"/>
        </w:rPr>
      </w:r>
      <w:r/>
    </w:p>
    <w:p>
      <w:pPr>
        <w:pStyle w:val="684"/>
        <w:ind w:left="0" w:firstLine="420"/>
        <w:pageBreakBefore w:val="0"/>
        <w:spacing w:before="0" w:after="0" w:line="560" w:lineRule="exact"/>
        <w:rPr>
          <w:rFonts w:hint="eastAsia" w:ascii="Times New Roman" w:hAnsi="Times New Roman"/>
          <w:b w:val="0"/>
          <w:bCs w:val="0"/>
          <w:caps w:val="0"/>
          <w:color w:val="000000"/>
          <w:highlight w:val="none"/>
        </w:rPr>
      </w:pPr>
      <w:r/>
      <w:bookmarkStart w:id="97" w:name="_Hlt26670360"/>
      <w:r/>
      <w:bookmarkEnd w:id="97"/>
      <w:r/>
      <w:bookmarkStart w:id="98" w:name="_Hlt26668975"/>
      <w:r/>
      <w:bookmarkEnd w:id="98"/>
      <w:r/>
      <w:bookmarkStart w:id="99" w:name="_Hlt26954838"/>
      <w:r/>
      <w:bookmarkEnd w:id="99"/>
      <w:r/>
      <w:bookmarkStart w:id="100" w:name="_Toc14577357"/>
      <w:r/>
      <w:bookmarkStart w:id="101" w:name="_Toc513029219"/>
      <w:r/>
      <w:bookmarkStart w:id="102" w:name="_Toc49090509"/>
      <w:r/>
      <w:bookmarkStart w:id="103" w:name="_Toc14577354"/>
      <w:r/>
      <w:bookmarkStart w:id="104" w:name="_Toc49090507"/>
      <w:r/>
      <w:bookmarkStart w:id="105" w:name="_Toc513029216"/>
      <w:r>
        <w:rPr>
          <w:rFonts w:hint="eastAsia" w:ascii="Times New Roman" w:hAnsi="Times New Roman"/>
          <w:b w:val="0"/>
          <w:bCs w:val="0"/>
          <w:caps w:val="0"/>
          <w:color w:val="000000"/>
          <w:highlight w:val="none"/>
        </w:rPr>
        <w:t xml:space="preserve">11、证明投标人及投标标的符合招标文件规定的文件</w:t>
      </w:r>
      <w:bookmarkEnd w:id="100"/>
      <w:r/>
      <w:bookmarkEnd w:id="101"/>
      <w:r/>
      <w:bookmarkEnd w:id="102"/>
      <w:r>
        <w:rPr>
          <w:rFonts w:hint="eastAsia" w:ascii="Times New Roman" w:hAnsi="Times New Roman"/>
          <w:b w:val="0"/>
          <w:bCs w:val="0"/>
          <w:caps w:val="0"/>
          <w:color w:val="000000"/>
          <w:highlight w:val="none"/>
        </w:rPr>
      </w:r>
      <w:r/>
    </w:p>
    <w:p>
      <w:pPr>
        <w:pStyle w:val="680"/>
        <w:ind w:left="0"/>
        <w:pageBreakBefore w:val="0"/>
        <w:spacing w:line="560" w:lineRule="exact"/>
        <w:rPr>
          <w:rFonts w:hint="eastAsia" w:ascii="Times New Roman" w:hAnsi="Times New Roman"/>
          <w:caps w:val="0"/>
          <w:color w:val="000000"/>
          <w:sz w:val="24"/>
          <w:szCs w:val="24"/>
          <w:highlight w:val="none"/>
        </w:rPr>
      </w:pPr>
      <w:r/>
      <w:bookmarkEnd w:id="103"/>
      <w:r/>
      <w:bookmarkEnd w:id="104"/>
      <w:r/>
      <w:bookmarkEnd w:id="105"/>
      <w:r/>
      <w:bookmarkStart w:id="106" w:name="_Toc14577355"/>
      <w:r/>
      <w:bookmarkStart w:id="107" w:name="_Toc49090508"/>
      <w:r>
        <w:rPr>
          <w:rFonts w:hint="eastAsia" w:ascii="Times New Roman" w:hAnsi="Times New Roman"/>
          <w:caps w:val="0"/>
          <w:color w:val="000000"/>
          <w:sz w:val="24"/>
          <w:szCs w:val="24"/>
          <w:highlight w:val="none"/>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11.2招标文件对证明文件无明确形式要求的，证明文件可以以文字资料、图纸和数据等形式提交。</w:t>
      </w:r>
      <w:r>
        <w:rPr>
          <w:rFonts w:hint="eastAsia" w:ascii="Times New Roman" w:hAnsi="Times New Roman"/>
          <w:caps w:val="0"/>
          <w:color w:val="000000"/>
          <w:sz w:val="24"/>
          <w:szCs w:val="24"/>
          <w:highlight w:val="none"/>
        </w:rPr>
      </w:r>
      <w:r/>
    </w:p>
    <w:p>
      <w:pPr>
        <w:pStyle w:val="684"/>
        <w:ind w:left="0" w:firstLine="42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12、投标分项报价</w:t>
      </w:r>
      <w:bookmarkEnd w:id="106"/>
      <w:r/>
      <w:bookmarkStart w:id="108" w:name="_Hlt26670373"/>
      <w:r/>
      <w:bookmarkEnd w:id="108"/>
      <w:r>
        <w:rPr>
          <w:rFonts w:hint="eastAsia" w:ascii="Times New Roman" w:hAnsi="Times New Roman"/>
          <w:b w:val="0"/>
          <w:bCs w:val="0"/>
          <w:caps w:val="0"/>
          <w:color w:val="000000"/>
          <w:highlight w:val="none"/>
        </w:rPr>
        <w:t xml:space="preserve">表</w:t>
      </w:r>
      <w:bookmarkEnd w:id="107"/>
      <w:r>
        <w:rPr>
          <w:rFonts w:hint="eastAsia" w:ascii="Times New Roman" w:hAnsi="Times New Roman"/>
          <w:b w:val="0"/>
          <w:bCs w:val="0"/>
          <w:caps w:val="0"/>
          <w:color w:val="000000"/>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09" w:name="_Hlt26954840"/>
      <w:r/>
      <w:bookmarkEnd w:id="109"/>
      <w:r>
        <w:rPr>
          <w:rFonts w:hint="eastAsia" w:ascii="Times New Roman" w:hAnsi="Times New Roman"/>
          <w:caps w:val="0"/>
          <w:color w:val="000000"/>
          <w:sz w:val="24"/>
          <w:highlight w:val="none"/>
        </w:rPr>
        <w:t xml:space="preserve">标人应按照招标文件规定格式填报投标分项报价表</w:t>
      </w:r>
      <w:bookmarkStart w:id="110" w:name="_Hlt26670399"/>
      <w:r/>
      <w:bookmarkEnd w:id="110"/>
      <w:r>
        <w:rPr>
          <w:rFonts w:hint="eastAsia" w:ascii="Times New Roman" w:hAnsi="Times New Roman"/>
          <w:caps w:val="0"/>
          <w:color w:val="000000"/>
          <w:sz w:val="24"/>
          <w:highlight w:val="none"/>
        </w:rPr>
        <w:t xml:space="preserve">。</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12.2</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rPr>
          <w:rFonts w:hint="eastAsia" w:ascii="Times New Roman" w:hAnsi="Times New Roman"/>
          <w:caps w:val="0"/>
          <w:color w:val="000000"/>
          <w:sz w:val="24"/>
          <w:highlight w:val="none"/>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12.</w:t>
      </w:r>
      <w:r>
        <w:rPr>
          <w:rFonts w:hint="eastAsia"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lang w:val="en-US" w:eastAsia="zh-CN"/>
        </w:rPr>
        <w:t xml:space="preserve">本项目不接受备选的投标方案或有选择的报价，只允许有一个报价。</w:t>
      </w:r>
      <w:r>
        <w:rPr>
          <w:rFonts w:hint="eastAsia" w:ascii="Times New Roman" w:hAnsi="Times New Roman"/>
          <w:bCs/>
          <w:caps w:val="0"/>
          <w:color w:val="000000"/>
          <w:sz w:val="24"/>
          <w:highlight w:val="none"/>
        </w:rPr>
        <w:t xml:space="preserve">投标报价内容包括：</w:t>
      </w:r>
      <w:r>
        <w:rPr>
          <w:rFonts w:hint="eastAsia"/>
          <w:bCs/>
          <w:sz w:val="24"/>
        </w:rPr>
        <w:t xml:space="preserve">货物本身、硬件附带相关软件、标准附件、备品备件、专用工具、包装、运输、装卸、总承包单位配合费用、保险、税金、货到就位以及安装、调试、培训、保修、验收等完成本项目所涉及到的一切相关费用</w:t>
      </w:r>
      <w:r>
        <w:rPr>
          <w:rFonts w:hint="eastAsia" w:ascii="Times New Roman" w:hAnsi="Times New Roman" w:eastAsia="宋体" w:cs="Times New Roman"/>
          <w:bCs/>
          <w:caps w:val="0"/>
          <w:color w:val="000000"/>
          <w:sz w:val="24"/>
          <w:highlight w:val="none"/>
          <w:lang w:val="en-US" w:eastAsia="zh-CN"/>
        </w:rPr>
        <w:t xml:space="preserve">。</w:t>
      </w:r>
      <w:r>
        <w:rPr>
          <w:rFonts w:hint="eastAsia" w:ascii="Times New Roman" w:hAnsi="Times New Roman" w:eastAsia="宋体" w:cs="Times New Roman"/>
          <w:bCs/>
          <w:caps w:val="0"/>
          <w:color w:val="000000"/>
          <w:sz w:val="24"/>
          <w:highlight w:val="none"/>
          <w:lang w:val="en-US" w:eastAsia="zh-CN"/>
        </w:rPr>
      </w:r>
      <w:r/>
    </w:p>
    <w:p>
      <w:pPr>
        <w:pStyle w:val="680"/>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本合同价款包含</w:t>
      </w:r>
      <w:r>
        <w:rPr>
          <w:rFonts w:hint="eastAsia" w:eastAsia="宋体" w:cs="Times New Roman"/>
          <w:bCs/>
          <w:caps w:val="0"/>
          <w:color w:val="000000"/>
          <w:sz w:val="24"/>
          <w:highlight w:val="none"/>
          <w:lang w:val="en-US" w:eastAsia="zh-CN"/>
        </w:rPr>
        <w:t xml:space="preserve">供应商</w:t>
      </w:r>
      <w:r>
        <w:rPr>
          <w:rFonts w:ascii="Times New Roman" w:hAnsi="Times New Roman" w:eastAsia="宋体" w:cs="Times New Roman"/>
          <w:bCs/>
          <w:caps w:val="0"/>
          <w:color w:val="000000"/>
          <w:sz w:val="24"/>
          <w:highlight w:val="none"/>
          <w:lang w:val="en-US" w:eastAsia="zh-CN"/>
        </w:rPr>
        <w:t xml:space="preserve">提供合同约定的货物及</w:t>
      </w:r>
      <w:r>
        <w:rPr>
          <w:rFonts w:hint="eastAsia" w:eastAsia="宋体" w:cs="Times New Roman"/>
          <w:bCs/>
          <w:caps w:val="0"/>
          <w:color w:val="000000"/>
          <w:sz w:val="24"/>
          <w:highlight w:val="none"/>
          <w:lang w:val="en-US" w:eastAsia="zh-CN"/>
        </w:rPr>
        <w:t xml:space="preserve">供应商</w:t>
      </w:r>
      <w:r>
        <w:rPr>
          <w:rFonts w:ascii="Times New Roman" w:hAnsi="Times New Roman" w:eastAsia="宋体" w:cs="Times New Roman"/>
          <w:bCs/>
          <w:caps w:val="0"/>
          <w:color w:val="000000"/>
          <w:sz w:val="24"/>
          <w:highlight w:val="none"/>
          <w:lang w:val="en-US" w:eastAsia="zh-CN"/>
        </w:rPr>
        <w:t xml:space="preserve">提供合同中服务所支出的所有费用，包含但不限于设备厂验的所有费用（产生的差旅费、交通费等）、系统对接所产生的费用、相关平台对接所产生的费用、配合费、搬迁费、人工费、辅材费等，采购人在上述合同价款之外不再向</w:t>
      </w:r>
      <w:r>
        <w:rPr>
          <w:rFonts w:hint="eastAsia" w:eastAsia="宋体" w:cs="Times New Roman"/>
          <w:bCs/>
          <w:caps w:val="0"/>
          <w:color w:val="000000"/>
          <w:sz w:val="24"/>
          <w:highlight w:val="none"/>
          <w:lang w:val="en-US" w:eastAsia="zh-CN"/>
        </w:rPr>
        <w:t xml:space="preserve">供应商</w:t>
      </w:r>
      <w:r>
        <w:rPr>
          <w:rFonts w:ascii="Times New Roman" w:hAnsi="Times New Roman" w:eastAsia="宋体" w:cs="Times New Roman"/>
          <w:bCs/>
          <w:caps w:val="0"/>
          <w:color w:val="000000"/>
          <w:sz w:val="24"/>
          <w:highlight w:val="none"/>
          <w:lang w:val="en-US" w:eastAsia="zh-CN"/>
        </w:rPr>
        <w:t xml:space="preserve">支付其他任何费用，表中价格均为含税价。</w:t>
      </w:r>
      <w:r>
        <w:rPr>
          <w:rFonts w:ascii="Times New Roman" w:hAnsi="Times New Roman" w:eastAsia="宋体" w:cs="Times New Roman"/>
          <w:bCs/>
          <w:caps w:val="0"/>
          <w:color w:val="000000"/>
          <w:sz w:val="24"/>
          <w:highlight w:val="none"/>
          <w:lang w:val="en-US" w:eastAsia="zh-CN"/>
        </w:rPr>
      </w:r>
      <w:r/>
    </w:p>
    <w:p>
      <w:pPr>
        <w:pStyle w:val="684"/>
        <w:ind w:left="0" w:firstLine="420"/>
        <w:pageBreakBefore w:val="0"/>
        <w:spacing w:before="0" w:after="0" w:line="560" w:lineRule="exact"/>
        <w:widowControl w:val="off"/>
        <w:rPr>
          <w:rFonts w:hint="eastAsia"/>
          <w:b w:val="0"/>
          <w:bCs w:val="0"/>
          <w:highlight w:val="none"/>
        </w:rPr>
      </w:pPr>
      <w:r/>
      <w:bookmarkStart w:id="111" w:name="_Hlt26954731"/>
      <w:r/>
      <w:bookmarkEnd w:id="111"/>
      <w:r/>
      <w:bookmarkStart w:id="112" w:name="_Hlt26954848"/>
      <w:r/>
      <w:bookmarkEnd w:id="112"/>
      <w:r/>
      <w:bookmarkStart w:id="113" w:name="_Hlt26954846"/>
      <w:r/>
      <w:bookmarkEnd w:id="113"/>
      <w:r/>
      <w:bookmarkStart w:id="114" w:name="_Hlt26954842"/>
      <w:r/>
      <w:bookmarkEnd w:id="114"/>
      <w:r/>
      <w:bookmarkStart w:id="115" w:name="_Hlt26668983"/>
      <w:r/>
      <w:bookmarkEnd w:id="115"/>
      <w:r/>
      <w:bookmarkStart w:id="116" w:name="_Hlt26670482"/>
      <w:r/>
      <w:bookmarkEnd w:id="116"/>
      <w:r/>
      <w:bookmarkStart w:id="117" w:name="_Hlt26954844"/>
      <w:r/>
      <w:bookmarkEnd w:id="117"/>
      <w:r/>
      <w:bookmarkStart w:id="118" w:name="_Hlt26670403"/>
      <w:r/>
      <w:bookmarkEnd w:id="118"/>
      <w:r/>
      <w:bookmarkStart w:id="119" w:name="_Hlt26670486"/>
      <w:r/>
      <w:bookmarkEnd w:id="119"/>
      <w:r/>
      <w:bookmarkStart w:id="120" w:name="_Hlt26670425"/>
      <w:r/>
      <w:bookmarkEnd w:id="120"/>
      <w:r/>
      <w:bookmarkStart w:id="121" w:name="_Toc49090510"/>
      <w:r/>
      <w:bookmarkStart w:id="122" w:name="_Toc14577359"/>
      <w:r>
        <w:rPr>
          <w:rFonts w:hint="eastAsia"/>
          <w:b w:val="0"/>
          <w:bCs w:val="0"/>
          <w:highlight w:val="none"/>
        </w:rPr>
        <w:t xml:space="preserve">13、技术要求响应及偏离表</w:t>
      </w:r>
      <w:r>
        <w:rPr>
          <w:rFonts w:hint="eastAsia"/>
          <w:b w:val="0"/>
          <w:bCs w:val="0"/>
          <w:highlight w:val="none"/>
        </w:rPr>
      </w:r>
      <w:r/>
    </w:p>
    <w:p>
      <w:pPr>
        <w:pStyle w:val="680"/>
        <w:ind w:left="0" w:firstLine="480"/>
        <w:pageBreakBefore w:val="0"/>
        <w:spacing w:line="560" w:lineRule="exact"/>
        <w:widowControl w:val="off"/>
        <w:rPr>
          <w:rFonts w:hint="eastAsia" w:ascii="宋体" w:hAnsi="Arial" w:cs="宋体"/>
          <w:sz w:val="24"/>
          <w:highlight w:val="none"/>
          <w:lang w:val="zh-CN"/>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投标人需对招标文件中的技术要求逐项作出响应或偏离，并说明原因。</w:t>
      </w:r>
      <w:r>
        <w:rPr>
          <w:rFonts w:hint="eastAsia" w:ascii="宋体" w:hAnsi="Arial" w:cs="宋体"/>
          <w:sz w:val="24"/>
          <w:highlight w:val="none"/>
          <w:lang w:val="zh-CN"/>
        </w:rPr>
      </w:r>
      <w:r/>
    </w:p>
    <w:p>
      <w:pPr>
        <w:pStyle w:val="680"/>
        <w:ind w:left="0" w:firstLine="480"/>
        <w:pageBreakBefore w:val="0"/>
        <w:spacing w:line="560" w:lineRule="exact"/>
        <w:widowControl w:val="off"/>
        <w:tabs>
          <w:tab w:val="left" w:pos="1035" w:leader="none"/>
        </w:tabs>
        <w:rPr>
          <w:rFonts w:ascii="宋体" w:hAnsi="Arial" w:cs="宋体"/>
          <w:sz w:val="24"/>
          <w:highlight w:val="none"/>
          <w:lang w:val="zh-CN"/>
        </w:rPr>
      </w:pPr>
      <w:r>
        <w:rPr>
          <w:rFonts w:hint="eastAsia" w:ascii="宋体" w:hAnsi="Arial" w:cs="宋体"/>
          <w:sz w:val="24"/>
          <w:highlight w:val="none"/>
          <w:lang w:val="zh-CN"/>
        </w:rPr>
        <w:t xml:space="preserve">13.2 投标人可在投标文件中提供认为需要的其他技术文件或说明。</w:t>
      </w:r>
      <w:r>
        <w:rPr>
          <w:rFonts w:ascii="宋体" w:hAnsi="Arial" w:cs="宋体"/>
          <w:sz w:val="24"/>
          <w:highlight w:val="none"/>
          <w:lang w:val="zh-CN"/>
        </w:rPr>
      </w:r>
      <w:r/>
    </w:p>
    <w:p>
      <w:pPr>
        <w:pStyle w:val="680"/>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rFonts w:ascii="Times New Roman" w:hAnsi="Times New Roman" w:eastAsia="黑体" w:cs="Arial"/>
          <w:caps w:val="0"/>
          <w:color w:val="000000"/>
          <w:sz w:val="28"/>
          <w:szCs w:val="28"/>
          <w:highlight w:val="none"/>
        </w:rPr>
      </w:r>
      <w:r/>
    </w:p>
    <w:p>
      <w:pPr>
        <w:pStyle w:val="680"/>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ascii="Times New Roman" w:hAnsi="Times New Roman"/>
          <w:caps w:val="0"/>
          <w:color w:val="000000"/>
          <w:sz w:val="24"/>
          <w:szCs w:val="24"/>
          <w:highlight w:val="none"/>
        </w:rPr>
      </w:r>
      <w:r/>
    </w:p>
    <w:p>
      <w:pPr>
        <w:pStyle w:val="680"/>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rFonts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b/>
          <w:bCs/>
          <w:caps w:val="0"/>
          <w:color w:val="000000"/>
          <w:highlight w:val="none"/>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rPr>
          <w:rFonts w:hint="eastAsia" w:ascii="Times New Roman" w:hAnsi="Times New Roman"/>
          <w:b/>
          <w:bCs/>
          <w:caps w:val="0"/>
          <w:color w:val="000000"/>
          <w:highlight w:val="none"/>
        </w:rPr>
      </w:r>
      <w:r/>
    </w:p>
    <w:p>
      <w:pPr>
        <w:pStyle w:val="684"/>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、投标声明及承诺函和开标一览表</w:t>
      </w:r>
      <w:r>
        <w:rPr>
          <w:rFonts w:hint="eastAsia" w:ascii="Times New Roman" w:hAnsi="Times New Roman"/>
          <w:b w:val="0"/>
          <w:bCs w:val="0"/>
          <w:caps w:val="0"/>
          <w:color w:val="000000"/>
          <w:highlight w:val="none"/>
        </w:rPr>
      </w:r>
      <w:r/>
    </w:p>
    <w:p>
      <w:pPr>
        <w:pStyle w:val="680"/>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.1</w:t>
      </w:r>
      <w:r>
        <w:rPr>
          <w:rFonts w:hint="eastAsia" w:ascii="Times New Roman" w:hAnsi="Times New Roman"/>
          <w:caps w:val="0"/>
          <w:color w:val="000000"/>
          <w:sz w:val="24"/>
          <w:highlight w:val="none"/>
        </w:rPr>
        <w:t xml:space="preserve"> 投标人应按照招标文件中提供的格式完整、正确填写投标声明及承诺函、开标一览表。</w:t>
      </w:r>
      <w:r>
        <w:rPr>
          <w:rFonts w:hint="eastAsia" w:ascii="Times New Roman" w:hAnsi="Times New Roman"/>
          <w:caps w:val="0"/>
          <w:color w:val="000000"/>
          <w:sz w:val="24"/>
          <w:highlight w:val="none"/>
        </w:rPr>
      </w:r>
      <w:r/>
    </w:p>
    <w:p>
      <w:pPr>
        <w:pStyle w:val="680"/>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.2</w:t>
      </w:r>
      <w:r>
        <w:rPr>
          <w:rFonts w:hint="eastAsia" w:ascii="Times New Roman" w:hAnsi="Times New Roman"/>
          <w:caps w:val="0"/>
          <w:color w:val="000000"/>
          <w:sz w:val="24"/>
          <w:highlight w:val="none"/>
        </w:rPr>
        <w:t xml:space="preserve"> 对于采用货币报价的项目，</w:t>
      </w:r>
      <w:r>
        <w:rPr>
          <w:rFonts w:hint="eastAsia" w:ascii="Times New Roman" w:hAnsi="Times New Roman"/>
          <w:bCs/>
          <w:caps w:val="0"/>
          <w:color w:val="000000"/>
          <w:sz w:val="24"/>
          <w:highlight w:val="none"/>
        </w:rPr>
        <w:t xml:space="preserve">开标一览表中的投标总报价应与投标分项报价表中的投标总报价一致，如不一致，</w:t>
      </w:r>
      <w:r>
        <w:rPr>
          <w:rFonts w:hint="eastAsia" w:ascii="Times New Roman" w:hAnsi="Times New Roman"/>
          <w:caps w:val="0"/>
          <w:color w:val="000000"/>
          <w:sz w:val="24"/>
          <w:szCs w:val="24"/>
          <w:highlight w:val="none"/>
        </w:rPr>
        <w:t xml:space="preserve">不作为无效投标处理</w:t>
      </w:r>
      <w:r>
        <w:rPr>
          <w:rFonts w:hint="eastAsia" w:ascii="Times New Roman" w:hAnsi="Times New Roman"/>
          <w:bCs/>
          <w:caps w:val="0"/>
          <w:color w:val="000000"/>
          <w:sz w:val="24"/>
          <w:highlight w:val="none"/>
        </w:rPr>
        <w:t xml:space="preserve">，但评标时按开标一览表中价格为准</w:t>
      </w:r>
      <w:r>
        <w:rPr>
          <w:rFonts w:hint="eastAsia" w:ascii="Times New Roman" w:hAnsi="Times New Roman"/>
          <w:b/>
          <w:bCs/>
          <w:caps w:val="0"/>
          <w:color w:val="000000"/>
          <w:sz w:val="24"/>
          <w:highlight w:val="none"/>
        </w:rPr>
        <w:t xml:space="preserve">。</w:t>
      </w:r>
      <w:r>
        <w:rPr>
          <w:rFonts w:hint="eastAsia" w:ascii="Times New Roman" w:hAnsi="Times New Roman"/>
          <w:caps w:val="0"/>
          <w:color w:val="000000"/>
          <w:sz w:val="24"/>
          <w:highlight w:val="none"/>
        </w:rPr>
      </w:r>
      <w:r/>
    </w:p>
    <w:p>
      <w:pPr>
        <w:pStyle w:val="684"/>
        <w:ind w:left="0" w:firstLine="420"/>
        <w:pageBreakBefore w:val="0"/>
        <w:spacing w:before="0" w:after="0" w:line="560" w:lineRule="exact"/>
        <w:rPr>
          <w:rFonts w:hint="eastAsia" w:ascii="Times New Roman" w:hAnsi="Times New Roman"/>
          <w:b w:val="0"/>
          <w:bCs w:val="0"/>
          <w:caps w:val="0"/>
          <w:color w:val="000000"/>
          <w:highlight w:val="none"/>
        </w:rPr>
      </w:pPr>
      <w:r/>
      <w:bookmarkEnd w:id="121"/>
      <w:r/>
      <w:bookmarkEnd w:id="122"/>
      <w:r/>
      <w:bookmarkStart w:id="123" w:name="_Hlt26954850"/>
      <w:r/>
      <w:bookmarkEnd w:id="123"/>
      <w:r/>
      <w:bookmarkStart w:id="124" w:name="_Hlt26670489"/>
      <w:r/>
      <w:bookmarkEnd w:id="124"/>
      <w:r/>
      <w:bookmarkStart w:id="125" w:name="_Hlt26954734"/>
      <w:r/>
      <w:bookmarkEnd w:id="125"/>
      <w:r/>
      <w:bookmarkStart w:id="126" w:name="_Toc49090511"/>
      <w:r/>
      <w:bookmarkStart w:id="127" w:name="_Toc14577360"/>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、投标有效期</w:t>
      </w:r>
      <w:bookmarkEnd w:id="126"/>
      <w:r/>
      <w:bookmarkEnd w:id="127"/>
      <w:r>
        <w:rPr>
          <w:rFonts w:hint="eastAsia" w:ascii="Times New Roman" w:hAnsi="Times New Roman"/>
          <w:b w:val="0"/>
          <w:bCs w:val="0"/>
          <w:caps w:val="0"/>
          <w:color w:val="000000"/>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投标有效期为开标之日后</w:t>
      </w:r>
      <w:r>
        <w:rPr>
          <w:rFonts w:hint="eastAsia" w:ascii="Times New Roman" w:hAnsi="Times New Roman"/>
          <w:b/>
          <w:caps w:val="0"/>
          <w:color w:val="000000"/>
          <w:sz w:val="24"/>
          <w:highlight w:val="none"/>
          <w:u w:val="single"/>
        </w:rPr>
        <w:t xml:space="preserve">六十（60）天</w:t>
      </w:r>
      <w:r>
        <w:rPr>
          <w:rFonts w:hint="eastAsia" w:ascii="Times New Roman" w:hAnsi="Times New Roman"/>
          <w:bCs/>
          <w:caps w:val="0"/>
          <w:color w:val="000000"/>
          <w:sz w:val="24"/>
          <w:highlight w:val="none"/>
        </w:rPr>
        <w:t xml:space="preserve">。投标有效期比规定短的将被视为未实质性响应招标</w:t>
      </w:r>
      <w:r>
        <w:rPr>
          <w:rFonts w:ascii="Times New Roman" w:hAnsi="Times New Roman"/>
          <w:bCs/>
          <w:caps w:val="0"/>
          <w:color w:val="000000"/>
          <w:sz w:val="24"/>
          <w:highlight w:val="none"/>
        </w:rPr>
        <w:t xml:space="preserve">文件</w:t>
      </w:r>
      <w:r>
        <w:rPr>
          <w:rFonts w:hint="eastAsia" w:ascii="Times New Roman" w:hAnsi="Times New Roman"/>
          <w:bCs/>
          <w:caps w:val="0"/>
          <w:color w:val="000000"/>
          <w:sz w:val="24"/>
          <w:highlight w:val="none"/>
        </w:rPr>
        <w:t xml:space="preserve">而予以拒绝。</w:t>
      </w:r>
      <w:r>
        <w:rPr>
          <w:rFonts w:hint="eastAsia" w:ascii="Times New Roman" w:hAnsi="Times New Roman"/>
          <w:bCs/>
          <w:caps w:val="0"/>
          <w:color w:val="000000"/>
          <w:sz w:val="24"/>
          <w:highlight w:val="none"/>
        </w:rPr>
      </w:r>
      <w:r/>
    </w:p>
    <w:p>
      <w:pPr>
        <w:pStyle w:val="684"/>
        <w:ind w:left="0" w:firstLine="42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、投标有效期的延长</w:t>
      </w:r>
      <w:r>
        <w:rPr>
          <w:rFonts w:hint="eastAsia" w:ascii="Times New Roman" w:hAnsi="Times New Roman"/>
          <w:b w:val="0"/>
          <w:bCs w:val="0"/>
          <w:caps w:val="0"/>
          <w:color w:val="000000"/>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在特殊情况下，</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的这一要求而放弃投标</w:t>
      </w:r>
      <w:r>
        <w:rPr>
          <w:rFonts w:hint="eastAsia" w:ascii="Times New Roman" w:hAnsi="Times New Roman"/>
          <w:caps w:val="0"/>
          <w:color w:val="000000"/>
          <w:sz w:val="24"/>
          <w:szCs w:val="24"/>
          <w:highlight w:val="none"/>
        </w:rPr>
        <w:t xml:space="preserve">。</w:t>
      </w:r>
      <w:r>
        <w:rPr>
          <w:rFonts w:hint="eastAsia" w:ascii="Times New Roman" w:hAnsi="Times New Roman"/>
          <w:bCs/>
          <w:caps w:val="0"/>
          <w:color w:val="000000"/>
          <w:sz w:val="24"/>
          <w:highlight w:val="none"/>
        </w:rPr>
        <w:t xml:space="preserve">同意延长投标有效期的投标人既不能要求也不允许修改其投标文件</w:t>
      </w:r>
      <w:r>
        <w:rPr>
          <w:rFonts w:hint="eastAsia" w:ascii="Times New Roman" w:hAnsi="Times New Roman"/>
          <w:caps w:val="0"/>
          <w:color w:val="000000"/>
          <w:sz w:val="24"/>
          <w:szCs w:val="24"/>
          <w:highlight w:val="none"/>
        </w:rPr>
        <w:t xml:space="preserve">，同时受投标有效期约束的所有权利与义务均延长至新的有效期</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highlight w:val="none"/>
        </w:rPr>
      </w:r>
      <w:r/>
    </w:p>
    <w:p>
      <w:pPr>
        <w:pStyle w:val="683"/>
        <w:ind w:left="0" w:firstLine="482"/>
        <w:pageBreakBefore w:val="0"/>
        <w:spacing w:before="0" w:after="0" w:line="560" w:lineRule="exact"/>
        <w:rPr>
          <w:rFonts w:hint="eastAsia" w:ascii="Times New Roman" w:hAnsi="Times New Roman"/>
          <w:caps w:val="0"/>
          <w:color w:val="000000"/>
          <w:highlight w:val="none"/>
        </w:rPr>
      </w:pPr>
      <w:r/>
      <w:bookmarkStart w:id="128" w:name="_Hlt26954852"/>
      <w:r/>
      <w:bookmarkEnd w:id="128"/>
      <w:r/>
      <w:bookmarkStart w:id="129" w:name="_Hlt26954739"/>
      <w:r/>
      <w:bookmarkEnd w:id="129"/>
      <w:r/>
      <w:bookmarkStart w:id="130" w:name="_Toc120614217"/>
      <w:r/>
      <w:bookmarkStart w:id="131" w:name="_Toc20823296"/>
      <w:r/>
      <w:bookmarkStart w:id="132" w:name="_Toc513029224"/>
      <w:r/>
      <w:bookmarkStart w:id="133" w:name="_Toc16938540"/>
      <w:r>
        <w:rPr>
          <w:rFonts w:hint="eastAsia" w:ascii="Times New Roman" w:hAnsi="Times New Roman"/>
          <w:caps w:val="0"/>
          <w:color w:val="000000"/>
          <w:highlight w:val="none"/>
        </w:rPr>
        <w:t xml:space="preserve">四、投标文件的递交</w:t>
      </w:r>
      <w:bookmarkEnd w:id="130"/>
      <w:r/>
      <w:bookmarkEnd w:id="131"/>
      <w:r/>
      <w:bookmarkEnd w:id="132"/>
      <w:r/>
      <w:bookmarkEnd w:id="133"/>
      <w:r>
        <w:rPr>
          <w:rFonts w:hint="eastAsia" w:ascii="Times New Roman" w:hAnsi="Times New Roman"/>
          <w:caps w:val="0"/>
          <w:color w:val="000000"/>
          <w:highlight w:val="none"/>
        </w:rPr>
      </w:r>
      <w:r/>
    </w:p>
    <w:p>
      <w:pPr>
        <w:pStyle w:val="684"/>
        <w:ind w:left="0" w:firstLine="560"/>
        <w:pageBreakBefore w:val="0"/>
        <w:spacing w:before="0" w:after="0" w:line="560" w:lineRule="exact"/>
        <w:rPr>
          <w:rFonts w:hint="eastAsia" w:ascii="Times New Roman" w:hAnsi="Times New Roman"/>
          <w:b w:val="0"/>
          <w:bCs w:val="0"/>
          <w:caps w:val="0"/>
          <w:color w:val="000000"/>
          <w:highlight w:val="none"/>
        </w:rPr>
      </w:pPr>
      <w:r/>
      <w:bookmarkStart w:id="134" w:name="_Toc20823297"/>
      <w:r/>
      <w:bookmarkStart w:id="135" w:name="_Toc513029225"/>
      <w:r/>
      <w:bookmarkStart w:id="136" w:name="_Toc462564084"/>
      <w:r/>
      <w:bookmarkStart w:id="137" w:name="_Toc16938541"/>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lang w:val="en-US" w:eastAsia="zh-CN"/>
        </w:rPr>
        <w:t xml:space="preserve">8</w:t>
      </w:r>
      <w:r>
        <w:rPr>
          <w:rFonts w:hint="eastAsia" w:ascii="Times New Roman" w:hAnsi="Times New Roman"/>
          <w:b w:val="0"/>
          <w:bCs w:val="0"/>
          <w:caps w:val="0"/>
          <w:color w:val="000000"/>
          <w:highlight w:val="none"/>
        </w:rPr>
        <w:t xml:space="preserve">、投标文件</w:t>
      </w:r>
      <w:bookmarkEnd w:id="134"/>
      <w:r/>
      <w:bookmarkEnd w:id="135"/>
      <w:r/>
      <w:bookmarkEnd w:id="136"/>
      <w:r/>
      <w:bookmarkEnd w:id="137"/>
      <w:r>
        <w:rPr>
          <w:rFonts w:hint="eastAsia" w:ascii="Times New Roman" w:hAnsi="Times New Roman"/>
          <w:b w:val="0"/>
          <w:bCs w:val="0"/>
          <w:caps w:val="0"/>
          <w:color w:val="000000"/>
          <w:highlight w:val="none"/>
        </w:rPr>
        <w:t xml:space="preserve">的递交</w:t>
      </w:r>
      <w:r>
        <w:rPr>
          <w:rFonts w:hint="eastAsia" w:ascii="Times New Roman" w:hAnsi="Times New Roman"/>
          <w:b w:val="0"/>
          <w:bCs w:val="0"/>
          <w:caps w:val="0"/>
          <w:color w:val="000000"/>
          <w:highlight w:val="none"/>
        </w:rPr>
      </w:r>
      <w:r/>
    </w:p>
    <w:p>
      <w:pPr>
        <w:pStyle w:val="680"/>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18.1投标人应当按照《操作手册》规定，在投标截止时间前制作并上传电子投标文件。</w:t>
      </w:r>
      <w:bookmarkStart w:id="138" w:name="_Toc20823298"/>
      <w:r/>
      <w:bookmarkStart w:id="139" w:name="_Toc16938542"/>
      <w:r/>
      <w:bookmarkStart w:id="140" w:name="_Toc513029226"/>
      <w:r>
        <w:rPr>
          <w:rFonts w:hint="eastAsia" w:ascii="Times New Roman" w:hAnsi="Times New Roman" w:eastAsia="宋体" w:cs="Times New Roman"/>
          <w:caps w:val="0"/>
          <w:color w:val="000000"/>
          <w:sz w:val="24"/>
          <w:highlight w:val="none"/>
          <w:lang w:val="en-US" w:eastAsia="zh-CN"/>
        </w:rPr>
      </w:r>
      <w:r/>
    </w:p>
    <w:p>
      <w:pPr>
        <w:pStyle w:val="680"/>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rPr>
          <w:rFonts w:hint="eastAsia" w:ascii="Times New Roman" w:hAnsi="Times New Roman" w:eastAsia="宋体" w:cs="Times New Roman"/>
          <w:caps w:val="0"/>
          <w:color w:val="000000"/>
          <w:sz w:val="24"/>
          <w:highlight w:val="none"/>
          <w:lang w:val="en-US" w:eastAsia="zh-CN"/>
        </w:rPr>
      </w:r>
      <w:r/>
    </w:p>
    <w:p>
      <w:pPr>
        <w:pStyle w:val="684"/>
        <w:ind w:left="0" w:firstLine="420"/>
        <w:pageBreakBefore w:val="0"/>
        <w:spacing w:before="0" w:after="0" w:line="560" w:lineRule="exact"/>
        <w:rPr>
          <w:rFonts w:hint="eastAsia" w:ascii="Times New Roman" w:hAnsi="Times New Roman"/>
          <w:b w:val="0"/>
          <w:caps w:val="0"/>
          <w:color w:val="000000"/>
          <w:highlight w:val="none"/>
        </w:rPr>
      </w:pPr>
      <w:r>
        <w:rPr>
          <w:rFonts w:hint="eastAsia" w:ascii="Times New Roman" w:hAnsi="Times New Roman"/>
          <w:b w:val="0"/>
          <w:caps w:val="0"/>
          <w:color w:val="000000"/>
          <w:highlight w:val="none"/>
          <w:lang w:val="en-US" w:eastAsia="zh-CN"/>
        </w:rPr>
        <w:t xml:space="preserve">1</w:t>
      </w:r>
      <w:r>
        <w:rPr>
          <w:rFonts w:hint="eastAsia" w:ascii="Times New Roman" w:hAnsi="Times New Roman"/>
          <w:b w:val="0"/>
          <w:caps w:val="0"/>
          <w:color w:val="000000"/>
          <w:highlight w:val="none"/>
          <w:lang w:val="en-US" w:eastAsia="zh-CN"/>
        </w:rPr>
        <w:t xml:space="preserve">9</w:t>
      </w:r>
      <w:r>
        <w:rPr>
          <w:rFonts w:hint="eastAsia" w:ascii="Times New Roman" w:hAnsi="Times New Roman"/>
          <w:b w:val="0"/>
          <w:caps w:val="0"/>
          <w:color w:val="000000"/>
          <w:highlight w:val="none"/>
        </w:rPr>
        <w:t xml:space="preserve">、投标截止</w:t>
      </w:r>
      <w:bookmarkEnd w:id="138"/>
      <w:r/>
      <w:bookmarkEnd w:id="139"/>
      <w:r/>
      <w:bookmarkEnd w:id="140"/>
      <w:r>
        <w:rPr>
          <w:rFonts w:hint="eastAsia" w:ascii="Times New Roman" w:hAnsi="Times New Roman"/>
          <w:b w:val="0"/>
          <w:caps w:val="0"/>
          <w:color w:val="000000"/>
          <w:highlight w:val="none"/>
        </w:rPr>
        <w:t xml:space="preserve">时间</w:t>
      </w:r>
      <w:r>
        <w:rPr>
          <w:rFonts w:hint="eastAsia" w:ascii="Times New Roman" w:hAnsi="Times New Roman"/>
          <w:b w:val="0"/>
          <w:caps w:val="0"/>
          <w:color w:val="000000"/>
          <w:highlight w:val="none"/>
        </w:rPr>
      </w:r>
      <w:r/>
    </w:p>
    <w:p>
      <w:pPr>
        <w:pStyle w:val="680"/>
        <w:ind w:left="0" w:firstLine="480"/>
        <w:pageBreakBefore w:val="0"/>
        <w:spacing w:line="560" w:lineRule="exact"/>
        <w:widowControl w:val="off"/>
        <w:rPr>
          <w:rFonts w:hint="eastAsia" w:ascii="Times New Roman" w:hAnsi="Times New Roman" w:eastAsia="宋体" w:cs="Times New Roman"/>
          <w:i w:val="0"/>
          <w:iCs/>
          <w:caps w:val="0"/>
          <w:color w:val="000000"/>
          <w:sz w:val="24"/>
          <w:highlight w:val="none"/>
          <w:u w:val="none"/>
        </w:rPr>
      </w:pPr>
      <w:r>
        <w:rPr>
          <w:rFonts w:hint="eastAsia" w:ascii="Times New Roman" w:hAnsi="Times New Roman" w:eastAsia="宋体" w:cs="Times New Roman"/>
          <w:i w:val="0"/>
          <w:iCs/>
          <w:caps w:val="0"/>
          <w:color w:val="000000"/>
          <w:sz w:val="24"/>
          <w:highlight w:val="none"/>
          <w:u w:val="none"/>
        </w:rPr>
        <w:t xml:space="preserve">1</w:t>
      </w:r>
      <w:r>
        <w:rPr>
          <w:rFonts w:hint="eastAsia" w:ascii="Times New Roman" w:hAnsi="Times New Roman" w:eastAsia="宋体" w:cs="Times New Roman"/>
          <w:i w:val="0"/>
          <w:iCs/>
          <w:caps w:val="0"/>
          <w:color w:val="000000"/>
          <w:sz w:val="24"/>
          <w:highlight w:val="none"/>
          <w:u w:val="none"/>
          <w:lang w:val="en-US" w:eastAsia="zh-CN"/>
        </w:rPr>
        <w:t xml:space="preserve">9</w:t>
      </w:r>
      <w:r>
        <w:rPr>
          <w:rFonts w:hint="eastAsia" w:ascii="Times New Roman" w:hAnsi="Times New Roman" w:eastAsia="宋体" w:cs="Times New Roman"/>
          <w:i w:val="0"/>
          <w:iCs/>
          <w:caps w:val="0"/>
          <w:color w:val="000000"/>
          <w:sz w:val="24"/>
          <w:highlight w:val="none"/>
          <w:u w:val="none"/>
        </w:rPr>
        <w:t xml:space="preserve">.1 投标人上传电子投标文件的时间不得迟于招标公告中规定的投标截止时间。</w:t>
      </w:r>
      <w:r>
        <w:rPr>
          <w:rFonts w:hint="eastAsia" w:ascii="Times New Roman" w:hAnsi="Times New Roman" w:eastAsia="宋体" w:cs="Times New Roman"/>
          <w:i w:val="0"/>
          <w:iCs/>
          <w:caps w:val="0"/>
          <w:color w:val="000000"/>
          <w:sz w:val="24"/>
          <w:highlight w:val="none"/>
          <w:u w:val="none"/>
        </w:rPr>
      </w:r>
      <w:r/>
    </w:p>
    <w:p>
      <w:pPr>
        <w:pStyle w:val="680"/>
        <w:ind w:left="0" w:firstLine="480"/>
        <w:pageBreakBefore w:val="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9</w:t>
      </w:r>
      <w:r>
        <w:rPr>
          <w:rFonts w:hint="eastAsia" w:ascii="Times New Roman" w:hAnsi="Times New Roman"/>
          <w:caps w:val="0"/>
          <w:color w:val="000000"/>
          <w:sz w:val="24"/>
          <w:highlight w:val="none"/>
        </w:rPr>
        <w:t xml:space="preserve">.2</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highlight w:val="none"/>
        </w:rPr>
      </w:r>
      <w:r/>
    </w:p>
    <w:p>
      <w:pPr>
        <w:pStyle w:val="684"/>
        <w:ind w:left="0" w:firstLine="420"/>
        <w:pageBreakBefore w:val="0"/>
        <w:spacing w:before="0" w:after="0" w:line="560" w:lineRule="exact"/>
        <w:rPr>
          <w:rFonts w:hint="eastAsia" w:ascii="Times New Roman" w:hAnsi="Times New Roman"/>
          <w:b w:val="0"/>
          <w:bCs w:val="0"/>
          <w:caps w:val="0"/>
          <w:color w:val="000000"/>
          <w:highlight w:val="none"/>
        </w:rPr>
      </w:pPr>
      <w:r/>
      <w:bookmarkStart w:id="141" w:name="_Toc513029227"/>
      <w:r/>
      <w:bookmarkStart w:id="142" w:name="_Toc16938543"/>
      <w:r/>
      <w:bookmarkStart w:id="143" w:name="_Toc20823299"/>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lang w:val="en-US" w:eastAsia="zh-CN"/>
        </w:rPr>
        <w:t xml:space="preserve">0</w:t>
      </w:r>
      <w:r>
        <w:rPr>
          <w:rFonts w:hint="eastAsia" w:ascii="Times New Roman" w:hAnsi="Times New Roman"/>
          <w:b w:val="0"/>
          <w:bCs w:val="0"/>
          <w:caps w:val="0"/>
          <w:color w:val="000000"/>
          <w:highlight w:val="none"/>
        </w:rPr>
        <w:t xml:space="preserve">、投标文件</w:t>
      </w:r>
      <w:bookmarkEnd w:id="141"/>
      <w:r/>
      <w:bookmarkEnd w:id="142"/>
      <w:r/>
      <w:bookmarkEnd w:id="143"/>
      <w:r>
        <w:rPr>
          <w:rFonts w:hint="eastAsia" w:ascii="Times New Roman" w:hAnsi="Times New Roman"/>
          <w:b w:val="0"/>
          <w:bCs w:val="0"/>
          <w:caps w:val="0"/>
          <w:color w:val="000000"/>
          <w:highlight w:val="none"/>
        </w:rPr>
        <w:t xml:space="preserve">的拒收</w:t>
      </w:r>
      <w:r>
        <w:rPr>
          <w:rFonts w:hint="eastAsia" w:ascii="Times New Roman" w:hAnsi="Times New Roman"/>
          <w:b w:val="0"/>
          <w:bCs w:val="0"/>
          <w:caps w:val="0"/>
          <w:color w:val="000000"/>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caps w:val="0"/>
          <w:color w:val="000000"/>
          <w:sz w:val="24"/>
          <w:highlight w:val="none"/>
          <w:lang w:val="en-US" w:eastAsia="zh-CN"/>
        </w:rPr>
        <w:t xml:space="preserve">20</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拒绝接收在其规定的投标截止时间后上传的任何投标文件。</w:t>
      </w:r>
      <w:r>
        <w:rPr>
          <w:rFonts w:hint="eastAsia" w:ascii="Times New Roman" w:hAnsi="Times New Roman"/>
          <w:bCs/>
          <w:caps w:val="0"/>
          <w:color w:val="000000"/>
          <w:sz w:val="24"/>
          <w:highlight w:val="none"/>
        </w:rPr>
      </w:r>
      <w:r/>
    </w:p>
    <w:p>
      <w:pPr>
        <w:pStyle w:val="684"/>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44" w:name="_Toc16938544"/>
      <w:r/>
      <w:bookmarkStart w:id="145" w:name="_Toc513029228"/>
      <w:r/>
      <w:bookmarkStart w:id="146" w:name="_Toc20823300"/>
      <w:r/>
      <w:bookmarkStart w:id="147" w:name="_Toc513029229"/>
      <w:r/>
      <w:bookmarkStart w:id="148" w:name="_Toc16938545"/>
      <w:r/>
      <w:bookmarkStart w:id="149" w:name="_Toc120614218"/>
      <w:r/>
      <w:bookmarkStart w:id="150" w:name="_Toc20823301"/>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rPr>
        <w:t xml:space="preserve">、投标文件的撤回和修改</w:t>
      </w:r>
      <w:bookmarkEnd w:id="144"/>
      <w:r/>
      <w:bookmarkEnd w:id="145"/>
      <w:r/>
      <w:bookmarkEnd w:id="146"/>
      <w:r>
        <w:rPr>
          <w:rFonts w:hint="eastAsia" w:ascii="Times New Roman" w:hAnsi="Times New Roman"/>
          <w:b w:val="0"/>
          <w:bCs w:val="0"/>
          <w:caps w:val="0"/>
          <w:color w:val="000000"/>
          <w:highlight w:val="none"/>
        </w:rPr>
      </w:r>
      <w:r/>
    </w:p>
    <w:p>
      <w:pPr>
        <w:pStyle w:val="680"/>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 投标文件的撤回</w:t>
      </w:r>
      <w:r>
        <w:rPr>
          <w:rFonts w:hint="eastAsia" w:ascii="Times New Roman" w:hAnsi="Times New Roman"/>
          <w:caps w:val="0"/>
          <w:color w:val="000000"/>
          <w:sz w:val="24"/>
          <w:highlight w:val="none"/>
        </w:rPr>
      </w:r>
      <w:r/>
    </w:p>
    <w:p>
      <w:pPr>
        <w:pStyle w:val="680"/>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.1.1 电子投标文件的撤回</w:t>
      </w:r>
      <w:r>
        <w:rPr>
          <w:rFonts w:hint="eastAsia" w:ascii="Times New Roman" w:hAnsi="Times New Roman"/>
          <w:caps w:val="0"/>
          <w:color w:val="000000"/>
          <w:sz w:val="24"/>
          <w:highlight w:val="none"/>
        </w:rPr>
      </w:r>
      <w:r/>
    </w:p>
    <w:p>
      <w:pPr>
        <w:pStyle w:val="680"/>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投标人可在投标截止时间前，撤回其电子投标文件，具体操作方法见《操作手册》。</w:t>
      </w:r>
      <w:r>
        <w:rPr>
          <w:rFonts w:hint="eastAsia" w:ascii="Times New Roman" w:hAnsi="Times New Roman"/>
          <w:caps w:val="0"/>
          <w:color w:val="000000"/>
          <w:sz w:val="24"/>
          <w:highlight w:val="none"/>
        </w:rPr>
      </w:r>
      <w:r/>
    </w:p>
    <w:p>
      <w:pPr>
        <w:pStyle w:val="680"/>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.1.</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 投标人撤回电子投标文件，则认为其不再参与本项目投标活动。</w:t>
      </w:r>
      <w:r>
        <w:rPr>
          <w:rFonts w:hint="eastAsia" w:ascii="Times New Roman" w:hAnsi="Times New Roman"/>
          <w:caps w:val="0"/>
          <w:color w:val="000000"/>
          <w:sz w:val="24"/>
          <w:szCs w:val="24"/>
          <w:highlight w:val="none"/>
        </w:rPr>
      </w:r>
      <w:r/>
    </w:p>
    <w:p>
      <w:pPr>
        <w:pStyle w:val="680"/>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 投标文件的修改</w:t>
      </w:r>
      <w:r>
        <w:rPr>
          <w:rFonts w:hint="eastAsia" w:ascii="Times New Roman" w:hAnsi="Times New Roman"/>
          <w:caps w:val="0"/>
          <w:color w:val="000000"/>
          <w:sz w:val="24"/>
          <w:szCs w:val="24"/>
          <w:highlight w:val="none"/>
        </w:rPr>
      </w:r>
      <w:r/>
    </w:p>
    <w:p>
      <w:pPr>
        <w:pStyle w:val="680"/>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.2.1投标人可在投标截止时间前，对其电子投标文件进行修改，具体操作方法见《操作手册》。</w:t>
      </w:r>
      <w:r>
        <w:rPr>
          <w:rFonts w:hint="eastAsia" w:ascii="Times New Roman" w:hAnsi="Times New Roman"/>
          <w:caps w:val="0"/>
          <w:color w:val="000000"/>
          <w:sz w:val="24"/>
          <w:highlight w:val="none"/>
        </w:rPr>
      </w:r>
      <w:r/>
    </w:p>
    <w:p>
      <w:pPr>
        <w:pStyle w:val="680"/>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.2.2</w:t>
      </w:r>
      <w:r>
        <w:rPr>
          <w:rFonts w:hint="eastAsia" w:ascii="Times New Roman" w:hAnsi="Times New Roman"/>
          <w:bCs/>
          <w:caps w:val="0"/>
          <w:color w:val="000000"/>
          <w:sz w:val="24"/>
          <w:highlight w:val="none"/>
        </w:rPr>
        <w:t xml:space="preserve"> 在投标截止时间之后，投标人不得对其电子投标文件作任何修改。</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.3</w:t>
      </w:r>
      <w:r>
        <w:rPr>
          <w:rFonts w:hint="eastAsia" w:ascii="Times New Roman" w:hAnsi="Times New Roman"/>
          <w:bCs/>
          <w:caps w:val="0"/>
          <w:color w:val="000000"/>
          <w:sz w:val="24"/>
          <w:highlight w:val="none"/>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683"/>
        <w:ind w:left="0" w:firstLine="482"/>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五、开标与评标</w:t>
      </w:r>
      <w:bookmarkEnd w:id="147"/>
      <w:r/>
      <w:bookmarkEnd w:id="148"/>
      <w:r/>
      <w:bookmarkEnd w:id="149"/>
      <w:r/>
      <w:bookmarkEnd w:id="150"/>
      <w:r>
        <w:rPr>
          <w:rFonts w:hint="eastAsia" w:ascii="Times New Roman" w:hAnsi="Times New Roman"/>
          <w:caps w:val="0"/>
          <w:color w:val="000000"/>
          <w:highlight w:val="none"/>
        </w:rPr>
      </w:r>
      <w:r/>
    </w:p>
    <w:p>
      <w:pPr>
        <w:pStyle w:val="684"/>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51" w:name="_Toc513029230"/>
      <w:r/>
      <w:bookmarkStart w:id="152" w:name="_Toc16938546"/>
      <w:r/>
      <w:bookmarkStart w:id="153" w:name="_Toc20823302"/>
      <w:r/>
      <w:bookmarkStart w:id="154" w:name="_Toc20823303"/>
      <w:r/>
      <w:bookmarkStart w:id="155" w:name="_Toc513029231"/>
      <w:r/>
      <w:bookmarkStart w:id="156" w:name="_Toc16938547"/>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rPr>
        <w:t xml:space="preserve">、开标</w:t>
      </w:r>
      <w:bookmarkEnd w:id="151"/>
      <w:r/>
      <w:bookmarkEnd w:id="152"/>
      <w:r/>
      <w:bookmarkEnd w:id="153"/>
      <w:r>
        <w:rPr>
          <w:rFonts w:hint="eastAsia" w:ascii="Times New Roman" w:hAnsi="Times New Roman"/>
          <w:b w:val="0"/>
          <w:bCs w:val="0"/>
          <w:caps w:val="0"/>
          <w:color w:val="000000"/>
          <w:highlight w:val="none"/>
        </w:rPr>
      </w:r>
      <w:r/>
    </w:p>
    <w:p>
      <w:pPr>
        <w:pStyle w:val="802"/>
        <w:ind w:left="0" w:firstLine="42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2</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将在招标公告中规定的时间和地点组织公开开标</w:t>
      </w:r>
      <w:r>
        <w:rPr>
          <w:rFonts w:hint="eastAsia"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highlight w:val="none"/>
          <w:lang w:val="en-US" w:eastAsia="zh-CN" w:bidi="ar-SA"/>
        </w:rPr>
      </w:r>
      <w:r/>
    </w:p>
    <w:p>
      <w:pPr>
        <w:pStyle w:val="802"/>
        <w:ind w:left="0" w:firstLine="42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highlight w:val="none"/>
        </w:rPr>
      </w:r>
      <w:r/>
    </w:p>
    <w:p>
      <w:pPr>
        <w:pStyle w:val="680"/>
        <w:ind w:left="0" w:firstLine="48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2</w:t>
      </w:r>
      <w:r>
        <w:rPr>
          <w:rFonts w:hint="eastAsia" w:ascii="Times New Roman" w:hAnsi="Times New Roman"/>
          <w:bCs/>
          <w:caps w:val="0"/>
          <w:color w:val="000000"/>
          <w:sz w:val="24"/>
          <w:highlight w:val="none"/>
        </w:rPr>
        <w:t xml:space="preserve">.3投标人在开标过程中涉及到的投标文件解密、开标结果确认等工作，应按照《操作手册》规定执行。</w:t>
      </w:r>
      <w:r>
        <w:rPr>
          <w:rFonts w:hint="eastAsia" w:ascii="Times New Roman" w:hAnsi="Times New Roman"/>
          <w:caps w:val="0"/>
          <w:color w:val="000000"/>
          <w:highlight w:val="none"/>
        </w:rPr>
      </w:r>
      <w:r/>
    </w:p>
    <w:p>
      <w:pPr>
        <w:pStyle w:val="680"/>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2</w:t>
      </w:r>
      <w:r>
        <w:rPr>
          <w:rFonts w:hint="eastAsia" w:ascii="Times New Roman" w:hAnsi="Times New Roman"/>
          <w:caps w:val="0"/>
          <w:color w:val="000000"/>
          <w:sz w:val="24"/>
          <w:szCs w:val="24"/>
          <w:highlight w:val="none"/>
        </w:rPr>
        <w:t xml:space="preserve">.4投标人如果对开标过程和开标记录有疑义，应当根据《操作手册》规定提出，如 </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中《开标记录表》宣布后5分钟内未提出的，视同认可开标结果。</w:t>
      </w:r>
      <w:r>
        <w:rPr>
          <w:rFonts w:hint="eastAsia" w:ascii="Times New Roman" w:hAnsi="Times New Roman"/>
          <w:caps w:val="0"/>
          <w:color w:val="000000"/>
          <w:sz w:val="24"/>
          <w:szCs w:val="24"/>
          <w:highlight w:val="none"/>
        </w:rPr>
      </w:r>
      <w:r/>
    </w:p>
    <w:p>
      <w:pPr>
        <w:pStyle w:val="680"/>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680"/>
        <w:ind w:left="0" w:firstLine="240"/>
        <w:keepLines/>
        <w:keepNext/>
        <w:pageBreakBefore w:val="0"/>
        <w:spacing w:line="560" w:lineRule="exact"/>
        <w:rPr>
          <w:rFonts w:hint="eastAsia" w:ascii="Times New Roman" w:hAnsi="Times New Roman"/>
          <w:b/>
          <w:caps w:val="0"/>
          <w:color w:val="000000"/>
          <w:sz w:val="24"/>
          <w:szCs w:val="24"/>
          <w:highlight w:val="none"/>
        </w:rPr>
        <w:outlineLvl w:val="3"/>
      </w:pP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.1</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开标后，</w:t>
      </w:r>
      <w:r>
        <w:rPr>
          <w:rFonts w:hint="eastAsia" w:ascii="Times New Roman" w:hAnsi="Times New Roman"/>
          <w:caps w:val="0"/>
          <w:color w:val="000000"/>
          <w:sz w:val="24"/>
          <w:szCs w:val="24"/>
          <w:highlight w:val="none"/>
          <w:lang w:eastAsia="zh-CN"/>
        </w:rPr>
        <w:t xml:space="preserve">采购代理</w:t>
      </w:r>
      <w:r>
        <w:rPr>
          <w:rFonts w:hint="eastAsia" w:ascii="Times New Roman" w:hAnsi="Times New Roman" w:eastAsia="宋体" w:cs="Times New Roman"/>
          <w:caps w:val="0"/>
          <w:color w:val="000000"/>
          <w:sz w:val="24"/>
          <w:szCs w:val="24"/>
          <w:highlight w:val="none"/>
          <w:lang w:eastAsia="zh-CN"/>
        </w:rPr>
        <w:t xml:space="preserve">机构</w:t>
      </w:r>
      <w:r>
        <w:rPr>
          <w:rFonts w:hint="eastAsia" w:ascii="Times New Roman" w:hAnsi="Times New Roman" w:eastAsia="宋体" w:cs="Times New Roman"/>
          <w:caps w:val="0"/>
          <w:color w:val="000000"/>
          <w:sz w:val="24"/>
          <w:szCs w:val="24"/>
          <w:highlight w:val="none"/>
        </w:rPr>
        <w:t xml:space="preserve">将立即组织评标委员会</w:t>
      </w:r>
      <w:r>
        <w:rPr>
          <w:rFonts w:hint="eastAsia" w:ascii="Times New Roman" w:hAnsi="Times New Roman"/>
          <w:caps w:val="0"/>
          <w:color w:val="000000"/>
          <w:sz w:val="24"/>
          <w:szCs w:val="24"/>
          <w:highlight w:val="none"/>
        </w:rPr>
        <w:t xml:space="preserve">（以下简称评委会）进行评标。</w:t>
      </w:r>
      <w:r>
        <w:rPr>
          <w:rFonts w:hint="eastAsia" w:ascii="Times New Roman" w:hAnsi="Times New Roman"/>
          <w:b/>
          <w:caps w:val="0"/>
          <w:color w:val="000000"/>
          <w:sz w:val="24"/>
          <w:szCs w:val="24"/>
          <w:highlight w:val="none"/>
        </w:rPr>
      </w:r>
      <w:r/>
    </w:p>
    <w:p>
      <w:pPr>
        <w:pStyle w:val="680"/>
        <w:ind w:left="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.2 评委会由采购人代表和有关技术、经济等方面的专家组成，且人员构成符合政府采购有关规定。</w:t>
      </w:r>
      <w:r>
        <w:rPr>
          <w:rFonts w:hint="eastAsia" w:ascii="Times New Roman" w:hAnsi="Times New Roman"/>
          <w:caps w:val="0"/>
          <w:color w:val="000000"/>
          <w:sz w:val="24"/>
          <w:szCs w:val="24"/>
          <w:highlight w:val="none"/>
        </w:rPr>
      </w:r>
      <w:r/>
    </w:p>
    <w:p>
      <w:pPr>
        <w:pStyle w:val="680"/>
        <w:ind w:left="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.3评委会独立工作，负责评审所有投标文件并确定中标</w:t>
      </w:r>
      <w:r>
        <w:rPr>
          <w:rFonts w:hint="eastAsia"/>
          <w:caps w:val="0"/>
          <w:color w:val="000000"/>
          <w:sz w:val="24"/>
          <w:szCs w:val="24"/>
          <w:highlight w:val="none"/>
          <w:lang w:val="en-US" w:eastAsia="zh-CN"/>
        </w:rPr>
        <w:t xml:space="preserve">候选人</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684"/>
        <w:ind w:left="0" w:firstLine="42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4</w:t>
      </w:r>
      <w:r>
        <w:rPr>
          <w:rFonts w:hint="eastAsia" w:ascii="Times New Roman" w:hAnsi="Times New Roman"/>
          <w:b w:val="0"/>
          <w:bCs w:val="0"/>
          <w:caps w:val="0"/>
          <w:color w:val="000000"/>
          <w:highlight w:val="none"/>
        </w:rPr>
        <w:t xml:space="preserve">、评标过程的保密与公正</w:t>
      </w:r>
      <w:r>
        <w:rPr>
          <w:rFonts w:hint="eastAsia" w:ascii="Times New Roman" w:hAnsi="Times New Roman"/>
          <w:b w:val="0"/>
          <w:bCs w:val="0"/>
          <w:caps w:val="0"/>
          <w:color w:val="000000"/>
          <w:highlight w:val="none"/>
        </w:rPr>
      </w:r>
      <w:r/>
    </w:p>
    <w:p>
      <w:pPr>
        <w:pStyle w:val="680"/>
        <w:ind w:left="0" w:firstLine="480"/>
        <w:pageBreakBefore w:val="0"/>
        <w:spacing w:line="560" w:lineRule="exact"/>
        <w:widowControl w:val="off"/>
        <w:rPr>
          <w:rFonts w:hint="eastAsia" w:ascii="Times New Roman" w:hAnsi="Times New Roman"/>
          <w:bCs/>
          <w:caps w:val="0"/>
          <w:color w:val="000000"/>
          <w:sz w:val="24"/>
          <w:highlight w:val="none"/>
        </w:rPr>
      </w:pPr>
      <w:r/>
      <w:bookmarkEnd w:id="154"/>
      <w:r/>
      <w:bookmarkEnd w:id="155"/>
      <w:r/>
      <w:bookmarkEnd w:id="156"/>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凡是与审查、澄清、评价和比较投标的有关资料以及授标建议等，采购人、评委、</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均不得向投标人或与评标无关的其他人员透露。</w:t>
      </w:r>
      <w:r>
        <w:rPr>
          <w:rFonts w:hint="eastAsia" w:ascii="Times New Roman" w:hAnsi="Times New Roman"/>
          <w:bCs/>
          <w:caps w:val="0"/>
          <w:color w:val="000000"/>
          <w:sz w:val="24"/>
          <w:highlight w:val="none"/>
        </w:rPr>
      </w:r>
      <w:r/>
    </w:p>
    <w:p>
      <w:pPr>
        <w:pStyle w:val="680"/>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szCs w:val="24"/>
          <w:highlight w:val="none"/>
        </w:rPr>
        <w:t xml:space="preserve">在评标过程中，投标人不得以任何行为影响评标过程，否则其投标文件将被作为无效投标文件。</w:t>
      </w:r>
      <w:r>
        <w:rPr>
          <w:rFonts w:hint="eastAsia" w:ascii="Times New Roman" w:hAnsi="Times New Roman"/>
          <w:caps w:val="0"/>
          <w:color w:val="000000"/>
          <w:sz w:val="24"/>
          <w:szCs w:val="24"/>
          <w:highlight w:val="none"/>
        </w:rPr>
      </w:r>
      <w:r/>
    </w:p>
    <w:p>
      <w:pPr>
        <w:pStyle w:val="680"/>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和</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不向未中标的投标人解释未中标原因，也不公布评标过程中的相关细节。</w:t>
      </w:r>
      <w:r>
        <w:rPr>
          <w:rFonts w:hint="eastAsia" w:ascii="Times New Roman" w:hAnsi="Times New Roman"/>
          <w:caps w:val="0"/>
          <w:color w:val="000000"/>
          <w:sz w:val="24"/>
          <w:szCs w:val="24"/>
          <w:highlight w:val="none"/>
        </w:rPr>
      </w:r>
      <w:r/>
    </w:p>
    <w:p>
      <w:pPr>
        <w:pStyle w:val="680"/>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.4 采用综合评分法的项目，未中标的投标人可于中标结果公告期限届满之日起通过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查看自己的评审得分及排序情况。</w:t>
      </w:r>
      <w:r>
        <w:rPr>
          <w:rFonts w:ascii="Times New Roman" w:hAnsi="Times New Roman"/>
          <w:caps w:val="0"/>
          <w:color w:val="000000"/>
          <w:sz w:val="24"/>
          <w:szCs w:val="24"/>
          <w:highlight w:val="none"/>
        </w:rPr>
      </w:r>
      <w:r/>
    </w:p>
    <w:p>
      <w:pPr>
        <w:pStyle w:val="684"/>
        <w:ind w:left="0" w:firstLine="420"/>
        <w:pageBreakBefore w:val="0"/>
        <w:spacing w:before="0" w:after="0" w:line="560" w:lineRule="exact"/>
        <w:rPr>
          <w:rFonts w:hint="eastAsia" w:ascii="Times New Roman" w:hAnsi="Times New Roman"/>
          <w:b w:val="0"/>
          <w:bCs w:val="0"/>
          <w:caps w:val="0"/>
          <w:color w:val="000000"/>
          <w:highlight w:val="none"/>
        </w:rPr>
      </w:pPr>
      <w:r/>
      <w:bookmarkStart w:id="157" w:name="_Toc20823304"/>
      <w:r/>
      <w:bookmarkStart w:id="158" w:name="_Toc16938548"/>
      <w:r/>
      <w:bookmarkStart w:id="159" w:name="_Toc513029232"/>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、投标文件的澄清</w:t>
      </w:r>
      <w:bookmarkEnd w:id="157"/>
      <w:r/>
      <w:bookmarkEnd w:id="158"/>
      <w:r/>
      <w:bookmarkEnd w:id="159"/>
      <w:r>
        <w:rPr>
          <w:rFonts w:hint="eastAsia" w:ascii="Times New Roman" w:hAnsi="Times New Roman"/>
          <w:b w:val="0"/>
          <w:bCs w:val="0"/>
          <w:caps w:val="0"/>
          <w:color w:val="000000"/>
          <w:highlight w:val="none"/>
        </w:rPr>
      </w:r>
      <w:r/>
    </w:p>
    <w:p>
      <w:pPr>
        <w:pStyle w:val="680"/>
        <w:ind w:left="0" w:firstLine="48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t xml:space="preserve">，有权要求投标人作出必要的澄清、说明或者补正。</w:t>
      </w:r>
      <w:r>
        <w:rPr>
          <w:rFonts w:ascii="Times New Roman" w:hAnsi="Times New Roman"/>
          <w:caps w:val="0"/>
          <w:color w:val="000000"/>
          <w:sz w:val="24"/>
          <w:szCs w:val="24"/>
          <w:highlight w:val="none"/>
        </w:rPr>
      </w:r>
      <w:r/>
    </w:p>
    <w:p>
      <w:pPr>
        <w:pStyle w:val="680"/>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投标人的澄清、说明或者补正不得超出投标文件的范围或者改变投标文件的实质性内容。</w:t>
      </w:r>
      <w:r>
        <w:rPr>
          <w:rFonts w:ascii="Times New Roman" w:hAnsi="Times New Roman"/>
          <w:caps w:val="0"/>
          <w:color w:val="000000"/>
          <w:sz w:val="24"/>
          <w:szCs w:val="24"/>
          <w:highlight w:val="none"/>
        </w:rPr>
      </w:r>
      <w:r/>
    </w:p>
    <w:p>
      <w:pPr>
        <w:pStyle w:val="680"/>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eastAsia="zh-CN"/>
        </w:rPr>
        <w:t xml:space="preserve">评委会</w:t>
      </w:r>
      <w:r>
        <w:rPr>
          <w:rFonts w:ascii="Times New Roman" w:hAnsi="Times New Roman"/>
          <w:caps w:val="0"/>
          <w:color w:val="000000"/>
          <w:sz w:val="24"/>
          <w:szCs w:val="24"/>
          <w:highlight w:val="none"/>
        </w:rPr>
        <w:t xml:space="preserve">并非对每个投标人都做澄清要求</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802"/>
        <w:ind w:left="0" w:firstLine="422"/>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w:t>
      </w:r>
      <w:r>
        <w:rPr>
          <w:rFonts w:hint="eastAsia" w:ascii="Times New Roman" w:hAnsi="Times New Roman" w:eastAsia="宋体"/>
          <w:caps w:val="0"/>
          <w:color w:val="000000"/>
          <w:sz w:val="24"/>
          <w:szCs w:val="24"/>
          <w:highlight w:val="none"/>
          <w:lang w:val="en-US" w:eastAsia="zh-CN"/>
        </w:rPr>
        <w:t xml:space="preserve">5</w:t>
      </w:r>
      <w:r>
        <w:rPr>
          <w:rFonts w:hint="eastAsia" w:ascii="Times New Roman" w:hAnsi="Times New Roman" w:eastAsia="宋体"/>
          <w:caps w:val="0"/>
          <w:color w:val="000000"/>
          <w:sz w:val="24"/>
          <w:szCs w:val="24"/>
          <w:highlight w:val="none"/>
        </w:rPr>
        <w:t xml:space="preserve">.2需要</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进行澄清、说明和补正的，</w:t>
      </w:r>
      <w:r>
        <w:rPr>
          <w:rFonts w:hint="eastAsia"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000000"/>
          <w:sz w:val="24"/>
          <w:szCs w:val="24"/>
          <w:highlight w:val="none"/>
        </w:rPr>
        <w:t xml:space="preserve">评委会将通过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向</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发出“澄清要求函”，接到“澄清要求函”的投标人应当按照要求</w:t>
      </w:r>
      <w:r>
        <w:rPr>
          <w:rFonts w:hint="eastAsia" w:ascii="Times New Roman" w:hAnsi="Times New Roman" w:eastAsia="宋体" w:cs="Times New Roman"/>
          <w:caps w:val="0"/>
          <w:color w:val="000000"/>
          <w:sz w:val="24"/>
          <w:szCs w:val="21"/>
          <w:highlight w:val="none"/>
          <w:lang w:val="en-US" w:eastAsia="zh-CN" w:bidi="ar-SA"/>
        </w:rPr>
        <w:t xml:space="preserve">在规定时间内</w:t>
      </w:r>
      <w:r>
        <w:rPr>
          <w:rFonts w:hint="eastAsia" w:ascii="Times New Roman" w:hAnsi="Times New Roman" w:eastAsia="宋体"/>
          <w:caps w:val="0"/>
          <w:color w:val="000000"/>
          <w:sz w:val="24"/>
          <w:szCs w:val="24"/>
          <w:highlight w:val="none"/>
          <w:lang w:val="en-US" w:eastAsia="zh-CN"/>
        </w:rPr>
        <w:t xml:space="preserve">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highlight w:val="none"/>
        </w:rPr>
      </w:r>
      <w:r/>
    </w:p>
    <w:p>
      <w:pPr>
        <w:pStyle w:val="680"/>
        <w:ind w:left="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highlight w:val="none"/>
        </w:rPr>
      </w:r>
      <w:r/>
    </w:p>
    <w:p>
      <w:pPr>
        <w:pStyle w:val="684"/>
        <w:ind w:left="0" w:firstLine="420"/>
        <w:pageBreakBefore w:val="0"/>
        <w:spacing w:before="0" w:after="0" w:line="560" w:lineRule="exact"/>
        <w:rPr>
          <w:rFonts w:hint="eastAsia" w:ascii="Times New Roman" w:hAnsi="Times New Roman"/>
          <w:b w:val="0"/>
          <w:bCs w:val="0"/>
          <w:caps w:val="0"/>
          <w:color w:val="000000"/>
          <w:highlight w:val="none"/>
        </w:rPr>
      </w:pPr>
      <w:r/>
      <w:bookmarkStart w:id="160" w:name="_Toc20823305"/>
      <w:r/>
      <w:bookmarkStart w:id="161" w:name="_Toc16938549"/>
      <w:r/>
      <w:bookmarkStart w:id="162" w:name="_Toc513029233"/>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、对投标文件的初审</w:t>
      </w:r>
      <w:bookmarkEnd w:id="160"/>
      <w:r/>
      <w:bookmarkEnd w:id="161"/>
      <w:r/>
      <w:bookmarkEnd w:id="162"/>
      <w:r>
        <w:rPr>
          <w:rFonts w:hint="eastAsia" w:ascii="Times New Roman" w:hAnsi="Times New Roman"/>
          <w:b w:val="0"/>
          <w:bCs w:val="0"/>
          <w:caps w:val="0"/>
          <w:color w:val="000000"/>
          <w:highlight w:val="none"/>
        </w:rPr>
      </w:r>
      <w:r/>
    </w:p>
    <w:p>
      <w:pPr>
        <w:pStyle w:val="680"/>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.1</w:t>
      </w:r>
      <w:r>
        <w:rPr>
          <w:rFonts w:hint="eastAsia" w:ascii="Times New Roman" w:hAnsi="Times New Roman" w:eastAsia="宋体"/>
          <w:bCs/>
          <w:caps w:val="0"/>
          <w:color w:val="000000"/>
          <w:sz w:val="24"/>
          <w:highlight w:val="none"/>
        </w:rPr>
        <w:t xml:space="preserve">投标文件初审分为资格审查和符合性审查。</w:t>
      </w:r>
      <w:r>
        <w:rPr>
          <w:rFonts w:hint="eastAsia" w:ascii="Times New Roman" w:hAnsi="Times New Roman" w:eastAsia="宋体"/>
          <w:bCs/>
          <w:caps w:val="0"/>
          <w:color w:val="000000"/>
          <w:sz w:val="24"/>
          <w:highlight w:val="none"/>
        </w:rPr>
      </w:r>
      <w:r/>
    </w:p>
    <w:p>
      <w:pPr>
        <w:pStyle w:val="680"/>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.1.1 资格审查：依据法律法规和招标文件的规定，</w:t>
      </w:r>
      <w:r>
        <w:rPr>
          <w:rFonts w:hint="eastAsia" w:ascii="Times New Roman" w:hAnsi="Times New Roman" w:eastAsia="宋体" w:cs="Times New Roman"/>
          <w:caps w:val="0"/>
          <w:color w:val="000000"/>
          <w:sz w:val="24"/>
          <w:highlight w:val="none"/>
        </w:rPr>
        <w:t xml:space="preserve">由采购人或其委托的代理机构对投标文件中的资格证明文件进行审查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rPr>
          <w:rFonts w:hint="eastAsia" w:ascii="Times New Roman" w:hAnsi="Times New Roman" w:eastAsia="宋体" w:cs="Times New Roman"/>
          <w:caps w:val="0"/>
          <w:color w:val="000000"/>
          <w:sz w:val="24"/>
          <w:highlight w:val="none"/>
        </w:rPr>
      </w:r>
      <w:r/>
    </w:p>
    <w:p>
      <w:pPr>
        <w:pStyle w:val="680"/>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highlight w:val="none"/>
        </w:rPr>
      </w:r>
      <w:r/>
    </w:p>
    <w:p>
      <w:pPr>
        <w:pStyle w:val="680"/>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000000"/>
          <w:sz w:val="24"/>
          <w:highlight w:val="none"/>
          <w:lang w:eastAsia="zh-CN"/>
        </w:rPr>
        <w:t xml:space="preserve">投标人</w:t>
      </w:r>
      <w:r>
        <w:rPr>
          <w:rFonts w:hint="eastAsia" w:ascii="Times New Roman" w:hAnsi="Times New Roman" w:eastAsia="宋体"/>
          <w:bCs/>
          <w:caps w:val="0"/>
          <w:color w:val="000000"/>
          <w:sz w:val="24"/>
          <w:highlight w:val="none"/>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highlight w:val="none"/>
        </w:rPr>
      </w:r>
      <w:r/>
    </w:p>
    <w:p>
      <w:pPr>
        <w:pStyle w:val="680"/>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highlight w:val="none"/>
        </w:rPr>
      </w:r>
      <w:r/>
    </w:p>
    <w:p>
      <w:pPr>
        <w:pStyle w:val="680"/>
        <w:ind w:left="0" w:firstLine="480"/>
        <w:pageBreakBefore w:val="0"/>
        <w:spacing w:line="560" w:lineRule="exact"/>
        <w:widowControl w:val="off"/>
        <w:rPr>
          <w:rFonts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26.1.3</w:t>
      </w:r>
      <w:r>
        <w:rPr>
          <w:rFonts w:hint="eastAsia" w:ascii="Times New Roman" w:hAnsi="Times New Roman" w:eastAsia="宋体" w:cs="Times New Roman"/>
          <w:caps w:val="0"/>
          <w:color w:val="000000"/>
          <w:sz w:val="24"/>
          <w:highlight w:val="none"/>
        </w:rPr>
        <w:t xml:space="preserve">对各投标人符合性审查过程中，对初步被认定为无效投标者，由</w:t>
      </w:r>
      <w:r>
        <w:rPr>
          <w:rFonts w:hint="eastAsia" w:ascii="Times New Roman" w:hAnsi="Times New Roman" w:eastAsia="宋体" w:cs="Times New Roman"/>
          <w:caps w:val="0"/>
          <w:color w:val="000000"/>
          <w:sz w:val="24"/>
          <w:highlight w:val="none"/>
          <w:lang w:eastAsia="zh-CN"/>
        </w:rPr>
        <w:t xml:space="preserve">评委会</w:t>
      </w:r>
      <w:r>
        <w:rPr>
          <w:rFonts w:hint="eastAsia" w:ascii="Times New Roman" w:hAnsi="Times New Roman" w:eastAsia="宋体" w:cs="Times New Roman"/>
          <w:caps w:val="0"/>
          <w:color w:val="000000"/>
          <w:sz w:val="24"/>
          <w:highlight w:val="none"/>
        </w:rPr>
        <w:t xml:space="preserve">组长或采购人代表将集体意见</w:t>
      </w:r>
      <w:r>
        <w:rPr>
          <w:rFonts w:hint="eastAsia" w:ascii="Times New Roman" w:hAnsi="Times New Roman" w:eastAsia="宋体" w:cs="Times New Roman"/>
          <w:caps w:val="0"/>
          <w:color w:val="000000"/>
          <w:sz w:val="24"/>
          <w:highlight w:val="none"/>
          <w:lang w:val="en-US" w:eastAsia="zh-CN"/>
        </w:rPr>
        <w:t xml:space="preserve">通过</w:t>
      </w:r>
      <w:r>
        <w:rPr>
          <w:rFonts w:hint="eastAsia"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lang w:val="en-US" w:eastAsia="zh-CN"/>
        </w:rPr>
      </w:r>
      <w:r/>
    </w:p>
    <w:p>
      <w:pPr>
        <w:pStyle w:val="680"/>
        <w:ind w:left="0" w:firstLine="480"/>
        <w:pageBreakBefore w:val="0"/>
        <w:spacing w:line="560" w:lineRule="exact"/>
        <w:widowControl w:val="off"/>
        <w:rPr>
          <w:rFonts w:hint="eastAsia"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highlight w:val="none"/>
        </w:rPr>
      </w:r>
      <w:r/>
    </w:p>
    <w:p>
      <w:pPr>
        <w:pStyle w:val="680"/>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highlight w:val="none"/>
        </w:rPr>
      </w:r>
      <w:r/>
    </w:p>
    <w:p>
      <w:pPr>
        <w:pStyle w:val="680"/>
        <w:ind w:left="0" w:firstLine="48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.3如果投标文件实质上没有响应招标文件的要求，评委会将予以拒绝，投标人不</w:t>
      </w:r>
      <w:r>
        <w:rPr>
          <w:rFonts w:hint="eastAsia" w:ascii="Times New Roman" w:hAnsi="Times New Roman" w:eastAsia="宋体"/>
          <w:caps w:val="0"/>
          <w:color w:val="000000"/>
          <w:sz w:val="24"/>
          <w:highlight w:val="none"/>
        </w:rPr>
        <w:t xml:space="preserve">得通过修改或撤销不合要求的偏离或保留而使其投标成为实质性响应的投标。</w:t>
      </w:r>
      <w:r>
        <w:rPr>
          <w:rFonts w:ascii="Times New Roman" w:hAnsi="Times New Roman" w:eastAsia="宋体"/>
          <w:caps w:val="0"/>
          <w:color w:val="000000"/>
          <w:sz w:val="24"/>
          <w:highlight w:val="none"/>
        </w:rPr>
      </w:r>
      <w:r/>
    </w:p>
    <w:p>
      <w:pPr>
        <w:pStyle w:val="680"/>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4</w:t>
      </w:r>
      <w:r>
        <w:rPr>
          <w:rFonts w:hint="eastAsia" w:ascii="Times New Roman" w:hAnsi="Times New Roman" w:eastAsia="宋体"/>
          <w:bCs/>
          <w:caps w:val="0"/>
          <w:color w:val="000000"/>
          <w:sz w:val="24"/>
          <w:highlight w:val="none"/>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highlight w:val="none"/>
        </w:rPr>
      </w:r>
      <w:r/>
    </w:p>
    <w:p>
      <w:pPr>
        <w:pStyle w:val="680"/>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（1）投标文件中开标一览表内容与投标文件中相应内容不一致的，以开标一览表为准。</w:t>
      </w:r>
      <w:r>
        <w:rPr>
          <w:rFonts w:ascii="Times New Roman" w:hAnsi="Times New Roman" w:eastAsia="宋体"/>
          <w:bCs/>
          <w:caps w:val="0"/>
          <w:color w:val="000000"/>
          <w:sz w:val="24"/>
          <w:highlight w:val="none"/>
        </w:rPr>
      </w:r>
      <w:r/>
    </w:p>
    <w:p>
      <w:pPr>
        <w:pStyle w:val="680"/>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（2）大写金额和小写金额不一致的，以大写金额为准。</w:t>
      </w:r>
      <w:r>
        <w:rPr>
          <w:rFonts w:ascii="Times New Roman" w:hAnsi="Times New Roman" w:eastAsia="宋体"/>
          <w:bCs/>
          <w:caps w:val="0"/>
          <w:color w:val="000000"/>
          <w:sz w:val="24"/>
          <w:highlight w:val="none"/>
        </w:rPr>
      </w:r>
      <w:r/>
    </w:p>
    <w:p>
      <w:pPr>
        <w:pStyle w:val="680"/>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（3）单价金额小数点或者百分比有明显错位的，以开标一览表的总价为准，并修改单价。</w:t>
      </w:r>
      <w:r>
        <w:rPr>
          <w:rFonts w:ascii="Times New Roman" w:hAnsi="Times New Roman" w:eastAsia="宋体"/>
          <w:bCs/>
          <w:caps w:val="0"/>
          <w:color w:val="000000"/>
          <w:sz w:val="24"/>
          <w:highlight w:val="none"/>
        </w:rPr>
      </w:r>
      <w:r/>
    </w:p>
    <w:p>
      <w:pPr>
        <w:pStyle w:val="680"/>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（4）总价金额与按单价汇总金额不一致的，以单价金额计算结果为准。</w:t>
      </w:r>
      <w:r>
        <w:rPr>
          <w:rFonts w:hint="eastAsia" w:ascii="Times New Roman" w:hAnsi="Times New Roman" w:eastAsia="宋体"/>
          <w:bCs/>
          <w:caps w:val="0"/>
          <w:color w:val="000000"/>
          <w:sz w:val="24"/>
          <w:highlight w:val="none"/>
        </w:rPr>
      </w:r>
      <w:r/>
    </w:p>
    <w:p>
      <w:pPr>
        <w:pStyle w:val="680"/>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同时出现两种以上错误的，按照前款规定的顺序修正。</w:t>
      </w:r>
      <w:r>
        <w:rPr>
          <w:rFonts w:hint="eastAsia" w:ascii="Times New Roman" w:hAnsi="Times New Roman" w:eastAsia="宋体"/>
          <w:bCs/>
          <w:caps w:val="0"/>
          <w:color w:val="000000"/>
          <w:sz w:val="24"/>
          <w:highlight w:val="none"/>
        </w:rPr>
      </w:r>
      <w:r/>
    </w:p>
    <w:p>
      <w:pPr>
        <w:pStyle w:val="680"/>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 </w:t>
      </w:r>
      <w:r>
        <w:rPr>
          <w:rFonts w:hint="eastAsia" w:ascii="Times New Roman" w:hAnsi="Times New Roman" w:eastAsia="宋体"/>
          <w:bCs/>
          <w:caps w:val="0"/>
          <w:color w:val="000000"/>
          <w:sz w:val="24"/>
          <w:highlight w:val="none"/>
        </w:rPr>
        <w:t xml:space="preserve">评委会将按上述修正错误的方法调整投标文件中的投标报价，并</w:t>
      </w:r>
      <w:r>
        <w:rPr>
          <w:rFonts w:ascii="Times New Roman" w:hAnsi="Times New Roman" w:eastAsia="宋体"/>
          <w:bCs/>
          <w:caps w:val="0"/>
          <w:color w:val="000000"/>
          <w:sz w:val="24"/>
          <w:highlight w:val="none"/>
        </w:rPr>
        <w:t xml:space="preserve">通过</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bCs/>
          <w:caps w:val="0"/>
          <w:color w:val="000000"/>
          <w:sz w:val="24"/>
          <w:highlight w:val="none"/>
        </w:rPr>
        <w:t xml:space="preserve">告知</w:t>
      </w:r>
      <w:r>
        <w:rPr>
          <w:rFonts w:ascii="Times New Roman" w:hAnsi="Times New Roman" w:eastAsia="宋体"/>
          <w:bCs/>
          <w:caps w:val="0"/>
          <w:color w:val="000000"/>
          <w:sz w:val="24"/>
          <w:highlight w:val="none"/>
        </w:rPr>
        <w:t xml:space="preserve">投标人，</w:t>
      </w:r>
      <w:r>
        <w:rPr>
          <w:rFonts w:hint="eastAsia" w:ascii="Times New Roman" w:hAnsi="Times New Roman" w:eastAsia="宋体"/>
          <w:bCs/>
          <w:caps w:val="0"/>
          <w:color w:val="000000"/>
          <w:sz w:val="24"/>
          <w:highlight w:val="none"/>
        </w:rPr>
        <w:t xml:space="preserve">调整后的价格应对投标人具有约束力。如果投标人不接受修正后的价格，则其投标将被拒绝。</w:t>
      </w:r>
      <w:r>
        <w:rPr>
          <w:rFonts w:ascii="Times New Roman" w:hAnsi="Times New Roman" w:eastAsia="宋体"/>
          <w:bCs/>
          <w:caps w:val="0"/>
          <w:color w:val="000000"/>
          <w:sz w:val="24"/>
          <w:highlight w:val="none"/>
        </w:rPr>
      </w:r>
      <w:r/>
    </w:p>
    <w:p>
      <w:pPr>
        <w:pStyle w:val="680"/>
        <w:ind w:firstLine="480"/>
        <w:spacing w:line="560" w:lineRule="exact"/>
        <w:rPr>
          <w:rFonts w:eastAsia="宋体" w:cs="Times New Roman"/>
          <w:bCs/>
          <w:sz w:val="24"/>
        </w:rPr>
      </w:pPr>
      <w:r/>
      <w:bookmarkStart w:id="163" w:name="_Toc513029234"/>
      <w:r/>
      <w:bookmarkStart w:id="164" w:name="_Toc16938550"/>
      <w:r/>
      <w:bookmarkStart w:id="165" w:name="_Toc20823306"/>
      <w:r>
        <w:rPr>
          <w:rFonts w:hint="eastAsia" w:eastAsia="宋体" w:cs="Times New Roman"/>
          <w:bCs/>
          <w:sz w:val="24"/>
        </w:rPr>
        <w:t xml:space="preserve">评标过程中，不得去掉报价中的最高报价和最低报价。</w:t>
      </w:r>
      <w:r>
        <w:rPr>
          <w:rFonts w:eastAsia="宋体" w:cs="Times New Roman"/>
          <w:bCs/>
          <w:sz w:val="24"/>
        </w:rPr>
      </w:r>
      <w:r/>
    </w:p>
    <w:p>
      <w:pPr>
        <w:pStyle w:val="680"/>
        <w:ind w:firstLine="480"/>
        <w:spacing w:line="560" w:lineRule="exact"/>
        <w:rPr>
          <w:rFonts w:eastAsia="宋体" w:cs="Times New Roman"/>
          <w:bCs/>
          <w:sz w:val="24"/>
        </w:rPr>
      </w:pPr>
      <w:r>
        <w:rPr>
          <w:rFonts w:eastAsia="宋体" w:cs="Times New Roman"/>
          <w:bCs/>
          <w:sz w:val="24"/>
        </w:rPr>
        <w:t xml:space="preserve">26.6</w:t>
      </w:r>
      <w:r>
        <w:rPr>
          <w:rFonts w:hint="eastAsia" w:eastAsia="宋体" w:cs="Times New Roman"/>
          <w:bCs/>
          <w:sz w:val="24"/>
        </w:rPr>
        <w:t xml:space="preserve">异常低价投标审查</w:t>
      </w:r>
      <w:r>
        <w:rPr>
          <w:rFonts w:eastAsia="宋体" w:cs="Times New Roman"/>
          <w:bCs/>
          <w:sz w:val="24"/>
        </w:rPr>
      </w:r>
      <w:r/>
    </w:p>
    <w:p>
      <w:pPr>
        <w:pStyle w:val="680"/>
        <w:ind w:firstLine="480"/>
        <w:spacing w:line="560" w:lineRule="exact"/>
        <w:rPr>
          <w:rFonts w:eastAsia="宋体" w:cs="Times New Roman"/>
          <w:bCs/>
          <w:sz w:val="24"/>
        </w:rPr>
      </w:pPr>
      <w:r>
        <w:rPr>
          <w:rFonts w:eastAsia="宋体" w:cs="Times New Roman"/>
          <w:bCs/>
          <w:sz w:val="24"/>
        </w:rPr>
        <w:t xml:space="preserve">26.6.1</w:t>
      </w:r>
      <w:r>
        <w:rPr>
          <w:rFonts w:hint="eastAsia" w:eastAsia="宋体" w:cs="Times New Roman"/>
          <w:bCs/>
          <w:sz w:val="24"/>
        </w:rPr>
        <w:t xml:space="preserve">评标过程中出现下列情形之一的，评标委员会应当启动异常低价投标审查程序：</w:t>
      </w:r>
      <w:r>
        <w:rPr>
          <w:rFonts w:eastAsia="宋体" w:cs="Times New Roman"/>
          <w:bCs/>
          <w:sz w:val="24"/>
        </w:rPr>
      </w:r>
      <w:r/>
    </w:p>
    <w:p>
      <w:pPr>
        <w:pStyle w:val="680"/>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（1）投标报价低于全部通过符合性审查供应商投标报价平均值50%的，即投标报价&lt;全部通过符合性审查供应商投标报价平均值×50%；</w:t>
      </w:r>
      <w:r>
        <w:rPr>
          <w:rFonts w:ascii="Times New Roman" w:hAnsi="Times New Roman" w:eastAsia="宋体" w:cs="仿宋"/>
          <w:sz w:val="24"/>
          <w:szCs w:val="22"/>
        </w:rPr>
      </w:r>
      <w:r/>
    </w:p>
    <w:p>
      <w:pPr>
        <w:pStyle w:val="680"/>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（2）投标报价低于通过符合性审查的次低报价供应商投标报价50%的，即投标报价&lt;通过符合性审查的次低报价供应商投标报价×50%；</w:t>
      </w:r>
      <w:r>
        <w:rPr>
          <w:rFonts w:ascii="Times New Roman" w:hAnsi="Times New Roman" w:eastAsia="宋体" w:cs="仿宋"/>
          <w:sz w:val="24"/>
          <w:szCs w:val="22"/>
        </w:rPr>
      </w:r>
      <w:r/>
    </w:p>
    <w:p>
      <w:pPr>
        <w:pStyle w:val="680"/>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（3）投标报价低于采购项目最高限价45%的，即投标报价&lt;采购项目最高限价×45%；</w:t>
      </w:r>
      <w:r>
        <w:rPr>
          <w:rFonts w:ascii="Times New Roman" w:hAnsi="Times New Roman" w:eastAsia="宋体" w:cs="仿宋"/>
          <w:sz w:val="24"/>
          <w:szCs w:val="22"/>
        </w:rPr>
      </w:r>
      <w:r/>
    </w:p>
    <w:p>
      <w:pPr>
        <w:pStyle w:val="680"/>
        <w:ind w:firstLine="480"/>
        <w:spacing w:line="560" w:lineRule="exact"/>
        <w:rPr>
          <w:rFonts w:eastAsia="宋体" w:cs="Times New Roman"/>
          <w:bCs/>
          <w:sz w:val="24"/>
        </w:rPr>
      </w:pPr>
      <w:r>
        <w:rPr>
          <w:rFonts w:hint="eastAsia" w:ascii="Times New Roman" w:hAnsi="Times New Roman" w:eastAsia="宋体" w:cs="仿宋"/>
          <w:sz w:val="24"/>
          <w:szCs w:val="22"/>
        </w:rPr>
        <w:t xml:space="preserve">（4）评标委员会基于专业判断，认为供应商报价过低，有可能影响产品质量或者不能诚信履约的其他情形。</w:t>
      </w:r>
      <w:r>
        <w:rPr>
          <w:rFonts w:eastAsia="宋体" w:cs="Times New Roman"/>
          <w:bCs/>
          <w:sz w:val="24"/>
        </w:rPr>
      </w:r>
      <w:r/>
    </w:p>
    <w:p>
      <w:pPr>
        <w:pStyle w:val="680"/>
        <w:ind w:firstLine="480"/>
        <w:spacing w:line="560" w:lineRule="exact"/>
        <w:rPr>
          <w:rFonts w:hint="eastAsia" w:eastAsia="宋体" w:cs="Times New Roman"/>
          <w:bCs/>
          <w:sz w:val="24"/>
        </w:rPr>
      </w:pPr>
      <w:r>
        <w:rPr>
          <w:rFonts w:eastAsia="宋体" w:cs="Times New Roman"/>
          <w:bCs/>
          <w:sz w:val="24"/>
        </w:rPr>
        <w:t xml:space="preserve">26.6.2</w:t>
      </w:r>
      <w:r>
        <w:rPr>
          <w:rFonts w:hint="eastAsia" w:eastAsia="宋体" w:cs="Times New Roman"/>
          <w:bCs/>
          <w:sz w:val="24"/>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再重复提交。</w:t>
      </w:r>
      <w:r>
        <w:rPr>
          <w:rFonts w:hint="eastAsia" w:eastAsia="宋体" w:cs="Times New Roman"/>
          <w:bCs/>
          <w:sz w:val="24"/>
        </w:rPr>
      </w:r>
      <w:r/>
    </w:p>
    <w:p>
      <w:pPr>
        <w:pStyle w:val="680"/>
        <w:ind w:firstLine="480"/>
        <w:spacing w:line="560" w:lineRule="exact"/>
        <w:rPr>
          <w:rFonts w:eastAsia="宋体" w:cs="Times New Roman"/>
          <w:bCs/>
          <w:sz w:val="24"/>
        </w:rPr>
      </w:pPr>
      <w:r>
        <w:rPr>
          <w:rFonts w:hint="eastAsia" w:eastAsia="宋体" w:cs="Times New Roman"/>
          <w:bCs/>
          <w:sz w:val="24"/>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rPr>
          <w:rFonts w:eastAsia="宋体" w:cs="Times New Roman"/>
          <w:bCs/>
          <w:sz w:val="24"/>
        </w:rPr>
      </w:r>
      <w:r/>
    </w:p>
    <w:p>
      <w:pPr>
        <w:pStyle w:val="680"/>
        <w:ind w:firstLine="480"/>
        <w:spacing w:line="560" w:lineRule="exact"/>
        <w:rPr>
          <w:rFonts w:eastAsia="宋体" w:cs="Times New Roman"/>
          <w:sz w:val="24"/>
        </w:rPr>
      </w:pPr>
      <w:r>
        <w:rPr>
          <w:rFonts w:eastAsia="宋体" w:cs="Times New Roman"/>
          <w:bCs/>
          <w:sz w:val="24"/>
        </w:rPr>
        <w:t xml:space="preserve">26.7</w:t>
      </w:r>
      <w:r>
        <w:rPr>
          <w:rFonts w:hint="eastAsia" w:eastAsia="宋体" w:cs="Times New Roman"/>
          <w:bCs/>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eastAsia="宋体" w:cs="Times New Roman"/>
          <w:sz w:val="24"/>
        </w:rPr>
      </w:r>
      <w:r/>
    </w:p>
    <w:p>
      <w:pPr>
        <w:pStyle w:val="680"/>
        <w:ind w:firstLine="480"/>
        <w:spacing w:line="560" w:lineRule="exact"/>
        <w:rPr>
          <w:rFonts w:eastAsia="宋体" w:cs="Times New Roman"/>
          <w:sz w:val="24"/>
        </w:rPr>
      </w:pPr>
      <w:r>
        <w:rPr>
          <w:rFonts w:eastAsia="宋体" w:cs="Times New Roman"/>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eastAsia="宋体" w:cs="Times New Roman"/>
          <w:sz w:val="24"/>
        </w:rPr>
        <w:t xml:space="preserve">根据招标文件规定的方式（招标文件未规定的采取随机抽取的方式）</w:t>
      </w:r>
      <w:r>
        <w:rPr>
          <w:rFonts w:eastAsia="宋体" w:cs="Times New Roman"/>
          <w:sz w:val="24"/>
        </w:rPr>
        <w:t xml:space="preserve">确定</w:t>
      </w:r>
      <w:r>
        <w:rPr>
          <w:rFonts w:hint="eastAsia" w:eastAsia="宋体" w:cs="Times New Roman"/>
          <w:sz w:val="24"/>
        </w:rPr>
        <w:t xml:space="preserve">一个中标候选人</w:t>
      </w:r>
      <w:r>
        <w:rPr>
          <w:rFonts w:eastAsia="宋体" w:cs="Times New Roman"/>
          <w:sz w:val="24"/>
        </w:rPr>
        <w:t xml:space="preserve">，其他同品牌投标人不作为中标候选人。</w:t>
      </w:r>
      <w:r>
        <w:rPr>
          <w:rFonts w:eastAsia="宋体" w:cs="Times New Roman"/>
          <w:sz w:val="24"/>
        </w:rPr>
      </w:r>
      <w:r/>
    </w:p>
    <w:p>
      <w:pPr>
        <w:pStyle w:val="680"/>
        <w:ind w:firstLine="420"/>
        <w:spacing w:line="560" w:lineRule="exact"/>
        <w:rPr>
          <w:rFonts w:eastAsia="宋体" w:cs="Times New Roman"/>
          <w:bCs/>
          <w:sz w:val="24"/>
        </w:rPr>
      </w:pPr>
      <w:r>
        <w:rPr>
          <w:rFonts w:eastAsia="宋体" w:cs="Times New Roman"/>
          <w:sz w:val="24"/>
        </w:rPr>
        <w:t xml:space="preserve">非单一产品采购项目，招标文件中</w:t>
      </w:r>
      <w:r>
        <w:rPr>
          <w:rFonts w:hint="eastAsia" w:eastAsia="宋体" w:cs="Times New Roman"/>
          <w:sz w:val="24"/>
        </w:rPr>
        <w:t xml:space="preserve">将载明其中的核心产品</w:t>
      </w:r>
      <w:r>
        <w:rPr>
          <w:rFonts w:eastAsia="宋体" w:cs="Times New Roman"/>
          <w:sz w:val="24"/>
        </w:rPr>
        <w:t xml:space="preserve">。多家投标人提供的核心产品品牌相同的，按前两款规定处理。</w:t>
      </w:r>
      <w:r>
        <w:rPr>
          <w:rFonts w:eastAsia="宋体" w:cs="Times New Roman"/>
          <w:bCs/>
          <w:sz w:val="24"/>
        </w:rPr>
      </w:r>
      <w:r/>
    </w:p>
    <w:p>
      <w:pPr>
        <w:pStyle w:val="680"/>
        <w:ind w:left="0" w:firstLine="420"/>
        <w:pageBreakBefore w:val="0"/>
        <w:spacing w:line="560" w:lineRule="exact"/>
        <w:rPr>
          <w:rFonts w:hint="eastAsia" w:ascii="Times New Roman" w:hAnsi="Times New Roman"/>
          <w:caps w:val="0"/>
          <w:color w:val="000000"/>
          <w:sz w:val="24"/>
          <w:highlight w:val="none"/>
        </w:rPr>
      </w:pPr>
      <w:r>
        <w:rPr>
          <w:rFonts w:hint="eastAsia" w:eastAsia="宋体" w:cs="Times New Roman"/>
          <w:sz w:val="24"/>
        </w:rPr>
        <w:t xml:space="preserve">26.8投标人在开、评标全过程中应</w:t>
      </w:r>
      <w:r>
        <w:rPr>
          <w:rFonts w:hint="eastAsia" w:eastAsia="仿宋" w:cs="Times New Roman"/>
          <w:sz w:val="24"/>
        </w:rPr>
        <w:t xml:space="preserve">随时保持系统在线</w:t>
      </w:r>
      <w:r>
        <w:rPr>
          <w:rFonts w:hint="eastAsia" w:eastAsia="宋体" w:cs="Times New Roman"/>
          <w:sz w:val="24"/>
        </w:rPr>
        <w:t xml:space="preserve">，及时在</w:t>
      </w:r>
      <w:r>
        <w:rPr>
          <w:rFonts w:hint="eastAsia" w:eastAsia="宋体" w:cs="Times New Roman"/>
          <w:sz w:val="24"/>
          <w:szCs w:val="24"/>
        </w:rPr>
        <w:t xml:space="preserve">“苏采云”系统</w:t>
      </w:r>
      <w:r>
        <w:rPr>
          <w:rFonts w:hint="eastAsia" w:eastAsia="宋体" w:cs="Times New Roman"/>
          <w:sz w:val="24"/>
        </w:rPr>
        <w:t xml:space="preserve">查阅</w:t>
      </w:r>
      <w:r>
        <w:rPr>
          <w:rFonts w:eastAsia="宋体" w:cs="Times New Roman"/>
          <w:sz w:val="24"/>
        </w:rPr>
        <w:t xml:space="preserve">、答复相关</w:t>
      </w:r>
      <w:r>
        <w:rPr>
          <w:rFonts w:hint="eastAsia" w:eastAsia="宋体" w:cs="Times New Roman"/>
          <w:sz w:val="24"/>
        </w:rPr>
        <w:t xml:space="preserve">信息。</w:t>
      </w:r>
      <w:r>
        <w:rPr>
          <w:rFonts w:hint="eastAsia" w:ascii="Times New Roman" w:hAnsi="Times New Roman"/>
          <w:caps w:val="0"/>
          <w:color w:val="000000"/>
          <w:sz w:val="24"/>
          <w:highlight w:val="none"/>
        </w:rPr>
      </w:r>
      <w:r/>
    </w:p>
    <w:p>
      <w:pPr>
        <w:pStyle w:val="684"/>
        <w:ind w:left="0" w:firstLine="42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w:t>
      </w:r>
      <w:bookmarkEnd w:id="163"/>
      <w:r/>
      <w:bookmarkEnd w:id="164"/>
      <w:r/>
      <w:bookmarkEnd w:id="165"/>
      <w:r>
        <w:rPr>
          <w:rFonts w:hint="eastAsia" w:ascii="Times New Roman" w:hAnsi="Times New Roman"/>
          <w:b w:val="0"/>
          <w:bCs w:val="0"/>
          <w:caps w:val="0"/>
          <w:color w:val="000000"/>
          <w:highlight w:val="none"/>
        </w:rPr>
        <w:t xml:space="preserve">无效投标条款和废标条款</w:t>
      </w:r>
      <w:r>
        <w:rPr>
          <w:rFonts w:hint="eastAsia" w:ascii="Times New Roman" w:hAnsi="Times New Roman"/>
          <w:b w:val="0"/>
          <w:bCs w:val="0"/>
          <w:caps w:val="0"/>
          <w:color w:val="000000"/>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bookmarkStart w:id="166" w:name="_Toc513029235"/>
      <w:r/>
      <w:bookmarkStart w:id="167" w:name="_Toc20823307"/>
      <w:r/>
      <w:bookmarkStart w:id="168" w:name="_Toc16938551"/>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.1无效投标条款</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bCs/>
          <w:caps w:val="0"/>
          <w:color w:val="000000"/>
          <w:sz w:val="24"/>
          <w:szCs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szCs w:val="24"/>
          <w:highlight w:val="none"/>
        </w:rPr>
        <w:t xml:space="preserve">.1.1 投标人在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szCs w:val="24"/>
          <w:highlight w:val="none"/>
        </w:rPr>
        <w:t xml:space="preserve">规定的时间内未成功解密电子投标文件的。</w:t>
      </w:r>
      <w:r>
        <w:rPr>
          <w:rFonts w:hint="eastAsia" w:ascii="Times New Roman" w:hAnsi="Times New Roman"/>
          <w:bCs/>
          <w:caps w:val="0"/>
          <w:color w:val="000000"/>
          <w:sz w:val="24"/>
          <w:szCs w:val="24"/>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.1.2 投标人未按照招标文件要求上传电子投标文件的。</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.1.3同一投标人提交两个（含两个）以上不同的投标报价的。</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.1.4投标人不具备招标文件中规定资格要求的。</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.1.5投标人的报价超过了采购预算或最高限价的。</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.1.6未通过符合性审查的。</w:t>
      </w:r>
      <w:r>
        <w:rPr>
          <w:rFonts w:hint="eastAsia" w:ascii="Times New Roman" w:hAnsi="Times New Roman"/>
          <w:bCs/>
          <w:i/>
          <w:caps w:val="0"/>
          <w:color w:val="000000"/>
          <w:sz w:val="24"/>
          <w:highlight w:val="none"/>
          <w:u w:val="single"/>
        </w:rPr>
      </w:r>
      <w:r/>
    </w:p>
    <w:p>
      <w:pPr>
        <w:pStyle w:val="680"/>
        <w:ind w:left="0" w:firstLine="36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i w:val="0"/>
          <w:iCs w:val="0"/>
          <w:caps w:val="0"/>
          <w:color w:val="000000"/>
          <w:sz w:val="24"/>
          <w:highlight w:val="none"/>
          <w:u w:val="none"/>
        </w:rPr>
        <w:t xml:space="preserve">（★内容</w:t>
      </w:r>
      <w:r>
        <w:rPr>
          <w:rFonts w:hint="eastAsia"/>
          <w:bCs/>
          <w:i w:val="0"/>
          <w:iCs w:val="0"/>
          <w:caps w:val="0"/>
          <w:color w:val="000000"/>
          <w:sz w:val="24"/>
          <w:highlight w:val="none"/>
          <w:u w:val="none"/>
          <w:lang w:val="en-US" w:eastAsia="zh-CN"/>
        </w:rPr>
        <w:t xml:space="preserve">为实质性</w:t>
      </w:r>
      <w:r>
        <w:rPr>
          <w:rFonts w:hint="eastAsia" w:ascii="Times New Roman" w:hAnsi="Times New Roman"/>
          <w:bCs/>
          <w:i w:val="0"/>
          <w:iCs w:val="0"/>
          <w:caps w:val="0"/>
          <w:color w:val="000000"/>
          <w:sz w:val="24"/>
          <w:highlight w:val="none"/>
          <w:u w:val="none"/>
        </w:rPr>
        <w:t xml:space="preserve">要求和条件）。</w:t>
      </w:r>
      <w:r>
        <w:rPr>
          <w:rFonts w:hint="eastAsia" w:ascii="Times New Roman" w:hAnsi="Times New Roman"/>
          <w:bCs/>
          <w:i/>
          <w:caps w:val="0"/>
          <w:color w:val="000000"/>
          <w:sz w:val="24"/>
          <w:highlight w:val="none"/>
          <w:u w:val="singl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highlight w:val="none"/>
        </w:rPr>
      </w:r>
      <w:r/>
    </w:p>
    <w:p>
      <w:pPr>
        <w:pStyle w:val="680"/>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i w:val="0"/>
          <w:iCs w:val="0"/>
          <w:caps w:val="0"/>
          <w:color w:val="000000"/>
          <w:sz w:val="24"/>
          <w:highlight w:val="none"/>
        </w:rPr>
        <w:t xml:space="preserve">2</w:t>
      </w:r>
      <w:r>
        <w:rPr>
          <w:rFonts w:hint="eastAsia" w:ascii="Times New Roman" w:hAnsi="Times New Roman"/>
          <w:bCs/>
          <w:i w:val="0"/>
          <w:iCs w:val="0"/>
          <w:caps w:val="0"/>
          <w:color w:val="000000"/>
          <w:sz w:val="24"/>
          <w:highlight w:val="none"/>
          <w:lang w:val="en-US" w:eastAsia="zh-CN"/>
        </w:rPr>
        <w:t xml:space="preserve">7</w:t>
      </w:r>
      <w:r>
        <w:rPr>
          <w:rFonts w:hint="eastAsia" w:ascii="Times New Roman" w:hAnsi="Times New Roman"/>
          <w:bCs/>
          <w:i w:val="0"/>
          <w:iCs w:val="0"/>
          <w:caps w:val="0"/>
          <w:color w:val="000000"/>
          <w:sz w:val="24"/>
          <w:highlight w:val="none"/>
        </w:rPr>
        <w:t xml:space="preserve">.1.9 投标</w:t>
      </w:r>
      <w:r>
        <w:rPr>
          <w:rFonts w:hint="eastAsia" w:ascii="Times New Roman" w:hAnsi="Times New Roman"/>
          <w:bCs/>
          <w:caps w:val="0"/>
          <w:color w:val="000000"/>
          <w:sz w:val="24"/>
          <w:highlight w:val="none"/>
        </w:rPr>
        <w:t xml:space="preserve">文件含有采购人不能接受的附加条件的。</w:t>
      </w:r>
      <w:r>
        <w:rPr>
          <w:rFonts w:hint="eastAsia" w:ascii="Times New Roman" w:hAnsi="Times New Roman"/>
          <w:bCs/>
          <w:caps w:val="0"/>
          <w:color w:val="000000"/>
          <w:sz w:val="24"/>
          <w:highlight w:val="none"/>
        </w:rPr>
      </w:r>
      <w:r/>
    </w:p>
    <w:p>
      <w:pPr>
        <w:pStyle w:val="680"/>
        <w:ind w:left="0" w:firstLine="42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.1.10</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highlight w:val="none"/>
        </w:rPr>
        <w:t xml:space="preserve">要求其在合理的时间内提供说明，必要时提交相关证明材料；投标人不能证明其报价合理性的，</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应当将其作为无效投标处理。</w:t>
      </w:r>
      <w:r>
        <w:rPr>
          <w:rFonts w:hint="eastAsia" w:ascii="Times New Roman" w:hAnsi="Times New Roman"/>
          <w:bCs/>
          <w:caps w:val="0"/>
          <w:color w:val="000000"/>
          <w:sz w:val="24"/>
          <w:highlight w:val="none"/>
        </w:rPr>
      </w:r>
      <w:r/>
    </w:p>
    <w:p>
      <w:pPr>
        <w:pStyle w:val="680"/>
        <w:ind w:left="0" w:firstLine="420"/>
        <w:keepLines w:val="0"/>
        <w:keepNext w:val="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Times New Roman"/>
          <w:caps w:val="0"/>
          <w:color w:val="000000"/>
          <w:sz w:val="24"/>
          <w:highlight w:val="none"/>
          <w:lang w:val="zh-CN"/>
        </w:rPr>
        <w:t xml:space="preserve">2</w:t>
      </w:r>
      <w:r>
        <w:rPr>
          <w:rFonts w:hint="eastAsia" w:ascii="Times New Roman" w:hAnsi="Times New Roman" w:eastAsia="宋体" w:cs="Times New Roman"/>
          <w:caps w:val="0"/>
          <w:color w:val="000000"/>
          <w:sz w:val="24"/>
          <w:highlight w:val="none"/>
          <w:lang w:val="en-US" w:eastAsia="zh-CN"/>
        </w:rPr>
        <w:t xml:space="preserve">7</w:t>
      </w:r>
      <w:r>
        <w:rPr>
          <w:rFonts w:hint="eastAsia" w:ascii="Times New Roman" w:hAnsi="Times New Roman" w:eastAsia="宋体" w:cs="Times New Roman"/>
          <w:caps w:val="0"/>
          <w:color w:val="000000"/>
          <w:sz w:val="24"/>
          <w:highlight w:val="none"/>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highlight w:val="none"/>
          <w:lang w:val="en-US" w:eastAsia="zh-CN"/>
        </w:rPr>
        <w:t xml:space="preserve">投标人</w:t>
      </w:r>
      <w:r>
        <w:rPr>
          <w:rFonts w:hint="eastAsia" w:ascii="Times New Roman" w:hAnsi="Times New Roman" w:eastAsia="宋体" w:cs="Times New Roman"/>
          <w:caps w:val="0"/>
          <w:color w:val="000000"/>
          <w:sz w:val="24"/>
          <w:highlight w:val="none"/>
          <w:lang w:val="zh-CN"/>
        </w:rPr>
        <w:t xml:space="preserve">所</w:t>
      </w:r>
      <w:r>
        <w:rPr>
          <w:rFonts w:hint="eastAsia" w:ascii="Times New Roman" w:hAnsi="Times New Roman" w:eastAsia="宋体" w:cs="Times New Roman"/>
          <w:caps w:val="0"/>
          <w:color w:val="000000"/>
          <w:sz w:val="24"/>
          <w:highlight w:val="none"/>
          <w:lang w:val="en-US" w:eastAsia="zh-CN"/>
        </w:rPr>
        <w:t xml:space="preserve">投</w:t>
      </w:r>
      <w:r>
        <w:rPr>
          <w:rFonts w:hint="eastAsia" w:ascii="Times New Roman" w:hAnsi="Times New Roman" w:eastAsia="宋体" w:cs="Times New Roman"/>
          <w:caps w:val="0"/>
          <w:color w:val="000000"/>
          <w:sz w:val="24"/>
          <w:highlight w:val="none"/>
          <w:lang w:val="zh-CN"/>
        </w:rPr>
        <w:t xml:space="preserve">产品不在强制采购范围内的。（</w:t>
      </w:r>
      <w:r>
        <w:rPr>
          <w:rFonts w:hint="eastAsia" w:ascii="Times New Roman" w:hAnsi="Times New Roman" w:eastAsia="宋体" w:cs="Times New Roman"/>
          <w:caps w:val="0"/>
          <w:color w:val="000000"/>
          <w:sz w:val="24"/>
          <w:highlight w:val="none"/>
          <w:lang w:val="en-US" w:eastAsia="zh-CN"/>
        </w:rPr>
        <w:t xml:space="preserve">所投</w:t>
      </w:r>
      <w:r>
        <w:rPr>
          <w:rFonts w:hint="eastAsia" w:ascii="Times New Roman" w:hAnsi="Times New Roman" w:eastAsia="宋体" w:cs="Times New Roman"/>
          <w:caps w:val="0"/>
          <w:color w:val="000000"/>
          <w:sz w:val="24"/>
          <w:highlight w:val="none"/>
          <w:lang w:val="zh-CN"/>
        </w:rPr>
        <w:t xml:space="preserve">产品如属于政府强制采购节能产品品目清单范围内，</w:t>
      </w:r>
      <w:r>
        <w:rPr>
          <w:rFonts w:hint="eastAsia" w:ascii="Times New Roman" w:hAnsi="Times New Roman" w:eastAsia="宋体" w:cs="Times New Roman"/>
          <w:caps w:val="0"/>
          <w:color w:val="000000"/>
          <w:sz w:val="24"/>
          <w:highlight w:val="none"/>
          <w:lang w:val="en-US" w:eastAsia="zh-CN"/>
        </w:rPr>
        <w:t xml:space="preserve">投标</w:t>
      </w:r>
      <w:r>
        <w:rPr>
          <w:rFonts w:hint="eastAsia" w:ascii="Times New Roman" w:hAnsi="Times New Roman" w:eastAsia="宋体" w:cs="Times New Roman"/>
          <w:caps w:val="0"/>
          <w:color w:val="000000"/>
          <w:sz w:val="24"/>
          <w:highlight w:val="none"/>
          <w:lang w:val="zh-CN"/>
        </w:rPr>
        <w:t xml:space="preserve">文件中必须提供国家确定的认证机构出具的、处于有效期之内的该节能产品认证证书图片）。</w:t>
      </w:r>
      <w:r>
        <w:rPr>
          <w:rFonts w:hint="eastAsia" w:ascii="Times New Roman" w:hAnsi="Times New Roman"/>
          <w:caps w:val="0"/>
          <w:color w:val="000000"/>
          <w:highlight w:val="none"/>
        </w:rPr>
      </w:r>
      <w:r/>
    </w:p>
    <w:p>
      <w:pPr>
        <w:pStyle w:val="680"/>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12</w:t>
      </w:r>
      <w:r>
        <w:rPr>
          <w:rFonts w:hint="eastAsia" w:ascii="Times New Roman" w:hAnsi="Times New Roman"/>
          <w:bCs/>
          <w:caps w:val="0"/>
          <w:color w:val="000000"/>
          <w:sz w:val="24"/>
          <w:highlight w:val="none"/>
        </w:rPr>
        <w:t xml:space="preserve"> 投标文件未按照招标文件要求加盖CA</w:t>
      </w:r>
      <w:r>
        <w:rPr>
          <w:rFonts w:ascii="Times New Roman" w:hAnsi="Times New Roman"/>
          <w:bCs/>
          <w:caps w:val="0"/>
          <w:color w:val="000000"/>
          <w:sz w:val="24"/>
          <w:highlight w:val="none"/>
        </w:rPr>
        <w:t xml:space="preserve">电子公章的</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eastAsia="宋体"/>
          <w:bCs/>
          <w:caps w:val="0"/>
          <w:color w:val="000000"/>
          <w:sz w:val="24"/>
          <w:highlight w:val="none"/>
          <w:lang w:eastAsia="zh-CN"/>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w:t>
      </w:r>
      <w:r>
        <w:rPr>
          <w:rFonts w:hint="eastAsia"/>
          <w:bCs/>
          <w:caps w:val="0"/>
          <w:color w:val="000000"/>
          <w:sz w:val="24"/>
          <w:highlight w:val="none"/>
          <w:lang w:val="en-US" w:eastAsia="zh-CN"/>
        </w:rPr>
        <w:t xml:space="preserve">3</w:t>
      </w:r>
      <w:r>
        <w:rPr>
          <w:rFonts w:hint="eastAsia" w:ascii="Times New Roman" w:hAnsi="Times New Roman"/>
          <w:bCs/>
          <w:caps w:val="0"/>
          <w:color w:val="000000"/>
          <w:sz w:val="24"/>
          <w:highlight w:val="none"/>
        </w:rPr>
        <w:t xml:space="preserve">其他法律、法规及本招标文件规定的属无效投标的</w:t>
      </w:r>
      <w:r>
        <w:rPr>
          <w:rFonts w:hint="eastAsia" w:ascii="Times New Roman" w:hAnsi="Times New Roman"/>
          <w:bCs/>
          <w:caps w:val="0"/>
          <w:color w:val="000000"/>
          <w:sz w:val="24"/>
          <w:highlight w:val="none"/>
          <w:lang w:eastAsia="zh-CN"/>
        </w:rPr>
        <w:t xml:space="preserve">。</w:t>
      </w:r>
      <w:r>
        <w:rPr>
          <w:rFonts w:hint="eastAsia" w:ascii="Times New Roman" w:hAnsi="Times New Roman" w:eastAsia="宋体"/>
          <w:bCs/>
          <w:caps w:val="0"/>
          <w:color w:val="000000"/>
          <w:sz w:val="24"/>
          <w:highlight w:val="none"/>
          <w:lang w:eastAsia="zh-CN"/>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.2废标条款</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eastAsia="宋体"/>
          <w:bCs/>
          <w:caps w:val="0"/>
          <w:color w:val="000000"/>
          <w:sz w:val="24"/>
          <w:highlight w:val="none"/>
          <w:lang w:eastAsia="zh-CN"/>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.2.1符合专业条件的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或者对招标文件作实质响应的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w:t>
      </w:r>
      <w:r>
        <w:rPr>
          <w:rFonts w:hint="eastAsia"/>
          <w:bCs/>
          <w:caps w:val="0"/>
          <w:color w:val="000000"/>
          <w:sz w:val="24"/>
          <w:highlight w:val="none"/>
          <w:lang w:eastAsia="zh-CN"/>
        </w:rPr>
        <w:t xml:space="preserve">。</w:t>
      </w:r>
      <w:r>
        <w:rPr>
          <w:rFonts w:hint="eastAsia" w:ascii="Times New Roman" w:hAnsi="Times New Roman" w:eastAsia="宋体"/>
          <w:bCs/>
          <w:caps w:val="0"/>
          <w:color w:val="000000"/>
          <w:sz w:val="24"/>
          <w:highlight w:val="none"/>
          <w:lang w:eastAsia="zh-CN"/>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.2.2出现影响采购公正的违法、违规行为的。</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.2.3因重大变故，采购任务取消的。</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.2.4</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认定招标文件存在歧义、重大缺陷导致评审工作无法进行。</w:t>
      </w:r>
      <w:r>
        <w:rPr>
          <w:rFonts w:ascii="Times New Roman" w:hAnsi="Times New Roman"/>
          <w:bCs/>
          <w:caps w:val="0"/>
          <w:color w:val="000000"/>
          <w:sz w:val="24"/>
          <w:highlight w:val="none"/>
        </w:rPr>
      </w:r>
      <w:r/>
    </w:p>
    <w:p>
      <w:pPr>
        <w:pStyle w:val="680"/>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.2.5 因</w:t>
      </w:r>
      <w:r>
        <w:rPr>
          <w:rFonts w:hint="eastAsia" w:ascii="Times New Roman" w:hAnsi="Times New Roman"/>
          <w:caps w:val="0"/>
          <w:color w:val="000000"/>
          <w:sz w:val="24"/>
          <w:szCs w:val="24"/>
          <w:highlight w:val="none"/>
          <w:lang w:eastAsia="zh-CN"/>
        </w:rPr>
        <w:t xml:space="preserve">“苏采云”系统</w:t>
      </w:r>
      <w:r>
        <w:rPr>
          <w:rFonts w:ascii="Times New Roman" w:hAnsi="Times New Roman"/>
          <w:bCs/>
          <w:caps w:val="0"/>
          <w:color w:val="000000"/>
          <w:sz w:val="24"/>
          <w:highlight w:val="none"/>
        </w:rPr>
        <w:t xml:space="preserve">系统故障原因造成开标不成功</w:t>
      </w:r>
      <w:r>
        <w:rPr>
          <w:rFonts w:hint="eastAsia" w:ascii="Times New Roman" w:hAnsi="Times New Roman"/>
          <w:bCs/>
          <w:caps w:val="0"/>
          <w:color w:val="000000"/>
          <w:sz w:val="24"/>
          <w:highlight w:val="none"/>
        </w:rPr>
        <w:t xml:space="preserve">的</w:t>
      </w:r>
      <w:r>
        <w:rPr>
          <w:rFonts w:ascii="Times New Roman" w:hAnsi="Times New Roman"/>
          <w:bCs/>
          <w:caps w:val="0"/>
          <w:color w:val="000000"/>
          <w:sz w:val="24"/>
          <w:highlight w:val="none"/>
        </w:rPr>
        <w:t xml:space="preserve">。</w:t>
      </w:r>
      <w:r>
        <w:rPr>
          <w:rFonts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 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不足三家的处理：</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.3.1如出现投标截止时间结束后参加投标的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或者在评标期间对招标文件做出实质响应的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不足三家情况，按政府采购相关规定执行。</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注:本项目为苏采云系统电子标。因系统原因评标委员会仅可通过苏采云系统向被废标供应商发送被废标的“告知函”，后续将不再向被废标供应商发放纸质版无效标通知书。</w:t>
      </w:r>
      <w:r>
        <w:rPr>
          <w:rFonts w:hint="eastAsia" w:ascii="Times New Roman" w:hAnsi="Times New Roman"/>
          <w:bCs/>
          <w:caps w:val="0"/>
          <w:color w:val="000000"/>
          <w:sz w:val="24"/>
          <w:highlight w:val="none"/>
        </w:rPr>
      </w:r>
      <w:r/>
    </w:p>
    <w:p>
      <w:pPr>
        <w:pStyle w:val="683"/>
        <w:ind w:left="0" w:firstLine="482"/>
        <w:pageBreakBefore w:val="0"/>
        <w:spacing w:before="0" w:after="0" w:line="560" w:lineRule="exact"/>
        <w:rPr>
          <w:rFonts w:hint="eastAsia" w:ascii="Times New Roman" w:hAnsi="Times New Roman"/>
          <w:caps w:val="0"/>
          <w:color w:val="000000"/>
          <w:highlight w:val="none"/>
        </w:rPr>
      </w:pPr>
      <w:r/>
      <w:bookmarkStart w:id="169" w:name="_Toc120614219"/>
      <w:r>
        <w:rPr>
          <w:rFonts w:hint="eastAsia" w:ascii="Times New Roman" w:hAnsi="Times New Roman"/>
          <w:caps w:val="0"/>
          <w:color w:val="000000"/>
          <w:highlight w:val="none"/>
        </w:rPr>
        <w:t xml:space="preserve">六、</w:t>
      </w:r>
      <w:bookmarkEnd w:id="166"/>
      <w:r/>
      <w:bookmarkEnd w:id="167"/>
      <w:r/>
      <w:bookmarkEnd w:id="168"/>
      <w:r>
        <w:rPr>
          <w:rFonts w:hint="eastAsia" w:ascii="Times New Roman" w:hAnsi="Times New Roman"/>
          <w:caps w:val="0"/>
          <w:color w:val="000000"/>
          <w:highlight w:val="none"/>
        </w:rPr>
        <w:t xml:space="preserve">定标</w:t>
      </w:r>
      <w:bookmarkEnd w:id="169"/>
      <w:r>
        <w:rPr>
          <w:rFonts w:hint="eastAsia" w:ascii="Times New Roman" w:hAnsi="Times New Roman"/>
          <w:caps w:val="0"/>
          <w:color w:val="000000"/>
          <w:highlight w:val="none"/>
        </w:rPr>
      </w:r>
      <w:r/>
    </w:p>
    <w:p>
      <w:pPr>
        <w:pStyle w:val="684"/>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Start w:id="170" w:name="_Toc513029238"/>
      <w:r/>
      <w:bookmarkStart w:id="171" w:name="_Toc16938554"/>
      <w:r/>
      <w:bookmarkStart w:id="172" w:name="_Toc20823310"/>
      <w:r>
        <w:rPr>
          <w:rFonts w:hint="eastAsia" w:ascii="Times New Roman" w:hAnsi="Times New Roman" w:cs="Times New Roman"/>
          <w:b w:val="0"/>
          <w:caps w:val="0"/>
          <w:color w:val="000000"/>
          <w:sz w:val="30"/>
          <w:szCs w:val="30"/>
          <w:highlight w:val="none"/>
          <w:lang w:val="en-US" w:eastAsia="zh-CN"/>
        </w:rPr>
        <w:t xml:space="preserve">2</w:t>
      </w:r>
      <w:r>
        <w:rPr>
          <w:rFonts w:hint="eastAsia" w:ascii="Times New Roman" w:hAnsi="Times New Roman" w:cs="Times New Roman"/>
          <w:b w:val="0"/>
          <w:caps w:val="0"/>
          <w:color w:val="000000"/>
          <w:sz w:val="30"/>
          <w:szCs w:val="30"/>
          <w:highlight w:val="none"/>
          <w:lang w:val="en-US" w:eastAsia="zh-CN"/>
        </w:rPr>
        <w:t xml:space="preserve">8</w:t>
      </w:r>
      <w:r>
        <w:rPr>
          <w:rFonts w:hint="eastAsia" w:ascii="Times New Roman" w:hAnsi="Times New Roman" w:cs="Times New Roman"/>
          <w:b w:val="0"/>
          <w:caps w:val="0"/>
          <w:color w:val="000000"/>
          <w:sz w:val="30"/>
          <w:szCs w:val="30"/>
          <w:highlight w:val="none"/>
        </w:rPr>
        <w:t xml:space="preserve">、</w:t>
      </w:r>
      <w:bookmarkEnd w:id="170"/>
      <w:r>
        <w:rPr>
          <w:rFonts w:hint="eastAsia" w:ascii="Times New Roman" w:hAnsi="Times New Roman" w:cs="Times New Roman"/>
          <w:b w:val="0"/>
          <w:caps w:val="0"/>
          <w:color w:val="000000"/>
          <w:sz w:val="30"/>
          <w:szCs w:val="30"/>
          <w:highlight w:val="none"/>
        </w:rPr>
        <w:t xml:space="preserve">确定</w:t>
      </w:r>
      <w:bookmarkEnd w:id="171"/>
      <w:r/>
      <w:bookmarkEnd w:id="172"/>
      <w:r>
        <w:rPr>
          <w:rFonts w:hint="eastAsia" w:ascii="Times New Roman" w:hAnsi="Times New Roman" w:cs="Times New Roman"/>
          <w:b w:val="0"/>
          <w:caps w:val="0"/>
          <w:color w:val="000000"/>
          <w:sz w:val="30"/>
          <w:szCs w:val="30"/>
          <w:highlight w:val="none"/>
        </w:rPr>
        <w:t xml:space="preserve">中标单位</w:t>
      </w:r>
      <w:r>
        <w:rPr>
          <w:rFonts w:hint="eastAsia" w:ascii="Times New Roman" w:hAnsi="Times New Roman" w:cs="Times New Roman"/>
          <w:b w:val="0"/>
          <w:caps w:val="0"/>
          <w:color w:val="000000"/>
          <w:sz w:val="30"/>
          <w:szCs w:val="30"/>
          <w:highlight w:val="none"/>
        </w:rPr>
      </w:r>
      <w:r/>
    </w:p>
    <w:p>
      <w:pPr>
        <w:pStyle w:val="680"/>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8</w:t>
      </w:r>
      <w:r>
        <w:rPr>
          <w:rFonts w:hint="eastAsia" w:ascii="Times New Roman" w:hAnsi="Times New Roman"/>
          <w:bCs/>
          <w:caps w:val="0"/>
          <w:color w:val="000000"/>
          <w:sz w:val="24"/>
          <w:highlight w:val="none"/>
        </w:rPr>
        <w:t xml:space="preserve">.1中标候选人的选取原则和数量见招标文件第五章规定。 </w:t>
      </w:r>
      <w:r>
        <w:rPr>
          <w:rFonts w:hint="eastAsia" w:ascii="Times New Roman" w:hAnsi="Times New Roman"/>
          <w:bCs/>
          <w:caps w:val="0"/>
          <w:color w:val="000000"/>
          <w:sz w:val="24"/>
          <w:highlight w:val="none"/>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rFonts w:hint="eastAsia" w:ascii="Times New Roman" w:hAnsi="Times New Roman" w:eastAsia="宋体" w:cs="Times New Roman"/>
          <w:bCs/>
          <w:caps w:val="0"/>
          <w:color w:val="000000"/>
          <w:sz w:val="24"/>
          <w:highlight w:val="none"/>
          <w:lang w:val="zh-CN"/>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（1）评委会直接确定排名第一的中标候选人为中标人；</w:t>
      </w:r>
      <w:r>
        <w:rPr>
          <w:rFonts w:hint="eastAsia" w:ascii="Times New Roman" w:hAnsi="Times New Roman" w:eastAsia="宋体" w:cs="Times New Roman"/>
          <w:bCs/>
          <w:caps w:val="0"/>
          <w:color w:val="000000"/>
          <w:sz w:val="24"/>
          <w:highlight w:val="none"/>
          <w:lang w:val="zh-CN"/>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（2）采购人在评委会推荐的中标候选人中按顺序确定中标人。</w:t>
      </w:r>
      <w:r>
        <w:rPr>
          <w:rFonts w:hint="eastAsia" w:ascii="Times New Roman" w:hAnsi="Times New Roman" w:eastAsia="宋体" w:cs="Times New Roman"/>
          <w:bCs/>
          <w:caps w:val="0"/>
          <w:color w:val="000000"/>
          <w:sz w:val="24"/>
          <w:highlight w:val="none"/>
          <w:lang w:val="zh-CN"/>
        </w:rPr>
      </w:r>
      <w:r/>
    </w:p>
    <w:p>
      <w:pPr>
        <w:pStyle w:val="680"/>
        <w:ind w:left="0" w:firstLine="480"/>
        <w:pageBreakBefore w:val="0"/>
        <w:spacing w:line="560" w:lineRule="exact"/>
        <w:rPr>
          <w:rFonts w:hint="eastAsia" w:ascii="Times New Roman" w:hAnsi="Times New Roman"/>
          <w:caps w:val="0"/>
          <w:color w:val="000000"/>
          <w:highlight w:val="none"/>
        </w:rPr>
      </w:pPr>
      <w:r>
        <w:rPr>
          <w:rFonts w:hint="eastAsia" w:ascii="Times New Roman" w:hAnsi="Times New Roman" w:eastAsia="宋体" w:cs="Times New Roman"/>
          <w:bCs/>
          <w:caps w:val="0"/>
          <w:color w:val="000000"/>
          <w:sz w:val="24"/>
          <w:highlight w:val="none"/>
          <w:lang w:val="zh-CN"/>
        </w:rPr>
        <w:t xml:space="preserve">按第</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种方式确定中标人的，</w:t>
      </w:r>
      <w:r>
        <w:rPr>
          <w:rFonts w:hint="eastAsia" w:ascii="Times New Roman" w:hAnsi="Times New Roman" w:eastAsia="宋体" w:cs="Times New Roman"/>
          <w:bCs/>
          <w:caps w:val="0"/>
          <w:color w:val="000000"/>
          <w:sz w:val="24"/>
          <w:highlight w:val="none"/>
          <w:lang w:val="en-US" w:eastAsia="zh-CN"/>
        </w:rPr>
        <w:t xml:space="preserve">采购代理机构</w:t>
      </w:r>
      <w:r>
        <w:rPr>
          <w:rFonts w:hint="eastAsia"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2</w:t>
      </w:r>
      <w:r>
        <w:rPr>
          <w:rFonts w:hint="eastAsia" w:ascii="Times New Roman" w:hAnsi="Times New Roman"/>
          <w:bCs/>
          <w:caps w:val="0"/>
          <w:color w:val="000000"/>
          <w:sz w:val="24"/>
          <w:szCs w:val="24"/>
          <w:highlight w:val="none"/>
          <w:lang w:val="en-US" w:eastAsia="zh-CN"/>
        </w:rPr>
        <w:t xml:space="preserve">8</w:t>
      </w:r>
      <w:r>
        <w:rPr>
          <w:rFonts w:hint="eastAsia" w:ascii="Times New Roman" w:hAnsi="Times New Roman"/>
          <w:bCs/>
          <w:caps w:val="0"/>
          <w:color w:val="000000"/>
          <w:sz w:val="24"/>
          <w:szCs w:val="24"/>
          <w:highlight w:val="none"/>
        </w:rPr>
        <w:t xml:space="preserve">.3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将在“</w:t>
      </w:r>
      <w:r>
        <w:rPr>
          <w:rFonts w:hint="eastAsia" w:ascii="Times New Roman" w:hAnsi="Times New Roman"/>
          <w:caps w:val="0"/>
          <w:color w:val="000000"/>
          <w:sz w:val="24"/>
          <w:szCs w:val="24"/>
          <w:highlight w:val="none"/>
          <w:lang w:val="en-US" w:eastAsia="zh-CN"/>
        </w:rPr>
        <w:t xml:space="preserve">宿迁市</w:t>
      </w:r>
      <w:r>
        <w:rPr>
          <w:rFonts w:hint="eastAsia" w:ascii="Times New Roman" w:hAnsi="Times New Roman"/>
          <w:caps w:val="0"/>
          <w:color w:val="000000"/>
          <w:sz w:val="24"/>
          <w:szCs w:val="24"/>
          <w:highlight w:val="none"/>
        </w:rPr>
        <w:t xml:space="preserve">政府采购网”发布中标公告，公告期限为1个工作日。</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  若有充分证据证明，中标人出现下列情况之一的，一经查实，将被取消中标资格：</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.4.1提供虚假材料谋取中标的。</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.4.2向采购人、</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行贿或者提供其他不正当利益的。</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.4.3属于本文件规定的无效条件，但在评标过程中又未被评委会发现的。</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.4.4与采购人或者其他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恶意串通的。</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.4.5采取不正当手段诋毁、排挤其他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ascii="Times New Roman" w:hAnsi="Times New Roman"/>
          <w:caps w:val="0"/>
          <w:color w:val="000000"/>
          <w:sz w:val="24"/>
          <w:szCs w:val="24"/>
          <w:highlight w:val="none"/>
        </w:rPr>
      </w:pPr>
      <w:r/>
      <w:bookmarkStart w:id="173" w:name="_Toc200451960"/>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 </w:t>
      </w:r>
      <w:r>
        <w:rPr>
          <w:rFonts w:ascii="Times New Roman" w:hAnsi="Times New Roman" w:cs="宋体"/>
          <w:caps w:val="0"/>
          <w:color w:val="000000"/>
          <w:sz w:val="24"/>
          <w:szCs w:val="24"/>
          <w:highlight w:val="none"/>
        </w:rPr>
        <w:t xml:space="preserve">有下列情形之一的，</w:t>
      </w:r>
      <w:r>
        <w:rPr>
          <w:rFonts w:hint="eastAsia" w:ascii="Times New Roman" w:hAnsi="Times New Roman" w:cs="宋体"/>
          <w:caps w:val="0"/>
          <w:color w:val="000000"/>
          <w:sz w:val="24"/>
          <w:szCs w:val="24"/>
          <w:highlight w:val="none"/>
        </w:rPr>
        <w:t xml:space="preserve">视为投标人</w:t>
      </w:r>
      <w:r>
        <w:rPr>
          <w:rFonts w:ascii="Times New Roman" w:hAnsi="Times New Roman" w:cs="宋体"/>
          <w:caps w:val="0"/>
          <w:color w:val="000000"/>
          <w:sz w:val="24"/>
          <w:szCs w:val="24"/>
          <w:highlight w:val="none"/>
        </w:rPr>
        <w:t xml:space="preserve">串通</w:t>
      </w:r>
      <w:r>
        <w:rPr>
          <w:rFonts w:hint="eastAsia" w:ascii="Times New Roman" w:hAnsi="Times New Roman" w:cs="宋体"/>
          <w:caps w:val="0"/>
          <w:color w:val="000000"/>
          <w:sz w:val="24"/>
          <w:szCs w:val="24"/>
          <w:highlight w:val="none"/>
        </w:rPr>
        <w:t xml:space="preserve">投标，投标无效：</w:t>
      </w:r>
      <w:r>
        <w:rPr>
          <w:rFonts w:ascii="Times New Roman" w:hAnsi="Times New Roman"/>
          <w:caps w:val="0"/>
          <w:color w:val="000000"/>
          <w:sz w:val="24"/>
          <w:szCs w:val="24"/>
          <w:highlight w:val="none"/>
        </w:rPr>
      </w:r>
      <w:r/>
    </w:p>
    <w:p>
      <w:pPr>
        <w:pStyle w:val="680"/>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.5.1不同投标人的投标文件由同一单位或者个人编制。</w:t>
      </w:r>
      <w:r>
        <w:rPr>
          <w:rFonts w:ascii="Times New Roman" w:hAnsi="Times New Roman"/>
          <w:caps w:val="0"/>
          <w:color w:val="000000"/>
          <w:sz w:val="24"/>
          <w:szCs w:val="24"/>
          <w:highlight w:val="none"/>
        </w:rPr>
      </w:r>
      <w:r/>
    </w:p>
    <w:p>
      <w:pPr>
        <w:pStyle w:val="680"/>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.5.2不同投标人委托同一单位或者个人办理投标事宜。</w:t>
      </w:r>
      <w:r>
        <w:rPr>
          <w:rFonts w:ascii="Times New Roman" w:hAnsi="Times New Roman"/>
          <w:caps w:val="0"/>
          <w:color w:val="000000"/>
          <w:sz w:val="24"/>
          <w:szCs w:val="24"/>
          <w:highlight w:val="none"/>
        </w:rPr>
      </w:r>
      <w:r/>
    </w:p>
    <w:p>
      <w:pPr>
        <w:pStyle w:val="680"/>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.5.3 不同投标人的投标文件载明的项目管理成员或者联系人员为同一人。</w:t>
      </w:r>
      <w:r>
        <w:rPr>
          <w:rFonts w:ascii="Times New Roman" w:hAnsi="Times New Roman"/>
          <w:caps w:val="0"/>
          <w:color w:val="000000"/>
          <w:sz w:val="24"/>
          <w:szCs w:val="24"/>
          <w:highlight w:val="none"/>
        </w:rPr>
      </w:r>
      <w:r/>
    </w:p>
    <w:p>
      <w:pPr>
        <w:pStyle w:val="680"/>
        <w:ind w:left="0" w:firstLine="480"/>
        <w:pageBreakBefore w:val="0"/>
        <w:spacing w:line="560" w:lineRule="exact"/>
        <w:rPr>
          <w:rFonts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.5.4不同投标人的投标文件异常一致或者投标报价呈规律性差异。</w:t>
      </w:r>
      <w:r>
        <w:rPr>
          <w:rFonts w:ascii="Times New Roman" w:hAnsi="Times New Roman" w:eastAsia="宋体"/>
          <w:caps w:val="0"/>
          <w:color w:val="000000"/>
          <w:sz w:val="24"/>
          <w:szCs w:val="24"/>
          <w:highlight w:val="none"/>
          <w:lang w:val="en-US" w:eastAsia="zh-CN"/>
        </w:rPr>
      </w:r>
      <w:r/>
    </w:p>
    <w:p>
      <w:pPr>
        <w:pStyle w:val="684"/>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w:t>
      </w:r>
      <w:r>
        <w:rPr>
          <w:rFonts w:hint="eastAsia" w:ascii="Times New Roman" w:hAnsi="Times New Roman" w:cs="Times New Roman"/>
          <w:b w:val="0"/>
          <w:caps w:val="0"/>
          <w:color w:val="000000"/>
          <w:sz w:val="30"/>
          <w:szCs w:val="30"/>
          <w:highlight w:val="none"/>
          <w:lang w:val="en-US" w:eastAsia="zh-CN"/>
        </w:rPr>
        <w:t xml:space="preserve">9</w:t>
      </w:r>
      <w:r>
        <w:rPr>
          <w:rFonts w:hint="eastAsia" w:ascii="Times New Roman" w:hAnsi="Times New Roman" w:cs="Times New Roman"/>
          <w:b w:val="0"/>
          <w:caps w:val="0"/>
          <w:color w:val="000000"/>
          <w:sz w:val="30"/>
          <w:szCs w:val="30"/>
          <w:highlight w:val="none"/>
        </w:rPr>
        <w:t xml:space="preserve">、质疑处理</w:t>
      </w:r>
      <w:bookmarkEnd w:id="173"/>
      <w:r>
        <w:rPr>
          <w:rFonts w:hint="eastAsia" w:ascii="Times New Roman" w:hAnsi="Times New Roman" w:cs="Times New Roman"/>
          <w:b w:val="0"/>
          <w:caps w:val="0"/>
          <w:color w:val="000000"/>
          <w:sz w:val="30"/>
          <w:szCs w:val="30"/>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.1 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.2.1</w:t>
      </w:r>
      <w:r>
        <w:rPr>
          <w:rFonts w:ascii="Times New Roman" w:hAnsi="Times New Roman" w:cs="宋体"/>
          <w:caps w:val="0"/>
          <w:color w:val="000000"/>
          <w:sz w:val="24"/>
          <w:szCs w:val="24"/>
          <w:highlight w:val="none"/>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highlight w:val="none"/>
        </w:rPr>
      </w:r>
      <w:r/>
    </w:p>
    <w:p>
      <w:pPr>
        <w:pStyle w:val="680"/>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.2.2</w:t>
      </w:r>
      <w:r>
        <w:rPr>
          <w:rFonts w:ascii="Times New Roman" w:hAnsi="Times New Roman" w:cs="宋体"/>
          <w:caps w:val="0"/>
          <w:color w:val="000000"/>
          <w:sz w:val="24"/>
          <w:szCs w:val="24"/>
          <w:highlight w:val="none"/>
        </w:rPr>
        <w:t xml:space="preserve">对采购过程提出质疑的，为各采购程序环节结束之日；</w:t>
      </w:r>
      <w:r>
        <w:rPr>
          <w:rFonts w:hint="eastAsia" w:ascii="Times New Roman" w:hAnsi="Times New Roman" w:cs="宋体"/>
          <w:caps w:val="0"/>
          <w:color w:val="000000"/>
          <w:sz w:val="24"/>
          <w:szCs w:val="24"/>
          <w:highlight w:val="none"/>
        </w:rPr>
      </w:r>
      <w:r/>
    </w:p>
    <w:p>
      <w:pPr>
        <w:pStyle w:val="680"/>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.2.3</w:t>
      </w:r>
      <w:r>
        <w:rPr>
          <w:rFonts w:ascii="Times New Roman" w:hAnsi="Times New Roman" w:cs="宋体"/>
          <w:caps w:val="0"/>
          <w:color w:val="000000"/>
          <w:sz w:val="24"/>
          <w:szCs w:val="24"/>
          <w:highlight w:val="none"/>
        </w:rPr>
        <w:t xml:space="preserve">对中标或者成交结果提出质疑的，为中标或者成交结果公告期限届满之日。</w:t>
      </w:r>
      <w:r>
        <w:rPr>
          <w:rFonts w:hint="eastAsia" w:ascii="Times New Roman" w:hAnsi="Times New Roman" w:cs="宋体"/>
          <w:caps w:val="0"/>
          <w:color w:val="000000"/>
          <w:sz w:val="24"/>
          <w:szCs w:val="24"/>
          <w:highlight w:val="none"/>
        </w:rPr>
      </w:r>
      <w:r/>
    </w:p>
    <w:p>
      <w:pPr>
        <w:pStyle w:val="680"/>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应当在法定质疑期内一次性提出针对同一采购程序环节的质疑。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如在法定期限内对同一采购程序环节提出多次质疑的，</w:t>
      </w:r>
      <w:r>
        <w:rPr>
          <w:rFonts w:hint="eastAsia" w:ascii="Times New Roman" w:hAnsi="Times New Roman" w:cs="宋体"/>
          <w:caps w:val="0"/>
          <w:color w:val="000000"/>
          <w:sz w:val="24"/>
          <w:szCs w:val="24"/>
          <w:highlight w:val="none"/>
          <w:lang w:eastAsia="zh-CN"/>
        </w:rPr>
        <w:t xml:space="preserve">采购代理机构</w:t>
      </w:r>
      <w:r>
        <w:rPr>
          <w:rFonts w:hint="eastAsia" w:ascii="Times New Roman" w:hAnsi="Times New Roman" w:cs="宋体"/>
          <w:caps w:val="0"/>
          <w:color w:val="000000"/>
          <w:sz w:val="24"/>
          <w:szCs w:val="24"/>
          <w:highlight w:val="none"/>
        </w:rPr>
        <w:t xml:space="preserve">、</w:t>
      </w:r>
      <w:r>
        <w:rPr>
          <w:rFonts w:ascii="Times New Roman" w:hAnsi="Times New Roman" w:cs="宋体"/>
          <w:caps w:val="0"/>
          <w:color w:val="000000"/>
          <w:sz w:val="24"/>
          <w:szCs w:val="24"/>
          <w:highlight w:val="none"/>
        </w:rPr>
        <w:t xml:space="preserve">采购人</w:t>
      </w:r>
      <w:r>
        <w:rPr>
          <w:rFonts w:hint="eastAsia" w:ascii="Times New Roman" w:hAnsi="Times New Roman" w:cs="宋体"/>
          <w:caps w:val="0"/>
          <w:color w:val="000000"/>
          <w:sz w:val="24"/>
          <w:szCs w:val="24"/>
          <w:highlight w:val="none"/>
        </w:rPr>
        <w:t xml:space="preserve">将只对</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第一次质疑作出答复。</w:t>
      </w:r>
      <w:r>
        <w:rPr>
          <w:rFonts w:hint="eastAsia" w:ascii="Times New Roman" w:hAnsi="Times New Roman" w:cs="宋体"/>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.3质疑函必须按照本招标文件中《质疑函范本》要求的格式和内容进行填写。</w:t>
      </w:r>
      <w:r>
        <w:rPr>
          <w:rFonts w:hint="eastAsia" w:ascii="Times New Roman" w:hAnsi="Times New Roman"/>
          <w:caps w:val="0"/>
          <w:color w:val="000000"/>
          <w:sz w:val="24"/>
          <w:szCs w:val="24"/>
          <w:highlight w:val="none"/>
        </w:rPr>
      </w:r>
      <w:r/>
    </w:p>
    <w:p>
      <w:pPr>
        <w:pStyle w:val="680"/>
        <w:ind w:left="0"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w:t>
      </w:r>
      <w:bookmarkStart w:id="174" w:name="OLE_LINK1"/>
      <w:r>
        <w:rPr>
          <w:rFonts w:hint="eastAsia" w:ascii="Times New Roman" w:hAnsi="Times New Roman"/>
          <w:color w:val="000000"/>
          <w:sz w:val="24"/>
          <w:szCs w:val="24"/>
          <w:highlight w:val="none"/>
        </w:rPr>
        <w:t xml:space="preserve">投标人应以书面形式向招标人或者其委托的采购代理机构提出质疑。质疑超出采购机构代理范围的，投标人应当向招标人提出。</w:t>
      </w:r>
      <w:r>
        <w:rPr>
          <w:rFonts w:hint="eastAsia" w:ascii="Times New Roman" w:hAnsi="Times New Roman"/>
          <w:color w:val="000000"/>
          <w:sz w:val="24"/>
          <w:szCs w:val="24"/>
          <w:highlight w:val="none"/>
        </w:rPr>
      </w:r>
      <w:r/>
    </w:p>
    <w:p>
      <w:pPr>
        <w:pStyle w:val="680"/>
        <w:ind w:left="0" w:firstLine="480"/>
        <w:pageBreakBefore w:val="0"/>
        <w:spacing w:line="560" w:lineRule="exact"/>
        <w:widowControl w:val="off"/>
        <w:rPr>
          <w:rFonts w:hint="eastAsia" w:ascii="Times New Roman" w:hAnsi="Times New Roman" w:cs="仿宋"/>
          <w:b/>
          <w:bCs/>
          <w:sz w:val="24"/>
          <w:highlight w:val="none"/>
        </w:rPr>
      </w:pPr>
      <w:r>
        <w:rPr>
          <w:rFonts w:hint="eastAsia" w:ascii="Times New Roman" w:hAnsi="Times New Roman"/>
          <w:color w:val="000000"/>
          <w:sz w:val="24"/>
          <w:szCs w:val="24"/>
          <w:highlight w:val="none"/>
        </w:rPr>
        <w:t xml:space="preserve">接收质疑函的方式：现场接收或邮寄接收。</w:t>
      </w:r>
      <w:r>
        <w:rPr>
          <w:rFonts w:hint="eastAsia" w:ascii="Times New Roman" w:hAnsi="Times New Roman" w:cs="仿宋"/>
          <w:b/>
          <w:bCs/>
          <w:sz w:val="24"/>
          <w:highlight w:val="none"/>
        </w:rPr>
      </w:r>
      <w:r/>
    </w:p>
    <w:p>
      <w:pPr>
        <w:pStyle w:val="680"/>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s="仿宋"/>
          <w:sz w:val="24"/>
          <w:highlight w:val="none"/>
        </w:rPr>
        <w:t xml:space="preserve">联系电话、通讯地址详见采购公告。</w:t>
      </w:r>
      <w:bookmarkEnd w:id="174"/>
      <w:r>
        <w:rPr>
          <w:rFonts w:hint="eastAsia" w:ascii="Times New Roman" w:hAnsi="Times New Roman"/>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 以下情形的质疑不予受理</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.5.1 内容不符合《政府采购质疑和投诉办法》第十二条规定的质疑。</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.5.2 超出政府采购法定期限的质疑。</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.5.3 以传真、电子邮件等方式递交的非原件形式的质疑。</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.5.4 未参加投标活动的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或在投标活动中自身权益未受到损害的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所提出的质疑。</w:t>
      </w:r>
      <w:r>
        <w:rPr>
          <w:rFonts w:hint="eastAsia" w:ascii="Times New Roman" w:hAnsi="Times New Roman"/>
          <w:caps w:val="0"/>
          <w:color w:val="000000"/>
          <w:sz w:val="24"/>
          <w:szCs w:val="24"/>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.5.5</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组成联合体参加投标，联合体中任何一方或多方未按要求签字、盖章、加盖公章的质疑。</w:t>
      </w:r>
      <w:r>
        <w:rPr>
          <w:rFonts w:hint="eastAsia" w:ascii="Times New Roman" w:hAnsi="Times New Roman"/>
          <w:caps w:val="0"/>
          <w:color w:val="000000"/>
          <w:sz w:val="24"/>
          <w:szCs w:val="24"/>
          <w:highlight w:val="none"/>
        </w:rPr>
      </w:r>
      <w:r/>
    </w:p>
    <w:p>
      <w:pPr>
        <w:pStyle w:val="680"/>
        <w:ind w:left="0" w:firstLine="468"/>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.6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有权依据政府采购的有关规定，报请政府采购监管部门对该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进行相应的行政处罚和记录该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的失信信息。</w:t>
      </w:r>
      <w:r>
        <w:rPr>
          <w:rFonts w:hint="eastAsia" w:ascii="Times New Roman" w:hAnsi="Times New Roman"/>
          <w:caps w:val="0"/>
          <w:color w:val="000000"/>
          <w:sz w:val="24"/>
          <w:szCs w:val="24"/>
          <w:highlight w:val="none"/>
        </w:rPr>
      </w:r>
      <w:r/>
    </w:p>
    <w:p>
      <w:pPr>
        <w:pStyle w:val="680"/>
        <w:ind w:left="0" w:firstLine="468"/>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highlight w:val="none"/>
          <w:lang w:val="en-US" w:eastAsia="zh-CN"/>
        </w:rPr>
      </w:r>
      <w:r/>
    </w:p>
    <w:p>
      <w:pPr>
        <w:pStyle w:val="684"/>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lang w:val="en-US" w:eastAsia="zh-CN"/>
        </w:rPr>
        <w:t xml:space="preserve">0</w:t>
      </w:r>
      <w:r>
        <w:rPr>
          <w:rFonts w:hint="eastAsia" w:ascii="Times New Roman" w:hAnsi="Times New Roman" w:cs="Times New Roman"/>
          <w:b w:val="0"/>
          <w:caps w:val="0"/>
          <w:color w:val="000000"/>
          <w:sz w:val="30"/>
          <w:szCs w:val="30"/>
          <w:highlight w:val="none"/>
        </w:rPr>
        <w:t xml:space="preserve">、中标通知书</w:t>
      </w:r>
      <w:r>
        <w:rPr>
          <w:rFonts w:hint="eastAsia" w:ascii="Times New Roman" w:hAnsi="Times New Roman" w:cs="Times New Roman"/>
          <w:b w:val="0"/>
          <w:caps w:val="0"/>
          <w:color w:val="000000"/>
          <w:sz w:val="30"/>
          <w:szCs w:val="30"/>
          <w:highlight w:val="none"/>
        </w:rPr>
      </w:r>
      <w:r/>
    </w:p>
    <w:p>
      <w:pPr>
        <w:pStyle w:val="680"/>
        <w:ind w:left="0" w:firstLine="600"/>
        <w:pageBreakBefore w:val="0"/>
        <w:spacing w:line="560" w:lineRule="exact"/>
        <w:widowControl w:val="off"/>
        <w:rPr>
          <w:rFonts w:hint="eastAsia" w:ascii="Times New Roman" w:hAnsi="Times New Roman"/>
          <w:caps w:val="0"/>
          <w:color w:val="000000"/>
          <w:sz w:val="24"/>
          <w:szCs w:val="24"/>
          <w:highlight w:val="none"/>
        </w:rPr>
      </w:pPr>
      <w:r/>
      <w:bookmarkStart w:id="175" w:name="_Toc120614220"/>
      <w:r/>
      <w:bookmarkStart w:id="176" w:name="_Toc16938552"/>
      <w:r/>
      <w:bookmarkStart w:id="177" w:name="_Toc20823308"/>
      <w:r/>
      <w:bookmarkStart w:id="178" w:name="_Toc513029236"/>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.l</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中标结果确定后，</w:t>
      </w:r>
      <w:r>
        <w:rPr>
          <w:rFonts w:hint="eastAsia" w:ascii="Times New Roman" w:hAnsi="Times New Roman"/>
          <w:caps w:val="0"/>
          <w:color w:val="000000"/>
          <w:sz w:val="24"/>
          <w:szCs w:val="24"/>
          <w:highlight w:val="none"/>
          <w:lang w:val="en-US" w:eastAsia="zh-CN"/>
        </w:rPr>
        <w:t xml:space="preserve">代理机构</w:t>
      </w:r>
      <w:r>
        <w:rPr>
          <w:rFonts w:hint="eastAsia" w:ascii="Times New Roman" w:hAnsi="Times New Roman"/>
          <w:caps w:val="0"/>
          <w:color w:val="000000"/>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highlight w:val="none"/>
        </w:rPr>
      </w:r>
      <w:r/>
    </w:p>
    <w:p>
      <w:pPr>
        <w:pStyle w:val="680"/>
        <w:ind w:left="0" w:firstLine="60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highlight w:val="none"/>
        </w:rPr>
      </w:r>
      <w:r/>
    </w:p>
    <w:p>
      <w:pPr>
        <w:pStyle w:val="683"/>
        <w:ind w:left="0"/>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七、授予合同</w:t>
      </w:r>
      <w:bookmarkEnd w:id="175"/>
      <w:r>
        <w:rPr>
          <w:rFonts w:hint="eastAsia" w:ascii="Times New Roman" w:hAnsi="Times New Roman"/>
          <w:caps w:val="0"/>
          <w:color w:val="000000"/>
          <w:highlight w:val="none"/>
        </w:rPr>
      </w:r>
      <w:r/>
    </w:p>
    <w:p>
      <w:pPr>
        <w:pStyle w:val="684"/>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End w:id="176"/>
      <w:r/>
      <w:bookmarkEnd w:id="177"/>
      <w:r/>
      <w:bookmarkEnd w:id="178"/>
      <w:r/>
      <w:bookmarkStart w:id="179" w:name="_Toc20823309"/>
      <w:r/>
      <w:bookmarkStart w:id="180" w:name="_Toc16938553"/>
      <w:r/>
      <w:bookmarkStart w:id="181" w:name="_Toc513029237"/>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1</w:t>
      </w:r>
      <w:r>
        <w:rPr>
          <w:rFonts w:hint="eastAsia" w:ascii="Times New Roman" w:hAnsi="Times New Roman" w:cs="Times New Roman"/>
          <w:b w:val="0"/>
          <w:caps w:val="0"/>
          <w:color w:val="000000"/>
          <w:sz w:val="30"/>
          <w:szCs w:val="30"/>
          <w:highlight w:val="none"/>
        </w:rPr>
        <w:t xml:space="preserve">. 签订合同</w:t>
      </w:r>
      <w:r>
        <w:rPr>
          <w:rFonts w:hint="eastAsia" w:ascii="Times New Roman" w:hAnsi="Times New Roman" w:cs="Times New Roman"/>
          <w:b w:val="0"/>
          <w:caps w:val="0"/>
          <w:color w:val="000000"/>
          <w:sz w:val="30"/>
          <w:szCs w:val="30"/>
          <w:highlight w:val="none"/>
        </w:rPr>
      </w:r>
      <w:r/>
    </w:p>
    <w:p>
      <w:pPr>
        <w:pStyle w:val="680"/>
        <w:ind w:left="0" w:firstLine="60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bCs/>
          <w:caps w:val="0"/>
          <w:color w:val="000000"/>
          <w:sz w:val="24"/>
          <w:szCs w:val="24"/>
          <w:highlight w:val="none"/>
        </w:rPr>
        <w:t xml:space="preserve">3</w:t>
      </w:r>
      <w:r>
        <w:rPr>
          <w:rFonts w:hint="eastAsia" w:ascii="Times New Roman" w:hAnsi="Times New Roman"/>
          <w:bCs/>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.l中标人应当在中标通知书发出之日起</w:t>
      </w:r>
      <w:r>
        <w:rPr>
          <w:rFonts w:hint="eastAsia" w:ascii="Times New Roman" w:hAnsi="Times New Roman"/>
          <w:caps w:val="0"/>
          <w:color w:val="000000"/>
          <w:sz w:val="24"/>
          <w:szCs w:val="24"/>
          <w:highlight w:val="none"/>
          <w:lang w:val="en-US" w:eastAsia="zh-CN"/>
        </w:rPr>
        <w:t xml:space="preserve">15</w:t>
      </w:r>
      <w:r>
        <w:rPr>
          <w:rFonts w:hint="eastAsia" w:ascii="Times New Roman" w:hAnsi="Times New Roman"/>
          <w:caps w:val="0"/>
          <w:color w:val="000000"/>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highlight w:val="none"/>
          <w:lang w:val="zh-CN" w:eastAsia="zh-CN"/>
        </w:rPr>
        <w:t xml:space="preserve">，</w:t>
      </w:r>
      <w:r>
        <w:rPr>
          <w:rFonts w:hint="eastAsia" w:ascii="Times New Roman" w:hAnsi="Times New Roman" w:eastAsia="宋体" w:cs="Times New Roman"/>
          <w:bCs/>
          <w:caps w:val="0"/>
          <w:color w:val="000000"/>
          <w:sz w:val="24"/>
          <w:highlight w:val="none"/>
          <w:lang w:val="zh-CN"/>
        </w:rPr>
        <w:t xml:space="preserve">但政府采购合同中涉及国家秘密、商业秘密的内容除外</w:t>
      </w:r>
      <w:r>
        <w:rPr>
          <w:rFonts w:hint="eastAsia"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zh-CN"/>
        </w:rPr>
      </w:r>
      <w:r/>
    </w:p>
    <w:p>
      <w:pPr>
        <w:pStyle w:val="680"/>
        <w:ind w:left="0" w:firstLine="60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招标文件、中标人的投标文件及招标过程中有关澄清、承诺文件均应作为合同附件。</w:t>
      </w:r>
      <w:r>
        <w:rPr>
          <w:rFonts w:hint="eastAsia" w:ascii="Times New Roman" w:hAnsi="Times New Roman"/>
          <w:caps w:val="0"/>
          <w:color w:val="000000"/>
          <w:sz w:val="24"/>
          <w:szCs w:val="24"/>
          <w:highlight w:val="none"/>
        </w:rPr>
      </w:r>
      <w:r/>
    </w:p>
    <w:p>
      <w:pPr>
        <w:pStyle w:val="680"/>
        <w:ind w:left="0"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680"/>
        <w:ind w:left="0" w:firstLine="72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rPr>
      </w:r>
      <w:r/>
    </w:p>
    <w:p>
      <w:pPr>
        <w:pStyle w:val="680"/>
        <w:ind w:left="0"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 2.</w:t>
      </w:r>
      <w:r>
        <w:rPr>
          <w:rFonts w:hint="eastAsia" w:ascii="Times New Roman" w:hAnsi="Times New Roman"/>
          <w:color w:val="000000"/>
          <w:sz w:val="24"/>
          <w:szCs w:val="24"/>
          <w:highlight w:val="none"/>
        </w:rPr>
        <w:t xml:space="preserve">不允许分包。未经采购人同意，</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也不得采用分包形式履行合同,否则采购人有权终止合同。转包或分包造成采购人损失的，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应承担相应赔偿责任。</w:t>
      </w:r>
      <w:r>
        <w:rPr>
          <w:rFonts w:hint="eastAsia" w:ascii="Times New Roman" w:hAnsi="Times New Roman"/>
          <w:color w:val="000000"/>
          <w:sz w:val="24"/>
          <w:szCs w:val="24"/>
          <w:highlight w:val="none"/>
        </w:rPr>
      </w:r>
      <w:r/>
    </w:p>
    <w:p>
      <w:pPr>
        <w:pStyle w:val="680"/>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31.4履约保证金</w:t>
      </w:r>
      <w:r>
        <w:rPr>
          <w:rFonts w:hint="eastAsia" w:ascii="Times New Roman" w:hAnsi="Times New Roman" w:eastAsia="宋体" w:cs="Times New Roman"/>
          <w:bCs/>
          <w:caps w:val="0"/>
          <w:color w:val="000000"/>
          <w:sz w:val="24"/>
          <w:highlight w:val="none"/>
          <w:lang w:val="en-US" w:eastAsia="zh-CN"/>
        </w:rPr>
      </w:r>
      <w:r/>
    </w:p>
    <w:p>
      <w:pPr>
        <w:pStyle w:val="680"/>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highlight w:val="none"/>
          <w:u w:val="none"/>
          <w:lang w:val="en-US" w:eastAsia="zh-CN"/>
        </w:rPr>
        <w:t xml:space="preserve">种</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680"/>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680"/>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(2)履约保证金应在采购合同签订前提交，履约保证金的金额：按采购合同总价的</w:t>
      </w:r>
      <w:r>
        <w:rPr>
          <w:rFonts w:hint="eastAsia" w:eastAsia="宋体" w:cs="Times New Roman"/>
          <w:bCs/>
          <w:caps w:val="0"/>
          <w:color w:val="000000"/>
          <w:sz w:val="24"/>
          <w:highlight w:val="none"/>
          <w:u w:val="single"/>
          <w:lang w:val="en-US" w:eastAsia="zh-CN"/>
        </w:rPr>
        <w:t xml:space="preserve">5 </w:t>
      </w:r>
      <w:r>
        <w:rPr>
          <w:rFonts w:hint="eastAsia" w:ascii="Times New Roman" w:hAnsi="Times New Roman" w:eastAsia="宋体" w:cs="Times New Roman"/>
          <w:bCs/>
          <w:caps w:val="0"/>
          <w:color w:val="000000"/>
          <w:sz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lang w:val="zh-CN"/>
        </w:rPr>
        <w:t xml:space="preserve">%（履约保证金原提交金额的6折）提交。办理流程、偿付等内容见江苏省政府采购网“保险保函”模块。</w:t>
      </w:r>
      <w:r>
        <w:rPr>
          <w:rFonts w:hint="eastAsia" w:ascii="Times New Roman" w:hAnsi="Times New Roman" w:eastAsia="宋体" w:cs="Times New Roman"/>
          <w:bCs/>
          <w:caps w:val="0"/>
          <w:color w:val="000000"/>
          <w:sz w:val="24"/>
          <w:highlight w:val="none"/>
          <w:lang w:val="zh-CN"/>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履约保证金退还的条件：按以下方式</w:t>
      </w:r>
      <w:r>
        <w:rPr>
          <w:rFonts w:hint="eastAsia" w:eastAsia="宋体" w:cs="Times New Roman"/>
          <w:bCs/>
          <w:caps w:val="0"/>
          <w:color w:val="000000"/>
          <w:sz w:val="24"/>
          <w:highlight w:val="none"/>
          <w:lang w:val="en-US" w:eastAsia="zh-CN"/>
        </w:rPr>
        <w:t xml:space="preserve">执行</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zh-CN"/>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highlight w:val="none"/>
          <w:lang w:val="zh-CN"/>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680"/>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680"/>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680"/>
        <w:ind w:firstLine="600"/>
        <w:keepLines/>
        <w:keepNex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680"/>
        <w:ind w:left="0" w:firstLine="480"/>
        <w:pageBreakBefore w:val="0"/>
        <w:spacing w:line="560" w:lineRule="exact"/>
        <w:rPr>
          <w:rFonts w:hint="eastAsia" w:ascii="Times New Roman" w:hAnsi="Times New Roman"/>
          <w:caps w:val="0"/>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highlight w:val="none"/>
        </w:rPr>
      </w:r>
      <w:r/>
    </w:p>
    <w:p>
      <w:pPr>
        <w:pStyle w:val="684"/>
        <w:ind w:left="0" w:firstLine="600"/>
        <w:pageBreakBefore w:val="0"/>
        <w:spacing w:before="0" w:after="0" w:line="560" w:lineRule="exact"/>
        <w:rPr>
          <w:rFonts w:ascii="Times New Roman" w:hAnsi="Times New Roman" w:cs="Times New Roman"/>
          <w:b w:val="0"/>
          <w:caps w:val="0"/>
          <w:color w:val="000000"/>
          <w:sz w:val="30"/>
          <w:szCs w:val="30"/>
          <w:highlight w:val="none"/>
        </w:rPr>
      </w:pPr>
      <w:r/>
      <w:bookmarkEnd w:id="179"/>
      <w:r/>
      <w:bookmarkEnd w:id="180"/>
      <w:r/>
      <w:bookmarkEnd w:id="181"/>
      <w:r/>
      <w:bookmarkStart w:id="182" w:name="_Toc16938558"/>
      <w:r/>
      <w:bookmarkStart w:id="183" w:name="_Toc513029242"/>
      <w:r/>
      <w:bookmarkStart w:id="184" w:name="_Toc20823314"/>
      <w:r/>
      <w:bookmarkStart w:id="185" w:name="_Toc120614221"/>
      <w:r/>
      <w:bookmarkStart w:id="186" w:name="_Toc479757207"/>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rPr>
        <w:t xml:space="preserve">、政府采购履约资金扶持政策</w:t>
      </w:r>
      <w:r>
        <w:rPr>
          <w:rFonts w:ascii="Times New Roman" w:hAnsi="Times New Roman" w:cs="Times New Roman"/>
          <w:b w:val="0"/>
          <w:caps w:val="0"/>
          <w:color w:val="000000"/>
          <w:sz w:val="30"/>
          <w:szCs w:val="30"/>
          <w:highlight w:val="none"/>
        </w:rPr>
      </w:r>
      <w:r/>
    </w:p>
    <w:p>
      <w:pPr>
        <w:pStyle w:val="695"/>
        <w:ind w:left="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en-US" w:eastAsia="zh-CN"/>
        </w:rPr>
        <w:t xml:space="preserve">33.1根据江苏省财政厅 中国人民银行南京分行《关于深入推进政府采购线上合同信用融资工作的通知》（苏财购〔2021〕82号）</w:t>
      </w:r>
      <w:r>
        <w:rPr>
          <w:rFonts w:hint="eastAsia" w:ascii="Times New Roman" w:hAnsi="Times New Roman" w:eastAsia="宋体" w:cs="Times New Roman"/>
          <w:bCs/>
          <w:caps w:val="0"/>
          <w:color w:val="000000"/>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highlight w:val="none"/>
          <w:lang w:val="zh-CN"/>
        </w:rPr>
      </w:r>
      <w:r/>
    </w:p>
    <w:p>
      <w:pPr>
        <w:pStyle w:val="684"/>
        <w:ind w:left="0" w:firstLine="602"/>
        <w:pageBreakBefore w:val="0"/>
        <w:spacing w:before="0" w:after="0" w:line="560" w:lineRule="exact"/>
        <w:rPr>
          <w:rFonts w:hint="eastAsia" w:ascii="Times New Roman" w:hAnsi="Times New Roman" w:cs="Times New Roman"/>
          <w:b/>
          <w:bCs/>
          <w:caps w:val="0"/>
          <w:color w:val="000000"/>
          <w:sz w:val="30"/>
          <w:szCs w:val="30"/>
          <w:highlight w:val="none"/>
        </w:rPr>
      </w:pPr>
      <w:r>
        <w:rPr>
          <w:rFonts w:hint="eastAsia" w:ascii="Times New Roman" w:hAnsi="Times New Roman" w:cs="Times New Roman"/>
          <w:b/>
          <w:bCs/>
          <w:caps w:val="0"/>
          <w:color w:val="000000"/>
          <w:sz w:val="30"/>
          <w:szCs w:val="30"/>
          <w:highlight w:val="none"/>
          <w:lang w:val="en-US" w:eastAsia="zh-CN"/>
        </w:rPr>
        <w:t xml:space="preserve">34、</w:t>
      </w:r>
      <w:r>
        <w:rPr>
          <w:rFonts w:hint="eastAsia" w:ascii="Times New Roman" w:hAnsi="Times New Roman" w:cs="Times New Roman"/>
          <w:b/>
          <w:bCs/>
          <w:caps w:val="0"/>
          <w:color w:val="000000"/>
          <w:sz w:val="30"/>
          <w:szCs w:val="30"/>
          <w:highlight w:val="none"/>
        </w:rPr>
        <w:t xml:space="preserve">验收及付款</w:t>
      </w:r>
      <w:r>
        <w:rPr>
          <w:rFonts w:hint="eastAsia" w:ascii="Times New Roman" w:hAnsi="Times New Roman" w:cs="Times New Roman"/>
          <w:b/>
          <w:bCs/>
          <w:caps w:val="0"/>
          <w:color w:val="000000"/>
          <w:sz w:val="30"/>
          <w:szCs w:val="30"/>
          <w:highlight w:val="none"/>
        </w:rPr>
      </w:r>
      <w:r/>
    </w:p>
    <w:p>
      <w:pPr>
        <w:pStyle w:val="680"/>
        <w:ind w:left="0" w:firstLine="482"/>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none"/>
          <w:lang w:val="en-US" w:eastAsia="zh-CN"/>
        </w:rPr>
      </w:r>
      <w:r/>
    </w:p>
    <w:p>
      <w:pPr>
        <w:pStyle w:val="680"/>
        <w:ind w:left="0" w:firstLine="482"/>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none"/>
          <w:lang w:val="en-US" w:eastAsia="zh-CN"/>
        </w:rPr>
      </w:r>
      <w:r/>
    </w:p>
    <w:p>
      <w:pPr>
        <w:pStyle w:val="680"/>
        <w:ind w:left="0" w:firstLine="482"/>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none"/>
          <w:lang w:val="en-US" w:eastAsia="zh-CN"/>
        </w:rPr>
      </w:r>
      <w:r/>
    </w:p>
    <w:p>
      <w:pPr>
        <w:pStyle w:val="680"/>
        <w:ind w:left="0" w:firstLine="482"/>
        <w:pageBreakBefore w:val="0"/>
        <w:spacing w:line="560" w:lineRule="exact"/>
        <w:rPr>
          <w:rFonts w:hint="eastAsia" w:ascii="Times New Roman" w:hAnsi="Times New Roman" w:cs="宋体"/>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highlight w:val="none"/>
        </w:rPr>
      </w:r>
      <w:r/>
    </w:p>
    <w:p>
      <w:pPr>
        <w:pStyle w:val="680"/>
        <w:ind w:left="0" w:firstLine="482"/>
        <w:pageBreakBefore w:val="0"/>
        <w:spacing w:line="560" w:lineRule="exact"/>
        <w:rPr>
          <w:rFonts w:ascii="Times New Roman" w:hAnsi="Times New Roman"/>
          <w:b/>
          <w:caps w:val="0"/>
          <w:color w:val="000000"/>
          <w:sz w:val="24"/>
          <w:highlight w:val="none"/>
        </w:rPr>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5</w:t>
      </w:r>
      <w:r>
        <w:rPr>
          <w:rFonts w:hint="eastAsia" w:ascii="Times New Roman" w:hAnsi="Times New Roman"/>
          <w:b/>
          <w:caps w:val="0"/>
          <w:color w:val="000000"/>
          <w:sz w:val="24"/>
          <w:highlight w:val="none"/>
        </w:rPr>
        <w:t xml:space="preserve">、付款</w:t>
      </w:r>
      <w:r>
        <w:rPr>
          <w:rFonts w:ascii="Times New Roman" w:hAnsi="Times New Roman"/>
          <w:b/>
          <w:caps w:val="0"/>
          <w:color w:val="000000"/>
          <w:sz w:val="24"/>
          <w:highlight w:val="none"/>
        </w:rPr>
      </w:r>
      <w:r/>
    </w:p>
    <w:p>
      <w:pPr>
        <w:pStyle w:val="680"/>
        <w:ind w:left="0" w:firstLine="482"/>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 </w:t>
      </w:r>
      <w:bookmarkStart w:id="187"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7"/>
      <w:r>
        <w:rPr>
          <w:rFonts w:hint="eastAsia" w:ascii="Times New Roman" w:hAnsi="Times New Roman" w:eastAsia="宋体" w:cs="Times New Roman"/>
          <w:b w:val="0"/>
          <w:bCs/>
          <w:caps w:val="0"/>
          <w:color w:val="000000"/>
          <w:sz w:val="24"/>
          <w:highlight w:val="none"/>
          <w:lang w:val="en-US" w:eastAsia="zh-CN"/>
        </w:rPr>
      </w:r>
      <w:r/>
    </w:p>
    <w:p>
      <w:pPr>
        <w:pStyle w:val="680"/>
        <w:ind w:left="0" w:firstLine="482"/>
        <w:pageBreakBefore w:val="0"/>
        <w:spacing w:line="560" w:lineRule="exact"/>
        <w:rPr>
          <w:rFonts w:hint="eastAsia" w:ascii="Times New Roman" w:hAnsi="Times New Roman" w:eastAsia="宋体" w:cs="Times New Roman"/>
          <w:b w:val="0"/>
          <w:bCs/>
          <w:caps w:val="0"/>
          <w:color w:val="000000"/>
          <w:sz w:val="24"/>
          <w:highlight w:val="none"/>
          <w:u w:val="none"/>
          <w:lang w:val="en-US" w:eastAsia="zh-CN"/>
        </w:rPr>
      </w:pPr>
      <w:r>
        <w:rPr>
          <w:rFonts w:hint="eastAsia" w:ascii="Times New Roman" w:hAnsi="Times New Roman" w:eastAsia="宋体" w:cs="Times New Roman"/>
          <w:b w:val="0"/>
          <w:bCs/>
          <w:caps w:val="0"/>
          <w:color w:val="000000"/>
          <w:sz w:val="24"/>
          <w:highlight w:val="none"/>
          <w:u w:val="none"/>
          <w:lang w:val="en-US" w:eastAsia="zh-CN"/>
        </w:rPr>
        <w:t xml:space="preserve">预付款</w:t>
      </w:r>
      <w:r>
        <w:rPr>
          <w:rFonts w:hint="eastAsia" w:eastAsia="宋体" w:cs="Times New Roman"/>
          <w:b w:val="0"/>
          <w:bCs/>
          <w:caps w:val="0"/>
          <w:color w:val="000000"/>
          <w:sz w:val="24"/>
          <w:highlight w:val="none"/>
          <w:u w:val="none"/>
          <w:lang w:val="en-US" w:eastAsia="zh-CN"/>
        </w:rPr>
        <w:t xml:space="preserve">：</w:t>
      </w:r>
      <w:r>
        <w:rPr>
          <w:rStyle w:val="821"/>
          <w:rFonts w:hint="eastAsia" w:ascii="宋体" w:hAnsi="宋体" w:eastAsia="宋体" w:cs="宋体"/>
          <w:sz w:val="24"/>
          <w:szCs w:val="21"/>
          <w:highlight w:val="none"/>
          <w:lang w:val="en-US" w:eastAsia="zh-CN" w:bidi="ar-SA"/>
        </w:rPr>
        <w:t xml:space="preserve">签订合同后10日内支付合同总价款的30%（供应商在支付预付款前向甲方提供等额的保函或保险，期限不低于60日历天）；</w:t>
      </w:r>
      <w:r>
        <w:rPr>
          <w:rFonts w:hint="eastAsia" w:ascii="Times New Roman" w:hAnsi="Times New Roman" w:eastAsia="宋体" w:cs="Times New Roman"/>
          <w:b w:val="0"/>
          <w:bCs/>
          <w:caps w:val="0"/>
          <w:color w:val="000000"/>
          <w:sz w:val="24"/>
          <w:highlight w:val="none"/>
          <w:u w:val="none"/>
          <w:lang w:val="en-US" w:eastAsia="zh-CN"/>
        </w:rPr>
      </w:r>
      <w:r/>
    </w:p>
    <w:p>
      <w:pPr>
        <w:pStyle w:val="826"/>
        <w:ind w:firstLine="480"/>
        <w:jc w:val="left"/>
        <w:spacing w:line="360" w:lineRule="auto"/>
        <w:rPr>
          <w:rStyle w:val="821"/>
          <w:rFonts w:hint="eastAsia" w:ascii="宋体" w:hAnsi="宋体" w:eastAsia="宋体" w:cs="宋体"/>
          <w:sz w:val="24"/>
          <w:highlight w:val="none"/>
        </w:rPr>
      </w:pPr>
      <w:r>
        <w:rPr>
          <w:rFonts w:hint="eastAsia" w:ascii="Times New Roman" w:hAnsi="Times New Roman" w:eastAsia="宋体" w:cs="Times New Roman"/>
          <w:b w:val="0"/>
          <w:bCs/>
          <w:caps w:val="0"/>
          <w:color w:val="000000"/>
          <w:sz w:val="24"/>
          <w:highlight w:val="none"/>
          <w:u w:val="none"/>
          <w:lang w:val="en-US" w:eastAsia="zh-CN"/>
        </w:rPr>
        <w:t xml:space="preserve">进度款：</w:t>
      </w:r>
      <w:r>
        <w:rPr>
          <w:rStyle w:val="821"/>
          <w:rFonts w:hint="eastAsia" w:ascii="宋体" w:hAnsi="宋体" w:eastAsia="宋体" w:cs="宋体"/>
          <w:sz w:val="24"/>
          <w:szCs w:val="21"/>
          <w:highlight w:val="none"/>
          <w:lang w:val="en-US" w:eastAsia="zh-CN" w:bidi="ar-SA"/>
        </w:rPr>
        <w:t xml:space="preserve">项目完成后经验收合格付合同价款的97%。余款待质保期满后付清。付款前，供应商应向采购人提供符合要求的发票，否则，采购人有权拒绝付款，同时不免除供应商合同履行义务。采购人可从应付款中直接扣除供应商应承担的违约金或其他费用</w:t>
      </w:r>
      <w:r>
        <w:rPr>
          <w:rStyle w:val="821"/>
          <w:rFonts w:hint="eastAsia" w:ascii="宋体" w:hAnsi="宋体" w:eastAsia="宋体" w:cs="宋体"/>
          <w:sz w:val="24"/>
          <w:szCs w:val="21"/>
          <w:highlight w:val="none"/>
          <w:lang w:val="zh-CN" w:eastAsia="zh-CN" w:bidi="ar-SA"/>
        </w:rPr>
        <w:t xml:space="preserve">（</w:t>
      </w:r>
      <w:r>
        <w:rPr>
          <w:rStyle w:val="821"/>
          <w:rFonts w:hint="eastAsia" w:ascii="宋体" w:hAnsi="宋体" w:eastAsia="宋体" w:cs="宋体"/>
          <w:sz w:val="24"/>
          <w:szCs w:val="21"/>
          <w:highlight w:val="none"/>
          <w:lang w:val="en-US" w:eastAsia="zh-CN" w:bidi="ar-SA"/>
        </w:rPr>
        <w:t xml:space="preserve">数字人民币为合同价款支付的一种方式）。</w:t>
      </w:r>
      <w:r>
        <w:rPr>
          <w:rStyle w:val="821"/>
          <w:rFonts w:hint="eastAsia" w:ascii="宋体" w:hAnsi="宋体" w:eastAsia="宋体" w:cs="宋体"/>
          <w:sz w:val="24"/>
          <w:highlight w:val="none"/>
        </w:rPr>
      </w:r>
      <w:r/>
    </w:p>
    <w:p>
      <w:pPr>
        <w:pStyle w:val="680"/>
        <w:ind w:firstLine="480"/>
        <w:jc w:val="left"/>
        <w:spacing w:line="360" w:lineRule="auto"/>
        <w:widowControl w:val="off"/>
        <w:rPr>
          <w:rStyle w:val="821"/>
          <w:rFonts w:hint="eastAsia" w:ascii="宋体" w:hAnsi="宋体" w:eastAsia="宋体" w:cs="宋体"/>
          <w:sz w:val="24"/>
          <w:szCs w:val="24"/>
          <w:highlight w:val="none"/>
        </w:rPr>
      </w:pPr>
      <w:r>
        <w:rPr>
          <w:rStyle w:val="821"/>
          <w:rFonts w:hint="eastAsia" w:ascii="宋体" w:hAnsi="宋体" w:eastAsia="宋体" w:cs="宋体"/>
          <w:sz w:val="24"/>
          <w:szCs w:val="21"/>
          <w:highlight w:val="none"/>
          <w:lang w:val="en-US" w:eastAsia="zh-CN" w:bidi="ar-SA"/>
        </w:rPr>
        <w:t xml:space="preserve">注：在签订合同时，乙方明确表示无需预付款或者主动要求降低预付款比例的金额，甲方可不适用预付款规定。</w:t>
      </w:r>
      <w:r>
        <w:rPr>
          <w:rStyle w:val="821"/>
          <w:rFonts w:hint="eastAsia" w:ascii="宋体" w:hAnsi="宋体" w:eastAsia="宋体" w:cs="宋体"/>
          <w:sz w:val="24"/>
          <w:szCs w:val="24"/>
          <w:highlight w:val="none"/>
        </w:rPr>
      </w:r>
      <w:r/>
    </w:p>
    <w:p>
      <w:pPr>
        <w:pStyle w:val="680"/>
        <w:ind w:left="0" w:firstLine="482"/>
        <w:pageBreakBefore w:val="0"/>
        <w:spacing w:line="560" w:lineRule="exact"/>
        <w:rPr>
          <w:rFonts w:ascii="Times New Roman" w:hAnsi="Times New Roman"/>
          <w:caps w:val="0"/>
          <w:color w:val="000000"/>
          <w:highlight w:val="yellow"/>
        </w:rPr>
      </w:pPr>
      <w:r>
        <w:rPr>
          <w:rFonts w:ascii="Times New Roman" w:hAnsi="Times New Roman"/>
          <w:caps w:val="0"/>
          <w:color w:val="000000"/>
          <w:highlight w:val="yellow"/>
        </w:rPr>
      </w:r>
      <w:r/>
    </w:p>
    <w:p>
      <w:pPr>
        <w:pStyle w:val="681"/>
        <w:rPr>
          <w:rFonts w:ascii="Times New Roman" w:hAnsi="Times New Roman" w:eastAsia="黑体"/>
          <w:bCs/>
          <w:caps w:val="0"/>
          <w:color w:val="000000"/>
          <w:sz w:val="44"/>
          <w:highlight w:val="none"/>
        </w:rPr>
      </w:pPr>
      <w:r>
        <w:rPr>
          <w:rFonts w:ascii="Times New Roman" w:hAnsi="Times New Roman" w:eastAsia="黑体"/>
          <w:bCs/>
          <w:caps w:val="0"/>
          <w:color w:val="000000"/>
          <w:sz w:val="44"/>
          <w:highlight w:val="none"/>
        </w:rPr>
        <w:br w:type="page" w:clear="all"/>
      </w:r>
      <w:r>
        <w:rPr>
          <w:rFonts w:ascii="Times New Roman" w:hAnsi="Times New Roman" w:eastAsia="黑体"/>
          <w:bCs/>
          <w:caps w:val="0"/>
          <w:color w:val="000000"/>
          <w:sz w:val="44"/>
          <w:highlight w:val="none"/>
        </w:rPr>
      </w:r>
      <w:r/>
    </w:p>
    <w:p>
      <w:pPr>
        <w:pStyle w:val="680"/>
        <w:ind w:firstLine="2640"/>
        <w:keepNext/>
        <w:rPr>
          <w:rFonts w:ascii="Times New Roman" w:hAnsi="Times New Roman" w:eastAsia="黑体"/>
          <w:bCs/>
          <w:caps w:val="0"/>
          <w:color w:val="000000"/>
          <w:sz w:val="44"/>
          <w:szCs w:val="28"/>
          <w:highlight w:val="none"/>
        </w:rPr>
        <w:outlineLvl w:val="0"/>
      </w:pPr>
      <w:r/>
      <w:bookmarkEnd w:id="182"/>
      <w:r/>
      <w:bookmarkEnd w:id="183"/>
      <w:r/>
      <w:bookmarkEnd w:id="184"/>
      <w:r/>
      <w:bookmarkEnd w:id="185"/>
      <w:r/>
      <w:bookmarkEnd w:id="186"/>
      <w:r/>
      <w:bookmarkStart w:id="188" w:name="_Toc104802328"/>
      <w:r/>
      <w:bookmarkStart w:id="189" w:name="_Toc118461986"/>
      <w:r/>
      <w:bookmarkStart w:id="190" w:name="_Toc155086566"/>
      <w:r/>
      <w:bookmarkStart w:id="191" w:name="_Hlt16619350"/>
      <w:r/>
      <w:bookmarkStart w:id="192" w:name="_Toc120614244"/>
      <w:r/>
      <w:bookmarkStart w:id="193" w:name="_Toc20823346"/>
      <w:r/>
      <w:bookmarkStart w:id="194" w:name="_Toc16938590"/>
      <w:r/>
      <w:bookmarkStart w:id="195" w:name="_Toc479757211"/>
      <w:r/>
      <w:bookmarkStart w:id="196" w:name="_Toc462564139"/>
      <w:r>
        <w:rPr>
          <w:rFonts w:hint="eastAsia" w:ascii="Times New Roman" w:hAnsi="Times New Roman" w:eastAsia="黑体"/>
          <w:bCs/>
          <w:caps w:val="0"/>
          <w:color w:val="000000"/>
          <w:sz w:val="44"/>
          <w:szCs w:val="28"/>
          <w:highlight w:val="none"/>
        </w:rPr>
        <w:t xml:space="preserve">第三章  合同文本</w:t>
      </w:r>
      <w:bookmarkEnd w:id="188"/>
      <w:r/>
      <w:bookmarkEnd w:id="189"/>
      <w:r/>
      <w:bookmarkEnd w:id="190"/>
      <w:r>
        <w:rPr>
          <w:rFonts w:ascii="Times New Roman" w:hAnsi="Times New Roman" w:eastAsia="黑体"/>
          <w:bCs/>
          <w:caps w:val="0"/>
          <w:color w:val="000000"/>
          <w:sz w:val="44"/>
          <w:szCs w:val="28"/>
          <w:highlight w:val="none"/>
        </w:rPr>
      </w:r>
      <w:r/>
    </w:p>
    <w:p>
      <w:pPr>
        <w:pStyle w:val="680"/>
        <w:ind w:firstLine="480"/>
        <w:spacing w:line="500" w:lineRule="exact"/>
        <w:rPr>
          <w:rFonts w:eastAsia="宋体" w:cs="Times New Roman"/>
          <w:bCs/>
          <w:sz w:val="24"/>
        </w:rPr>
      </w:pPr>
      <w:r/>
      <w:bookmarkStart w:id="197" w:name="_Toc513029243"/>
      <w:r/>
      <w:bookmarkStart w:id="198" w:name="_Toc20823315"/>
      <w:r/>
      <w:bookmarkStart w:id="199" w:name="_Toc16938559"/>
      <w:r>
        <w:rPr>
          <w:rFonts w:hint="eastAsia" w:eastAsia="宋体" w:cs="Times New Roman"/>
          <w:bCs/>
          <w:sz w:val="24"/>
        </w:rPr>
        <w:t xml:space="preserve">以下为中标后签订本项目合同的通用条款，投标人不得提出实质性的修改。</w:t>
      </w:r>
      <w:r>
        <w:rPr>
          <w:rFonts w:eastAsia="宋体" w:cs="Times New Roman"/>
          <w:bCs/>
          <w:sz w:val="24"/>
        </w:rPr>
      </w:r>
      <w:r/>
    </w:p>
    <w:p>
      <w:pPr>
        <w:pStyle w:val="680"/>
        <w:ind w:firstLine="480"/>
        <w:spacing w:line="500" w:lineRule="exact"/>
        <w:rPr>
          <w:rFonts w:eastAsia="宋体" w:cs="Times New Roman"/>
          <w:bCs/>
          <w:sz w:val="24"/>
        </w:rPr>
      </w:pPr>
      <w:r>
        <w:rPr>
          <w:rFonts w:hint="eastAsia" w:eastAsia="宋体" w:cs="Times New Roman"/>
          <w:bCs/>
          <w:sz w:val="24"/>
        </w:rPr>
        <w:t xml:space="preserve">关于专用条款将由采购人与投标人结合本项目具体情况协商后签订。</w:t>
      </w:r>
      <w:bookmarkEnd w:id="197"/>
      <w:r/>
      <w:bookmarkEnd w:id="198"/>
      <w:r/>
      <w:bookmarkEnd w:id="199"/>
      <w:r>
        <w:rPr>
          <w:rFonts w:eastAsia="宋体" w:cs="Times New Roman"/>
          <w:bCs/>
          <w:sz w:val="24"/>
        </w:rPr>
      </w:r>
      <w:r/>
    </w:p>
    <w:p>
      <w:pPr>
        <w:pStyle w:val="680"/>
        <w:jc w:val="center"/>
        <w:spacing w:before="120" w:after="120"/>
        <w:rPr>
          <w:rFonts w:eastAsia="宋体" w:cs="Times New Roman"/>
          <w:b/>
          <w:bCs/>
          <w:sz w:val="30"/>
          <w:szCs w:val="20"/>
        </w:rPr>
        <w:outlineLvl w:val="0"/>
      </w:pPr>
      <w:r/>
      <w:bookmarkStart w:id="200" w:name="_Hlt16619369"/>
      <w:r/>
      <w:bookmarkEnd w:id="200"/>
      <w:r/>
      <w:bookmarkStart w:id="201" w:name="_Toc155086567"/>
      <w:r>
        <w:rPr>
          <w:rFonts w:hint="eastAsia" w:eastAsia="宋体" w:cs="Times New Roman"/>
          <w:b/>
          <w:sz w:val="30"/>
        </w:rPr>
        <w:t xml:space="preserve">政府采购合同（货物）（合同编号）</w:t>
      </w:r>
      <w:bookmarkEnd w:id="201"/>
      <w:r>
        <w:rPr>
          <w:rFonts w:eastAsia="宋体" w:cs="Times New Roman"/>
          <w:b/>
          <w:bCs/>
          <w:sz w:val="30"/>
          <w:szCs w:val="20"/>
        </w:rPr>
      </w:r>
      <w:r/>
    </w:p>
    <w:p>
      <w:pPr>
        <w:pStyle w:val="680"/>
        <w:spacing w:line="560" w:lineRule="exact"/>
        <w:rPr>
          <w:rFonts w:hint="eastAsia" w:eastAsia="宋体" w:cs="Courier New"/>
          <w:sz w:val="24"/>
          <w:szCs w:val="24"/>
          <w:highlight w:val="yellow"/>
          <w:lang w:eastAsia="zh-CN"/>
        </w:rPr>
      </w:pPr>
      <w:r>
        <w:rPr>
          <w:rFonts w:eastAsia="宋体" w:cs="Courier New"/>
          <w:sz w:val="24"/>
          <w:szCs w:val="24"/>
        </w:rPr>
        <w:t xml:space="preserve">项目名称：</w:t>
      </w:r>
      <w:r>
        <w:rPr>
          <w:rFonts w:hint="eastAsia" w:eastAsia="宋体" w:cs="Courier New"/>
          <w:sz w:val="24"/>
          <w:szCs w:val="24"/>
          <w:lang w:eastAsia="zh-CN"/>
        </w:rPr>
        <w:t xml:space="preserve">宿豫区妇幼保健院及庐山社区卫生服务中心智能化设备采购项目</w:t>
      </w:r>
      <w:r>
        <w:rPr>
          <w:rFonts w:hint="eastAsia" w:eastAsia="宋体" w:cs="Courier New"/>
          <w:sz w:val="24"/>
          <w:szCs w:val="24"/>
          <w:highlight w:val="yellow"/>
          <w:lang w:eastAsia="zh-CN"/>
        </w:rPr>
      </w:r>
      <w:r/>
    </w:p>
    <w:p>
      <w:pPr>
        <w:pStyle w:val="680"/>
        <w:spacing w:line="560" w:lineRule="exact"/>
        <w:rPr>
          <w:rFonts w:hint="eastAsia" w:eastAsia="宋体" w:cs="Courier New"/>
          <w:sz w:val="24"/>
          <w:szCs w:val="24"/>
          <w:highlight w:val="none"/>
          <w:lang w:val="en-US" w:eastAsia="zh-CN"/>
        </w:rPr>
      </w:pPr>
      <w:r>
        <w:rPr>
          <w:rFonts w:eastAsia="宋体" w:cs="Courier New"/>
          <w:sz w:val="24"/>
          <w:szCs w:val="24"/>
          <w:highlight w:val="none"/>
        </w:rPr>
        <w:t xml:space="preserve">项目编号：JSZC-321311-TYJT-G2026-0014</w:t>
      </w:r>
      <w:r>
        <w:rPr>
          <w:rFonts w:hint="eastAsia" w:eastAsia="宋体" w:cs="Courier New"/>
          <w:sz w:val="24"/>
          <w:szCs w:val="24"/>
          <w:highlight w:val="none"/>
          <w:lang w:val="en-US" w:eastAsia="zh-CN"/>
        </w:rPr>
        <w:t xml:space="preserve"> </w:t>
      </w:r>
      <w:r>
        <w:rPr>
          <w:rFonts w:hint="eastAsia" w:eastAsia="宋体" w:cs="Courier New"/>
          <w:sz w:val="24"/>
          <w:szCs w:val="24"/>
          <w:highlight w:val="none"/>
          <w:lang w:val="en-US" w:eastAsia="zh-CN"/>
        </w:rPr>
      </w:r>
      <w:r/>
    </w:p>
    <w:p>
      <w:pPr>
        <w:pStyle w:val="680"/>
        <w:spacing w:line="560" w:lineRule="exact"/>
        <w:rPr>
          <w:rFonts w:eastAsia="宋体" w:cs="Courier New"/>
          <w:sz w:val="24"/>
          <w:szCs w:val="24"/>
        </w:rPr>
      </w:pPr>
      <w:r>
        <w:rPr>
          <w:rFonts w:eastAsia="宋体" w:cs="Courier New"/>
          <w:sz w:val="24"/>
          <w:szCs w:val="24"/>
        </w:rPr>
        <w:t xml:space="preserve">甲方：（买方）</w:t>
      </w:r>
      <w:r>
        <w:rPr>
          <w:rFonts w:hint="eastAsia" w:eastAsia="宋体" w:cs="Courier New"/>
          <w:sz w:val="24"/>
          <w:szCs w:val="24"/>
          <w:u w:val="single"/>
        </w:rPr>
        <w:t xml:space="preserve">宿迁市宿豫区卫生健康局</w:t>
      </w:r>
      <w:r>
        <w:rPr>
          <w:rFonts w:eastAsia="宋体" w:cs="Courier New"/>
          <w:sz w:val="24"/>
          <w:szCs w:val="24"/>
        </w:rPr>
      </w:r>
      <w:r/>
    </w:p>
    <w:p>
      <w:pPr>
        <w:pStyle w:val="680"/>
        <w:spacing w:line="560" w:lineRule="exact"/>
        <w:rPr>
          <w:rFonts w:eastAsia="宋体" w:cs="Courier New"/>
          <w:sz w:val="24"/>
          <w:szCs w:val="24"/>
        </w:rPr>
      </w:pPr>
      <w:r>
        <w:rPr>
          <w:rFonts w:eastAsia="宋体" w:cs="Courier New"/>
          <w:sz w:val="24"/>
          <w:szCs w:val="24"/>
        </w:rPr>
        <w:t xml:space="preserve">乙方：（卖方）</w:t>
      </w:r>
      <w:r>
        <w:rPr>
          <w:rFonts w:hint="eastAsia" w:eastAsia="宋体" w:cs="Courier New"/>
          <w:sz w:val="24"/>
          <w:szCs w:val="24"/>
          <w:u w:val="single"/>
        </w:rPr>
        <w:t xml:space="preserve">                      </w:t>
      </w:r>
      <w:r>
        <w:rPr>
          <w:rFonts w:eastAsia="宋体" w:cs="Courier New"/>
          <w:sz w:val="24"/>
          <w:szCs w:val="24"/>
        </w:rPr>
      </w:r>
      <w:r/>
    </w:p>
    <w:p>
      <w:pPr>
        <w:pStyle w:val="680"/>
        <w:spacing w:line="560" w:lineRule="exact"/>
        <w:rPr>
          <w:rFonts w:eastAsia="宋体" w:cs="Courier New"/>
          <w:b/>
          <w:sz w:val="24"/>
          <w:szCs w:val="24"/>
        </w:rPr>
      </w:pPr>
      <w:r>
        <w:rPr>
          <w:rFonts w:eastAsia="宋体" w:cs="Courier New"/>
          <w:b/>
          <w:sz w:val="24"/>
          <w:szCs w:val="24"/>
        </w:rPr>
        <w:t xml:space="preserve">   </w:t>
      </w:r>
      <w:r>
        <w:rPr>
          <w:rFonts w:eastAsia="宋体" w:cs="Courier New"/>
          <w:sz w:val="24"/>
          <w:szCs w:val="24"/>
        </w:rPr>
        <w:t xml:space="preserve">甲、乙双方根据</w:t>
      </w:r>
      <w:r>
        <w:rPr>
          <w:rFonts w:hint="eastAsia" w:eastAsia="宋体" w:cs="Courier New"/>
          <w:sz w:val="24"/>
          <w:szCs w:val="24"/>
          <w:u w:val="single"/>
          <w:lang w:eastAsia="zh-CN"/>
        </w:rPr>
        <w:t xml:space="preserve">宿豫区妇幼保健院及庐山社区卫生服务中心智能化设备采购项目</w:t>
      </w:r>
      <w:r>
        <w:rPr>
          <w:rFonts w:hint="eastAsia" w:eastAsia="宋体" w:cs="Courier New"/>
          <w:sz w:val="24"/>
          <w:szCs w:val="24"/>
        </w:rPr>
        <w:t xml:space="preserve">（项目编号：JSZC-321311-TYJT-G2026-0014）</w:t>
      </w:r>
      <w:r>
        <w:rPr>
          <w:rFonts w:eastAsia="宋体" w:cs="Courier New"/>
          <w:sz w:val="24"/>
          <w:szCs w:val="24"/>
        </w:rPr>
        <w:t xml:space="preserve">公开招标的结果，签署本合同。</w:t>
      </w:r>
      <w:r>
        <w:rPr>
          <w:rFonts w:eastAsia="宋体" w:cs="Courier New"/>
          <w:b/>
          <w:sz w:val="24"/>
          <w:szCs w:val="24"/>
        </w:rPr>
      </w:r>
      <w:r/>
    </w:p>
    <w:p>
      <w:pPr>
        <w:pStyle w:val="680"/>
        <w:ind w:firstLine="482"/>
        <w:spacing w:line="560" w:lineRule="exact"/>
        <w:rPr>
          <w:rFonts w:eastAsia="宋体" w:cs="Courier New"/>
          <w:b/>
          <w:sz w:val="24"/>
          <w:szCs w:val="24"/>
        </w:rPr>
      </w:pPr>
      <w:r>
        <w:rPr>
          <w:rFonts w:eastAsia="宋体" w:cs="Courier New"/>
          <w:b/>
          <w:sz w:val="24"/>
          <w:szCs w:val="24"/>
        </w:rPr>
        <w:t xml:space="preserve">一、</w:t>
      </w:r>
      <w:r>
        <w:rPr>
          <w:rFonts w:hint="eastAsia" w:eastAsia="宋体" w:cs="Courier New"/>
          <w:b/>
          <w:sz w:val="24"/>
          <w:szCs w:val="24"/>
        </w:rPr>
        <w:t xml:space="preserve">合同</w:t>
      </w:r>
      <w:r>
        <w:rPr>
          <w:rFonts w:eastAsia="宋体" w:cs="Courier New"/>
          <w:b/>
          <w:sz w:val="24"/>
          <w:szCs w:val="24"/>
        </w:rPr>
        <w:t xml:space="preserve">内容</w:t>
      </w:r>
      <w:r>
        <w:rPr>
          <w:rFonts w:eastAsia="宋体" w:cs="Courier New"/>
          <w:b/>
          <w:sz w:val="24"/>
          <w:szCs w:val="24"/>
        </w:rPr>
      </w:r>
      <w:r/>
    </w:p>
    <w:p>
      <w:pPr>
        <w:pStyle w:val="680"/>
        <w:ind w:firstLine="480"/>
        <w:spacing w:line="560" w:lineRule="exact"/>
        <w:rPr>
          <w:rFonts w:hint="eastAsia" w:eastAsia="宋体" w:cs="Courier New"/>
          <w:sz w:val="24"/>
          <w:szCs w:val="24"/>
          <w:lang w:eastAsia="zh-CN"/>
        </w:rPr>
      </w:pPr>
      <w:r>
        <w:rPr>
          <w:rFonts w:eastAsia="宋体" w:cs="Courier New"/>
          <w:sz w:val="24"/>
          <w:szCs w:val="24"/>
        </w:rPr>
        <w:t xml:space="preserve">1.1 </w:t>
      </w:r>
      <w:r>
        <w:rPr>
          <w:rFonts w:hint="eastAsia" w:eastAsia="宋体" w:cs="Courier New"/>
          <w:sz w:val="24"/>
          <w:szCs w:val="24"/>
        </w:rPr>
        <w:t xml:space="preserve">标的</w:t>
      </w:r>
      <w:r>
        <w:rPr>
          <w:rFonts w:eastAsia="宋体" w:cs="Courier New"/>
          <w:sz w:val="24"/>
          <w:szCs w:val="24"/>
        </w:rPr>
        <w:t xml:space="preserve">名称：</w:t>
      </w:r>
      <w:r>
        <w:rPr>
          <w:rFonts w:hint="eastAsia" w:eastAsia="宋体" w:cs="Courier New"/>
          <w:sz w:val="24"/>
          <w:szCs w:val="24"/>
          <w:u w:val="single"/>
          <w:lang w:eastAsia="zh-CN"/>
        </w:rPr>
        <w:t xml:space="preserve">宿豫区妇幼保健院及庐山社区卫生服务中心智能化设备采购项目</w:t>
      </w:r>
      <w:r>
        <w:rPr>
          <w:rFonts w:hint="eastAsia" w:eastAsia="宋体" w:cs="Courier New"/>
          <w:sz w:val="24"/>
          <w:szCs w:val="24"/>
          <w:lang w:eastAsia="zh-CN"/>
        </w:rPr>
      </w:r>
      <w:r/>
    </w:p>
    <w:p>
      <w:pPr>
        <w:pStyle w:val="680"/>
        <w:ind w:firstLine="480"/>
        <w:spacing w:line="560" w:lineRule="exact"/>
        <w:rPr>
          <w:rFonts w:eastAsia="宋体" w:cs="Courier New"/>
          <w:sz w:val="24"/>
          <w:szCs w:val="24"/>
          <w:u w:val="single"/>
        </w:rPr>
      </w:pPr>
      <w:r>
        <w:rPr>
          <w:rFonts w:eastAsia="宋体" w:cs="Courier New"/>
          <w:sz w:val="24"/>
          <w:szCs w:val="24"/>
        </w:rPr>
        <w:t xml:space="preserve">1.2</w:t>
      </w:r>
      <w:r>
        <w:rPr>
          <w:rFonts w:hint="eastAsia" w:eastAsia="宋体" w:cs="Courier New"/>
          <w:sz w:val="24"/>
          <w:szCs w:val="24"/>
        </w:rPr>
        <w:t xml:space="preserve"> 标的质量：</w:t>
      </w:r>
      <w:r>
        <w:rPr>
          <w:rFonts w:hint="eastAsia" w:eastAsia="宋体" w:cs="Courier New"/>
          <w:sz w:val="24"/>
          <w:szCs w:val="24"/>
          <w:u w:val="single"/>
        </w:rPr>
        <w:t xml:space="preserve">乙方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甲方有权拒收货物。乙方在交货时必需提供主要产品生产厂家供货证明书。乙方货物若与标书上列明的货物型号、技术指标等不相符，有造假现象的，一经查出，将终止合同，并承担由此给甲方带来的损失</w:t>
      </w:r>
      <w:r>
        <w:rPr>
          <w:rFonts w:hint="eastAsia" w:eastAsia="宋体" w:cs="Courier New"/>
          <w:sz w:val="24"/>
          <w:szCs w:val="24"/>
        </w:rPr>
        <w:t xml:space="preserve">。</w:t>
      </w:r>
      <w:r>
        <w:rPr>
          <w:rFonts w:eastAsia="宋体" w:cs="Courier New"/>
          <w:sz w:val="24"/>
          <w:szCs w:val="24"/>
          <w:u w:val="single"/>
        </w:rPr>
      </w:r>
      <w:r/>
    </w:p>
    <w:p>
      <w:pPr>
        <w:pStyle w:val="680"/>
        <w:ind w:firstLine="480"/>
        <w:spacing w:line="560" w:lineRule="exact"/>
        <w:rPr>
          <w:rFonts w:eastAsia="宋体" w:cs="Courier New"/>
          <w:sz w:val="24"/>
          <w:szCs w:val="24"/>
        </w:rPr>
      </w:pPr>
      <w:r>
        <w:rPr>
          <w:rFonts w:hint="eastAsia" w:eastAsia="宋体" w:cs="Courier New"/>
          <w:sz w:val="24"/>
          <w:szCs w:val="24"/>
        </w:rPr>
        <w:t xml:space="preserve">1.3 标的数量（规模）：</w:t>
      </w:r>
      <w:r>
        <w:rPr>
          <w:rFonts w:hint="eastAsia" w:eastAsia="宋体" w:cs="Courier New"/>
          <w:sz w:val="24"/>
          <w:szCs w:val="24"/>
          <w:u w:val="single"/>
        </w:rPr>
        <w:t xml:space="preserve">详见采购清单。</w:t>
      </w:r>
      <w:r>
        <w:rPr>
          <w:rFonts w:eastAsia="宋体" w:cs="Courier New"/>
          <w:sz w:val="24"/>
          <w:szCs w:val="24"/>
        </w:rPr>
      </w:r>
      <w:r/>
    </w:p>
    <w:p>
      <w:pPr>
        <w:pStyle w:val="680"/>
        <w:ind w:firstLine="480"/>
        <w:spacing w:line="560" w:lineRule="exact"/>
        <w:rPr>
          <w:rFonts w:eastAsia="宋体" w:cs="Courier New"/>
          <w:sz w:val="24"/>
          <w:szCs w:val="24"/>
        </w:rPr>
      </w:pPr>
      <w:r>
        <w:rPr>
          <w:rFonts w:hint="eastAsia" w:eastAsia="宋体" w:cs="Courier New"/>
          <w:sz w:val="24"/>
          <w:szCs w:val="24"/>
        </w:rPr>
        <w:t xml:space="preserve">1.4 履行时间（期限）：</w:t>
      </w:r>
      <w:r>
        <w:rPr>
          <w:rFonts w:hint="eastAsia" w:eastAsia="宋体" w:cs="Courier New"/>
          <w:sz w:val="24"/>
          <w:szCs w:val="24"/>
          <w:u w:val="single"/>
          <w:lang w:val="en-US" w:eastAsia="zh-CN"/>
        </w:rPr>
        <w:t xml:space="preserve">              </w:t>
      </w:r>
      <w:r>
        <w:rPr>
          <w:rFonts w:hint="eastAsia" w:eastAsia="宋体" w:cs="Courier New"/>
          <w:sz w:val="24"/>
          <w:szCs w:val="24"/>
          <w:u w:val="single"/>
        </w:rPr>
        <w:t xml:space="preserve">。</w:t>
      </w:r>
      <w:r>
        <w:rPr>
          <w:rFonts w:eastAsia="宋体" w:cs="Courier New"/>
          <w:sz w:val="24"/>
          <w:szCs w:val="24"/>
        </w:rPr>
      </w:r>
      <w:r/>
    </w:p>
    <w:p>
      <w:pPr>
        <w:pStyle w:val="680"/>
        <w:ind w:firstLine="480"/>
        <w:spacing w:line="560" w:lineRule="exact"/>
        <w:rPr>
          <w:rFonts w:eastAsia="宋体" w:cs="Courier New"/>
          <w:sz w:val="24"/>
          <w:szCs w:val="24"/>
        </w:rPr>
      </w:pPr>
      <w:r>
        <w:rPr>
          <w:rFonts w:hint="eastAsia" w:eastAsia="宋体" w:cs="Courier New"/>
          <w:sz w:val="24"/>
          <w:szCs w:val="24"/>
        </w:rPr>
        <w:t xml:space="preserve">1.5 履行地点：</w:t>
      </w:r>
      <w:r>
        <w:rPr>
          <w:rFonts w:hint="eastAsia" w:eastAsia="宋体" w:cs="Courier New"/>
          <w:sz w:val="24"/>
          <w:szCs w:val="24"/>
          <w:u w:val="single"/>
          <w:lang w:val="en-US" w:eastAsia="zh-CN"/>
        </w:rPr>
        <w:t xml:space="preserve">                     </w:t>
      </w:r>
      <w:r>
        <w:rPr>
          <w:rFonts w:hint="eastAsia" w:eastAsia="宋体" w:cs="Courier New"/>
          <w:sz w:val="24"/>
          <w:szCs w:val="24"/>
          <w:u w:val="single"/>
        </w:rPr>
        <w:t xml:space="preserve">。</w:t>
      </w:r>
      <w:r>
        <w:rPr>
          <w:rFonts w:eastAsia="宋体" w:cs="Courier New"/>
          <w:sz w:val="24"/>
          <w:szCs w:val="24"/>
        </w:rPr>
      </w:r>
      <w:r/>
    </w:p>
    <w:p>
      <w:pPr>
        <w:pStyle w:val="680"/>
        <w:ind w:firstLine="480"/>
        <w:spacing w:line="560" w:lineRule="exact"/>
        <w:rPr>
          <w:rFonts w:eastAsia="宋体" w:cs="Courier New"/>
          <w:sz w:val="24"/>
          <w:szCs w:val="24"/>
        </w:rPr>
      </w:pPr>
      <w:r>
        <w:rPr>
          <w:rFonts w:eastAsia="宋体" w:cs="Courier New"/>
          <w:sz w:val="24"/>
          <w:szCs w:val="24"/>
        </w:rPr>
        <w:t xml:space="preserve">1.</w:t>
      </w:r>
      <w:r>
        <w:rPr>
          <w:rFonts w:hint="eastAsia" w:eastAsia="宋体" w:cs="Courier New"/>
          <w:sz w:val="24"/>
          <w:szCs w:val="24"/>
        </w:rPr>
        <w:t xml:space="preserve">6 履行方式：</w:t>
      </w:r>
      <w:r>
        <w:rPr>
          <w:rFonts w:hint="eastAsia" w:eastAsia="宋体" w:cs="Courier New"/>
          <w:sz w:val="24"/>
          <w:szCs w:val="24"/>
          <w:u w:val="single"/>
        </w:rPr>
        <w:t xml:space="preserve">乙方负责将货物运输至甲方指定地点，运输过程中的各种风险由乙方承担，运输方式由乙方视情况自定，费用自负。</w:t>
      </w:r>
      <w:r>
        <w:rPr>
          <w:rFonts w:eastAsia="宋体" w:cs="Courier New"/>
          <w:sz w:val="24"/>
          <w:szCs w:val="24"/>
        </w:rPr>
      </w:r>
      <w:r/>
    </w:p>
    <w:p>
      <w:pPr>
        <w:pStyle w:val="680"/>
        <w:ind w:firstLine="480"/>
        <w:spacing w:line="560" w:lineRule="exact"/>
        <w:rPr>
          <w:rFonts w:eastAsia="宋体" w:cs="Courier New"/>
          <w:sz w:val="24"/>
          <w:szCs w:val="24"/>
        </w:rPr>
      </w:pPr>
      <w:r>
        <w:rPr>
          <w:rFonts w:hint="eastAsia" w:eastAsia="宋体" w:cs="Courier New"/>
          <w:sz w:val="24"/>
          <w:szCs w:val="24"/>
        </w:rPr>
        <w:t xml:space="preserve">1.7 包装方式：</w:t>
      </w:r>
      <w:r>
        <w:rPr>
          <w:rFonts w:hint="eastAsia" w:eastAsia="宋体" w:cs="Times New Roman"/>
          <w:sz w:val="24"/>
          <w:szCs w:val="24"/>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eastAsia="宋体" w:cs="Courier New"/>
          <w:sz w:val="24"/>
          <w:szCs w:val="24"/>
        </w:rPr>
      </w:r>
      <w:r/>
    </w:p>
    <w:p>
      <w:pPr>
        <w:pStyle w:val="680"/>
        <w:ind w:firstLine="482"/>
        <w:spacing w:line="560" w:lineRule="exact"/>
        <w:rPr>
          <w:rFonts w:eastAsia="宋体" w:cs="Courier New"/>
          <w:b/>
          <w:sz w:val="24"/>
          <w:szCs w:val="24"/>
        </w:rPr>
      </w:pPr>
      <w:r>
        <w:rPr>
          <w:rFonts w:eastAsia="宋体" w:cs="Courier New"/>
          <w:b/>
          <w:sz w:val="24"/>
          <w:szCs w:val="24"/>
        </w:rPr>
        <w:t xml:space="preserve">二、合同金额</w:t>
      </w:r>
      <w:r>
        <w:rPr>
          <w:rFonts w:eastAsia="宋体" w:cs="Courier New"/>
          <w:b/>
          <w:sz w:val="24"/>
          <w:szCs w:val="24"/>
        </w:rPr>
      </w:r>
      <w:r/>
    </w:p>
    <w:p>
      <w:pPr>
        <w:pStyle w:val="680"/>
        <w:ind w:firstLine="480"/>
        <w:spacing w:line="560" w:lineRule="exact"/>
        <w:rPr>
          <w:rFonts w:eastAsia="宋体" w:cs="Courier New"/>
          <w:sz w:val="24"/>
          <w:szCs w:val="24"/>
        </w:rPr>
      </w:pPr>
      <w:r>
        <w:rPr>
          <w:rFonts w:eastAsia="宋体" w:cs="Courier New"/>
          <w:sz w:val="24"/>
          <w:szCs w:val="24"/>
        </w:rPr>
        <w:t xml:space="preserve">2.1 本合同金额为（大写）：_____</w:t>
      </w:r>
      <w:r>
        <w:rPr>
          <w:rFonts w:hint="eastAsia" w:eastAsia="宋体" w:cs="Courier New"/>
          <w:sz w:val="24"/>
          <w:szCs w:val="24"/>
        </w:rPr>
        <w:t xml:space="preserve">元整</w:t>
      </w:r>
      <w:r>
        <w:rPr>
          <w:rFonts w:eastAsia="宋体" w:cs="Courier New"/>
          <w:sz w:val="24"/>
          <w:szCs w:val="24"/>
        </w:rPr>
        <w:t xml:space="preserve">（___元）人民币</w:t>
      </w:r>
      <w:r>
        <w:rPr>
          <w:rFonts w:hint="eastAsia" w:eastAsia="宋体" w:cs="Courier New"/>
          <w:sz w:val="24"/>
          <w:szCs w:val="24"/>
        </w:rPr>
        <w:t xml:space="preserve">或其他币种</w:t>
      </w:r>
      <w:r>
        <w:rPr>
          <w:rFonts w:eastAsia="宋体" w:cs="Courier New"/>
          <w:sz w:val="24"/>
          <w:szCs w:val="24"/>
        </w:rPr>
        <w:t xml:space="preserve">。</w:t>
      </w:r>
      <w:r>
        <w:rPr>
          <w:rFonts w:eastAsia="宋体" w:cs="Courier New"/>
          <w:sz w:val="24"/>
          <w:szCs w:val="24"/>
        </w:rPr>
      </w:r>
      <w:r/>
    </w:p>
    <w:p>
      <w:pPr>
        <w:pStyle w:val="680"/>
        <w:ind w:left="479" w:firstLine="480"/>
        <w:jc w:val="center"/>
        <w:spacing w:line="560" w:lineRule="exact"/>
        <w:rPr>
          <w:rFonts w:eastAsia="宋体" w:cs="Courier New"/>
          <w:sz w:val="24"/>
          <w:szCs w:val="24"/>
        </w:rPr>
      </w:pPr>
      <w:r>
        <w:rPr>
          <w:rFonts w:hint="eastAsia" w:ascii="宋体" w:hAnsi="宋体" w:eastAsia="宋体" w:cs="Courier New"/>
          <w:sz w:val="24"/>
          <w:szCs w:val="24"/>
        </w:rPr>
        <w:t xml:space="preserve">主要标的物清单（详细列明）</w:t>
      </w:r>
      <w:r>
        <w:rPr>
          <w:rFonts w:eastAsia="宋体" w:cs="Courier New"/>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1718"/>
        <w:gridCol w:w="1021"/>
        <w:gridCol w:w="1436"/>
        <w:gridCol w:w="1444"/>
      </w:tblGrid>
      <w:tr>
        <w:trPr>
          <w:trHeight w:val="599"/>
        </w:trPr>
        <w:tc>
          <w:tcPr>
            <w:tcW w:w="806" w:type="dxa"/>
            <w:vAlign w:val="center"/>
            <w:textDirection w:val="lrTb"/>
            <w:noWrap w:val="false"/>
          </w:tcPr>
          <w:p>
            <w:pPr>
              <w:pStyle w:val="68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286" w:type="dxa"/>
            <w:vAlign w:val="center"/>
            <w:textDirection w:val="lrTb"/>
            <w:noWrap w:val="false"/>
          </w:tcPr>
          <w:p>
            <w:pPr>
              <w:pStyle w:val="68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产品名称</w:t>
            </w:r>
            <w:r>
              <w:rPr>
                <w:rFonts w:hint="eastAsia" w:ascii="宋体" w:hAnsi="宋体" w:eastAsia="宋体" w:cs="宋体"/>
                <w:sz w:val="24"/>
                <w:szCs w:val="24"/>
              </w:rPr>
            </w:r>
            <w:r/>
          </w:p>
        </w:tc>
        <w:tc>
          <w:tcPr>
            <w:tcW w:w="950" w:type="dxa"/>
            <w:vAlign w:val="center"/>
            <w:textDirection w:val="lrTb"/>
            <w:noWrap w:val="false"/>
          </w:tcPr>
          <w:p>
            <w:pPr>
              <w:pStyle w:val="68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品牌</w:t>
            </w:r>
            <w:r>
              <w:rPr>
                <w:rFonts w:hint="eastAsia" w:ascii="宋体" w:hAnsi="宋体" w:eastAsia="宋体" w:cs="宋体"/>
                <w:sz w:val="24"/>
                <w:szCs w:val="24"/>
              </w:rPr>
            </w:r>
            <w:r/>
          </w:p>
        </w:tc>
        <w:tc>
          <w:tcPr>
            <w:tcW w:w="1561" w:type="dxa"/>
            <w:vAlign w:val="center"/>
            <w:textDirection w:val="lrTb"/>
            <w:noWrap w:val="false"/>
          </w:tcPr>
          <w:p>
            <w:pPr>
              <w:pStyle w:val="68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规格、型号</w:t>
            </w:r>
            <w:r>
              <w:rPr>
                <w:rFonts w:hint="eastAsia" w:ascii="宋体" w:hAnsi="宋体" w:eastAsia="宋体" w:cs="宋体"/>
                <w:sz w:val="24"/>
                <w:szCs w:val="24"/>
              </w:rPr>
            </w:r>
            <w:r/>
          </w:p>
        </w:tc>
        <w:tc>
          <w:tcPr>
            <w:tcW w:w="1718" w:type="dxa"/>
            <w:vAlign w:val="center"/>
            <w:textDirection w:val="lrTb"/>
            <w:noWrap w:val="false"/>
          </w:tcPr>
          <w:p>
            <w:pPr>
              <w:pStyle w:val="68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W w:w="1021" w:type="dxa"/>
            <w:vAlign w:val="center"/>
            <w:textDirection w:val="lrTb"/>
            <w:noWrap w:val="false"/>
          </w:tcPr>
          <w:p>
            <w:pPr>
              <w:pStyle w:val="68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1436" w:type="dxa"/>
            <w:vAlign w:val="center"/>
            <w:textDirection w:val="lrTb"/>
            <w:noWrap w:val="false"/>
          </w:tcPr>
          <w:p>
            <w:pPr>
              <w:pStyle w:val="68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单价（元）</w:t>
            </w:r>
            <w:r>
              <w:rPr>
                <w:rFonts w:hint="eastAsia" w:ascii="宋体" w:hAnsi="宋体" w:eastAsia="宋体" w:cs="宋体"/>
                <w:sz w:val="24"/>
                <w:szCs w:val="24"/>
              </w:rPr>
            </w:r>
            <w:r/>
          </w:p>
        </w:tc>
        <w:tc>
          <w:tcPr>
            <w:tcW w:w="1444" w:type="dxa"/>
            <w:vAlign w:val="center"/>
            <w:textDirection w:val="lrTb"/>
            <w:noWrap w:val="false"/>
          </w:tcPr>
          <w:p>
            <w:pPr>
              <w:pStyle w:val="68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总价（元）</w:t>
            </w:r>
            <w:r>
              <w:rPr>
                <w:rFonts w:hint="eastAsia" w:ascii="宋体" w:hAnsi="宋体" w:eastAsia="宋体" w:cs="宋体"/>
                <w:sz w:val="24"/>
                <w:szCs w:val="24"/>
              </w:rPr>
            </w:r>
            <w:r/>
          </w:p>
        </w:tc>
      </w:tr>
      <w:tr>
        <w:trPr/>
        <w:tc>
          <w:tcPr>
            <w:tcW w:w="80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28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50"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561"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718"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21"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3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44"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80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28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50"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561"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718"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21"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3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44"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80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28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50"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561"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718"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21"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3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44"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80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28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50"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561"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718"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21"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3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44"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80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28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50"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561"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718"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21"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36"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44" w:type="dxa"/>
            <w:vAlign w:val="center"/>
            <w:textDirection w:val="lrTb"/>
            <w:noWrap w:val="false"/>
          </w:tcPr>
          <w:p>
            <w:pPr>
              <w:pStyle w:val="680"/>
              <w:ind w:left="410" w:firstLine="48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c>
          <w:tcPr>
            <w:gridSpan w:val="8"/>
            <w:tcW w:w="10222" w:type="dxa"/>
            <w:vAlign w:val="center"/>
            <w:textDirection w:val="lrTb"/>
            <w:noWrap w:val="false"/>
          </w:tcPr>
          <w:p>
            <w:pPr>
              <w:pStyle w:val="6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合计：人民币金额（大写）：    佰    拾    万    仟   佰   拾    元整（￥：   ）</w:t>
            </w:r>
            <w:r>
              <w:rPr>
                <w:rFonts w:hint="eastAsia" w:ascii="宋体" w:hAnsi="宋体" w:eastAsia="宋体" w:cs="宋体"/>
                <w:sz w:val="24"/>
                <w:szCs w:val="24"/>
              </w:rPr>
            </w:r>
            <w:r/>
          </w:p>
        </w:tc>
      </w:tr>
    </w:tbl>
    <w:p>
      <w:pPr>
        <w:pStyle w:val="680"/>
        <w:ind w:firstLine="480"/>
        <w:spacing w:line="560" w:lineRule="exact"/>
        <w:rPr>
          <w:rFonts w:eastAsia="宋体" w:cs="Courier New"/>
          <w:b/>
          <w:sz w:val="24"/>
          <w:szCs w:val="24"/>
        </w:rPr>
      </w:pPr>
      <w:r>
        <w:rPr>
          <w:rFonts w:hint="eastAsia" w:eastAsia="宋体" w:cs="Courier New"/>
          <w:sz w:val="24"/>
          <w:szCs w:val="24"/>
        </w:rPr>
        <w:t xml:space="preserve">本合同价款包含乙方提供合同约定的货物及乙方提供合同中服务所支出的所有费用，甲方在上述合同价款之外不再向乙方支付其他任何费用。</w:t>
      </w:r>
      <w:r>
        <w:rPr>
          <w:rFonts w:eastAsia="宋体" w:cs="Courier New"/>
          <w:b/>
          <w:sz w:val="24"/>
          <w:szCs w:val="24"/>
        </w:rPr>
      </w:r>
      <w:r/>
    </w:p>
    <w:p>
      <w:pPr>
        <w:pStyle w:val="680"/>
        <w:ind w:firstLine="482"/>
        <w:spacing w:line="560" w:lineRule="exact"/>
        <w:rPr>
          <w:rFonts w:eastAsia="宋体" w:cs="Courier New"/>
          <w:b/>
          <w:sz w:val="24"/>
          <w:szCs w:val="24"/>
        </w:rPr>
      </w:pPr>
      <w:r>
        <w:rPr>
          <w:rFonts w:eastAsia="宋体" w:cs="Courier New"/>
          <w:b/>
          <w:sz w:val="24"/>
          <w:szCs w:val="24"/>
        </w:rPr>
        <w:t xml:space="preserve">三、技术资料</w:t>
      </w:r>
      <w:r>
        <w:rPr>
          <w:rFonts w:eastAsia="宋体" w:cs="Courier New"/>
          <w:b/>
          <w:sz w:val="24"/>
          <w:szCs w:val="24"/>
        </w:rPr>
      </w:r>
      <w:r/>
    </w:p>
    <w:p>
      <w:pPr>
        <w:pStyle w:val="680"/>
        <w:ind w:firstLine="480"/>
        <w:spacing w:line="560" w:lineRule="exact"/>
        <w:rPr>
          <w:rFonts w:eastAsia="宋体" w:cs="Courier New"/>
          <w:sz w:val="24"/>
          <w:szCs w:val="24"/>
        </w:rPr>
      </w:pPr>
      <w:r>
        <w:rPr>
          <w:rFonts w:eastAsia="宋体" w:cs="Courier New"/>
          <w:sz w:val="24"/>
          <w:szCs w:val="24"/>
        </w:rPr>
        <w:t xml:space="preserve">3.1乙方应按招标文件规定的时间向甲方提供使用货物</w:t>
      </w:r>
      <w:r>
        <w:rPr>
          <w:rFonts w:hint="eastAsia" w:eastAsia="宋体" w:cs="Courier New"/>
          <w:sz w:val="24"/>
          <w:szCs w:val="24"/>
        </w:rPr>
        <w:t xml:space="preserve">(包含与货物相关的服务)</w:t>
      </w:r>
      <w:r>
        <w:rPr>
          <w:rFonts w:eastAsia="宋体" w:cs="Courier New"/>
          <w:sz w:val="24"/>
          <w:szCs w:val="24"/>
        </w:rPr>
        <w:t xml:space="preserve">的有关技术资料。</w:t>
      </w:r>
      <w:r>
        <w:rPr>
          <w:rFonts w:eastAsia="宋体" w:cs="Courier New"/>
          <w:sz w:val="24"/>
          <w:szCs w:val="24"/>
        </w:rPr>
      </w:r>
      <w:r/>
    </w:p>
    <w:p>
      <w:pPr>
        <w:pStyle w:val="680"/>
        <w:ind w:firstLine="480"/>
        <w:spacing w:line="560" w:lineRule="exact"/>
        <w:rPr>
          <w:rFonts w:eastAsia="宋体" w:cs="Courier New"/>
          <w:sz w:val="24"/>
          <w:szCs w:val="24"/>
        </w:rPr>
      </w:pPr>
      <w:r>
        <w:rPr>
          <w:rFonts w:eastAsia="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eastAsia="宋体" w:cs="Courier New"/>
          <w:sz w:val="24"/>
          <w:szCs w:val="24"/>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四、供货要求</w:t>
      </w:r>
      <w:r>
        <w:rPr>
          <w:rFonts w:hint="eastAsia" w:ascii="宋体" w:hAnsi="宋体" w:eastAsia="宋体" w:cs="宋体"/>
          <w:b/>
          <w:sz w:val="24"/>
          <w:szCs w:val="24"/>
        </w:rPr>
      </w:r>
      <w:r/>
    </w:p>
    <w:p>
      <w:pPr>
        <w:pStyle w:val="680"/>
        <w:ind w:firstLine="480"/>
        <w:spacing w:line="560" w:lineRule="exact"/>
        <w:rPr>
          <w:rFonts w:eastAsia="宋体" w:cs="Courier New"/>
          <w:sz w:val="24"/>
          <w:szCs w:val="24"/>
        </w:rPr>
      </w:pPr>
      <w:r>
        <w:rPr>
          <w:rFonts w:hint="eastAsia" w:eastAsia="宋体" w:cs="Courier New"/>
          <w:sz w:val="24"/>
          <w:szCs w:val="24"/>
        </w:rPr>
        <w:t xml:space="preserve">4.1乙方需合理安排各个环节的时间进度，确保在合同签订后规定时间内完成本项目。</w:t>
      </w:r>
      <w:r>
        <w:rPr>
          <w:rFonts w:eastAsia="宋体" w:cs="Courier New"/>
          <w:sz w:val="24"/>
          <w:szCs w:val="24"/>
        </w:rPr>
      </w:r>
      <w:r/>
    </w:p>
    <w:p>
      <w:pPr>
        <w:pStyle w:val="680"/>
        <w:ind w:firstLine="480"/>
        <w:spacing w:line="560" w:lineRule="exact"/>
        <w:rPr>
          <w:rFonts w:eastAsia="宋体" w:cs="Courier New"/>
          <w:sz w:val="24"/>
          <w:szCs w:val="24"/>
        </w:rPr>
      </w:pPr>
      <w:r>
        <w:rPr>
          <w:rFonts w:hint="eastAsia" w:eastAsia="宋体" w:cs="Courier New"/>
          <w:sz w:val="24"/>
          <w:szCs w:val="24"/>
        </w:rPr>
        <w:t xml:space="preserve">4.2供货前，乙方应提供相关货物、设备的规格、颜色、外形等供甲方确认，否则造成的损失由乙方自行承担。产品必须是正规厂家新品，中高端优质产品，不得使用已经淘汰或拼凑、组装的伪劣、假冒部件及产品经甲方审验合格后方可进场，所有产品必须符合国家标准和环保要求，不得以次充好。</w:t>
      </w:r>
      <w:r>
        <w:rPr>
          <w:rFonts w:eastAsia="宋体" w:cs="Courier New"/>
          <w:sz w:val="24"/>
          <w:szCs w:val="24"/>
        </w:rPr>
      </w:r>
      <w:r/>
    </w:p>
    <w:p>
      <w:pPr>
        <w:pStyle w:val="680"/>
        <w:ind w:firstLine="480"/>
        <w:spacing w:line="560" w:lineRule="exact"/>
        <w:rPr>
          <w:rFonts w:eastAsia="宋体" w:cs="Courier New"/>
          <w:sz w:val="24"/>
          <w:szCs w:val="24"/>
        </w:rPr>
      </w:pPr>
      <w:r>
        <w:rPr>
          <w:rFonts w:hint="eastAsia" w:eastAsia="宋体" w:cs="Courier New"/>
          <w:sz w:val="24"/>
          <w:szCs w:val="24"/>
        </w:rPr>
        <w:t xml:space="preserve">4.3乙方应在合同签订后规定时间按要求将货物运输至甲方指定的交货地点。零散及易损件须用木箱包装，确保防盗、防震、防潮、防破损、运输方式确定，并且由于运输造成的设备损坏，丢失均由乙方负责处理，未按进度供货的，责任乙方自负。</w:t>
      </w:r>
      <w:r>
        <w:rPr>
          <w:rFonts w:eastAsia="宋体" w:cs="Courier New"/>
          <w:sz w:val="24"/>
          <w:szCs w:val="24"/>
        </w:rPr>
      </w:r>
      <w:r/>
    </w:p>
    <w:p>
      <w:pPr>
        <w:pStyle w:val="680"/>
        <w:ind w:firstLine="480"/>
        <w:spacing w:line="560" w:lineRule="exact"/>
        <w:rPr>
          <w:rFonts w:eastAsia="宋体" w:cs="Courier New"/>
          <w:sz w:val="24"/>
          <w:szCs w:val="24"/>
        </w:rPr>
      </w:pPr>
      <w:r>
        <w:rPr>
          <w:rFonts w:hint="eastAsia" w:eastAsia="宋体" w:cs="Courier New"/>
          <w:sz w:val="24"/>
          <w:szCs w:val="24"/>
        </w:rPr>
        <w:t xml:space="preserve">4.4经甲方确认供货完成后，乙方应在规定时间内完成货物的安装、调试的工作，对于安装、调试出现质量问题的，乙方应及时更换新的产品，确保货物质量。</w:t>
      </w:r>
      <w:r>
        <w:rPr>
          <w:rFonts w:eastAsia="宋体" w:cs="Courier New"/>
          <w:sz w:val="24"/>
          <w:szCs w:val="24"/>
        </w:rPr>
      </w:r>
      <w:r/>
    </w:p>
    <w:p>
      <w:pPr>
        <w:pStyle w:val="680"/>
        <w:ind w:firstLine="480"/>
        <w:spacing w:line="560" w:lineRule="exact"/>
        <w:rPr>
          <w:rFonts w:eastAsia="宋体" w:cs="Courier New"/>
          <w:sz w:val="24"/>
          <w:szCs w:val="24"/>
        </w:rPr>
      </w:pPr>
      <w:r>
        <w:rPr>
          <w:rFonts w:hint="eastAsia" w:eastAsia="宋体" w:cs="Courier New"/>
          <w:sz w:val="24"/>
          <w:szCs w:val="24"/>
        </w:rPr>
        <w:t xml:space="preserve">4.5环保检测、材料、成品及安装后室内所需的检测均由乙方负责。一切安全问题由乙方负责。</w:t>
      </w:r>
      <w:r>
        <w:rPr>
          <w:rFonts w:eastAsia="宋体" w:cs="Courier New"/>
          <w:sz w:val="24"/>
          <w:szCs w:val="24"/>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五、知识产权</w:t>
      </w:r>
      <w:r>
        <w:rPr>
          <w:rFonts w:hint="eastAsia" w:ascii="宋体" w:hAnsi="宋体" w:eastAsia="宋体" w:cs="宋体"/>
          <w:b/>
          <w:sz w:val="24"/>
          <w:szCs w:val="24"/>
        </w:rPr>
      </w:r>
      <w:r/>
    </w:p>
    <w:p>
      <w:pPr>
        <w:pStyle w:val="680"/>
        <w:ind w:firstLine="480"/>
        <w:spacing w:line="560" w:lineRule="exact"/>
        <w:rPr>
          <w:rFonts w:hint="eastAsia" w:ascii="宋体" w:hAnsi="宋体" w:eastAsia="宋体" w:cs="宋体"/>
          <w:sz w:val="24"/>
        </w:rPr>
      </w:pPr>
      <w:r>
        <w:rPr>
          <w:rFonts w:hint="eastAsia" w:ascii="宋体" w:hAnsi="宋体" w:eastAsia="宋体" w:cs="宋体"/>
          <w:sz w:val="24"/>
          <w:szCs w:val="24"/>
        </w:rPr>
        <w:t xml:space="preserve">5.1乙</w:t>
      </w:r>
      <w:r>
        <w:rPr>
          <w:rFonts w:hint="eastAsia" w:ascii="宋体" w:hAnsi="宋体" w:eastAsia="宋体" w:cs="宋体"/>
          <w:sz w:val="24"/>
        </w:rPr>
        <w:t xml:space="preserve">方应保证甲方在使用、接受本合同货物</w:t>
      </w:r>
      <w:r>
        <w:rPr>
          <w:rFonts w:hint="eastAsia" w:ascii="宋体" w:hAnsi="宋体" w:eastAsia="宋体" w:cs="宋体"/>
          <w:sz w:val="24"/>
          <w:szCs w:val="24"/>
        </w:rPr>
        <w:t xml:space="preserve">（包含与货物相关的服务）</w:t>
      </w:r>
      <w:r>
        <w:rPr>
          <w:rFonts w:hint="eastAsia" w:ascii="宋体" w:hAnsi="宋体" w:eastAsia="宋体" w:cs="宋体"/>
          <w:sz w:val="24"/>
        </w:rPr>
        <w:t xml:space="preserve">或其任何一部分时不受第三方提出侵犯其专利权、版权、商标权和工业设计权等知识产权的起诉。一旦出现侵权，由乙方负全部责任。</w:t>
      </w:r>
      <w:r>
        <w:rPr>
          <w:rFonts w:hint="eastAsia" w:ascii="宋体" w:hAnsi="宋体" w:eastAsia="宋体" w:cs="宋体"/>
          <w:sz w:val="24"/>
        </w:rPr>
      </w:r>
      <w:r/>
    </w:p>
    <w:p>
      <w:pPr>
        <w:pStyle w:val="680"/>
        <w:ind w:firstLine="482"/>
        <w:spacing w:line="560" w:lineRule="exact"/>
        <w:rPr>
          <w:rFonts w:hint="eastAsia" w:ascii="宋体" w:hAnsi="宋体" w:eastAsia="宋体" w:cs="宋体"/>
          <w:sz w:val="24"/>
          <w:szCs w:val="24"/>
          <w:u w:val="single"/>
        </w:rPr>
      </w:pPr>
      <w:r>
        <w:rPr>
          <w:rFonts w:hint="eastAsia" w:ascii="宋体" w:hAnsi="宋体" w:eastAsia="宋体" w:cs="宋体"/>
          <w:b/>
          <w:sz w:val="24"/>
          <w:szCs w:val="24"/>
        </w:rPr>
        <w:t xml:space="preserve">六、产权担保</w:t>
      </w:r>
      <w:r>
        <w:rPr>
          <w:rFonts w:hint="eastAsia" w:ascii="宋体" w:hAnsi="宋体" w:eastAsia="宋体" w:cs="宋体"/>
          <w:sz w:val="24"/>
          <w:szCs w:val="24"/>
          <w:u w:val="single"/>
        </w:rPr>
      </w:r>
      <w:r/>
    </w:p>
    <w:p>
      <w:pPr>
        <w:pStyle w:val="680"/>
        <w:ind w:firstLine="480"/>
        <w:spacing w:line="560" w:lineRule="exact"/>
        <w:rPr>
          <w:rFonts w:hint="eastAsia" w:ascii="宋体" w:hAnsi="宋体" w:eastAsia="宋体" w:cs="宋体"/>
          <w:sz w:val="24"/>
          <w:szCs w:val="24"/>
          <w:u w:val="single"/>
        </w:rPr>
      </w:pPr>
      <w:r>
        <w:rPr>
          <w:rFonts w:hint="eastAsia" w:ascii="宋体" w:hAnsi="宋体" w:eastAsia="宋体" w:cs="宋体"/>
          <w:sz w:val="24"/>
          <w:szCs w:val="24"/>
        </w:rPr>
        <w:t xml:space="preserve">6.1 乙方保证所交付的货物（包含与货物相关的服务）的所有权完全属于乙方且无任何抵押、查封等产权瑕疵。</w:t>
      </w:r>
      <w:r>
        <w:rPr>
          <w:rFonts w:hint="eastAsia" w:ascii="宋体" w:hAnsi="宋体" w:eastAsia="宋体" w:cs="宋体"/>
          <w:sz w:val="24"/>
          <w:szCs w:val="24"/>
          <w:u w:val="single"/>
        </w:rPr>
      </w:r>
      <w:r/>
    </w:p>
    <w:p>
      <w:pPr>
        <w:pStyle w:val="680"/>
        <w:ind w:firstLine="482"/>
        <w:spacing w:line="560" w:lineRule="exact"/>
        <w:rPr>
          <w:rFonts w:ascii="宋体" w:hAnsi="宋体" w:eastAsia="宋体" w:cs="宋体"/>
          <w:b/>
          <w:sz w:val="24"/>
          <w:szCs w:val="24"/>
          <w:lang w:val="en-US" w:eastAsia="zh-CN"/>
        </w:rPr>
      </w:pPr>
      <w:r>
        <w:rPr>
          <w:rFonts w:hint="eastAsia" w:ascii="宋体" w:hAnsi="宋体" w:eastAsia="宋体" w:cs="宋体"/>
          <w:b/>
          <w:sz w:val="24"/>
          <w:szCs w:val="24"/>
        </w:rPr>
        <w:t xml:space="preserve">七、履约保证金</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本项目不收取履约保证金。</w:t>
      </w:r>
      <w:r>
        <w:rPr>
          <w:rFonts w:ascii="宋体" w:hAnsi="宋体" w:eastAsia="宋体" w:cs="宋体"/>
          <w:b/>
          <w:sz w:val="24"/>
          <w:szCs w:val="24"/>
          <w:lang w:val="en-US" w:eastAsia="zh-CN"/>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八、合同转包或分包</w:t>
      </w:r>
      <w:r>
        <w:rPr>
          <w:rFonts w:hint="eastAsia" w:ascii="宋体" w:hAnsi="宋体" w:eastAsia="宋体" w:cs="宋体"/>
          <w:b/>
          <w:sz w:val="24"/>
          <w:szCs w:val="24"/>
        </w:rPr>
      </w:r>
      <w:r/>
    </w:p>
    <w:p>
      <w:pPr>
        <w:pStyle w:val="680"/>
        <w:ind w:firstLine="482"/>
        <w:spacing w:line="560" w:lineRule="exact"/>
        <w:rPr>
          <w:rFonts w:hint="eastAsia" w:ascii="宋体" w:hAnsi="宋体" w:eastAsia="宋体" w:cs="宋体"/>
          <w:sz w:val="24"/>
          <w:szCs w:val="24"/>
        </w:rPr>
      </w:pPr>
      <w:r/>
      <w:bookmarkStart w:id="202" w:name="_Hlk215159285"/>
      <w:r>
        <w:rPr>
          <w:rFonts w:hint="eastAsia" w:ascii="宋体" w:hAnsi="宋体" w:eastAsia="宋体" w:cs="宋体"/>
          <w:sz w:val="24"/>
          <w:szCs w:val="24"/>
        </w:rPr>
        <w:t xml:space="preserve">8.1乙方不得将合同转包给其他供应商。涉及合同分包的，乙方应根据采购文件和投标（响应）文件规定进行合同分包。</w:t>
      </w:r>
      <w:r>
        <w:rPr>
          <w:rFonts w:hint="eastAsia" w:ascii="宋体" w:hAnsi="宋体" w:eastAsia="宋体" w:cs="宋体"/>
          <w:sz w:val="24"/>
          <w:szCs w:val="24"/>
        </w:rPr>
      </w:r>
      <w:r/>
    </w:p>
    <w:p>
      <w:pPr>
        <w:pStyle w:val="680"/>
        <w:ind w:firstLine="482"/>
        <w:spacing w:line="560" w:lineRule="exact"/>
        <w:rPr>
          <w:rFonts w:hint="eastAsia" w:ascii="宋体" w:hAnsi="宋体" w:eastAsia="宋体" w:cs="宋体"/>
          <w:sz w:val="24"/>
          <w:szCs w:val="24"/>
        </w:rPr>
      </w:pPr>
      <w:r>
        <w:rPr>
          <w:rFonts w:hint="eastAsia" w:ascii="宋体" w:hAnsi="宋体" w:eastAsia="宋体" w:cs="宋体"/>
          <w:sz w:val="24"/>
          <w:szCs w:val="24"/>
        </w:rPr>
        <w:t xml:space="preserve">8.2乙方执行政府采购政策向中小企业依法分包的，乙方应当按采购文件和投标（响应）文件签订分包意向协议，分包意向协议属于本合同组成部分。</w:t>
      </w:r>
      <w:bookmarkEnd w:id="202"/>
      <w:r>
        <w:rPr>
          <w:rFonts w:hint="eastAsia" w:ascii="宋体" w:hAnsi="宋体" w:eastAsia="宋体" w:cs="宋体"/>
          <w:sz w:val="24"/>
          <w:szCs w:val="24"/>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九、合同款项支付</w:t>
      </w:r>
      <w:r>
        <w:rPr>
          <w:rFonts w:hint="eastAsia" w:ascii="宋体" w:hAnsi="宋体" w:eastAsia="宋体" w:cs="宋体"/>
          <w:b/>
          <w:sz w:val="24"/>
          <w:szCs w:val="24"/>
        </w:rPr>
      </w:r>
      <w:r/>
    </w:p>
    <w:p>
      <w:pPr>
        <w:pStyle w:val="680"/>
        <w:ind w:firstLine="480"/>
        <w:spacing w:line="560" w:lineRule="exact"/>
        <w:rPr>
          <w:rFonts w:hint="eastAsia" w:ascii="宋体" w:hAnsi="宋体" w:eastAsia="宋体" w:cs="宋体"/>
          <w:bCs/>
          <w:sz w:val="24"/>
          <w:lang w:val="zh-CN"/>
        </w:rPr>
      </w:pPr>
      <w:r>
        <w:rPr>
          <w:rFonts w:hint="eastAsia" w:ascii="宋体" w:hAnsi="宋体" w:eastAsia="宋体" w:cs="宋体"/>
          <w:bCs/>
          <w:sz w:val="24"/>
        </w:rPr>
        <w:t xml:space="preserve">9</w:t>
      </w:r>
      <w:r>
        <w:rPr>
          <w:rFonts w:hint="eastAsia" w:ascii="宋体" w:hAnsi="宋体" w:eastAsia="宋体" w:cs="宋体"/>
          <w:bCs/>
          <w:sz w:val="24"/>
          <w:lang w:val="zh-CN"/>
        </w:rPr>
        <w:t xml:space="preserve">.1合同款项的支付方式及进度安排：</w:t>
      </w:r>
      <w:r>
        <w:rPr>
          <w:rFonts w:hint="eastAsia" w:ascii="宋体" w:hAnsi="宋体" w:eastAsia="宋体" w:cs="宋体"/>
          <w:bCs/>
          <w:sz w:val="24"/>
          <w:lang w:val="zh-CN"/>
        </w:rPr>
      </w:r>
      <w:r/>
    </w:p>
    <w:p>
      <w:pPr>
        <w:pStyle w:val="680"/>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预付款：签订合同后10日内支付合同总价款的30%（乙方在支付预付款前向甲方提供等额的保函或保险，期限不低于60日历天）；</w:t>
      </w:r>
      <w:r>
        <w:rPr>
          <w:rFonts w:hint="eastAsia" w:ascii="宋体" w:hAnsi="宋体" w:eastAsia="宋体" w:cs="宋体"/>
          <w:bCs/>
          <w:sz w:val="24"/>
          <w:lang w:val="zh-CN"/>
        </w:rPr>
      </w:r>
      <w:r/>
    </w:p>
    <w:p>
      <w:pPr>
        <w:pStyle w:val="680"/>
        <w:ind w:firstLine="480"/>
        <w:spacing w:line="560" w:lineRule="exact"/>
        <w:rPr>
          <w:rFonts w:hint="eastAsia" w:ascii="宋体" w:hAnsi="宋体" w:eastAsia="宋体" w:cs="宋体"/>
          <w:bCs/>
          <w:sz w:val="24"/>
          <w:highlight w:val="yellow"/>
          <w:lang w:val="zh-CN"/>
        </w:rPr>
      </w:pPr>
      <w:r/>
      <w:bookmarkStart w:id="203" w:name="_Hlk197940250"/>
      <w:r>
        <w:rPr>
          <w:rFonts w:hint="eastAsia" w:ascii="宋体" w:hAnsi="宋体" w:eastAsia="宋体" w:cs="宋体"/>
          <w:bCs/>
          <w:sz w:val="24"/>
          <w:highlight w:val="none"/>
          <w:lang w:val="zh-CN"/>
        </w:rPr>
        <w:t xml:space="preserve">进度款：</w:t>
      </w:r>
      <w:r>
        <w:rPr>
          <w:rStyle w:val="821"/>
          <w:rFonts w:hint="eastAsia" w:ascii="宋体" w:hAnsi="宋体" w:eastAsia="宋体" w:cs="宋体"/>
          <w:sz w:val="24"/>
          <w:szCs w:val="21"/>
          <w:highlight w:val="none"/>
          <w:lang w:val="en-US" w:eastAsia="zh-CN" w:bidi="ar-SA"/>
        </w:rPr>
        <w:t xml:space="preserve">项目完成后经验收合格付合同价款的97%。余款待质保期满后付清。付款前，供应商应向采购人提供符合要求的发票，否则，采购人有权拒绝付款，同时不免除供应商合同履行义务。采购人可从应付款中直接扣除供应商应承担的违约金或其他费用</w:t>
      </w:r>
      <w:r>
        <w:rPr>
          <w:rStyle w:val="821"/>
          <w:rFonts w:hint="eastAsia" w:ascii="宋体" w:hAnsi="宋体" w:eastAsia="宋体" w:cs="宋体"/>
          <w:sz w:val="24"/>
          <w:szCs w:val="21"/>
          <w:highlight w:val="none"/>
          <w:lang w:val="zh-CN" w:eastAsia="zh-CN" w:bidi="ar-SA"/>
        </w:rPr>
        <w:t xml:space="preserve">（</w:t>
      </w:r>
      <w:r>
        <w:rPr>
          <w:rStyle w:val="821"/>
          <w:rFonts w:hint="eastAsia" w:ascii="宋体" w:hAnsi="宋体" w:eastAsia="宋体" w:cs="宋体"/>
          <w:sz w:val="24"/>
          <w:szCs w:val="21"/>
          <w:highlight w:val="none"/>
          <w:lang w:val="en-US" w:eastAsia="zh-CN" w:bidi="ar-SA"/>
        </w:rPr>
        <w:t xml:space="preserve">数字人民币为合同价款支付的一种方式）。</w:t>
      </w:r>
      <w:r>
        <w:rPr>
          <w:rFonts w:hint="eastAsia" w:ascii="宋体" w:hAnsi="宋体" w:eastAsia="宋体" w:cs="宋体"/>
          <w:bCs/>
          <w:sz w:val="24"/>
          <w:highlight w:val="yellow"/>
          <w:lang w:val="zh-CN"/>
        </w:rPr>
      </w:r>
      <w:r/>
    </w:p>
    <w:p>
      <w:pPr>
        <w:pStyle w:val="680"/>
        <w:ind w:firstLine="480"/>
        <w:jc w:val="left"/>
        <w:spacing w:line="360" w:lineRule="auto"/>
        <w:widowControl w:val="off"/>
        <w:rPr>
          <w:rStyle w:val="821"/>
          <w:rFonts w:hint="eastAsia" w:ascii="宋体" w:hAnsi="宋体" w:eastAsia="宋体" w:cs="宋体"/>
          <w:sz w:val="24"/>
          <w:szCs w:val="24"/>
          <w:highlight w:val="none"/>
        </w:rPr>
      </w:pPr>
      <w:r/>
      <w:bookmarkEnd w:id="203"/>
      <w:r>
        <w:rPr>
          <w:rStyle w:val="821"/>
          <w:rFonts w:hint="eastAsia" w:ascii="宋体" w:hAnsi="宋体" w:eastAsia="宋体" w:cs="宋体"/>
          <w:sz w:val="24"/>
          <w:szCs w:val="21"/>
          <w:highlight w:val="none"/>
          <w:lang w:val="en-US" w:eastAsia="zh-CN" w:bidi="ar-SA"/>
        </w:rPr>
        <w:t xml:space="preserve">注：在签订合同时，乙方明确表示无需预付款或者主动要求降低预付款比例的金额，甲方可不适用预付款规定。</w:t>
      </w:r>
      <w:r>
        <w:rPr>
          <w:rStyle w:val="821"/>
          <w:rFonts w:hint="eastAsia" w:ascii="宋体" w:hAnsi="宋体" w:eastAsia="宋体" w:cs="宋体"/>
          <w:sz w:val="24"/>
          <w:szCs w:val="24"/>
          <w:highlight w:val="none"/>
        </w:rPr>
      </w:r>
      <w:r/>
    </w:p>
    <w:p>
      <w:pPr>
        <w:pStyle w:val="680"/>
        <w:ind w:firstLine="480"/>
        <w:spacing w:line="560" w:lineRule="exact"/>
        <w:rPr>
          <w:rFonts w:hint="eastAsia" w:ascii="宋体" w:hAnsi="宋体" w:eastAsia="宋体" w:cs="宋体"/>
          <w:bCs/>
          <w:sz w:val="24"/>
          <w:lang w:val="zh-CN"/>
        </w:rPr>
      </w:pPr>
      <w:r>
        <w:rPr>
          <w:rFonts w:hint="eastAsia" w:ascii="宋体" w:hAnsi="宋体" w:eastAsia="宋体" w:cs="宋体"/>
          <w:bCs/>
          <w:sz w:val="24"/>
        </w:rPr>
        <w:t xml:space="preserve">9</w:t>
      </w:r>
      <w:r>
        <w:rPr>
          <w:rFonts w:hint="eastAsia" w:ascii="宋体" w:hAnsi="宋体" w:eastAsia="宋体" w:cs="宋体"/>
          <w:bCs/>
          <w:sz w:val="24"/>
          <w:lang w:val="zh-CN"/>
        </w:rPr>
        <w:t xml:space="preserve">.2当采购数量与实际使用数量不一致时，乙方应根据实际使用量供货，合同的最终结算金额按实际使用量乘以成交单价进行计算。</w:t>
      </w:r>
      <w:r>
        <w:rPr>
          <w:rFonts w:hint="eastAsia" w:ascii="宋体" w:hAnsi="宋体" w:eastAsia="宋体" w:cs="宋体"/>
          <w:bCs/>
          <w:sz w:val="24"/>
          <w:lang w:val="zh-CN"/>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十、税费</w:t>
      </w:r>
      <w:r>
        <w:rPr>
          <w:rFonts w:hint="eastAsia" w:ascii="宋体" w:hAnsi="宋体" w:eastAsia="宋体" w:cs="宋体"/>
          <w:b/>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10.1本合同执行中相关的一切税费均由乙方负担。</w:t>
      </w:r>
      <w:r>
        <w:rPr>
          <w:rFonts w:hint="eastAsia" w:ascii="宋体" w:hAnsi="宋体" w:eastAsia="宋体" w:cs="宋体"/>
          <w:sz w:val="24"/>
          <w:szCs w:val="24"/>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十一、售后服务</w:t>
      </w:r>
      <w:r>
        <w:rPr>
          <w:rFonts w:hint="eastAsia" w:ascii="宋体" w:hAnsi="宋体" w:eastAsia="宋体" w:cs="宋体"/>
          <w:b/>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11.1乙方对所售出的产品实行三包：即产品在正常使用情况下发生质量问题时，乙方应按甲方的要求，负责对产品实行包修、包换、包退。</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11.2售后服务期：3年（自验收合格之日起计算）。</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乙方需提供售后技术支持服务，运行中出现故障时，由甲方通知乙方。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甲方不承担所产生的任何费用。</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11.3乙方除提供所供全部设备的安装调试服务外，还需有完善的培训服务体系，保证甲方能掌握设备的正常使用及日常维护工作。</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a.培训内容：乙方应在软件及硬件方面为甲方的技术人员开设培训课程，使其能够掌握系统的运行、检查、维护工作。</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b.培训时间及人数：每年度提供2次培训服务，每次培训不低于 10 人次，每次不少于 4 小时。</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c.培训地点：由甲方指定，包括但不限于使用单位内。</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d.培训方法及目标：乙方要详细制定详细的培训计划。要求根据用户的实际工作通过分角色、分流程、分系统进行全面培训，使各岗位相关人员（设备管理员、技术人员等）全面熟练掌握与自己工作相关的软件应用，确保日常工作的顺利完成。</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e.乙方应向接受培训人员提供技术资料、图纸、参考文献材料等。</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f.乙方负责培训的一切费用。</w:t>
      </w:r>
      <w:r>
        <w:rPr>
          <w:rFonts w:hint="eastAsia" w:ascii="宋体" w:hAnsi="宋体" w:eastAsia="宋体" w:cs="宋体"/>
          <w:sz w:val="24"/>
          <w:szCs w:val="24"/>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十二、项目验收</w:t>
      </w:r>
      <w:r>
        <w:rPr>
          <w:rFonts w:hint="eastAsia" w:ascii="宋体" w:hAnsi="宋体" w:eastAsia="宋体" w:cs="宋体"/>
          <w:b/>
          <w:sz w:val="24"/>
          <w:szCs w:val="24"/>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1.项目安装调试完毕，并提交完整的技术资料向采购人申请验收，采购人在五个工作日内组织验收。采购人对中标供应商提交的货物依据采购文件上的技术规格要求和国家有关质量标准进行签收。</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2.因本项目涉及到的改造、扩容较多且均为采购人重要设备间所使用的动力保障，因此参与本项目的投标单位所提供的产品必须符合国家、地方、行业的相关规定。</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3.中标供应商交货前应对产品作出全面检查和对验收文件进行整理，并列出清单，作为采购人收货验收和使用的技术条件依据，检验的结果应随货物交采购人。</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4.采购人对中标供应商提供的货物在使用前进行调试时，中标供应商需负责安装并培训采购人的使用操作人员，并协助采购人一起调试，直到符合技术要求。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5.验收时中标供应商必须在现场，验收完毕后作出验收结果报告。</w:t>
      </w:r>
      <w:r>
        <w:rPr>
          <w:rFonts w:hint="eastAsia" w:ascii="宋体" w:hAnsi="宋体" w:eastAsia="宋体" w:cs="宋体"/>
          <w:color w:val="000000"/>
          <w:sz w:val="24"/>
          <w:szCs w:val="24"/>
          <w:highlight w:val="none"/>
          <w:lang w:val="en-US" w:eastAsia="zh-CN" w:bidi="ar-SA"/>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十三、货物的包装、发运及运输</w:t>
      </w:r>
      <w:r>
        <w:rPr>
          <w:rFonts w:hint="eastAsia" w:ascii="宋体" w:hAnsi="宋体" w:eastAsia="宋体" w:cs="宋体"/>
          <w:b/>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13.2 使用说明书、质量检验证明书、随配附件和工具以及清单一并附于货物内。</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13.3 乙方在货物发运手续办理完毕后24小时内或货到甲方48小时前通知甲方，以准备接货。</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13.4 货物在交付甲方前发生的风险均由乙方负责。</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13.5 货物在规定的交付期限内由乙方送达甲方指定的地点视为交付，乙方同时需通知甲方货物已送达。</w:t>
      </w:r>
      <w:r>
        <w:rPr>
          <w:rFonts w:hint="eastAsia" w:ascii="宋体" w:hAnsi="宋体" w:eastAsia="宋体" w:cs="宋体"/>
          <w:sz w:val="24"/>
          <w:szCs w:val="24"/>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十四、违约责任</w:t>
      </w:r>
      <w:r>
        <w:rPr>
          <w:rFonts w:hint="eastAsia" w:ascii="宋体" w:hAnsi="宋体" w:eastAsia="宋体" w:cs="宋体"/>
          <w:b/>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14.1 甲方无正当理由拒收货物的，甲方向乙方偿付拒收货款总值</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14.2 甲方无故逾期验收和办理货款支付手续的，甲方应按逾期付款总额每日万分之一向乙方支付违约金。</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的违约金，如造成甲方损失超过违约金的，超出部分由乙方继续承担赔偿责任。 </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sz w:val="24"/>
          <w:szCs w:val="24"/>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十五、供应商合法权益补偿机制</w:t>
      </w:r>
      <w:r>
        <w:rPr>
          <w:rFonts w:hint="eastAsia" w:ascii="宋体" w:hAnsi="宋体" w:eastAsia="宋体" w:cs="宋体"/>
          <w:b/>
          <w:sz w:val="24"/>
          <w:szCs w:val="24"/>
        </w:rPr>
      </w:r>
      <w:r/>
    </w:p>
    <w:p>
      <w:pPr>
        <w:pStyle w:val="680"/>
        <w:ind w:firstLine="480"/>
        <w:jc w:val="both"/>
        <w:spacing w:line="560" w:lineRule="exact"/>
        <w:widowControl w:val="off"/>
        <w:rPr>
          <w:rFonts w:hint="eastAsia" w:ascii="宋体" w:hAnsi="宋体" w:eastAsia="宋体" w:cs="宋体"/>
          <w:sz w:val="24"/>
          <w:szCs w:val="24"/>
        </w:rPr>
      </w:pPr>
      <w:r/>
      <w:bookmarkStart w:id="204" w:name="_Toc23650"/>
      <w:r>
        <w:rPr>
          <w:rFonts w:hint="eastAsia" w:ascii="宋体" w:hAnsi="宋体" w:eastAsia="宋体" w:cs="宋体"/>
          <w:sz w:val="24"/>
          <w:szCs w:val="24"/>
        </w:rPr>
        <w:t xml:space="preserve">供应商合法权益补偿救济机制。在履约过程中因政策变化、规划调整而无法履行合同约定，造成企业合法权益受损的，甲方依据实际情况对乙方进行补偿救济。</w:t>
      </w:r>
      <w:bookmarkEnd w:id="204"/>
      <w:r>
        <w:rPr>
          <w:rFonts w:hint="eastAsia" w:ascii="宋体" w:hAnsi="宋体" w:eastAsia="宋体" w:cs="宋体"/>
          <w:sz w:val="24"/>
          <w:szCs w:val="24"/>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十六、不可抗力事件处理</w:t>
      </w:r>
      <w:r>
        <w:rPr>
          <w:rFonts w:hint="eastAsia" w:ascii="宋体" w:hAnsi="宋体" w:eastAsia="宋体" w:cs="宋体"/>
          <w:b/>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16.1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16.2 不可抗力事件发生后，应立即通知对方，并寄送有关权威机构出具的证明。</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16.3 不可抗力事件延续120天以上，双方应通过友好协商，确定是否继续履行合同。</w:t>
      </w:r>
      <w:r>
        <w:rPr>
          <w:rFonts w:hint="eastAsia" w:ascii="宋体" w:hAnsi="宋体" w:eastAsia="宋体" w:cs="宋体"/>
          <w:sz w:val="24"/>
          <w:szCs w:val="24"/>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十七、解决争议的方法</w:t>
      </w:r>
      <w:r>
        <w:rPr>
          <w:rFonts w:hint="eastAsia" w:ascii="宋体" w:hAnsi="宋体" w:eastAsia="宋体" w:cs="宋体"/>
          <w:b/>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17.1甲乙双方因合同签订、履行而发生的一切争议，应通过友好协商解决。如协商不成由甲方住所地人民法院管辖。</w:t>
      </w:r>
      <w:r>
        <w:rPr>
          <w:rFonts w:hint="eastAsia" w:ascii="宋体" w:hAnsi="宋体" w:eastAsia="宋体" w:cs="宋体"/>
          <w:sz w:val="24"/>
          <w:szCs w:val="24"/>
        </w:rPr>
      </w:r>
      <w:r/>
    </w:p>
    <w:p>
      <w:pPr>
        <w:pStyle w:val="680"/>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十八、合同生效及其它</w:t>
      </w:r>
      <w:r>
        <w:rPr>
          <w:rFonts w:hint="eastAsia" w:ascii="宋体" w:hAnsi="宋体" w:eastAsia="宋体" w:cs="宋体"/>
          <w:b/>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18.1 合同经双方法定代表人或授权委托代表人签字并加盖单位公章后生效。</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18.2 本合同未尽事宜，遵照中华人民共和国现行法律法规有关条文执行。</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18.3 本合同正本一式六份，具有同等法律效力，甲方、乙方各执三份。</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  甲方：                        乙方： </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  地址：                        地址： </w:t>
      </w:r>
      <w:r>
        <w:rPr>
          <w:rFonts w:hint="eastAsia" w:ascii="宋体" w:hAnsi="宋体" w:eastAsia="宋体" w:cs="宋体"/>
          <w:sz w:val="24"/>
          <w:szCs w:val="24"/>
        </w:rPr>
      </w:r>
      <w:r/>
    </w:p>
    <w:p>
      <w:pPr>
        <w:pStyle w:val="68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rPr>
          <w:rFonts w:hint="eastAsia" w:ascii="宋体" w:hAnsi="宋体" w:eastAsia="宋体" w:cs="宋体"/>
          <w:sz w:val="24"/>
          <w:szCs w:val="24"/>
        </w:rPr>
      </w:r>
      <w:r/>
    </w:p>
    <w:p>
      <w:pPr>
        <w:pStyle w:val="680"/>
        <w:ind w:firstLine="720"/>
        <w:spacing w:line="560" w:lineRule="exact"/>
        <w:rPr>
          <w:rFonts w:hint="eastAsia" w:ascii="宋体" w:hAnsi="宋体" w:eastAsia="宋体" w:cs="宋体"/>
        </w:rPr>
      </w:pPr>
      <w:r>
        <w:rPr>
          <w:rFonts w:hint="eastAsia" w:ascii="宋体" w:hAnsi="宋体" w:eastAsia="宋体" w:cs="宋体"/>
          <w:sz w:val="24"/>
          <w:szCs w:val="24"/>
        </w:rPr>
        <w:t xml:space="preserve">联系电话：                    联系电话：        </w:t>
      </w:r>
      <w:r>
        <w:rPr>
          <w:rFonts w:hint="eastAsia" w:ascii="宋体" w:hAnsi="宋体" w:eastAsia="宋体" w:cs="宋体"/>
        </w:rPr>
      </w:r>
      <w:r/>
    </w:p>
    <w:p>
      <w:pPr>
        <w:pStyle w:val="680"/>
        <w:ind w:firstLine="420"/>
        <w:jc w:val="center"/>
        <w:spacing w:before="120" w:after="120" w:line="0" w:lineRule="atLeast"/>
        <w:rPr>
          <w:rFonts w:hint="eastAsia" w:ascii="宋体" w:hAnsi="宋体" w:eastAsia="宋体" w:cs="宋体"/>
          <w:sz w:val="24"/>
          <w:szCs w:val="24"/>
        </w:rPr>
      </w:pPr>
      <w:r>
        <w:rPr>
          <w:rFonts w:hint="eastAsia" w:ascii="宋体" w:hAnsi="宋体" w:eastAsia="宋体" w:cs="宋体"/>
        </w:rPr>
        <w:t xml:space="preserve">            </w:t>
      </w:r>
      <w:r>
        <w:rPr>
          <w:rFonts w:hint="eastAsia" w:ascii="宋体" w:hAnsi="宋体" w:eastAsia="宋体" w:cs="宋体"/>
          <w:sz w:val="24"/>
          <w:szCs w:val="24"/>
        </w:rPr>
        <w:t xml:space="preserve">                              签订日期：      年    月   日 </w:t>
      </w:r>
      <w:r>
        <w:rPr>
          <w:rFonts w:hint="eastAsia" w:ascii="宋体" w:hAnsi="宋体" w:eastAsia="宋体" w:cs="宋体"/>
          <w:sz w:val="24"/>
          <w:szCs w:val="24"/>
        </w:rPr>
      </w:r>
      <w:r/>
    </w:p>
    <w:p>
      <w:pPr>
        <w:pStyle w:val="680"/>
        <w:rPr>
          <w:rFonts w:eastAsia="宋体" w:cs="Times New Roman"/>
        </w:rPr>
      </w:pPr>
      <w:r>
        <w:rPr>
          <w:rFonts w:eastAsia="宋体" w:cs="Times New Roman"/>
        </w:rPr>
      </w:r>
      <w:r/>
    </w:p>
    <w:p>
      <w:pPr>
        <w:pStyle w:val="718"/>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18"/>
        <w:jc w:val="center"/>
        <w:spacing w:before="120" w:after="120" w:line="0" w:lineRule="atLeast"/>
        <w:rPr>
          <w:rFonts w:hint="eastAsia" w:ascii="Times New Roman" w:hAnsi="Times New Roman"/>
          <w:caps w:val="0"/>
          <w:color w:val="000000"/>
          <w:sz w:val="24"/>
          <w:szCs w:val="24"/>
          <w:highlight w:val="none"/>
        </w:rPr>
      </w:pPr>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t xml:space="preserve">第</w:t>
      </w:r>
      <w:bookmarkEnd w:id="191"/>
      <w:r>
        <w:rPr>
          <w:rFonts w:hint="eastAsia" w:ascii="Times New Roman" w:hAnsi="Times New Roman" w:eastAsia="黑体"/>
          <w:bCs/>
          <w:caps w:val="0"/>
          <w:color w:val="000000"/>
          <w:sz w:val="44"/>
          <w:highlight w:val="none"/>
        </w:rPr>
        <w:t xml:space="preserve">四章 采购需求</w:t>
      </w:r>
      <w:bookmarkEnd w:id="192"/>
      <w:r/>
      <w:bookmarkEnd w:id="193"/>
      <w:r/>
      <w:bookmarkEnd w:id="194"/>
      <w:r>
        <w:rPr>
          <w:rFonts w:hint="eastAsia" w:ascii="Times New Roman" w:hAnsi="Times New Roman"/>
          <w:caps w:val="0"/>
          <w:color w:val="000000"/>
          <w:sz w:val="24"/>
          <w:szCs w:val="24"/>
          <w:highlight w:val="none"/>
        </w:rPr>
      </w:r>
      <w:r/>
    </w:p>
    <w:p>
      <w:pPr>
        <w:pStyle w:val="680"/>
        <w:ind w:firstLine="480"/>
        <w:spacing w:before="120" w:after="120" w:line="0" w:lineRule="atLeast"/>
        <w:rPr>
          <w:rFonts w:hint="eastAsia" w:ascii="Times New Roman" w:hAnsi="Times New Roman" w:eastAsia="宋体" w:cs="Courier New"/>
          <w:color w:val="000000"/>
          <w:sz w:val="24"/>
          <w:szCs w:val="24"/>
          <w:highlight w:val="none"/>
        </w:rPr>
      </w:pPr>
      <w:r/>
      <w:bookmarkStart w:id="205" w:name="_Toc49090575"/>
      <w:r/>
      <w:bookmarkStart w:id="206" w:name="_Toc26554093"/>
      <w:r>
        <w:rPr>
          <w:rFonts w:hint="eastAsia" w:ascii="Times New Roman" w:hAnsi="Times New Roman" w:eastAsia="宋体" w:cs="Courier New"/>
          <w:color w:val="000000"/>
          <w:sz w:val="24"/>
          <w:szCs w:val="24"/>
          <w:highlight w:val="none"/>
        </w:rPr>
        <w:t xml:space="preserve">项目属性：货物类项目</w:t>
      </w:r>
      <w:r>
        <w:rPr>
          <w:rFonts w:hint="eastAsia" w:ascii="Times New Roman" w:hAnsi="Times New Roman" w:eastAsia="宋体" w:cs="Courier New"/>
          <w:color w:val="000000"/>
          <w:sz w:val="24"/>
          <w:szCs w:val="24"/>
          <w:highlight w:val="none"/>
        </w:rPr>
      </w:r>
      <w:r/>
    </w:p>
    <w:p>
      <w:pPr>
        <w:pStyle w:val="680"/>
        <w:ind w:firstLine="480"/>
        <w:spacing w:before="120" w:after="120" w:line="0" w:lineRule="atLeast"/>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工业（制造业）  </w:t>
      </w:r>
      <w:r>
        <w:rPr>
          <w:rFonts w:hint="eastAsia" w:ascii="Times New Roman" w:hAnsi="Times New Roman" w:eastAsia="宋体" w:cs="Courier New"/>
          <w:color w:val="000000"/>
          <w:sz w:val="24"/>
          <w:szCs w:val="24"/>
          <w:highlight w:val="none"/>
        </w:rPr>
      </w:r>
      <w:r/>
    </w:p>
    <w:p>
      <w:pPr>
        <w:pStyle w:val="680"/>
        <w:ind w:firstLine="480"/>
        <w:spacing w:before="120" w:after="120" w:line="0" w:lineRule="atLeast"/>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rPr>
        <w:t xml:space="preserve">本项目不接受进口产品。</w:t>
      </w:r>
      <w:r>
        <w:rPr>
          <w:rFonts w:hint="eastAsia" w:ascii="Times New Roman" w:hAnsi="Times New Roman" w:eastAsia="宋体" w:cs="Courier New"/>
          <w:color w:val="000000"/>
          <w:sz w:val="24"/>
          <w:szCs w:val="24"/>
          <w:highlight w:val="none"/>
        </w:rPr>
      </w:r>
      <w:r/>
    </w:p>
    <w:p>
      <w:pPr>
        <w:pStyle w:val="680"/>
        <w:spacing w:before="120" w:after="120" w:line="0"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一、项目概况</w:t>
      </w:r>
      <w:r>
        <w:rPr>
          <w:rFonts w:hint="eastAsia" w:ascii="宋体" w:hAnsi="宋体" w:eastAsia="宋体" w:cs="宋体"/>
          <w:b/>
          <w:bCs/>
          <w:color w:val="000000"/>
          <w:sz w:val="28"/>
          <w:szCs w:val="28"/>
          <w:highlight w:val="none"/>
          <w:lang w:val="en-US" w:eastAsia="zh-CN" w:bidi="ar-SA"/>
        </w:rPr>
      </w:r>
      <w:r/>
    </w:p>
    <w:p>
      <w:pPr>
        <w:pStyle w:val="680"/>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1.宿豫区妇幼保健院及庐山社区卫生服务中心智能化采购项目。</w:t>
      </w:r>
      <w:r>
        <w:rPr>
          <w:rFonts w:hint="eastAsia" w:ascii="宋体" w:hAnsi="宋体" w:eastAsia="宋体" w:cs="宋体"/>
          <w:color w:val="000000"/>
          <w:sz w:val="24"/>
          <w:szCs w:val="24"/>
          <w:highlight w:val="none"/>
          <w:lang w:val="en-US" w:eastAsia="zh-CN" w:bidi="ar-SA"/>
        </w:rPr>
      </w:r>
      <w:r/>
    </w:p>
    <w:p>
      <w:pPr>
        <w:pStyle w:val="680"/>
        <w:ind w:firstLine="480"/>
        <w:jc w:val="left"/>
        <w:spacing w:line="360" w:lineRule="auto"/>
        <w:widowControl w:val="off"/>
        <w:rPr>
          <w:rStyle w:val="821"/>
          <w:rFonts w:hint="eastAsia" w:ascii="宋体" w:hAnsi="宋体" w:eastAsia="宋体" w:cs="宋体"/>
          <w:sz w:val="24"/>
          <w:szCs w:val="24"/>
          <w:highlight w:val="none"/>
        </w:rPr>
      </w:pPr>
      <w:r>
        <w:rPr>
          <w:rStyle w:val="821"/>
          <w:rFonts w:hint="eastAsia" w:ascii="宋体" w:hAnsi="宋体" w:eastAsia="宋体" w:cs="宋体"/>
          <w:sz w:val="24"/>
          <w:szCs w:val="21"/>
          <w:highlight w:val="none"/>
          <w:lang w:val="en-US" w:eastAsia="zh-CN" w:bidi="ar-SA"/>
        </w:rPr>
        <w:t xml:space="preserve">2.项目最高限价：</w:t>
      </w:r>
      <w:r>
        <w:rPr>
          <w:rFonts w:hint="eastAsia" w:ascii="Calibri" w:hAnsi="Calibri" w:eastAsia="宋体" w:cs="Times New Roman"/>
          <w:sz w:val="24"/>
          <w:szCs w:val="24"/>
          <w:highlight w:val="none"/>
        </w:rPr>
        <w:t xml:space="preserve">最高限价</w:t>
      </w:r>
      <w:r>
        <w:rPr>
          <w:rFonts w:hint="eastAsia" w:ascii="Calibri" w:hAnsi="Calibri" w:eastAsia="宋体" w:cs="Times New Roman"/>
          <w:sz w:val="24"/>
          <w:szCs w:val="24"/>
          <w:highlight w:val="none"/>
          <w:lang w:val="en-US" w:eastAsia="zh-CN"/>
        </w:rPr>
        <w:t xml:space="preserve">389.2</w:t>
      </w:r>
      <w:r>
        <w:rPr>
          <w:rFonts w:hint="eastAsia" w:ascii="Calibri" w:hAnsi="Calibri" w:eastAsia="宋体" w:cs="Times New Roman"/>
          <w:sz w:val="24"/>
          <w:szCs w:val="24"/>
          <w:highlight w:val="none"/>
        </w:rPr>
        <w:t xml:space="preserve">万元。</w:t>
      </w:r>
      <w:r>
        <w:rPr>
          <w:rStyle w:val="821"/>
          <w:rFonts w:hint="eastAsia" w:ascii="宋体" w:hAnsi="宋体" w:eastAsia="宋体" w:cs="宋体"/>
          <w:sz w:val="24"/>
          <w:szCs w:val="24"/>
          <w:highlight w:val="none"/>
        </w:rPr>
      </w:r>
      <w:r/>
    </w:p>
    <w:p>
      <w:pPr>
        <w:pStyle w:val="680"/>
        <w:ind w:firstLine="480"/>
        <w:spacing w:line="480" w:lineRule="exact"/>
        <w:rPr>
          <w:rStyle w:val="821"/>
          <w:rFonts w:hint="eastAsia" w:ascii="宋体" w:hAnsi="宋体" w:eastAsia="宋体" w:cs="宋体"/>
          <w:sz w:val="24"/>
          <w:highlight w:val="none"/>
        </w:rPr>
      </w:pPr>
      <w:r>
        <w:rPr>
          <w:rStyle w:val="821"/>
          <w:rFonts w:hint="eastAsia" w:ascii="宋体" w:hAnsi="宋体" w:eastAsia="宋体" w:cs="宋体"/>
          <w:sz w:val="24"/>
          <w:highlight w:val="none"/>
        </w:rPr>
        <w:t xml:space="preserve">3.合同履行期限：</w:t>
      </w:r>
      <w:r>
        <w:rPr>
          <w:rFonts w:hint="eastAsia" w:ascii="Times New Roman" w:hAnsi="Times New Roman" w:eastAsia="宋体" w:cs="仿宋"/>
          <w:sz w:val="24"/>
          <w:szCs w:val="24"/>
          <w:highlight w:val="none"/>
          <w:lang w:val="en-US" w:eastAsia="zh-CN"/>
        </w:rPr>
        <w:t xml:space="preserve">合同签订后60日历天内完成全部安装调试并投入正常使用，</w:t>
      </w:r>
      <w:r>
        <w:rPr>
          <w:rFonts w:hint="eastAsia" w:ascii="宋体" w:hAnsi="宋体" w:eastAsia="宋体" w:cs="宋体"/>
          <w:sz w:val="24"/>
          <w:szCs w:val="22"/>
          <w:highlight w:val="none"/>
        </w:rPr>
        <w:t xml:space="preserve">售后服务期</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年</w:t>
      </w:r>
      <w:r>
        <w:rPr>
          <w:rStyle w:val="821"/>
          <w:rFonts w:hint="eastAsia" w:ascii="宋体" w:hAnsi="宋体" w:eastAsia="宋体" w:cs="宋体"/>
          <w:sz w:val="24"/>
          <w:highlight w:val="none"/>
        </w:rPr>
        <w:t xml:space="preserve">。</w:t>
      </w:r>
      <w:r>
        <w:rPr>
          <w:rStyle w:val="821"/>
          <w:rFonts w:hint="eastAsia" w:ascii="宋体" w:hAnsi="宋体" w:eastAsia="宋体" w:cs="宋体"/>
          <w:sz w:val="24"/>
          <w:highlight w:val="none"/>
        </w:rPr>
      </w:r>
      <w:r/>
    </w:p>
    <w:p>
      <w:pPr>
        <w:pStyle w:val="680"/>
        <w:ind w:right="-73" w:firstLine="480"/>
        <w:jc w:val="both"/>
        <w:spacing w:line="360" w:lineRule="auto"/>
        <w:widowControl w:val="off"/>
        <w:rPr>
          <w:rStyle w:val="821"/>
          <w:rFonts w:hint="eastAsia" w:ascii="宋体" w:hAnsi="宋体" w:eastAsia="宋体" w:cs="宋体"/>
          <w:sz w:val="24"/>
          <w:highlight w:val="none"/>
        </w:rPr>
      </w:pPr>
      <w:r>
        <w:rPr>
          <w:rStyle w:val="821"/>
          <w:rFonts w:hint="eastAsia" w:ascii="宋体" w:hAnsi="宋体" w:eastAsia="宋体" w:cs="宋体"/>
          <w:sz w:val="24"/>
          <w:szCs w:val="21"/>
          <w:highlight w:val="none"/>
          <w:lang w:val="en-US" w:eastAsia="zh-CN" w:bidi="ar-SA"/>
        </w:rPr>
        <w:t xml:space="preserve">4.付款方式：</w:t>
      </w:r>
      <w:r>
        <w:rPr>
          <w:rStyle w:val="821"/>
          <w:rFonts w:hint="eastAsia" w:ascii="宋体" w:hAnsi="宋体" w:eastAsia="宋体" w:cs="宋体"/>
          <w:sz w:val="24"/>
          <w:highlight w:val="none"/>
        </w:rPr>
      </w:r>
      <w:r/>
    </w:p>
    <w:p>
      <w:pPr>
        <w:pStyle w:val="680"/>
        <w:ind w:firstLine="480"/>
        <w:jc w:val="left"/>
        <w:spacing w:line="360" w:lineRule="auto"/>
        <w:widowControl w:val="off"/>
        <w:rPr>
          <w:rStyle w:val="821"/>
          <w:rFonts w:hint="eastAsia" w:ascii="宋体" w:hAnsi="宋体" w:eastAsia="宋体" w:cs="宋体"/>
          <w:sz w:val="24"/>
          <w:szCs w:val="24"/>
          <w:highlight w:val="none"/>
        </w:rPr>
      </w:pPr>
      <w:r>
        <w:rPr>
          <w:rStyle w:val="821"/>
          <w:rFonts w:hint="eastAsia" w:ascii="宋体" w:hAnsi="宋体" w:eastAsia="宋体" w:cs="宋体"/>
          <w:sz w:val="24"/>
          <w:szCs w:val="21"/>
          <w:highlight w:val="none"/>
          <w:lang w:val="en-US" w:eastAsia="zh-CN" w:bidi="ar-SA"/>
        </w:rPr>
        <w:t xml:space="preserve">预付款：签订合同后10日内支付合同总价款的30%（供应商在支付预付款前向甲方提供等额的保函或保险，期限不低于60日历天）；</w:t>
      </w:r>
      <w:r>
        <w:rPr>
          <w:rStyle w:val="821"/>
          <w:rFonts w:hint="eastAsia" w:ascii="宋体" w:hAnsi="宋体" w:eastAsia="宋体" w:cs="宋体"/>
          <w:sz w:val="24"/>
          <w:szCs w:val="24"/>
          <w:highlight w:val="none"/>
        </w:rPr>
      </w:r>
      <w:r/>
    </w:p>
    <w:p>
      <w:pPr>
        <w:pStyle w:val="680"/>
        <w:ind w:firstLine="480"/>
        <w:jc w:val="left"/>
        <w:spacing w:line="360" w:lineRule="auto"/>
        <w:widowControl w:val="off"/>
        <w:rPr>
          <w:rStyle w:val="821"/>
          <w:rFonts w:hint="eastAsia" w:ascii="宋体" w:hAnsi="宋体" w:eastAsia="宋体" w:cs="宋体"/>
          <w:sz w:val="24"/>
          <w:szCs w:val="24"/>
          <w:highlight w:val="none"/>
        </w:rPr>
      </w:pPr>
      <w:r>
        <w:rPr>
          <w:rStyle w:val="821"/>
          <w:rFonts w:hint="eastAsia" w:ascii="宋体" w:hAnsi="宋体" w:eastAsia="宋体" w:cs="宋体"/>
          <w:sz w:val="24"/>
          <w:szCs w:val="21"/>
          <w:highlight w:val="none"/>
          <w:lang w:val="en-US" w:eastAsia="zh-CN" w:bidi="ar-SA"/>
        </w:rPr>
        <w:t xml:space="preserve">进度款：项目完成后经验收合格付合同价款的97%。余款待质保期满后付清。付款前，供应商应向采购人提供符合要求的发票，否则，采购人有权拒绝付款，同时不免除供应商合同履行义务。采购人可从应付款中直接扣除供应商应承担的违约金或其他费用</w:t>
      </w:r>
      <w:r>
        <w:rPr>
          <w:rStyle w:val="821"/>
          <w:rFonts w:hint="eastAsia" w:ascii="宋体" w:hAnsi="宋体" w:eastAsia="宋体" w:cs="宋体"/>
          <w:sz w:val="24"/>
          <w:szCs w:val="21"/>
          <w:highlight w:val="none"/>
          <w:lang w:val="zh-CN" w:eastAsia="zh-CN" w:bidi="ar-SA"/>
        </w:rPr>
        <w:t xml:space="preserve">（</w:t>
      </w:r>
      <w:r>
        <w:rPr>
          <w:rStyle w:val="821"/>
          <w:rFonts w:hint="eastAsia" w:ascii="宋体" w:hAnsi="宋体" w:eastAsia="宋体" w:cs="宋体"/>
          <w:sz w:val="24"/>
          <w:szCs w:val="21"/>
          <w:highlight w:val="none"/>
          <w:lang w:val="en-US" w:eastAsia="zh-CN" w:bidi="ar-SA"/>
        </w:rPr>
        <w:t xml:space="preserve">数字人民币为合同价款支付的一种方式）。</w:t>
      </w:r>
      <w:r>
        <w:rPr>
          <w:rStyle w:val="821"/>
          <w:rFonts w:hint="eastAsia" w:ascii="宋体" w:hAnsi="宋体" w:eastAsia="宋体" w:cs="宋体"/>
          <w:sz w:val="24"/>
          <w:szCs w:val="24"/>
          <w:highlight w:val="none"/>
        </w:rPr>
      </w:r>
      <w:r/>
    </w:p>
    <w:p>
      <w:pPr>
        <w:pStyle w:val="680"/>
        <w:ind w:firstLine="480"/>
        <w:jc w:val="left"/>
        <w:spacing w:line="360" w:lineRule="auto"/>
        <w:widowControl w:val="off"/>
        <w:rPr>
          <w:rStyle w:val="821"/>
          <w:rFonts w:hint="eastAsia" w:ascii="宋体" w:hAnsi="宋体" w:eastAsia="宋体" w:cs="宋体"/>
          <w:sz w:val="24"/>
          <w:szCs w:val="24"/>
          <w:highlight w:val="none"/>
        </w:rPr>
      </w:pPr>
      <w:r>
        <w:rPr>
          <w:rStyle w:val="821"/>
          <w:rFonts w:hint="eastAsia" w:ascii="宋体" w:hAnsi="宋体" w:eastAsia="宋体" w:cs="宋体"/>
          <w:sz w:val="24"/>
          <w:szCs w:val="21"/>
          <w:highlight w:val="none"/>
          <w:lang w:val="en-US" w:eastAsia="zh-CN" w:bidi="ar-SA"/>
        </w:rPr>
        <w:t xml:space="preserve">注：在签订合同时，乙方明确表示无需预付款或者主动要求降低预付款比例的金额，甲方可不适用预付款规定。</w:t>
      </w:r>
      <w:r>
        <w:rPr>
          <w:rStyle w:val="821"/>
          <w:rFonts w:hint="eastAsia" w:ascii="宋体" w:hAnsi="宋体" w:eastAsia="宋体" w:cs="宋体"/>
          <w:sz w:val="24"/>
          <w:szCs w:val="24"/>
          <w:highlight w:val="none"/>
        </w:rPr>
      </w:r>
      <w:r/>
    </w:p>
    <w:p>
      <w:pPr>
        <w:pStyle w:val="680"/>
        <w:ind w:firstLine="480"/>
        <w:jc w:val="left"/>
        <w:spacing w:line="360" w:lineRule="auto"/>
        <w:widowControl w:val="off"/>
        <w:rPr>
          <w:rStyle w:val="821"/>
          <w:rFonts w:hint="eastAsia" w:ascii="宋体" w:hAnsi="宋体" w:eastAsia="宋体" w:cs="宋体"/>
          <w:sz w:val="24"/>
          <w:szCs w:val="24"/>
          <w:highlight w:val="none"/>
        </w:rPr>
      </w:pPr>
      <w:r>
        <w:rPr>
          <w:rStyle w:val="821"/>
          <w:rFonts w:hint="eastAsia" w:ascii="宋体" w:hAnsi="宋体" w:eastAsia="宋体" w:cs="宋体"/>
          <w:sz w:val="24"/>
          <w:szCs w:val="21"/>
          <w:highlight w:val="none"/>
          <w:lang w:val="en-US" w:eastAsia="zh-CN" w:bidi="ar-SA"/>
        </w:rPr>
        <w:t xml:space="preserve">5.质量标准：供应商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专业生产企业的定型品牌产品，不得使用已经淘汰或拼凑、组装的伪劣、假冒部件及产品。</w:t>
      </w:r>
      <w:r>
        <w:rPr>
          <w:rStyle w:val="821"/>
          <w:rFonts w:hint="eastAsia" w:ascii="宋体" w:hAnsi="宋体" w:eastAsia="宋体" w:cs="宋体"/>
          <w:sz w:val="24"/>
          <w:szCs w:val="24"/>
          <w:highlight w:val="none"/>
        </w:rPr>
      </w:r>
      <w:r/>
    </w:p>
    <w:p>
      <w:pPr>
        <w:pStyle w:val="680"/>
        <w:ind w:firstLine="480"/>
        <w:jc w:val="left"/>
        <w:spacing w:line="360" w:lineRule="auto"/>
        <w:widowControl w:val="off"/>
        <w:rPr>
          <w:rStyle w:val="821"/>
          <w:rFonts w:hint="eastAsia" w:ascii="宋体" w:hAnsi="宋体" w:eastAsia="宋体" w:cs="宋体"/>
          <w:sz w:val="24"/>
          <w:szCs w:val="24"/>
          <w:highlight w:val="none"/>
        </w:rPr>
      </w:pPr>
      <w:r>
        <w:rPr>
          <w:rStyle w:val="821"/>
          <w:rFonts w:hint="eastAsia" w:ascii="宋体" w:hAnsi="宋体" w:eastAsia="宋体" w:cs="宋体"/>
          <w:sz w:val="24"/>
          <w:szCs w:val="21"/>
          <w:highlight w:val="none"/>
          <w:lang w:val="en-US" w:eastAsia="zh-CN" w:bidi="ar-SA"/>
        </w:rPr>
        <w:t xml:space="preserve">6.若中标货物质量不符合采购文件要求，采购人有权拒收货物。供应商在交货时必需提供主要产品生产厂家供货证明书。供应商货物若与标书上列明的货物型号、技术指标等不相符，有造假现象的，一经查出，将终止合同，并承担由此给采购人带来的损失。</w:t>
      </w:r>
      <w:r>
        <w:rPr>
          <w:rStyle w:val="821"/>
          <w:rFonts w:hint="eastAsia" w:ascii="宋体" w:hAnsi="宋体" w:eastAsia="宋体" w:cs="宋体"/>
          <w:sz w:val="24"/>
          <w:szCs w:val="24"/>
          <w:highlight w:val="none"/>
        </w:rPr>
      </w:r>
      <w:r/>
    </w:p>
    <w:p>
      <w:pPr>
        <w:pStyle w:val="680"/>
        <w:spacing w:before="120" w:after="120" w:line="0"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二、采购清单及技术参数要求：</w:t>
      </w:r>
      <w:r>
        <w:rPr>
          <w:rFonts w:hint="eastAsia" w:ascii="宋体" w:hAnsi="宋体" w:eastAsia="宋体" w:cs="宋体"/>
          <w:b/>
          <w:bCs/>
          <w:color w:val="000000"/>
          <w:sz w:val="28"/>
          <w:szCs w:val="28"/>
          <w:highlight w:val="none"/>
          <w:lang w:val="en-US" w:eastAsia="zh-CN" w:bidi="ar-SA"/>
        </w:rPr>
      </w:r>
      <w:r/>
    </w:p>
    <w:p>
      <w:pPr>
        <w:pStyle w:val="680"/>
        <w:numPr>
          <w:ilvl w:val="0"/>
          <w:numId w:val="5"/>
        </w:numPr>
        <w:ind w:left="432" w:hanging="432"/>
        <w:jc w:val="both"/>
        <w:keepLines/>
        <w:keepNext/>
        <w:spacing w:beforeAutospacing="0" w:afterAutospacing="0" w:line="360" w:lineRule="auto"/>
        <w:widowControl w:val="off"/>
        <w:rPr>
          <w:rFonts w:ascii="Calibri" w:hAnsi="Calibri" w:eastAsia="宋体" w:cs="Times New Roman"/>
          <w:b/>
          <w:sz w:val="30"/>
          <w:szCs w:val="24"/>
          <w:highlight w:val="none"/>
          <w:lang w:val="en-US" w:eastAsia="zh-CN" w:bidi="ar-SA"/>
        </w:rPr>
        <w:outlineLvl w:val="0"/>
      </w:pPr>
      <w:r>
        <w:rPr>
          <w:rFonts w:hint="eastAsia" w:ascii="Calibri" w:hAnsi="Calibri" w:eastAsia="宋体" w:cs="Times New Roman"/>
          <w:b/>
          <w:sz w:val="30"/>
          <w:szCs w:val="24"/>
          <w:highlight w:val="none"/>
          <w:lang w:val="en-US" w:eastAsia="zh-CN" w:bidi="ar-SA"/>
        </w:rPr>
        <w:t xml:space="preserve">多媒体会议系统</w:t>
      </w:r>
      <w:r>
        <w:rPr>
          <w:rFonts w:ascii="Calibri" w:hAnsi="Calibri" w:eastAsia="宋体" w:cs="Times New Roman"/>
          <w:b/>
          <w:sz w:val="30"/>
          <w:szCs w:val="24"/>
          <w:highlight w:val="none"/>
          <w:lang w:val="en-US" w:eastAsia="zh-CN" w:bidi="ar-SA"/>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9"/>
        <w:gridCol w:w="1183"/>
        <w:gridCol w:w="5562"/>
        <w:gridCol w:w="510"/>
        <w:gridCol w:w="728"/>
        <w:gridCol w:w="673"/>
      </w:tblGrid>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645"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3033"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rPr>
                <w:rFonts w:hint="eastAsia" w:ascii="宋体" w:hAnsi="宋体" w:eastAsia="宋体" w:cs="宋体"/>
                <w:b/>
                <w:bCs/>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367"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74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7F大会议室166㎡（长12.6m*宽13.2m）</w:t>
            </w:r>
            <w:r>
              <w:rPr>
                <w:rFonts w:hint="eastAsia" w:ascii="宋体" w:hAnsi="宋体" w:eastAsia="宋体" w:cs="宋体"/>
                <w:b/>
                <w:bCs/>
                <w:i w:val="0"/>
                <w:iCs w:val="0"/>
                <w:color w:val="000000"/>
                <w:sz w:val="20"/>
                <w:szCs w:val="20"/>
                <w:highlight w:val="none"/>
                <w:u w:val="none"/>
              </w:rPr>
            </w:r>
            <w:r/>
          </w:p>
        </w:tc>
        <w:tc>
          <w:tcPr>
            <w:tcW w:w="278"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7"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74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A.数字会议发言系统</w:t>
            </w:r>
            <w:r>
              <w:rPr>
                <w:rFonts w:hint="eastAsia" w:ascii="宋体" w:hAnsi="宋体" w:eastAsia="宋体" w:cs="宋体"/>
                <w:b/>
                <w:bCs/>
                <w:i w:val="0"/>
                <w:iCs w:val="0"/>
                <w:color w:val="000000"/>
                <w:sz w:val="20"/>
                <w:szCs w:val="20"/>
                <w:highlight w:val="none"/>
                <w:u w:val="none"/>
              </w:rPr>
            </w:r>
            <w:r/>
          </w:p>
        </w:tc>
        <w:tc>
          <w:tcPr>
            <w:tcW w:w="278"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7"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数字会议系统主机</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1、系统支持有线/无线混用，可实现有线、无线终端共用视像跟踪功能。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2、具有双机热备份功能，密码保护功能。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3、≥4.3寸全贴合触控屏,支持触摸设置≥50项功能参数调节，图形化人机操作界面，具有待机显示功能。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4、具有终端编号功能，采用ID寻址方式，可对终端自定义ID编号，避免ID编号重复。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5、具有终端身份设置功能，任意终端均可设置为主席、代表、VIP身份，VIP终端不受主席优先和会议模式控制。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6、具有自由模式、轮替模式、限制模式、申请模式、PTT模式等会议模式供选择。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7、支持正/倒计时发言管理，支持终端时钟显示开关设置，万年历时间同步设置。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8、有线终端自由模式时发言人数不受限制，轮替、限制模式发言人数可设定1-9人。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9、无线系统可以设置同时开启数量为1/2/3/4/5台。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10、限制模式，支持队列排队发言功能开关。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11、系统具有≥32级电子音量调节，15级系统高频、低频损耗补偿调节功能。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12、支持对任意终端≥15级增益、监听音量、EQ调节，一键恢复出厂参数设置。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13、可通过RS-232/RS-422/RS-485,支持PELCO-D/VISCA控制协议。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14、支持签到、表决、选举、评议等功能。</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主席单元</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1、采用高保真电容音头，实现精准声源捕捉。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2、内置≥2.8英寸IPS高清显示屏，可显示终端开关状态、终端角色、ID、音量、时间等信息。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3、具有Type-C数据升级接口。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4、具有3.5mm耳机监听接口，音量可由主控机统一或独立调节。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5、支持时钟自动同步，支持开启或关闭时钟显示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6、支持申请排队发言/计时发言/状态灯环显示/时钟等功能设置。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7、支持≥15级音频、高频、低频统一或独立调节，支持15级音量，统一或独立调节。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8、系统采用ID智能寻址，自动规避编号冲突，支持视像跟踪功能。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9、主席终端无数量/位置限制，支持主席专有/普通双模式控制。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10、指向性：超心型指向</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客席单元</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1、采用高保真电容音头，实现精准声源捕捉。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2、内置≥2.8英寸IPS高清显示屏，可显示终端开关状态、终端角色、ID、音量、时间等信息。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3、具有Type-C数据升级接口。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4、具有3.5mm耳机监听接口，音量可由主控机统一或独立调节。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5、支持时钟自动同步，支持开启或关闭时钟显示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6、支持申请排队发言/计时发言/状态灯环显示/时钟等功能设置。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7、支持≥15级音频、高频、低频统一或独立调节，支持15级音量，统一或独立调节。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8、系统采用ID智能寻址，自动规避编号冲突，支持视像跟踪功能。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9、主席终端无数量/位置限制，支持主席专有/普通双模式控制。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10、指向性：超心型指向。</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无线客席单元</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1、采用高保真电容音头，实现精准声源捕捉。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2、内置≥2.8英寸IPS高清显示屏，可显示终端开关状态、终端角色、ID、音量、时间等信息。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3、具有3.5mm耳机监听接口，音量可由主控机统一或独立调节。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4、支持时钟自动同步，支持开启或关闭时钟显示。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5、支持申请排队发言/计时发言/状态灯环显示/时钟等功能设置。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6、支持≥15级音频、高频、低频统一或独立调节，支持15级音量，统一或独立调节。</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无线接收器</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1、支持限制模式，可设置同时发言终端数量不低于5台。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2、支持轮替模式，可设置同时发言终端数量不低于5。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3、音频信道数：≥5路(主席数量不受限制)。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4、控制编组数：≥10组。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5、信号覆盖范围：≥30米。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6、音频频率响应：50Hz-20KHz。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7、信噪比：≥60dBA。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8、综合失真度（THDN)：≤0.3%。</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9、系统容量：支持无线终端数≥999个。</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会议专用延长线缆</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1、8芯专用主线，长度按需定制。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2、公头/母头直径19mm，线径7.5mm。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3、抗干扰能力强。</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桌面式话筒座</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1、全金属底座、抗干扰。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2、具有按键开关、开关具有状态指示灯。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3、输出接口：XLR公三针。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4、48V幻像电源供电，带驱动电路。</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超心形指向性鹅颈话筒</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1、频率响应：40Hz—20KHz。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2、咪芯类型：电容式。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3、指向性: 心形。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4、灵敏度：-45dB±3dB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5、输出阻抗：200Ω。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6、电源：幻像48V。</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AI智能自动增益器</w:t>
            </w:r>
            <w:r>
              <w:rPr>
                <w:rFonts w:hint="eastAsia" w:ascii="宋体" w:hAnsi="宋体" w:eastAsia="宋体" w:cs="宋体"/>
                <w:i w:val="0"/>
                <w:iCs w:val="0"/>
                <w:color w:val="000000"/>
                <w:sz w:val="20"/>
                <w:szCs w:val="20"/>
                <w:highlight w:val="none"/>
                <w:u w:val="none"/>
                <w:lang w:val="en-US" w:eastAsia="zh-CN" w:bidi="ar"/>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1、最大输入电平≥18dBu</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2、频率响应：80Hz～15kHz ±2dB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3、总谐波失真（1kHz）：≤0.01%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4、信噪比（A计权）：≥105dB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5、串音：≥100dB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6、过载源电动势≥6.1V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7、陷波器数量不少于双通道18段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8、不少于12段参量均衡，内置高低通滤波器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9、监测速度：高/中/低可选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10、输出电平：高/中/低可选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11、配备≥4个场景保存调用功能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12、前面板≥2英寸液晶显示屏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13、支持密码锁功能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14、中英文语言选择功能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15、支持PC软件全功能控制</w:t>
            </w:r>
            <w:r>
              <w:rPr>
                <w:rFonts w:hint="eastAsia" w:ascii="宋体" w:hAnsi="宋体" w:eastAsia="宋体" w:cs="宋体"/>
                <w:i w:val="0"/>
                <w:iCs w:val="0"/>
                <w:color w:val="000000"/>
                <w:sz w:val="20"/>
                <w:szCs w:val="20"/>
                <w:highlight w:val="none"/>
                <w:u w:val="none"/>
                <w:lang w:val="en-US" w:eastAsia="zh-CN" w:bidi="ar"/>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话筒地插</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8芯接口</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话筒地插</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卡侬</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B.音频扩声系统</w:t>
            </w:r>
            <w:r>
              <w:rPr>
                <w:rFonts w:hint="eastAsia" w:ascii="宋体" w:hAnsi="宋体" w:eastAsia="宋体" w:cs="宋体"/>
                <w:b/>
                <w:bCs/>
                <w:i w:val="0"/>
                <w:iCs w:val="0"/>
                <w:color w:val="000000"/>
                <w:sz w:val="20"/>
                <w:szCs w:val="20"/>
                <w:highlight w:val="none"/>
                <w:u w:val="none"/>
              </w:rPr>
            </w:r>
            <w:r/>
          </w:p>
        </w:tc>
        <w:tc>
          <w:tcPr>
            <w:tcW w:w="3033" w:type="dxa"/>
            <w:vAlign w:val="center"/>
            <w:textDirection w:val="lrTb"/>
            <w:noWrap w:val="false"/>
          </w:tcPr>
          <w:p>
            <w:pPr>
              <w:pStyle w:val="68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8"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7"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调音台</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1、不少于12路MIC/LINE（COMBO XLR接口）2组RCA线路输入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2、不少于2路主输出、6路编组输出、1组立体声辅助输出、1路立体声耳机输出。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3、≥7英寸触摸屏，1024×600分辨率，中英文界切换无需重启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4、内置USB录音、放音功能，USB播放器可以识别中文歌曲名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5、内置≥12个通道独立的反馈抑制器，集成音箱管理器，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6、支持RS232、TCP/IP协议，便于第三方中控控制。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7、≥9个100mm电动推子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8、可通过网络或U盘升级软件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9、输入通道具有≥4段参量均衡、噪声门、反馈抑制器、高低通、压缩、反相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10、输出通道具有≥8段参量均衡、高低通、压缩、反相、延时器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11、支持≥100组场景预设功能，可导出、导入USB存储器，便于数据备份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12、内置信号发生器：正弦波、粉红噪声、白噪声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13、通道参数拷贝功能，相同的通道快速复制数据</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数字音频处理器</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 路模拟信号输入，≥8 路模拟信号输出。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2、可使用PC软件实现DSP数字音频信号处理，包括：AFC、AEC、ANS、AM、AGC、PEQ、延时、分频、矩阵等功能。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3、带有1路RS232，1路RS485,4路GPIO接口，可用于控制外部设备可对接外部设备。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4、并查看实时电平、通道静音状态、矩阵混音状态。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5、支持一键静音、调整每路音频增益，控制音量大小。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6、支持调用设备功能进行手动、定时、条件触发。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7、输入通道音频处理，支持ANS 噪声抑制、AFC 反馈抑制、AEC 回声消除、信号发生器、扩展器、压缩器、自动增益、参量均衡。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8、输出通道音频处理，支持延时器、高低通滤波器、限幅器、参量均衡。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9、总线式AEC，尾长时间：512ms，收敛率：60dB/S, 回声消除幅度：60dB。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10、独立通道的AFC（反馈抑制），采用陷波式算法，传声增益提升幅度：10dB。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11、噪声抑制（ANS），信噪比提升18dB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12、≥8段英式参量均衡，提供≥5种滤波器选择：Parametric,Lowshelf,Highshelf,Lowpass,Highpass。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13、支持将场景数据生成文件保存，并实时导入导出。</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数字音频处理软件</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可使用PC软件实现DSP数字音频信号处理，包括：AFC、AEC、ANS、AM、AGC、PEQ、延时、分频、矩阵等功能</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单10寸音箱</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两分频系统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1、不小于1×10"低频驱动单元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2、不小于1×1.35"高频驱动单元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3、额定功率不小于200W/8Ω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4、特性灵敏度不小于96dB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5、最大声压级不小于125dB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6、额定频率范围（-10dB）：55～20000Hz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7、覆盖角度（H×V）：90°×60°</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吸顶音箱</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1、不小于1×6.5"两分频同轴驱动单元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2、额定功率不小于100W/8Ω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3、特性灵敏度不小于90dB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4、最大声压级不小于116dB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5、额定频率范围（-10dB）60Hz-20000Hz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6、覆盖角度（H×V）：90°×90°</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全频音箱功放</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1、保护功能：电源软启动、短路，过载、直流、过热、变压器过热、DC漂移等多重检测保护。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2、输入通道具有静音、增益、噪声门、延时、相位、分频和均衡功能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3、输出通道具有静音、增益、延时、相位、分频、均衡和压限功能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4、输入输出不少于7段参量均衡，可调增益范围-20dB至15dB（步进0.1dB），Q值0.404至28.852，滤波器模式：EQ，高架、低架、一阶全通、二阶全通。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5、输出高低通滤波器支持三种类型，6dB至48dB可调8阶衰减斜率。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6、额定功率：2×450W/8Ω，2×675W/4Ω，1×1350W/8Ω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7、频率响应：20Hz～20kHz（±1dB）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8、总谐波失真≤0.1%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9、串音衰减≥70dB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10、信噪比（A计权）≥100dB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11、阻尼系数（8Ω 20Hz-200Hz）≥250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12、电压适应范围：AC110-242V，50Hz/60Hz</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吸顶音箱功放</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1、保护功能：电源软启动、短路，过载、直流、过热、变压器过热、DC漂移等多重检测保护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2、输入通道具有静音、增益、噪声门、延时、相位、分频和均衡功能，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3、输出通道具有静音、增益、延时、相位、分频、均衡和压限功能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4、输入输出不少于7段参量均衡，可调增益范围-20dB至15dB（步进0.1dB），Q值0.404至28.852，滤波器模式：EQ，高架、低架、一阶全通、二阶全通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5、输出高低通滤波器支持三种类型，6dB至48dB可调8阶衰减斜率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6、额定功率：2×200W/8Ω，2×300W/4Ω，1×600W/8Ω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7、频率响应：20Hz～20kHz（±1dB）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8、总谐波失真≤0.1%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9、串音衰减≥70dB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10、信噪比（A计权）≥100dB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11、阻尼系数（8Ω 20Hz-200Hz）≥250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12、电压适应范围：AC110-242V，50Hz/60Hz</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一拖二无线手持话筒</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1、频率调节采用无互调干扰群组预设、用户自定义调节等方式，单机≥2000个频率可供客户调节。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2、各通道支持SQ(降噪)六档独立调节。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3、接收机内置开关电源，由AC 220V市电直接供电，并支持电源环出功能。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4、接收机天线座提供偏置电压，可连接有源对数周期天线提升接收距离和信号质量。并支持射频级联功能，无需天线分配器即可实现≤8套叠机使用。</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一拖二无线腰包话筒</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1、频率调节采用无互调干扰群组预设、用户自定义调节等方式，单机≥2000个频率可供客户调节。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2、各通道支持SQ(降噪)六档独立调节。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3、接收机内置开关电源，由AC 220V市电直接供电，并支持电源环出功能。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4、接收机天线座提供偏置电压，可连接有源对数周期天线提升接收距离和信号质量。并支持射频级联功能，无需天线分配器即可实现≤8套叠机使用。</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天线分配器</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1.采用最新超高动态低杂讯元件与超宽频微带线路设计，具有超低内调失真及损耗的特性，提供多频道接收系统同时使用时能排除混频干扰。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2.天线输入连接座具有供应天线放大器的电源，可直接连接具有天线放大器的延长天线及内建放大器的天线。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3.能支持四台宽频多频道接收机共用一对天线， 第二台分配器 同时级联或宽频多频道接收机，简化天线装配工程。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4.分路器可提供≥4路12V DC电源输出，为4台无线接收机提供电源，简化机柜安装。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技术参数：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1、适用频宽范围： 500MHz  ─ 850MHz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2、输入截断点： +15dBm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3、输出/输入增益： +1.0dB±1dB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4、输出端隔离度： &gt;18dB 在500MHz ─ 850MHz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5、输出/入阻抗： 50Ω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6、天线输出接头： TNC插座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7、天线输入接头电源： 天线A、B输入端各提供约8V DC,250 mA(max)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8、电源输入： 12V-15V/5A DC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9、电源输出： 12V/1A DC (Each one)</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天线放大器</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1、采用对数周期偶极振子阵列，能够在面向所需的覆盖区域时提供最佳接收效果。集成式放大器具有28档位增益设置，用于补偿同轴缆线的插入损失。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2、配有内螺纹用于安装，可将该天线固定在话筒支架上，也可将其悬挂在天花板上，或者使用集成式可旋转适配器固定在墙壁上。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3、可与无线接收机和天线分配器搭配使用，该天线为有源对数周期天线，需要接收机能够提供 8–12 伏直流偏压。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4、天线为单指向性天线，对需要特定方位使用的环境有非常好的效果。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技术参数：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1、适用频宽范围： 500MHz  ─ 850MHz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2、步进增益 总增益量：0 ─ 18dB ±2dB 步进量：±1dB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3、步进衰减 总衰减量：0 ─ 9dB  ±2dB 步进量：±1dB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4、天线阻抗 :50Ω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5、天线增益：3-5dB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6、驻波比：≤2.5:1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7、接收模式(3 dB 波束宽度)：65°（垂直角）,120°(水平面）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8、连接插座 :TNC母座×1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9、电流消耗 :约60mA/DC 8V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10、电源 :TNC母座须提供偏压电源DC 6—10V</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天线馈线</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≥20米50欧同轴线</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音频隔离器</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音频降噪隔离器</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有源监听音箱</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1.中纤板木制音箱，高档PVC表面装潢。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2.调节形式：主音量、高低音、话筒混响、话筒音量独立可调。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3.输出接口：一路副机功率输出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4.金属挂架，安装方便，牢固耐用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5.功    耗：30W/4Ω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6.频率范围：80Hz~20KHz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7.输入电源：AC：220V/50Hz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8.灵 敏 度：93dB±3dB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9.失 真 度：＜0.1%at1w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10.信 噪 比：＞82dB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11.喇叭单元：低音4”  麦拉高音喇叭1”</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电源时序器</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1、在高压 1.5kV(10mA)下冲击 60s无损坏。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2、≥8个国标五孔可控电源插座，单通道最大输出电流不小于10A。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3、针对不同设备启动时间，每路电源开关时间支持不小于60秒设定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4、前面板带市电电压显示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5、不少于24组用户存储模式</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音箱架</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配套音箱壁架</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C.摄像监看系统</w:t>
            </w:r>
            <w:r>
              <w:rPr>
                <w:rFonts w:hint="eastAsia" w:ascii="宋体" w:hAnsi="宋体" w:eastAsia="宋体" w:cs="宋体"/>
                <w:b/>
                <w:bCs/>
                <w:i w:val="0"/>
                <w:iCs w:val="0"/>
                <w:color w:val="000000"/>
                <w:sz w:val="20"/>
                <w:szCs w:val="20"/>
                <w:highlight w:val="none"/>
                <w:u w:val="none"/>
              </w:rPr>
            </w:r>
            <w:r/>
          </w:p>
        </w:tc>
        <w:tc>
          <w:tcPr>
            <w:tcW w:w="3033" w:type="dxa"/>
            <w:vAlign w:val="center"/>
            <w:textDirection w:val="lrTb"/>
            <w:noWrap w:val="false"/>
          </w:tcPr>
          <w:p>
            <w:pPr>
              <w:pStyle w:val="68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8"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7"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摄像机</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1、≥1/2.8英寸，CMOS图像传感器，支持HD: 1080p/60, 1080p/50, 1080i/60, 1080i/50, 1080p/30, 1080p/25等多种视频输出格式。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2、支持网口音视频编码输出，支持H.265/H.264/MJEPG三种视频编码标准，音频AAC编码标准。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3、支持RTSP、RTMP、Onvif、组播等网络协议。网络视频编码码率最大可支持20Mbps，网络音频编码码率最大可支持256Kbps。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4、支持HDMI+3G-SDI两路高清原始输出, 网络编码、HDMI、SDI三路同时输出图像。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5、支持USB视频输出。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6、具有AI功能，实现人形自动画面跟踪功能。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7、有效像素≥207万，最大视角≥60°，光学变焦≥20倍，数字变焦≥16倍。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8、同时支持RS232+RS485两种串口，支持VISCA、PELCO-D/P多种协议的对摄像机进行控制。支持网络VISCA协议控制。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9、支持预置位过程图像冻结功能。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10、摄像机可设置≥200个预置位，预置位精度≤0.1°。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11、支持音频LINE IN输入，摄像机可对音频进行编码。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12、支持水平、垂直翻转功能，适应吊装要求。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13、设备具有静电放电抗扰度性能检测要求，在静电放电抗扰度性能检测下，产品性能正常。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14、DC 12V输入，功耗≤12W。</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摄像机安装架</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摄像机安装架</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液晶监视器</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≥22英寸工业液晶监视器</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D.信号管理系统</w:t>
            </w:r>
            <w:r>
              <w:rPr>
                <w:rFonts w:hint="eastAsia" w:ascii="宋体" w:hAnsi="宋体" w:eastAsia="宋体" w:cs="宋体"/>
                <w:b/>
                <w:bCs/>
                <w:i w:val="0"/>
                <w:iCs w:val="0"/>
                <w:color w:val="000000"/>
                <w:sz w:val="20"/>
                <w:szCs w:val="20"/>
                <w:highlight w:val="none"/>
                <w:u w:val="none"/>
              </w:rPr>
            </w:r>
            <w:r/>
          </w:p>
        </w:tc>
        <w:tc>
          <w:tcPr>
            <w:tcW w:w="3033" w:type="dxa"/>
            <w:vAlign w:val="center"/>
            <w:textDirection w:val="lrTb"/>
            <w:noWrap w:val="false"/>
          </w:tcPr>
          <w:p>
            <w:pPr>
              <w:pStyle w:val="68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8"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7"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高清混插矩阵</w:t>
            </w:r>
            <w:r>
              <w:rPr>
                <w:rFonts w:hint="eastAsia" w:ascii="宋体" w:hAnsi="宋体" w:eastAsia="宋体" w:cs="宋体"/>
                <w:i w:val="0"/>
                <w:iCs w:val="0"/>
                <w:color w:val="000000"/>
                <w:sz w:val="20"/>
                <w:szCs w:val="20"/>
                <w:highlight w:val="none"/>
                <w:u w:val="none"/>
              </w:rPr>
            </w:r>
            <w:r/>
          </w:p>
        </w:tc>
        <w:tc>
          <w:tcPr>
            <w:tcW w:w="5169" w:type="dxa"/>
            <w:vAlign w:val="top"/>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1、标准机架尺寸，静音风扇设计，无噪音，性能稳定。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2、支持≥8路4K@60视频输入，≥8路4K@60视频输出，具有LCD液晶显示。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3、视频分辨率支持4K60Hz，并向下兼容。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4、支持无缝切换，切换过程中画面无停顿、无黑屏或闪烁。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5、各输出通道间画面延迟低于0.1毫秒，画面无撕裂。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6、支持2K板卡与4K板卡混合使用。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7、支持多种控制方式，面板按键控制、IR、RS-232，TCP/IP、Web和上位机软件控制等方式。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8、具有场景模式设置和调用功能。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9、具有板卡式接入控制口≥1路RS-232IN、≥1路RS-232 OUT支持控制外部设备、≥1路RJ45。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10、采用双电源备份，双电源为板卡式，每路电源具有独立的开关控制，具有掉电记忆功能。</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4路无缝HDMI信号输入卡</w:t>
            </w:r>
            <w:r>
              <w:rPr>
                <w:rFonts w:hint="eastAsia" w:ascii="宋体" w:hAnsi="宋体" w:eastAsia="宋体" w:cs="宋体"/>
                <w:i w:val="0"/>
                <w:iCs w:val="0"/>
                <w:color w:val="000000"/>
                <w:sz w:val="20"/>
                <w:szCs w:val="20"/>
                <w:highlight w:val="none"/>
                <w:u w:val="none"/>
              </w:rPr>
            </w:r>
            <w:r/>
          </w:p>
        </w:tc>
        <w:tc>
          <w:tcPr>
            <w:tcW w:w="5169" w:type="dxa"/>
            <w:vAlign w:val="top"/>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1、板卡结构，支持一卡4路HDMI信号输入。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2、支持视频分辨率：、3840x2160p60、1920x1200p60Hz、 1920x1080p60Hz等多种分辨率，支持向下兼容。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3、支持4路3.81mm凤凰端子，支持外部音频源输入。</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4路无缝HDMI信号输出卡</w:t>
            </w:r>
            <w:r>
              <w:rPr>
                <w:rFonts w:hint="eastAsia" w:ascii="宋体" w:hAnsi="宋体" w:eastAsia="宋体" w:cs="宋体"/>
                <w:i w:val="0"/>
                <w:iCs w:val="0"/>
                <w:color w:val="000000"/>
                <w:sz w:val="20"/>
                <w:szCs w:val="20"/>
                <w:highlight w:val="none"/>
                <w:u w:val="none"/>
              </w:rPr>
            </w:r>
            <w:r/>
          </w:p>
        </w:tc>
        <w:tc>
          <w:tcPr>
            <w:tcW w:w="5169" w:type="dxa"/>
            <w:vAlign w:val="top"/>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1、板卡结构，支持一卡4路HDMI信号输出。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2、支持视频分辨率：3840x2160p60、1920x1200p60Hz、 1920x1080p60Hz等多种分辨率，支持向下兼容。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3、支持4路3.81mm凤凰端子，支持外部音频源输出。</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多媒体信息地插</w:t>
            </w:r>
            <w:r>
              <w:rPr>
                <w:rFonts w:hint="eastAsia" w:ascii="宋体" w:hAnsi="宋体" w:eastAsia="宋体" w:cs="宋体"/>
                <w:i w:val="0"/>
                <w:iCs w:val="0"/>
                <w:color w:val="000000"/>
                <w:sz w:val="20"/>
                <w:szCs w:val="20"/>
                <w:highlight w:val="none"/>
                <w:u w:val="none"/>
              </w:rPr>
            </w:r>
            <w:r/>
          </w:p>
        </w:tc>
        <w:tc>
          <w:tcPr>
            <w:tcW w:w="5169" w:type="dxa"/>
            <w:vAlign w:val="top"/>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内置电源*1.网络*2.HDMI，音频*1</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HDMI2.0有源光缆</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光纤传输无需外部供电即插即用，接头内置芯片，4K高清超远传输，信号稳定不受电磁干扰，有方向性，20米</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HDMI2.0有源光缆</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光纤传输无需外部供电即插即用，接头内置芯片，4K高清超远传输，信号稳定不受电磁干扰，有方向性，30米</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HDMI2.0有源光缆</w:t>
            </w:r>
            <w:r>
              <w:rPr>
                <w:rFonts w:hint="eastAsia" w:ascii="宋体" w:hAnsi="宋体" w:eastAsia="宋体" w:cs="宋体"/>
                <w:i w:val="0"/>
                <w:iCs w:val="0"/>
                <w:color w:val="000000"/>
                <w:sz w:val="20"/>
                <w:szCs w:val="20"/>
                <w:highlight w:val="none"/>
                <w:u w:val="none"/>
              </w:rPr>
            </w:r>
            <w:r/>
          </w:p>
        </w:tc>
        <w:tc>
          <w:tcPr>
            <w:tcW w:w="516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光纤传输无需外部供电即插即用，接头内置芯片，4K高清超远传输，信号稳定不受电磁干扰，有方向性，40米</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E.辅材</w:t>
            </w:r>
            <w:r>
              <w:rPr>
                <w:rFonts w:hint="eastAsia" w:ascii="宋体" w:hAnsi="宋体" w:eastAsia="宋体" w:cs="宋体"/>
                <w:b/>
                <w:bCs/>
                <w:i w:val="0"/>
                <w:iCs w:val="0"/>
                <w:color w:val="000000"/>
                <w:sz w:val="20"/>
                <w:szCs w:val="20"/>
                <w:highlight w:val="none"/>
                <w:u w:val="none"/>
              </w:rPr>
            </w:r>
            <w:r/>
          </w:p>
        </w:tc>
        <w:tc>
          <w:tcPr>
            <w:tcW w:w="3033" w:type="dxa"/>
            <w:vAlign w:val="center"/>
            <w:textDirection w:val="lrTb"/>
            <w:noWrap w:val="false"/>
          </w:tcPr>
          <w:p>
            <w:pPr>
              <w:pStyle w:val="68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8"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7"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操作台</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冷轧钢板六工位，配电脑万向支架。</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42U标准机柜</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1、42U网络机柜，600*600*2000。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2、材料：SPCC优质冷扎钢板制作，立梁.方孔条厚度2.0mm，框架.顶底盖.前后门.层板厚度1.2mm，侧板厚度1.0mm。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3、外观：颜色为国际黑色，表面脱脂.酸洗.磷化.静电喷塑处理，防护等级IP20。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4、门体：单钢化玻璃或高密度网孔前门，单开钣金或高密度网孔后门，侧门为脱卸式结构，顶部有网孔且主动排风。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5、符合GB/T7251.1-2013。</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数字话筒地插</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8芯接口。</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多媒体信息地插</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内置电源*1.网络*2.HDMI，音频*1，卡侬*1。</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多媒体信息地插</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内置电源*1.网络*2.HDMI，音频*1。</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音频线（话筒线）</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NC-RVPE2*0.22。</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音箱线</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ETB2*300支。</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HDMI线3米</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HDMI线3米。</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HDMI2.0有源光缆</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光纤传输无需外部供电即插即用，接头内置芯片，4K高清超远传输，信号稳定不受电磁干扰，有方向性，20米。</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六类网线</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1、线缆满足250MHz条件下的传输要求，并采用高密度的聚氯乙烯绝缘材料；外皮材料采用阻燃型热塑材料；绝缘导线为紧密的绞线对。</w:t>
            </w:r>
            <w:r>
              <w:rPr>
                <w:rFonts w:hint="eastAsia" w:ascii="宋体" w:hAnsi="宋体" w:eastAsia="宋体" w:cs="宋体"/>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2、标准：符合Category 6 ANSI/TIA-568.2-D-2018 and ISO/IEC 11801以及YD/T1019标准。</w:t>
            </w:r>
            <w:r>
              <w:rPr>
                <w:rFonts w:hint="eastAsia" w:ascii="宋体" w:hAnsi="宋体" w:eastAsia="宋体" w:cs="宋体"/>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3、中心十字骨架结构并采用高密度的聚氯乙烯绝缘材料；芯线对数：4对，每芯带有色条区别。</w:t>
            </w:r>
            <w:r>
              <w:rPr>
                <w:rFonts w:hint="eastAsia" w:ascii="宋体" w:hAnsi="宋体" w:eastAsia="宋体" w:cs="宋体"/>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4、带宽：≥250MHz，支持1000 Base-T以及1000Base-TX局域网以及宽带视频应用。</w:t>
            </w:r>
            <w:r>
              <w:rPr>
                <w:rFonts w:hint="eastAsia" w:ascii="宋体" w:hAnsi="宋体" w:eastAsia="宋体" w:cs="宋体"/>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5、电气特性：1.0-100.0MHz输入阻抗（欧姆）100±6，100-250MHz输入阻抗（欧姆）100±6。</w:t>
            </w:r>
            <w:r>
              <w:rPr>
                <w:rFonts w:hint="eastAsia" w:ascii="宋体" w:hAnsi="宋体" w:eastAsia="宋体" w:cs="宋体"/>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6、外护套印有品牌、型号规格、线规、屏蔽类型、标准等信息，要求字迹清晰、不褪色、容易辨别，用于产品的质量回溯，并印有逆序长度标注(305~0 meter)以方便识别线缆长度。</w:t>
            </w:r>
            <w:r>
              <w:rPr>
                <w:rFonts w:hint="eastAsia" w:ascii="宋体" w:hAnsi="宋体" w:eastAsia="宋体" w:cs="宋体"/>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7、要求六类非屏蔽双绞线通过单根不延燃试验，应符合：GB/T 18380.12，上支架下缘与炭化部分上起始点之间的距离＞50mm，上支架下缘与炭化部分下起始点之间的距离≤540mm。</w:t>
            </w:r>
            <w:r>
              <w:rPr>
                <w:rFonts w:hint="eastAsia" w:ascii="宋体" w:hAnsi="宋体" w:eastAsia="宋体" w:cs="宋体"/>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▲8、要求六类非屏蔽双绞线通过绝缘抗张强度、绝缘断裂伸长率测试，应符合GB/T 2951.11，绝缘抗张强度≥10N/mm²，绝缘断裂伸长率≥125%。（提供具备CMA或CNAS标识的检测报告原件扫描件或产品官网截图）</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RVV3*1.5。</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RVV2*1.5。</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管材桥架</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管材桥架。</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批</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
        </w:trPr>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接插件.专用插座.专用数据插座等</w:t>
            </w:r>
            <w:r>
              <w:rPr>
                <w:rFonts w:hint="eastAsia" w:ascii="宋体" w:hAnsi="宋体" w:eastAsia="宋体" w:cs="宋体"/>
                <w:i w:val="0"/>
                <w:iCs w:val="0"/>
                <w:color w:val="000000"/>
                <w:sz w:val="20"/>
                <w:szCs w:val="20"/>
                <w:highlight w:val="none"/>
                <w:u w:val="none"/>
              </w:rPr>
            </w:r>
            <w:r/>
          </w:p>
        </w:tc>
        <w:tc>
          <w:tcPr>
            <w:tcW w:w="303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接插件.专用插座.专用数据插座等。</w:t>
            </w:r>
            <w:r>
              <w:rPr>
                <w:rFonts w:hint="eastAsia" w:ascii="宋体" w:hAnsi="宋体" w:eastAsia="宋体" w:cs="宋体"/>
                <w:i w:val="0"/>
                <w:iCs w:val="0"/>
                <w:color w:val="000000"/>
                <w:sz w:val="20"/>
                <w:szCs w:val="20"/>
                <w:highlight w:val="none"/>
                <w:u w:val="none"/>
              </w:rPr>
            </w:r>
            <w:r/>
          </w:p>
        </w:tc>
        <w:tc>
          <w:tcPr>
            <w:tcW w:w="27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批</w:t>
            </w:r>
            <w:r>
              <w:rPr>
                <w:rFonts w:hint="eastAsia" w:ascii="宋体" w:hAnsi="宋体" w:eastAsia="宋体" w:cs="宋体"/>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6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numPr>
          <w:ilvl w:val="0"/>
          <w:numId w:val="5"/>
        </w:numPr>
        <w:ind w:left="432" w:hanging="432"/>
        <w:jc w:val="both"/>
        <w:keepLines/>
        <w:keepNext/>
        <w:spacing w:beforeAutospacing="0" w:afterAutospacing="0" w:line="360" w:lineRule="auto"/>
        <w:widowControl w:val="off"/>
        <w:rPr>
          <w:rFonts w:ascii="Calibri" w:hAnsi="Calibri" w:eastAsia="宋体" w:cs="Times New Roman"/>
          <w:b/>
          <w:sz w:val="30"/>
          <w:szCs w:val="24"/>
          <w:highlight w:val="none"/>
          <w:lang w:val="en-US" w:eastAsia="zh-CN" w:bidi="ar-SA"/>
        </w:rPr>
        <w:outlineLvl w:val="0"/>
      </w:pPr>
      <w:r>
        <w:rPr>
          <w:rFonts w:hint="eastAsia" w:ascii="Calibri" w:hAnsi="Calibri" w:eastAsia="宋体" w:cs="Times New Roman"/>
          <w:b/>
          <w:sz w:val="30"/>
          <w:szCs w:val="24"/>
          <w:highlight w:val="none"/>
          <w:lang w:val="en-US" w:eastAsia="zh-CN" w:bidi="ar-SA"/>
        </w:rPr>
        <w:t xml:space="preserve">计算机网络系统</w:t>
      </w:r>
      <w:r>
        <w:rPr>
          <w:rFonts w:ascii="Calibri" w:hAnsi="Calibri" w:eastAsia="宋体" w:cs="Times New Roman"/>
          <w:b/>
          <w:sz w:val="30"/>
          <w:szCs w:val="24"/>
          <w:highlight w:val="none"/>
          <w:lang w:val="en-US" w:eastAsia="zh-CN" w:bidi="ar-SA"/>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2"/>
        <w:gridCol w:w="1404"/>
        <w:gridCol w:w="5642"/>
        <w:gridCol w:w="441"/>
        <w:gridCol w:w="713"/>
        <w:gridCol w:w="626"/>
      </w:tblGrid>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765"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3076"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rPr>
                <w:rFonts w:hint="eastAsia" w:ascii="宋体" w:hAnsi="宋体" w:eastAsia="宋体" w:cs="宋体"/>
                <w:b/>
                <w:bCs/>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341"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6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安全</w:t>
            </w:r>
            <w:r>
              <w:rPr>
                <w:rFonts w:hint="eastAsia" w:ascii="宋体" w:hAnsi="宋体" w:eastAsia="宋体" w:cs="宋体"/>
                <w:b/>
                <w:bCs/>
                <w:i w:val="0"/>
                <w:iCs w:val="0"/>
                <w:color w:val="000000"/>
                <w:sz w:val="20"/>
                <w:szCs w:val="20"/>
                <w:highlight w:val="none"/>
                <w:u w:val="none"/>
              </w:rPr>
            </w:r>
            <w:r/>
          </w:p>
        </w:tc>
        <w:tc>
          <w:tcPr>
            <w:tcW w:w="307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4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41"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防火墙</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sz w:val="20"/>
                <w:szCs w:val="20"/>
                <w:highlight w:val="none"/>
                <w:lang w:bidi="ar"/>
              </w:rPr>
              <w:t xml:space="preserve">1、≥1U机架式,国产化平台，内存≥16G，固态硬盘≥512G，≥10个千兆电口，≥6个千兆光插槽，≥2个万兆光插槽,双电源, ≥2个扩展槽位,防火墙吞吐≥4G，并发连接≥400万，每秒新建连接≥5万，应用层吞吐量≥3G，全威胁吞吐量≥1G。包含应用识别功能，含3年入侵防御、防病毒特征库升级服务。3年硬件质保。</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2、支持应急响应功能，支持自动响应和手动响应两种模式，可以对异常IP以及对应的异常事件进行一键处置。</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3、▲</w:t>
            </w:r>
            <w:r>
              <w:rPr>
                <w:rFonts w:ascii="宋体" w:hAnsi="宋体" w:eastAsia="宋体" w:cs="宋体"/>
                <w:sz w:val="20"/>
                <w:szCs w:val="20"/>
                <w:highlight w:val="none"/>
                <w:lang w:bidi="ar"/>
              </w:rPr>
              <w:t xml:space="preserve">支持一体化安全策略配置，可以通过一条策略实现五元组、源MAC、源地区、目的地区、域名、应用、服务、时间、长连接、并发会话、WEB认证、IPS、AV、URL过滤、WAF、邮件安全、数据过滤、文件过滤、审计等功能配置,简化用户管理。</w:t>
            </w:r>
            <w:r>
              <w:rPr>
                <w:rFonts w:hint="eastAsia" w:ascii="宋体" w:hAnsi="宋体" w:eastAsia="宋体" w:cs="宋体"/>
                <w:i w:val="0"/>
                <w:iCs w:val="0"/>
                <w:color w:val="000000"/>
                <w:sz w:val="20"/>
                <w:szCs w:val="20"/>
                <w:highlight w:val="none"/>
                <w:u w:val="none"/>
                <w:lang w:val="en-US" w:eastAsia="zh-CN" w:bidi="ar"/>
              </w:rPr>
              <w:t xml:space="preserve">（提供具备CMA或CNAS标识的检测报告原件扫描件或产品官网截图）</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4、支持链路聚合功能，支持802.3ad、静态、轮询、热备等多种模式，支持SMAC\DMAC\SMAC+DMAC\SIP\DIP\SIP+DIP\SPORT\DPORT\SPORT+DPORT\SMAC+DMAC+SIP+DIP\SMAC+DMAC+SPORT+DPORT\SIP+DIP+SPORT+DPORT\5-TUPLE等多种负载均衡算法。</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5、支持虚拟网络线功能，实现数据通过虚拟线接口进行转发，并可被访问控制策略引用。</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6、支持开启包过滤规则的严格状态检测、规则优先、拒绝非中国大陆地区访问、重复冲突规则检测、深度规则检测、重复冲突规则允许添加、禁止访问非中国大陆地区、虚拟线模式、策略预编译、分片重组检查、会话快速收敛。</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7、</w:t>
            </w:r>
            <w:r>
              <w:rPr>
                <w:rFonts w:ascii="宋体" w:hAnsi="宋体" w:eastAsia="宋体" w:cs="宋体"/>
                <w:sz w:val="20"/>
                <w:szCs w:val="20"/>
                <w:highlight w:val="none"/>
                <w:lang w:bidi="ar"/>
              </w:rPr>
              <w:t xml:space="preserve">内置行为分析功能，对会话、流量等数据进行统计分析，建立业务行为基线，对异常行为进行告警；支持行为分析监控展示，可展示不同行为分析策略的实时数据和基线数据趋势。</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8、支持服务器内联防护，支持IP地址、合法端口设置。支持阻断非国内地址。</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9、恶意样本检测支持HTTP、SMTP、POP3、IMAP、FTP协议。支持缓存文件大小设置、文件检测类型设置，至少支持rtf、doc、xls、pdf、docx、xlsx、pptx。压缩文件类型支持zip、rar、7z。</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上网行为管理</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widowControl/>
              <w:rPr>
                <w:rFonts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1、≥1U机架式，国产化平台,独立console口，≥ 2个USB接口，≥ 8个千兆电口（支持2对电口Bypass），≥ 4个千兆光口插槽，≥2个扩展槽位,带宽性能≥550M, 应用层吞吐≥800M, 网络吞吐量≥3.5G, 最大并发连接数≥150万, 新建连接数≥11000, 审计与管控IP数≥3000（不包含认证）， 内存≥16G, 日志存储硬盘≥4T；</w:t>
            </w:r>
            <w:r>
              <w:rPr>
                <w:rFonts w:ascii="宋体" w:hAnsi="宋体" w:eastAsia="宋体" w:cs="宋体"/>
                <w:sz w:val="20"/>
                <w:szCs w:val="20"/>
                <w:highlight w:val="none"/>
                <w:lang w:bidi="ar"/>
              </w:rPr>
            </w:r>
            <w:r/>
          </w:p>
          <w:p>
            <w:pPr>
              <w:pStyle w:val="680"/>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sz w:val="20"/>
                <w:szCs w:val="20"/>
                <w:highlight w:val="none"/>
                <w:lang w:bidi="ar"/>
              </w:rPr>
              <w:t xml:space="preserve">包含3年系统版本升级、URL库及应用特征库升级许可、3年硬件质保。</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2、支持路由模式、透明（网桥）模式、混合模式，支持镜像接口，部署模式切换无需重启设备。</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3、</w:t>
            </w:r>
            <w:r>
              <w:rPr>
                <w:rFonts w:ascii="宋体" w:hAnsi="宋体" w:eastAsia="宋体" w:cs="宋体"/>
                <w:sz w:val="20"/>
                <w:szCs w:val="20"/>
                <w:highlight w:val="none"/>
                <w:lang w:bidi="ar"/>
              </w:rPr>
              <w:t xml:space="preserve">支持即插即用功能。不管电脑的IP如何配置，开启即插即用功能后，只要插上网线，即可上网</w:t>
            </w:r>
            <w:r>
              <w:rPr>
                <w:rFonts w:hint="eastAsia" w:ascii="宋体" w:hAnsi="宋体" w:eastAsia="宋体" w:cs="宋体"/>
                <w:sz w:val="20"/>
                <w:szCs w:val="20"/>
                <w:highlight w:val="none"/>
                <w:lang w:bidi="ar"/>
              </w:rPr>
              <w:t xml:space="preserve">。</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4、</w:t>
            </w:r>
            <w:r>
              <w:rPr>
                <w:rFonts w:ascii="宋体" w:hAnsi="宋体" w:eastAsia="宋体" w:cs="宋体"/>
                <w:sz w:val="20"/>
                <w:szCs w:val="20"/>
                <w:highlight w:val="none"/>
                <w:lang w:bidi="ar"/>
              </w:rPr>
              <w:t xml:space="preserve">一键下载设备健康信息，当设备发生故障时如丢包、宕机、异常重启等问题时可以通过设备健康信息获取有效数据，能够快速定位问题</w:t>
            </w:r>
            <w:r>
              <w:rPr>
                <w:rFonts w:hint="eastAsia" w:ascii="宋体" w:hAnsi="宋体" w:eastAsia="宋体" w:cs="宋体"/>
                <w:sz w:val="20"/>
                <w:szCs w:val="20"/>
                <w:highlight w:val="none"/>
                <w:lang w:bidi="ar"/>
              </w:rPr>
              <w:t xml:space="preserve">。</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5、</w:t>
            </w:r>
            <w:r>
              <w:rPr>
                <w:rFonts w:ascii="宋体" w:hAnsi="宋体" w:eastAsia="宋体" w:cs="宋体"/>
                <w:sz w:val="20"/>
                <w:szCs w:val="20"/>
                <w:highlight w:val="none"/>
                <w:lang w:bidi="ar"/>
              </w:rPr>
              <w:t xml:space="preserve">可对接入的移动终端区分出IOS终端、安卓终端、三星终端，并可以根据所区分出的终端类型设置告警和拒绝动作</w:t>
            </w:r>
            <w:r>
              <w:rPr>
                <w:rFonts w:hint="eastAsia" w:ascii="宋体" w:hAnsi="宋体" w:eastAsia="宋体" w:cs="宋体"/>
                <w:sz w:val="20"/>
                <w:szCs w:val="20"/>
                <w:highlight w:val="none"/>
                <w:lang w:bidi="ar"/>
              </w:rPr>
              <w:t xml:space="preserve">。</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6、▲</w:t>
            </w:r>
            <w:r>
              <w:rPr>
                <w:rFonts w:hint="eastAsia" w:ascii="宋体" w:hAnsi="宋体" w:eastAsia="宋体" w:cs="Times New Roman"/>
                <w:sz w:val="20"/>
                <w:szCs w:val="20"/>
                <w:highlight w:val="none"/>
              </w:rPr>
              <w:t xml:space="preserve">可根据预设总带宽，实时智能识别策略匹配上线用户，并依照预设总带宽将流量对匹配用户进行智能平均分配</w:t>
            </w:r>
            <w:r>
              <w:rPr>
                <w:rFonts w:ascii="宋体" w:hAnsi="宋体" w:eastAsia="宋体" w:cs="宋体"/>
                <w:sz w:val="20"/>
                <w:szCs w:val="20"/>
                <w:highlight w:val="none"/>
                <w:lang w:bidi="ar"/>
              </w:rPr>
              <w:t xml:space="preserve">。</w:t>
            </w:r>
            <w:r>
              <w:rPr>
                <w:rFonts w:hint="eastAsia" w:ascii="宋体" w:hAnsi="宋体" w:eastAsia="宋体" w:cs="宋体"/>
                <w:i w:val="0"/>
                <w:iCs w:val="0"/>
                <w:color w:val="000000"/>
                <w:sz w:val="20"/>
                <w:szCs w:val="20"/>
                <w:highlight w:val="none"/>
                <w:u w:val="none"/>
                <w:lang w:val="en-US" w:eastAsia="zh-CN" w:bidi="ar"/>
              </w:rPr>
              <w:t xml:space="preserve">（提供具备CMA或CNAS标识的检测报告原件扫描件或产品官网截图）</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7、支持Windows终端安全检查，包括:登录域检查、操作系统检查进程检查、文件检查、注册表检查、补丁检查、Windows账号检查、防篡改检查、软件检查，对不满足检查要求的终端可弹窗提示、禁止上网、违规修复。</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8、内网资产监控，可对终端风险级别、操作系统、浏览器类型、应用、杀毒软件等方面进行监控。</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日志审计</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sz w:val="20"/>
                <w:szCs w:val="20"/>
                <w:highlight w:val="none"/>
                <w:lang w:bidi="ar"/>
              </w:rPr>
              <w:t xml:space="preserve">1、≥1U机架式,国产化平台，独立console口， ≥6个千兆电口、≥4个千兆光插槽, ≥2个扩展槽位，≥2个USB口，≥16G内存，≥256G mSATA系统盘，数据盘≥4T。日志采集处理均值≥5000EPS，配置30日志源。支持授权扩容。</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2、系统内置数据库，无需单独安装或购买数据库。提供网络设备、安全设备与系统、主机、中间件、数据库、存储、应用和服务在内的多种审计数据源的日志采集，并且提供日志过滤归并功能提高日志采集能力。支持针对日志的查询，告警，审计，报表，报告等功能。</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3、▲</w:t>
            </w:r>
            <w:r>
              <w:rPr>
                <w:rFonts w:hint="eastAsia" w:ascii="宋体" w:hAnsi="宋体" w:eastAsia="宋体" w:cs="宋体"/>
                <w:sz w:val="20"/>
                <w:szCs w:val="20"/>
                <w:highlight w:val="none"/>
              </w:rPr>
              <w:t xml:space="preserve">支持根据设备重要程度独立设置每个被采集源的日志和报表数据的存储时间，支持设置1个月、3个月、6个月、12个月、永久保存</w:t>
            </w:r>
            <w:r>
              <w:rPr>
                <w:rFonts w:hint="eastAsia" w:ascii="宋体" w:hAnsi="宋体" w:eastAsia="宋体" w:cs="宋体"/>
                <w:sz w:val="20"/>
                <w:szCs w:val="20"/>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（提供具备CMA或CNAS标识的检测报告原件扫描件或产品官网截图）</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4、系统具有资产管理的功能，能够将被审计资产进行分组。</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5、系统提供基于资产的拓扑视图，可以按列表和拓扑两种模式显示资产拓扑节点。</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6、</w:t>
            </w:r>
            <w:r>
              <w:rPr>
                <w:rFonts w:ascii="宋体" w:hAnsi="宋体" w:eastAsia="宋体" w:cs="宋体"/>
                <w:sz w:val="20"/>
                <w:szCs w:val="20"/>
                <w:highlight w:val="none"/>
                <w:lang w:bidi="ar"/>
              </w:rPr>
              <w:t xml:space="preserve">支持以业务角度将日志源进行分组，支持在日志查询时以业务组进行查询，支持在首页拓扑展示时以业务组进行展示</w:t>
            </w:r>
            <w:r>
              <w:rPr>
                <w:rFonts w:hint="eastAsia" w:ascii="宋体" w:hAnsi="宋体" w:eastAsia="宋体" w:cs="宋体"/>
                <w:sz w:val="20"/>
                <w:szCs w:val="20"/>
                <w:highlight w:val="none"/>
                <w:lang w:bidi="ar"/>
              </w:rPr>
              <w:t xml:space="preserve">。</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7、告警动作支持告警重定义、弹出提示框、发出警示音、发送邮件、发送SNMP Trap、发送短信等方式。</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8、系统具有综合展示界面和仪表板。</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9、用户可自定义首页和展示仪表板。包括展示的内容和展示的形式。</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10、应该提供传统的线形图、饼图、条状图等多种方式来显示信息。</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11、系统采用基于策略的日志分析模式，使用户从传统的“条件编辑”式的分析体验转变为“策略选取”式的分析体验，大大提升分析效率。</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网闸</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widowControl/>
              <w:rPr>
                <w:rFonts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1、≥2U机架式,内外端机各≥16GB内存，内外端机各≥256G固态硬盘，内外端机各≥10个千兆电口,冗余电源,1个扩展槽位,网络吞吐量≥1G，最大并发连接数≥20万，延时1ms。标准配置包含安全浏览模块、文件传输模块、邮件访问模块、VOIP访问模块、数据库访问模块、其他访问模块、文件同步模块、数据库同步模块、数据中心模块。</w:t>
            </w:r>
            <w:r>
              <w:rPr>
                <w:rFonts w:ascii="宋体" w:hAnsi="宋体" w:eastAsia="宋体" w:cs="宋体"/>
                <w:sz w:val="20"/>
                <w:szCs w:val="20"/>
                <w:highlight w:val="none"/>
                <w:lang w:bidi="ar"/>
              </w:rPr>
            </w:r>
            <w:r/>
          </w:p>
          <w:p>
            <w:pPr>
              <w:pStyle w:val="680"/>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sz w:val="20"/>
                <w:szCs w:val="20"/>
                <w:highlight w:val="none"/>
                <w:lang w:bidi="ar"/>
              </w:rPr>
              <w:t xml:space="preserve">2、采用“2+1”系统架构，即由两个主机系统和一个隔离交换模块组成。隔离交换模块基于专用芯片实现，保证数据在搬移的时间内，内、外网隔离卡与内、外网系统为断开状态。</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3、支持抗攻击功能，能够识别和防御抗SYN/FIN扫描、抗Null扫描、抗死亡之PING扫描、抗SYN Flood、抗UDP Flood、抗ICMP Flood等。</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4、文件同步客户端支持Windows、Linux等主流操作系统，均具备图形化管理界面。</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5、▲支</w:t>
            </w:r>
            <w:r>
              <w:rPr>
                <w:rFonts w:ascii="宋体" w:hAnsi="宋体" w:eastAsia="宋体" w:cs="宋体"/>
                <w:sz w:val="20"/>
                <w:szCs w:val="20"/>
                <w:highlight w:val="none"/>
                <w:lang w:bidi="ar"/>
              </w:rPr>
              <w:t xml:space="preserve">持</w:t>
            </w:r>
            <w:r>
              <w:rPr>
                <w:rFonts w:hint="eastAsia" w:ascii="宋体" w:hAnsi="宋体" w:eastAsia="宋体" w:cs="宋体"/>
                <w:sz w:val="20"/>
                <w:szCs w:val="20"/>
                <w:highlight w:val="none"/>
                <w:lang w:bidi="ar"/>
              </w:rPr>
              <w:t xml:space="preserve">数据传输</w:t>
            </w:r>
            <w:r>
              <w:rPr>
                <w:rFonts w:ascii="宋体" w:hAnsi="宋体" w:eastAsia="宋体" w:cs="宋体"/>
                <w:sz w:val="20"/>
                <w:szCs w:val="20"/>
                <w:highlight w:val="none"/>
                <w:lang w:bidi="ar"/>
              </w:rPr>
              <w:t xml:space="preserve">消息头、消息体，上下行方向，命令及关键字的管控，支持允许、告警</w:t>
            </w:r>
            <w:r>
              <w:rPr>
                <w:rFonts w:hint="eastAsia" w:ascii="宋体" w:hAnsi="宋体" w:eastAsia="宋体" w:cs="宋体"/>
                <w:sz w:val="20"/>
                <w:szCs w:val="20"/>
                <w:highlight w:val="none"/>
                <w:lang w:bidi="ar"/>
              </w:rPr>
              <w:t xml:space="preserve">、禁止传输等</w:t>
            </w:r>
            <w:r>
              <w:rPr>
                <w:rFonts w:ascii="宋体" w:hAnsi="宋体" w:eastAsia="宋体" w:cs="宋体"/>
                <w:sz w:val="20"/>
                <w:szCs w:val="20"/>
                <w:highlight w:val="none"/>
                <w:lang w:bidi="ar"/>
              </w:rPr>
              <w:t xml:space="preserve">处理方式。</w:t>
            </w:r>
            <w:r>
              <w:rPr>
                <w:rFonts w:hint="eastAsia" w:ascii="宋体" w:hAnsi="宋体" w:eastAsia="宋体" w:cs="宋体"/>
                <w:i w:val="0"/>
                <w:iCs w:val="0"/>
                <w:color w:val="000000"/>
                <w:sz w:val="20"/>
                <w:szCs w:val="20"/>
                <w:highlight w:val="none"/>
                <w:u w:val="none"/>
                <w:lang w:val="en-US" w:eastAsia="zh-CN" w:bidi="ar"/>
              </w:rPr>
              <w:t xml:space="preserve">（提供具备CMA或CNAS标识的检测报告原件扫描件或产品官网截图）</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6、支持病毒检测。支持Oracle、SQL Server、Sybase、Db2、MySQL、MongoDB、POSTGRESQL等主流数据库。支持达梦、人大金仓、Gbase、神通数据库、博阳、瀚高等主流国产数据库。 </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7、支持对外开启WEB服务，供用户登录进行文件上传/下载操作。</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8、支持SIP、GB/T 28181、H.323、RTSP等通用协议。</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9、</w:t>
            </w:r>
            <w:r>
              <w:rPr>
                <w:rFonts w:ascii="宋体" w:hAnsi="宋体" w:eastAsia="宋体" w:cs="宋体"/>
                <w:sz w:val="20"/>
                <w:szCs w:val="20"/>
                <w:highlight w:val="none"/>
                <w:lang w:bidi="ar"/>
              </w:rPr>
              <w:t xml:space="preserve">支持数据库同步信息统计，包括策略名称、统计开始时间、成功数、失败数、忽略数等展示</w:t>
            </w:r>
            <w:r>
              <w:rPr>
                <w:rFonts w:hint="eastAsia" w:ascii="宋体" w:hAnsi="宋体" w:eastAsia="宋体" w:cs="宋体"/>
                <w:sz w:val="20"/>
                <w:szCs w:val="20"/>
                <w:highlight w:val="none"/>
                <w:lang w:bidi="ar"/>
              </w:rPr>
              <w:t xml:space="preserve">。</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防病毒系统</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widowControl/>
              <w:rPr>
                <w:rFonts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1、系统支持全中文界面，B/S架构。管理员只需通过浏览器登录控制中心，即可对系统进行管理，≥150个国产PC和服务器的3年升级授权许可。</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2、策略中心的策略包括恶意网站拦截、浏览器保护、恶意行为监控、文件实时监控、下载保护、软件安装拦截、黑客入侵拦截、系统加固、U盘保护、邮件监控等。</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3、支持设置客户端与控制中心的通讯时间间隔。</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4、支持虚拟补丁功能，针对网络数据流的深层分析，检测入站流量并保护应用程序免受攻击，有效阻止勒索病毒等高危威胁的入侵。</w:t>
            </w:r>
            <w:r>
              <w:rPr>
                <w:rFonts w:hint="eastAsia" w:ascii="宋体" w:hAnsi="宋体" w:eastAsia="宋体" w:cs="宋体"/>
                <w:sz w:val="20"/>
                <w:szCs w:val="20"/>
                <w:highlight w:val="none"/>
                <w:lang w:bidi="ar"/>
              </w:rPr>
              <w:br w:type="textWrapping" w:clear="all"/>
            </w:r>
            <w:r>
              <w:rPr>
                <w:rFonts w:hint="eastAsia" w:ascii="宋体" w:hAnsi="宋体" w:eastAsia="宋体" w:cs="宋体"/>
                <w:sz w:val="20"/>
                <w:szCs w:val="20"/>
                <w:highlight w:val="none"/>
                <w:lang w:bidi="ar"/>
              </w:rPr>
              <w:t xml:space="preserve">5、支持通过 PING、ARP、NMAP 方式扫描，发现尚未纳入管控的终端，支持展示终端的终端在线、离线、安装情况。</w:t>
            </w:r>
            <w:r>
              <w:rPr>
                <w:rFonts w:ascii="宋体" w:hAnsi="宋体" w:eastAsia="宋体" w:cs="宋体"/>
                <w:sz w:val="20"/>
                <w:szCs w:val="20"/>
                <w:highlight w:val="none"/>
                <w:lang w:bidi="ar"/>
              </w:rPr>
            </w:r>
            <w:r/>
          </w:p>
          <w:p>
            <w:pPr>
              <w:pStyle w:val="680"/>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sz w:val="20"/>
                <w:szCs w:val="20"/>
                <w:highlight w:val="none"/>
                <w:lang w:bidi="ar"/>
              </w:rPr>
              <w:t xml:space="preserve">6、▲支持系统加固，从系统文件保护、病毒免疫、进程保护、注册表保护、危险动作拦截、执行防护等多个维度对系统进行防护。</w:t>
            </w:r>
            <w:r>
              <w:rPr>
                <w:rFonts w:hint="eastAsia" w:ascii="宋体" w:hAnsi="宋体" w:eastAsia="宋体" w:cs="宋体"/>
                <w:i w:val="0"/>
                <w:iCs w:val="0"/>
                <w:color w:val="000000"/>
                <w:sz w:val="20"/>
                <w:szCs w:val="20"/>
                <w:highlight w:val="none"/>
                <w:u w:val="none"/>
                <w:lang w:val="en-US" w:eastAsia="zh-CN" w:bidi="ar"/>
              </w:rPr>
              <w:t xml:space="preserve">（提供具备CMA或CNAS标识的检测报告原件扫描件或产品官网截图）</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内网</w:t>
            </w:r>
            <w:r>
              <w:rPr>
                <w:rFonts w:hint="eastAsia" w:ascii="宋体" w:hAnsi="宋体" w:eastAsia="宋体" w:cs="宋体"/>
                <w:b/>
                <w:bCs/>
                <w:i w:val="0"/>
                <w:iCs w:val="0"/>
                <w:color w:val="000000"/>
                <w:sz w:val="20"/>
                <w:szCs w:val="20"/>
                <w:highlight w:val="none"/>
                <w:u w:val="none"/>
              </w:rPr>
            </w:r>
            <w:r/>
          </w:p>
        </w:tc>
        <w:tc>
          <w:tcPr>
            <w:tcW w:w="3076"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4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核心交换机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numPr>
                <w:ilvl w:val="0"/>
                <w:numId w:val="6"/>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交换容量≥100Tbps，包转发率≥76800Mpps，以官网最小值为准。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2、主控引擎≥2。整机业务板槽位数≥6。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3、产品具备高可靠性，主控、电源、风扇等关键部件采用冗余设计，所有模块均支持热插拔。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4、▲支持颗粒化电源，整机电源槽位数≥6。（提供具备CMA或CNAS标识的检测报告原件扫描件或产品官网截图）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r>
            <w:r/>
          </w:p>
          <w:p>
            <w:pPr>
              <w:pStyle w:val="680"/>
              <w:numPr>
                <w:ilvl w:val="0"/>
                <w:numId w:val="7"/>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▲采用国产CPU芯片，自主可控，支持安全启动。（提供具备CMA或CNAS标识的检测报告原件扫描件或产品官网截图）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r>
            <w:r/>
          </w:p>
          <w:p>
            <w:pPr>
              <w:pStyle w:val="680"/>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6、支持静态路由、RIP、OSPF、IS-IS、BGP4、等价路由、策略路由、路由策略等,支持IPv6静态路由、RIPng、OSPFv3、IS-ISv6、BGP4+。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7、支持真实业务流的实时检测技术，秒级快速故障定位。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8、支持内嵌式本地化管理平台，实现拓扑自动发现，拓扑、网元、设备告警等整网可视，对交换机，AR，AP 统一管理，无需额外部署网管平台。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9、主控支持独立蓝色ID指示灯，主控支持独立蓝色ID指示灯，维护人员可以在后台点亮后去机房直接找到相对于设备，便于快速定位设备位置。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10、整机支持PoE供电能力，为了部署的方便性，PoE电源模块须内置于机框内，不使用外置电源模块。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11、主控上的业务端口，在主控复位时，依然可以正常工作。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12、单台配置双主控、双电源。配置不少于48端口万兆光口、不少于48端口千兆电口。单台配置一根3米万兆堆叠线缆。</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8口内网交换机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1、交换容量≥670Gbps，包转发率≥130 Mpps，以官网最小值为准。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 个 10/100/1000BASE-T 以太网端口，4 个 GE SFP 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3、风冷散热，智能调速。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4、CPU和LSW要求国产化，提供国产测试报告。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 SP、DRR、WDRR、SP+DRR、SP+WDRR 队列调度算法，支持报文的 802.1p 和 DSCP 优先级标记，支持端口限速。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 SmartLink 功能，通过多条链路接入到多台汇聚交换机上，实现了上行链路的备份，极大地提升了接入侧设备的可靠性。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7、支持完善的 DoS 类防攻击、用户类防攻击。其中，DoS 类防攻击主要针对交换机本身的攻击，包括 SYNFlood、Land、Smurf、ICMP Flood；用户类防攻击涉及 DHCP 服务器仿冒攻击、IP/MAC 欺骗、DHCP request flood、改变DHCP CHADDR 值等。</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8口POE内网交换机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1、交换容量≥670Gbps，包转发率≥130 Mpps，以官网最小值为准。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 个 10/100/1000BASE-T 以太网端口，4 个 GE SFP 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3、风冷散热，智能调速。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4、CPU和LSW要求国产化，提供国产测试报告。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 SP、DRR、WDRR、SP+DRR、SP+WDRR 队列调度算法，支持报文的 802.1p 和 DSCP 优先级标记，支持端口限速。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 SmartLink 功能，通过多条链路接入到多台汇聚交换机上，实现了上行链路的备份，极大地提升了接入侧设备的可靠性。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7、POE功率125W。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8、支持完善的 DoS 类防攻击、用户类防攻击。其中，DoS 类防攻击主要针对交换机本身的攻击，包括 SYNFlood、Land、Smurf、ICMP Flood；用户类防攻击涉及 DHCP 服务器仿冒攻击、IP/MAC 欺骗、DHCP request flood、改变DHCP CHADDR 值等</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24口内网交换机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1、交换容量≥670Gbps、包转发率≥170Mpps。以官网最小值为准。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2、24 个 10/100/1000Base-T 以太网端口，4 个 GE SFP 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3、支持IPv4/IPv6静态路由，支持RIP/RIPng，OSPFv2、OSPFv3。</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4、CPU和LSW要求国产化，提供国产测试报告。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5、支持内置智能管理平台，实现整网拓扑可视，实现在网络设备上对整网交换机的统一管理，无需再额外配置网管平台。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6、支持ERPS，环网故障恢复时间≤50ms。支持Smartlink。支持RSTP、MSTP、，收敛时间≤50ms。                                                                                7、支持Telemetry技术，配合网络分析组件通过智能故障识别算法对网络数据进行分析，精准展现网络实时状态，并能及时有效地定界故障以及定位故障发生原因，发现影响用户体验的网络问题，精准保障用户体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8、支持Telnet、SNMP及支持RMON告警、事件、历史记录。</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24口POE内网交换机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1、交换容量≥670Gbps、包转发率≥170Mpps。以官网最小值为准。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2、24 个 10/100/1000Base-T 以太网端口，4 个 GE SFP 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3、支持IPv4/IPv6静态路由，支持RIP/RIPng，OSPFv2、OSPFv3。</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4、CPU和LSW要求国产化。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5、支持内置智能管理平台，实现整网拓扑可视，实现在网络设备上对整网交换机的统一管理，无需再额外配置网管平台。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6、支持ERPS，环网故障恢复时间≤50ms。支持Smartlink。支持RSTP、MSTP、，收敛时间≤50ms。                                                                                7、支持Telemetry技术，配合网络分析组件通过智能故障识别算法对网络数据进行分析，精准展现网络实时状态，并能及时有效地定界故障以及定位故障发生原因，发现影响用户体验的网络问题，精准保障用户体验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8、支持Telnet、SNMP及支持RMON告警、事件、历史记录。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9、支持POE+供电，整机POE输出功率不低于400W。   </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48口内网交换机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1、交换容量≥670Gbps、包转发率≥200Mpps。以官网最小值为准。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2、48 个 10/100/1000Base-T 以太网端口，4 个 GE SFP 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3、支持IPv4/IPv6静态路由，支持RIP/RIPng，OSPFv2、OSPFv3。</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4、CPU和LSW要求国产化。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5、支持内置智能管理平台，实现整网拓扑可视，实现在网络设备上对整网交换机的统一管理，无需再额外配置网管平台。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6、支持ERPS，环网故障恢复时间≤50ms。支持Smartlink。支持RSTP、MSTP、，收敛时间≤50ms。                                                                                7、支持Telemetry技术，配合网络分析组件通过智能故障识别算法对网络数据进行分析，精准展现网络实时状态，并能及时有效地定界故障以及定位故障发生原因，发现影响用户体验的网络问题，精准保障用户体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8、支持Telnet、SNMP及支持RMON告警、事件、历史记录。</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无线控制器</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1、单台AC最大管理AP数量≥512。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2、单台AC最大接入用户数量≥4K。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3、三层转发吞吐量≥10Gbps。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4、单台AC提供2个10GE光口, 10个GE电口。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5、支持静态路由，RIP-1/RIP-2，OSPF，BGP，IS-IS，路由策略、策略路由。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6、支持MAC 地址认证、802.1x认证（EAP-PAP、EAP-MD5、EAP-PEAP、EAP-TLS、EAP-TTLS）、Portal认证、MAC+Portal混合认证、WAPI认证、PPSK、DPSK。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▲7、支持智能漫游通过终端类型识别，终端漫游画像，协同测量引导，提高漫游灵敏度和成功率，让终端在漫游过程中也能保持好的信号状态。（提供具备CMA或CNAS标识的检测报告原件扫描件或产品官网截图）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8、本次实配40节点AP授权。</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吸顶AP</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1、整机速率≥3.5Gbps，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 2.4GHz(2x2)+5GHz(2x2)双射频同时工作，其中 2.4GHz 频段最大速率 688Mbps，5GHz 频段最大速率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2.882Gbps，整机速率可达 3.57Gbps。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3、整机最大用户接入数≥256。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4、固化接口1 x 100M/1000M/2.5GE 电口。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5、AP内置动态变焦智能天线。</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千兆单模模块</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光模块-eSFP-GE-单模模块(1310nm,10km,LC)</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外网</w:t>
            </w:r>
            <w:r>
              <w:rPr>
                <w:rFonts w:hint="eastAsia" w:ascii="宋体" w:hAnsi="宋体" w:eastAsia="宋体" w:cs="宋体"/>
                <w:b/>
                <w:bCs/>
                <w:i w:val="0"/>
                <w:iCs w:val="0"/>
                <w:color w:val="000000"/>
                <w:sz w:val="20"/>
                <w:szCs w:val="20"/>
                <w:highlight w:val="none"/>
                <w:u w:val="none"/>
              </w:rPr>
            </w:r>
            <w:r/>
          </w:p>
        </w:tc>
        <w:tc>
          <w:tcPr>
            <w:tcW w:w="5244"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0"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核心交换机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numPr>
                <w:ilvl w:val="0"/>
                <w:numId w:val="8"/>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交换容量≥68Tbps，包转发率≥51200 Mpps，以官网最小值为准。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2、主控引擎≥2；业务板槽位数≥4。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3、产品具备高可靠性，主控、电源、风扇等关键部件采用冗余设计，所有模块均支持热插拔。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4、▲采用国产化CPU芯片，自主可控。（提供具备CMA或CNAS标识的检测报告原件扫描件或产品官网截图）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r>
            <w:r/>
          </w:p>
          <w:p>
            <w:pPr>
              <w:pStyle w:val="680"/>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5、支持静态路由、RIP、OSPF、IS-IS、BGP4、等价路由、策略路由、路由策略等,支持IPv6静态路由、RIPng、OSPFv3、IS-ISv6、BGP4+。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6、主控支持独立蓝色ID指示灯，主控支持独立蓝色ID指示灯，维护人员可以在后台点亮后去机房直接找到相对于设备，便于快速定位设备位置。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7、支持内嵌式本地化管理平台，实现拓扑自动发现，拓扑、网元、设备告警等整网可视，对交换机，AR，AP 统一管理，无需额外部署网管平台。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8、为适应机柜并排部署，设备机箱（包括业务板卡区）采用前进后出风道设计（节能）。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9、整机支持PoE供电能力，为了部署的方便性，PoE电源模块须内置于机框内，不使用外置电源模块。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10、主控上的业务端口，在主控复位时，依然可以正常工作。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11、支持真实业务流的实时检测技术，秒级快速故障定位。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12、单台配置双主控、双电源。配置不少于48端口万兆光口、不少于48端口千兆电口。</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8口外网交换机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1、交换容量≥670Gbps，包转发率≥130 Mpps，以官网最小值为准。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 个 10/100/1000BASE-T 以太网端口，4 个 GE SFP 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3、风冷散热，智能调速。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4、CPU和LSW要求国产化。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5、支持完善的 DoS 类防攻击、用户类防攻击。其中，DoS 类防攻击主要针对交换机本身的攻击，包括 SYNFlood、Land、Smurf、ICMP Flood。用户类防攻击涉及 DHCP 服务器仿冒攻击、IP/MAC 欺骗、DHCP request flood、改变DHCP CHADDR 值等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 SP、DRR、WDRR、SP+DRR、SP+WDRR 队列调度算法，支持报文的 802.1p 和 DSCP 优先级标记，支持端口限速。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 SmartLink 功能，通过多条链路接入到多台汇聚交换机上，实现了上行链路的备份，极大地提升了接入侧设备的可靠性。</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8口POE外网交换机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1、交换容量≥670Gbps，包转发率≥130 Mpps，以官网最小值为准。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 个 10/100/1000BASE-T 以太网端口，4 个 GE SFP 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3、风冷散热，智能调速。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4、CPU和LSW要求国产化。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5、支持完善的 DoS 类防攻击、用户类防攻击。其中，DoS 类防攻击主要针对交换机本身的攻击，包括 SYNFlood、Land、Smurf、ICMP Flood。用户类防攻击涉及 DHCP 服务器仿冒攻击、IP/MAC 欺骗、DHCP request flood、改变DHCP CHADDR 值等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 SP、DRR、WDRR、SP+DRR、SP+WDRR 队列调度算法，支持报文的 802.1p 和 DSCP 优先级标记，支持端口限速。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 SmartLink 功能，通过多条链路接入到多台汇聚交换机上，实现了上行链路的备份，极大地提升了接入侧设备的可靠性。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8、POE功率125W。</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24口外网交换机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1、交换容量≥670Gbps、包转发率≥170Mpps。以官网最小值为准。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2、24 个 10/100/1000Base-T 以太网端口，4 个 GE SFP 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3、支持IPv4/IPv6静态路由，支持RIP/RIPng，OSPFv2、OSPFv3。</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4、CPU和LSW要求国产。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5、支持内置智能管理平台，实现整网拓扑可视，实现在网络设备上对整网交换机的统一管理，无需再额外配置网管平台。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6、支持ERPS，环网故障恢复时间≤50ms。支持Smartlink。支持RSTP、MSTP、，收敛时间≤50ms。                                                                                7、支持Telemetry技术，配合网络分析组件通过智能故障识别算法对网络数据进行分析，精准展现网络实时状态，并能及时有效地定界故障以及定位故障发生原因，发现影响用户体验的网络问题，精准保障用户体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8、支持Telnet、SNMP及支持RMON告警、事件、历史记录。</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48口外网交换机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1、交换容量≥670Gbps、包转发率≥200Mpps。以官网最小值为准。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2、48 个 10/100/1000Base-T 以太网端口，4 个 GE SFP 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3、支持IPv4/IPv6静态路由，支持RIP/RIPng，OSPFv2、OSPFv3。</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4、CPU和LSW要求国产化。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5、支持内置智能管理平台，实现整网拓扑可视，实现在网络设备上对整网交换机的统一管理，无需再额外配置网管平台。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6、支持ERPS，环网故障恢复时间≤50ms。支持Smartlink。支持RSTP、MSTP、，收敛时间≤50ms。                                                                                7、支持Telemetry技术，配合网络分析组件通过智能故障识别算法对网络数据进行分析，精准展现网络实时状态，并能及时有效地定界故障以及定位故障发生原因，发现影响用户体验的网络问题，精准保障用户体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8、支持Telnet、SNMP及支持RMON告警、事件、历史记录。</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无线控制器</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1、单台AC最大管理AP数量≥512。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2、单台AC最大接入用户数量≥4K。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3、三层转发吞吐量≥10Gbps。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4、单台AC提供≥2个10GE光口, ≥10个GE电口。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5、支持静态路由，RIP-1/RIP-2，OSPF，BGP，IS-IS，路由策略、策略路由。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6、支持MAC 地址认证、802.1x认证（EAP-PAP、EAP-MD5、EAP-PEAP、EAP-TLS、EAP-TTLS）、Portal认证、MAC+Portal混合认证、WAPI认证、PPSK、DPSK。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7、本次实配≥140节点AP授权。</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吸顶AP</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1、整机速率≥3.5Gbps，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 2.4GHz(2x2)+5GHz(2x2)双射频同时工作，其中 2.4GHz 频段最大速率 688Mbps，5GHz 频段最大速率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2.882Gbps，整机速率可达 3.57Gbps。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3、整机最大用户接入数≥256。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4、固化接口1 x 100M/1000M/2.5GE 电口。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5、AP内置动态变焦智能天线。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6、▲自主可控，使用国产化Wi-Fi芯片。（提供具备CMA或CNAS标识的检测报告原件扫描件或产品官网截图）</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千兆单模模块</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光模块-eSFP-GE-单模模块(1310nm,10km,LC)</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设备网</w:t>
            </w:r>
            <w:r>
              <w:rPr>
                <w:rFonts w:hint="eastAsia" w:ascii="宋体" w:hAnsi="宋体" w:eastAsia="宋体" w:cs="宋体"/>
                <w:b/>
                <w:bCs/>
                <w:i w:val="0"/>
                <w:iCs w:val="0"/>
                <w:color w:val="000000"/>
                <w:sz w:val="20"/>
                <w:szCs w:val="20"/>
                <w:highlight w:val="none"/>
                <w:u w:val="none"/>
              </w:rPr>
            </w:r>
            <w:r/>
          </w:p>
        </w:tc>
        <w:tc>
          <w:tcPr>
            <w:tcW w:w="5244"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0"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核心交换机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numPr>
                <w:ilvl w:val="0"/>
                <w:numId w:val="9"/>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交换容量≥60Tbps，包转发率≥50000 Mpps，以官网最小值为准。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2、主控引擎≥2。整机业务板槽位数≥2。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3、产品具备高可靠性，主控、电源、风扇等关键部件采用冗余设计，所有模块均支持热插拔。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4、采用国产化CPU芯片，自主可控。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5、支持静态路由、RIP、OSPF、IS-IS、BGP4、等价路由、策略路由、路由策略等,支持IPv6静态路由、RIPng、OSPFv3、IS-ISv6、BGP4+。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6、主控支持独立蓝色ID指示灯，主控支持独立蓝色ID指示灯，维护人员可以在后台点亮后去机房直接找到相对于设备，便于快速定位设备位置。</w:t>
            </w:r>
            <w:r>
              <w:rPr>
                <w:rFonts w:hint="eastAsia" w:ascii="宋体" w:hAnsi="宋体" w:eastAsia="宋体" w:cs="宋体"/>
                <w:i w:val="0"/>
                <w:iCs w:val="0"/>
                <w:color w:val="000000"/>
                <w:sz w:val="20"/>
                <w:szCs w:val="20"/>
                <w:highlight w:val="none"/>
                <w:u w:val="none"/>
                <w:lang w:val="en-US" w:eastAsia="zh-CN" w:bidi="ar"/>
              </w:rPr>
            </w:r>
            <w:r/>
          </w:p>
          <w:p>
            <w:pPr>
              <w:pStyle w:val="680"/>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7、支持内嵌式本地化管理平台，实现拓扑自动发现，拓扑、网元、设备告警等整网可视，对交换机，AR，AP 统一管理，无需额外部署网管平台。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8、为适应机柜并排部署，设备机箱（包括业务板卡区）采用前进后出风道设计（节能）。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9、整机支持PoE供电能力，为了部署的方便性，PoE电源模块须内置于机框内，不使用外置电源模块。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10、主控上的业务端口，在主控复位时，依然可以正常工作。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11、支持真实业务流的实时检测技术，秒级快速故障定位。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12、单台配置双主控、双电源。配置不少于48端口万兆光口、不少于48端口千兆电口。</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8口POE内网交换机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1、交换容量≥670Gbps，包转发率≥130 Mpps，以官网最小值为准。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 个 10/100/1000BASE-T 以太网端口，4 个 GE SFP 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3、风冷散热，智能调速。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4、CPU和LSW要求国产化。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5、支持完善的 DoS 类防攻击、用户类防攻击。其中，DoS 类防攻击主要针对交换机本身的攻击，包括 SYNFlood、Land、Smurf、ICMP Flood。用户类防攻击涉及 DHCP 服务器仿冒攻击、IP/MAC 欺骗、DHCP request flood、改变DHCP CHADDR 值等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 SP、DRR、WDRR、SP+DRR、SP+WDRR 队列调度算法，支持报文的 802.1p 和 DSCP 优先级标记，支持端口限速。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 SmartLink 功能，通过多条链路接入到多台汇聚交换机上，实现了上行链路的备份，极大地提升了接入侧设备的可靠性。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8、POE功率125W。</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24口POE内网交换机</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1、交换容量≥670Gbps、包转发率≥170Mpps。以官网最小值为准。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2、24 个 10/100/1000Base-T 以太网端口，4 个 GE SFP 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3、支持IPv4/IPv6静态路由，支持RIP/RIPng，OSPFv2、OSPFv3。</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4、CPU和LSW要求国产化。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5、支持内置智能管理平台，实现整网拓扑可视，实现在网络设备上对整网交换机的统一管理，无需再额外配置网管平台。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6、支持ERPS，环网故障恢复时间≤50ms。支持Smartlink。支持RSTP、MSTP、，收敛时间≤50ms。                                                                                7、支持Telemetry技术，配合网络分析组件通过智能故障识别算法对网络数据进行分析，精准展现网络实时状态，并能及时有效地定界故障以及定位故障发生原因，发现影响用户体验的网络问题，精准保障用户体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8、支持Telnet、SNMP及支持RMON告警、事件、历史记录。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9、支持POE+供电，整机POE输出功率不低于400W。   </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0"/>
        </w:trPr>
        <w:tc>
          <w:tcPr>
            <w:tcW w:w="1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千兆单模模块</w:t>
            </w:r>
            <w:r>
              <w:rPr>
                <w:rFonts w:hint="eastAsia" w:ascii="宋体" w:hAnsi="宋体" w:eastAsia="宋体" w:cs="宋体"/>
                <w:i w:val="0"/>
                <w:iCs w:val="0"/>
                <w:color w:val="000000"/>
                <w:sz w:val="20"/>
                <w:szCs w:val="20"/>
                <w:highlight w:val="none"/>
                <w:u w:val="none"/>
              </w:rPr>
            </w:r>
            <w:r/>
          </w:p>
        </w:tc>
        <w:tc>
          <w:tcPr>
            <w:tcW w:w="524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光模块-eSFP-GE-单模模块(1310nm,10km,LC)。</w:t>
            </w:r>
            <w:r>
              <w:rPr>
                <w:rFonts w:hint="eastAsia" w:ascii="宋体" w:hAnsi="宋体" w:eastAsia="宋体" w:cs="宋体"/>
                <w:i w:val="0"/>
                <w:iCs w:val="0"/>
                <w:color w:val="000000"/>
                <w:sz w:val="20"/>
                <w:szCs w:val="20"/>
                <w:highlight w:val="none"/>
                <w:u w:val="none"/>
              </w:rPr>
            </w:r>
            <w:r/>
          </w:p>
        </w:tc>
        <w:tc>
          <w:tcPr>
            <w:tcW w:w="24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 </w:t>
            </w:r>
            <w:r>
              <w:rPr>
                <w:rFonts w:hint="eastAsia" w:ascii="宋体" w:hAnsi="宋体" w:eastAsia="宋体" w:cs="宋体"/>
                <w:i w:val="0"/>
                <w:iCs w:val="0"/>
                <w:color w:val="000000"/>
                <w:sz w:val="20"/>
                <w:szCs w:val="20"/>
                <w:highlight w:val="none"/>
                <w:u w:val="none"/>
              </w:rPr>
            </w:r>
            <w:r/>
          </w:p>
        </w:tc>
        <w:tc>
          <w:tcPr>
            <w:tcW w:w="341"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numPr>
          <w:ilvl w:val="0"/>
          <w:numId w:val="5"/>
        </w:numPr>
        <w:ind w:left="432" w:hanging="432"/>
        <w:jc w:val="both"/>
        <w:keepLines/>
        <w:keepNext/>
        <w:spacing w:beforeAutospacing="0" w:afterAutospacing="0" w:line="360" w:lineRule="auto"/>
        <w:widowControl w:val="off"/>
        <w:rPr>
          <w:rFonts w:ascii="Calibri" w:hAnsi="Calibri" w:eastAsia="宋体" w:cs="Times New Roman"/>
          <w:b/>
          <w:sz w:val="30"/>
          <w:szCs w:val="24"/>
          <w:highlight w:val="none"/>
          <w:lang w:val="en-US" w:eastAsia="zh-CN" w:bidi="ar-SA"/>
        </w:rPr>
        <w:outlineLvl w:val="0"/>
      </w:pPr>
      <w:r>
        <w:rPr>
          <w:rFonts w:hint="eastAsia" w:ascii="Calibri" w:hAnsi="Calibri" w:eastAsia="宋体" w:cs="Times New Roman"/>
          <w:b/>
          <w:sz w:val="30"/>
          <w:szCs w:val="24"/>
          <w:highlight w:val="none"/>
          <w:lang w:val="en-US" w:eastAsia="zh-CN" w:bidi="ar-SA"/>
        </w:rPr>
        <w:t xml:space="preserve">综合安防系统</w:t>
      </w:r>
      <w:r>
        <w:rPr>
          <w:rFonts w:ascii="Calibri" w:hAnsi="Calibri" w:eastAsia="宋体" w:cs="Times New Roman"/>
          <w:b/>
          <w:sz w:val="30"/>
          <w:szCs w:val="24"/>
          <w:highlight w:val="none"/>
          <w:lang w:val="en-US" w:eastAsia="zh-CN" w:bidi="ar-SA"/>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42"/>
        <w:gridCol w:w="1241"/>
        <w:gridCol w:w="5600"/>
        <w:gridCol w:w="516"/>
        <w:gridCol w:w="683"/>
        <w:gridCol w:w="683"/>
      </w:tblGrid>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3060"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rPr>
                <w:rFonts w:hint="eastAsia" w:ascii="宋体" w:hAnsi="宋体" w:eastAsia="宋体" w:cs="宋体"/>
                <w:b/>
                <w:bCs/>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gridSpan w:val="2"/>
            <w:tcW w:w="6841"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一.室内视频监控</w:t>
            </w:r>
            <w:r>
              <w:rPr>
                <w:rFonts w:hint="eastAsia" w:ascii="宋体" w:hAnsi="宋体" w:eastAsia="宋体" w:cs="宋体"/>
                <w:b/>
                <w:bCs/>
                <w:i w:val="0"/>
                <w:iCs w:val="0"/>
                <w:color w:val="000000"/>
                <w:sz w:val="20"/>
                <w:szCs w:val="20"/>
                <w:highlight w:val="none"/>
                <w:u w:val="none"/>
              </w:rPr>
            </w:r>
            <w:r/>
          </w:p>
        </w:tc>
        <w:tc>
          <w:tcPr>
            <w:tcW w:w="248"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400万半球摄像机</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1、不小于400万像素1/2.7英寸CMOS图像传感器。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2、支持H.265编码，压缩比高，超低码流。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3、在网络直连环境下，在只输出主码流.分辨率设置为2560×1440、帧率设置为30fps.码率设置为1Mbps时，视频图像传输至客户端的延时时间≤150ms。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4、同一静止场景相同图像质量下，设备在H.264或H.265编码方式时，开启智能编码功能和不开启智能编码相比，码率节约4/5。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5、可支持50Hz和60Hz相互切换。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6、在分辨率设置为2688×1520、帧率设置为30fps.码率设置为1Mbps时，设备处于监看或录像状态，监视画面无明显缺损，物体移动时画面边缘无明显锯齿.拉毛现象。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7、可实现设备与客户端之间的双向语音对讲，具有对讲声音支持立体声设置选项。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8、智能补光，支持白光/红外双补光，红外光最远可达30 m，白光最远可达20 m</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400万枪型摄像机</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1、400万枪型摄像机。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2、传感器类型:≥1/2.7英寸CMOS。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3、最大分辨率:2560×1440。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4、补光灯开启后，可识别距离设备50米处所摄目标的轮廓。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5、摄像机应具有自动白平衡功能，当使用环境实际色温变化时，摄像机应能自动调整白平衡，使输出图像准确重现出观察场景的实际色彩。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6、全时彩色录像功能检查：白天和夜晚均可输出彩色视频录像。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7、支持防补光过曝功能。</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摄像机支架</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配套支架。</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枪球联动摄像机</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1、包含至少1路全景视频图像、1路细节视频图像。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2、内置至少2颗GPU芯片。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3、视频输出支持2688×1520@25fps，分辨力不小于1500TVL。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4、细节镜头支持不小于25倍光学变倍，最大焦距不小于120mm。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5、支持对镜头前盖玻璃加热，去除玻璃上的冰状和水状附着物。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6、支持最低照度可达彩色0.01Lux，黑白0.005Lux。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7、支持水平手控速度不小于80°/S，垂直速度不小于80°/S。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8、支持细节红外照射距离最远可达100 m、细节白光照射距离最远可达30 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9、支持全景红外照射距离最远可达30 m、白光照射距离最远可达30 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10、供电方式：支持DC12 V / PoE供电。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11、支持IP66防尘防水等级，支持IK10防暴等级。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支持声音报警输出功能，可通过IE浏览器设置音频类型为11种警戒音、提示音、自定义语音，报警次数1～50次可设。闪光灯报警输出功能，可通过IE浏览器设置闪光灯闪烁时间（1-300），闪烁频率（高、中、低、常亮），亮度（1-100）。可通过区域入侵侦测、越界侦测、进入区域侦测、离开区域侦测等报警事件，联动闪光报警、声音报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13、smart 事件上报的抓图支持叠加规则区域和目标框：可配置报警抓图叠加目标信息及规则信息，支持开启及关闭。支持设置告警区域最大可包含整个监控画面。支持设置预览画面是否叠加显示规则区域框及告警提示信息。</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400万电梯半球摄像机</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1、400万电梯半球摄像机。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2、最低照度：彩色：0.005 Lux @（F1.2，AGC ON），0 Lux with IR。</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3、补光距离：最远红外可达10 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4、最大图像尺寸：2560 × 1440。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5、视频压缩标准：主码流：H.265/H.264。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6、音频：≥1路输入、≥1路输出。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7、1个内置麦克风，≥1个内置扬声器。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8、报警：≥1路输入，≥1路输出。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9、供电方式：DC：12 V /PoE供电。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10、防护：IK08。</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拾音器</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1、拾音范围：1～150平方米，约半径7米。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2、具备≥6麦克风阵列，支持AGC、AEC，支持多级音量调节，灵敏度：-38dB±1dB（re 0dB=1V/Pa@1kHz）。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3、信噪比：70dB（1KHz &amp; Max dB SPL）。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4、指向特性：全指向性。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5、动态范围：40dB（1KHz &amp; Max dB SPL）。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6、连接方式：4条引线（电源正极、电源负极、信号正极、信号负极）。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7、功耗：＜2W。</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无线网桥</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2.4G电梯网桥，802.11n制式。</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二.明厨亮灶</w:t>
            </w:r>
            <w:r>
              <w:rPr>
                <w:rFonts w:hint="eastAsia" w:ascii="宋体" w:hAnsi="宋体" w:eastAsia="宋体" w:cs="宋体"/>
                <w:b/>
                <w:bCs/>
                <w:i w:val="0"/>
                <w:iCs w:val="0"/>
                <w:color w:val="000000"/>
                <w:sz w:val="20"/>
                <w:szCs w:val="20"/>
                <w:highlight w:val="none"/>
                <w:u w:val="none"/>
              </w:rPr>
            </w:r>
            <w:r/>
          </w:p>
        </w:tc>
        <w:tc>
          <w:tcPr>
            <w:tcW w:w="3060"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防油污摄像机（含支架）</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1、400万防油污半球摄像机。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2、支持背光补偿，强光抑制，3D数字降噪，120 dB宽动态。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3、支持≥1个内置麦克风。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4、≥1路报警输入，≥1路报警输出，≥1路音频输入，≥1路音频输出。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5、镜头前部具有防尘玻璃，玻璃外框采用3个磁吸柱固定。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6、最低照度：彩色：0.005 Lux @（F1.2，AGC ON），0 Lux with IR。</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7、补光距离：最远红外可达30 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8、最大图像尺寸：2688 × 1520（默认2560 × 1440）。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9、视频压缩标准：主码流：H.265/H.264。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10、供电方式：DC：12 V 和PoE供电。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11、防护：IP66。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12、可通过IE浏览器对智能算法或APP进行删除、导入、升级更新，更新过程中无需重启样机，视频画面不丢失。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13、支持智能模块加载，加载过程中不需要重启样机，视频画面不丢失。</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16路硬盘录像机</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1、输入带宽：≥160Mbps。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2、输出带宽：≥160Mbps。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3、接入能力：≥16路H.264、H.265格式高清码流接入。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4、解码能力：最大支持24×1080P。</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5、显示能力：最大支持4K+1080P异源输出。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6、报警接口：≥16路报警输入，≥9路报警输出。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文搜内容合规性检测，可自动过滤敏感内容，且合规检测算法支持在线升级，支持文搜功能，可通过文字语义描述，快速检索目标对象或内容。支持对人体、车辆、非机动车、物品、动物、基础事件等类型的检索。并可基于文搜快速检索的结果，对目标进行图搜的二次精准检索定位。（提供具备CMA或CNAS标识的检测报告原件扫描件或产品官网截图）</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监控专业硬盘</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1、单盘容量：8TB。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2、缓存：256MB。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3、转速：5400RPM。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4、硬盘接口：SATA。</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55寸液晶显示器</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1、面板尺寸：55英寸。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2、亮度：≥200cd/m²。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3、分辨率：3840×2160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4、对比度：≥1200：1。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5、安装方式：底座/壁挂。</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包含跳线、HDMI高清线、水晶头及未列入本清单的安装时需使用的相关辅材。</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三.门卫（东门.南门按两处）</w:t>
            </w:r>
            <w:r>
              <w:rPr>
                <w:rFonts w:hint="eastAsia" w:ascii="宋体" w:hAnsi="宋体" w:eastAsia="宋体" w:cs="宋体"/>
                <w:b/>
                <w:bCs/>
                <w:i w:val="0"/>
                <w:iCs w:val="0"/>
                <w:color w:val="000000"/>
                <w:sz w:val="20"/>
                <w:szCs w:val="20"/>
                <w:highlight w:val="none"/>
                <w:u w:val="none"/>
              </w:rPr>
            </w:r>
            <w:r/>
          </w:p>
        </w:tc>
        <w:tc>
          <w:tcPr>
            <w:tcW w:w="3060"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55寸液晶显示器</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1、面板尺寸：55英寸。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2、亮度：≥200cd/m²。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3、分辨率：3840×2160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4、对比度：≥1200：1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5、安装方式：底座/壁挂。</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2路解码器</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1.视频输出接口类型：≥2路HDMI 1.4，支持4K。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2.解码分辨率：最高3200W像素。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3.视频解码能力：H.264/H.265：支持2路3200W，或2路2400W，或4路1200W，或8路800W，或10路600W，或16路400W，或32路1080P，或64路720P及以下分辨率实时解码。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4.单口画面分割数：1,2,4,6,8,9,12,16,25,36。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5.音频输入接口：≥2路HDMI内嵌。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6.视频输入接口：≥2路HDMI 1.4，最大支持4K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视频输出分辨率：3840 × 2160@30 Hz、2560 × 1440@30 Hz、1920 × 1200@60 Hz、1920 × 1080@60 Hz、1920 × 1080@50 Hz、1680 × 1050@60 Hz、1600 × 1200@60 Hz、1280 × 1024@60 Hz、1280 × 720@60 Hz、1280 × 720@50 Hz、1024 × 768@60 Hz。</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操作台</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≥2联，操作台选用材料： 冷轧钢板或者 不锈钢。表面处理：脱脂、酸洗、磷化、静电喷塑。</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管理主机</w:t>
            </w:r>
            <w:r>
              <w:rPr>
                <w:rFonts w:ascii="宋体" w:hAnsi="宋体" w:eastAsia="宋体" w:cs="宋体"/>
                <w:i w:val="0"/>
                <w:iCs w:val="0"/>
                <w:color w:val="000000"/>
                <w:sz w:val="20"/>
                <w:szCs w:val="20"/>
                <w:highlight w:val="none"/>
                <w:u w:val="none"/>
                <w:lang w:val="en-US" w:eastAsia="zh-CN"/>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1、CPU：处理器主频≥2.7GHz 、≥8核处理器，二级缓存≥8MB。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2、显卡：≥2g独显。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3、内存：16GB DDR4 3200MT/s 内存或以上。最大可支持拓展64GB。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4、硬盘：≥1T机械硬盘+512GB M.2 NVMe SSD硬盘，支持机械硬盘拓展。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5、支持拓展9.5mm标准光驱。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6、实现1000Mbps。网口支持wake on LAN。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7、提供正版操作系统。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8、USB有线键盘、鼠标。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9、机箱体积：≤15L。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10、电源功率：≥200W。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11、显示器：≥23.8寸低蓝光液晶显示器，分辨率≥1920x1080、亮度≥300cd/m²、对比度≥3200：1，具备低蓝光认证。</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包含HDMI高清线、水晶头及未列入本清单的安装时需使用的相关辅材。</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四.报警</w:t>
            </w:r>
            <w:r>
              <w:rPr>
                <w:rFonts w:hint="eastAsia" w:ascii="宋体" w:hAnsi="宋体" w:eastAsia="宋体" w:cs="宋体"/>
                <w:b/>
                <w:bCs/>
                <w:i w:val="0"/>
                <w:iCs w:val="0"/>
                <w:color w:val="000000"/>
                <w:sz w:val="20"/>
                <w:szCs w:val="20"/>
                <w:highlight w:val="none"/>
                <w:u w:val="none"/>
              </w:rPr>
            </w:r>
            <w:r/>
          </w:p>
        </w:tc>
        <w:tc>
          <w:tcPr>
            <w:tcW w:w="3060"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有线紧急按钮</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1、支持常开/常闭的触点模式，一键紧急报警。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2、支持86盒安装方式，螺丝固定。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3、支持电压≤250VDC，电流≤300mA的环境下工作。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4、设备无需供电。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5、自带配套复位钥匙，出警确认警情，通过钥匙复位。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6、性能稳定，经久耐用。</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声光报警器</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1、声光报警一体式报警。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2、ABS材质。报警联动配件。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3、额定电压：12VDC。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4、工作电压范围：9~15VDC。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5、额定电流≤140mA。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6、安装环境：室内安装。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7、闪动次数/分钟：300±30次。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8、声压：108±3dB（30cm处）。</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红外微波双鉴探测器</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1、三鉴，微波+红外+智能复核算法。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2、探测范围：12m/90°。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3、抗白光等级：20000Lux，防宠 ≤25KG，含支架。</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八防区模块</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1、支持≥8路防区输入扩展。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2、支持地址拨码设置。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3、支持总线供电。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4、遵循Mbus通讯协议。</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报警控制器</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1、操作系统：嵌入式Linux操作系统。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2、防区数量：板载≥8路（探测器100m以内），最多可扩展至256路（其中通过网络防区模块最多可扩展248路，通过RS485防区模块最多可扩展56路）。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3、继电器数量：板载≥4路（距离50m以内），最多可扩展至64路（通过RS485模块和网络继电器模块可扩展60路继电器输出）。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5、日志容量：≥5000条。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6、传输距离：网络传输无限制（局域网可达），RS485传输800米。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7、硬件接口：RS485*1、RJ45*1，PSTN*1，4G模块接口*1。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8、上报协议：ISAPI、ISUP、NAL2300协议。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9、安装方式：壁挂安装。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10、供电方式：AC220V（自带电源适配器）。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11、设备功耗：裸机功耗≤5W，满载功耗≤25W。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12、防区报警：支持探测器/紧急报警装置触发信号接收，进行入侵/紧急报警事件管理。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13、断电报警：当市电断电时，设备可通过蓄电池正常工作8小时以上，并将断电事件进行通知上报。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14、外接键盘：支持9个报警键盘接入。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15、子系统管理：支持32个子系统，实现对防区进行分区管理，支持外出布防、在家布防、撤防、消警、旁路等功能。</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布放键盘</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1、显示屏：LCD。</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2、具防区状态指示灯.故障指示灯.布撤防指示灯.网络指示灯.通讯指示灯。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3、具有0~9数字键和菜单键。具蜂鸣器。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4、壳体防拆。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5、操作指令接收：支持对报警系统进行布防、撤防、消警、旁路、旁路恢复、紧急求助等操作。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6、操作方式管理：支持密码、遥控器、刷卡方式对报警系统进行操作指令交互。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7、报警状态指示：支持对报警系统防区报警状态进行实时指示，包括指示灯变化，提示音变化，文字内容变化等。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8、系统状态展示：支持对报警系统运行状态进行展示，包括主电源状态、蓄电池状态、防拆状态、子系统布撤防状态，防区状态、扩展模块状态等。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9、胁迫码功能：支持通过胁迫密码进行布撤防管理，并将警情进行中心上报。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10、防区名称自定义：支持防区名称自定义配置，在键盘屏幕中展示对应文字内容。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11、配置管理：支持通过键盘对报警主机进行参数配置，包括密码修改、防区类型配置、上报中心参数配置等。</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五.门禁管理系统</w:t>
            </w:r>
            <w:r>
              <w:rPr>
                <w:rFonts w:hint="eastAsia" w:ascii="宋体" w:hAnsi="宋体" w:eastAsia="宋体" w:cs="宋体"/>
                <w:b/>
                <w:bCs/>
                <w:i w:val="0"/>
                <w:iCs w:val="0"/>
                <w:color w:val="000000"/>
                <w:sz w:val="20"/>
                <w:szCs w:val="20"/>
                <w:highlight w:val="none"/>
                <w:u w:val="none"/>
              </w:rPr>
            </w:r>
            <w:r/>
          </w:p>
        </w:tc>
        <w:tc>
          <w:tcPr>
            <w:tcW w:w="3060"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门禁一体读卡主机</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1、设备应采用一体化结构设计，集成面部识别、门禁控制、语音提示等功能模块。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2、设备应采用≥7 英寸规格的高清触控显示屏，且显示屏分辨率不低于1024*600。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3、设备应配置高动态双目摄像头，支持近红外+可见光双重补光，适应强光/逆光/暗光场景。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4、设备摄像头像素应≥200万，设备应支持面部曝光区域智能调节及WDR宽动态模式，复杂光照场景自适应。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5、设备应配置喇叭响铃功能，支持语音提示及报警输出。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6、设备应基于深度学习面部识别算法，支持活体检测功能，有效防伪照片/视频攻击。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7.设备应支持面部防伪检测，2D单目/双目活体检测阈值可独立配置。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8、设备应支持口罩检测功能，可识别用户是否佩戴口罩，并支持"未戴口罩禁止通行"策略。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9、设备应支持多面部同时识别功能，单次验证最多支持4人同时比对识别。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10、设备用户容量应≥10,000人，面部模板容量应≥10,000条，门禁记录≥200,000条，满足中大型场所部署需求。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11、设备应支持门禁记录、考勤照片、禁止名单照片循环存储及自动清理策略。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12、设备防护等级应≥IP65，适用户外/半户外复杂环境部署。</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双门磁力锁</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1、产品款式：磁力锁。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2、外壳材料：铝合金。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3、表面工艺：电镀拉丝。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4、安全类型：断电开门。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5、最大拉力：280kg×2（600Lbs×2）直线拉力。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6、电源：不标配。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7、供电方式：DC12V500X2(mA)。</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双门磁力锁支架</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配套支架。</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单门磁力锁</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1、产品款式：磁力锁。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2、外壳材料：铝合金。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3、表面工艺：电镀拉丝。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4、安全类型：断电开门。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5、最大拉力：280kg（600Lbs）直线拉力。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6、电源：不标配。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7、供电方式：DC12V650(mA)。</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单门磁力锁支架</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配套支架。</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出门按钮</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1、外壳材料：ABS。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2、工作温度：-20°C～+55°C。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3、工作湿度：0%～95%RH（无凝结）。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4、防腐蚀等级：普通防护</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门禁电源控制盒</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蓄电池</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IC卡</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IC卡。</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六.消防控制室监控存储管理平台（满足90天存储）</w:t>
            </w:r>
            <w:r>
              <w:rPr>
                <w:rFonts w:hint="eastAsia" w:ascii="宋体" w:hAnsi="宋体" w:eastAsia="宋体" w:cs="宋体"/>
                <w:b/>
                <w:bCs/>
                <w:i w:val="0"/>
                <w:iCs w:val="0"/>
                <w:color w:val="000000"/>
                <w:sz w:val="20"/>
                <w:szCs w:val="20"/>
                <w:highlight w:val="none"/>
                <w:u w:val="none"/>
              </w:rPr>
            </w:r>
            <w:r/>
          </w:p>
        </w:tc>
        <w:tc>
          <w:tcPr>
            <w:tcW w:w="3060"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综合管理平台一体机</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1、性能规格，单台视频监控≥500路、门禁100路、停车≥8车道、防区≥320个，可通过分布式部署扩展设备接入能力。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2、业务扩展性，支持高空抛物、电动车进电梯、电瓶车违规停放、人员离岗、暴露垃圾、打包垃圾、垃圾桶满溢等智能监控报警事件。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3、开放兼容性：平台开放兼容，提供对外接口满足各类三方系统对接需求。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4、视频监控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（1）支持在视频预览、录像回放、即时回放、录像剪辑、手动录像和录像下载时叠加水印。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（2）支持在1/2/3/4/6/8/9/10/13/14/16/17/24/25画面分隔模式下进行监控点轮巡预览，轮巡时间可设置。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5、门禁管理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（1）支持门禁权限下发状态统计，可实时展示未完成、等待下发、下发中、下发失败的授权记录数，可感知权限下发的预计完成时间，同时可按照人、卡、生物特征等授权类型统计权限下发记录。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（2）支持门禁设备能力集管理，可依据设备的能力集操作相应的业务。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6、智能检索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（1）智能后检索：接入支持智能分析功能的IPC，录像回放时，可设置移动侦测区域、越界/区域入侵区域并进行检索，可自动跳过未触发设定规则的录像，只播放触发规则的录像，并且播放速度可设置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7、目标抓拍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（1）特征检测，支持打开多路视频通道，视频画面中出现人、非机动车、机动车时，会实时显示目标框叠加。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（2）支持实时展示人员抓拍、陌生人检测、人脸识别记录。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8、停车管理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（1）支持对不同车辆类型（黑名单、特殊车、群组车、预约车、固定车、临时车）进出停车场时配置不同的文字和颜色在出入口显示屏上进行提示。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（2）支持场区信息统计，包括总车场数、总车位数、总余位数。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9、监控巡检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网络视频存储服务器</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1、处理器：≥1颗64位多核处理器。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2、系统内存：≥16GB（可扩展至64GB）。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3、系统盘：≥1×240GB SSD。</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4、数据盘：≥1×480GB SSD（数据存储）。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5、存储接口：≥48个SATA接口，支持硬盘热插拔。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6、网络接口：≥2个千兆数据网口，1个千兆管理口。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7、其他接口：≥1×COM，2×USB2.0，2×USB3.0，1×VGA，1×HDMI。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8、整机电源：1200W，1+1冗余电源。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接入智能相机、结构化相机、抓拍机，对图片中的目标进行多模态大模型建模，目标图片大模型建模性能20张/s，以文搜图支持秒级检索，500w条目标数据3s内出结果，首页以文搜图结果正样本召回率大于90%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支持搜索结果按相似度排序展示，根据搜索结果，可一键关联录像片段及以图搜图，对目标进行二次精准检索定位，还原目标的跨通道行动轨迹。（提供具备CMA或CNAS标识的检测报告原件扫描件或产品官网截图）</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监控专业硬盘</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1、单盘容量：8TB。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2、缓存：256MB。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3、转速：7200RPM。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4、硬盘接口：SATA</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55寸拼接单元</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1、屏幕尺寸55寸，LED光源。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2、分辨率：1920*1080，双边拼缝≦3.5mm。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3、亮度不低于500cd/m2，对比度不低于1400:1。图像显示清晰度≥950TVL，亮度鉴别等级≥11级。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4、LCD显示单元边缘采用抗热材质，保证高温条件下拼缝效果。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5、液晶显示单元通过GB/T18313-2001测量，距离屏幕水平0.5米/垂直0、45米时的工作噪音≤8dB。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6、液晶拼接单元具有十一级灰阶色度.亮度校正功能，使各灰阶整墙一致性达到85%。</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LCD屏支架-框架</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配套框架。</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LCD屏支架-底座</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配套支架。</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解码器</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1、视频解码格式：H.264，H.265，Smart264，Smart265，MJPEG。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2、解码分辨率：最高1200W像素。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3、视频解码通道：90。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4、视频解码能力：H.264/H.265：支持7路1200 W，或13路800 W，或15路600W，或26路400 W，或45路1080P，或90路720P及以下分辨率实时解码（每4个输出口一组，共享解码能力）。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5、MJPEG：15路720P及以下分辨率实时解码。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6、视频输出接口类型：HDMI 1.4。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7、视频输出接口数：9。</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8、视频输出最大分辨率：1080P60。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9、视频输出分辨率：1920 × 1200@60 Hz、1920 × 1080@60 Hz、1920 × 1080@50 Hz、1680 × 1050@60 Hz、1600 × 1200@60 Hz、1280 × 1024@60 Hz、1280 × 720@60 Hz、1280 × 720@50 Hz、1024 × 768@60 Hz。</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网络键盘</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1、显示屏：≥10.1英寸TFT LCD。</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2、控制方式：网络方式。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3、电源：DC12V/POE。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4、功耗：≤15W。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5、最大解码分辨率：≥4路1080P或1路4K。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6、网络接口：≥1个。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7、WiFi：≥1个。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8、串行接口：不支持。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9、语音对讲输入：≥1个，3.5mm立体声。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10、语音对讲输出：≥1个，3.5mm立体声。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11、摇杆类型：四维单按键摇杆。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12、USB接口：USB2.0x2。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13、视频接口：DVIx1。HDMIx1。</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防盗报警控制器</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1、操作系统：嵌入式Linux操作系统。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2、防区数量：板载≥8路（探测器100m以内），最多可扩展至256路（其中通过网络防区模块最多可扩展248路，通过RS485防区模块最多可扩展56路）。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3、继电器数量：板载≥4路（距离50m以内），最多可扩展至64路（通过RS485模块和网络继电器模块可扩展60路继电器输出）。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5、日志容量：≥5000条。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6、传输距离：网络传输无限制（局域网可达），RS485传输800米。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7、硬件接口：不低于RS485*1、RJ45*1，PSTN*1，4G模块接口*1。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8、上报协议：ISAPI、ISUP、NAL2300协议。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9、安装方式：壁挂安装。</w:t>
            </w:r>
            <w:r>
              <w:rPr>
                <w:rFonts w:hint="eastAsia" w:ascii="宋体" w:hAnsi="宋体" w:eastAsia="宋体" w:cs="宋体"/>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10、供电方式：AC220V（自带电源适配器）。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11、设备功耗：裸机功耗≤5W，满载功耗≤25W。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12、防区报警：支持探测器/紧急报警装置触发信号接收，进行入侵/紧急报警事件管理。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13、断电报警：当市电断电时，设备可通过蓄电池正常工作8小时以上，并将断电事件进行通知上报。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14、外接键盘：支≥持9个报警键盘接入。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15、子系统管理：支持≥32个子系统，实现对防区进行分区管理，支持外出布防、在家布防、撤防、消警、旁路等功能。</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蓄电池</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报警编程键盘</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1、显示屏：LCD。</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2、具防区状态指示灯.故障指示灯.布撤防指示灯.网络指示灯.通讯指示灯。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3、具有0~9数字键和菜单键。具蜂鸣器。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4、壳体防拆。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5、操作指令接收：支持对报警系统进行布防、撤防、消警、旁路、旁路恢复、紧急求助等操作。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6、操作方式管理：支持密码、遥控器、刷卡方式对报警系统进行操作指令交互。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7、报警状态指示：支持对报警系统防区报警状态进行实时指示，包括指示灯变化，提示音变化，文字内容变化等。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8、系统状态展示：支持对报警系统运行状态进行展示，包括主电源状态、蓄电池状态、防拆状态、子系统布撤防状态，防区状态、扩展模块状态等。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9、胁迫码功能：支持通过胁迫密码进行布撤防管理，并将警情进行中心上报。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10、防区名称自定义：支持防区名称自定义配置，在键盘屏幕中展示对应文字内容。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11、配置管理：支持通过键盘对报警主机进行参数配置，包括密码修改、防区类型配置、上报中心参数配置等。</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声光警号</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1、声光报警一体式报警。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2、ABS材质。报警联动配件。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3、额定电压：12VDC。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4、工作电压范围：9~15VDC。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5、额定电流≤140mA。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6、安装环境：室内安装。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7、闪动次数/分钟：300±30次。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8、声压：108±3dB（30cm处）。</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42U标准机柜</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1、42U网络机柜，600*600*2000。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2、材料：SPCC优质冷扎钢板制作，立梁.方孔条厚度2、0mm，框架.顶底盖.前后门.层板厚度1、2mm，侧板厚度1、0mm。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3、外观：颜色为国际黑色，表面脱脂.酸洗.磷化.静电喷塑处理，防护等级IP20。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4、门体：单钢化玻璃或高密度网孔前门，单开钣金或高密度网孔后门，侧门为脱卸式结构，顶部有网孔且主动排风。</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管理主机</w:t>
            </w:r>
            <w:r>
              <w:rPr>
                <w:rFonts w:ascii="宋体" w:hAnsi="宋体" w:eastAsia="宋体" w:cs="宋体"/>
                <w:i w:val="0"/>
                <w:iCs w:val="0"/>
                <w:color w:val="000000"/>
                <w:sz w:val="20"/>
                <w:szCs w:val="20"/>
                <w:highlight w:val="none"/>
                <w:u w:val="none"/>
                <w:lang w:val="en-US"/>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1、CPU：处理器主频≥2.7GHz 、≥8核处理器，二级缓存≥8MB。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2、显卡：≥2g独显。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3、内存：16GB DDR4 3200MT/s 内存或以上。最大可支持拓展64GB。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4、硬盘：≥1T机械硬盘+512GB M.2 NVMe SSD硬盘，支持机械硬盘拓展。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5、支持拓展9.5mm标准光驱。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6、实现1000Mbps。网口支持wake on LAN。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7、提供正版操作系统。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8、USB有线键盘、鼠标。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9、机箱体积：≤15L。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10、电源功率：≥200W。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11、显示器：≥23.8寸低蓝光液晶显示器，分辨率≥1920x1080、亮度≥300cd/m²、对比度≥3200：1，具备低蓝光认证。</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操作台</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冷轧钢板六工位，配电脑万向支架</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校时服务器（包含天线）</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1、采用国产专业授时模块，支持GPS、北斗、GLONASS和GALILEO卫星，支持北斗三号卫星。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2、支持时间安全防护，可及时阻断外部异常时间源。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3、支持每秒约3万次的NTP授时服务，同步精度最高可达1us。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4、支持跨网段授时(同一局域网内不同网段，可对网口绑定6个不同段IP)。</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5、支持网口、1PPS、10Mhz、IRIG-B码、RS232/485多种接口输出。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6、标准19寸1U机架式，标配30米蘑菇头天线。</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配套辅材线缆</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包含跳线、HDMI高清线、水晶头及未列入本清单的安装时需使用的相关辅材。</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批</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七.出入口管理系统（东出入口、南出入口、西入口3套）</w:t>
            </w:r>
            <w:r>
              <w:rPr>
                <w:rFonts w:hint="eastAsia" w:ascii="宋体" w:hAnsi="宋体" w:eastAsia="宋体" w:cs="宋体"/>
                <w:b/>
                <w:bCs/>
                <w:i w:val="0"/>
                <w:iCs w:val="0"/>
                <w:color w:val="000000"/>
                <w:sz w:val="20"/>
                <w:szCs w:val="20"/>
                <w:highlight w:val="none"/>
                <w:u w:val="none"/>
              </w:rPr>
            </w:r>
            <w:r/>
          </w:p>
        </w:tc>
        <w:tc>
          <w:tcPr>
            <w:tcW w:w="3060"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车牌识别一体机</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1、设备应采用一体化结构设计，集成车牌识别相机、语音显示控制板、LED显示屏、通行指示灯、补光灯等模块于同一机箱内。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2、设备箱体材质应采用≥1.2mm钣金，立柱采用≥1.5mm钣金，表面采用喷粉工艺处理，便于狭小空间安装部署。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3、设备应内嵌智能ISP算法及智能优化调光算法，支持复杂光照场景自适应，满足城市级星光级低照度性能，支持0.1LUX彩色环境下正常工作。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4、设备工作环境温度应满足-25℃~+65℃宽温运行，相对湿度10%~90%RH（无结露）。。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5、设备箱体防水等级应≥IP54，适用户外复杂环境。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6、设备整机最大功率应≤90W。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7、设备应配置≥500万像素高清车牌识别专用摄像机，传感器采用高性能CIS。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8、设备综合车牌识别率应≥99.9%，抓拍率≥99.9%。</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9.设备应支持防止误识别功能，可过滤伪车牌（手机拍照、打印车牌等），准确率&gt;95%。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10、设备应支持适应车速0-40公里/小时范围内的车辆识别。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11、设备标配镜头应为6mm定焦镜头，支持电子变倍最大2倍调节。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12、设备应支持普通蓝牌、单/双层黄牌、新能源、新使馆、教练车、粤Z港澳车牌、应急车牌、民航等特殊车牌识别。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13、设备应支持轿车、SUV、货车等≥7种车型识别，同时支持部分车标识别。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14、设备应支持无牌车视频触发功能，实现无牌车辆有效抓拍与管理。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15、设备应支持脱机组网功能，无需上位机或服务器，相机间可自动实现运营组网，应支持同一出入口最多添加3台辅助相机，实现多角度协同识别。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16、设备黑白名单存储容量应≥5万条，脱机记录存储≥9000条。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17、设备应支持车牌白名单精准匹配及智能模糊匹配规则。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18、设备应配置红绿双色四行高亮度LED显示屏，像素点间距≤4.75mm。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19、设备应配置红绿通行指示灯，直观显示车辆通行状态。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20、设备应提供完整SDK开发包及API接口，便于第三方系统集成与二次开发。</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车辆道闸</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1、设备应采用直流无刷道闸，电机采用纯铜转子，输出扭矩大、运行平稳、噪音低。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2、设备应采用Q235冷轧钢板作为箱体材质，钣金厚度≥2mm，表面采用喷粉烤漆工艺。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3、设备主机外形尺寸应满足350×300×1020mm。。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4、设备机箱面板应采用优质钢化玻璃材质，正面集成红绿灯通行指示功能。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5、设备工作环境温度应满足-25℃~+75℃。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6、设备整机防护等级应达到IP54，适用户外全天候使用。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7、设备整机净重应不小于45KG。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8、设备机芯主体应采用铝合金压铸工艺制造，长短摆臂和连杆为铸钢件。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9、设备应采用一体化模具设计的三级齿轮减速机加曲臂连杆机构。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10、设备整机开、关闸使用寿命应≥100万次。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11、设备闸杆出厂前应根据杆长匹配对应规格平衡弹簧，并预调至平衡状态。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12、设备应支持断电自动开闸功能，异常断电时可自动抬杆保障通行。。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13、设备应具备开优先功能，闸杆下落过程中接收到开闸信号立即执行开闸动作。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14、设备应支持遇阻反弹功能，防砸力度可通过控制器参数调节。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15、设备应支持外接防砸雷达、车辆检测器、红外对射、压力波等多种防砸感应方式。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16、设备控制器应支持可编程参数设置，包括开闸速度、关闸速度、开关闸到位平稳度、地感延时落杆时间、开闸后自动落杆时间等，设备应支持闸杆水平与垂直角度电子调节，无需机械调整限位开关。</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数字车辆检测器</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1、线圈电感量：50uH至1000uH(最佳100uH至300uH)。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2、频率：20KHz至170KHz。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3、工作电压：220V±10%。</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线圈线缆</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线圈线缆 RF0.75（长度100米/卷）</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车牌识别一体机（辅机）</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1、抓拍显示一体机集相机、LED屏、喇叭于一体，实现抓拍、显示、播报功能，施工维护更方便。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2、最低照度：黑白：≤0.0001lx(AGC ON，黑白模式)能基本分辨被摄目标的轮廓特征。彩色：≤0.0002lx(AGC ON，彩色模式)，能基本分辨被摄目标的轮廓特征和色彩。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3、支持车牌信息、时间、收费信息、余位信息、二维码、自定义信息等显示。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LED屏显示功能：红、绿、黄三色四行两字高亮显示屏。显示内容支持滚动、翻页两种状态，滚动方向及速度界面可设置。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5、LED屏点间距：≤4.75mm。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6、抓拍车辆速度范围：(0~60)km/h。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7、支持接入车辆道闸，实时展示工作状态，运行次数，异常显示，并保存相关日志，可向第三方推送。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8、支持水平不大于65°、倾斜不大于30°倾斜车牌识别。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9、支持车辆子品牌识别功能，可识别数量不少于3500种。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在天气晴朗无雾，车牌无遮挡，无污损，车身无大面积遮挡的条件下进行测试，白天测试时的环境光照度应不低于200lx，晚上测试时的辅助设备照明度应不高于30lx。支持车型、车标、车系、车身颜色、车牌颜色、车牌号码、车牌类型、无牌车、新能源车牌识别。车辆抓拍率：≥99.9%，车牌识别准确率：≥99.9%。</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终端管理盒</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1、操作系统 ：嵌入式ARM系统，BS/CS双架构。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2、管理车道数：≥4个。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3、最大级联数：≥5台。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4、接入路数：≥12路相机。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5、Web访问：支持。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6、本地操作：支持。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7、硬盘个数：≥2个。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8、硬盘容量：≥128G SSD + 2T HDD。</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9、网卡：≥2个千兆网卡。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10、网口：≥1个千兆外网口+8个百兆内网口。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11、4G：4G全网通。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12、Wi-Fi：支持wifi。</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未列入本清单的安装时需使用的相关辅材。</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八.室外（含屋面）</w:t>
            </w:r>
            <w:r>
              <w:rPr>
                <w:rFonts w:hint="eastAsia" w:ascii="宋体" w:hAnsi="宋体" w:eastAsia="宋体" w:cs="宋体"/>
                <w:b/>
                <w:bCs/>
                <w:i w:val="0"/>
                <w:iCs w:val="0"/>
                <w:color w:val="000000"/>
                <w:sz w:val="20"/>
                <w:szCs w:val="20"/>
                <w:highlight w:val="none"/>
                <w:u w:val="none"/>
              </w:rPr>
            </w:r>
            <w:r/>
          </w:p>
        </w:tc>
        <w:tc>
          <w:tcPr>
            <w:tcW w:w="3060"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400W室外星光级摄像机（含支架.电源）</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1、400万枪型摄像机。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2、传感器类型:≥1/2.7英寸CMOS。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3、最大分辨率:2560×1440。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4、补光灯开启后，可识别距离设备50米处所摄目标的轮廓。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5、摄像机应具有自动白平衡功能，当使用环境实际色温变化时，摄像机应能自动调整白平衡，使输出图像准确重现出观察场景的实际色彩。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6、全时彩色录像功能检查：白天和夜晚均可输出彩色视频录像。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7、支持防补光过曝功能。</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多向折叠智能警戒双变焦枪型网络摄像机</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1、采用≥2颗1/1.8英寸CMOS图像传感器。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2、内置CPU、GPU、NPU芯片。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3、可输出2路通道分辨率不小于400万(2688×1520)@25fps。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4、设备2个通道均自带PTZ调节模块，均支持电动调节PT方向：通道1：水平调节方向:0~355°，垂直调节方向:-15°~30°，通道2:水平调节方向:-15°~ 15° ，垂直调节方向:-5°~30°。设备2个通道均支持ZOOM调节。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5、内置≥8颗双光补光灯，双向红外监控距离≥60米，双向暖光监控距离≥30米。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6、补光灯开启后，无明显波纹状、圆环状、麻点状、条纹状及不规则亮斑。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7、支持2路全结构化功能，通道1和通道2可分别对检测区域中同时出现的行人、机动车、非机动车目标进行检测、抓拍，并可将人脸照片与对应的人体照片、车牌与车辆照片关联显示。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8、2个内置麦克风，1个内置扬声器。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9、支持电压、功耗异常检测报警支持记录实时功耗信息，可生成日报表或周报表并以柱状图展示。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10、支持双通道摄像机互为180°夹角进行监控。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11、镜头防护玻璃呈倾斜状，与镜头平面呈20°夹角，可改变射向镜头的光束的反射光方向。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12、最大支持1T Micro SD卡。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13、支持DC12V供电方式。方便工程安装。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14、支持IP67防护等级。</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三目周界网络摄像机</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1、内置CPU、GPU、NPU芯片。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2、内置≥3颗1/2.7英寸CMOS图像传感器，内置≥8颗红外补光灯。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3、支持H.265编码，压缩比高，实现超低码流传输。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4、镜头焦距：通道1：4mm。通道2：12mm。通道3：25mm。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5、内置不低于3颗CMOS图像传感器、不低于2个麦克风、不低于1个扬声器、不低于8颗补光灯。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通用行为分析：智能分析目标支持人、车目标识别。当智能分析行为类型为区域入侵、越界入侵、进入区域、离开区域时,报警检测目标设置为人体和/或车辆时,在设定的检测区域内出现如下情况时：1)光线明暗变化、2)篮球滚动、3)狗行走、4)树摇晃、5)旗帜飘动，不会触发报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7、采用智能大模型算法，在环境光照度不高于1Ix的情况下，当检测区域存在晃动的树叶、光影时，可对人员、机动车、狗进行目标检测，检测上报延时不大于1s。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8、内置大模型算法芯片,可调用大模型算法检测并分类识别目标。</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室外立杆</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不锈钢立杆≥3.5m，厚度≥3mm，含地笼、浇筑水泥。</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室外二合一防雷器</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1、网络（RJ45）+电源（220V）二合一防雷器。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2、最大持续工作电压Uc：网络：6V DC /电源：250V AC。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3、试验类别及冲击电压：网络：C2：5kV/2.5kA/电源： C2:20kV/10kA。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4、电压保护水平Up：网络：30V/电源：780V。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5、传输速率：1000Mbps。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6、插入损耗: ≤0.5dB。</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室外安防箱</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尺寸:600*400*300mm，含强电接线端子排*1,20A/1P空开*1,16A/1P空开*3,强电插排*1。</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九、监控室外管路</w:t>
            </w:r>
            <w:r>
              <w:rPr>
                <w:rFonts w:hint="eastAsia" w:ascii="宋体" w:hAnsi="宋体" w:eastAsia="宋体" w:cs="宋体"/>
                <w:b/>
                <w:bCs/>
                <w:i w:val="0"/>
                <w:iCs w:val="0"/>
                <w:color w:val="000000"/>
                <w:sz w:val="20"/>
                <w:szCs w:val="20"/>
                <w:highlight w:val="none"/>
                <w:u w:val="none"/>
              </w:rPr>
            </w:r>
            <w:r/>
          </w:p>
        </w:tc>
        <w:tc>
          <w:tcPr>
            <w:tcW w:w="3060"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室外防水六类非屏蔽双绞线</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1、23AWG线规的电缆满足250MHz条件下的传输要求，并采用高密度的聚氯乙烯绝缘材料。外皮材料采用低烟无卤环保材料。绝缘导线为紧密的绞线对。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2、标准：符合Category6ANSI/TIA-568、2-D-2018andISO/IEC11801以及YD/T1019标准。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3、中心十字骨架结构并采用高密度的聚氯乙烯绝缘材料。芯线对数：4对，每芯带有色条区别。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4、带宽：≥250MHz，支持1000Base-T以及1000Base-TX局域网以及宽带视频应用。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5、电气特性：1、0-100、0MHz输入阻抗（欧姆）100±6，100-250MHz输入阻抗（欧姆）100±6。</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305米/箱</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8口光纤配线盒</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1、8口光纤终端盒。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2、主要用于外线光缆光纤与设备尾纤之间的接续与存储，为光纤与光纤的熔接、光纤与尾纤的熔接以及光连接器的交接提供机械保护和环境保护。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3、允许进行适当的检查，还可以灵活的进行线路切换及维护管理。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4、广泛适用于网络系统、数据、图象传输系统，CATV有线电视系列。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5、标准：完全符合ANSI/TIA-568、3-D-2016和ISO/IEC11081和YD/T 778-2011标准的传输性能要求。</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LC光纤跳线</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产品应用：光纤通信系统。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产品标准：YD/T 1272 、ISO/IEC 11801:2017 、TIA-568、2-D:2018。</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产品特性：①依据工业标准出厂前 100%光学测试，确保可靠性。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②重复性好，耐久性≥1000 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③互换性好，插入损耗≤0、2dB。</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单模尾纤</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1、OS2单模9/125um光纤尾纤LC接头类型。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2、标准：完全符合ANSI/TIA-568、3-D-2016和ISO/IEC11081和YD/T 926、3-2018标准的传输性能要求。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3、护套要求：PVC外护套。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4、工作温度范围：-20至60度。</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室外8芯单模光缆</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1、8芯室内OS2光缆（紧套管式）。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2、性能要求：室内光缆（紧套管式）均采用高质量的单模光纤。每根光纤都带有900um厚的耐久保护层。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3、光纤芯径9/125 μm。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4、标准要求：完全符合ANSI/TIA-568、3-D-2016和ISO/IEC11081和YD/T 1258、4-2019标准的传输性能要求。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5、护套材料：满足GB31247-2014中B1/B2阻燃要求。</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PE32，含挖填土。</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WDZ-RYJ-2x1.5mm2国标。</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68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rPr>
            </w:r>
            <w:r/>
          </w:p>
        </w:tc>
        <w:tc>
          <w:tcPr>
            <w:tcW w:w="306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WDZ-RYJ-3x1.5mm2国标。</w:t>
            </w:r>
            <w:r>
              <w:rPr>
                <w:rFonts w:hint="eastAsia" w:ascii="宋体" w:hAnsi="宋体" w:eastAsia="宋体" w:cs="宋体"/>
                <w:i w:val="0"/>
                <w:iCs w:val="0"/>
                <w:color w:val="000000"/>
                <w:sz w:val="20"/>
                <w:szCs w:val="20"/>
                <w:highlight w:val="none"/>
                <w:u w:val="none"/>
              </w:rPr>
            </w:r>
            <w:r/>
          </w:p>
        </w:tc>
        <w:tc>
          <w:tcPr>
            <w:tcW w:w="24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numPr>
          <w:ilvl w:val="0"/>
          <w:numId w:val="5"/>
        </w:numPr>
        <w:ind w:left="432" w:hanging="432"/>
        <w:jc w:val="both"/>
        <w:keepLines/>
        <w:keepNext/>
        <w:spacing w:beforeAutospacing="0" w:afterAutospacing="0" w:line="360" w:lineRule="auto"/>
        <w:widowControl w:val="off"/>
        <w:rPr>
          <w:rFonts w:ascii="Calibri" w:hAnsi="Calibri" w:eastAsia="宋体" w:cs="Times New Roman"/>
          <w:b/>
          <w:sz w:val="30"/>
          <w:szCs w:val="24"/>
          <w:highlight w:val="none"/>
          <w:lang w:val="en-US" w:eastAsia="zh-CN" w:bidi="ar-SA"/>
        </w:rPr>
        <w:outlineLvl w:val="0"/>
      </w:pPr>
      <w:r>
        <w:rPr>
          <w:rFonts w:hint="eastAsia" w:ascii="Calibri" w:hAnsi="Calibri" w:eastAsia="宋体" w:cs="Times New Roman"/>
          <w:b/>
          <w:sz w:val="30"/>
          <w:szCs w:val="24"/>
          <w:highlight w:val="none"/>
          <w:lang w:val="en-US" w:eastAsia="zh-CN" w:bidi="ar-SA"/>
        </w:rPr>
        <w:t xml:space="preserve">机房建设</w:t>
      </w:r>
      <w:r>
        <w:rPr>
          <w:rFonts w:ascii="Calibri" w:hAnsi="Calibri" w:eastAsia="宋体" w:cs="Times New Roman"/>
          <w:b/>
          <w:sz w:val="30"/>
          <w:szCs w:val="24"/>
          <w:highlight w:val="none"/>
          <w:lang w:val="en-US" w:eastAsia="zh-CN" w:bidi="ar-SA"/>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5"/>
        <w:gridCol w:w="1368"/>
        <w:gridCol w:w="5291"/>
        <w:gridCol w:w="495"/>
        <w:gridCol w:w="757"/>
        <w:gridCol w:w="757"/>
      </w:tblGrid>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A.微模块供配电系统</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市电配电</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市电柜</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含不低于ATS 630A/3P *1。400A/3P*1。40A/3P*2。16A/1P*3。16A/1PN*3,搭配防雷组件等。</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市电柜底座</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一体化UPS</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一体化UPS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机框</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1、满足主旁分接要求。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2、机框配电容量按125KVA满载配置。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UPS配置：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1、含≥1个旁路模块（高度≥2U）。</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2、最大支持≥4+1个25K功率模块，N+1供电架构（单个功率模块高度2U）。</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1、柜体尺寸（宽*深*高）：≥600*850*2000mm。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2、进出线方式：上进上出线。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通讯配置：RS485通讯。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显示配置：≥7寸彩色LCD触摸屏中文显示。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1、模块化UPS系统柜，满足双路市电输入。UPS最大容量不低于≥125KVA，单个功率模块为≥25kVA。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2、UPS具备自老化功能。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模块休眠及轮换功能：系统应具有功率模块休眠工作模式，并能手动或自动开启/关闭该模式，出厂设置为关闭。系统能根据实际负载的变化自动调整功率模块的休眠数量，同时系统应使功率模块自动周期性轮换工作，且周期可设置。功率模块自动轮换工作时，应遵循先开后关的原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系统效率：为保证UPS产品的高效节能、绿色环保，UPS的整机系统效率在100%、50%额定阻性负载情况下均应＞96.5%，在30%额定阻性负载情况下应＞96.0%。（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5、输入电流谐波成分：UPS在100%非线性负载时应＜1％，在50%非线性负载时应＜2.0％，在30%非线性负载时应＜2.5％。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UPS采用先进的逆变技术，高效节能，具有先进的逆变电路及电源系统，采用UPS直接将输入交流对外输出，利用母线输出能量对输入电压进行互补输出稳定的交流电压，使得部分交流经过双转换，降低了能量损失﹑提高了转换效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7、UPS具备高效率的UPS系统，UPS主机市电输入电压能对逆变模块输出电压进行补偿，减少UPS系统在经过两次变换后的能量损失，提升UPS效率。</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UPS底座</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UPS输入线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WDZ-YJY-4*95+1*50mm2，含电缆头制作安装。</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功率模块</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UPS功率模块</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1、功率≥25kVA，应支持热拔插。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2、标准机架尺寸，高度不大于≥2U。</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3、高频结构，输入功率因数高达0.99，输入电流谐波THDI&lt;3%。</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列头柜配电系统</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列头柜</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双路精密列头柜，不低于320A/3P*2 输入，2*36 路支路输出，C 级防雷，智能监控，≥7 吋触摸屏。</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蓄电池</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蓄电池</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100AH/12V，铅酸蓄电池。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1、产品工作条件要求：蓄电池产品应能在温度:-15~+50℃条件下工作。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2、蓄电池安全阀开阀压力应满足范围:10~25kPa，闭阀压力应满足范围:10~20kPa。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3、密封反应效率要求:蓄电池密封反应效率应不低于 97%。</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4、容量保存率要求：蓄电池封置28天后，其容量保存率应不低于97%。</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5、容量一致性：同组蓄电池10小时率容量试验时，最大实际容量与最小实际容量差值≤3.5%。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6、电池间连续压降：5.5I10放电条件下，△U应≤6mV。</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节</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电池架</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可放置≥32节铅酸蓄电池可放置36节。</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开关箱</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推荐主路采用315A/4P直流断路器主路采用315A/4P直流断路器。</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直流连接线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含电池连接线及连接配件，标配电池柜之间及到电池开关箱的连接线及连接配件含电池连接线及连接配件，标配电池柜之间及到电池开关箱的连接线及连接配件。</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电池架底座</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直流输出线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YJV-3*50mm2，含电缆头制作安装。</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UPS（消控室）</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UPS输入线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WDZA-YJY-4*16+E16mm2，含电缆头制作安装。</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蓄电池（消控室）</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蓄电池</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100AH/12V，铅酸蓄电池。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1、产品工作条件要求：蓄电池产品应能在温度:-15~+50℃条件下工作。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2、蓄电池安全阀开阀压力应满足范围:20~25kPa，闭阀压力应满足范围:10~20kPa。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3、密封反应效率要求:蓄电池密封反应效率应不低于 98.5%。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4、容量保存率要求：蓄电池封置28天后，其容量保存率应不低于98.8%。</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5、容量一致性：同组蓄电池10小时率容量试验时，最大实际容量与最小实际容量差值≤1%。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6、电池间连续压降：5.5I10放电条件下，△U应≤4mV。</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节</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电池架</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可放置≥32节铅酸蓄电池可放置32节。</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开关箱</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推荐主路采用40A/4P直流断路器推荐主路采用40A/4P直流断路器。</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直流连接线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含电池连接线及连接配件，标配电池柜之间及到电池开关箱的连接线及连接配件含电池连接线及连接配件，标配电池柜之间及到电池开关箱的连接线及连接配件。</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电池架底座</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直流输出线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YJV-3*10mm2，含电缆头制作安装。</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C、微模块精密空调系统</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列间空调系统</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列间空调室内机</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1、制冷量≥25kW，风量≥5000m³/h，功能类型恒温恒湿。测试条件：机组的制冷量是在室外环境温度35℃（干球温度）。室内37℃/24%，室内送风温度20±1℃的条件下测定的。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2、投标产品应为节能型产品。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3、为了保证机组的安全运行及质量可靠，要求膨胀阀必须采用控制更为精确的电子膨胀阀。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4、为了保证机组的安全运行及质量可靠，要求空调室内风机必须采用可调速EC风机。机组的室内风机系统应能够方便的从机组正面取出进行现场维修,提高系统的维护性。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5、蒸发器形式：需采用“I”型蒸发器。应采用铜管套冲缝型亲水铝翘片式蒸发器盘管。应具备较大的迎风面积和蒸发面积（㎡）。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机房专用空调应具有高效节能性，压缩机具有较高的能效比，机组需采用永磁同步直流无刷变频涡旋压缩机，可按照机房负荷动态10%-100%自动调节冷量。压缩机转速需可在1800-7000RPM之间进行自动调节。投标方应详细阐述压缩机运行原理及节能效果。推荐采用谷轮、日立或同等档次压缩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7、机房专用空调的空气洁净性能：采用G4空气过滤器。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8、应采用不小于7吋彩色触摸中文控制屏，能显示温湿度曲线，具有图形显示机组内各组件的运行状态的功能。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9、每台机组应标配漏水探测器，实时监测漏水情况，探知到漏水发生时，声光告警并自动关闭加湿系统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列间空调室外机</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1、机房专用空调机组的风冷型室外机组冷凝器风机应采用变频全调速控制方式，能根据冷凝器管道内部压力变化自动调节冷凝风扇的运转速度。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2、机房专用空调机组的风冷冷凝器可水平或垂直安装。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3、冷凝器产品须通过9烈度抗震测试。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4、风冷冷凝器采用耐腐材料，具有良好的刚性和防腐性能，适应多种环境条件。采用全调速风扇，实现节能、低噪。</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延长组件</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冷媒管路包</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含空调气管、液管，与主机配套使用。</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制冷剂</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R410A新型环保制冷剂，具有稳定，无毒，性能优越等特点。</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墙地面开孔</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空调各类管路穿墙穿地位置开孔。</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给排水改造</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含管件、套管及辅材。</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空调配套件-精密空调安装附件(保温材料、室内外机电源线、信号线等),辅助材料（氧气、乙炔、氮气、焊条）等。</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承重底座</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1、部位:外机下部支架。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2、油漆:防锈漆≥2遍.  工作内容:拼装、安装、补刷油漆。</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空调电源线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YJV-4*10mm²+1*4mm²，含电缆头制作安装。</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房级空调系统</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小房级定频空调室内机</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1、风冷型房间级精密空调，上送风，制冷量≥12.5kW，风量≥3200m3/h，全年能效比（AEER）≥4.0。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2、空调应配置7英寸及以上全中文彩色触摸屏显示器，能按照设定的温度要求进行自动调节，显示工作状态及送风温度、回风温湿度变化曲线。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3、机组应配置电源监测，具备缺相保护、提示和告警功能。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4、空调应能查看机组实时制冷因子（CLF）数据功能。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5、投标机组应采用符合国家CCC认证，采用远红外加湿器，加湿量≥3kg/h。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6、投标产品应采用正温度系数的PTC陶瓷套铝翅片电加热器，加热量≥3kW。</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小房级定频空调室外机</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1、机房专用空调机组应采用风冷冷却方式。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2、机房专用空调室外机应具有良好的刚性和防腐性能，适应多种环境条件。应有良好的防水性能。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3、机房专用空调机组的风冷型室外冷凝器应采用无级全调速方式，可根据冷凝压力自动调节，以达到节能降噪的目的。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4、机房专用空调机组室外风机为避免长期运行变形、老化，风机叶片应为全金属材质。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机房专用空调机组的冷凝器出厂时应保压，管路端口应有防止异物进入的措施。</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延长组件</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冷媒管路包</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含空调气管、液管，与主机配套使用。</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制冷剂</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新型环保制冷剂，具有稳定，无毒，性能优越等特点。</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墙地面开孔</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空调各类管路穿墙穿地位置开孔。</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给排水改造</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含管件、套管及辅材。</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空调配套件-精密空调安装附件(保温材料、室内外机电源线、信号线等),辅助材料（氧气、乙炔、氮气、焊条）等。</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271"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承重底座</w:t>
            </w:r>
            <w:r>
              <w:rPr>
                <w:rFonts w:hint="eastAsia" w:ascii="宋体" w:hAnsi="宋体" w:eastAsia="宋体" w:cs="宋体"/>
                <w:i w:val="0"/>
                <w:iCs w:val="0"/>
                <w:color w:val="000000"/>
                <w:sz w:val="20"/>
                <w:szCs w:val="20"/>
                <w:highlight w:val="none"/>
                <w:u w:val="none"/>
              </w:rPr>
            </w:r>
            <w:r/>
          </w:p>
        </w:tc>
        <w:tc>
          <w:tcPr>
            <w:tcW w:w="4918"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1、部位:外机下部支架。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2、油漆:防锈漆≥2遍.  工作内容:拼装、安装、补刷油漆。</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空调电源线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D、微模块机柜集成系统</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机柜</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600宽机柜</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1、尺寸：≥宽600mm*深1200mm*高2000mm，前后网孔门。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2、机柜须有足够的机械强度及性能，静态承载能力不小于3200kg，动态承重能力不小于1800kg。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3、为保证机房内设备安装环境的高可靠性，机柜含底座配重660kg工况下，机柜产品需通过8、9级抗震测试。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4、机柜门为可拆卸式结构，门的开合转动灵活、锁定可靠、施工安装和维护方便，开门角度不低于150°。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5、前门单开，后门双开，机柜前后门均为通风网孔门，前、后门开孔率不低于80%。</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机柜底座</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机柜配件</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侧板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机柜单侧板-1200*2000。</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侧</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1U封板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用于机柜冷热风道隔离，高度≥1U，免工具、快拆设计。</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轻载层板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用于承载IT设备，承重≥50KG,适用于标准1100mm及1200mm深的服务器机柜用于承载IT设备，承重≥50KG,适用于标准1100mm及1200mm深的服务器机柜。</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L型导轨</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用于承载IT设备，承重≥50KG,适用于标准1100mm及1200mm深的服务器机柜用于承载IT设备，承重≥50KG,适用于标准1100mm及1200mm深的服务器机柜。</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1U水平理线架</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用于设备前端理线，1U机架式理线架，安装于U立柱上用于设备前端理线，1U机架式理线架，安装于U立柱上。</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PDU</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24口32A竖装PDU</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输入32A，输出20位国标10A+4位国标16A、接线盒、指示灯、右侧安装、上进线。</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24口32A竖装PDU</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输入32A，输出20位国标10A+4位国标16A、接线盒、指示灯、左侧安装、上进线。</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PDU电源线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RVV3*6mm²。</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微模块封闭通道系统</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全封闭自动平移门</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1套封闭通道端门，含前后2个自动平移门。</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通道一体控制盒</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道一体控制盒。为通道内部照明，天窗磁吸，门禁使用。1、采用模块化架构设计，密封冷通道（冷通道宽度1200mm），冷通道内须一体化集成机柜系统、配电系统、制冷系统、管理系统，所有柜体须搭配结构密封件使模块整体看起来高度统一和美观，颜色：与机柜颜色一致。</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600宽固定天窗</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普通翻转天窗配置选用，封闭通道前门固定天窗。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1、用于安装监控设备，支持烟感、摄像头、温度探测器、压差传感器。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2、固定天窗顶部可用于强电走线。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3、固定天窗标准为600mm宽，可根据微模块长度进行调整。</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300宽固定天窗</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1.适用于1200mm宽通道，配300mm机柜。</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600宽翻转天窗</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600mm宽普通单翻天窗。</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横跨桥架</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1、宽度300mm跨接桥架，用于顶部跨通道过线，含中间隔板及支撑件。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2、最多可放RVV3*6线材50根。最多可放网线650条。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3、适用于天窗支撑板高度不超过300mm。1、宽度300mm，1.48米跨接桥架，用于顶部跨通道过线，含中间隔板及支撑件。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2、最多可放RVV3*6线材50根。最多可放网线650条。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3、适用于天窗支撑板高度不超过300mm。</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强弱电槽</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强弱电线槽。配套满足现场使用需求。</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机柜外围板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用于通道外围美观封堵，按封闭通道长度计算，高度200mm。用于通道外围美观封堵，按封闭通道长度计算，高度200mm。</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批</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预制线缆包</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道型组合，单边10柜位以下通道控制系统线路，含该通道建设的所有电气附件，包括中继板，总的预制化线缆，端子，水晶头，RJ45口转接头等。（不包含pdu等强电电缆）通道端门内的所有线缆需预制在通道门盒内，且将线缆引到端门顶部中继。</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E、微模块动环监控系统</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环境监控系统</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温湿度模块</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温湿度传感器，含露点监测，带LCD显示，485协议。</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不定位漏水控制器</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不定位漏水检测传感器-9~27VDC-（-40℃~85℃）-1组DO输出-CE。</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不定位漏水感应线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5米不定位漏水感应线(一体型)+固定胶贴夹(不含电阻)。</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烟雾传感器</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烟感传感器，干接点通讯。</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声光报警器</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声光报警器-红白-声压110dB。</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门禁监控系统</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IC感应卡</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白色IC感应卡，材料PVC。白色IC感应卡，材料PVC。</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人脸识别门禁一体机</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≥4.3英寸人脸识别门禁一体机，门禁识别方式有：人脸、指纹、IC读卡、密码，具有集中发卡功能。</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视频监控系统</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半球型网络摄像机</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≥1/2.8英寸CMOS，≥200万像素红外半球网络摄像机，POE供电。</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8路NVR网络硬盘录像机</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≥2个盘位，支持≥8路IPC接入。</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监控级硬盘</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≥4TB监控专用硬盘。</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监控中心</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一体化监控主机</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动环监控服务器主机一台，≥1U机架式高度，提供物理支撑平台，可运行动环监控系统软件，可监控UPS、空调、精密配电柜等设备及环境检测传感器。微模块具备良好的人机界面。交直流双路输入-内置短信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-440mm*200mm*44mm-接入能力(不低于2 路网口，10 路 485，10 路 DI，4 路 DO)。含监控软件-含 license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2、监控系统需为投标品牌自主研发产品，以便于可按需求设计、扩展。</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本地监控系统基础软件</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1、动环监控系统负责微模块内动力、环境设施的数据采集、处理、存储，并具有告警功能。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动环监控系统提供全面的平台管理功能，包括用户管理、设备和配置管理、可视化布局（3D可视/链路布局/空间/负载管理）、告警管理、能效管理、事件日志管理（设备）、报表分析（趋势/事件）。用户可根据实际需求进行，实现个性化系统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3、监控主机集中采集微模块内动环设备，实现对多个动环设备进行统一、集中的高效监控管理。动环监控系统监控对象包含配电、UPS、空调、温湿度传感器、水浸、门禁系统、烟感、通道内视频监控等。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4、动环软件能实时监测系统参数，并为主要的动环设备提供了专门的展示和设备详情页面，方便用户对设备进行及时监控和快速管理。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5、动环软件可通过Modbus协议实时对UPS进行监控。</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可插拔数据存储SD卡</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用于一体化监控主机扩展历史数据存储容量用于一体化监控主机扩展历史数据存储容量。</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4G通讯模块</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内置卡，LTE模块，支持移动\联通\电信模块内置卡，LTE模块，支持移动\联通\电信模块。</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触摸屏</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触摸屏，主要实现监控设备的实时信息展示，告警展示。</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8口百兆PoE交换机</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不低于8*10/100 Base-TX以太网端口,2*100/1000 Base-X SFP光口(Combo)，支持POE+,整机最大输出:65W，支持网关协议，单路交流供电8*10/100 Base-TX以太网端口,2*100/1000 Base-X SFP光口(Combo)。</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E.防雷接地子系统</w:t>
            </w:r>
            <w:r>
              <w:rPr>
                <w:rFonts w:hint="eastAsia" w:ascii="宋体" w:hAnsi="宋体" w:eastAsia="宋体" w:cs="宋体"/>
                <w:b/>
                <w:bCs/>
                <w:i w:val="0"/>
                <w:iCs w:val="0"/>
                <w:color w:val="000000"/>
                <w:sz w:val="20"/>
                <w:szCs w:val="20"/>
                <w:highlight w:val="none"/>
                <w:u w:val="none"/>
              </w:rPr>
            </w:r>
            <w:r/>
          </w:p>
        </w:tc>
        <w:tc>
          <w:tcPr>
            <w:tcW w:w="2886" w:type="dxa"/>
            <w:vAlign w:val="center"/>
            <w:textDirection w:val="lrTb"/>
            <w:noWrap w:val="false"/>
          </w:tcPr>
          <w:p>
            <w:pPr>
              <w:pStyle w:val="68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7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第二级防雷器</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标称电流In:20KA.最大放电电流Imax:40KA8/20µs三相。</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第三级防雷器</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标称电流In:10KA.最大放电电流Imax:20KA8/20µs单相。</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网格接地铜排</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30mm*3mm。</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铜排固定端子</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定制，确保满足配套本项目功能需求和甲方关于项目质量要求。</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接地母线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BVR50mm2。</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连接线</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BVR6mm2。</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汇流焊接</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定制，确保满足配套本项目功能需求和甲方关于项目质量要求。</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等电位端子箱</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定制，确保满足配套本项目功能需求和甲方关于项目质量要求。</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等电位连接器</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JPS-1。</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74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rPr>
                <w:rFonts w:hint="eastAsia" w:ascii="宋体" w:hAnsi="宋体" w:eastAsia="宋体" w:cs="宋体"/>
                <w:i w:val="0"/>
                <w:iCs w:val="0"/>
                <w:color w:val="000000"/>
                <w:sz w:val="20"/>
                <w:szCs w:val="20"/>
                <w:highlight w:val="none"/>
                <w:u w:val="none"/>
              </w:rPr>
            </w:r>
            <w:r/>
          </w:p>
        </w:tc>
        <w:tc>
          <w:tcPr>
            <w:tcW w:w="28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辅材及线缆。</w:t>
            </w:r>
            <w:r>
              <w:rPr>
                <w:rFonts w:hint="eastAsia" w:ascii="宋体" w:hAnsi="宋体" w:eastAsia="宋体" w:cs="宋体"/>
                <w:i w:val="0"/>
                <w:iCs w:val="0"/>
                <w:color w:val="000000"/>
                <w:sz w:val="20"/>
                <w:szCs w:val="20"/>
                <w:highlight w:val="none"/>
                <w:u w:val="none"/>
              </w:rPr>
            </w:r>
            <w:r/>
          </w:p>
        </w:tc>
        <w:tc>
          <w:tcPr>
            <w:tcW w:w="2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numPr>
          <w:ilvl w:val="0"/>
          <w:numId w:val="5"/>
        </w:numPr>
        <w:ind w:left="432" w:hanging="432"/>
        <w:jc w:val="both"/>
        <w:keepLines/>
        <w:keepNext/>
        <w:spacing w:beforeAutospacing="0" w:afterAutospacing="0" w:line="360" w:lineRule="auto"/>
        <w:widowControl w:val="off"/>
        <w:rPr>
          <w:rFonts w:ascii="Calibri" w:hAnsi="Calibri" w:eastAsia="宋体" w:cs="Times New Roman"/>
          <w:b/>
          <w:sz w:val="30"/>
          <w:szCs w:val="24"/>
          <w:highlight w:val="none"/>
          <w:lang w:val="en-US" w:eastAsia="zh-CN" w:bidi="ar-SA"/>
        </w:rPr>
        <w:outlineLvl w:val="0"/>
      </w:pPr>
      <w:r>
        <w:rPr>
          <w:rFonts w:hint="eastAsia" w:ascii="Calibri" w:hAnsi="Calibri" w:eastAsia="宋体" w:cs="Times New Roman"/>
          <w:b/>
          <w:sz w:val="30"/>
          <w:szCs w:val="24"/>
          <w:highlight w:val="none"/>
          <w:lang w:val="en-US" w:eastAsia="zh-CN" w:bidi="ar-SA"/>
        </w:rPr>
        <w:t xml:space="preserve">医疗叫号系统</w:t>
      </w:r>
      <w:r>
        <w:rPr>
          <w:rFonts w:ascii="Calibri" w:hAnsi="Calibri" w:eastAsia="宋体" w:cs="Times New Roman"/>
          <w:b/>
          <w:sz w:val="30"/>
          <w:szCs w:val="24"/>
          <w:highlight w:val="none"/>
          <w:lang w:val="en-US" w:eastAsia="zh-CN" w:bidi="ar-SA"/>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73"/>
        <w:gridCol w:w="1459"/>
        <w:gridCol w:w="5386"/>
        <w:gridCol w:w="493"/>
        <w:gridCol w:w="713"/>
        <w:gridCol w:w="745"/>
      </w:tblGrid>
      <w:tr>
        <w:trPr>
          <w:trHeight w:val="300"/>
        </w:trPr>
        <w:tc>
          <w:tcPr>
            <w:tcW w:w="203"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795"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2937"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rPr>
                <w:rFonts w:hint="eastAsia" w:ascii="宋体" w:hAnsi="宋体" w:eastAsia="宋体" w:cs="宋体"/>
                <w:b/>
                <w:bCs/>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406"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分诊叫号子系统</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numPr>
                <w:ilvl w:val="0"/>
                <w:numId w:val="10"/>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采用B/S架构，应具备丰富的页面设置功能以方便不同用户使用，包括设置系统字体与按钮的主题色，设置展示区域各筛选项、操作项、表格等元素的大小切换、中英文整体切换以及切换全屏显示功能。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2、为方便用户快速切换系统内页面，系统支持多标签页的新页面打开方式，不覆盖已打开页面，支持关闭单个页面、关闭其他页面、关闭所有页面等多种标签页关闭方式。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3、支持多院区模式，系统管理员可根据医院情况设置多个院区，用户选择某一院区登录后无需重新登录，即可自由切换院区。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规则引擎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1、支持根据各业务科室的就诊流程，设定对应的分诊叫号规则，含：排队规则、数据规则、播报规则、号票打印规则。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2、可设置一级、二级候诊区，实现对患者分流，并以终端显示、语音播报、门灯提示等多方位提醒手段，避免患者过号。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报到规则支持对预约号、非预约号的自动报到和人工报到的规则设定，可控制提前报到时间、延时报到时间。对于患者早到和迟到场景，可设定对应的排队规则。迟到患者报到可设定间隔候诊插队、废号重挂、分诊台激活等规则。（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r>
            <w:r/>
          </w:p>
          <w:p>
            <w:pPr>
              <w:pStyle w:val="680"/>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4、排序规则需支持按报到时间、挂号号序排列，排序号可同步第三方系统或由叫号系统自动生成。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基于挂号时段设定排序规则、优先按挂号时段排序，在时段内对各类患者进行组合排序，有效分流。支持诊室等候的规则设定，基于诊区的空间可设定医生叫号时将几位待诊患者呼叫至诊室门口提前等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6、支持自动分诊和人工分诊两种分诊模式。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7、支持一个诊室一位医生坐诊、一个诊室多位医生坐诊的分诊叫号模式。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8、支持对于不同类型的患者设定组合排队规则，支持按优先级、间隔初诊插队、间隔候诊插队等排队规则。含：预约患者、长者、非预约患者、军人、VIP等。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9、支持就诊标识的设定，例：预约患者的排序号为“(预)A06 张三”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10、支持批量报到功能，患者可一键完成在诊区内多个号别的报到。其中任何一个号别被医生呼叫时，其他排队数据自动挂起，诊结后自动释放，避免过号。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11、动态队列引擎：支持基于医生的当日排班和叫号器呼叫模式，系统动态组合生成医生的呼叫队列，无需人工介入。至少满足医生出诊多个号别场景下的交替呼叫、轮流呼叫两种模式。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12、支持过号患者召回方式的设定，含：自动召回和重新签到两种方式。可设定召回次数限制。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13、支持复诊患者的规则设定，原初诊医生在线时默认找原初诊医生，原初诊医生不在线时，可设定进入同级别公共队列和自由选择同级别队列两种模式。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14、支持转诊患者的规则设定，可保留原队列的排序号或重新生成新排序号。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15、支持设定挂号数据有效期、报到数据有效期、复诊数据有效期的设定。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16、支持午别显示规则，可设定上/下午显示对应午别的患者或显示全天。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17、支持患者隐私保护规则设定，控制排序号是否显示，患者姓名隐藏首位、中间位、末位。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18、支持叫号语音的设定、语速语调控制、自定义播报语音内容、播报规则、播报次数、排序号和诊室号的智能读法等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19、支持号票打印设定，含：号票标题、字段控制、字体大小、粗细、行间距、温馨提示内容等。支持在线实时预览。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支持移动端签到功能，患者可在移动端查询候诊信息，实现移动端签到，支持通过微信给患者推送候诊提醒、叫号提醒、过号提醒，此功能可嵌入医院移动端平台中。（提供具备CMA或CNAS标识的检测报告原件扫描件或产品官网截图）</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护士分诊台管理软件</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numPr>
                <w:ilvl w:val="0"/>
                <w:numId w:val="11"/>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支持免登录模式，方便护士操作。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2、▲支持关联医生、叫号器、号别三种业务模式，按关联的业务展示对应的操作页面。满足不同业务科室的分诊要求。（提供具备CMA或CNAS标识的检测报告原件扫描件或产品官网截图）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3、支持管理诊区内的患者等候列表、医生呼叫记录、医生排班、医生出诊记录等。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4、支持展示等候状态、未到状态、过号状态、诊结状态、未分诊状态下的患者列表。患者信息包含：排序号、姓名、号别、午别、医生、状态、 挂号时间、报到时间等。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5、支持查询各个医生的呼叫记录，记录各类呼叫的操作时间。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6、支持同步HIS系统中的医生排班数据，可手动临时调整排班。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7、支持查询各个医生的出诊记录，记录各诊室医生的工作状态，在线、离线、停诊等。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8、▲支持优先、报到、分诊、转诊、过号召回、复诊、绿通、广播、挂起、延时、取消等操作。（提供具备CMA或CNAS标识的检测报告原件扫描件或产品官网截图）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r>
            <w:r/>
          </w:p>
          <w:p>
            <w:pPr>
              <w:pStyle w:val="680"/>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9、支持通过刷卡、扫码、手动录入等方式进行人工挂号、人工报到功能，满足特殊场景下的分诊业务。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10、支持查询各诊室的等候、未到、诊结、挂起人数统计。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11、支持全局的数据刷新、患者搜索功能。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12、支持外接读卡器、打印机的适配切换。</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医生工作站叫号软件</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numPr>
                <w:ilvl w:val="0"/>
                <w:numId w:val="12"/>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支持医生工号快捷登录。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2、支持根据医生排班，为医生的队列动态生成数据，无需切换队列呼叫。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3、支持至少2种页面显示模式，极简模式和完整模式。并可任意拖动位置不影响医生在HIS系统的其他操作。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4、支持展示包括但不限于等候状态、过号状态、诊结状态下的患者列表和患者数量统计，患者信息包含：排序号、姓名、号别、状态等。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5、支持按顺序呼叫、重新呼叫、选择呼叫、过号、诊结等操作。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暂停接诊功能，医生临时有事可暂停接诊，并将暂停接诊状态同步至对应的候诊屏和诊室屏上。医生同时出诊多个挂号资源时，可灵活切换呼叫模式，交替呼叫和轮流呼叫。（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r>
            <w:r/>
          </w:p>
          <w:p>
            <w:pPr>
              <w:pStyle w:val="680"/>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7、支持新患者入队时的叫号提醒功能，可设定提醒策略。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8、支持常用呼叫功能的快捷键设置功能，可自定义控制快捷按键组合。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9、开放呼叫接口，第三方平台可通过调用接口实现呼叫功能。减少医生同时操作多个系统的复杂交互。</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发药工作站叫号软件</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1、账号登录：支持通过医生工号登录至医生工作站。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2、修改密码：支持人工修改登录密码。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3、队列管理：展示窗口队列的叫号情况，可分别管理候药、已呼叫、已发药状态的患者。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4、患者管理：展示患者的姓名、性别、报到时间、呼叫时间、发药时间、病历号、处方状态等信息。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5、重呼：支持重新呼叫首次呼叫后未取药的患者。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6、选呼：支持从队列中选择呼叫某位患者。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7、配药：支持对患者进行配药。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8、发药：支持对患者进行发药诊结。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9、批量呼叫：支持对多个患者进行批量呼叫。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10、批量发药：支持对多个患者进行批量发药。</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专家排班子系统</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1、支持与医院排班系统进行数据对接，同步排班数据。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2、支持通过专家排班子系统进行排班管理、维护。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3、支持通过分诊台对诊区内的医生进行临时排班调整。</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诊室液晶一体机</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硬件参数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1、安卓操作系统，版本号不低于Android 9.0。CPU不低于4核，CPU主频不低于1.5GHz。运行内存不低于1G，机身存储不低于8G。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2、尺寸不低于21.5英寸显示屏，分辨率不低于1920*1080，显示视角：不低于89/89/89/89deg。亮度不低于250cd/m²，对比度不低于3000:1，反应时间6.5ms。超窄边框14mm，四边等边。超薄整机，厚度2.4cm。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3、支持WiFi：2.4G。一组RJ45。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4、接口：USB*2、HDMI IN*1、LINE OUT*1、TF*1等。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5、支持壁挂安装(支持横装与竖装)。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1、定时开关机：支持搭配管理系统，实现自动开关机功能。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2、远程控制：支持远程升级、音量控制、亮度控制等功能。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3、语音解码：获取服务器发送的加密语音信息，自动解码转码后通过内置喇叭播放。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4、安全授权：软件安全防盗机制，有效防止未入网设备对信息的截获风险。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5、医生信息展示：可展示医生照片、姓名、职称、科室、简介等信息。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6、队列信息展示：可展示该医生队列中正在就诊以及等候就诊的患者信息，包括患者姓名、患者序号等。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7、患者标识展示：针对不同患者类型：预约、VIP、转诊、过号、军人、长者等，可展示不同的患者标识，例如：(预)A01、(V)B02。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8、患者隐私保护：支持自由设定患者姓名的隐私保护模式，姓名的首位或中间位用“*”显示。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9、语音呼叫：支持依据管理平台设定的语速语调、声音类型、播报内容格式、播报方式、播报次数等规则，实时播报被呼叫的患者信息及候诊患者信息。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10、呼叫弹窗控制：支持依据管理平台设定的呼叫模式实现仅叫就诊患者、叫一等一、叫一等二的弹窗样式。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11、信息发布：可同时展示视频、文字、图片等多种素材格式，支持定时播放定时回收。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12、定时宣教：支持紧急插播、滚动字幕、视频轮播功能，支持定时播放定时回收。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13、模式切换：支持排队叫号和信息发布功能的灵活切换，也可实现分屏组合展示。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14、红外遥控：支持用户使用配套红外遥控器进行一键关屏、音量调整、终端设置等操作功能。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15、上电自启：设备支持上电自动进入工作状态，即插即用。</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自助报到一体机</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1、安卓操作系统，版本号不低于Android 11.0。CPU不低于4核，CPU主频不低于2.0GHz。运行内存不低于2G。机身存储不低于32G。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2、尺寸不低于21.5英寸IPS显示屏，分辨率不低于1920*1080，显示视角：不低于89/89/89/89deg。触摸屏为电容屏，支持10点触控，面板为2mm钢化玻璃材质，硬度不低于7H。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3、机身支持医院级清洁，并通过酒精浓度不低于98%、负重不低于500g、喷涂/丝印区不低于100次循环的耐酒精擦拭测试、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4、支持WiFi：2.4G。支持蓝牙：版本不低于5.2。以太网：支持10/100/1000Mbps自适应。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5、具备IC卡读卡器、热敏打印机、身份证读卡器、磁条卡刷卡器、芯片卡读卡器以及扫码器等硬件模块。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6、接口：AC电源、RJ45接口、USB Type-A x2、3.5mm音频接口 x1、HDMI输出等。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7、支持落地式安装。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1、定时开关机：支持搭配管理系统，实现自动开关机功能。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2、远程控制：支持远程升级、音量控制、亮度控制等功能。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3、语音解码：获取服务器发送的加密语音信息，自动解码转码后通过内置喇叭播放。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4、安全授权：软件安全防盗机制，有效防止未入网设备对信息的截获风险。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5、患者报到：患者初诊报到、复诊报到、过号报到、一键报到等多种报到模式支持。多号别报到场景下，任意号别被呼叫后，其他号别的排队信息将被自动挂起，避免过号现象的产生。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6、号票打印：支持为成功报到的患者打印就诊号票。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7、排队查询：患者报到成功后，在就诊前可随时刷卡、扫码查询自己的报到状态、报到顺序等信息。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8、信息发布：可同时展示视频、文字、图片等多种素材格式，支持定时播放定时回收。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9、定时宣教：支持紧急插播、滚动字幕、视频轮播功能，支持定时播放定时回收。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10、模式切换：支持排队叫号和信息发布功能的灵活切换，也可实现分屏组合展示。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12、预约功能：支持对接医院的号源池，实现预约功能。根据医院要求可预约当天、7日内、30日内的号源。为患者提供多途径的预约服务，有效分流。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12、上电自启：设备支持上电自动进入工作状态，即插即用。</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网络液晶一体机</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numPr>
                <w:ilvl w:val="0"/>
                <w:numId w:val="13"/>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安卓操作系统，版本号不低于Android 9.0。CPU不低于4核，CPU主频不低于1.5GHz。运行内存不低于2G。机身存储不低于32G。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2、尺寸不低于32英寸显示屏，分辨率不低于1920*1080，显示视角：不低于89/89/89/89deg，亮度不低于250cd/㎡。超窄边框13.5mm，四边等边。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3、支持WiFi：2.4G。一组RJ45。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4、接口：USB*2、HDMI IN*1、LINE OUT*1等。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5、支持壁挂安装（支持横装与竖装）</w:t>
            </w:r>
            <w:r>
              <w:rPr>
                <w:rFonts w:hint="eastAsia" w:ascii="宋体" w:hAnsi="宋体" w:eastAsia="宋体" w:cs="宋体"/>
                <w:i w:val="0"/>
                <w:iCs w:val="0"/>
                <w:color w:val="000000"/>
                <w:sz w:val="20"/>
                <w:szCs w:val="20"/>
                <w:highlight w:val="none"/>
                <w:u w:val="none"/>
                <w:lang w:val="en-US" w:eastAsia="zh-CN" w:bidi="ar"/>
              </w:rPr>
            </w:r>
            <w:r/>
          </w:p>
          <w:p>
            <w:pPr>
              <w:pStyle w:val="680"/>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软件功能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1、定时开关机：支持搭配管理系统，实现自动开关机功能。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2、远程控制：支持远程升级、音量控制、亮度控制等功能。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3、语音解码：获取服务器发送的加密语音信息，自动解码转码后通过内置喇叭播放。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4、安全授权：软件安全防盗机制，有效防止未入网设备对信息的截获风险。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5、队列信息展示：支持展示各队列中正在就诊、等候就诊、过号患者信息，包含排队序号和患者姓名，数据超出一屏时具备刷新、切屏、滚动等多种展示方式。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6、患者标识展示：针对不同患者类型：预约、VIP、转诊、过号、军人、长者等，可展示不同的患者标识，例如：(预)A01、(V)B02。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7、患者隐私保护：支持自由设定患者姓名的隐私保护模式，姓名的首位或中间位用“*”显示。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8、排队顺序更新：根据护士分诊台的分诊、优先、转诊、调顺序、绿通等操作，实时更新患者排队顺序。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9、语音呼叫：支持依据管理平台设定的语速语调、声音类型、播报内容格式、播报方式、播报次数等规则，实时播报被呼叫的患者信息及候诊患者信息。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10、呼叫弹窗控制：支持依据管理平台设定的呼叫模式实现仅叫就诊患者、叫一等一、叫一等二的弹窗样式。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12、信息发布：可同时展示视频、文字、图片等多种素材格式，支持定时播放定时回收。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12、定时宣教：支持紧急插播、滚动字幕、视频轮播功能，支持定时播放定时回收。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13、专家排班：支持滚动展示院内专家排班信息。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14、模式切换：支持排队叫号和信息发布功能的灵活切换，也可实现分屏组合展示。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15、投屏功能：支持切换为电视投屏，将一体机用作投屏显示使用。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16、上电自启：设备支持上电自动进入工作状态，即插即用。</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网络液晶一体机</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1、安卓操作系统，版本号不低于Android 9.0。CPU不低于4核，CPU主频不低于1.5GHz。运行内存不低于2G。机身存储不低于32G。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2、尺寸不低于55英寸显示屏，分辨率不低于1920*1080，显示视角：不低于89/89/89/89deg，亮度不低于250cd/㎡，对比度不低于5000:1，反应时间小于6.5ms。超窄边框13.5mm，四边等边。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3、支持WiFi：2.4G。一组RJ45。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4、接口：USB*2、HDMI IN*1、LINE OUT*1等。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5、支持壁挂安装（支持横装与竖装）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1、定时开关机：支持搭配管理系统，实现自动开关机功能。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2、远程控制：支持远程升级、音量控制、亮度控制等功能。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3、语音解码：获取服务器发送的加密语音信息，自动解码转码后通过内置喇叭播放。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4、安全授权：软件安全防盗机制，有效防止未入网设备对信息的截获风险。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5、队列信息展示：支持展示各队列中正在就诊、等候就诊、过号患者信息，包含排队序号和患者姓名，数据超出一屏时具备刷新、切屏、滚动等多种展示方式。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6、患者标识展示：针对不同患者类型：预约、VIP、转诊、过号、军人、长者等，可展示不同的患者标识，例如：(预)A01、(V)B02。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7、患者隐私保护：支持自由设定患者姓名的隐私保护模式，姓名的首位或中间位用“*”显示。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8、排队顺序更新：根据护士分诊台的分诊、优先、转诊、调顺序、绿通等操作，实时更新患者排队顺序。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9、语音呼叫：支持依据管理平台设定的语速语调、声音类型、播报内容格式、播报方式、播报次数等规则，实时播报被呼叫的患者信息及候诊患者信息。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10．呼叫弹窗控制：支持依据管理平台设定的呼叫模式实现仅叫就诊患者、叫一等一、叫一等二的弹窗样式。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12、信息发布：可同时展示视频、文字、图片等多种素材格式，支持定时播放定时回收。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12、定时宣教：支持紧急插播、滚动字幕、视频轮播功能，支持定时播放定时回收。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13、专家排班：支持滚动展示院内专家排班信息。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14、模式切换：支持排队叫号和信息发布功能的灵活切换，也可实现分屏组合展示。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15、投屏功能：支持切换为电视投屏，将一体机用作投屏显示使用。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16、上电自启：设备支持上电自动进入工作状态，即插即用。</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吸顶喇叭</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1、输入电压：≥110V。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2、额定功率：≥6W。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3、频率响应：70-12KHz。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3、灵敏度：≥98dB。</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多媒体功率放大器</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1、定压功放。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2、输出电压：≥110V。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3、输出功率：≥60W。</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自助机（甲供）</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1、主控模块：CPU类型： 双核3.3Hz以上。内存：DDR4 2400 8G 或以上。 硬盘：256G 固态或以上。串口：12个。USB接口：14个。网络：100M/1000M以太网卡。Windows操作系统。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2、触显一体屏：32”真彩TFT LCD。分辨率：1920*1080。响应时间：&lt;30ms。亮度：&gt;300cd/m²。偏转角度：180度。32”多点电容触摸屏。分辨率:4096*4096。定位精度：2mm。响应时间：≤10毫秒。寿命：单点触控5000万次无偏差。其他功能：防水、防尘、防暴、防刮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密码键盘模块：16键加密键盘：10个数字键，6个功能键、EPP硬件加密键盘，采用凹陷设计，防尘，防水，防爆，带防窥罩。支持按键音。可存储16组128位的密钥，只能写入不能读出。按键寿命：200万次以上。支持ECB和CBC方式的DES、3DES、MAC运算、数据加密/解密、RSA加密算法算法及ANSI X 9.8PIN Block 格式,符合ANSI  X9.24安全标准。支持国密。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通过国密认证。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4、凭条打印模块：打印方式行式热敏打印。点阵640dots。打印</w:t>
            </w:r>
            <w:r>
              <w:rPr>
                <w:rFonts w:hint="eastAsia" w:ascii="宋体" w:hAnsi="宋体" w:eastAsia="宋体" w:cs="宋体"/>
                <w:i w:val="0"/>
                <w:iCs w:val="0"/>
                <w:color w:val="000000"/>
                <w:sz w:val="20"/>
                <w:szCs w:val="20"/>
                <w:highlight w:val="none"/>
                <w:u w:val="none"/>
                <w:lang w:val="en-US" w:eastAsia="zh-CN" w:bidi="ar"/>
              </w:rPr>
              <w:t xml:space="preserve">速度250mm/s（max）。打印宽度80mm (max)。纸宽80mm(可选60mm)。纸厚60 - 150um。进纸方式自动吸纸( 水平180°)。切纸方式全切。打印长度100KM。打印格式反白、下划线、斜体、粗体等。切刀寿命100 万次。打印波特率9600、19200、38400、115200。单张打印最短长度80mm。ASCII 9*17、12*24。Chinese 24*24 点。检测：打印头温度。抬杆检测。有纸检测。出纸检测。纸将尽检测。黑标检测。过刀纸检测。回收出纸检测。探缝检测(发射、接收)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5、扫码模块：支持一维码、二维码扫描。识读头 CMOS,grayscale。分辨率 752x480pixels。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二维码支持格式：DF417,QRCode(Model1/2、,DataMatrix(ECC200,ECC000,050,080,100,140),Aztec,Maxicode 等。一维码支持格式：Code128,EAN-13,EAN-8,Code39,UPC-A,UPC-,Codabar,Inter-leaved2of5,ISBN,Code93,UCC/EAN-28,GS1Databar 等。条码精度≥5mil。识读景深 40mm-235mm。打印对比度 ≥30%。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6、身份证读取模块：二代身份证识别。二代身份证有效信息读</w:t>
            </w:r>
            <w:r>
              <w:rPr>
                <w:rFonts w:hint="eastAsia" w:ascii="宋体" w:hAnsi="宋体" w:eastAsia="宋体" w:cs="宋体"/>
                <w:i w:val="0"/>
                <w:iCs w:val="0"/>
                <w:color w:val="000000"/>
                <w:sz w:val="20"/>
                <w:szCs w:val="20"/>
                <w:highlight w:val="none"/>
                <w:u w:val="none"/>
                <w:lang w:val="en-US" w:eastAsia="zh-CN" w:bidi="ar"/>
              </w:rPr>
              <w:t xml:space="preserve">取。公安部授权产品。符合公安部 GA450、 1GA450 标准规范，符合非接触 IC 卡 ISO14443 标准。符合 GB/T 2423-2001标准规定。有效读卡距离 0～5cm。通过公安部认证。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7、医保卡读卡器：预留安装位置。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8、机柜：大堂立式机柜。 材料：为冷轧钢材料，坚硬厚实不易变形。 表层处理：防锈、防腐、耐磨，不易沾污损坏。 外观颜色：可按指定颜色、文字、图案定制。 内部结构：模块定位采用轨道前后拖拉式，布线规范整齐。 外部结构：各部件模块与机柜结合紧密，布局合理，工艺精细。 底部结构：配备固定支架和可调节脚轮，方便移动，也便于固定。整机通过CCC认证。</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自助机软件（甲供）</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1、当日挂号：患者在自助设备上，可以通过多种查询方式（按照科室\医生查找、按照医生姓名首字母查找、按照疾病名称首字母查找）挂当天的专家号和普通号，通过多种渠道进行支付。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预约挂号：可在自助服务系统上预约未来数天（由院方决定预约时间）的指定专家的号或普通号，可在自助设备上，通过多种查询方式（按照科室\医生查找、按照医生姓名首字母查找、按照疾病名称首字母查找、按照给定的日期\星期查找）找到指定专家的排班，支付成功后，打印预约凭条，就诊当日来医院取号就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门诊缴费：患者在医生开单后（检查、检验、处方、体检等），可持签约卡在自助设备上查看自己的待缴费列表和缴费项目详情，支付成功后，打印缴费凭条，患者持缴费凭条到执行科室做检查（检验）、体检或药房取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4、门诊缴费查询：用户可在自助设备上，查询本人当天的门诊缴费情况。</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0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rPr>
                <w:rFonts w:hint="eastAsia" w:ascii="宋体" w:hAnsi="宋体" w:eastAsia="宋体" w:cs="宋体"/>
                <w:i w:val="0"/>
                <w:iCs w:val="0"/>
                <w:color w:val="000000"/>
                <w:sz w:val="20"/>
                <w:szCs w:val="20"/>
                <w:highlight w:val="none"/>
                <w:u w:val="none"/>
              </w:rPr>
            </w:r>
            <w:r/>
          </w:p>
        </w:tc>
        <w:tc>
          <w:tcPr>
            <w:tcW w:w="293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辅材配线、满足现场使用需求。</w:t>
            </w:r>
            <w:r>
              <w:rPr>
                <w:rFonts w:hint="eastAsia" w:ascii="宋体" w:hAnsi="宋体" w:eastAsia="宋体" w:cs="宋体"/>
                <w:i w:val="0"/>
                <w:iCs w:val="0"/>
                <w:color w:val="000000"/>
                <w:sz w:val="20"/>
                <w:szCs w:val="20"/>
                <w:highlight w:val="none"/>
                <w:u w:val="none"/>
              </w:rPr>
            </w:r>
            <w:r/>
          </w:p>
        </w:tc>
        <w:tc>
          <w:tcPr>
            <w:tcW w:w="26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numPr>
          <w:ilvl w:val="0"/>
          <w:numId w:val="5"/>
        </w:numPr>
        <w:ind w:left="432" w:hanging="432"/>
        <w:jc w:val="both"/>
        <w:keepLines/>
        <w:keepNext/>
        <w:spacing w:beforeAutospacing="0" w:afterAutospacing="0" w:line="360" w:lineRule="auto"/>
        <w:widowControl w:val="off"/>
        <w:rPr>
          <w:rFonts w:ascii="Calibri" w:hAnsi="Calibri" w:eastAsia="宋体" w:cs="Times New Roman"/>
          <w:b/>
          <w:sz w:val="30"/>
          <w:szCs w:val="24"/>
          <w:highlight w:val="none"/>
          <w:lang w:val="en-US" w:eastAsia="zh-CN" w:bidi="ar-SA"/>
        </w:rPr>
        <w:outlineLvl w:val="0"/>
      </w:pPr>
      <w:r>
        <w:rPr>
          <w:rFonts w:hint="eastAsia" w:ascii="Calibri" w:hAnsi="Calibri" w:eastAsia="宋体" w:cs="Times New Roman"/>
          <w:b/>
          <w:sz w:val="30"/>
          <w:szCs w:val="24"/>
          <w:highlight w:val="none"/>
          <w:lang w:val="en-US" w:eastAsia="zh-CN" w:bidi="ar-SA"/>
        </w:rPr>
        <w:t xml:space="preserve">医护对讲系统</w:t>
      </w:r>
      <w:r>
        <w:rPr>
          <w:rFonts w:ascii="Calibri" w:hAnsi="Calibri" w:eastAsia="宋体" w:cs="Times New Roman"/>
          <w:b/>
          <w:sz w:val="30"/>
          <w:szCs w:val="24"/>
          <w:highlight w:val="none"/>
          <w:lang w:val="en-US" w:eastAsia="zh-CN" w:bidi="ar-SA"/>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8"/>
        <w:gridCol w:w="1293"/>
        <w:gridCol w:w="5424"/>
        <w:gridCol w:w="552"/>
        <w:gridCol w:w="679"/>
        <w:gridCol w:w="679"/>
      </w:tblGrid>
      <w:tr>
        <w:trPr>
          <w:trHeight w:val="240"/>
        </w:trPr>
        <w:tc>
          <w:tcPr>
            <w:tcW w:w="294"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705"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2958"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rPr>
                <w:rFonts w:hint="eastAsia" w:ascii="宋体" w:hAnsi="宋体" w:eastAsia="宋体" w:cs="宋体"/>
                <w:b/>
                <w:bCs/>
                <w:i w:val="0"/>
                <w:iCs w:val="0"/>
                <w:color w:val="000000"/>
                <w:sz w:val="20"/>
                <w:szCs w:val="20"/>
                <w:highlight w:val="none"/>
                <w:u w:val="none"/>
              </w:rPr>
            </w:r>
            <w:r/>
          </w:p>
        </w:tc>
        <w:tc>
          <w:tcPr>
            <w:tcW w:w="301"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370"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370"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240"/>
        </w:trPr>
        <w:tc>
          <w:tcPr>
            <w:tcW w:w="29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护理通讯信息系统软件</w:t>
            </w:r>
            <w:r>
              <w:rPr>
                <w:rFonts w:hint="eastAsia" w:ascii="宋体" w:hAnsi="宋体" w:eastAsia="宋体" w:cs="宋体"/>
                <w:i w:val="0"/>
                <w:iCs w:val="0"/>
                <w:color w:val="000000"/>
                <w:sz w:val="20"/>
                <w:szCs w:val="20"/>
                <w:highlight w:val="none"/>
                <w:u w:val="none"/>
              </w:rPr>
            </w:r>
            <w:r/>
          </w:p>
        </w:tc>
        <w:tc>
          <w:tcPr>
            <w:tcW w:w="2958"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1、账号信息：维护用户账号信息，支持为单个账号开通多个角色、多个岗位的功能权限与多个科室的数据权限。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2、账号登录：支持验证“账号+密码”与“账号+密码+动态验证码”两种规则切换。登录成功后可在账号数据权限范围内的不同科室间切换。自动记住登录过的账户名，支持手动删除。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3、身份识别：维护用户账号的IC卡号等身份认证信息。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4、角色管理：支持控制用户所属角色登录系统WEB后台、床旁医护工作站的菜单权限与按钮权限（需搭配床旁分机使用）。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5、岗位管理：维护岗位类型及新增多种派生岗位，支持控制用户所属岗位的特定权限。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6、通讯录管理：维护用户所登录通讯终端的通讯范围，支持向全院范围的医护人员、患者、护士站、值班室等发起呼叫对讲（需搭配移动通讯终端使用）。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7、门禁管理：维护用户通行的门禁权限范围，可以批量分配权限，支持刷卡开门方式，可支持扩展刷脸、手环等多种方式（需搭配病区门禁分机使用）。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8、部门管理：维护医疗机构各个部门的组织架构关系，支持添加3级部门并可折叠显示。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9、区域管理：维护医疗机构区域结构树，用于对应终端位置关系，支持设置区域、栋、单元、楼层、室等区域类型。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10、房间床位管理：维护科室的病房、诊室、检查室、窗口、床位信息及对应关系，支持快捷批量创建房间与床位，并可对床位一览表的房间、床位显示顺序进行排序。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11、终端管理：维护各个已注册终端的所属科室、设备型号、注册号码、IP地址、在线状态、软件版本等信息。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12、终端升级：维护各个终端的安装包文件，具备对单个与批量终端进行OTA软件升级功能，包括即时与定时两种方式，支持查看升级/失败状态、软件版本。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13、终端监控：实时获取终端总存储空间、已使用空间、软件版本等信息，支持实时查看终端屏幕显示内容截图。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14、终端配置：支持对单个与批量终端进行功能配置，包括显示样式、屏幕亮度、喇叭音量、息屏时间、语音播报次数等。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15、终端日志：获取终端使用过程中产生的运行日志与错误日志，支持按日期导出下载。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16、运维主页：图形化显示系统授权许可、服务器资源、组件运行状态、微服务版本等信息，支持按科室查看终端离线数量，可对异常状态的组件进行重启操作。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17、机构设置：维护医疗机构编号与显示logo、浏览器标签页标题与logo、备案号信息、HPTV与NTP服务器IP地址等。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18、运维日志：维护系统的登录日志与操作日志，登录日志展示账号在各个应用的登录信息，操作日志展示账号在各个功能模块的操作时间、类型、内容等。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19、授权管理：维护各个终端的授权许可数量与有效期，支持上传与下载授权文件。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20.电子床头卡模版配置：系统提供多套初始电子床头卡模版可供选择，支持对电子床头卡界面进行配置，选择所需的模版。</w:t>
            </w:r>
            <w:r>
              <w:rPr>
                <w:rFonts w:hint="eastAsia" w:ascii="宋体" w:hAnsi="宋体" w:eastAsia="宋体" w:cs="宋体"/>
                <w:i w:val="0"/>
                <w:iCs w:val="0"/>
                <w:color w:val="000000"/>
                <w:sz w:val="20"/>
                <w:szCs w:val="20"/>
                <w:highlight w:val="none"/>
                <w:u w:val="none"/>
              </w:rPr>
            </w:r>
            <w:r/>
          </w:p>
        </w:tc>
        <w:tc>
          <w:tcPr>
            <w:tcW w:w="30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9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医护主机</w:t>
            </w:r>
            <w:r>
              <w:rPr>
                <w:rFonts w:hint="eastAsia" w:ascii="宋体" w:hAnsi="宋体" w:eastAsia="宋体" w:cs="宋体"/>
                <w:i w:val="0"/>
                <w:iCs w:val="0"/>
                <w:color w:val="000000"/>
                <w:sz w:val="20"/>
                <w:szCs w:val="20"/>
                <w:highlight w:val="none"/>
                <w:u w:val="none"/>
              </w:rPr>
            </w:r>
            <w:r/>
          </w:p>
        </w:tc>
        <w:tc>
          <w:tcPr>
            <w:tcW w:w="2958" w:type="dxa"/>
            <w:vAlign w:val="center"/>
            <w:textDirection w:val="lrTb"/>
            <w:noWrap w:val="false"/>
          </w:tcPr>
          <w:p>
            <w:pPr>
              <w:pStyle w:val="680"/>
              <w:numPr>
                <w:ilvl w:val="0"/>
                <w:numId w:val="14"/>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安卓操作系统，版本号不低于Android 11.0。CPU不低于6核，CPU主频不低于1.8GHz。运行内存不低于4G。机身存储不低于32G。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2、显示屏尺寸不低于15英寸，电容屏，支持手套操作，支持10点触控。显示屏分辨率不低于1920×1080。前置摄像头像素不低于1300W。双声道。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3、物理按键：息屏键*1，便于使用人员快速开关屏幕。复位键*1，便于设备异常时快速重启，物理按键为隐藏式设计，可有效避免误按情况发生。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1、呼叫患者：支持向病区患者发起呼叫，接通后可进行音频或视频通话，支持自动接通。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2、呼叫医护：支持向本病区值班室、护士站以及其他病区护士站发起呼叫，接通后可进行音频或视频通话。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3、多路通话：支持一病区多主机模式，当一个主机正在通话中时，不影响其他主机等终端处理患者呼叫。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4、接收呼叫：支持接听、挂断、忽略三种形式的处理呼叫方式，选择“忽略”后只会挂断在当前终端的呼叫请求，而不影响其他终端接收。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5、▲患者监护：医护主机支持主动调起患者的床头/床旁分机摄像头，查看患者的实时情况。（提供具备CMA或CNAS标识的检测报告原件扫描件或产品官网截图）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r>
            <w:r/>
          </w:p>
          <w:p>
            <w:pPr>
              <w:pStyle w:val="680"/>
              <w:numPr>
                <w:ilvl w:val="0"/>
                <w:numId w:val="7"/>
              </w:numPr>
              <w:ind w:lef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宕机呼叫：服务器重启、宕机、停电等特殊情况均不影响正常患者向主机的呼叫功能。呼叫托管：可设置托管主机，床头、门口等分机的呼叫统一转移到被托管主机上处理。支持立即托管与定时段托管模式。（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r>
            <w:r/>
          </w:p>
          <w:p>
            <w:pPr>
              <w:pStyle w:val="680"/>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7、忙音反馈：当主机在通话中时，系统可自动将呼叫信息收到的状态反馈给床头、床旁分机等终端，减轻患者焦虑。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8、录音录像：支持对通话过程录音录像，并可在服务端查询播放录制的文件。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9、语音播报：支持对接收的呼叫信息进行汉字语音播报，如“X 床呼叫”、“X 房间卫生间呼叫”等，可设置报号次数。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10、未处理提醒：支持设置持续提醒或间隔提醒，以满足不同环境、不同病区需要。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11、一键清除：支持一键清除所有未处理呼叫，节省逐条清除时间。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12、呼叫记录：展示病区历史呼叫记录，包括发起方、被叫方、呼叫发起时间、呼叫处理时间、处理方式、通话时长等。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13、床位信息卡：展示床位一览，每个床位模块显示对应患者的床位信息、患者基本信息、护理标识信息等。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14、病区统计：支持统计并展示病区床位总数、患者总数、危重预警人数、各护理级别人数等。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15、显示模式：床位信息卡支持常规模式和极简模式两种显示模式，用户可根据使用习惯自行切换。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16、患者详情：展示患者详情，包括床号、姓名、性别、年龄、出生日期、入院时间、入院诊断等。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17、护士进入：配合门口操作，支持查看病区护士所在房间位置。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18、回音消除：具备回音消除算法，优化通话噪音，提高通话质量。</w:t>
            </w:r>
            <w:r>
              <w:rPr>
                <w:rFonts w:hint="eastAsia" w:ascii="宋体" w:hAnsi="宋体" w:eastAsia="宋体" w:cs="宋体"/>
                <w:i w:val="0"/>
                <w:iCs w:val="0"/>
                <w:color w:val="000000"/>
                <w:sz w:val="20"/>
                <w:szCs w:val="20"/>
                <w:highlight w:val="none"/>
                <w:u w:val="none"/>
              </w:rPr>
            </w:r>
            <w:r/>
          </w:p>
        </w:tc>
        <w:tc>
          <w:tcPr>
            <w:tcW w:w="30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9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床头分机</w:t>
            </w:r>
            <w:r>
              <w:rPr>
                <w:rFonts w:hint="eastAsia" w:ascii="宋体" w:hAnsi="宋体" w:eastAsia="宋体" w:cs="宋体"/>
                <w:i w:val="0"/>
                <w:iCs w:val="0"/>
                <w:color w:val="000000"/>
                <w:sz w:val="20"/>
                <w:szCs w:val="20"/>
                <w:highlight w:val="none"/>
                <w:u w:val="none"/>
              </w:rPr>
            </w:r>
            <w:r/>
          </w:p>
        </w:tc>
        <w:tc>
          <w:tcPr>
            <w:tcW w:w="2958"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1、液晶屏幕：≥7英寸液晶触摸屏，分辨率1024*600，屏幕比例16:9，屏幕硬度≥6H。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2、外观结构：采用ABS+PC材料，避免金属材质造成的静电隐患，配色医疗白，支持嵌入式安装。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3、采用IP组网方式，基于TCP/IP网络协议传输对讲语音和数据信息，支持POE供电。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4、支持与护士站主机的双向呼叫及对讲。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5、分机应支持增援呼叫、换药呼叫等功能。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6、支持广播功能当主机发起话筒广播或音频广播时，可以播放主机发来的广播内容。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7、院内服务：支持显示医院点餐、购物、聘请护工程序的二维码，患者或家属可自行扫码使用。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8、宣教二维码：显示医院公众号或宣教程序二维码。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9、宣教点播：显示音频宣教文件列表，患者可选择文件进行播放。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10、费用详单：患者查询住院至今的各类住院费用实时了解每日费用信息。</w:t>
            </w:r>
            <w:r>
              <w:rPr>
                <w:rFonts w:hint="eastAsia" w:ascii="宋体" w:hAnsi="宋体" w:eastAsia="宋体" w:cs="宋体"/>
                <w:i w:val="0"/>
                <w:iCs w:val="0"/>
                <w:color w:val="000000"/>
                <w:sz w:val="20"/>
                <w:szCs w:val="20"/>
                <w:highlight w:val="none"/>
                <w:u w:val="none"/>
              </w:rPr>
            </w:r>
            <w:r/>
          </w:p>
        </w:tc>
        <w:tc>
          <w:tcPr>
            <w:tcW w:w="30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 </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9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门口分机</w:t>
            </w:r>
            <w:r>
              <w:rPr>
                <w:rFonts w:hint="eastAsia" w:ascii="宋体" w:hAnsi="宋体" w:eastAsia="宋体" w:cs="宋体"/>
                <w:i w:val="0"/>
                <w:iCs w:val="0"/>
                <w:color w:val="000000"/>
                <w:sz w:val="20"/>
                <w:szCs w:val="20"/>
                <w:highlight w:val="none"/>
                <w:u w:val="none"/>
              </w:rPr>
            </w:r>
            <w:r/>
          </w:p>
        </w:tc>
        <w:tc>
          <w:tcPr>
            <w:tcW w:w="2958"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1、液晶屏幕：≥10.0英寸液晶触摸屏，分辨率600*1024，屏幕比例16:9，亮度≥350cd/㎡(Typ)。POE供电于独立供电自动识别。以太网10/100Mbps自适应。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2、刷卡模块：支持IC卡。卫生间分机接口：支持，最多可支持8路接入。物理按键：正面1个护理按键。门灯：一体式7色门灯。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3、基于IP组网：基于IP组网方式，基于TCP/IP 网络协议传输对讲语音和数据信息。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4、房间信息：显示房间名、包含床位、入住患者信息以及责任医护相关信息。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5、医护信息：显示责任医生、责任护士、医护照片等信息。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6、呼叫处理：支持接听、挂断以及本机忽略患者发起的呼叫请求，接听后可与之进行通话。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7、呼叫提示：当本房间有患者呼叫时， 展示界面可根据呼叫床位对相应的块闪烁显示，文字和背景可以指定显示颜色。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8、播放广播：当主机发起话筒广播或音频广播时，可以播放主机发来的广播内容。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9、护士进入/离开：支持通过按下实体的“护理”按键或刷护士身份卡完成针对于房间的护士定位，触发护士进入后清除本房间的未处理呼叫。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10、多界面展示：门口机支持展示 1-10 人间的显示模式,支持管床、管房不同的界面显示样式。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11、模板更换：支持在线调整展示界面的样式。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12、▲护理灯显示：当床头分机呼叫时，根据患者护理级别，门口分机灯显示 相应颜色，采用7色 LED灯提示本房间的护理级别。卫生间分机呼叫时门口分机灯常亮显示。（提供具备CMA或CNAS标识的检测报告原件扫描件或产品官网截图）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13、在线升级：分机设备程序、素材支持在线升级，可由系统后台统一进行功能升级。</w:t>
            </w:r>
            <w:r>
              <w:rPr>
                <w:rFonts w:hint="eastAsia" w:ascii="宋体" w:hAnsi="宋体" w:eastAsia="宋体" w:cs="宋体"/>
                <w:i w:val="0"/>
                <w:iCs w:val="0"/>
                <w:color w:val="000000"/>
                <w:sz w:val="20"/>
                <w:szCs w:val="20"/>
                <w:highlight w:val="none"/>
                <w:u w:val="none"/>
              </w:rPr>
            </w:r>
            <w:r/>
          </w:p>
        </w:tc>
        <w:tc>
          <w:tcPr>
            <w:tcW w:w="30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 </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9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卫生间分机</w:t>
            </w:r>
            <w:r>
              <w:rPr>
                <w:rFonts w:hint="eastAsia" w:ascii="宋体" w:hAnsi="宋体" w:eastAsia="宋体" w:cs="宋体"/>
                <w:i w:val="0"/>
                <w:iCs w:val="0"/>
                <w:color w:val="000000"/>
                <w:sz w:val="20"/>
                <w:szCs w:val="20"/>
                <w:highlight w:val="none"/>
                <w:u w:val="none"/>
              </w:rPr>
            </w:r>
            <w:r/>
          </w:p>
        </w:tc>
        <w:tc>
          <w:tcPr>
            <w:tcW w:w="2958"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1、IP68防护等级。呼叫按键占比大于25%。静电等级±15KV。具有专用取消按键，便于及时清除误操作，也支持在医护主机上取消报警。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2、组网方式：两线制组网。防冲突撞码：保证由主机下发的每一个分机码都能被对应的卫生间分机收到，形成贯通的通讯机制。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3、支持：呼叫拉绳、蜂鸣器、灯光指示、呼叫取消按键。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4、▲呼叫时有明显的声光报警提示，系统在病区中有广播提示，便于医护人员快速响应。（提供具备CMA或CNAS标识的检测报告原件扫描件或产品官网截图）</w:t>
            </w:r>
            <w:r>
              <w:rPr>
                <w:rFonts w:hint="eastAsia" w:ascii="宋体" w:hAnsi="宋体" w:eastAsia="宋体" w:cs="宋体"/>
                <w:i w:val="0"/>
                <w:iCs w:val="0"/>
                <w:color w:val="000000"/>
                <w:sz w:val="20"/>
                <w:szCs w:val="20"/>
                <w:highlight w:val="none"/>
                <w:u w:val="none"/>
              </w:rPr>
            </w:r>
            <w:r/>
          </w:p>
        </w:tc>
        <w:tc>
          <w:tcPr>
            <w:tcW w:w="30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 </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9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走廊显示屏</w:t>
            </w:r>
            <w:r>
              <w:rPr>
                <w:rFonts w:hint="eastAsia" w:ascii="宋体" w:hAnsi="宋体" w:eastAsia="宋体" w:cs="宋体"/>
                <w:i w:val="0"/>
                <w:iCs w:val="0"/>
                <w:color w:val="000000"/>
                <w:sz w:val="20"/>
                <w:szCs w:val="20"/>
                <w:highlight w:val="none"/>
                <w:u w:val="none"/>
              </w:rPr>
            </w:r>
            <w:r/>
          </w:p>
        </w:tc>
        <w:tc>
          <w:tcPr>
            <w:tcW w:w="2958"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1、显示类型：LED点阵。双面Φ3.75mm，可显示2行*8个汉字。静电等级：±15KV。群脉冲等级：1.2KV@5KHz。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2、护士位置显示：可显示护士进入的房间位置。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3、时间显示：支持5种显示时间信息模式。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4、呼叫信息显示：呼叫时循环显示护理级别、房间号和床位号信息，可显示2行*8个汉字，支持多条呼叫信息显示。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5、待机信息显示：待机时滚动显示日期、时间、护士位置、温馨提示等内容。</w:t>
            </w:r>
            <w:r>
              <w:rPr>
                <w:rFonts w:hint="eastAsia" w:ascii="宋体" w:hAnsi="宋体" w:eastAsia="宋体" w:cs="宋体"/>
                <w:i w:val="0"/>
                <w:iCs w:val="0"/>
                <w:color w:val="000000"/>
                <w:sz w:val="20"/>
                <w:szCs w:val="20"/>
                <w:highlight w:val="none"/>
                <w:u w:val="none"/>
              </w:rPr>
            </w:r>
            <w:r/>
          </w:p>
        </w:tc>
        <w:tc>
          <w:tcPr>
            <w:tcW w:w="30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9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7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网络液晶一体机</w:t>
            </w:r>
            <w:r>
              <w:rPr>
                <w:rFonts w:hint="eastAsia" w:ascii="宋体" w:hAnsi="宋体" w:eastAsia="宋体" w:cs="宋体"/>
                <w:i w:val="0"/>
                <w:iCs w:val="0"/>
                <w:color w:val="000000"/>
                <w:sz w:val="20"/>
                <w:szCs w:val="20"/>
                <w:highlight w:val="none"/>
                <w:u w:val="none"/>
              </w:rPr>
            </w:r>
            <w:r/>
          </w:p>
        </w:tc>
        <w:tc>
          <w:tcPr>
            <w:tcW w:w="2958"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1、安卓9.0。显示屏尺寸 55英寸，支持分辨率1920*1080。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2、运行内存 2G，机身存储32G。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显示病区统计信息、病区概况、调床信息、呼叫信息、护理信息、高危风险管理、常用联系方式、公告栏能信息。呼叫信息可对接病房呼叫信息，实现呼叫信息的联动显示。统计信息、病区概况、护理信息等展示项目可灵活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4、可显示患者床位一览表：展示患者的关键信息，包含床号、姓名、护理等级、年龄、护理标识等信息。设置：可设置切换时间，可对调床信息、常用联系方式等内容进行手动维护。</w:t>
            </w:r>
            <w:r>
              <w:rPr>
                <w:rFonts w:hint="eastAsia" w:ascii="宋体" w:hAnsi="宋体" w:eastAsia="宋体" w:cs="宋体"/>
                <w:i w:val="0"/>
                <w:iCs w:val="0"/>
                <w:color w:val="000000"/>
                <w:sz w:val="20"/>
                <w:szCs w:val="20"/>
                <w:highlight w:val="none"/>
                <w:u w:val="none"/>
              </w:rPr>
            </w:r>
            <w:r/>
          </w:p>
        </w:tc>
        <w:tc>
          <w:tcPr>
            <w:tcW w:w="30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9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70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rPr>
                <w:rFonts w:hint="eastAsia" w:ascii="宋体" w:hAnsi="宋体" w:eastAsia="宋体" w:cs="宋体"/>
                <w:i w:val="0"/>
                <w:iCs w:val="0"/>
                <w:color w:val="000000"/>
                <w:sz w:val="20"/>
                <w:szCs w:val="20"/>
                <w:highlight w:val="none"/>
                <w:u w:val="none"/>
              </w:rPr>
            </w:r>
            <w:r/>
          </w:p>
        </w:tc>
        <w:tc>
          <w:tcPr>
            <w:tcW w:w="2958"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辅材配线、满足现场使用需求。</w:t>
            </w:r>
            <w:r>
              <w:rPr>
                <w:rFonts w:hint="eastAsia" w:ascii="宋体" w:hAnsi="宋体" w:eastAsia="宋体" w:cs="宋体"/>
                <w:i w:val="0"/>
                <w:iCs w:val="0"/>
                <w:color w:val="000000"/>
                <w:sz w:val="20"/>
                <w:szCs w:val="20"/>
                <w:highlight w:val="none"/>
                <w:u w:val="none"/>
              </w:rPr>
            </w:r>
            <w:r/>
          </w:p>
        </w:tc>
        <w:tc>
          <w:tcPr>
            <w:tcW w:w="30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70"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numPr>
          <w:ilvl w:val="0"/>
          <w:numId w:val="5"/>
        </w:numPr>
        <w:ind w:left="432" w:hanging="432"/>
        <w:jc w:val="both"/>
        <w:keepLines/>
        <w:keepNext/>
        <w:spacing w:beforeAutospacing="0" w:afterAutospacing="0" w:line="360" w:lineRule="auto"/>
        <w:widowControl w:val="off"/>
        <w:rPr>
          <w:rFonts w:ascii="Calibri" w:hAnsi="Calibri" w:eastAsia="宋体" w:cs="Times New Roman"/>
          <w:b/>
          <w:sz w:val="30"/>
          <w:szCs w:val="24"/>
          <w:highlight w:val="none"/>
          <w:lang w:val="en-US" w:eastAsia="zh-CN" w:bidi="ar-SA"/>
        </w:rPr>
        <w:outlineLvl w:val="0"/>
      </w:pPr>
      <w:r>
        <w:rPr>
          <w:rFonts w:hint="eastAsia" w:ascii="Calibri" w:hAnsi="Calibri" w:eastAsia="宋体" w:cs="Times New Roman"/>
          <w:b/>
          <w:sz w:val="30"/>
          <w:szCs w:val="24"/>
          <w:highlight w:val="none"/>
          <w:lang w:val="en-US" w:eastAsia="zh-CN" w:bidi="ar-SA"/>
        </w:rPr>
        <w:t xml:space="preserve">标准时钟系统</w:t>
      </w:r>
      <w:r>
        <w:rPr>
          <w:rFonts w:ascii="Calibri" w:hAnsi="Calibri" w:eastAsia="宋体" w:cs="Times New Roman"/>
          <w:b/>
          <w:sz w:val="30"/>
          <w:szCs w:val="24"/>
          <w:highlight w:val="none"/>
          <w:lang w:val="en-US" w:eastAsia="zh-CN" w:bidi="ar-SA"/>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8"/>
        <w:gridCol w:w="975"/>
        <w:gridCol w:w="5869"/>
        <w:gridCol w:w="459"/>
        <w:gridCol w:w="701"/>
        <w:gridCol w:w="701"/>
      </w:tblGrid>
      <w:tr>
        <w:trPr>
          <w:trHeight w:val="320"/>
        </w:trPr>
        <w:tc>
          <w:tcPr>
            <w:tcW w:w="250"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532"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3200"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rPr>
                <w:rFonts w:hint="eastAsia" w:ascii="宋体" w:hAnsi="宋体" w:eastAsia="宋体" w:cs="宋体"/>
                <w:b/>
                <w:bCs/>
                <w:i w:val="0"/>
                <w:iCs w:val="0"/>
                <w:color w:val="000000"/>
                <w:sz w:val="20"/>
                <w:szCs w:val="20"/>
                <w:highlight w:val="none"/>
                <w:u w:val="none"/>
              </w:rPr>
            </w:r>
            <w:r/>
          </w:p>
        </w:tc>
        <w:tc>
          <w:tcPr>
            <w:tcW w:w="250"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382"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382"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320"/>
        </w:trPr>
        <w:tc>
          <w:tcPr>
            <w:tcW w:w="250"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32"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NTP同步中心时钟系统 软件</w:t>
            </w:r>
            <w:r>
              <w:rPr>
                <w:rFonts w:hint="eastAsia" w:ascii="宋体" w:hAnsi="宋体" w:eastAsia="宋体" w:cs="宋体"/>
                <w:i w:val="0"/>
                <w:iCs w:val="0"/>
                <w:color w:val="000000"/>
                <w:sz w:val="20"/>
                <w:szCs w:val="20"/>
                <w:highlight w:val="none"/>
                <w:u w:val="none"/>
              </w:rPr>
            </w:r>
            <w:r/>
          </w:p>
        </w:tc>
        <w:tc>
          <w:tcPr>
            <w:tcW w:w="320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1、扫描时钟设备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可以通过指定网段的方式搜索部分网段下的设备，快速查询时钟状态，有系统保护机制，时钟系统有不同访问和控制权限，确保系统安全。防止中间人攻击和时间篡改。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2、配置时钟信息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可管理配置时钟设备名称，设置本地地区和母钟时源，包括IP地址、子网掩码、默认网关等，确保时钟服务器能被网络中的其他设备访问。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3、监控功能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系统支持点对点监控、自动报警功能，采用标准元器件，使相同规格的设备与部件之间具有可互换性，维护方便。支持客户端远程管理。可以查看设备详情信息。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4、时间显示格式：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定义时间显示的方式，包括时区设置、日期格式（如年月日时分秒或日期星期时分）。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5、系统操作性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采用人性化的设计，使界面整洁、直观，更由于单片机技术的引进与完善，使得系统的自动化程度很高，操作极为简单。</w:t>
            </w:r>
            <w:r>
              <w:rPr>
                <w:rFonts w:hint="eastAsia" w:ascii="宋体" w:hAnsi="宋体" w:eastAsia="宋体" w:cs="宋体"/>
                <w:i w:val="0"/>
                <w:iCs w:val="0"/>
                <w:color w:val="000000"/>
                <w:sz w:val="20"/>
                <w:szCs w:val="20"/>
                <w:highlight w:val="none"/>
                <w:u w:val="none"/>
              </w:rPr>
            </w:r>
            <w:r/>
          </w:p>
        </w:tc>
        <w:tc>
          <w:tcPr>
            <w:tcW w:w="25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82"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82"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20"/>
        </w:trPr>
        <w:tc>
          <w:tcPr>
            <w:tcW w:w="250"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32"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NTP同步中心时钟</w:t>
            </w:r>
            <w:r>
              <w:rPr>
                <w:rFonts w:hint="eastAsia" w:ascii="宋体" w:hAnsi="宋体" w:eastAsia="宋体" w:cs="宋体"/>
                <w:i w:val="0"/>
                <w:iCs w:val="0"/>
                <w:color w:val="000000"/>
                <w:sz w:val="20"/>
                <w:szCs w:val="20"/>
                <w:highlight w:val="none"/>
                <w:u w:val="none"/>
              </w:rPr>
            </w:r>
            <w:r/>
          </w:p>
        </w:tc>
        <w:tc>
          <w:tcPr>
            <w:tcW w:w="320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1、精度高：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具有NTP网络授时功能，可接收GPS和北斗卫星信号。内置高精度晶振，可在接收不到卫星信号时仍保持较高的时间精度，同时具有断电时间存储功能。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2、接口与通信方式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具有外置天线、网络接口、RS485 接口、CAN 接口、1PPS 秒脉冲接口、级联接口、报警输出接口，其中 RS485 接口、CAN 接口、级联接口具有防雷保护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3、可靠性与稳定性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平均故障间隔时间(MTBF)，≥8万小时，以保证长时间无故障运行。需要具备良好的抗干扰能力和环境适应性，确保在复杂环境中稳定工作。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4、操作性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采用具有显示亮度高、可靠性高、温度范围宽等特点的数码管作为显示，可显示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当前时间、年月日以及星期。设备具有简易菜单，可设置常用功能。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5、硬件参数规格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（1）2路及以上NTP授时端口。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（2）NTP授时精度为(1-10)毫秒。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（3）NTP请求量为5000次/秒。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（4）可选择38及以上个时区。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（5）无外部天线自走时精度&lt;15秒/年。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（6）报警输出节点容量&lt;1A/36V。</w:t>
            </w:r>
            <w:r>
              <w:rPr>
                <w:rFonts w:hint="eastAsia" w:ascii="宋体" w:hAnsi="宋体" w:eastAsia="宋体" w:cs="宋体"/>
                <w:i w:val="0"/>
                <w:iCs w:val="0"/>
                <w:color w:val="000000"/>
                <w:sz w:val="20"/>
                <w:szCs w:val="20"/>
                <w:highlight w:val="none"/>
                <w:u w:val="none"/>
              </w:rPr>
            </w:r>
            <w:r/>
          </w:p>
        </w:tc>
        <w:tc>
          <w:tcPr>
            <w:tcW w:w="25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2"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82"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20"/>
        </w:trPr>
        <w:tc>
          <w:tcPr>
            <w:tcW w:w="250"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32"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天线</w:t>
            </w:r>
            <w:r>
              <w:rPr>
                <w:rFonts w:hint="eastAsia" w:ascii="宋体" w:hAnsi="宋体" w:eastAsia="宋体" w:cs="宋体"/>
                <w:i w:val="0"/>
                <w:iCs w:val="0"/>
                <w:color w:val="000000"/>
                <w:sz w:val="20"/>
                <w:szCs w:val="20"/>
                <w:highlight w:val="none"/>
                <w:u w:val="none"/>
              </w:rPr>
            </w:r>
            <w:r/>
          </w:p>
        </w:tc>
        <w:tc>
          <w:tcPr>
            <w:tcW w:w="320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1、接口类型：BNC接头。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2、供电:（3-5）V 。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长度：≥100米。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4、接收频段 GPS L1 C/A： 1575.42±1.023MHz，BeiDou B1 C/A： 1561.098±2.046MHz。</w:t>
            </w:r>
            <w:r>
              <w:rPr>
                <w:rFonts w:hint="eastAsia" w:ascii="宋体" w:hAnsi="宋体" w:eastAsia="宋体" w:cs="宋体"/>
                <w:i w:val="0"/>
                <w:iCs w:val="0"/>
                <w:color w:val="000000"/>
                <w:sz w:val="20"/>
                <w:szCs w:val="20"/>
                <w:highlight w:val="none"/>
                <w:u w:val="none"/>
              </w:rPr>
            </w:r>
            <w:r/>
          </w:p>
        </w:tc>
        <w:tc>
          <w:tcPr>
            <w:tcW w:w="25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82"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82"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20"/>
        </w:trPr>
        <w:tc>
          <w:tcPr>
            <w:tcW w:w="250"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32"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单面日历数字时钟</w:t>
            </w:r>
            <w:r>
              <w:rPr>
                <w:rFonts w:hint="eastAsia" w:ascii="宋体" w:hAnsi="宋体" w:eastAsia="宋体" w:cs="宋体"/>
                <w:i w:val="0"/>
                <w:iCs w:val="0"/>
                <w:color w:val="000000"/>
                <w:sz w:val="20"/>
                <w:szCs w:val="20"/>
                <w:highlight w:val="none"/>
                <w:u w:val="none"/>
              </w:rPr>
            </w:r>
            <w:r/>
          </w:p>
        </w:tc>
        <w:tc>
          <w:tcPr>
            <w:tcW w:w="320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子钟功能：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具有自动刷新功能，可设置显示模式，支持网管系统的直接控制，通讯故障检测功能。单面日历数字式子钟的接口方式：以太网RJ45接口。自动获取中心母钟信号同步，支持NTP网络对时。可与计算机局域网共用网络、共用交换机，母钟信号中断可独立运行，母钟信号恢复后可自动校时。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硬件规格：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1、对比度≥10：1。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2、LED显示屏可视视角≥±65º。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3、LED显示屏MTBF≥100,000小时。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4、独立计时精度：≤±0.01秒/天。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5、同步精度：≤1-5mS。</w:t>
            </w:r>
            <w:r>
              <w:rPr>
                <w:rFonts w:hint="eastAsia" w:ascii="宋体" w:hAnsi="宋体" w:eastAsia="宋体" w:cs="宋体"/>
                <w:i w:val="0"/>
                <w:iCs w:val="0"/>
                <w:color w:val="000000"/>
                <w:sz w:val="20"/>
                <w:szCs w:val="20"/>
                <w:highlight w:val="none"/>
                <w:u w:val="none"/>
              </w:rPr>
            </w:r>
            <w:r/>
          </w:p>
        </w:tc>
        <w:tc>
          <w:tcPr>
            <w:tcW w:w="25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82"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 </w:t>
            </w:r>
            <w:r>
              <w:rPr>
                <w:rFonts w:hint="eastAsia" w:ascii="宋体" w:hAnsi="宋体" w:eastAsia="宋体" w:cs="宋体"/>
                <w:i w:val="0"/>
                <w:iCs w:val="0"/>
                <w:color w:val="000000"/>
                <w:sz w:val="20"/>
                <w:szCs w:val="20"/>
                <w:highlight w:val="none"/>
                <w:u w:val="none"/>
              </w:rPr>
            </w:r>
            <w:r/>
          </w:p>
        </w:tc>
        <w:tc>
          <w:tcPr>
            <w:tcW w:w="382"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20"/>
        </w:trPr>
        <w:tc>
          <w:tcPr>
            <w:tcW w:w="250"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32"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rPr>
                <w:rFonts w:hint="eastAsia" w:ascii="宋体" w:hAnsi="宋体" w:eastAsia="宋体" w:cs="宋体"/>
                <w:i w:val="0"/>
                <w:iCs w:val="0"/>
                <w:color w:val="000000"/>
                <w:sz w:val="20"/>
                <w:szCs w:val="20"/>
                <w:highlight w:val="none"/>
                <w:u w:val="none"/>
              </w:rPr>
            </w:r>
            <w:r/>
          </w:p>
        </w:tc>
        <w:tc>
          <w:tcPr>
            <w:tcW w:w="320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辅材配线及接插件、满足现场使用需求。</w:t>
            </w:r>
            <w:r>
              <w:rPr>
                <w:rFonts w:hint="eastAsia" w:ascii="宋体" w:hAnsi="宋体" w:eastAsia="宋体" w:cs="宋体"/>
                <w:i w:val="0"/>
                <w:iCs w:val="0"/>
                <w:color w:val="000000"/>
                <w:sz w:val="20"/>
                <w:szCs w:val="20"/>
                <w:highlight w:val="none"/>
                <w:u w:val="none"/>
              </w:rPr>
            </w:r>
            <w:r/>
          </w:p>
        </w:tc>
        <w:tc>
          <w:tcPr>
            <w:tcW w:w="25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382"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382" w:type="dxa"/>
            <w:vAlign w:val="center"/>
            <w:textDirection w:val="lrTb"/>
            <w:noWrap/>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numPr>
          <w:ilvl w:val="0"/>
          <w:numId w:val="5"/>
        </w:numPr>
        <w:ind w:left="432" w:hanging="432"/>
        <w:jc w:val="both"/>
        <w:keepLines/>
        <w:keepNext/>
        <w:spacing w:beforeAutospacing="0" w:afterAutospacing="0" w:line="360" w:lineRule="auto"/>
        <w:widowControl w:val="off"/>
        <w:rPr>
          <w:rFonts w:ascii="Calibri" w:hAnsi="Calibri" w:eastAsia="宋体" w:cs="Times New Roman"/>
          <w:b/>
          <w:sz w:val="30"/>
          <w:szCs w:val="24"/>
          <w:highlight w:val="none"/>
          <w:lang w:val="en-US" w:eastAsia="zh-CN" w:bidi="ar-SA"/>
        </w:rPr>
        <w:outlineLvl w:val="0"/>
      </w:pPr>
      <w:r>
        <w:rPr>
          <w:rFonts w:hint="eastAsia" w:ascii="Calibri" w:hAnsi="Calibri" w:eastAsia="宋体" w:cs="Times New Roman"/>
          <w:b/>
          <w:sz w:val="30"/>
          <w:szCs w:val="24"/>
          <w:highlight w:val="none"/>
          <w:lang w:val="en-US" w:eastAsia="zh-CN" w:bidi="ar-SA"/>
        </w:rPr>
        <w:t xml:space="preserve">无感查房系统</w:t>
      </w:r>
      <w:r>
        <w:rPr>
          <w:rFonts w:ascii="Calibri" w:hAnsi="Calibri" w:eastAsia="宋体" w:cs="Times New Roman"/>
          <w:b/>
          <w:sz w:val="30"/>
          <w:szCs w:val="24"/>
          <w:highlight w:val="none"/>
          <w:lang w:val="en-US" w:eastAsia="zh-CN" w:bidi="ar-SA"/>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17"/>
        <w:gridCol w:w="1097"/>
        <w:gridCol w:w="5654"/>
        <w:gridCol w:w="491"/>
        <w:gridCol w:w="752"/>
        <w:gridCol w:w="752"/>
      </w:tblGrid>
      <w:tr>
        <w:trPr>
          <w:trHeight w:val="300"/>
        </w:trPr>
        <w:tc>
          <w:tcPr>
            <w:tcW w:w="221"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600"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3085"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rPr>
            </w:r>
            <w:r/>
          </w:p>
        </w:tc>
        <w:tc>
          <w:tcPr>
            <w:tcW w:w="269"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411"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411"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300"/>
        </w:trPr>
        <w:tc>
          <w:tcPr>
            <w:tcW w:w="22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定位基站</w:t>
            </w:r>
            <w:r>
              <w:rPr>
                <w:rFonts w:hint="eastAsia" w:ascii="宋体" w:hAnsi="宋体" w:eastAsia="宋体" w:cs="宋体"/>
                <w:i w:val="0"/>
                <w:iCs w:val="0"/>
                <w:color w:val="000000"/>
                <w:sz w:val="20"/>
                <w:szCs w:val="20"/>
                <w:highlight w:val="none"/>
                <w:u w:val="none"/>
              </w:rPr>
            </w:r>
            <w:r/>
          </w:p>
        </w:tc>
        <w:tc>
          <w:tcPr>
            <w:tcW w:w="5250" w:type="dxa"/>
            <w:vAlign w:val="center"/>
            <w:textDirection w:val="lrTb"/>
            <w:noWrap w:val="false"/>
          </w:tcPr>
          <w:p>
            <w:pPr>
              <w:pStyle w:val="680"/>
              <w:numPr>
                <w:ilvl w:val="0"/>
                <w:numId w:val="15"/>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频段范围：2.4GHz-2.4835GHz。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2、▲定位精度：无遮挡条件下≤10cm。覆盖距离：高精度覆盖距离≥15m。通信距离：定位基站与配套工牌定位标签的识别距离≥100m。（提供具备CMA或CNAS标识的检测报告原件扫描件或产品官网截图）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r>
            <w:r/>
          </w:p>
          <w:p>
            <w:pPr>
              <w:pStyle w:val="680"/>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3、ID标识：唯一ID标识。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4、识别容量：单设备应能同时对≥300个二维排列平铺的定位标签进行快速识别。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5、网络形式：支持菊花链一进一出，双网口串行链接，串接数量≥8。</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6、复位功能：设备已具备一键恢复出厂设置的复位物理按键功能。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7、EMC认证：依据GB/T 17626.2-2018静电放电抗扰度≥四级、GB/T 17626.3-2016射频电磁场辐射抗扰度≥三级、GB/T 17626.8-2006工频磁场抗扰度≥四级。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8、设备外观：设备外表面应平整光洁，无毛刺、裂痕、明显变形及划痕缺陷，无剥落、起泡现象：文字符号、铭牌与标志应清晰。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9、▲工作温度：-40℃-80℃环境下，依据GB/T2423.1-2008、GB/2T423.2-2008标准方法，基站正常工作时间≥24h。（提供具备CMA或CNAS标识的检测报告原件扫描件或产品官网截图）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10、设备功耗：≤3W。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11、安装方式：支持吸顶安装，不破坏整体环境。支持支架壁装、吊装，最大安装高度≥20m。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12、抗振能力：频率(5~55~5)Hz，位移振幅0.15mm，扫频速率 1oct/min，X、Y、Z三轴向各2个循环，试验后功能应正常。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13、跌落防护能力：不带包装的情况下，设备六个面分别在1m高度自由跌落情况下，仍能正常工作。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14、机械撞击防护等级：依据GB/T20138中IK05要求，设备的外壳应无机械损伤，且应能正常工作。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15、兼容性：终端支持手机、PDA、平板等安装APP/小程序进行定位，兼容iOS/Android系统。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16、网络接口：10/100 RJ45。</w:t>
            </w:r>
            <w:r>
              <w:rPr>
                <w:rFonts w:hint="eastAsia" w:ascii="宋体" w:hAnsi="宋体" w:eastAsia="宋体" w:cs="宋体"/>
                <w:i w:val="0"/>
                <w:iCs w:val="0"/>
                <w:color w:val="000000"/>
                <w:sz w:val="20"/>
                <w:szCs w:val="20"/>
                <w:highlight w:val="none"/>
                <w:u w:val="none"/>
              </w:rPr>
            </w:r>
            <w:r/>
          </w:p>
        </w:tc>
        <w:tc>
          <w:tcPr>
            <w:tcW w:w="26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41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2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定位标签</w:t>
            </w:r>
            <w:r>
              <w:rPr>
                <w:rFonts w:hint="eastAsia" w:ascii="宋体" w:hAnsi="宋体" w:eastAsia="宋体" w:cs="宋体"/>
                <w:i w:val="0"/>
                <w:iCs w:val="0"/>
                <w:color w:val="000000"/>
                <w:sz w:val="20"/>
                <w:szCs w:val="20"/>
                <w:highlight w:val="none"/>
                <w:u w:val="none"/>
              </w:rPr>
            </w:r>
            <w:r/>
          </w:p>
        </w:tc>
        <w:tc>
          <w:tcPr>
            <w:tcW w:w="525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1、频段范围：2.4GHz ~ 2.485GHz。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2、定位精度：0.1 ~ 1m。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3、升级方式：OTA。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4、状态指示：LED闪烁/振动/蜂鸣。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5、状态报警：SOS报警/电量报警。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6、电池电量：≥480mAh/可充电锂电池。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7、充电电压：5±0.1V，1000mA。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8、充电次数：≥500次。</w:t>
            </w:r>
            <w:r>
              <w:rPr>
                <w:rFonts w:hint="eastAsia" w:ascii="宋体" w:hAnsi="宋体" w:eastAsia="宋体" w:cs="宋体"/>
                <w:i w:val="0"/>
                <w:iCs w:val="0"/>
                <w:color w:val="000000"/>
                <w:sz w:val="20"/>
                <w:szCs w:val="20"/>
                <w:highlight w:val="none"/>
                <w:u w:val="none"/>
              </w:rPr>
            </w:r>
            <w:r/>
          </w:p>
        </w:tc>
        <w:tc>
          <w:tcPr>
            <w:tcW w:w="26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41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2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1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无线定位系统 </w:t>
            </w:r>
            <w:r>
              <w:rPr>
                <w:rFonts w:hint="eastAsia" w:ascii="宋体" w:hAnsi="宋体" w:eastAsia="宋体" w:cs="宋体"/>
                <w:i w:val="0"/>
                <w:iCs w:val="0"/>
                <w:color w:val="000000"/>
                <w:sz w:val="20"/>
                <w:szCs w:val="20"/>
                <w:highlight w:val="none"/>
                <w:u w:val="none"/>
              </w:rPr>
            </w:r>
            <w:r/>
          </w:p>
        </w:tc>
        <w:tc>
          <w:tcPr>
            <w:tcW w:w="525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1、高精度定位引擎 提供实时地图定位显示、系统配置，供定位验证和调试配置使用。二次开发接口。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2、提供基于websocket的位置接口，供二次开发使用。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3、自动考勤与工时统计软件。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4、班组成员自动上下班时间确认暨考勤功能，持续累计工时统计。 </w:t>
            </w:r>
            <w:r>
              <w:rPr>
                <w:rFonts w:hint="eastAsia" w:ascii="宋体" w:hAnsi="宋体" w:eastAsia="宋体" w:cs="宋体"/>
                <w:i w:val="0"/>
                <w:iCs w:val="0"/>
                <w:color w:val="000000"/>
                <w:sz w:val="20"/>
                <w:szCs w:val="20"/>
                <w:highlight w:val="none"/>
                <w:u w:val="none"/>
              </w:rPr>
            </w:r>
            <w:r/>
          </w:p>
        </w:tc>
        <w:tc>
          <w:tcPr>
            <w:tcW w:w="26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22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1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辅材及线缆</w:t>
            </w:r>
            <w:r>
              <w:rPr>
                <w:rFonts w:hint="eastAsia" w:ascii="宋体" w:hAnsi="宋体" w:eastAsia="宋体" w:cs="宋体"/>
                <w:i w:val="0"/>
                <w:iCs w:val="0"/>
                <w:color w:val="000000"/>
                <w:sz w:val="20"/>
                <w:szCs w:val="20"/>
                <w:highlight w:val="none"/>
                <w:u w:val="none"/>
              </w:rPr>
            </w:r>
            <w:r/>
          </w:p>
        </w:tc>
        <w:tc>
          <w:tcPr>
            <w:tcW w:w="5250"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辅材配线、满足现场使用需求。</w:t>
            </w:r>
            <w:r>
              <w:rPr>
                <w:rFonts w:hint="eastAsia" w:ascii="宋体" w:hAnsi="宋体" w:eastAsia="宋体" w:cs="宋体"/>
                <w:i w:val="0"/>
                <w:iCs w:val="0"/>
                <w:color w:val="000000"/>
                <w:sz w:val="20"/>
                <w:szCs w:val="20"/>
                <w:highlight w:val="none"/>
                <w:u w:val="none"/>
              </w:rPr>
            </w:r>
            <w:r/>
          </w:p>
        </w:tc>
        <w:tc>
          <w:tcPr>
            <w:tcW w:w="26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411"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1"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numPr>
          <w:ilvl w:val="0"/>
          <w:numId w:val="5"/>
        </w:numPr>
        <w:ind w:left="432" w:hanging="432"/>
        <w:jc w:val="both"/>
        <w:keepLines/>
        <w:keepNext/>
        <w:spacing w:beforeAutospacing="0" w:afterAutospacing="0" w:line="360" w:lineRule="auto"/>
        <w:widowControl w:val="off"/>
        <w:rPr>
          <w:rFonts w:ascii="Calibri" w:hAnsi="Calibri" w:eastAsia="宋体" w:cs="Times New Roman"/>
          <w:b/>
          <w:sz w:val="30"/>
          <w:szCs w:val="24"/>
          <w:highlight w:val="none"/>
          <w:lang w:val="en-US" w:eastAsia="zh-CN" w:bidi="ar-SA"/>
        </w:rPr>
        <w:outlineLvl w:val="0"/>
      </w:pPr>
      <w:r>
        <w:rPr>
          <w:rFonts w:hint="eastAsia" w:ascii="Calibri" w:hAnsi="Calibri" w:eastAsia="宋体" w:cs="Times New Roman"/>
          <w:b/>
          <w:sz w:val="30"/>
          <w:szCs w:val="24"/>
          <w:highlight w:val="none"/>
          <w:lang w:val="en-US" w:eastAsia="zh-CN" w:bidi="ar-SA"/>
        </w:rPr>
        <w:t xml:space="preserve">输液管理</w:t>
      </w:r>
      <w:r>
        <w:rPr>
          <w:rFonts w:ascii="Calibri" w:hAnsi="Calibri" w:eastAsia="宋体" w:cs="Times New Roman"/>
          <w:b/>
          <w:sz w:val="30"/>
          <w:szCs w:val="24"/>
          <w:highlight w:val="none"/>
          <w:lang w:val="en-US" w:eastAsia="zh-CN" w:bidi="ar-SA"/>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2"/>
        <w:gridCol w:w="776"/>
        <w:gridCol w:w="5848"/>
        <w:gridCol w:w="502"/>
        <w:gridCol w:w="768"/>
        <w:gridCol w:w="769"/>
      </w:tblGrid>
      <w:tr>
        <w:trPr>
          <w:trHeight w:val="440"/>
        </w:trPr>
        <w:tc>
          <w:tcPr>
            <w:tcW w:w="274"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423"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3189"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rPr>
                <w:rFonts w:hint="eastAsia" w:ascii="宋体" w:hAnsi="宋体" w:eastAsia="宋体" w:cs="宋体"/>
                <w:b/>
                <w:bCs/>
                <w:i w:val="0"/>
                <w:iCs w:val="0"/>
                <w:color w:val="000000"/>
                <w:sz w:val="20"/>
                <w:szCs w:val="20"/>
                <w:highlight w:val="none"/>
                <w:u w:val="none"/>
              </w:rPr>
            </w:r>
            <w:r/>
          </w:p>
        </w:tc>
        <w:tc>
          <w:tcPr>
            <w:tcW w:w="274"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419"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419"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440"/>
        </w:trPr>
        <w:tc>
          <w:tcPr>
            <w:tcW w:w="274"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2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输液检测设备</w:t>
            </w:r>
            <w:r>
              <w:rPr>
                <w:rFonts w:hint="eastAsia" w:ascii="宋体" w:hAnsi="宋体" w:eastAsia="宋体" w:cs="宋体"/>
                <w:i w:val="0"/>
                <w:iCs w:val="0"/>
                <w:color w:val="000000"/>
                <w:sz w:val="20"/>
                <w:szCs w:val="20"/>
                <w:highlight w:val="none"/>
                <w:u w:val="none"/>
              </w:rPr>
            </w:r>
            <w:r/>
          </w:p>
        </w:tc>
        <w:tc>
          <w:tcPr>
            <w:tcW w:w="318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1、工作原理：电容感应 。输液模式 整瓶/半瓶计量。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2、▲检测方式：微动与电容进行输液过程监测，输液模式 整瓶/半瓶计量。气泡过滤：防止误判，智能识别过滤气泡。（提供具备CMA或CNAS标识的检测报告原件扫描件或产品官网截图）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3、安装方式：支持护士单手操作。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3、▲夹止机构寿命：夹止机构有效夹止寿命：不低于10万次。（提供具备CMA或CNAS标识的检测报告原件扫描件或产品官网截图）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4、传输方式：无线传输 2.4G Wi-Fi/蓝牙 兼容设备 安卓、Linux、鸿蒙等智能终端，支持断网重连。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5、自动防回血：系统检测到输液完成时，设备可自动控制输液管路实现断流，避免静脉回流。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6、输液结束：响应时间 ≤5S 夹止时间 ≤1S。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7、功能按键：可实现短按、长按操作，实现不同功能设备有一个功能键，功能键操作流畅、反应灵敏，支持手动开启、关闭截流，一键呼叫等功能操作。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8、声光报警：内置三色灯珠，可实现闪烁、亮/灭等，蜂鸣器用于指示当前状态。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9、输液管支持：支持单管输液管、Y型管、遮光输液管，管径范围 3.2mm至4.5mm。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10、微动检测：可以识别开始输液时设备有无正确安装至输液管，输液中输液管是否有微动和取下。</w:t>
            </w:r>
            <w:r>
              <w:rPr>
                <w:rFonts w:hint="eastAsia" w:ascii="宋体" w:hAnsi="宋体" w:eastAsia="宋体" w:cs="宋体"/>
                <w:i w:val="0"/>
                <w:iCs w:val="0"/>
                <w:color w:val="000000"/>
                <w:sz w:val="20"/>
                <w:szCs w:val="20"/>
                <w:highlight w:val="none"/>
                <w:u w:val="none"/>
              </w:rPr>
            </w:r>
            <w:r/>
          </w:p>
        </w:tc>
        <w:tc>
          <w:tcPr>
            <w:tcW w:w="274"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rPr>
                <w:rFonts w:hint="eastAsia" w:ascii="宋体" w:hAnsi="宋体" w:eastAsia="宋体" w:cs="宋体"/>
                <w:i w:val="0"/>
                <w:iCs w:val="0"/>
                <w:color w:val="000000"/>
                <w:sz w:val="20"/>
                <w:szCs w:val="20"/>
                <w:highlight w:val="none"/>
                <w:u w:val="none"/>
              </w:rPr>
            </w:r>
            <w:r/>
          </w:p>
        </w:tc>
        <w:tc>
          <w:tcPr>
            <w:tcW w:w="419" w:type="dxa"/>
            <w:vAlign w:val="center"/>
            <w:textDirection w:val="lrTb"/>
            <w:noWrap w:val="false"/>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tcW w:w="274"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2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输液一览表</w:t>
            </w:r>
            <w:r>
              <w:rPr>
                <w:rFonts w:hint="eastAsia" w:ascii="宋体" w:hAnsi="宋体" w:eastAsia="宋体" w:cs="宋体"/>
                <w:i w:val="0"/>
                <w:iCs w:val="0"/>
                <w:color w:val="000000"/>
                <w:sz w:val="20"/>
                <w:szCs w:val="20"/>
                <w:highlight w:val="none"/>
                <w:u w:val="none"/>
              </w:rPr>
            </w:r>
            <w:r/>
          </w:p>
        </w:tc>
        <w:tc>
          <w:tcPr>
            <w:tcW w:w="318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1、软件运行环境 可支持：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a.火狐、360、谷歌、IE等主流浏览器直接访问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b.可与智能护理大屏交互系统对接实时显示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c.可安装APP在安卓4.2以上版本的电视机、智能大屏运行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2、界面管理：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输液监控界面显示内容、布局方式、显示风格可个性化设置，床位图标显示个数（可大屏直接设置显示10-99张床位，床位窗口大小根据显示数量自适应调整大小）、患者信息、输液信息显示内容和位置，字号大小，整体监测界面显示风格等，均支持快速设置。床位过滤显示设置：支持设置输液监测界面的床位显示范围，可只显示用户管理范围的床位，可设置显示界面字体和语音预警中文/英文切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3、单床位窗口显示信息 / 单床位窗口可以显示以下信息：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a.床号:可从平台进行设置或接his系统自动同步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b.患者信息:可从平台进行设置或接his系统自动同步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c.输液状态:输液开始、输液中、输液结束等状态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d.输液模式：常规输液模式、精密输液模式、冲管模式（时间、比例、容量）、中途换药模式、输血模式、手术室带药模式等均可使用。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e.输液计时:当前输液剩余时间与输液的总时间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f.电量：输液器的电量百分比（红色：代表输液称电量较低。绿色：代表电量充足）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k.输液瓶数：当前次输液已经输液的瓶数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l.体温显示：显示“实时体温”“上午体温”“下午体温”“实时体温”，超过所设置阈值最大值会红色提示，低于最小值会黄色提示（可根据需求进行设置显示或者隐藏体温显示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4、预警提示栏设置 ：可大屏直接设置预警提示栏显示顺序、床位数量、显示时间、语音播报次数,且可设置提醒频次，防止用户没有听见错过提醒。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5、预警提示栏 ： 预警提示区域可分区域提示以下信息,自动预警：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a.“离线”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b.“输液结束”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c.“低电提醒”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6、基础信息展示： a.医院名称/logo:可设置医院名称和医院logo</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b.科室名称:可设置该科室接his系统自动同步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c.汇总栏:可汇总当前时间的输液异常通、输液结束、正在输液床位数量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d.日期时间：可同步时钟服务器显示当时的年、月、日、星期、时、分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7、包含≥55寸智能输液监控中央站一体机：支持≥20点红外触摸，安卓≥14.0 ，内部缓存容量：≥4GB ，内部存储容量：≥32GB，分辨率：3840×2160。</w:t>
            </w:r>
            <w:r>
              <w:rPr>
                <w:rFonts w:hint="eastAsia" w:ascii="宋体" w:hAnsi="宋体" w:eastAsia="宋体" w:cs="宋体"/>
                <w:i w:val="0"/>
                <w:iCs w:val="0"/>
                <w:color w:val="000000"/>
                <w:sz w:val="20"/>
                <w:szCs w:val="20"/>
                <w:highlight w:val="none"/>
                <w:u w:val="none"/>
              </w:rPr>
            </w:r>
            <w:r/>
          </w:p>
        </w:tc>
        <w:tc>
          <w:tcPr>
            <w:tcW w:w="274"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19" w:type="dxa"/>
            <w:vAlign w:val="center"/>
            <w:textDirection w:val="lrTb"/>
            <w:noWrap w:val="false"/>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tcW w:w="274"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21"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输液充电板</w:t>
            </w:r>
            <w:r>
              <w:rPr>
                <w:rFonts w:hint="eastAsia" w:ascii="宋体" w:hAnsi="宋体" w:eastAsia="宋体" w:cs="宋体"/>
                <w:i w:val="0"/>
                <w:iCs w:val="0"/>
                <w:color w:val="000000"/>
                <w:sz w:val="20"/>
                <w:szCs w:val="20"/>
                <w:highlight w:val="none"/>
                <w:u w:val="none"/>
              </w:rPr>
            </w:r>
            <w:r/>
          </w:p>
        </w:tc>
        <w:tc>
          <w:tcPr>
            <w:tcW w:w="5435" w:type="dxa"/>
            <w:vAlign w:val="center"/>
            <w:textDirection w:val="lrTb"/>
            <w:noWrap w:val="false"/>
          </w:tcPr>
          <w:p>
            <w:pPr>
              <w:pStyle w:val="680"/>
              <w:numPr>
                <w:ilvl w:val="0"/>
                <w:numId w:val="0"/>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1、单模块功率: ≥3.5W。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2、输入电压/电流: 220V-0.5A。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3、充电电压/电流: 5V-0.7A。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4、充电频率: 110-205 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5、充电距离: 3~10mm。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6、充电效率: ≥73%。</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7、充电数量：一个充电板同时充电数量≥10。</w:t>
            </w:r>
            <w:r>
              <w:rPr>
                <w:rFonts w:hint="eastAsia" w:ascii="宋体" w:hAnsi="宋体" w:eastAsia="宋体" w:cs="宋体"/>
                <w:i w:val="0"/>
                <w:iCs w:val="0"/>
                <w:color w:val="000000"/>
                <w:sz w:val="20"/>
                <w:szCs w:val="20"/>
                <w:highlight w:val="none"/>
                <w:u w:val="none"/>
                <w:lang w:val="en-US" w:eastAsia="zh-CN" w:bidi="ar"/>
              </w:rPr>
            </w:r>
            <w:r/>
          </w:p>
          <w:p>
            <w:pPr>
              <w:pStyle w:val="680"/>
              <w:numPr>
                <w:ilvl w:val="0"/>
                <w:numId w:val="0"/>
              </w:numPr>
              <w:ind w:lef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8、▲本设备需通过GB 4943.1-2022信息技术设备安全检测。（提供具备CMA或CNAS标识的检测报告原件扫描件或产品官网截图）</w:t>
            </w:r>
            <w:r>
              <w:rPr>
                <w:rFonts w:hint="eastAsia" w:ascii="宋体" w:hAnsi="宋体" w:eastAsia="宋体" w:cs="宋体"/>
                <w:i w:val="0"/>
                <w:iCs w:val="0"/>
                <w:color w:val="000000"/>
                <w:sz w:val="20"/>
                <w:szCs w:val="20"/>
                <w:highlight w:val="none"/>
                <w:u w:val="none"/>
              </w:rPr>
            </w:r>
            <w:r/>
          </w:p>
        </w:tc>
        <w:tc>
          <w:tcPr>
            <w:tcW w:w="274"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1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419" w:type="dxa"/>
            <w:vAlign w:val="center"/>
            <w:textDirection w:val="lrTb"/>
            <w:noWrap w:val="false"/>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tcW w:w="274"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23"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智能输液监控系统</w:t>
            </w:r>
            <w:r>
              <w:rPr>
                <w:rFonts w:hint="eastAsia" w:ascii="宋体" w:hAnsi="宋体" w:eastAsia="宋体" w:cs="宋体"/>
                <w:i w:val="0"/>
                <w:iCs w:val="0"/>
                <w:color w:val="000000"/>
                <w:sz w:val="20"/>
                <w:szCs w:val="20"/>
                <w:highlight w:val="none"/>
                <w:u w:val="none"/>
              </w:rPr>
            </w:r>
            <w:r/>
          </w:p>
        </w:tc>
        <w:tc>
          <w:tcPr>
            <w:tcW w:w="3189"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1、智能输液报警管理平台。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2、院区内各个科室配置的管理控制。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3、操作员授权处理。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4、配置管理。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5、院级输液监控查看/统计分析。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6、实时监测功能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系统通过智能输液监测装置，实时采集并监控患者输液状态，包括：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(1)输液进行中状态。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(2)输液完成状态。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7、状态联动显示提醒功能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(1)输液状态信息可实时传输并在护士站智慧看板等多样护理终端上显示。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(2)系统在关键节点（如输液进行中、输液中断）时，自动推送提醒通知给责任护士，并实现多渠道提醒（屏幕提示、声音提示等），确保护理人员及时到位处理。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8、自动防回血功能:当系统检测到输液完成时，智能装置可自动控制输液管路实现断流，避免静脉回流。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9、异常告警功能：当出现非计划中断、针头脱落等情况时手动中止时，系统应立即触发多级报警，并在护士站智慧看板上标记告警床位。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10、数据记录与追溯功能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(1)系统记录患者输液全过程数据，包括输液开始时间、报警情况、处理记录等。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(2)历史数据可按床位、患者、时间段进行查询与追溯，为护理质量评估和医疗纠纷处理提供依据。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11、护理工作实现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(1)输液信息与 HIS系统联动，自动更新护理信息。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(2)可生成输液统计报表（输液时长、完成率、报警次数等）。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(3)实现护理人员在智慧看板上进行输液任务确认、处理反馈。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12、远程升级:实现远程维护与软件升级，便于长期运行与功能扩展。</w:t>
            </w:r>
            <w:r>
              <w:rPr>
                <w:rFonts w:hint="eastAsia" w:ascii="宋体" w:hAnsi="宋体" w:eastAsia="宋体" w:cs="宋体"/>
                <w:i w:val="0"/>
                <w:iCs w:val="0"/>
                <w:color w:val="000000"/>
                <w:sz w:val="20"/>
                <w:szCs w:val="20"/>
                <w:highlight w:val="none"/>
                <w:u w:val="none"/>
              </w:rPr>
            </w:r>
            <w:r/>
          </w:p>
        </w:tc>
        <w:tc>
          <w:tcPr>
            <w:tcW w:w="274"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1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19" w:type="dxa"/>
            <w:vAlign w:val="center"/>
            <w:textDirection w:val="lrTb"/>
            <w:noWrap w:val="false"/>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numPr>
          <w:ilvl w:val="0"/>
          <w:numId w:val="5"/>
        </w:numPr>
        <w:ind w:left="432" w:hanging="432"/>
        <w:jc w:val="both"/>
        <w:keepLines/>
        <w:keepNext/>
        <w:spacing w:beforeAutospacing="0" w:afterAutospacing="0" w:line="360" w:lineRule="auto"/>
        <w:widowControl w:val="off"/>
        <w:rPr>
          <w:rFonts w:ascii="Calibri" w:hAnsi="Calibri" w:eastAsia="宋体" w:cs="Times New Roman"/>
          <w:b/>
          <w:sz w:val="30"/>
          <w:szCs w:val="24"/>
          <w:highlight w:val="none"/>
          <w:lang w:val="en-US" w:eastAsia="zh-CN" w:bidi="ar-SA"/>
        </w:rPr>
        <w:outlineLvl w:val="0"/>
      </w:pPr>
      <w:r>
        <w:rPr>
          <w:rFonts w:hint="eastAsia" w:ascii="Calibri" w:hAnsi="Calibri" w:eastAsia="宋体" w:cs="Times New Roman"/>
          <w:b/>
          <w:sz w:val="30"/>
          <w:szCs w:val="24"/>
          <w:highlight w:val="none"/>
          <w:lang w:val="en-US" w:eastAsia="zh-CN" w:bidi="ar-SA"/>
        </w:rPr>
        <w:t xml:space="preserve">信息发布</w:t>
      </w:r>
      <w:r>
        <w:rPr>
          <w:rFonts w:ascii="Calibri" w:hAnsi="Calibri" w:eastAsia="宋体" w:cs="Times New Roman"/>
          <w:b/>
          <w:sz w:val="30"/>
          <w:szCs w:val="24"/>
          <w:highlight w:val="none"/>
          <w:lang w:val="en-US" w:eastAsia="zh-CN" w:bidi="ar-SA"/>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0"/>
        <w:gridCol w:w="891"/>
        <w:gridCol w:w="5734"/>
        <w:gridCol w:w="501"/>
        <w:gridCol w:w="922"/>
        <w:gridCol w:w="701"/>
      </w:tblGrid>
      <w:tr>
        <w:trPr>
          <w:trHeight w:val="340"/>
        </w:trPr>
        <w:tc>
          <w:tcPr>
            <w:gridSpan w:val="6"/>
            <w:tcW w:w="9169"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信息发布</w:t>
            </w:r>
            <w:r>
              <w:rPr>
                <w:rFonts w:hint="eastAsia" w:ascii="宋体" w:hAnsi="宋体" w:eastAsia="宋体" w:cs="宋体"/>
                <w:b/>
                <w:bCs/>
                <w:i w:val="0"/>
                <w:iCs w:val="0"/>
                <w:color w:val="000000"/>
                <w:sz w:val="20"/>
                <w:szCs w:val="20"/>
                <w:highlight w:val="none"/>
                <w:u w:val="none"/>
              </w:rPr>
            </w:r>
            <w:r/>
          </w:p>
        </w:tc>
      </w:tr>
      <w:tr>
        <w:trPr>
          <w:trHeight w:val="340"/>
        </w:trPr>
        <w:tc>
          <w:tcPr>
            <w:tcW w:w="229"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486"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3127"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rPr>
                <w:rFonts w:hint="eastAsia" w:ascii="宋体" w:hAnsi="宋体" w:eastAsia="宋体" w:cs="宋体"/>
                <w:b/>
                <w:bCs/>
                <w:i w:val="0"/>
                <w:iCs w:val="0"/>
                <w:color w:val="000000"/>
                <w:sz w:val="20"/>
                <w:szCs w:val="20"/>
                <w:highlight w:val="none"/>
                <w:u w:val="none"/>
              </w:rPr>
            </w:r>
            <w:r/>
          </w:p>
        </w:tc>
        <w:tc>
          <w:tcPr>
            <w:tcW w:w="273"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503"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379"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340"/>
        </w:trPr>
        <w:tc>
          <w:tcPr>
            <w:tcW w:w="229"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信息发布子系统</w:t>
            </w:r>
            <w:r>
              <w:rPr>
                <w:rFonts w:hint="eastAsia" w:ascii="宋体" w:hAnsi="宋体" w:eastAsia="宋体" w:cs="宋体"/>
                <w:i w:val="0"/>
                <w:iCs w:val="0"/>
                <w:color w:val="000000"/>
                <w:sz w:val="20"/>
                <w:szCs w:val="20"/>
                <w:highlight w:val="none"/>
                <w:u w:val="none"/>
              </w:rPr>
            </w:r>
            <w:r/>
          </w:p>
        </w:tc>
        <w:tc>
          <w:tcPr>
            <w:tcW w:w="312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1、采用B/S架构设计，经过授权的内网电脑均可登录进行管理。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模板生成器，所有终端显示模板均支持通过任意拖拉拽的形式完成页面布局、样式、动画、组件属性、字段取值的灵活调整，可将页面任意分割，将排队叫号信息和多媒体素材组合显示，满足特殊场景的显示需求。（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3、支持发布医生排班信息，方便患者查询。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4、支持素材管理，可上传主流格式的图片、音频、视频等素材，并进行分组管理。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定时宣教功能，包含紧急插播、滚动字幕、视频轮播等功能。支持终端同一显示区域的图片和视频轮播功能，图像明亮清晰，视频播放连续，无动画和马赛克，画面流畅。（提供具备CMA或CNAS标识的检测报告原件扫描件或产品官网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6、所有的播放、控制、维护通过管理软件实现，支持分区、分组、分级管理的灵活管理模式。支持循环播放、插播播放、后台切换，支持按自定义时长播放。支持以星期、日期来播放指定的内容。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7、同一组的播放终端，支持图片和视频的同步播放，避免出现多个终端播出同样的内容时，各终端播放进度不一致的问题。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8、引流宣教码：各终端设备、小票中支持集成引流宣教二维码，各楼层、科室、区域可独立配置。患者扫描二维码进入智能健康宣教平台。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9、系统支持敏感词检测功能，至少带有一套敏感词库，并支持用户自行维护。对所有发布内容，系统进行敏感词自检。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10、支持审核管理，所有发布至终端显示的内容皆由管理员审核通过方能下发。</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50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229"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网络液晶一体机</w:t>
            </w:r>
            <w:r>
              <w:rPr>
                <w:rFonts w:hint="eastAsia" w:ascii="宋体" w:hAnsi="宋体" w:eastAsia="宋体" w:cs="宋体"/>
                <w:i w:val="0"/>
                <w:iCs w:val="0"/>
                <w:color w:val="000000"/>
                <w:sz w:val="20"/>
                <w:szCs w:val="20"/>
                <w:highlight w:val="none"/>
                <w:u w:val="none"/>
              </w:rPr>
            </w:r>
            <w:r/>
          </w:p>
        </w:tc>
        <w:tc>
          <w:tcPr>
            <w:tcW w:w="312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1、安卓操作系统，版本号不低于Android 9.0。CPU不低于4核，CPU主频不低于1.5GHz。运行内存不低于2G。机身存储不低于32G。尺寸不低于32英寸显示屏，分辨率不低于1920*1080，显示视角：不低于89/89/89/89deg，亮度不低于250cd/㎡。超窄边框≤14mm，四边等边。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2、支持WiFi：2.4G。一组RJ45。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3、接口：USB*2、HDMI IN*1、LINE OUT*1等。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4、支持壁挂安装（支持横装与竖装）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1、定时开关机：支持搭配管理系统，实现自动开关机功能。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2、远程控制：支持远程升级、音量控制、亮度控制等功能。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3、语音解码：获取服务器发送的加密语音信息，自动解码转码后通过内置喇叭播放。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4、安全授权：软件安全防盗机制，有效防止未入网设备对信息的截获风险。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5、队列信息展示：支持展示各队列中正在就诊、等候就诊、过号患者信息，包含排队序号和患者姓名，数据超出一屏时具备刷新、切屏、滚动等多种展示方式。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6、患者标识展示：针对不同患者类型：预约、VIP、转诊、过号、军人、长者等，可展示不同的患者标识，例如：(预)A01、(V)B02。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7、患者隐私保护：支持自由设定患者姓名的隐私保护模式，姓名的首位或中间位用“*”显示。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8、排队顺序更新：根据护士分诊台的分诊、优先、转诊、调顺序、绿通等操作，实时更新患者排队顺序。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9、语音呼叫：支持依据管理平台设定的语速语调、声音类型、播报内容格式、播报方式、播报次数等规则，实时播报被呼叫的患者信息及候诊患者信息。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10、呼叫弹窗控制：支持依据管理平台设定的呼叫模式实现仅叫就诊患者、叫一等一、叫一等二的弹窗样式。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11、信息发布：可同时展示视频、文字、图片等多种素材格式，支持定时播放定时回收。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12、定时宣教：支持紧急插播、滚动字幕、视频轮播功能，支持定时播放定时回收。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13、专家排班：支持滚动展示院内专家排班信息。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14、模式切换：支持排队叫号和信息发布功能的灵活切换，也可实现分屏组合展示。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15、投屏功能：支持切换为电视投屏，将一体机用作投屏显示使用。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16、上电自启：设备支持上电自动进入工作状态，即插即用。</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50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229"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网络液晶一体机</w:t>
            </w:r>
            <w:r>
              <w:rPr>
                <w:rFonts w:hint="eastAsia" w:ascii="宋体" w:hAnsi="宋体" w:eastAsia="宋体" w:cs="宋体"/>
                <w:i w:val="0"/>
                <w:iCs w:val="0"/>
                <w:color w:val="000000"/>
                <w:sz w:val="20"/>
                <w:szCs w:val="20"/>
                <w:highlight w:val="none"/>
                <w:u w:val="none"/>
              </w:rPr>
            </w:r>
            <w:r/>
          </w:p>
        </w:tc>
        <w:tc>
          <w:tcPr>
            <w:tcW w:w="3127"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1、安卓操作系统，版本号不低于Android 9.0。CPU不低于4核，CPU主频不低于1.5GHz。运行内存不低于2G。机身存储不低于32G。尺寸不低于55英寸显示屏，分辨率不低于1920*1080，显示视角：不低于89/89/89/89deg，亮度不低于250cd/㎡，对比度不低于5000:1，反应时间小于6.5ms。超窄边框≤14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2、支持WiFi：2.4G。一组RJ45。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3、接口：USB*2、HDMI IN*1、LINE OUT*1等。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4、支持壁挂安装（支持横装与竖装）。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1、定时开关机：支持搭配管理系统，实现自动开关机功能。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2、远程控制：支持远程升级、音量控制、亮度控制等功能。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3、语音解码：获取服务器发送的加密语音信息，自动解码转码后通过内置喇叭播放。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4、安全授权：软件安全防盗机制，有效防止未入网设备对信息的截获风险。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5、队列信息展示：支持展示各队列中正在就诊、等候就诊、过号患者信息，包含排队序号和患者姓名，数据超出一屏时具备刷新、切屏、滚动等多种展示方式。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6、患者标识展示：针对不同患者类型：预约、VIP、转诊、过号、军人、长者等，可展示不同的患者标识，例如：(预)A01、(V)B02。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7、患者隐私保护：支持自由设定患者姓名的隐私保护模式，姓名的首位或中间位用“*”显示。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8、排队顺序更新：根据护士分诊台的分诊、优先、转诊、调顺序、绿通等操作，实时更新患者排队顺序。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9、语音呼叫：支持依据管理平台设定的语速语调、声音类型、播报内容格式、播报方式、播报次数等规则，实时播报被呼叫的患者信息及候诊患者信息。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10、呼叫弹窗控制：支持依据管理平台设定的呼叫模式实现仅叫就诊患者、叫一等一、叫一等二的弹窗样式。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11、信息发布：可同时展示视频、文字、图片等多种素材格式，支持定时播放定时回收。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12、定时宣教：支持紧急插播、滚动字幕、视频轮播功能，支持定时播放定时回收。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13、专家排班：支持滚动展示院内专家排班信息。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14、模式切换：支持排队叫号和信息发布功能的灵活切换，也可实现分屏组合展示。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15、投屏功能：支持切换为电视投屏，将一体机用作投屏显示使用。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16、上电自启：设备支持上电自动进入工作状态，即插即用。</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50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79" w:type="dxa"/>
            <w:vAlign w:val="center"/>
            <w:textDirection w:val="lrTb"/>
            <w:noWrap/>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numPr>
          <w:ilvl w:val="0"/>
          <w:numId w:val="5"/>
        </w:numPr>
        <w:ind w:left="432" w:hanging="432"/>
        <w:jc w:val="both"/>
        <w:keepLines/>
        <w:keepNext/>
        <w:spacing w:beforeAutospacing="0" w:afterAutospacing="0" w:line="360" w:lineRule="auto"/>
        <w:widowControl w:val="off"/>
        <w:rPr>
          <w:rFonts w:ascii="Calibri" w:hAnsi="Calibri" w:eastAsia="宋体" w:cs="Times New Roman"/>
          <w:b/>
          <w:sz w:val="30"/>
          <w:szCs w:val="24"/>
          <w:highlight w:val="none"/>
          <w:lang w:val="en-US" w:eastAsia="zh-CN" w:bidi="ar-SA"/>
        </w:rPr>
        <w:outlineLvl w:val="0"/>
      </w:pPr>
      <w:r>
        <w:rPr>
          <w:rFonts w:hint="eastAsia" w:ascii="Calibri" w:hAnsi="Calibri" w:eastAsia="宋体" w:cs="Times New Roman"/>
          <w:b/>
          <w:sz w:val="30"/>
          <w:szCs w:val="24"/>
          <w:highlight w:val="none"/>
          <w:lang w:val="en-US" w:eastAsia="zh-CN" w:bidi="ar-SA"/>
        </w:rPr>
        <w:t xml:space="preserve">水控系统</w:t>
      </w:r>
      <w:r>
        <w:rPr>
          <w:rFonts w:ascii="Calibri" w:hAnsi="Calibri" w:eastAsia="宋体" w:cs="Times New Roman"/>
          <w:b/>
          <w:sz w:val="30"/>
          <w:szCs w:val="24"/>
          <w:highlight w:val="none"/>
          <w:lang w:val="en-US" w:eastAsia="zh-CN" w:bidi="ar-SA"/>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48"/>
        <w:gridCol w:w="1248"/>
        <w:gridCol w:w="4983"/>
        <w:gridCol w:w="585"/>
        <w:gridCol w:w="1088"/>
        <w:gridCol w:w="813"/>
      </w:tblGrid>
      <w:tr>
        <w:trPr>
          <w:trHeight w:val="192"/>
        </w:trPr>
        <w:tc>
          <w:tcPr>
            <w:tcW w:w="244"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680"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2716"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rPr>
                <w:rFonts w:hint="eastAsia" w:ascii="宋体" w:hAnsi="宋体" w:eastAsia="宋体" w:cs="宋体"/>
                <w:b/>
                <w:bCs/>
                <w:i w:val="0"/>
                <w:iCs w:val="0"/>
                <w:color w:val="000000"/>
                <w:sz w:val="20"/>
                <w:szCs w:val="20"/>
                <w:highlight w:val="none"/>
                <w:u w:val="none"/>
              </w:rPr>
            </w:r>
            <w:r/>
          </w:p>
        </w:tc>
        <w:tc>
          <w:tcPr>
            <w:tcW w:w="319"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593"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443"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540"/>
        </w:trPr>
        <w:tc>
          <w:tcPr>
            <w:tcW w:w="24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8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节水控制器</w:t>
            </w:r>
            <w:r>
              <w:rPr>
                <w:rFonts w:hint="eastAsia" w:ascii="宋体" w:hAnsi="宋体" w:eastAsia="宋体" w:cs="宋体"/>
                <w:i w:val="0"/>
                <w:iCs w:val="0"/>
                <w:color w:val="000000"/>
                <w:sz w:val="20"/>
                <w:szCs w:val="20"/>
                <w:highlight w:val="none"/>
                <w:u w:val="none"/>
              </w:rPr>
            </w:r>
            <w:r/>
          </w:p>
        </w:tc>
        <w:tc>
          <w:tcPr>
            <w:tcW w:w="271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1、防水等级:达到IP65，全密封灌胶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2、阀门控制方式:按键启动。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3、读卡距离：≤5cm。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4、读写卡速度：＜0.5秒/次。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5、电源:≤12V DC。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6、单阀功耗/双阀功率:≤10W/20W。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7、显示方式:5位数码管显示。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8、通讯方式:RS485。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9、适用环境温度:0 ℃ - 40 ℃。</w:t>
            </w:r>
            <w:r>
              <w:rPr>
                <w:rFonts w:hint="eastAsia" w:ascii="宋体" w:hAnsi="宋体" w:eastAsia="宋体" w:cs="宋体"/>
                <w:i w:val="0"/>
                <w:iCs w:val="0"/>
                <w:color w:val="000000"/>
                <w:sz w:val="20"/>
                <w:szCs w:val="20"/>
                <w:highlight w:val="none"/>
                <w:u w:val="none"/>
              </w:rPr>
            </w:r>
            <w:r/>
          </w:p>
        </w:tc>
        <w:tc>
          <w:tcPr>
            <w:tcW w:w="31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59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43" w:type="dxa"/>
            <w:vAlign w:val="center"/>
            <w:textDirection w:val="lrTb"/>
            <w:noWrap/>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52"/>
        </w:trPr>
        <w:tc>
          <w:tcPr>
            <w:tcW w:w="24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8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电磁阀</w:t>
            </w:r>
            <w:r>
              <w:rPr>
                <w:rFonts w:hint="eastAsia" w:ascii="宋体" w:hAnsi="宋体" w:eastAsia="宋体" w:cs="宋体"/>
                <w:i w:val="0"/>
                <w:iCs w:val="0"/>
                <w:color w:val="000000"/>
                <w:sz w:val="20"/>
                <w:szCs w:val="20"/>
                <w:highlight w:val="none"/>
                <w:u w:val="none"/>
              </w:rPr>
            </w:r>
            <w:r/>
          </w:p>
        </w:tc>
        <w:tc>
          <w:tcPr>
            <w:tcW w:w="271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1、电源电压：DC12V。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2、静态电流：≤500mA。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3、工作压力：0.02-0.8MPa。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4、管径：DN15。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5、介质温度：无冻结≤80℃。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6、阀体：铜。</w:t>
            </w:r>
            <w:r>
              <w:rPr>
                <w:rFonts w:hint="eastAsia" w:ascii="宋体" w:hAnsi="宋体" w:eastAsia="宋体" w:cs="宋体"/>
                <w:i w:val="0"/>
                <w:iCs w:val="0"/>
                <w:color w:val="000000"/>
                <w:sz w:val="20"/>
                <w:szCs w:val="20"/>
                <w:highlight w:val="none"/>
                <w:u w:val="none"/>
              </w:rPr>
            </w:r>
            <w:r/>
          </w:p>
        </w:tc>
        <w:tc>
          <w:tcPr>
            <w:tcW w:w="31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59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43" w:type="dxa"/>
            <w:vAlign w:val="center"/>
            <w:textDirection w:val="lrTb"/>
            <w:noWrap/>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76"/>
        </w:trPr>
        <w:tc>
          <w:tcPr>
            <w:tcW w:w="24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8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流量开关</w:t>
            </w:r>
            <w:r>
              <w:rPr>
                <w:rFonts w:hint="eastAsia" w:ascii="宋体" w:hAnsi="宋体" w:eastAsia="宋体" w:cs="宋体"/>
                <w:i w:val="0"/>
                <w:iCs w:val="0"/>
                <w:color w:val="000000"/>
                <w:sz w:val="20"/>
                <w:szCs w:val="20"/>
                <w:highlight w:val="none"/>
                <w:u w:val="none"/>
              </w:rPr>
            </w:r>
            <w:r/>
          </w:p>
        </w:tc>
        <w:tc>
          <w:tcPr>
            <w:tcW w:w="271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1、安装尺寸：4分G1/2。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2、最大输出功率：DC-250V/70W。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3、介质温度：1～90℃。</w:t>
            </w:r>
            <w:r>
              <w:rPr>
                <w:rFonts w:hint="eastAsia" w:ascii="宋体" w:hAnsi="宋体" w:eastAsia="宋体" w:cs="宋体"/>
                <w:i w:val="0"/>
                <w:iCs w:val="0"/>
                <w:color w:val="000000"/>
                <w:sz w:val="20"/>
                <w:szCs w:val="20"/>
                <w:highlight w:val="none"/>
                <w:u w:val="none"/>
              </w:rPr>
            </w:r>
            <w:r/>
          </w:p>
        </w:tc>
        <w:tc>
          <w:tcPr>
            <w:tcW w:w="31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59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43" w:type="dxa"/>
            <w:vAlign w:val="center"/>
            <w:textDirection w:val="lrTb"/>
            <w:noWrap/>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tcW w:w="24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8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电源箱</w:t>
            </w:r>
            <w:r>
              <w:rPr>
                <w:rFonts w:hint="eastAsia" w:ascii="宋体" w:hAnsi="宋体" w:eastAsia="宋体" w:cs="宋体"/>
                <w:i w:val="0"/>
                <w:iCs w:val="0"/>
                <w:color w:val="000000"/>
                <w:sz w:val="20"/>
                <w:szCs w:val="20"/>
                <w:highlight w:val="none"/>
                <w:u w:val="none"/>
              </w:rPr>
            </w:r>
            <w:r/>
          </w:p>
        </w:tc>
        <w:tc>
          <w:tcPr>
            <w:tcW w:w="271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1、每个电源柜可负载最多20个水控器。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2、电源控制柜内的变压器带有屏蔽层，屏蔽层接机壳，机壳应良好接地。变压器为12V/29A  350W。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3、漏电保护器动作电流不大于30mA。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4、供电要求：交流185V---250V,50Hz。</w:t>
            </w:r>
            <w:r>
              <w:rPr>
                <w:rFonts w:hint="eastAsia" w:ascii="宋体" w:hAnsi="宋体" w:eastAsia="宋体" w:cs="宋体"/>
                <w:i w:val="0"/>
                <w:iCs w:val="0"/>
                <w:color w:val="000000"/>
                <w:sz w:val="20"/>
                <w:szCs w:val="20"/>
                <w:highlight w:val="none"/>
                <w:u w:val="none"/>
              </w:rPr>
            </w:r>
            <w:r/>
          </w:p>
        </w:tc>
        <w:tc>
          <w:tcPr>
            <w:tcW w:w="31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43" w:type="dxa"/>
            <w:vAlign w:val="center"/>
            <w:textDirection w:val="lrTb"/>
            <w:noWrap/>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tcW w:w="24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8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发卡机</w:t>
            </w:r>
            <w:r>
              <w:rPr>
                <w:rFonts w:hint="eastAsia" w:ascii="宋体" w:hAnsi="宋体" w:eastAsia="宋体" w:cs="宋体"/>
                <w:i w:val="0"/>
                <w:iCs w:val="0"/>
                <w:color w:val="000000"/>
                <w:sz w:val="20"/>
                <w:szCs w:val="20"/>
                <w:highlight w:val="none"/>
                <w:u w:val="none"/>
              </w:rPr>
            </w:r>
            <w:r/>
          </w:p>
        </w:tc>
        <w:tc>
          <w:tcPr>
            <w:tcW w:w="271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1、供电方式：USB。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2、通讯接口类型：USB。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3、读卡距离：≤5cm。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4、支持卡类型：Mifare One。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5、通讯波特率：9600BPS。</w:t>
            </w:r>
            <w:r>
              <w:rPr>
                <w:rFonts w:hint="eastAsia" w:ascii="宋体" w:hAnsi="宋体" w:eastAsia="宋体" w:cs="宋体"/>
                <w:i w:val="0"/>
                <w:iCs w:val="0"/>
                <w:color w:val="000000"/>
                <w:sz w:val="20"/>
                <w:szCs w:val="20"/>
                <w:highlight w:val="none"/>
                <w:u w:val="none"/>
              </w:rPr>
            </w:r>
            <w:r/>
          </w:p>
        </w:tc>
        <w:tc>
          <w:tcPr>
            <w:tcW w:w="31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43" w:type="dxa"/>
            <w:vAlign w:val="center"/>
            <w:textDirection w:val="lrTb"/>
            <w:noWrap/>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tcW w:w="24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8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管理软件</w:t>
            </w:r>
            <w:r>
              <w:rPr>
                <w:rFonts w:hint="eastAsia" w:ascii="宋体" w:hAnsi="宋体" w:eastAsia="宋体" w:cs="宋体"/>
                <w:i w:val="0"/>
                <w:iCs w:val="0"/>
                <w:color w:val="000000"/>
                <w:sz w:val="20"/>
                <w:szCs w:val="20"/>
                <w:highlight w:val="none"/>
                <w:u w:val="none"/>
              </w:rPr>
            </w:r>
            <w:r/>
          </w:p>
        </w:tc>
        <w:tc>
          <w:tcPr>
            <w:tcW w:w="271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1、开户\注销管理。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2、参数设置。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3、具有报表生成与查询功能。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4、含注册码安装。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5、操作权限管理等。</w:t>
            </w:r>
            <w:r>
              <w:rPr>
                <w:rFonts w:hint="eastAsia" w:ascii="宋体" w:hAnsi="宋体" w:eastAsia="宋体" w:cs="宋体"/>
                <w:i w:val="0"/>
                <w:iCs w:val="0"/>
                <w:color w:val="000000"/>
                <w:sz w:val="20"/>
                <w:szCs w:val="20"/>
                <w:highlight w:val="none"/>
                <w:u w:val="none"/>
              </w:rPr>
            </w:r>
            <w:r/>
          </w:p>
        </w:tc>
        <w:tc>
          <w:tcPr>
            <w:tcW w:w="31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43" w:type="dxa"/>
            <w:vAlign w:val="center"/>
            <w:textDirection w:val="lrTb"/>
            <w:noWrap/>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92"/>
        </w:trPr>
        <w:tc>
          <w:tcPr>
            <w:tcW w:w="24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8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IC卡</w:t>
            </w:r>
            <w:r>
              <w:rPr>
                <w:rFonts w:hint="eastAsia" w:ascii="宋体" w:hAnsi="宋体" w:eastAsia="宋体" w:cs="宋体"/>
                <w:i w:val="0"/>
                <w:iCs w:val="0"/>
                <w:color w:val="000000"/>
                <w:sz w:val="20"/>
                <w:szCs w:val="20"/>
                <w:highlight w:val="none"/>
                <w:u w:val="none"/>
              </w:rPr>
            </w:r>
            <w:r/>
          </w:p>
        </w:tc>
        <w:tc>
          <w:tcPr>
            <w:tcW w:w="271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非接触式IC卡。</w:t>
            </w:r>
            <w:r>
              <w:rPr>
                <w:rFonts w:hint="eastAsia" w:ascii="宋体" w:hAnsi="宋体" w:eastAsia="宋体" w:cs="宋体"/>
                <w:i w:val="0"/>
                <w:iCs w:val="0"/>
                <w:color w:val="000000"/>
                <w:sz w:val="20"/>
                <w:szCs w:val="20"/>
                <w:highlight w:val="none"/>
                <w:u w:val="none"/>
              </w:rPr>
            </w:r>
            <w:r/>
          </w:p>
        </w:tc>
        <w:tc>
          <w:tcPr>
            <w:tcW w:w="31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59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443"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92"/>
        </w:trPr>
        <w:tc>
          <w:tcPr>
            <w:tcW w:w="244" w:type="dxa"/>
            <w:vAlign w:val="center"/>
            <w:textDirection w:val="lrTb"/>
            <w:noWrap/>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68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rPr>
                <w:rFonts w:hint="eastAsia" w:ascii="宋体" w:hAnsi="宋体" w:eastAsia="宋体" w:cs="宋体"/>
                <w:i w:val="0"/>
                <w:iCs w:val="0"/>
                <w:color w:val="000000"/>
                <w:sz w:val="20"/>
                <w:szCs w:val="20"/>
                <w:highlight w:val="none"/>
                <w:u w:val="none"/>
              </w:rPr>
            </w:r>
            <w:r/>
          </w:p>
        </w:tc>
        <w:tc>
          <w:tcPr>
            <w:tcW w:w="2716"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RVV2*2.5mm²、RVV4*0.5mm²、线管等。</w:t>
            </w:r>
            <w:r>
              <w:rPr>
                <w:rFonts w:hint="eastAsia" w:ascii="宋体" w:hAnsi="宋体" w:eastAsia="宋体" w:cs="宋体"/>
                <w:i w:val="0"/>
                <w:iCs w:val="0"/>
                <w:color w:val="000000"/>
                <w:sz w:val="20"/>
                <w:szCs w:val="20"/>
                <w:highlight w:val="none"/>
                <w:u w:val="none"/>
              </w:rPr>
            </w:r>
            <w:r/>
          </w:p>
        </w:tc>
        <w:tc>
          <w:tcPr>
            <w:tcW w:w="319"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593"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43" w:type="dxa"/>
            <w:vAlign w:val="center"/>
            <w:textDirection w:val="lrTb"/>
            <w:noWrap/>
          </w:tcPr>
          <w:p>
            <w:pPr>
              <w:pStyle w:val="68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rPr>
          <w:rFonts w:ascii="Calibri" w:hAnsi="Calibri" w:eastAsia="宋体" w:cs="Times New Roman"/>
          <w:sz w:val="20"/>
          <w:szCs w:val="20"/>
          <w:highlight w:val="none"/>
        </w:rPr>
      </w:pPr>
      <w:r>
        <w:rPr>
          <w:rFonts w:ascii="Calibri" w:hAnsi="Calibri" w:eastAsia="宋体" w:cs="Times New Roman"/>
          <w:sz w:val="20"/>
          <w:szCs w:val="20"/>
          <w:highlight w:val="none"/>
        </w:rPr>
      </w:r>
      <w:r/>
    </w:p>
    <w:p>
      <w:pPr>
        <w:pStyle w:val="680"/>
        <w:numPr>
          <w:ilvl w:val="0"/>
          <w:numId w:val="5"/>
        </w:numPr>
        <w:ind w:left="432" w:hanging="432"/>
        <w:jc w:val="both"/>
        <w:keepLines/>
        <w:keepNext/>
        <w:spacing w:beforeAutospacing="0" w:afterAutospacing="0" w:line="360" w:lineRule="auto"/>
        <w:widowControl w:val="off"/>
        <w:rPr>
          <w:rFonts w:ascii="Calibri" w:hAnsi="Calibri" w:eastAsia="宋体" w:cs="Times New Roman"/>
          <w:b/>
          <w:sz w:val="30"/>
          <w:szCs w:val="24"/>
          <w:highlight w:val="none"/>
          <w:lang w:val="en-US" w:eastAsia="zh-CN" w:bidi="ar-SA"/>
        </w:rPr>
        <w:outlineLvl w:val="0"/>
      </w:pPr>
      <w:r>
        <w:rPr>
          <w:rFonts w:hint="eastAsia" w:ascii="Calibri" w:hAnsi="Calibri" w:eastAsia="宋体" w:cs="Times New Roman"/>
          <w:b/>
          <w:sz w:val="30"/>
          <w:szCs w:val="24"/>
          <w:highlight w:val="none"/>
          <w:lang w:val="en-US" w:eastAsia="zh-CN" w:bidi="ar-SA"/>
        </w:rPr>
        <w:t xml:space="preserve">大屏钢架及装饰 </w:t>
      </w:r>
      <w:r>
        <w:rPr>
          <w:rFonts w:ascii="Calibri" w:hAnsi="Calibri" w:eastAsia="宋体" w:cs="Times New Roman"/>
          <w:b/>
          <w:sz w:val="30"/>
          <w:szCs w:val="24"/>
          <w:highlight w:val="none"/>
          <w:lang w:val="en-US" w:eastAsia="zh-CN" w:bidi="ar-SA"/>
        </w:rPr>
      </w:r>
      <w:r/>
    </w:p>
    <w:tbl>
      <w:tblPr>
        <w:tblW w:w="504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6"/>
        <w:gridCol w:w="1344"/>
        <w:gridCol w:w="4674"/>
        <w:gridCol w:w="695"/>
        <w:gridCol w:w="1086"/>
        <w:gridCol w:w="883"/>
      </w:tblGrid>
      <w:tr>
        <w:trPr>
          <w:trHeight w:val="240"/>
        </w:trPr>
        <w:tc>
          <w:tcPr>
            <w:tcW w:w="310"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2524"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rPr>
                <w:rFonts w:hint="eastAsia" w:ascii="宋体" w:hAnsi="宋体" w:eastAsia="宋体" w:cs="宋体"/>
                <w:b/>
                <w:bCs/>
                <w:i w:val="0"/>
                <w:iCs w:val="0"/>
                <w:color w:val="000000"/>
                <w:sz w:val="20"/>
                <w:szCs w:val="20"/>
                <w:highlight w:val="none"/>
                <w:u w:val="none"/>
              </w:rPr>
            </w:r>
            <w:r/>
          </w:p>
        </w:tc>
        <w:tc>
          <w:tcPr>
            <w:tcW w:w="375"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586"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477"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480"/>
        </w:trPr>
        <w:tc>
          <w:tcPr>
            <w:tcW w:w="310" w:type="dxa"/>
            <w:vAlign w:val="center"/>
            <w:textDirection w:val="lrTb"/>
            <w:noWrap w:val="false"/>
          </w:tcPr>
          <w:p>
            <w:pPr>
              <w:pStyle w:val="68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大厅主入口（7.36*4.16）</w:t>
            </w:r>
            <w:r>
              <w:rPr>
                <w:rFonts w:hint="eastAsia" w:ascii="宋体" w:hAnsi="宋体" w:eastAsia="宋体" w:cs="宋体"/>
                <w:b/>
                <w:bCs/>
                <w:i w:val="0"/>
                <w:iCs w:val="0"/>
                <w:color w:val="000000"/>
                <w:sz w:val="20"/>
                <w:szCs w:val="20"/>
                <w:highlight w:val="none"/>
                <w:u w:val="none"/>
              </w:rPr>
            </w:r>
            <w:r/>
          </w:p>
        </w:tc>
        <w:tc>
          <w:tcPr>
            <w:tcW w:w="2524" w:type="dxa"/>
            <w:vAlign w:val="center"/>
            <w:textDirection w:val="lrTb"/>
            <w:noWrap w:val="false"/>
          </w:tcPr>
          <w:p>
            <w:pPr>
              <w:pStyle w:val="68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75"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920"/>
        </w:trPr>
        <w:tc>
          <w:tcPr>
            <w:tcW w:w="31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框架结构及装饰</w:t>
            </w:r>
            <w:r>
              <w:rPr>
                <w:rFonts w:hint="eastAsia" w:ascii="宋体" w:hAnsi="宋体" w:eastAsia="宋体" w:cs="宋体"/>
                <w:i w:val="0"/>
                <w:iCs w:val="0"/>
                <w:color w:val="000000"/>
                <w:sz w:val="20"/>
                <w:szCs w:val="20"/>
                <w:highlight w:val="none"/>
                <w:u w:val="none"/>
              </w:rPr>
            </w:r>
            <w:r/>
          </w:p>
        </w:tc>
        <w:tc>
          <w:tcPr>
            <w:tcW w:w="252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结构及装饰，按照现场具体进行安装钢结构的设计。方管厚度≥1.2mm，钢结构必须牢固、安全、可靠，不得发生任何不稳定性故障。可满足快速安装、拆卸要求。整个安装要求：大屏整体高度与观看距离协调，符合观看习惯。</w:t>
            </w:r>
            <w:r>
              <w:rPr>
                <w:rFonts w:hint="eastAsia" w:ascii="宋体" w:hAnsi="宋体" w:eastAsia="宋体" w:cs="宋体"/>
                <w:i w:val="0"/>
                <w:iCs w:val="0"/>
                <w:color w:val="000000"/>
                <w:sz w:val="20"/>
                <w:szCs w:val="20"/>
                <w:highlight w:val="none"/>
                <w:u w:val="none"/>
              </w:rPr>
            </w:r>
            <w:r/>
          </w:p>
        </w:tc>
        <w:tc>
          <w:tcPr>
            <w:tcW w:w="375"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30.62 </w:t>
            </w: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31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住院处入口屏（4.8*2.72）</w:t>
            </w:r>
            <w:r>
              <w:rPr>
                <w:rFonts w:hint="eastAsia" w:ascii="宋体" w:hAnsi="宋体" w:eastAsia="宋体" w:cs="宋体"/>
                <w:b/>
                <w:bCs/>
                <w:i w:val="0"/>
                <w:iCs w:val="0"/>
                <w:color w:val="000000"/>
                <w:sz w:val="20"/>
                <w:szCs w:val="20"/>
                <w:highlight w:val="none"/>
                <w:u w:val="none"/>
              </w:rPr>
            </w:r>
            <w:r/>
          </w:p>
        </w:tc>
        <w:tc>
          <w:tcPr>
            <w:tcW w:w="2524" w:type="dxa"/>
            <w:vAlign w:val="center"/>
            <w:textDirection w:val="lrTb"/>
            <w:noWrap w:val="false"/>
          </w:tcPr>
          <w:p>
            <w:pPr>
              <w:pStyle w:val="68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75"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920"/>
        </w:trPr>
        <w:tc>
          <w:tcPr>
            <w:tcW w:w="31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框架结构及装饰</w:t>
            </w:r>
            <w:r>
              <w:rPr>
                <w:rFonts w:hint="eastAsia" w:ascii="宋体" w:hAnsi="宋体" w:eastAsia="宋体" w:cs="宋体"/>
                <w:i w:val="0"/>
                <w:iCs w:val="0"/>
                <w:color w:val="000000"/>
                <w:sz w:val="20"/>
                <w:szCs w:val="20"/>
                <w:highlight w:val="none"/>
                <w:u w:val="none"/>
              </w:rPr>
            </w:r>
            <w:r/>
          </w:p>
        </w:tc>
        <w:tc>
          <w:tcPr>
            <w:tcW w:w="252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结构及装饰，按照现场具体进行安装钢结构的设计。方管厚度≥1.2mm，钢结构必须牢固、安全、可靠，不得发生任何不稳定性故障。可满足快速安装、拆卸要求。整个安装要求：大屏整体高度与观看距离协调，符合观看习惯。</w:t>
            </w:r>
            <w:r>
              <w:rPr>
                <w:rFonts w:hint="eastAsia" w:ascii="宋体" w:hAnsi="宋体" w:eastAsia="宋体" w:cs="宋体"/>
                <w:i w:val="0"/>
                <w:iCs w:val="0"/>
                <w:color w:val="000000"/>
                <w:sz w:val="20"/>
                <w:szCs w:val="20"/>
                <w:highlight w:val="none"/>
                <w:u w:val="none"/>
              </w:rPr>
            </w:r>
            <w:r/>
          </w:p>
        </w:tc>
        <w:tc>
          <w:tcPr>
            <w:tcW w:w="375"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13.06 </w:t>
            </w: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31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二层候诊处全彩屏（3.84*2.24）</w:t>
            </w:r>
            <w:r>
              <w:rPr>
                <w:rFonts w:hint="eastAsia" w:ascii="宋体" w:hAnsi="宋体" w:eastAsia="宋体" w:cs="宋体"/>
                <w:b/>
                <w:bCs/>
                <w:i w:val="0"/>
                <w:iCs w:val="0"/>
                <w:color w:val="000000"/>
                <w:sz w:val="20"/>
                <w:szCs w:val="20"/>
                <w:highlight w:val="none"/>
                <w:u w:val="none"/>
              </w:rPr>
            </w:r>
            <w:r/>
          </w:p>
        </w:tc>
        <w:tc>
          <w:tcPr>
            <w:tcW w:w="2524" w:type="dxa"/>
            <w:vAlign w:val="center"/>
            <w:textDirection w:val="lrTb"/>
            <w:noWrap w:val="false"/>
          </w:tcPr>
          <w:p>
            <w:pPr>
              <w:pStyle w:val="68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75"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920"/>
        </w:trPr>
        <w:tc>
          <w:tcPr>
            <w:tcW w:w="31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框架结构及装饰</w:t>
            </w:r>
            <w:r>
              <w:rPr>
                <w:rFonts w:hint="eastAsia" w:ascii="宋体" w:hAnsi="宋体" w:eastAsia="宋体" w:cs="宋体"/>
                <w:i w:val="0"/>
                <w:iCs w:val="0"/>
                <w:color w:val="000000"/>
                <w:sz w:val="20"/>
                <w:szCs w:val="20"/>
                <w:highlight w:val="none"/>
                <w:u w:val="none"/>
              </w:rPr>
            </w:r>
            <w:r/>
          </w:p>
        </w:tc>
        <w:tc>
          <w:tcPr>
            <w:tcW w:w="252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结构及装饰，按照现场具体进行安装钢结构的设计。方管厚度≥1.2mm，钢结构必须牢固、安全、可靠，不得发生任何不稳定性故障。可满足快速安装、拆卸要求。整个安装要求：大屏整体高度与观看距离协调，符合观看习惯。</w:t>
            </w:r>
            <w:r>
              <w:rPr>
                <w:rFonts w:hint="eastAsia" w:ascii="宋体" w:hAnsi="宋体" w:eastAsia="宋体" w:cs="宋体"/>
                <w:i w:val="0"/>
                <w:iCs w:val="0"/>
                <w:color w:val="000000"/>
                <w:sz w:val="20"/>
                <w:szCs w:val="20"/>
                <w:highlight w:val="none"/>
                <w:u w:val="none"/>
              </w:rPr>
            </w:r>
            <w:r/>
          </w:p>
        </w:tc>
        <w:tc>
          <w:tcPr>
            <w:tcW w:w="375"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8.60 </w:t>
            </w: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31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住院处大厅单基色屏（8*0.48）</w:t>
            </w:r>
            <w:r>
              <w:rPr>
                <w:rFonts w:hint="eastAsia" w:ascii="宋体" w:hAnsi="宋体" w:eastAsia="宋体" w:cs="宋体"/>
                <w:b/>
                <w:bCs/>
                <w:i w:val="0"/>
                <w:iCs w:val="0"/>
                <w:color w:val="000000"/>
                <w:sz w:val="20"/>
                <w:szCs w:val="20"/>
                <w:highlight w:val="none"/>
                <w:u w:val="none"/>
              </w:rPr>
            </w:r>
            <w:r/>
          </w:p>
        </w:tc>
        <w:tc>
          <w:tcPr>
            <w:tcW w:w="2524" w:type="dxa"/>
            <w:vAlign w:val="center"/>
            <w:textDirection w:val="lrTb"/>
            <w:noWrap w:val="false"/>
          </w:tcPr>
          <w:p>
            <w:pPr>
              <w:pStyle w:val="68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75"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31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钢结构</w:t>
            </w:r>
            <w:r>
              <w:rPr>
                <w:rFonts w:hint="eastAsia" w:ascii="宋体" w:hAnsi="宋体" w:eastAsia="宋体" w:cs="宋体"/>
                <w:i w:val="0"/>
                <w:iCs w:val="0"/>
                <w:color w:val="000000"/>
                <w:sz w:val="20"/>
                <w:szCs w:val="20"/>
                <w:highlight w:val="none"/>
                <w:u w:val="none"/>
              </w:rPr>
            </w:r>
            <w:r/>
          </w:p>
        </w:tc>
        <w:tc>
          <w:tcPr>
            <w:tcW w:w="252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方管焊接框架铝塑板做防水密封处理。</w:t>
            </w:r>
            <w:r>
              <w:rPr>
                <w:rFonts w:hint="eastAsia" w:ascii="宋体" w:hAnsi="宋体" w:eastAsia="宋体" w:cs="宋体"/>
                <w:i w:val="0"/>
                <w:iCs w:val="0"/>
                <w:color w:val="000000"/>
                <w:sz w:val="20"/>
                <w:szCs w:val="20"/>
                <w:highlight w:val="none"/>
                <w:u w:val="none"/>
              </w:rPr>
            </w:r>
            <w:r/>
          </w:p>
        </w:tc>
        <w:tc>
          <w:tcPr>
            <w:tcW w:w="375"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3.84 </w:t>
            </w: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31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门诊大厅单基色屏（8*0.48）</w:t>
            </w:r>
            <w:r>
              <w:rPr>
                <w:rFonts w:hint="eastAsia" w:ascii="宋体" w:hAnsi="宋体" w:eastAsia="宋体" w:cs="宋体"/>
                <w:b/>
                <w:bCs/>
                <w:i w:val="0"/>
                <w:iCs w:val="0"/>
                <w:color w:val="000000"/>
                <w:sz w:val="20"/>
                <w:szCs w:val="20"/>
                <w:highlight w:val="none"/>
                <w:u w:val="none"/>
              </w:rPr>
            </w:r>
            <w:r/>
          </w:p>
        </w:tc>
        <w:tc>
          <w:tcPr>
            <w:tcW w:w="2524" w:type="dxa"/>
            <w:vAlign w:val="center"/>
            <w:textDirection w:val="lrTb"/>
            <w:noWrap w:val="false"/>
          </w:tcPr>
          <w:p>
            <w:pPr>
              <w:pStyle w:val="68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75"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31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钢结构</w:t>
            </w:r>
            <w:r>
              <w:rPr>
                <w:rFonts w:hint="eastAsia" w:ascii="宋体" w:hAnsi="宋体" w:eastAsia="宋体" w:cs="宋体"/>
                <w:i w:val="0"/>
                <w:iCs w:val="0"/>
                <w:color w:val="000000"/>
                <w:sz w:val="20"/>
                <w:szCs w:val="20"/>
                <w:highlight w:val="none"/>
                <w:u w:val="none"/>
              </w:rPr>
            </w:r>
            <w:r/>
          </w:p>
        </w:tc>
        <w:tc>
          <w:tcPr>
            <w:tcW w:w="252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方管焊接框架铝塑板做防水密封处理。</w:t>
            </w:r>
            <w:r>
              <w:rPr>
                <w:rFonts w:hint="eastAsia" w:ascii="宋体" w:hAnsi="宋体" w:eastAsia="宋体" w:cs="宋体"/>
                <w:i w:val="0"/>
                <w:iCs w:val="0"/>
                <w:color w:val="000000"/>
                <w:sz w:val="20"/>
                <w:szCs w:val="20"/>
                <w:highlight w:val="none"/>
                <w:u w:val="none"/>
              </w:rPr>
            </w:r>
            <w:r/>
          </w:p>
        </w:tc>
        <w:tc>
          <w:tcPr>
            <w:tcW w:w="375"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3.84 </w:t>
            </w: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31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急诊大厅单基色屏（7.36*0.48）</w:t>
            </w:r>
            <w:r>
              <w:rPr>
                <w:rFonts w:hint="eastAsia" w:ascii="宋体" w:hAnsi="宋体" w:eastAsia="宋体" w:cs="宋体"/>
                <w:b/>
                <w:bCs/>
                <w:i w:val="0"/>
                <w:iCs w:val="0"/>
                <w:color w:val="000000"/>
                <w:sz w:val="20"/>
                <w:szCs w:val="20"/>
                <w:highlight w:val="none"/>
                <w:u w:val="none"/>
              </w:rPr>
            </w:r>
            <w:r/>
          </w:p>
        </w:tc>
        <w:tc>
          <w:tcPr>
            <w:tcW w:w="2524" w:type="dxa"/>
            <w:vAlign w:val="center"/>
            <w:textDirection w:val="lrTb"/>
            <w:noWrap w:val="false"/>
          </w:tcPr>
          <w:p>
            <w:pPr>
              <w:pStyle w:val="68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75"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31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钢结构</w:t>
            </w:r>
            <w:r>
              <w:rPr>
                <w:rFonts w:hint="eastAsia" w:ascii="宋体" w:hAnsi="宋体" w:eastAsia="宋体" w:cs="宋体"/>
                <w:i w:val="0"/>
                <w:iCs w:val="0"/>
                <w:color w:val="000000"/>
                <w:sz w:val="20"/>
                <w:szCs w:val="20"/>
                <w:highlight w:val="none"/>
                <w:u w:val="none"/>
              </w:rPr>
            </w:r>
            <w:r/>
          </w:p>
        </w:tc>
        <w:tc>
          <w:tcPr>
            <w:tcW w:w="252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方管焊接框架铝塑板做防水密封处理。</w:t>
            </w:r>
            <w:r>
              <w:rPr>
                <w:rFonts w:hint="eastAsia" w:ascii="宋体" w:hAnsi="宋体" w:eastAsia="宋体" w:cs="宋体"/>
                <w:i w:val="0"/>
                <w:iCs w:val="0"/>
                <w:color w:val="000000"/>
                <w:sz w:val="20"/>
                <w:szCs w:val="20"/>
                <w:highlight w:val="none"/>
                <w:u w:val="none"/>
              </w:rPr>
            </w:r>
            <w:r/>
          </w:p>
        </w:tc>
        <w:tc>
          <w:tcPr>
            <w:tcW w:w="375"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3.53 </w:t>
            </w: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0"/>
        </w:trPr>
        <w:tc>
          <w:tcPr>
            <w:tcW w:w="310"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7F大会议室（4.8*2.74）</w:t>
            </w:r>
            <w:r>
              <w:rPr>
                <w:rFonts w:hint="eastAsia" w:ascii="宋体" w:hAnsi="宋体" w:eastAsia="宋体" w:cs="宋体"/>
                <w:b/>
                <w:bCs/>
                <w:i w:val="0"/>
                <w:iCs w:val="0"/>
                <w:color w:val="000000"/>
                <w:sz w:val="20"/>
                <w:szCs w:val="20"/>
                <w:highlight w:val="none"/>
                <w:u w:val="none"/>
              </w:rPr>
            </w:r>
            <w:r/>
          </w:p>
        </w:tc>
        <w:tc>
          <w:tcPr>
            <w:tcW w:w="2524" w:type="dxa"/>
            <w:vAlign w:val="center"/>
            <w:textDirection w:val="lrTb"/>
            <w:noWrap w:val="false"/>
          </w:tcPr>
          <w:p>
            <w:pPr>
              <w:pStyle w:val="68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75"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920"/>
        </w:trPr>
        <w:tc>
          <w:tcPr>
            <w:tcW w:w="310"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25"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框架结构及装饰</w:t>
            </w:r>
            <w:r>
              <w:rPr>
                <w:rFonts w:hint="eastAsia" w:ascii="宋体" w:hAnsi="宋体" w:eastAsia="宋体" w:cs="宋体"/>
                <w:i w:val="0"/>
                <w:iCs w:val="0"/>
                <w:color w:val="000000"/>
                <w:sz w:val="20"/>
                <w:szCs w:val="20"/>
                <w:highlight w:val="none"/>
                <w:u w:val="none"/>
              </w:rPr>
            </w:r>
            <w:r/>
          </w:p>
        </w:tc>
        <w:tc>
          <w:tcPr>
            <w:tcW w:w="2524" w:type="dxa"/>
            <w:vAlign w:val="center"/>
            <w:textDirection w:val="lrTb"/>
            <w:noWrap w:val="false"/>
          </w:tcPr>
          <w:p>
            <w:pPr>
              <w:pStyle w:val="68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结构及装饰，按照现场具体进行安装钢结构的设计。方管厚度≥1.2mm，钢结构必须牢固、安全、可靠，不得发生任何不稳定性故障。可满足快速安装、拆卸要求。整个安装要求：大屏整体高度与观看距离协调，符合观看习惯。</w:t>
            </w:r>
            <w:r>
              <w:rPr>
                <w:rFonts w:hint="eastAsia" w:ascii="宋体" w:hAnsi="宋体" w:eastAsia="宋体" w:cs="宋体"/>
                <w:i w:val="0"/>
                <w:iCs w:val="0"/>
                <w:color w:val="000000"/>
                <w:sz w:val="20"/>
                <w:szCs w:val="20"/>
                <w:highlight w:val="none"/>
                <w:u w:val="none"/>
              </w:rPr>
            </w:r>
            <w:r/>
          </w:p>
        </w:tc>
        <w:tc>
          <w:tcPr>
            <w:tcW w:w="375"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586" w:type="dxa"/>
            <w:vAlign w:val="center"/>
            <w:textDirection w:val="lrTb"/>
            <w:noWrap w:val="false"/>
          </w:tcPr>
          <w:p>
            <w:pPr>
              <w:pStyle w:val="68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13.15 </w:t>
            </w: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68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680"/>
        <w:numPr>
          <w:ilvl w:val="0"/>
          <w:numId w:val="0"/>
        </w:numPr>
        <w:ind w:firstLine="440"/>
        <w:jc w:val="left"/>
        <w:keepLines w:val="0"/>
        <w:keepNext w:val="0"/>
        <w:pageBreakBefore w:val="0"/>
        <w:spacing w:line="480" w:lineRule="exact"/>
        <w:widowControl w:val="off"/>
        <w:rPr>
          <w:rStyle w:val="821"/>
          <w:rFonts w:hint="eastAsia" w:ascii="宋体" w:hAnsi="宋体" w:eastAsia="宋体" w:cs="宋体"/>
          <w:sz w:val="24"/>
          <w:szCs w:val="24"/>
          <w:highlight w:val="none"/>
          <w:lang w:val="en-US" w:eastAsia="zh-CN" w:bidi="ar-SA"/>
        </w:rPr>
      </w:pPr>
      <w:r>
        <w:rPr>
          <w:rStyle w:val="821"/>
          <w:rFonts w:hint="eastAsia" w:ascii="宋体" w:hAnsi="宋体" w:eastAsia="宋体" w:cs="宋体"/>
          <w:sz w:val="24"/>
          <w:szCs w:val="24"/>
          <w:highlight w:val="none"/>
          <w:lang w:val="en-US" w:eastAsia="zh-CN" w:bidi="ar-SA"/>
        </w:rPr>
        <w:t xml:space="preserve">注：1、投标人在投标报价时，应充分考虑施工过程中所需的全部辅材用量和安装调试，包括但不限于损耗、浪费及不可预见因素导致的额外需求，对采购人现有在用设备拆卸及搬运、新采购设备搬运及施工调试。中标后，合同费用为固定总价，施工过程中辅材不足的，由投标人自行承担，由此产生的工期延误、质量影响及额外费用由中标供应商自行承担。</w:t>
      </w:r>
      <w:r>
        <w:rPr>
          <w:rStyle w:val="821"/>
          <w:rFonts w:hint="eastAsia" w:ascii="宋体" w:hAnsi="宋体" w:eastAsia="宋体" w:cs="宋体"/>
          <w:sz w:val="24"/>
          <w:szCs w:val="24"/>
          <w:highlight w:val="none"/>
          <w:lang w:val="en-US" w:eastAsia="zh-CN" w:bidi="ar-SA"/>
        </w:rPr>
      </w:r>
      <w:r/>
    </w:p>
    <w:p>
      <w:pPr>
        <w:pStyle w:val="680"/>
        <w:numPr>
          <w:ilvl w:val="0"/>
          <w:numId w:val="0"/>
        </w:numPr>
        <w:jc w:val="left"/>
        <w:keepLines w:val="0"/>
        <w:keepNext w:val="0"/>
        <w:pageBreakBefore w:val="0"/>
        <w:spacing w:line="480" w:lineRule="exact"/>
        <w:widowControl w:val="off"/>
        <w:rPr>
          <w:rStyle w:val="821"/>
          <w:rFonts w:hint="eastAsia" w:ascii="宋体" w:hAnsi="宋体" w:eastAsia="宋体" w:cs="宋体"/>
          <w:sz w:val="24"/>
          <w:szCs w:val="24"/>
          <w:highlight w:val="none"/>
          <w:lang w:val="en-US" w:eastAsia="zh-CN" w:bidi="ar-SA"/>
        </w:rPr>
      </w:pPr>
      <w:r>
        <w:rPr>
          <w:rFonts w:hint="eastAsia" w:ascii="宋体" w:hAnsi="宋体" w:eastAsia="宋体" w:cs="宋体"/>
          <w:b/>
          <w:bCs/>
          <w:color w:val="ff0000"/>
          <w:sz w:val="24"/>
          <w:szCs w:val="24"/>
          <w:highlight w:val="none"/>
          <w:lang w:val="en-US" w:eastAsia="zh-CN"/>
        </w:rPr>
        <w:t xml:space="preserve">2、★</w:t>
      </w:r>
      <w:r>
        <w:rPr>
          <w:rFonts w:hint="eastAsia" w:ascii="Times New Roman" w:hAnsi="Calibri" w:eastAsia="宋体" w:cs="Times New Roman"/>
          <w:b/>
          <w:bCs/>
          <w:color w:val="ff0000"/>
          <w:sz w:val="24"/>
          <w:szCs w:val="24"/>
          <w:highlight w:val="none"/>
          <w:lang w:val="en-US" w:eastAsia="zh-CN"/>
        </w:rPr>
        <w:t xml:space="preserve">投标人必须承诺其投标文件（包括产品技术参数、性能证明、资质文件等）所有资料真实、准确、有效。‌‌签订合同前需提供所投产品厂家的原厂授权书确保产品为原厂正品，招标人保留对投标人提供的资料及产品进行核查的权利，一旦发现弄虚作假，将取消其中标资格，并追究其法律责任和经济损失。（格式自拟）</w:t>
      </w:r>
      <w:r>
        <w:rPr>
          <w:rStyle w:val="821"/>
          <w:rFonts w:hint="eastAsia" w:ascii="宋体" w:hAnsi="宋体" w:eastAsia="宋体" w:cs="宋体"/>
          <w:sz w:val="24"/>
          <w:szCs w:val="24"/>
          <w:highlight w:val="none"/>
          <w:lang w:val="en-US" w:eastAsia="zh-CN" w:bidi="ar-SA"/>
        </w:rPr>
      </w:r>
      <w:r/>
    </w:p>
    <w:p>
      <w:pPr>
        <w:pStyle w:val="680"/>
        <w:jc w:val="left"/>
        <w:keepLines w:val="0"/>
        <w:keepNext w:val="0"/>
        <w:pageBreakBefore w:val="0"/>
        <w:spacing w:line="48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三、项目实施要求</w:t>
      </w:r>
      <w:r>
        <w:rPr>
          <w:rFonts w:hint="eastAsia" w:ascii="宋体" w:hAnsi="宋体" w:eastAsia="宋体" w:cs="宋体"/>
          <w:b/>
          <w:bCs/>
          <w:color w:val="000000"/>
          <w:sz w:val="28"/>
          <w:szCs w:val="28"/>
          <w:highlight w:val="none"/>
          <w:lang w:val="en-US" w:eastAsia="zh-CN" w:bidi="ar-SA"/>
        </w:rPr>
      </w:r>
      <w:r/>
    </w:p>
    <w:p>
      <w:pPr>
        <w:pStyle w:val="680"/>
        <w:ind w:firstLine="36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1.投标人在投标文件中详细描述实施方案，实施过程中的进度计划、组织架构、供货及安装、质量保证措施、调试及验收方案等。</w:t>
      </w:r>
      <w:r>
        <w:rPr>
          <w:rFonts w:hint="eastAsia" w:ascii="宋体" w:hAnsi="宋体" w:eastAsia="宋体" w:cs="宋体"/>
          <w:color w:val="000000"/>
          <w:sz w:val="24"/>
          <w:szCs w:val="24"/>
          <w:highlight w:val="none"/>
          <w:lang w:val="en-US" w:eastAsia="zh-CN" w:bidi="ar-SA"/>
        </w:rPr>
      </w:r>
      <w:r/>
    </w:p>
    <w:p>
      <w:pPr>
        <w:pStyle w:val="680"/>
        <w:ind w:firstLine="36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2.中标供应商应制定合理的项目安装施工进度计划，并严格按计划执行，保证项目在规定的时间内完成。</w:t>
      </w:r>
      <w:r>
        <w:rPr>
          <w:rFonts w:hint="eastAsia" w:ascii="宋体" w:hAnsi="宋体" w:eastAsia="宋体" w:cs="宋体"/>
          <w:color w:val="000000"/>
          <w:sz w:val="24"/>
          <w:szCs w:val="24"/>
          <w:highlight w:val="none"/>
          <w:lang w:val="en-US" w:eastAsia="zh-CN" w:bidi="ar-SA"/>
        </w:rPr>
      </w:r>
      <w:r/>
    </w:p>
    <w:p>
      <w:pPr>
        <w:pStyle w:val="680"/>
        <w:ind w:firstLine="36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组建不少于5人的项目团队，其中包含1名项目负责人。项目团队需列明职责分工，负责对参与项目实施的各方技术人员进行产品、技术培训，提供项目整体实施和试点工作的技术方案，对项目实施过程中出现的疑难问题提供技术支持。项目团队人员未经采购人同意，中标供应商不得调换和撤离，并按项目进度及时安排到位。采购人有权要求中标供应商撤换工作不负责任、管理不力、贻误工期和造成严重的安全事故和工程质量事故、违法乱纪的专业技术、管理人员直至技术负责人，直至采购人满意为止。</w:t>
      </w:r>
      <w:r>
        <w:rPr>
          <w:rFonts w:hint="eastAsia" w:ascii="宋体" w:hAnsi="宋体" w:eastAsia="宋体" w:cs="宋体"/>
          <w:color w:val="000000"/>
          <w:sz w:val="24"/>
          <w:szCs w:val="24"/>
          <w:highlight w:val="none"/>
          <w:lang w:val="en-US" w:eastAsia="zh-CN" w:bidi="ar-SA"/>
        </w:rPr>
      </w:r>
      <w:r/>
    </w:p>
    <w:p>
      <w:pPr>
        <w:pStyle w:val="680"/>
        <w:ind w:firstLine="36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4.所有安装材料质量及施工质量必须严格按照国家规范及江苏省、宿迁市相应地方规范、招标文件、材料厂家的技术规范的有关要求执行；并提供详细的实施质量保证方案。</w:t>
      </w:r>
      <w:r>
        <w:rPr>
          <w:rFonts w:hint="eastAsia" w:ascii="宋体" w:hAnsi="宋体" w:eastAsia="宋体" w:cs="宋体"/>
          <w:color w:val="000000"/>
          <w:sz w:val="24"/>
          <w:szCs w:val="24"/>
          <w:highlight w:val="none"/>
          <w:lang w:val="en-US" w:eastAsia="zh-CN" w:bidi="ar-SA"/>
        </w:rPr>
      </w:r>
      <w:r/>
    </w:p>
    <w:p>
      <w:pPr>
        <w:pStyle w:val="680"/>
        <w:ind w:firstLine="36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5.中标供应商应对安装施工安全、质量全面负责，如因中标供应商原因造成质量、安全事故，由其承担一切经济法律责任。中标供应商应配备专业的技术人员实施项目。</w:t>
      </w:r>
      <w:r>
        <w:rPr>
          <w:rFonts w:hint="eastAsia" w:ascii="宋体" w:hAnsi="宋体" w:eastAsia="宋体" w:cs="宋体"/>
          <w:color w:val="000000"/>
          <w:sz w:val="24"/>
          <w:szCs w:val="24"/>
          <w:highlight w:val="none"/>
          <w:lang w:val="en-US" w:eastAsia="zh-CN" w:bidi="ar-SA"/>
        </w:rPr>
      </w:r>
      <w:r/>
    </w:p>
    <w:p>
      <w:pPr>
        <w:pStyle w:val="680"/>
        <w:ind w:firstLine="36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6.施工期间，中标供应商应无条件的接受采购方的质量监督，提出的质量问题要及时整改，整改完毕后通知采购方检查验收，合格后书面报送采购单位备案。</w:t>
      </w:r>
      <w:r>
        <w:rPr>
          <w:rFonts w:hint="eastAsia" w:ascii="宋体" w:hAnsi="宋体" w:eastAsia="宋体" w:cs="宋体"/>
          <w:color w:val="000000"/>
          <w:sz w:val="24"/>
          <w:szCs w:val="24"/>
          <w:highlight w:val="none"/>
          <w:lang w:val="en-US" w:eastAsia="zh-CN" w:bidi="ar-SA"/>
        </w:rPr>
      </w:r>
      <w:r/>
    </w:p>
    <w:p>
      <w:pPr>
        <w:pStyle w:val="680"/>
        <w:ind w:firstLine="36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中标供应商应建立健全质量检查制度，严格工序管理，本着谁施工谁负责产品保护，谁破坏产品谁负责赔偿的原则，中标供应商必须采取切实有效的产品保护措施，并编制相应的产品保护方案报采购单位批准同意后组织实施。</w:t>
      </w:r>
      <w:r>
        <w:rPr>
          <w:rFonts w:hint="eastAsia" w:ascii="宋体" w:hAnsi="宋体" w:eastAsia="宋体" w:cs="宋体"/>
          <w:color w:val="000000"/>
          <w:sz w:val="24"/>
          <w:szCs w:val="24"/>
          <w:highlight w:val="none"/>
          <w:lang w:val="en-US" w:eastAsia="zh-CN" w:bidi="ar-SA"/>
        </w:rPr>
      </w:r>
      <w:r/>
    </w:p>
    <w:p>
      <w:pPr>
        <w:pStyle w:val="680"/>
        <w:jc w:val="left"/>
        <w:keepLines w:val="0"/>
        <w:keepNext w:val="0"/>
        <w:pageBreakBefore w:val="0"/>
        <w:spacing w:line="48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四、培训要求</w:t>
      </w:r>
      <w:r>
        <w:rPr>
          <w:rFonts w:hint="eastAsia" w:ascii="宋体" w:hAnsi="宋体" w:eastAsia="宋体" w:cs="宋体"/>
          <w:b/>
          <w:bCs/>
          <w:color w:val="000000"/>
          <w:sz w:val="28"/>
          <w:szCs w:val="28"/>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每年提供至少一次系统的培训，包含对各类投保设备的理论知识培训以及现场实际操作培训。工程师在现场向采购人介绍产品结构、调试步骤、使用操作、日常维护等，使用户掌握正确的正常操作程序和处理紧急情况的能力。</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tabs>
          <w:tab w:val="left" w:pos="169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2.培训费用均包含在本次报价中。</w:t>
      </w:r>
      <w:r>
        <w:rPr>
          <w:rFonts w:hint="eastAsia" w:ascii="宋体" w:hAnsi="宋体" w:eastAsia="宋体" w:cs="宋体"/>
          <w:color w:val="000000"/>
          <w:sz w:val="24"/>
          <w:szCs w:val="24"/>
          <w:highlight w:val="none"/>
          <w:lang w:val="en-US" w:eastAsia="zh-CN" w:bidi="ar-SA"/>
        </w:rPr>
      </w:r>
      <w:r/>
    </w:p>
    <w:p>
      <w:pPr>
        <w:pStyle w:val="680"/>
        <w:jc w:val="left"/>
        <w:keepLines w:val="0"/>
        <w:keepNext w:val="0"/>
        <w:pageBreakBefore w:val="0"/>
        <w:spacing w:line="48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五、项目验收要求</w:t>
      </w:r>
      <w:r>
        <w:rPr>
          <w:rFonts w:hint="eastAsia" w:ascii="宋体" w:hAnsi="宋体" w:eastAsia="宋体" w:cs="宋体"/>
          <w:b/>
          <w:bCs/>
          <w:color w:val="000000"/>
          <w:sz w:val="28"/>
          <w:szCs w:val="28"/>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1.项目安装调试完毕，并提交完整的技术资料向采购人申请验收，采购人在五个工作日内组织验收。采购人对中标供应商提交的货物依据采购文件上的技术规格要求和国家有关质量标准进行签收。</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2.因本项目涉及到的改造、扩容较多且均为采购人重要设备间所使用的动力保障，因此参与本项目的投标单位所提供的产品必须符合国家、地方、行业的相关规定。</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3.中标供应商交货前应对产品作出全面检查和对验收文件进行整理，并列出清单，作为采购人收货验收和使用的技术条件依据，检验的结果应随货物交采购人。</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4.采购人对中标供应商提供的货物在使用前进行调试时，中标供应商需负责安装并培训采购人的使用操作人员，并协助采购人一起调试，直到符合技术要求。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5.验收时中标供应商必须在现场，验收完毕后作出验收结果报告。</w:t>
      </w:r>
      <w:r>
        <w:rPr>
          <w:rFonts w:hint="eastAsia" w:ascii="宋体" w:hAnsi="宋体" w:eastAsia="宋体" w:cs="宋体"/>
          <w:color w:val="000000"/>
          <w:sz w:val="24"/>
          <w:szCs w:val="24"/>
          <w:highlight w:val="none"/>
          <w:lang w:val="en-US" w:eastAsia="zh-CN" w:bidi="ar-SA"/>
        </w:rPr>
      </w:r>
      <w:r/>
    </w:p>
    <w:p>
      <w:pPr>
        <w:pStyle w:val="680"/>
        <w:jc w:val="left"/>
        <w:keepLines w:val="0"/>
        <w:keepNext w:val="0"/>
        <w:pageBreakBefore w:val="0"/>
        <w:spacing w:line="48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六、应急响应要求</w:t>
      </w:r>
      <w:r>
        <w:rPr>
          <w:rFonts w:hint="eastAsia" w:ascii="宋体" w:hAnsi="宋体" w:eastAsia="宋体" w:cs="宋体"/>
          <w:b/>
          <w:bCs/>
          <w:color w:val="000000"/>
          <w:sz w:val="28"/>
          <w:szCs w:val="28"/>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1.建立分级应急响应机制，明确一般故障、重大故障、突发事故的判定标准，对应制定10分钟内电话响应、2小时内现场处置、24小时内解决故障的响应流程。</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2.应急响应方案需明确编制目的、适用场景及应急原则，确保方案针对性、导向性清晰。</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3.需建立分级应急响应机制，明确一般故障、重大故障、突发事故的判定标准，对应制定差异化处置流程，确保响应分级科学可执行。</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4.规范应急管理机制，明确应急指挥体系、人员联络清单（24 小时畅通）、应急报告流程，确保方案落地可行性。</w:t>
      </w:r>
      <w:r>
        <w:rPr>
          <w:rFonts w:hint="eastAsia" w:ascii="宋体" w:hAnsi="宋体" w:eastAsia="宋体" w:cs="宋体"/>
          <w:color w:val="000000"/>
          <w:sz w:val="24"/>
          <w:szCs w:val="24"/>
          <w:highlight w:val="none"/>
          <w:lang w:val="en-US" w:eastAsia="zh-CN" w:bidi="ar-SA"/>
        </w:rPr>
      </w:r>
      <w:r/>
    </w:p>
    <w:p>
      <w:pPr>
        <w:pStyle w:val="680"/>
        <w:jc w:val="left"/>
        <w:keepLines w:val="0"/>
        <w:keepNext w:val="0"/>
        <w:pageBreakBefore w:val="0"/>
        <w:spacing w:line="48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七、售后服务要求</w:t>
      </w:r>
      <w:r>
        <w:rPr>
          <w:rFonts w:hint="eastAsia" w:ascii="宋体" w:hAnsi="宋体" w:eastAsia="宋体" w:cs="宋体"/>
          <w:b/>
          <w:bCs/>
          <w:color w:val="000000"/>
          <w:sz w:val="28"/>
          <w:szCs w:val="28"/>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1.售后服务期内，中标供应商对产品质量实行三包，因设备配置或制造质量问题而引起的故障，中标供应商应在24小时内立即予以维修或更换，由此引起的一切费用由中标供应商承担。</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2.技术支持响应时间。一般问题10分钟内电话支持，难点、重点问题2小时内现场解决，相关费用由中标供应商承担，售后服务期满后中标供应商收取成本费。</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3.中标供应商在维保行为与维保工程结束时需经过采购人确认。</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4.如中标供应商在接到采购方多次通知和催促后仍未能及时前来检测维护，或两次以上未能修复的，采购人有权请第三方介入检测维护，由此引起的费用由中标供应商支付。</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5.中标供应商在施工过程中对施工现场的材料、工具及成品做好保护工作，并保证工作区域的整洁。</w:t>
      </w:r>
      <w:r>
        <w:rPr>
          <w:rFonts w:hint="eastAsia" w:ascii="宋体" w:hAnsi="宋体" w:eastAsia="宋体" w:cs="宋体"/>
          <w:color w:val="000000"/>
          <w:sz w:val="24"/>
          <w:szCs w:val="24"/>
          <w:highlight w:val="none"/>
          <w:lang w:val="en-US" w:eastAsia="zh-CN" w:bidi="ar-SA"/>
        </w:rPr>
      </w:r>
      <w:r/>
    </w:p>
    <w:p>
      <w:pPr>
        <w:pStyle w:val="680"/>
        <w:jc w:val="left"/>
        <w:keepLines w:val="0"/>
        <w:keepNext w:val="0"/>
        <w:pageBreakBefore w:val="0"/>
        <w:spacing w:line="48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八、其它要求</w:t>
      </w:r>
      <w:r>
        <w:rPr>
          <w:rFonts w:hint="eastAsia" w:ascii="宋体" w:hAnsi="宋体" w:eastAsia="宋体" w:cs="宋体"/>
          <w:b/>
          <w:bCs/>
          <w:color w:val="000000"/>
          <w:sz w:val="28"/>
          <w:szCs w:val="28"/>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中标供应商需满足所有功能要求，有义务保证整体项目的完整性，投标人应在投标文件中考虑部分链接运行配件的情况，并予以补充。如项目实施过程中因缺少设备、配件或服务导致采购人项目无法正常运行，中标供应商应及时提供。除采购人明确提出的变更外，本项目不再增加任何费用。</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    2.设备到货后，采购单位与中标供应商共同配合有关部门对所有设备进行开箱检查，出现损坏、数量不全或产品不对等问题时，由中标供应商负责解决。</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3.中标供应商应根据采购人的需要，在规定的时间内，保证质量完成投标所提供设备的使用规划、安装、调试及投入运行。</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4.设备安装、调试所需的车辆、工具、仪表及安装材料由中标供应商自行解决。施工过程应严格执行相关的强弱电施工规范，并保证施工安全。</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5.中标供应商应要求所投设备的原厂商工程师到现场指导安装服务。</w:t>
      </w:r>
      <w:r>
        <w:rPr>
          <w:rFonts w:hint="eastAsia" w:ascii="宋体" w:hAnsi="宋体" w:eastAsia="宋体" w:cs="宋体"/>
          <w:color w:val="000000"/>
          <w:sz w:val="24"/>
          <w:szCs w:val="24"/>
          <w:highlight w:val="none"/>
          <w:lang w:val="en-US" w:eastAsia="zh-CN" w:bidi="ar-SA"/>
        </w:rPr>
      </w:r>
      <w:r/>
    </w:p>
    <w:p>
      <w:pPr>
        <w:pStyle w:val="680"/>
        <w:jc w:val="left"/>
        <w:keepLines w:val="0"/>
        <w:keepNext w:val="0"/>
        <w:pageBreakBefore w:val="0"/>
        <w:spacing w:line="48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九、商品包装环保要求</w:t>
      </w:r>
      <w:r>
        <w:rPr>
          <w:rFonts w:hint="eastAsia" w:ascii="宋体" w:hAnsi="宋体" w:eastAsia="宋体" w:cs="宋体"/>
          <w:b/>
          <w:bCs/>
          <w:color w:val="000000"/>
          <w:sz w:val="28"/>
          <w:szCs w:val="28"/>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1.商品包装层数不得超过 3 层，空隙率不大于 40%；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2.商品包装尽可能使用单一材质的包装材料，如因功能需求必需使用不同材质，不同材质间应便于分离；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3.商品包装中铅、汞、镉、六价铬的总含量应不大于100mg/kg；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4.商品包装印刷使用的油墨中挥发性有机化合物(VOCs) 含量应不大于 5%（以重量计）；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5.塑料材质商品包装上呈现的印刷颜色不得超过6色；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6.纸质商品包装应使用75%以上的可再生纤维原料生产；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7.木质商品包装的原料应来源于可持续性森林。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rPr>
          <w:rFonts w:hint="eastAsia" w:ascii="宋体" w:hAnsi="宋体" w:eastAsia="宋体" w:cs="宋体"/>
          <w:color w:val="000000"/>
          <w:sz w:val="24"/>
          <w:szCs w:val="24"/>
          <w:highlight w:val="none"/>
          <w:lang w:val="en-US" w:eastAsia="zh-CN" w:bidi="ar-SA"/>
        </w:rPr>
      </w:r>
      <w:r/>
    </w:p>
    <w:p>
      <w:pPr>
        <w:pStyle w:val="680"/>
        <w:jc w:val="left"/>
        <w:keepLines w:val="0"/>
        <w:keepNext w:val="0"/>
        <w:pageBreakBefore w:val="0"/>
        <w:spacing w:line="48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十、快递包装环保要求</w:t>
      </w:r>
      <w:r>
        <w:rPr>
          <w:rFonts w:hint="eastAsia" w:ascii="宋体" w:hAnsi="宋体" w:eastAsia="宋体" w:cs="宋体"/>
          <w:b/>
          <w:bCs/>
          <w:color w:val="000000"/>
          <w:sz w:val="28"/>
          <w:szCs w:val="28"/>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1.快递包装中重金属（铅、汞、镉、六价铬）总量应不大于100mg/kg；</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2.快递包装印刷使用的油墨中不应添加邻苯二甲酸酯，其挥发性有机化合物(VOCs)含量应不大于5%（以重量计）；</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3.快递包装中使用纸基材的包装材料，纸基材中的有机氯的含量应不大于150 mg/kg；</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5.快递中使用的塑料包装袋不得使用聚氯乙烯作为原料，且原料应为单一材质制成，生物分解率大于60%；</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6.快递中使用的充气类填充物不得使用聚氯乙烯作为原料，且原料为单一材质制成，生物分解率大于60%；</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7.快递中使用的集装袋应为单一材质制成，其重复使用次数应不小于80次；</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8.快递中应使用幅宽不大于45mm 的生物降解胶带；</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9.快递包装中不得使用溶剂型胶粘剂；</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10.快递应使用电子面单；</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11.直接使用商品包装作为快递包装的商品，其商品包装满足《商品包装政府采购需求标准（试行）》即可；</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12.快递包装产品质量和封装方式应符合相关国家或行业标准技术指标要求。</w:t>
      </w:r>
      <w:r>
        <w:rPr>
          <w:rFonts w:hint="eastAsia" w:ascii="宋体" w:hAnsi="宋体" w:eastAsia="宋体" w:cs="宋体"/>
          <w:color w:val="000000"/>
          <w:sz w:val="24"/>
          <w:szCs w:val="24"/>
          <w:highlight w:val="none"/>
          <w:lang w:val="en-US" w:eastAsia="zh-CN" w:bidi="ar-SA"/>
        </w:rPr>
      </w:r>
      <w:r/>
    </w:p>
    <w:p>
      <w:pPr>
        <w:pStyle w:val="680"/>
        <w:jc w:val="left"/>
        <w:keepLines w:val="0"/>
        <w:keepNext w:val="0"/>
        <w:pageBreakBefore w:val="0"/>
        <w:spacing w:line="48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十一、绿色数据中心要求</w:t>
      </w:r>
      <w:r>
        <w:rPr>
          <w:rFonts w:hint="eastAsia" w:ascii="宋体" w:hAnsi="宋体" w:eastAsia="宋体" w:cs="宋体"/>
          <w:b/>
          <w:bCs/>
          <w:color w:val="000000"/>
          <w:sz w:val="28"/>
          <w:szCs w:val="28"/>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投标人在投标文件中提供符合以下要求的承诺函电子件（加盖公章，承诺函格详见附件）。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根据《绿色数据中心政府采购需求标准（试行）》有关要求，供应商提供的运维服务应符合以下标准：</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1.基本要求</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1.1相关设备和服务应符合相应法律法规和强制性标准的要求。</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1.2相关设备和服务应当优先选用新能源、液冷、分布式供电、模块化机房等高效方案。</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2.备件品要求</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2.1质量超过 25g 的塑料部件需采用单一类型聚合物或者共聚物，不得含有无法从塑料中分离出来的金属物。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2.2在外壳、防护部件的塑胶部件上除企业名称、商标及产品型号、功能性指示信息外，不得喷涂装饰性图案。</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 除电线电缆外, 质量大于 25g 的塑料零件中不得添加含有邻苯二甲酸二异丁酯(DIBP)（CAS 号：84-69-5）、邻苯二甲酸二（2-乙基）己酯(DEHP)( CAS 号：117-81-7)、邻苯二甲酸丁基苄基酯(BBP)(CAS 号：85-68-7)、邻苯二甲酸二丁酯(DBP)的增塑剂（CAS号：84-74-2）。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 任何设备、产品或部件中禁止使用或添加多溴联苯、多氯联苯、多溴二苯醚、六溴环十二烷（HBCDD）、短链氯化石蜡（SCCPs）、全氟辛基磺酸及其盐类等持久性有机污染物。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 质量大于 25g 的塑料部件不得添加含有磷酸三(2-氯乙基)酯（TCEP）（CAS 号： 115-96-8）、磷酸三(2-氯丙基)酯（TCPP）（CAS 号：13674-84-5）、磷酸三(2,3-二氯丙基) 酯（TDCP）（CAS 号：78-43-3）的阻燃剂。  </w:t>
      </w:r>
      <w:r>
        <w:rPr>
          <w:rFonts w:hint="eastAsia"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 产品零件中不使用三丁基锡（TBT）和三苯基锡（TPT）。</w:t>
      </w:r>
      <w:r>
        <w:rPr>
          <w:rFonts w:hint="eastAsia" w:ascii="宋体" w:hAnsi="宋体" w:eastAsia="宋体" w:cs="宋体"/>
          <w:color w:val="000000"/>
          <w:sz w:val="24"/>
          <w:szCs w:val="24"/>
          <w:highlight w:val="none"/>
          <w:lang w:val="en-US" w:eastAsia="zh-CN" w:bidi="ar-SA"/>
        </w:rPr>
      </w:r>
      <w:r/>
    </w:p>
    <w:p>
      <w:pPr>
        <w:pStyle w:val="680"/>
        <w:rPr>
          <w:rFonts w:ascii="Times New Roman" w:hAnsi="Times New Roman" w:eastAsia="宋体" w:cs="Times New Roman"/>
          <w:highlight w:val="none"/>
        </w:rPr>
      </w:pPr>
      <w:r>
        <w:rPr>
          <w:rFonts w:ascii="Times New Roman" w:hAnsi="Times New Roman" w:eastAsia="宋体" w:cs="Times New Roman"/>
          <w:highlight w:val="none"/>
        </w:rPr>
      </w:r>
      <w:r/>
    </w:p>
    <w:p>
      <w:pPr>
        <w:pStyle w:val="680"/>
        <w:ind w:firstLine="480"/>
        <w:jc w:val="left"/>
        <w:keepLines w:val="0"/>
        <w:keepNext w:val="0"/>
        <w:pageBreakBefore w:val="0"/>
        <w:spacing w:line="48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680"/>
        <w:ind w:firstLine="480"/>
        <w:jc w:val="left"/>
        <w:keepLines w:val="0"/>
        <w:keepNext w:val="0"/>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rPr>
          <w:rFonts w:hint="eastAsia" w:ascii="Times New Roman" w:hAnsi="Times New Roman" w:eastAsia="黑体"/>
          <w:bCs/>
          <w:caps w:val="0"/>
          <w:color w:val="000000"/>
          <w:sz w:val="44"/>
          <w:highlight w:val="none"/>
        </w:rPr>
      </w:pPr>
      <w:r/>
      <w:bookmarkStart w:id="207" w:name="_Toc120614281"/>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r>
      <w:r/>
    </w:p>
    <w:p>
      <w:pPr>
        <w:pStyle w:val="681"/>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评标方法与评标标准</w:t>
      </w:r>
      <w:r>
        <w:rPr>
          <w:rFonts w:hint="eastAsia" w:ascii="Times New Roman" w:hAnsi="Times New Roman" w:eastAsia="黑体"/>
          <w:bCs/>
          <w:caps w:val="0"/>
          <w:color w:val="000000"/>
          <w:sz w:val="44"/>
          <w:highlight w:val="none"/>
        </w:rPr>
      </w:r>
      <w:r/>
    </w:p>
    <w:p>
      <w:pPr>
        <w:pStyle w:val="680"/>
        <w:jc w:val="both"/>
        <w:spacing w:line="500" w:lineRule="exact"/>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一、资格审查。</w:t>
      </w:r>
      <w:r>
        <w:rPr>
          <w:rFonts w:hint="eastAsia" w:ascii="Times New Roman" w:hAnsi="Times New Roman" w:eastAsia="宋体"/>
          <w:caps w:val="0"/>
          <w:color w:val="000000"/>
          <w:sz w:val="24"/>
          <w:highlight w:val="non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highlight w:val="none"/>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680"/>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资格审查因素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680"/>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680"/>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投标声明及承诺函</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680"/>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680"/>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信用信息</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680"/>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680"/>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联合体投标</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680"/>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不接受联合体投标</w:t>
            </w:r>
            <w:r>
              <w:rPr>
                <w:rFonts w:ascii="Times New Roman" w:hAnsi="Times New Roman"/>
                <w:caps w:val="0"/>
                <w:color w:val="000000"/>
                <w:sz w:val="21"/>
                <w:szCs w:val="22"/>
                <w:highlight w:val="none"/>
                <w:lang w:val="en-US" w:eastAsia="zh-CN" w:bidi="ar-SA"/>
              </w:rPr>
            </w:r>
            <w:r/>
          </w:p>
        </w:tc>
      </w:tr>
    </w:tbl>
    <w:p>
      <w:pPr>
        <w:pStyle w:val="680"/>
        <w:jc w:val="both"/>
        <w:spacing w:line="500" w:lineRule="exact"/>
        <w:rPr>
          <w:rFonts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二、</w:t>
      </w:r>
      <w:r>
        <w:rPr>
          <w:rFonts w:hint="eastAsia" w:ascii="Times New Roman" w:hAnsi="Times New Roman" w:eastAsia="仿宋_GB2312"/>
          <w:b/>
          <w:caps w:val="0"/>
          <w:color w:val="000000"/>
          <w:sz w:val="28"/>
          <w:szCs w:val="22"/>
          <w:highlight w:val="none"/>
        </w:rPr>
        <w:t xml:space="preserve">符合性审查。</w:t>
      </w:r>
      <w:r>
        <w:rPr>
          <w:rFonts w:hint="eastAsia"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highlight w:val="none"/>
        </w:rPr>
      </w:r>
      <w:r/>
    </w:p>
    <w:tbl>
      <w:tblPr>
        <w:tblW w:w="501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W w:w="2499" w:type="dxa"/>
            <w:vAlign w:val="center"/>
            <w:textDirection w:val="lrTb"/>
            <w:noWrap w:val="false"/>
          </w:tcPr>
          <w:p>
            <w:pPr>
              <w:pStyle w:val="680"/>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符合性审查因素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680"/>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98" w:type="dxa"/>
            <w:vAlign w:val="center"/>
            <w:textDirection w:val="lrTb"/>
            <w:noWrap w:val="false"/>
          </w:tcPr>
          <w:p>
            <w:pPr>
              <w:pStyle w:val="680"/>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法定代表人身份证明或授权委托书</w:t>
            </w:r>
            <w:r>
              <w:rPr>
                <w:rFonts w:ascii="Times New Roman" w:hAnsi="Times New Roman"/>
                <w:caps w:val="0"/>
                <w:color w:val="000000"/>
                <w:sz w:val="21"/>
                <w:szCs w:val="22"/>
                <w:highlight w:val="none"/>
                <w:lang w:val="en-US" w:eastAsia="zh-CN" w:bidi="ar-SA"/>
              </w:rPr>
            </w:r>
            <w:r/>
          </w:p>
        </w:tc>
        <w:tc>
          <w:tcPr>
            <w:tcW w:w="4500" w:type="dxa"/>
            <w:vAlign w:val="center"/>
            <w:textDirection w:val="lrTb"/>
            <w:noWrap w:val="false"/>
          </w:tcPr>
          <w:p>
            <w:pPr>
              <w:pStyle w:val="680"/>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8" w:type="dxa"/>
            <w:vAlign w:val="center"/>
            <w:textDirection w:val="lrTb"/>
            <w:noWrap w:val="false"/>
          </w:tcPr>
          <w:p>
            <w:pPr>
              <w:pStyle w:val="680"/>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技术标准和要求</w:t>
            </w:r>
            <w:r>
              <w:rPr>
                <w:rFonts w:ascii="Times New Roman" w:hAnsi="Times New Roman"/>
                <w:caps w:val="0"/>
                <w:color w:val="000000"/>
                <w:sz w:val="21"/>
                <w:szCs w:val="22"/>
                <w:highlight w:val="none"/>
                <w:lang w:val="en-US" w:eastAsia="zh-CN" w:bidi="ar-SA"/>
              </w:rPr>
            </w:r>
            <w:r/>
          </w:p>
        </w:tc>
        <w:tc>
          <w:tcPr>
            <w:tcW w:w="4500" w:type="dxa"/>
            <w:vAlign w:val="center"/>
            <w:textDirection w:val="lrTb"/>
            <w:noWrap w:val="false"/>
          </w:tcPr>
          <w:p>
            <w:pPr>
              <w:pStyle w:val="680"/>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8" w:type="dxa"/>
            <w:vAlign w:val="center"/>
            <w:textDirection w:val="lrTb"/>
            <w:noWrap w:val="false"/>
          </w:tcPr>
          <w:p>
            <w:pPr>
              <w:pStyle w:val="680"/>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其他</w:t>
            </w:r>
            <w:r>
              <w:rPr>
                <w:rFonts w:ascii="Times New Roman" w:hAnsi="Times New Roman"/>
                <w:caps w:val="0"/>
                <w:color w:val="000000"/>
                <w:sz w:val="21"/>
                <w:szCs w:val="22"/>
                <w:highlight w:val="none"/>
                <w:lang w:val="en-US" w:eastAsia="zh-CN" w:bidi="ar-SA"/>
              </w:rPr>
            </w:r>
            <w:r/>
          </w:p>
        </w:tc>
        <w:tc>
          <w:tcPr>
            <w:tcW w:w="4500" w:type="dxa"/>
            <w:vAlign w:val="center"/>
            <w:textDirection w:val="lrTb"/>
            <w:noWrap w:val="false"/>
          </w:tcPr>
          <w:p>
            <w:pPr>
              <w:pStyle w:val="680"/>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bl>
    <w:p>
      <w:pPr>
        <w:pStyle w:val="680"/>
        <w:jc w:val="both"/>
        <w:spacing w:line="500" w:lineRule="exact"/>
        <w:rPr>
          <w:rFonts w:hint="eastAsia" w:ascii="Times New Roman" w:hAnsi="Times New Roman" w:eastAsia="仿宋_GB2312" w:cs="Times New Roman"/>
          <w:b/>
          <w:caps w:val="0"/>
          <w:color w:val="000000"/>
          <w:sz w:val="28"/>
          <w:szCs w:val="22"/>
          <w:highlight w:val="none"/>
          <w:lang w:val="en-US" w:eastAsia="zh-CN"/>
        </w:rPr>
      </w:pPr>
      <w:r>
        <w:rPr>
          <w:rFonts w:hint="eastAsia" w:ascii="Times New Roman" w:hAnsi="Times New Roman" w:eastAsia="仿宋_GB2312" w:cs="Times New Roman"/>
          <w:b/>
          <w:caps w:val="0"/>
          <w:color w:val="000000"/>
          <w:sz w:val="28"/>
          <w:szCs w:val="22"/>
          <w:highlight w:val="none"/>
          <w:lang w:val="en-US" w:eastAsia="zh-CN"/>
        </w:rPr>
        <w:t xml:space="preserve">三、评分办法—综合评分法</w:t>
      </w:r>
      <w:r>
        <w:rPr>
          <w:rFonts w:hint="eastAsia" w:ascii="Times New Roman" w:hAnsi="Times New Roman" w:eastAsia="仿宋_GB2312" w:cs="Times New Roman"/>
          <w:b/>
          <w:caps w:val="0"/>
          <w:color w:val="000000"/>
          <w:sz w:val="28"/>
          <w:szCs w:val="22"/>
          <w:highlight w:val="none"/>
          <w:lang w:val="en-US" w:eastAsia="zh-CN"/>
        </w:rPr>
      </w:r>
      <w:r/>
    </w:p>
    <w:p>
      <w:pPr>
        <w:pStyle w:val="680"/>
        <w:ind w:firstLine="482"/>
        <w:jc w:val="both"/>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lang w:val="en-US" w:eastAsia="zh-CN"/>
        </w:rPr>
        <w:t xml:space="preserve">一</w:t>
      </w: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评标办法：</w:t>
      </w:r>
      <w:r>
        <w:rPr>
          <w:rFonts w:hint="eastAsia" w:ascii="Times New Roman" w:hAnsi="Times New Roman" w:eastAsia="宋体" w:cs="Times New Roman"/>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none"/>
        </w:rPr>
      </w:r>
      <w:r/>
    </w:p>
    <w:p>
      <w:pPr>
        <w:pStyle w:val="680"/>
        <w:ind w:firstLine="480"/>
        <w:jc w:val="both"/>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评标委员会根据评审后投标人排序推荐</w:t>
      </w:r>
      <w:r>
        <w:rPr>
          <w:rFonts w:hint="eastAsia" w:ascii="Times New Roman" w:eastAsia="宋体"/>
          <w:color w:val="000000"/>
          <w:sz w:val="24"/>
          <w:highlight w:val="none"/>
          <w:lang w:val="en-US" w:eastAsia="zh-CN"/>
        </w:rPr>
        <w:t xml:space="preserve">3名</w:t>
      </w:r>
      <w:r>
        <w:rPr>
          <w:rFonts w:hint="eastAsia" w:ascii="Times New Roman" w:hAnsi="Times New Roman" w:eastAsia="宋体" w:cs="Times New Roman"/>
          <w:caps w:val="0"/>
          <w:color w:val="000000"/>
          <w:sz w:val="24"/>
          <w:highlight w:val="none"/>
        </w:rPr>
        <w:t xml:space="preserve">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none"/>
        </w:rPr>
      </w:r>
      <w:r/>
    </w:p>
    <w:p>
      <w:pPr>
        <w:pStyle w:val="680"/>
        <w:ind w:firstLine="480"/>
        <w:jc w:val="both"/>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综合评分保留至小数点后两位。</w:t>
      </w:r>
      <w:r>
        <w:rPr>
          <w:rFonts w:hint="eastAsia" w:ascii="Times New Roman" w:hAnsi="Times New Roman" w:eastAsia="宋体" w:cs="Times New Roman"/>
          <w:caps w:val="0"/>
          <w:color w:val="000000"/>
          <w:sz w:val="24"/>
          <w:highlight w:val="none"/>
        </w:rPr>
      </w:r>
      <w:r/>
    </w:p>
    <w:p>
      <w:pPr>
        <w:pStyle w:val="680"/>
        <w:ind w:firstLine="482"/>
        <w:jc w:val="left"/>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cs="Times New Roman"/>
          <w:b/>
          <w:caps w:val="0"/>
          <w:color w:val="000000"/>
          <w:sz w:val="24"/>
          <w:highlight w:val="none"/>
          <w:lang w:val="en-US" w:eastAsia="zh-CN"/>
        </w:rPr>
        <w:t xml:space="preserve">二</w:t>
      </w: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详细评审。</w:t>
      </w:r>
      <w:r>
        <w:rPr>
          <w:rFonts w:hint="eastAsia"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宋体" w:cs="Times New Roman"/>
          <w:caps w:val="0"/>
          <w:color w:val="000000"/>
          <w:sz w:val="24"/>
          <w:highlight w:val="none"/>
        </w:rPr>
      </w:r>
      <w:r/>
    </w:p>
    <w:tbl>
      <w:tblPr>
        <w:tblW w:w="87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209"/>
      </w:tblGrid>
      <w:tr>
        <w:trPr>
          <w:trHeight w:val="572"/>
        </w:trPr>
        <w:tc>
          <w:tcPr>
            <w:tcW w:w="1405" w:type="dxa"/>
            <w:vAlign w:val="center"/>
            <w:textDirection w:val="lrTb"/>
            <w:noWrap w:val="false"/>
          </w:tcPr>
          <w:p>
            <w:pPr>
              <w:pStyle w:val="680"/>
              <w:jc w:val="center"/>
              <w:spacing w:line="360" w:lineRule="exact"/>
              <w:widowControl/>
              <w:rPr>
                <w:rFonts w:hint="eastAsia" w:ascii="Times New Roman" w:hAnsi="Times New Roman" w:eastAsia="宋体" w:cs="宋体"/>
                <w:b w:val="0"/>
                <w:sz w:val="21"/>
                <w:szCs w:val="24"/>
              </w:rPr>
            </w:pPr>
            <w:r/>
            <w:bookmarkStart w:id="208" w:name="RANGE!A1"/>
            <w:r>
              <w:rPr>
                <w:rFonts w:hint="eastAsia" w:ascii="Times New Roman" w:hAnsi="Times New Roman" w:eastAsia="宋体" w:cs="宋体"/>
                <w:b w:val="0"/>
                <w:sz w:val="21"/>
                <w:szCs w:val="24"/>
              </w:rPr>
              <w:t xml:space="preserve">评审因素</w:t>
            </w:r>
            <w:bookmarkEnd w:id="208"/>
            <w:r>
              <w:rPr>
                <w:rFonts w:hint="eastAsia" w:ascii="Times New Roman" w:hAnsi="Times New Roman" w:eastAsia="宋体" w:cs="宋体"/>
                <w:b w:val="0"/>
                <w:sz w:val="21"/>
                <w:szCs w:val="24"/>
              </w:rPr>
            </w:r>
            <w:r/>
          </w:p>
        </w:tc>
        <w:tc>
          <w:tcPr>
            <w:tcW w:w="1114" w:type="dxa"/>
            <w:vAlign w:val="center"/>
            <w:textDirection w:val="lrTb"/>
            <w:noWrap w:val="false"/>
          </w:tcPr>
          <w:p>
            <w:pPr>
              <w:pStyle w:val="680"/>
              <w:jc w:val="center"/>
              <w:spacing w:line="360" w:lineRule="exact"/>
              <w:widowControl/>
              <w:rPr>
                <w:rFonts w:ascii="Times New Roman" w:hAnsi="Times New Roman" w:eastAsia="宋体" w:cs="宋体"/>
                <w:b w:val="0"/>
                <w:sz w:val="21"/>
                <w:szCs w:val="24"/>
              </w:rPr>
            </w:pPr>
            <w:r>
              <w:rPr>
                <w:rFonts w:hint="eastAsia" w:ascii="Times New Roman" w:hAnsi="Times New Roman" w:eastAsia="宋体" w:cs="宋体"/>
                <w:b w:val="0"/>
                <w:sz w:val="21"/>
                <w:szCs w:val="24"/>
              </w:rPr>
              <w:t xml:space="preserve">分数</w:t>
            </w:r>
            <w:r>
              <w:rPr>
                <w:rFonts w:ascii="Times New Roman" w:hAnsi="Times New Roman" w:eastAsia="宋体" w:cs="宋体"/>
                <w:b w:val="0"/>
                <w:sz w:val="21"/>
                <w:szCs w:val="24"/>
              </w:rPr>
            </w:r>
            <w:r/>
          </w:p>
        </w:tc>
        <w:tc>
          <w:tcPr>
            <w:tcW w:w="6209" w:type="dxa"/>
            <w:vAlign w:val="center"/>
            <w:textDirection w:val="lrTb"/>
            <w:noWrap w:val="false"/>
          </w:tcPr>
          <w:p>
            <w:pPr>
              <w:pStyle w:val="680"/>
              <w:jc w:val="center"/>
              <w:spacing w:line="360" w:lineRule="exact"/>
              <w:widowControl/>
              <w:rPr>
                <w:rFonts w:ascii="Times New Roman" w:hAnsi="Times New Roman" w:eastAsia="宋体" w:cs="宋体"/>
                <w:b w:val="0"/>
                <w:sz w:val="21"/>
                <w:szCs w:val="24"/>
              </w:rPr>
            </w:pPr>
            <w:r>
              <w:rPr>
                <w:rFonts w:hint="eastAsia" w:ascii="Times New Roman" w:hAnsi="Times New Roman" w:eastAsia="宋体" w:cs="宋体"/>
                <w:b w:val="0"/>
                <w:sz w:val="21"/>
                <w:szCs w:val="24"/>
              </w:rPr>
              <w:t xml:space="preserve">评审标准</w:t>
            </w:r>
            <w:r>
              <w:rPr>
                <w:rFonts w:ascii="Times New Roman" w:hAnsi="Times New Roman" w:eastAsia="宋体" w:cs="宋体"/>
                <w:b w:val="0"/>
                <w:sz w:val="21"/>
                <w:szCs w:val="24"/>
              </w:rPr>
            </w:r>
            <w:r/>
          </w:p>
        </w:tc>
      </w:tr>
      <w:tr>
        <w:trPr>
          <w:trHeight w:val="274"/>
        </w:trPr>
        <w:tc>
          <w:tcPr>
            <w:tcW w:w="1405" w:type="dxa"/>
            <w:vAlign w:val="center"/>
            <w:textDirection w:val="lrTb"/>
            <w:noWrap w:val="false"/>
          </w:tcPr>
          <w:p>
            <w:pPr>
              <w:pStyle w:val="680"/>
              <w:jc w:val="center"/>
              <w:keepLines w:val="0"/>
              <w:keepNext w:val="0"/>
              <w:pageBreakBefore w:val="0"/>
              <w:spacing w:line="360" w:lineRule="exact"/>
              <w:widowControl/>
              <w:rPr>
                <w:rFonts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rPr>
              <w:t xml:space="preserve">投标报价</w:t>
            </w:r>
            <w:r>
              <w:rPr>
                <w:rFonts w:ascii="Times New Roman" w:hAnsi="Times New Roman" w:eastAsia="宋体" w:cs="宋体"/>
                <w:b w:val="0"/>
                <w:sz w:val="21"/>
                <w:szCs w:val="24"/>
                <w:highlight w:val="none"/>
              </w:rPr>
            </w:r>
            <w:r/>
          </w:p>
        </w:tc>
        <w:tc>
          <w:tcPr>
            <w:tcW w:w="1114" w:type="dxa"/>
            <w:vAlign w:val="center"/>
            <w:textDirection w:val="lrTb"/>
            <w:noWrap w:val="false"/>
          </w:tcPr>
          <w:p>
            <w:pPr>
              <w:pStyle w:val="680"/>
              <w:jc w:val="center"/>
              <w:keepLines w:val="0"/>
              <w:keepNext w:val="0"/>
              <w:pageBreakBefore w:val="0"/>
              <w:spacing w:line="360" w:lineRule="exact"/>
              <w:widowControl/>
              <w:rPr>
                <w:rFonts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rPr>
              <w:t xml:space="preserve">30.00分</w:t>
            </w:r>
            <w:r>
              <w:rPr>
                <w:rFonts w:ascii="Times New Roman" w:hAnsi="Times New Roman" w:eastAsia="宋体" w:cs="宋体"/>
                <w:b w:val="0"/>
                <w:sz w:val="21"/>
                <w:szCs w:val="24"/>
                <w:highlight w:val="none"/>
              </w:rPr>
            </w:r>
            <w:r/>
          </w:p>
        </w:tc>
        <w:tc>
          <w:tcPr>
            <w:tcW w:w="6209" w:type="dxa"/>
            <w:vAlign w:val="center"/>
            <w:textDirection w:val="lrTb"/>
            <w:noWrap w:val="false"/>
          </w:tcPr>
          <w:p>
            <w:pPr>
              <w:pStyle w:val="680"/>
              <w:jc w:val="left"/>
              <w:keepLines w:val="0"/>
              <w:keepNext w:val="0"/>
              <w:pageBreakBefore w:val="0"/>
              <w:spacing w:line="360" w:lineRule="exact"/>
              <w:widowControl/>
              <w:rPr>
                <w:rFonts w:hint="eastAsia" w:ascii="Times New Roman" w:hAnsi="Times New Roman" w:eastAsia="宋体" w:cs="仿宋"/>
                <w:b w:val="0"/>
                <w:color w:val="000000"/>
                <w:sz w:val="21"/>
                <w:szCs w:val="22"/>
                <w:highlight w:val="none"/>
              </w:rPr>
            </w:pPr>
            <w:r>
              <w:rPr>
                <w:rFonts w:hint="eastAsia" w:ascii="Times New Roman" w:hAnsi="Times New Roman" w:eastAsia="宋体" w:cs="宋体"/>
                <w:b w:val="0"/>
                <w:color w:val="000000"/>
                <w:sz w:val="21"/>
                <w:szCs w:val="24"/>
                <w:highlight w:val="none"/>
              </w:rPr>
              <w:t xml:space="preserve">采用低价优先法计算，即满足招标文件要求且投标价格最低的投标报价为评标基准价，其价格分为满分。其他投标人投标报价得分＝（评标基准价/投标报价）*30。</w:t>
            </w:r>
            <w:r>
              <w:rPr>
                <w:rFonts w:hint="eastAsia" w:ascii="Times New Roman" w:hAnsi="Times New Roman" w:eastAsia="宋体" w:cs="仿宋"/>
                <w:b w:val="0"/>
                <w:color w:val="000000"/>
                <w:sz w:val="21"/>
                <w:szCs w:val="22"/>
                <w:highlight w:val="none"/>
              </w:rPr>
            </w:r>
            <w:r/>
          </w:p>
        </w:tc>
      </w:tr>
      <w:tr>
        <w:trPr>
          <w:trHeight w:val="859"/>
        </w:trPr>
        <w:tc>
          <w:tcPr>
            <w:tcW w:w="1405" w:type="dxa"/>
            <w:vAlign w:val="center"/>
            <w:textDirection w:val="lrTb"/>
            <w:noWrap w:val="false"/>
          </w:tcPr>
          <w:p>
            <w:pPr>
              <w:pStyle w:val="680"/>
              <w:jc w:val="center"/>
              <w:keepLines w:val="0"/>
              <w:keepNext w:val="0"/>
              <w:pageBreakBefore w:val="0"/>
              <w:spacing w:line="360" w:lineRule="exact"/>
              <w:widowControl/>
              <w:rPr>
                <w:rFonts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rPr>
              <w:t xml:space="preserve">技术响应</w:t>
            </w:r>
            <w:r>
              <w:rPr>
                <w:rFonts w:ascii="Times New Roman" w:hAnsi="Times New Roman" w:eastAsia="宋体" w:cs="宋体"/>
                <w:b w:val="0"/>
                <w:sz w:val="21"/>
                <w:szCs w:val="24"/>
                <w:highlight w:val="none"/>
              </w:rPr>
            </w:r>
            <w:r/>
          </w:p>
        </w:tc>
        <w:tc>
          <w:tcPr>
            <w:tcW w:w="1114" w:type="dxa"/>
            <w:vAlign w:val="center"/>
            <w:textDirection w:val="lrTb"/>
            <w:noWrap w:val="false"/>
          </w:tcPr>
          <w:p>
            <w:pPr>
              <w:pStyle w:val="680"/>
              <w:jc w:val="center"/>
              <w:keepLines w:val="0"/>
              <w:keepNext w:val="0"/>
              <w:pageBreakBefore w:val="0"/>
              <w:spacing w:line="360" w:lineRule="exact"/>
              <w:widowControl/>
              <w:rPr>
                <w:rFonts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lang w:val="en-US" w:eastAsia="zh-CN"/>
              </w:rPr>
              <w:t xml:space="preserve">35</w:t>
            </w:r>
            <w:r>
              <w:rPr>
                <w:rFonts w:hint="eastAsia" w:ascii="Times New Roman" w:hAnsi="Times New Roman" w:eastAsia="宋体" w:cs="宋体"/>
                <w:b w:val="0"/>
                <w:sz w:val="21"/>
                <w:szCs w:val="24"/>
                <w:highlight w:val="none"/>
              </w:rPr>
              <w:t xml:space="preserve">.00分</w:t>
            </w:r>
            <w:r>
              <w:rPr>
                <w:rFonts w:ascii="Times New Roman" w:hAnsi="Times New Roman" w:eastAsia="宋体" w:cs="宋体"/>
                <w:b w:val="0"/>
                <w:sz w:val="21"/>
                <w:szCs w:val="24"/>
                <w:highlight w:val="none"/>
              </w:rPr>
            </w:r>
            <w:r/>
          </w:p>
        </w:tc>
        <w:tc>
          <w:tcPr>
            <w:tcW w:w="6209" w:type="dxa"/>
            <w:vAlign w:val="center"/>
            <w:textDirection w:val="lrTb"/>
            <w:noWrap w:val="false"/>
          </w:tcPr>
          <w:p>
            <w:pPr>
              <w:pStyle w:val="680"/>
              <w:jc w:val="left"/>
              <w:keepLines w:val="0"/>
              <w:keepNext w:val="0"/>
              <w:pageBreakBefore w:val="0"/>
              <w:spacing w:after="0" w:afterAutospacing="0" w:line="360" w:lineRule="exact"/>
              <w:widowControl w:val="off"/>
              <w:rPr>
                <w:rFonts w:hint="eastAsia" w:ascii="Times New Roman" w:hAnsi="Times New Roman" w:eastAsia="宋体" w:cs="宋体"/>
                <w:b w:val="0"/>
                <w:color w:val="000000"/>
                <w:sz w:val="21"/>
                <w:szCs w:val="24"/>
                <w:highlight w:val="none"/>
                <w:rtl w:val="0"/>
                <w:lang w:val="en-US" w:eastAsia="zh-CN" w:bidi="ar-SA"/>
              </w:rPr>
            </w:pPr>
            <w:r>
              <w:rPr>
                <w:rFonts w:hint="eastAsia" w:ascii="Times New Roman" w:hAnsi="Times New Roman" w:eastAsia="宋体" w:cs="宋体"/>
                <w:b w:val="0"/>
                <w:color w:val="000000"/>
                <w:sz w:val="21"/>
                <w:szCs w:val="24"/>
                <w:highlight w:val="none"/>
                <w:rtl w:val="0"/>
                <w:lang w:val="en-US" w:eastAsia="zh-CN" w:bidi="ar-SA"/>
              </w:rPr>
              <w:t xml:space="preserve">针对招标文件“第四章 采购需求”中的“</w:t>
            </w:r>
            <w:r>
              <w:rPr>
                <w:rFonts w:hint="eastAsia" w:ascii="Times New Roman" w:hAnsi="Times New Roman" w:eastAsia="宋体" w:cs="Times New Roman"/>
                <w:caps w:val="0"/>
                <w:color w:val="000000"/>
                <w:sz w:val="21"/>
                <w:szCs w:val="22"/>
                <w:highlight w:val="none"/>
                <w:rtl w:val="0"/>
                <w:lang w:val="en-US" w:eastAsia="zh-CN" w:bidi="ar-SA"/>
              </w:rPr>
              <w:t xml:space="preserve">采购清单及技术参数</w:t>
            </w:r>
            <w:r>
              <w:rPr>
                <w:rFonts w:hint="eastAsia" w:ascii="Times New Roman" w:hAnsi="Times New Roman" w:eastAsia="宋体" w:cs="宋体"/>
                <w:b w:val="0"/>
                <w:color w:val="000000"/>
                <w:sz w:val="21"/>
                <w:szCs w:val="24"/>
                <w:highlight w:val="none"/>
                <w:rtl w:val="0"/>
                <w:lang w:val="en-US" w:eastAsia="zh-CN" w:bidi="ar-SA"/>
              </w:rPr>
              <w:t xml:space="preserve">”中所列内容进行评分，所投产品技术参数完全满足或优于招标文件技术参数要求的得35分。“▲”为重点参数要求，每有一项（一个句号的完整内容为一“项”，共30项）</w:t>
            </w:r>
            <w:r>
              <w:rPr>
                <w:rFonts w:hint="eastAsia" w:ascii="Times New Roman" w:hAnsi="Times New Roman" w:eastAsia="宋体" w:cs="宋体"/>
                <w:b w:val="0"/>
                <w:color w:val="000000"/>
                <w:sz w:val="21"/>
                <w:szCs w:val="24"/>
                <w:highlight w:val="none"/>
                <w:rtl w:val="0"/>
                <w:lang w:val="en-US" w:eastAsia="zh-CN" w:bidi="ar-SA"/>
              </w:rPr>
              <w:t xml:space="preserve">不满足的扣1分；其余每有一项（一个句号的完整内容为一“项”，其中“▲”项除外）负偏离扣0.5分，扣完为止。</w:t>
            </w:r>
            <w:r>
              <w:rPr>
                <w:rFonts w:hint="eastAsia" w:ascii="Times New Roman" w:hAnsi="Times New Roman" w:eastAsia="宋体" w:cs="宋体"/>
                <w:b w:val="0"/>
                <w:color w:val="000000"/>
                <w:sz w:val="21"/>
                <w:szCs w:val="24"/>
                <w:highlight w:val="none"/>
                <w:rtl w:val="0"/>
                <w:lang w:val="en-US" w:eastAsia="zh-CN" w:bidi="ar-SA"/>
              </w:rPr>
            </w:r>
            <w:r/>
          </w:p>
          <w:p>
            <w:pPr>
              <w:pStyle w:val="829"/>
              <w:jc w:val="both"/>
              <w:keepLines w:val="0"/>
              <w:keepNext w:val="0"/>
              <w:pageBreakBefore w:val="0"/>
              <w:spacing w:before="0" w:beforeAutospacing="0" w:after="0" w:afterAutospacing="0" w:line="360" w:lineRule="exact"/>
              <w:widowControl w:val="off"/>
              <w:rPr>
                <w:rFonts w:ascii="Times New Roman" w:hAnsi="Times New Roman" w:eastAsia="宋体"/>
                <w:b w:val="0"/>
                <w:color w:val="000000"/>
                <w:sz w:val="21"/>
                <w:highlight w:val="none"/>
              </w:rPr>
            </w:pPr>
            <w:r>
              <w:rPr>
                <w:rFonts w:hint="eastAsia" w:ascii="Times New Roman" w:hAnsi="Times New Roman" w:eastAsia="宋体"/>
                <w:b w:val="0"/>
                <w:color w:val="000000"/>
                <w:sz w:val="21"/>
                <w:highlight w:val="none"/>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rPr>
                <w:rFonts w:ascii="Times New Roman" w:hAnsi="Times New Roman" w:eastAsia="宋体"/>
                <w:b w:val="0"/>
                <w:color w:val="000000"/>
                <w:sz w:val="21"/>
                <w:highlight w:val="none"/>
              </w:rPr>
            </w:r>
            <w:r/>
          </w:p>
        </w:tc>
      </w:tr>
      <w:tr>
        <w:trPr>
          <w:trHeight w:val="1605"/>
        </w:trPr>
        <w:tc>
          <w:tcPr>
            <w:tcW w:w="1405" w:type="dxa"/>
            <w:vAlign w:val="center"/>
            <w:textDirection w:val="lrTb"/>
            <w:noWrap w:val="false"/>
          </w:tcPr>
          <w:p>
            <w:pPr>
              <w:pStyle w:val="680"/>
              <w:jc w:val="center"/>
              <w:keepLines w:val="0"/>
              <w:keepNext w:val="0"/>
              <w:pageBreakBefore w:val="0"/>
              <w:spacing w:line="360" w:lineRule="exact"/>
              <w:widowControl/>
              <w:rPr>
                <w:rFonts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rPr>
              <w:t xml:space="preserve">企业业绩</w:t>
            </w:r>
            <w:r>
              <w:rPr>
                <w:rFonts w:ascii="Times New Roman" w:hAnsi="Times New Roman" w:eastAsia="宋体" w:cs="宋体"/>
                <w:b w:val="0"/>
                <w:sz w:val="21"/>
                <w:szCs w:val="24"/>
                <w:highlight w:val="none"/>
              </w:rPr>
            </w:r>
            <w:r/>
          </w:p>
        </w:tc>
        <w:tc>
          <w:tcPr>
            <w:tcW w:w="1114" w:type="dxa"/>
            <w:vAlign w:val="center"/>
            <w:textDirection w:val="lrTb"/>
            <w:noWrap w:val="false"/>
          </w:tcPr>
          <w:p>
            <w:pPr>
              <w:pStyle w:val="680"/>
              <w:jc w:val="center"/>
              <w:keepLines w:val="0"/>
              <w:keepNext w:val="0"/>
              <w:pageBreakBefore w:val="0"/>
              <w:spacing w:line="360" w:lineRule="exact"/>
              <w:widowControl/>
              <w:rPr>
                <w:rFonts w:hint="eastAsia"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lang w:val="en-US" w:eastAsia="zh-CN"/>
              </w:rPr>
              <w:t xml:space="preserve">3</w:t>
            </w:r>
            <w:r>
              <w:rPr>
                <w:rFonts w:hint="eastAsia" w:ascii="Times New Roman" w:hAnsi="Times New Roman" w:eastAsia="宋体" w:cs="宋体"/>
                <w:b w:val="0"/>
                <w:sz w:val="21"/>
                <w:szCs w:val="24"/>
                <w:highlight w:val="none"/>
              </w:rPr>
              <w:t xml:space="preserve">.00分</w:t>
            </w:r>
            <w:r>
              <w:rPr>
                <w:rFonts w:hint="eastAsia" w:ascii="Times New Roman" w:hAnsi="Times New Roman" w:eastAsia="宋体" w:cs="宋体"/>
                <w:b w:val="0"/>
                <w:sz w:val="21"/>
                <w:szCs w:val="24"/>
                <w:highlight w:val="none"/>
              </w:rPr>
            </w:r>
            <w:r/>
          </w:p>
        </w:tc>
        <w:tc>
          <w:tcPr>
            <w:tcW w:w="6209" w:type="dxa"/>
            <w:vAlign w:val="center"/>
            <w:textDirection w:val="lrTb"/>
            <w:noWrap w:val="false"/>
          </w:tcPr>
          <w:p>
            <w:pPr>
              <w:pStyle w:val="680"/>
              <w:jc w:val="left"/>
              <w:keepLines w:val="0"/>
              <w:keepNext w:val="0"/>
              <w:pageBreakBefore w:val="0"/>
              <w:spacing w:line="360" w:lineRule="exact"/>
              <w:widowControl/>
              <w:rPr>
                <w:rFonts w:hint="eastAsia" w:ascii="Times New Roman" w:hAnsi="Times New Roman" w:eastAsia="宋体" w:cs="宋体"/>
                <w:b w:val="0"/>
                <w:color w:val="000000"/>
                <w:sz w:val="21"/>
                <w:szCs w:val="24"/>
                <w:highlight w:val="none"/>
              </w:rPr>
            </w:pPr>
            <w:r>
              <w:rPr>
                <w:rFonts w:hint="eastAsia" w:ascii="Times New Roman" w:hAnsi="Times New Roman" w:eastAsia="宋体" w:cs="宋体"/>
                <w:b w:val="0"/>
                <w:color w:val="000000"/>
                <w:sz w:val="21"/>
                <w:szCs w:val="24"/>
                <w:highlight w:val="none"/>
              </w:rPr>
              <w:t xml:space="preserve">投标人自202</w:t>
            </w:r>
            <w:r>
              <w:rPr>
                <w:rFonts w:hint="eastAsia" w:ascii="Times New Roman" w:hAnsi="Times New Roman" w:eastAsia="宋体" w:cs="宋体"/>
                <w:b w:val="0"/>
                <w:color w:val="000000"/>
                <w:sz w:val="21"/>
                <w:szCs w:val="24"/>
                <w:highlight w:val="none"/>
                <w:lang w:val="en-US" w:eastAsia="zh-CN"/>
              </w:rPr>
              <w:t xml:space="preserve">3</w:t>
            </w:r>
            <w:r>
              <w:rPr>
                <w:rFonts w:hint="eastAsia" w:ascii="Times New Roman" w:hAnsi="Times New Roman" w:eastAsia="宋体" w:cs="宋体"/>
                <w:b w:val="0"/>
                <w:color w:val="000000"/>
                <w:sz w:val="21"/>
                <w:szCs w:val="24"/>
                <w:highlight w:val="none"/>
              </w:rPr>
              <w:t xml:space="preserve">年1月1日以来（以合同签订时间为准）承担过类似项目业绩的，每有一个得</w:t>
            </w:r>
            <w:r>
              <w:rPr>
                <w:rFonts w:hint="eastAsia" w:ascii="Times New Roman" w:hAnsi="Times New Roman" w:eastAsia="宋体" w:cs="宋体"/>
                <w:b w:val="0"/>
                <w:color w:val="000000"/>
                <w:sz w:val="21"/>
                <w:szCs w:val="24"/>
                <w:highlight w:val="none"/>
                <w:lang w:val="en-US" w:eastAsia="zh-CN"/>
              </w:rPr>
              <w:t xml:space="preserve">1</w:t>
            </w:r>
            <w:r>
              <w:rPr>
                <w:rFonts w:hint="eastAsia" w:ascii="Times New Roman" w:hAnsi="Times New Roman" w:eastAsia="宋体" w:cs="宋体"/>
                <w:b w:val="0"/>
                <w:color w:val="000000"/>
                <w:sz w:val="21"/>
                <w:szCs w:val="24"/>
                <w:highlight w:val="none"/>
              </w:rPr>
              <w:t xml:space="preserve">分，最高得</w:t>
            </w:r>
            <w:r>
              <w:rPr>
                <w:rFonts w:hint="eastAsia" w:ascii="Times New Roman" w:hAnsi="Times New Roman" w:eastAsia="宋体" w:cs="宋体"/>
                <w:b w:val="0"/>
                <w:color w:val="000000"/>
                <w:sz w:val="21"/>
                <w:szCs w:val="24"/>
                <w:highlight w:val="none"/>
                <w:lang w:val="en-US" w:eastAsia="zh-CN"/>
              </w:rPr>
              <w:t xml:space="preserve">3</w:t>
            </w:r>
            <w:r>
              <w:rPr>
                <w:rFonts w:hint="eastAsia" w:ascii="Times New Roman" w:hAnsi="Times New Roman" w:eastAsia="宋体" w:cs="宋体"/>
                <w:b w:val="0"/>
                <w:color w:val="000000"/>
                <w:sz w:val="21"/>
                <w:szCs w:val="24"/>
                <w:highlight w:val="none"/>
              </w:rPr>
              <w:t xml:space="preserve">分。</w:t>
            </w:r>
            <w:r>
              <w:rPr>
                <w:rFonts w:hint="eastAsia" w:ascii="Times New Roman" w:hAnsi="Times New Roman" w:eastAsia="宋体" w:cs="宋体"/>
                <w:b w:val="0"/>
                <w:color w:val="000000"/>
                <w:sz w:val="21"/>
                <w:szCs w:val="24"/>
                <w:highlight w:val="none"/>
              </w:rPr>
            </w:r>
            <w:r/>
          </w:p>
          <w:p>
            <w:pPr>
              <w:pStyle w:val="680"/>
              <w:jc w:val="left"/>
              <w:keepLines w:val="0"/>
              <w:keepNext w:val="0"/>
              <w:pageBreakBefore w:val="0"/>
              <w:spacing w:line="360" w:lineRule="exact"/>
              <w:widowControl/>
              <w:rPr>
                <w:rFonts w:ascii="Times New Roman" w:hAnsi="Times New Roman" w:eastAsia="宋体" w:cs="宋体"/>
                <w:b w:val="0"/>
                <w:color w:val="000000"/>
                <w:sz w:val="21"/>
                <w:szCs w:val="24"/>
                <w:highlight w:val="none"/>
              </w:rPr>
            </w:pPr>
            <w:r>
              <w:rPr>
                <w:rFonts w:hint="eastAsia" w:ascii="Times New Roman" w:hAnsi="Times New Roman" w:eastAsia="宋体" w:cs="宋体"/>
                <w:b w:val="0"/>
                <w:color w:val="000000"/>
                <w:sz w:val="21"/>
                <w:szCs w:val="24"/>
                <w:highlight w:val="none"/>
              </w:rPr>
              <w:t xml:space="preserve">注：提供合同</w:t>
            </w:r>
            <w:r>
              <w:rPr>
                <w:rFonts w:hint="eastAsia" w:ascii="Times New Roman" w:hAnsi="Times New Roman" w:eastAsia="宋体" w:cs="宋体"/>
                <w:b w:val="0"/>
                <w:color w:val="000000"/>
                <w:sz w:val="21"/>
                <w:szCs w:val="24"/>
                <w:highlight w:val="none"/>
                <w:lang w:eastAsia="zh-CN"/>
              </w:rPr>
              <w:t xml:space="preserve">（</w:t>
            </w:r>
            <w:r>
              <w:rPr>
                <w:rFonts w:hint="eastAsia" w:ascii="Times New Roman" w:hAnsi="Times New Roman" w:eastAsia="宋体" w:cs="宋体"/>
                <w:b w:val="0"/>
                <w:color w:val="000000"/>
                <w:sz w:val="21"/>
                <w:szCs w:val="24"/>
                <w:highlight w:val="none"/>
              </w:rPr>
              <w:t xml:space="preserve">主要内容、标的、金额清晰可见</w:t>
            </w:r>
            <w:r>
              <w:rPr>
                <w:rFonts w:hint="eastAsia" w:ascii="Times New Roman" w:hAnsi="Times New Roman" w:eastAsia="宋体" w:cs="宋体"/>
                <w:b w:val="0"/>
                <w:color w:val="000000"/>
                <w:sz w:val="21"/>
                <w:szCs w:val="24"/>
                <w:highlight w:val="none"/>
                <w:lang w:eastAsia="zh-CN"/>
              </w:rPr>
              <w:t xml:space="preserve">）</w:t>
            </w:r>
            <w:r>
              <w:rPr>
                <w:rFonts w:hint="eastAsia" w:ascii="Times New Roman" w:hAnsi="Times New Roman" w:eastAsia="宋体" w:cs="宋体"/>
                <w:b w:val="0"/>
                <w:color w:val="000000"/>
                <w:sz w:val="21"/>
                <w:szCs w:val="24"/>
                <w:highlight w:val="none"/>
              </w:rPr>
              <w:t xml:space="preserve">、验收</w:t>
            </w:r>
            <w:r>
              <w:rPr>
                <w:rFonts w:hint="eastAsia" w:ascii="Times New Roman" w:hAnsi="Times New Roman" w:eastAsia="宋体" w:cs="宋体"/>
                <w:b w:val="0"/>
                <w:color w:val="000000"/>
                <w:sz w:val="21"/>
                <w:szCs w:val="24"/>
                <w:highlight w:val="none"/>
                <w:lang w:val="en-US" w:eastAsia="zh-CN"/>
              </w:rPr>
              <w:t xml:space="preserve">合格</w:t>
            </w:r>
            <w:r>
              <w:rPr>
                <w:rFonts w:hint="eastAsia" w:ascii="Times New Roman" w:hAnsi="Times New Roman" w:eastAsia="宋体" w:cs="宋体"/>
                <w:b w:val="0"/>
                <w:color w:val="000000"/>
                <w:sz w:val="21"/>
                <w:szCs w:val="24"/>
                <w:highlight w:val="none"/>
              </w:rPr>
              <w:t xml:space="preserve">证明材料电子件，未提供或提供不全不得分。</w:t>
            </w:r>
            <w:r>
              <w:rPr>
                <w:rFonts w:ascii="Times New Roman" w:hAnsi="Times New Roman" w:eastAsia="宋体" w:cs="宋体"/>
                <w:b w:val="0"/>
                <w:color w:val="000000"/>
                <w:sz w:val="21"/>
                <w:szCs w:val="24"/>
                <w:highlight w:val="none"/>
              </w:rPr>
            </w:r>
            <w:r/>
          </w:p>
        </w:tc>
      </w:tr>
      <w:tr>
        <w:trPr>
          <w:trHeight w:val="1605"/>
        </w:trPr>
        <w:tc>
          <w:tcPr>
            <w:tcW w:w="1405" w:type="dxa"/>
            <w:vAlign w:val="center"/>
            <w:textDirection w:val="lrTb"/>
            <w:noWrap w:val="false"/>
          </w:tcPr>
          <w:p>
            <w:pPr>
              <w:pStyle w:val="680"/>
              <w:jc w:val="left"/>
              <w:keepLines w:val="0"/>
              <w:keepNext w:val="0"/>
              <w:pageBreakBefore w:val="0"/>
              <w:spacing w:line="360" w:lineRule="exact"/>
              <w:widowControl/>
              <w:rPr>
                <w:rFonts w:hint="eastAsia" w:ascii="Times New Roman" w:hAnsi="Times New Roman" w:eastAsia="宋体" w:cs="宋体"/>
                <w:b w:val="0"/>
                <w:color w:val="000000"/>
                <w:sz w:val="21"/>
                <w:szCs w:val="24"/>
                <w:highlight w:val="none"/>
              </w:rPr>
            </w:pPr>
            <w:r>
              <w:rPr>
                <w:rFonts w:hint="eastAsia" w:ascii="Times New Roman" w:hAnsi="Times New Roman" w:eastAsia="宋体" w:cs="宋体"/>
                <w:b w:val="0"/>
                <w:color w:val="000000"/>
                <w:sz w:val="21"/>
                <w:szCs w:val="24"/>
                <w:highlight w:val="none"/>
              </w:rPr>
              <w:t xml:space="preserve">企业</w:t>
            </w:r>
            <w:r>
              <w:rPr>
                <w:rFonts w:hint="eastAsia" w:ascii="Times New Roman" w:hAnsi="Times New Roman" w:eastAsia="宋体" w:cs="宋体"/>
                <w:b w:val="0"/>
                <w:color w:val="000000"/>
                <w:sz w:val="21"/>
                <w:szCs w:val="24"/>
                <w:highlight w:val="none"/>
                <w:lang w:val="en-US" w:eastAsia="zh-CN"/>
              </w:rPr>
              <w:t xml:space="preserve">证书</w:t>
            </w:r>
            <w:r>
              <w:rPr>
                <w:rFonts w:hint="eastAsia" w:ascii="Times New Roman" w:hAnsi="Times New Roman" w:eastAsia="宋体" w:cs="宋体"/>
                <w:b w:val="0"/>
                <w:color w:val="000000"/>
                <w:sz w:val="21"/>
                <w:szCs w:val="24"/>
                <w:highlight w:val="none"/>
              </w:rPr>
            </w:r>
            <w:r/>
          </w:p>
        </w:tc>
        <w:tc>
          <w:tcPr>
            <w:tcW w:w="1114" w:type="dxa"/>
            <w:vAlign w:val="center"/>
            <w:textDirection w:val="lrTb"/>
            <w:noWrap w:val="false"/>
          </w:tcPr>
          <w:p>
            <w:pPr>
              <w:pStyle w:val="680"/>
              <w:jc w:val="left"/>
              <w:keepLines w:val="0"/>
              <w:keepNext w:val="0"/>
              <w:pageBreakBefore w:val="0"/>
              <w:spacing w:line="360" w:lineRule="exact"/>
              <w:widowControl/>
              <w:rPr>
                <w:rFonts w:hint="eastAsia" w:ascii="Times New Roman" w:hAnsi="Times New Roman" w:eastAsia="宋体" w:cs="宋体"/>
                <w:b w:val="0"/>
                <w:color w:val="000000"/>
                <w:sz w:val="21"/>
                <w:szCs w:val="24"/>
                <w:highlight w:val="none"/>
                <w:rtl w:val="0"/>
                <w:lang w:val="en-US" w:eastAsia="zh-CN"/>
              </w:rPr>
            </w:pPr>
            <w:r>
              <w:rPr>
                <w:rFonts w:hint="eastAsia" w:ascii="Times New Roman" w:hAnsi="Times New Roman" w:eastAsia="宋体" w:cs="宋体"/>
                <w:b w:val="0"/>
                <w:color w:val="000000"/>
                <w:sz w:val="21"/>
                <w:szCs w:val="24"/>
                <w:highlight w:val="none"/>
                <w:rtl w:val="0"/>
                <w:lang w:val="en-US" w:eastAsia="zh-CN"/>
              </w:rPr>
              <w:t xml:space="preserve">3.00分</w:t>
            </w:r>
            <w:r>
              <w:rPr>
                <w:rFonts w:hint="eastAsia" w:ascii="Times New Roman" w:hAnsi="Times New Roman" w:eastAsia="宋体" w:cs="宋体"/>
                <w:b w:val="0"/>
                <w:color w:val="000000"/>
                <w:sz w:val="21"/>
                <w:szCs w:val="24"/>
                <w:highlight w:val="none"/>
                <w:rtl w:val="0"/>
                <w:lang w:val="en-US" w:eastAsia="zh-CN"/>
              </w:rPr>
            </w:r>
            <w:r/>
          </w:p>
        </w:tc>
        <w:tc>
          <w:tcPr>
            <w:tcW w:w="6209" w:type="dxa"/>
            <w:vAlign w:val="center"/>
            <w:textDirection w:val="lrTb"/>
            <w:noWrap w:val="false"/>
          </w:tcPr>
          <w:p>
            <w:pPr>
              <w:pStyle w:val="680"/>
              <w:jc w:val="left"/>
              <w:keepLines w:val="0"/>
              <w:keepNext w:val="0"/>
              <w:pageBreakBefore w:val="0"/>
              <w:spacing w:line="360" w:lineRule="exact"/>
              <w:widowControl/>
              <w:rPr>
                <w:rFonts w:hint="eastAsia" w:ascii="Times New Roman" w:hAnsi="Times New Roman" w:eastAsia="宋体" w:cs="宋体"/>
                <w:b w:val="0"/>
                <w:color w:val="000000"/>
                <w:sz w:val="21"/>
                <w:szCs w:val="24"/>
                <w:highlight w:val="none"/>
                <w:lang w:val="en-US" w:eastAsia="zh-CN"/>
              </w:rPr>
            </w:pPr>
            <w:r>
              <w:rPr>
                <w:rFonts w:hint="eastAsia" w:ascii="Times New Roman" w:hAnsi="Times New Roman" w:eastAsia="宋体" w:cs="宋体"/>
                <w:b w:val="0"/>
                <w:color w:val="000000"/>
                <w:sz w:val="21"/>
                <w:szCs w:val="24"/>
                <w:highlight w:val="none"/>
                <w:lang w:val="en-US" w:eastAsia="zh-CN"/>
              </w:rPr>
              <w:t xml:space="preserve">投标人具有有效期内的质量管理体系认证证书、环境管理体系认证证书、职业健康安全管理体系认证证书，每有一个证书得1分，最高得3分。</w:t>
            </w:r>
            <w:r>
              <w:rPr>
                <w:rFonts w:hint="eastAsia" w:ascii="Times New Roman" w:hAnsi="Times New Roman" w:eastAsia="宋体" w:cs="宋体"/>
                <w:b w:val="0"/>
                <w:color w:val="000000"/>
                <w:sz w:val="21"/>
                <w:szCs w:val="24"/>
                <w:highlight w:val="none"/>
                <w:lang w:val="en-US" w:eastAsia="zh-CN"/>
              </w:rPr>
            </w:r>
            <w:r/>
          </w:p>
          <w:p>
            <w:pPr>
              <w:pStyle w:val="680"/>
              <w:jc w:val="left"/>
              <w:keepLines w:val="0"/>
              <w:keepNext w:val="0"/>
              <w:pageBreakBefore w:val="0"/>
              <w:spacing w:line="360" w:lineRule="exact"/>
              <w:widowControl/>
              <w:rPr>
                <w:rFonts w:hint="eastAsia" w:ascii="Times New Roman" w:hAnsi="Times New Roman" w:eastAsia="宋体" w:cs="宋体"/>
                <w:b w:val="0"/>
                <w:color w:val="000000"/>
                <w:sz w:val="21"/>
                <w:szCs w:val="24"/>
                <w:highlight w:val="none"/>
                <w:lang w:val="en-US" w:eastAsia="zh-CN"/>
              </w:rPr>
            </w:pPr>
            <w:r>
              <w:rPr>
                <w:rFonts w:hint="eastAsia" w:ascii="Times New Roman" w:hAnsi="Times New Roman" w:eastAsia="宋体" w:cs="宋体"/>
                <w:b w:val="0"/>
                <w:color w:val="000000"/>
                <w:sz w:val="21"/>
                <w:szCs w:val="24"/>
                <w:highlight w:val="none"/>
                <w:lang w:val="en-US" w:eastAsia="zh-CN"/>
              </w:rPr>
              <w:t xml:space="preserve">注：投标文件中提供上述相关证书原件扫描件和在国家市场监督管理总局全国认证认可信息公共服务平台查询认证有效的页面截图，未提供的不得分。</w:t>
            </w:r>
            <w:r>
              <w:rPr>
                <w:rFonts w:hint="eastAsia" w:ascii="Times New Roman" w:hAnsi="Times New Roman" w:eastAsia="宋体" w:cs="宋体"/>
                <w:b w:val="0"/>
                <w:color w:val="000000"/>
                <w:sz w:val="21"/>
                <w:szCs w:val="24"/>
                <w:highlight w:val="none"/>
                <w:lang w:val="en-US" w:eastAsia="zh-CN"/>
              </w:rPr>
            </w:r>
            <w:r/>
          </w:p>
        </w:tc>
      </w:tr>
      <w:tr>
        <w:trPr>
          <w:trHeight w:val="1605"/>
        </w:trPr>
        <w:tc>
          <w:tcPr>
            <w:tcW w:w="1405" w:type="dxa"/>
            <w:vAlign w:val="center"/>
            <w:textDirection w:val="lrTb"/>
            <w:noWrap w:val="false"/>
          </w:tcPr>
          <w:p>
            <w:pPr>
              <w:pStyle w:val="680"/>
              <w:jc w:val="center"/>
              <w:spacing w:after="0" w:afterAutospacing="0"/>
              <w:widowControl w:val="off"/>
              <w:rPr>
                <w:rFonts w:hint="eastAsia" w:ascii="Times New Roman" w:hAnsi="Times New Roman" w:eastAsia="宋体" w:cs="宋体"/>
                <w:b w:val="0"/>
                <w:color w:val="000000"/>
                <w:sz w:val="21"/>
                <w:szCs w:val="24"/>
                <w:highlight w:val="none"/>
              </w:rPr>
            </w:pPr>
            <w:r>
              <w:rPr>
                <w:rFonts w:hint="eastAsia" w:ascii="Calibri" w:hAnsi="Calibri" w:eastAsia="宋体" w:cs="Times New Roman"/>
                <w:caps w:val="0"/>
                <w:color w:val="000000"/>
                <w:sz w:val="21"/>
                <w:szCs w:val="22"/>
                <w:highlight w:val="none"/>
                <w:rtl w:val="0"/>
                <w:lang w:val="en-US" w:eastAsia="zh-CN" w:bidi="ar-SA"/>
              </w:rPr>
              <w:t xml:space="preserve">人员配备</w:t>
            </w:r>
            <w:r>
              <w:rPr>
                <w:rFonts w:hint="eastAsia" w:ascii="Times New Roman" w:hAnsi="Times New Roman" w:eastAsia="宋体" w:cs="宋体"/>
                <w:b w:val="0"/>
                <w:color w:val="000000"/>
                <w:sz w:val="21"/>
                <w:szCs w:val="24"/>
                <w:highlight w:val="none"/>
              </w:rPr>
            </w:r>
            <w:r/>
          </w:p>
        </w:tc>
        <w:tc>
          <w:tcPr>
            <w:tcW w:w="1114" w:type="dxa"/>
            <w:vAlign w:val="center"/>
            <w:textDirection w:val="lrTb"/>
            <w:noWrap w:val="false"/>
          </w:tcPr>
          <w:p>
            <w:pPr>
              <w:pStyle w:val="680"/>
              <w:jc w:val="left"/>
              <w:rPr>
                <w:rFonts w:ascii="Times New Roman" w:hAnsi="Times New Roman" w:eastAsia="宋体" w:cs="宋体"/>
                <w:b w:val="0"/>
                <w:color w:val="000000"/>
                <w:sz w:val="21"/>
                <w:szCs w:val="24"/>
                <w:highlight w:val="none"/>
                <w:rtl w:val="0"/>
                <w:lang w:val="en-US" w:eastAsia="zh-CN"/>
              </w:rPr>
            </w:pPr>
            <w:r>
              <w:rPr>
                <w:rFonts w:hint="eastAsia" w:ascii="Times New Roman" w:hAnsi="Times New Roman" w:eastAsia="宋体" w:cs="宋体"/>
                <w:b w:val="0"/>
                <w:color w:val="000000"/>
                <w:sz w:val="21"/>
                <w:szCs w:val="24"/>
                <w:highlight w:val="none"/>
                <w:rtl w:val="0"/>
                <w:lang w:val="en-US" w:eastAsia="zh-CN"/>
              </w:rPr>
              <w:t xml:space="preserve">7.00分</w:t>
            </w:r>
            <w:r>
              <w:rPr>
                <w:rFonts w:ascii="Times New Roman" w:hAnsi="Times New Roman" w:eastAsia="宋体" w:cs="宋体"/>
                <w:b w:val="0"/>
                <w:color w:val="000000"/>
                <w:sz w:val="21"/>
                <w:szCs w:val="24"/>
                <w:highlight w:val="none"/>
                <w:rtl w:val="0"/>
                <w:lang w:val="en-US" w:eastAsia="zh-CN"/>
              </w:rPr>
            </w:r>
            <w:r/>
          </w:p>
        </w:tc>
        <w:tc>
          <w:tcPr>
            <w:tcW w:w="6209" w:type="dxa"/>
            <w:vAlign w:val="center"/>
            <w:textDirection w:val="lrTb"/>
            <w:noWrap w:val="false"/>
          </w:tcPr>
          <w:p>
            <w:pPr>
              <w:pStyle w:val="680"/>
              <w:numPr>
                <w:ilvl w:val="0"/>
                <w:numId w:val="16"/>
              </w:numPr>
              <w:jc w:val="left"/>
              <w:rPr>
                <w:rFonts w:hint="eastAsia" w:ascii="Times New Roman" w:hAnsi="Times New Roman" w:eastAsia="宋体" w:cs="宋体"/>
                <w:b w:val="0"/>
                <w:color w:val="000000"/>
                <w:sz w:val="21"/>
                <w:szCs w:val="24"/>
                <w:highlight w:val="none"/>
                <w:lang w:val="en-US" w:eastAsia="zh-CN"/>
              </w:rPr>
            </w:pPr>
            <w:r>
              <w:rPr>
                <w:rFonts w:hint="eastAsia" w:ascii="Times New Roman" w:hAnsi="Times New Roman" w:eastAsia="宋体" w:cs="宋体"/>
                <w:b w:val="0"/>
                <w:color w:val="000000"/>
                <w:sz w:val="21"/>
                <w:szCs w:val="24"/>
                <w:highlight w:val="none"/>
                <w:lang w:val="en-US" w:eastAsia="zh-CN"/>
              </w:rPr>
              <w:t xml:space="preserve">项目负责人具有</w:t>
            </w:r>
            <w:r>
              <w:rPr>
                <w:rFonts w:hint="eastAsia" w:ascii="Times New Roman" w:hAnsi="Times New Roman" w:eastAsia="宋体" w:cs="Times New Roman"/>
                <w:szCs w:val="22"/>
                <w:lang w:val="en-US" w:eastAsia="zh-CN"/>
              </w:rPr>
              <w:t xml:space="preserve">网络工程师、信息系统项目管理师、系统分析师证书的，每有一个得 1 分，最高得3分。 </w:t>
            </w:r>
            <w:r>
              <w:rPr>
                <w:rFonts w:hint="eastAsia" w:ascii="Times New Roman" w:hAnsi="Times New Roman" w:eastAsia="宋体" w:cs="宋体"/>
                <w:b w:val="0"/>
                <w:color w:val="000000"/>
                <w:sz w:val="21"/>
                <w:szCs w:val="24"/>
                <w:highlight w:val="none"/>
                <w:lang w:val="en-US" w:eastAsia="zh-CN"/>
              </w:rPr>
            </w:r>
            <w:r/>
          </w:p>
          <w:p>
            <w:pPr>
              <w:pStyle w:val="680"/>
              <w:numPr>
                <w:ilvl w:val="0"/>
                <w:numId w:val="0"/>
              </w:numPr>
              <w:jc w:val="left"/>
              <w:rPr>
                <w:rFonts w:hint="eastAsia" w:ascii="Times New Roman" w:hAnsi="Times New Roman" w:eastAsia="宋体" w:cs="宋体"/>
                <w:b w:val="0"/>
                <w:color w:val="000000"/>
                <w:sz w:val="21"/>
                <w:szCs w:val="24"/>
                <w:highlight w:val="none"/>
                <w:lang w:val="en-US" w:eastAsia="zh-CN"/>
              </w:rPr>
            </w:pPr>
            <w:r>
              <w:rPr>
                <w:rFonts w:hint="eastAsia" w:ascii="Times New Roman" w:hAnsi="Times New Roman" w:eastAsia="宋体" w:cs="宋体"/>
                <w:b w:val="0"/>
                <w:color w:val="000000"/>
                <w:sz w:val="21"/>
                <w:szCs w:val="24"/>
                <w:highlight w:val="none"/>
                <w:lang w:val="en-US" w:eastAsia="zh-CN"/>
              </w:rPr>
              <w:t xml:space="preserve">2、项目组成员中（项目负责人除外）具有有效期内的通信工程师证书、系统分析师证书、系统架构设计师、系统集成项目管理工程师证书的，每有 1 个得1 分， 最高得4分。</w:t>
            </w:r>
            <w:r>
              <w:rPr>
                <w:rFonts w:hint="eastAsia" w:ascii="Times New Roman" w:hAnsi="Times New Roman" w:eastAsia="宋体" w:cs="宋体"/>
                <w:b w:val="0"/>
                <w:color w:val="000000"/>
                <w:sz w:val="21"/>
                <w:szCs w:val="24"/>
                <w:highlight w:val="none"/>
                <w:lang w:val="en-US" w:eastAsia="zh-CN"/>
              </w:rPr>
            </w:r>
            <w:r/>
          </w:p>
          <w:p>
            <w:pPr>
              <w:pStyle w:val="680"/>
              <w:jc w:val="left"/>
              <w:rPr>
                <w:rFonts w:hint="eastAsia" w:ascii="Times New Roman" w:hAnsi="Times New Roman" w:eastAsia="宋体" w:cs="宋体"/>
                <w:b w:val="0"/>
                <w:color w:val="000000"/>
                <w:sz w:val="21"/>
                <w:szCs w:val="24"/>
                <w:highlight w:val="none"/>
                <w:lang w:val="en-US" w:eastAsia="zh-CN"/>
              </w:rPr>
            </w:pPr>
            <w:r>
              <w:rPr>
                <w:rFonts w:hint="eastAsia" w:ascii="Times New Roman" w:hAnsi="Times New Roman" w:eastAsia="宋体" w:cs="宋体"/>
                <w:b w:val="0"/>
                <w:color w:val="000000"/>
                <w:sz w:val="21"/>
                <w:szCs w:val="24"/>
                <w:highlight w:val="none"/>
                <w:lang w:val="en-US" w:eastAsia="zh-CN"/>
              </w:rPr>
              <w:t xml:space="preserve">注: 1.项目组成员中（项目负责人除外）一人多证及多人一证的不重复得分。3.投标文件中需提供项目负责人及项目组成员相关证书原件的扫描件及投标人为其缴纳的近6个月（任意一个月）的社保证明材料原件扫描件，未提供或提供材料不符合要求的不得分。 </w:t>
            </w:r>
            <w:r>
              <w:rPr>
                <w:rFonts w:hint="eastAsia" w:ascii="Times New Roman" w:hAnsi="Times New Roman" w:eastAsia="宋体" w:cs="宋体"/>
                <w:b w:val="0"/>
                <w:color w:val="000000"/>
                <w:sz w:val="21"/>
                <w:szCs w:val="24"/>
                <w:highlight w:val="none"/>
                <w:lang w:val="en-US" w:eastAsia="zh-CN"/>
              </w:rPr>
            </w:r>
            <w:r/>
          </w:p>
        </w:tc>
      </w:tr>
      <w:tr>
        <w:trPr>
          <w:trHeight w:val="855"/>
        </w:trPr>
        <w:tc>
          <w:tcPr>
            <w:tcW w:w="1405" w:type="dxa"/>
            <w:vAlign w:val="center"/>
            <w:textDirection w:val="lrTb"/>
            <w:noWrap w:val="false"/>
          </w:tcPr>
          <w:p>
            <w:pPr>
              <w:pStyle w:val="680"/>
              <w:jc w:val="center"/>
              <w:spacing w:after="0" w:afterAutospacing="0"/>
              <w:widowControl w:val="off"/>
              <w:rPr>
                <w:rFonts w:hint="eastAsia" w:ascii="Times New Roman" w:hAnsi="Times New Roman" w:eastAsia="宋体" w:cs="宋体"/>
                <w:b w:val="0"/>
                <w:sz w:val="21"/>
                <w:szCs w:val="24"/>
                <w:highlight w:val="none"/>
              </w:rPr>
            </w:pPr>
            <w:r>
              <w:rPr>
                <w:rFonts w:hint="eastAsia" w:ascii="Calibri" w:hAnsi="Calibri" w:eastAsia="宋体" w:cs="Times New Roman"/>
                <w:b w:val="0"/>
                <w:bCs w:val="0"/>
                <w:caps w:val="0"/>
                <w:color w:val="000000"/>
                <w:sz w:val="21"/>
                <w:szCs w:val="22"/>
                <w:highlight w:val="none"/>
                <w:lang w:val="en-US" w:eastAsia="zh-CN" w:bidi="ar-SA"/>
              </w:rPr>
              <w:t xml:space="preserve">项目实施方案</w:t>
            </w:r>
            <w:r>
              <w:rPr>
                <w:rFonts w:hint="eastAsia" w:ascii="Times New Roman" w:hAnsi="Times New Roman" w:eastAsia="宋体" w:cs="宋体"/>
                <w:b w:val="0"/>
                <w:sz w:val="21"/>
                <w:szCs w:val="24"/>
                <w:highlight w:val="none"/>
              </w:rPr>
            </w:r>
            <w:r/>
          </w:p>
        </w:tc>
        <w:tc>
          <w:tcPr>
            <w:tcW w:w="1114" w:type="dxa"/>
            <w:vAlign w:val="center"/>
            <w:textDirection w:val="lrTb"/>
            <w:noWrap w:val="false"/>
          </w:tcPr>
          <w:p>
            <w:pPr>
              <w:pStyle w:val="680"/>
              <w:jc w:val="center"/>
              <w:spacing w:after="0" w:afterAutospacing="0"/>
              <w:widowControl w:val="off"/>
              <w:rPr>
                <w:rFonts w:hint="eastAsia" w:ascii="Times New Roman" w:hAnsi="Times New Roman" w:eastAsia="宋体" w:cs="宋体"/>
                <w:b w:val="0"/>
                <w:sz w:val="21"/>
                <w:szCs w:val="24"/>
                <w:highlight w:val="none"/>
              </w:rPr>
            </w:pPr>
            <w:r>
              <w:rPr>
                <w:rFonts w:hint="eastAsia" w:ascii="Calibri" w:hAnsi="Calibri" w:eastAsia="宋体" w:cs="Times New Roman"/>
                <w:b w:val="0"/>
                <w:bCs w:val="0"/>
                <w:caps w:val="0"/>
                <w:color w:val="000000"/>
                <w:sz w:val="21"/>
                <w:szCs w:val="22"/>
                <w:highlight w:val="none"/>
                <w:rtl w:val="0"/>
                <w:lang w:val="en-US" w:eastAsia="zh-CN" w:bidi="ar-SA"/>
              </w:rPr>
              <w:t xml:space="preserve">6</w:t>
            </w:r>
            <w:r>
              <w:rPr>
                <w:rFonts w:ascii="Times New Roman" w:hAnsi="Times New Roman" w:eastAsia="宋体" w:cs="Times New Roman"/>
                <w:b w:val="0"/>
                <w:bCs w:val="0"/>
                <w:caps w:val="0"/>
                <w:color w:val="000000"/>
                <w:sz w:val="21"/>
                <w:szCs w:val="22"/>
                <w:highlight w:val="none"/>
                <w:rtl w:val="0"/>
                <w:lang w:val="en-US" w:eastAsia="zh-CN" w:bidi="ar-SA"/>
              </w:rPr>
              <w:t xml:space="preserve">.00分</w:t>
            </w:r>
            <w:r>
              <w:rPr>
                <w:rFonts w:hint="eastAsia" w:ascii="Times New Roman" w:hAnsi="Times New Roman" w:eastAsia="宋体" w:cs="宋体"/>
                <w:b w:val="0"/>
                <w:sz w:val="21"/>
                <w:szCs w:val="24"/>
                <w:highlight w:val="none"/>
              </w:rPr>
            </w:r>
            <w:r/>
          </w:p>
        </w:tc>
        <w:tc>
          <w:tcPr>
            <w:tcW w:w="6209" w:type="dxa"/>
            <w:vAlign w:val="center"/>
            <w:textDirection w:val="lrTb"/>
            <w:noWrap w:val="false"/>
          </w:tcPr>
          <w:p>
            <w:pPr>
              <w:pStyle w:val="680"/>
              <w:jc w:val="left"/>
              <w:spacing w:after="0" w:afterAutospacing="0"/>
              <w:widowControl w:val="off"/>
              <w:rPr>
                <w:rFonts w:hint="eastAsia" w:ascii="Times New Roman" w:hAnsi="Times New Roman" w:eastAsia="宋体" w:cs="宋体"/>
                <w:b w:val="0"/>
                <w:color w:val="000000"/>
                <w:sz w:val="21"/>
                <w:szCs w:val="24"/>
                <w:highlight w:val="none"/>
              </w:rPr>
            </w:pPr>
            <w:r>
              <w:rPr>
                <w:rFonts w:hint="eastAsia" w:ascii="宋体" w:hAnsi="宋体" w:eastAsia="宋体" w:cs="宋体"/>
                <w:szCs w:val="22"/>
                <w:highlight w:val="none"/>
              </w:rPr>
              <w:t xml:space="preserve">针对</w:t>
            </w:r>
            <w:r>
              <w:rPr>
                <w:rFonts w:hint="eastAsia" w:ascii="宋体" w:hAnsi="宋体" w:eastAsia="宋体" w:cs="宋体"/>
                <w:szCs w:val="22"/>
                <w:highlight w:val="none"/>
                <w:lang w:val="en-US" w:eastAsia="zh-CN"/>
              </w:rPr>
              <w:t xml:space="preserve">采购</w:t>
            </w:r>
            <w:r>
              <w:rPr>
                <w:rFonts w:hint="eastAsia" w:ascii="宋体" w:hAnsi="宋体" w:eastAsia="宋体" w:cs="宋体"/>
                <w:szCs w:val="22"/>
                <w:highlight w:val="none"/>
              </w:rPr>
              <w:t xml:space="preserve">文件“第四</w:t>
            </w:r>
            <w:r>
              <w:rPr>
                <w:rFonts w:hint="eastAsia" w:ascii="宋体" w:hAnsi="宋体" w:eastAsia="宋体" w:cs="宋体"/>
                <w:szCs w:val="22"/>
                <w:highlight w:val="none"/>
                <w:lang w:val="en-US" w:eastAsia="zh-CN"/>
              </w:rPr>
              <w:t xml:space="preserve">章 </w:t>
            </w:r>
            <w:r>
              <w:rPr>
                <w:rFonts w:hint="eastAsia" w:ascii="宋体" w:hAnsi="宋体" w:eastAsia="宋体" w:cs="宋体"/>
                <w:szCs w:val="22"/>
                <w:highlight w:val="none"/>
              </w:rPr>
              <w:t xml:space="preserve">采购需求”中“</w:t>
            </w:r>
            <w:r>
              <w:rPr>
                <w:rFonts w:hint="eastAsia" w:ascii="宋体" w:hAnsi="宋体" w:eastAsia="宋体" w:cs="宋体"/>
                <w:szCs w:val="22"/>
                <w:highlight w:val="none"/>
                <w:lang w:val="en-US" w:eastAsia="zh-CN"/>
              </w:rPr>
              <w:t xml:space="preserve">三</w:t>
            </w: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项目实施要求</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提供项目实施</w:t>
            </w:r>
            <w:r>
              <w:rPr>
                <w:rFonts w:hint="eastAsia" w:ascii="宋体" w:hAnsi="宋体" w:eastAsia="宋体" w:cs="宋体"/>
                <w:szCs w:val="22"/>
                <w:highlight w:val="none"/>
              </w:rPr>
              <w:t xml:space="preserve">方案。优于采购需求的得</w:t>
            </w:r>
            <w:r>
              <w:rPr>
                <w:rFonts w:hint="eastAsia" w:ascii="宋体" w:hAnsi="宋体" w:eastAsia="宋体" w:cs="宋体"/>
                <w:szCs w:val="22"/>
                <w:highlight w:val="none"/>
                <w:lang w:val="en-US" w:eastAsia="zh-CN"/>
              </w:rPr>
              <w:t xml:space="preserve">6</w:t>
            </w:r>
            <w:r>
              <w:rPr>
                <w:rFonts w:hint="eastAsia" w:ascii="宋体" w:hAnsi="宋体" w:eastAsia="宋体" w:cs="宋体"/>
                <w:szCs w:val="22"/>
                <w:highlight w:val="none"/>
              </w:rPr>
              <w:t xml:space="preserve">分；满足采购需求的得</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分；其他情况不得分。</w:t>
            </w:r>
            <w:r>
              <w:rPr>
                <w:rFonts w:hint="eastAsia" w:ascii="Times New Roman" w:hAnsi="Times New Roman" w:eastAsia="宋体" w:cs="宋体"/>
                <w:b w:val="0"/>
                <w:color w:val="000000"/>
                <w:sz w:val="21"/>
                <w:szCs w:val="24"/>
                <w:highlight w:val="none"/>
              </w:rPr>
            </w:r>
            <w:r/>
          </w:p>
        </w:tc>
      </w:tr>
      <w:tr>
        <w:trPr>
          <w:trHeight w:val="855"/>
        </w:trPr>
        <w:tc>
          <w:tcPr>
            <w:tcW w:w="1405" w:type="dxa"/>
            <w:vAlign w:val="center"/>
            <w:textDirection w:val="lrTb"/>
            <w:noWrap w:val="false"/>
          </w:tcPr>
          <w:p>
            <w:pPr>
              <w:pStyle w:val="680"/>
              <w:jc w:val="center"/>
              <w:spacing w:after="0" w:afterAutospacing="0"/>
              <w:widowControl w:val="off"/>
              <w:rPr>
                <w:rFonts w:hint="eastAsia" w:ascii="Times New Roman" w:hAnsi="Times New Roman" w:eastAsia="宋体" w:cs="宋体"/>
                <w:b w:val="0"/>
                <w:sz w:val="21"/>
                <w:szCs w:val="24"/>
                <w:highlight w:val="none"/>
              </w:rPr>
            </w:pPr>
            <w:r>
              <w:rPr>
                <w:rFonts w:ascii="Calibri" w:hAnsi="Calibri" w:eastAsia="宋体" w:cs="Times New Roman"/>
                <w:b w:val="0"/>
                <w:bCs w:val="0"/>
                <w:color w:val="000000"/>
                <w:sz w:val="21"/>
                <w:szCs w:val="22"/>
                <w:highlight w:val="none"/>
                <w:rtl w:val="0"/>
                <w:lang w:val="en-US" w:eastAsia="zh-CN" w:bidi="ar-SA"/>
              </w:rPr>
              <w:t xml:space="preserve">培训方案</w:t>
            </w:r>
            <w:r>
              <w:rPr>
                <w:rFonts w:hint="eastAsia" w:ascii="Times New Roman" w:hAnsi="Times New Roman" w:eastAsia="宋体" w:cs="宋体"/>
                <w:b w:val="0"/>
                <w:sz w:val="21"/>
                <w:szCs w:val="24"/>
                <w:highlight w:val="none"/>
              </w:rPr>
            </w:r>
            <w:r/>
          </w:p>
        </w:tc>
        <w:tc>
          <w:tcPr>
            <w:tcW w:w="1114" w:type="dxa"/>
            <w:vAlign w:val="center"/>
            <w:textDirection w:val="lrTb"/>
            <w:noWrap w:val="false"/>
          </w:tcPr>
          <w:p>
            <w:pPr>
              <w:pStyle w:val="680"/>
              <w:jc w:val="center"/>
              <w:spacing w:after="0" w:afterAutospacing="0"/>
              <w:widowControl w:val="off"/>
              <w:rPr>
                <w:rFonts w:hint="eastAsia" w:ascii="Times New Roman" w:hAnsi="Times New Roman" w:eastAsia="宋体" w:cs="宋体"/>
                <w:b w:val="0"/>
                <w:sz w:val="21"/>
                <w:szCs w:val="24"/>
                <w:highlight w:val="none"/>
              </w:rPr>
            </w:pPr>
            <w:r>
              <w:rPr>
                <w:rFonts w:hint="eastAsia" w:ascii="Calibri" w:hAnsi="Calibri" w:eastAsia="宋体" w:cs="Times New Roman"/>
                <w:b w:val="0"/>
                <w:bCs w:val="0"/>
                <w:caps w:val="0"/>
                <w:color w:val="000000"/>
                <w:sz w:val="21"/>
                <w:szCs w:val="22"/>
                <w:highlight w:val="none"/>
                <w:rtl w:val="0"/>
                <w:lang w:val="en-US" w:eastAsia="zh-CN" w:bidi="ar-SA"/>
              </w:rPr>
              <w:t xml:space="preserve">6</w:t>
            </w:r>
            <w:r>
              <w:rPr>
                <w:rFonts w:ascii="Times New Roman" w:hAnsi="Times New Roman" w:eastAsia="宋体" w:cs="Times New Roman"/>
                <w:b w:val="0"/>
                <w:bCs w:val="0"/>
                <w:caps w:val="0"/>
                <w:color w:val="000000"/>
                <w:sz w:val="21"/>
                <w:szCs w:val="22"/>
                <w:highlight w:val="none"/>
                <w:rtl w:val="0"/>
                <w:lang w:val="en-US" w:eastAsia="zh-CN" w:bidi="ar-SA"/>
              </w:rPr>
              <w:t xml:space="preserve">.00分</w:t>
            </w:r>
            <w:r>
              <w:rPr>
                <w:rFonts w:hint="eastAsia" w:ascii="Times New Roman" w:hAnsi="Times New Roman" w:eastAsia="宋体" w:cs="宋体"/>
                <w:b w:val="0"/>
                <w:sz w:val="21"/>
                <w:szCs w:val="24"/>
                <w:highlight w:val="none"/>
              </w:rPr>
            </w:r>
            <w:r/>
          </w:p>
        </w:tc>
        <w:tc>
          <w:tcPr>
            <w:tcW w:w="6209" w:type="dxa"/>
            <w:vAlign w:val="center"/>
            <w:textDirection w:val="lrTb"/>
            <w:noWrap w:val="false"/>
          </w:tcPr>
          <w:p>
            <w:pPr>
              <w:pStyle w:val="680"/>
              <w:jc w:val="left"/>
              <w:spacing w:after="0" w:afterAutospacing="0"/>
              <w:widowControl w:val="off"/>
              <w:rPr>
                <w:rFonts w:hint="eastAsia" w:ascii="Times New Roman" w:hAnsi="Times New Roman" w:eastAsia="宋体" w:cs="宋体"/>
                <w:b w:val="0"/>
                <w:color w:val="000000"/>
                <w:sz w:val="21"/>
                <w:szCs w:val="24"/>
                <w:highlight w:val="none"/>
              </w:rPr>
            </w:pPr>
            <w:r>
              <w:rPr>
                <w:rFonts w:hint="eastAsia" w:ascii="宋体" w:hAnsi="宋体" w:eastAsia="宋体" w:cs="宋体"/>
                <w:szCs w:val="22"/>
                <w:highlight w:val="none"/>
              </w:rPr>
              <w:t xml:space="preserve">针对</w:t>
            </w:r>
            <w:r>
              <w:rPr>
                <w:rFonts w:hint="eastAsia" w:ascii="宋体" w:hAnsi="宋体" w:eastAsia="宋体" w:cs="宋体"/>
                <w:szCs w:val="22"/>
                <w:highlight w:val="none"/>
                <w:lang w:val="en-US" w:eastAsia="zh-CN"/>
              </w:rPr>
              <w:t xml:space="preserve">采购</w:t>
            </w:r>
            <w:r>
              <w:rPr>
                <w:rFonts w:hint="eastAsia" w:ascii="宋体" w:hAnsi="宋体" w:eastAsia="宋体" w:cs="宋体"/>
                <w:szCs w:val="22"/>
                <w:highlight w:val="none"/>
              </w:rPr>
              <w:t xml:space="preserve">文件“第四</w:t>
            </w:r>
            <w:r>
              <w:rPr>
                <w:rFonts w:hint="eastAsia" w:ascii="宋体" w:hAnsi="宋体" w:eastAsia="宋体" w:cs="宋体"/>
                <w:szCs w:val="22"/>
                <w:highlight w:val="none"/>
                <w:lang w:val="en-US" w:eastAsia="zh-CN"/>
              </w:rPr>
              <w:t xml:space="preserve">章 </w:t>
            </w:r>
            <w:r>
              <w:rPr>
                <w:rFonts w:hint="eastAsia" w:ascii="宋体" w:hAnsi="宋体" w:eastAsia="宋体" w:cs="宋体"/>
                <w:szCs w:val="22"/>
                <w:highlight w:val="none"/>
              </w:rPr>
              <w:t xml:space="preserve">采购需求”中“</w:t>
            </w:r>
            <w:r>
              <w:rPr>
                <w:rFonts w:hint="eastAsia" w:ascii="宋体" w:hAnsi="宋体" w:eastAsia="宋体" w:cs="宋体"/>
                <w:szCs w:val="22"/>
                <w:highlight w:val="none"/>
                <w:lang w:val="en-US" w:eastAsia="zh-CN"/>
              </w:rPr>
              <w:t xml:space="preserve">四</w:t>
            </w: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培训要求</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提供培训</w:t>
            </w:r>
            <w:r>
              <w:rPr>
                <w:rFonts w:hint="eastAsia" w:ascii="宋体" w:hAnsi="宋体" w:eastAsia="宋体" w:cs="宋体"/>
                <w:szCs w:val="22"/>
                <w:highlight w:val="none"/>
              </w:rPr>
              <w:t xml:space="preserve">方案。优于采购需求的得</w:t>
            </w:r>
            <w:r>
              <w:rPr>
                <w:rFonts w:hint="eastAsia" w:ascii="宋体" w:hAnsi="宋体" w:eastAsia="宋体" w:cs="宋体"/>
                <w:szCs w:val="22"/>
                <w:highlight w:val="none"/>
                <w:lang w:val="en-US" w:eastAsia="zh-CN"/>
              </w:rPr>
              <w:t xml:space="preserve">6</w:t>
            </w:r>
            <w:r>
              <w:rPr>
                <w:rFonts w:hint="eastAsia" w:ascii="宋体" w:hAnsi="宋体" w:eastAsia="宋体" w:cs="宋体"/>
                <w:szCs w:val="22"/>
                <w:highlight w:val="none"/>
              </w:rPr>
              <w:t xml:space="preserve">分；满足采购需求的得</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分；其他情况不得分。</w:t>
            </w:r>
            <w:r>
              <w:rPr>
                <w:rFonts w:hint="eastAsia" w:ascii="Times New Roman" w:hAnsi="Times New Roman" w:eastAsia="宋体" w:cs="宋体"/>
                <w:b w:val="0"/>
                <w:color w:val="000000"/>
                <w:sz w:val="21"/>
                <w:szCs w:val="24"/>
                <w:highlight w:val="none"/>
              </w:rPr>
            </w:r>
            <w:r/>
          </w:p>
        </w:tc>
      </w:tr>
      <w:tr>
        <w:trPr>
          <w:trHeight w:val="855"/>
        </w:trPr>
        <w:tc>
          <w:tcPr>
            <w:tcW w:w="1405" w:type="dxa"/>
            <w:vAlign w:val="center"/>
            <w:textDirection w:val="lrTb"/>
            <w:noWrap w:val="false"/>
          </w:tcPr>
          <w:p>
            <w:pPr>
              <w:pStyle w:val="680"/>
              <w:jc w:val="center"/>
              <w:spacing w:after="0" w:afterAutospacing="0"/>
              <w:widowControl w:val="off"/>
              <w:rPr>
                <w:rFonts w:hint="eastAsia" w:ascii="Times New Roman" w:hAnsi="Times New Roman" w:eastAsia="宋体" w:cs="宋体"/>
                <w:b w:val="0"/>
                <w:sz w:val="21"/>
                <w:szCs w:val="24"/>
                <w:highlight w:val="none"/>
              </w:rPr>
            </w:pPr>
            <w:r>
              <w:rPr>
                <w:rFonts w:hint="eastAsia" w:ascii="宋体" w:hAnsi="宋体" w:eastAsia="宋体" w:cs="宋体"/>
                <w:szCs w:val="21"/>
                <w:highlight w:val="none"/>
              </w:rPr>
              <w:t xml:space="preserve">应急响应方案</w:t>
            </w:r>
            <w:r>
              <w:rPr>
                <w:rFonts w:hint="eastAsia" w:ascii="Times New Roman" w:hAnsi="Times New Roman" w:eastAsia="宋体" w:cs="宋体"/>
                <w:b w:val="0"/>
                <w:sz w:val="21"/>
                <w:szCs w:val="24"/>
                <w:highlight w:val="none"/>
              </w:rPr>
            </w:r>
            <w:r/>
          </w:p>
        </w:tc>
        <w:tc>
          <w:tcPr>
            <w:tcW w:w="1114" w:type="dxa"/>
            <w:vAlign w:val="center"/>
            <w:textDirection w:val="lrTb"/>
            <w:noWrap w:val="false"/>
          </w:tcPr>
          <w:p>
            <w:pPr>
              <w:pStyle w:val="680"/>
              <w:jc w:val="center"/>
              <w:spacing w:after="0" w:afterAutospacing="0"/>
              <w:widowControl w:val="off"/>
              <w:rPr>
                <w:rFonts w:ascii="Times New Roman" w:hAnsi="Times New Roman" w:eastAsia="宋体" w:cs="宋体"/>
                <w:b w:val="0"/>
                <w:sz w:val="21"/>
                <w:szCs w:val="24"/>
                <w:highlight w:val="none"/>
                <w:lang w:val="en-US" w:eastAsia="zh-CN"/>
              </w:rPr>
            </w:pPr>
            <w:r>
              <w:rPr>
                <w:rFonts w:hint="eastAsia" w:ascii="Times New Roman" w:hAnsi="Times New Roman" w:eastAsia="宋体" w:cs="宋体"/>
                <w:b w:val="0"/>
                <w:sz w:val="21"/>
                <w:szCs w:val="24"/>
                <w:highlight w:val="none"/>
                <w:lang w:val="en-US" w:eastAsia="zh-CN"/>
              </w:rPr>
              <w:t xml:space="preserve">5.00分</w:t>
            </w:r>
            <w:r>
              <w:rPr>
                <w:rFonts w:ascii="Times New Roman" w:hAnsi="Times New Roman" w:eastAsia="宋体" w:cs="宋体"/>
                <w:b w:val="0"/>
                <w:sz w:val="21"/>
                <w:szCs w:val="24"/>
                <w:highlight w:val="none"/>
                <w:lang w:val="en-US" w:eastAsia="zh-CN"/>
              </w:rPr>
            </w:r>
            <w:r/>
          </w:p>
        </w:tc>
        <w:tc>
          <w:tcPr>
            <w:tcW w:w="6209" w:type="dxa"/>
            <w:vAlign w:val="center"/>
            <w:textDirection w:val="lrTb"/>
            <w:noWrap w:val="false"/>
          </w:tcPr>
          <w:p>
            <w:pPr>
              <w:pStyle w:val="680"/>
              <w:jc w:val="left"/>
              <w:spacing w:after="0" w:afterAutospacing="0"/>
              <w:widowControl w:val="off"/>
              <w:rPr>
                <w:rFonts w:hint="eastAsia" w:ascii="Times New Roman" w:hAnsi="Times New Roman" w:eastAsia="宋体" w:cs="宋体"/>
                <w:b w:val="0"/>
                <w:color w:val="000000"/>
                <w:sz w:val="21"/>
                <w:szCs w:val="24"/>
                <w:highlight w:val="none"/>
              </w:rPr>
            </w:pPr>
            <w:r>
              <w:rPr>
                <w:rFonts w:hint="eastAsia" w:ascii="宋体" w:hAnsi="宋体" w:eastAsia="宋体" w:cs="宋体"/>
                <w:szCs w:val="22"/>
                <w:highlight w:val="none"/>
              </w:rPr>
              <w:t xml:space="preserve">针对</w:t>
            </w:r>
            <w:r>
              <w:rPr>
                <w:rFonts w:hint="eastAsia" w:ascii="宋体" w:hAnsi="宋体" w:eastAsia="宋体" w:cs="宋体"/>
                <w:szCs w:val="22"/>
                <w:highlight w:val="none"/>
                <w:lang w:val="en-US" w:eastAsia="zh-CN"/>
              </w:rPr>
              <w:t xml:space="preserve">采购</w:t>
            </w:r>
            <w:r>
              <w:rPr>
                <w:rFonts w:hint="eastAsia" w:ascii="宋体" w:hAnsi="宋体" w:eastAsia="宋体" w:cs="宋体"/>
                <w:szCs w:val="22"/>
                <w:highlight w:val="none"/>
              </w:rPr>
              <w:t xml:space="preserve">文件“第四</w:t>
            </w:r>
            <w:r>
              <w:rPr>
                <w:rFonts w:hint="eastAsia" w:ascii="宋体" w:hAnsi="宋体" w:eastAsia="宋体" w:cs="宋体"/>
                <w:szCs w:val="22"/>
                <w:highlight w:val="none"/>
                <w:lang w:val="en-US" w:eastAsia="zh-CN"/>
              </w:rPr>
              <w:t xml:space="preserve">章 </w:t>
            </w:r>
            <w:r>
              <w:rPr>
                <w:rFonts w:hint="eastAsia" w:ascii="宋体" w:hAnsi="宋体" w:eastAsia="宋体" w:cs="宋体"/>
                <w:szCs w:val="22"/>
                <w:highlight w:val="none"/>
              </w:rPr>
              <w:t xml:space="preserve">采购需求”中“</w:t>
            </w:r>
            <w:r>
              <w:rPr>
                <w:rFonts w:hint="eastAsia" w:ascii="宋体" w:hAnsi="宋体" w:eastAsia="宋体" w:cs="宋体"/>
                <w:szCs w:val="22"/>
                <w:highlight w:val="none"/>
                <w:lang w:val="en-US" w:eastAsia="zh-CN"/>
              </w:rPr>
              <w:t xml:space="preserve">六</w:t>
            </w: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应急响应要求</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提供应急响应</w:t>
            </w:r>
            <w:r>
              <w:rPr>
                <w:rFonts w:hint="eastAsia" w:ascii="宋体" w:hAnsi="宋体" w:eastAsia="宋体" w:cs="宋体"/>
                <w:szCs w:val="22"/>
                <w:highlight w:val="none"/>
              </w:rPr>
              <w:t xml:space="preserve">方案。优于采购需求的得</w:t>
            </w:r>
            <w:r>
              <w:rPr>
                <w:rFonts w:hint="eastAsia" w:ascii="宋体" w:hAnsi="宋体" w:eastAsia="宋体" w:cs="宋体"/>
                <w:szCs w:val="22"/>
                <w:highlight w:val="none"/>
                <w:lang w:val="en-US" w:eastAsia="zh-CN"/>
              </w:rPr>
              <w:t xml:space="preserve">5</w:t>
            </w:r>
            <w:r>
              <w:rPr>
                <w:rFonts w:hint="eastAsia" w:ascii="宋体" w:hAnsi="宋体" w:eastAsia="宋体" w:cs="宋体"/>
                <w:szCs w:val="22"/>
                <w:highlight w:val="none"/>
              </w:rPr>
              <w:t xml:space="preserve">分；满足采购需求的得</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分；其他情况不得分。</w:t>
            </w:r>
            <w:r>
              <w:rPr>
                <w:rFonts w:hint="eastAsia" w:ascii="Times New Roman" w:hAnsi="Times New Roman" w:eastAsia="宋体" w:cs="宋体"/>
                <w:b w:val="0"/>
                <w:color w:val="000000"/>
                <w:sz w:val="21"/>
                <w:szCs w:val="24"/>
                <w:highlight w:val="none"/>
              </w:rPr>
            </w:r>
            <w:r/>
          </w:p>
        </w:tc>
      </w:tr>
      <w:tr>
        <w:trPr>
          <w:trHeight w:val="855"/>
        </w:trPr>
        <w:tc>
          <w:tcPr>
            <w:tcW w:w="1405" w:type="dxa"/>
            <w:vAlign w:val="center"/>
            <w:textDirection w:val="lrTb"/>
            <w:noWrap w:val="false"/>
          </w:tcPr>
          <w:p>
            <w:pPr>
              <w:pStyle w:val="680"/>
              <w:jc w:val="center"/>
              <w:spacing w:after="0" w:afterAutospacing="0"/>
              <w:widowControl w:val="off"/>
              <w:rPr>
                <w:rFonts w:hint="eastAsia" w:ascii="Times New Roman" w:hAnsi="Times New Roman" w:eastAsia="宋体" w:cs="宋体"/>
                <w:b w:val="0"/>
                <w:sz w:val="21"/>
                <w:szCs w:val="24"/>
                <w:highlight w:val="none"/>
              </w:rPr>
            </w:pPr>
            <w:r>
              <w:rPr>
                <w:rFonts w:ascii="Times New Roman" w:hAnsi="Times New Roman" w:eastAsia="宋体" w:cs="Times New Roman"/>
                <w:b w:val="0"/>
                <w:bCs w:val="0"/>
                <w:caps w:val="0"/>
                <w:color w:val="000000"/>
                <w:sz w:val="21"/>
                <w:szCs w:val="22"/>
                <w:highlight w:val="none"/>
                <w:rtl w:val="0"/>
                <w:lang w:val="en-US" w:eastAsia="zh-CN" w:bidi="ar-SA"/>
              </w:rPr>
              <w:t xml:space="preserve">售后服务</w:t>
            </w:r>
            <w:r>
              <w:rPr>
                <w:rFonts w:hint="eastAsia" w:ascii="Times New Roman" w:hAnsi="Times New Roman" w:eastAsia="宋体" w:cs="宋体"/>
                <w:b w:val="0"/>
                <w:sz w:val="21"/>
                <w:szCs w:val="24"/>
                <w:highlight w:val="none"/>
              </w:rPr>
            </w:r>
            <w:r/>
          </w:p>
        </w:tc>
        <w:tc>
          <w:tcPr>
            <w:tcW w:w="1114" w:type="dxa"/>
            <w:vAlign w:val="center"/>
            <w:textDirection w:val="lrTb"/>
            <w:noWrap w:val="false"/>
          </w:tcPr>
          <w:p>
            <w:pPr>
              <w:pStyle w:val="680"/>
              <w:jc w:val="center"/>
              <w:spacing w:after="0" w:afterAutospacing="0"/>
              <w:widowControl w:val="off"/>
              <w:rPr>
                <w:rFonts w:hint="eastAsia" w:ascii="Times New Roman" w:hAnsi="Times New Roman" w:eastAsia="宋体" w:cs="宋体"/>
                <w:b w:val="0"/>
                <w:sz w:val="21"/>
                <w:szCs w:val="24"/>
                <w:highlight w:val="none"/>
              </w:rPr>
            </w:pPr>
            <w:r>
              <w:rPr>
                <w:rFonts w:hint="eastAsia" w:ascii="Calibri" w:hAnsi="Calibri" w:eastAsia="宋体" w:cs="Times New Roman"/>
                <w:b w:val="0"/>
                <w:bCs w:val="0"/>
                <w:caps w:val="0"/>
                <w:color w:val="000000"/>
                <w:sz w:val="21"/>
                <w:szCs w:val="22"/>
                <w:highlight w:val="none"/>
                <w:rtl w:val="0"/>
                <w:lang w:val="en-US" w:eastAsia="zh-CN" w:bidi="ar-SA"/>
              </w:rPr>
              <w:t xml:space="preserve">5.</w:t>
            </w:r>
            <w:r>
              <w:rPr>
                <w:rFonts w:ascii="Times New Roman" w:hAnsi="Times New Roman" w:eastAsia="宋体" w:cs="Times New Roman"/>
                <w:b w:val="0"/>
                <w:bCs w:val="0"/>
                <w:caps w:val="0"/>
                <w:color w:val="000000"/>
                <w:sz w:val="21"/>
                <w:szCs w:val="22"/>
                <w:highlight w:val="none"/>
                <w:rtl w:val="0"/>
                <w:lang w:val="en-US" w:eastAsia="zh-CN" w:bidi="ar-SA"/>
              </w:rPr>
              <w:t xml:space="preserve">00分</w:t>
            </w:r>
            <w:r>
              <w:rPr>
                <w:rFonts w:hint="eastAsia" w:ascii="Times New Roman" w:hAnsi="Times New Roman" w:eastAsia="宋体" w:cs="宋体"/>
                <w:b w:val="0"/>
                <w:sz w:val="21"/>
                <w:szCs w:val="24"/>
                <w:highlight w:val="none"/>
              </w:rPr>
            </w:r>
            <w:r/>
          </w:p>
        </w:tc>
        <w:tc>
          <w:tcPr>
            <w:tcW w:w="6209" w:type="dxa"/>
            <w:vAlign w:val="center"/>
            <w:textDirection w:val="lrTb"/>
            <w:noWrap w:val="false"/>
          </w:tcPr>
          <w:p>
            <w:pPr>
              <w:pStyle w:val="680"/>
              <w:jc w:val="left"/>
              <w:spacing w:after="0" w:afterAutospacing="0"/>
              <w:widowControl w:val="off"/>
              <w:rPr>
                <w:rFonts w:hint="eastAsia" w:ascii="Times New Roman" w:hAnsi="Times New Roman" w:eastAsia="宋体" w:cs="宋体"/>
                <w:b w:val="0"/>
                <w:color w:val="000000"/>
                <w:sz w:val="21"/>
                <w:szCs w:val="24"/>
                <w:highlight w:val="none"/>
              </w:rPr>
            </w:pPr>
            <w:r>
              <w:rPr>
                <w:rFonts w:hint="eastAsia" w:ascii="宋体" w:hAnsi="宋体" w:eastAsia="宋体" w:cs="宋体"/>
                <w:szCs w:val="22"/>
                <w:highlight w:val="none"/>
              </w:rPr>
              <w:t xml:space="preserve">针对</w:t>
            </w:r>
            <w:r>
              <w:rPr>
                <w:rFonts w:hint="eastAsia" w:ascii="宋体" w:hAnsi="宋体" w:eastAsia="宋体" w:cs="宋体"/>
                <w:szCs w:val="22"/>
                <w:highlight w:val="none"/>
                <w:lang w:val="en-US" w:eastAsia="zh-CN"/>
              </w:rPr>
              <w:t xml:space="preserve">采购</w:t>
            </w:r>
            <w:r>
              <w:rPr>
                <w:rFonts w:hint="eastAsia" w:ascii="宋体" w:hAnsi="宋体" w:eastAsia="宋体" w:cs="宋体"/>
                <w:szCs w:val="22"/>
                <w:highlight w:val="none"/>
              </w:rPr>
              <w:t xml:space="preserve">文件“第四</w:t>
            </w:r>
            <w:r>
              <w:rPr>
                <w:rFonts w:hint="eastAsia" w:ascii="宋体" w:hAnsi="宋体" w:eastAsia="宋体" w:cs="宋体"/>
                <w:szCs w:val="22"/>
                <w:highlight w:val="none"/>
                <w:lang w:val="en-US" w:eastAsia="zh-CN"/>
              </w:rPr>
              <w:t xml:space="preserve">章 </w:t>
            </w:r>
            <w:r>
              <w:rPr>
                <w:rFonts w:hint="eastAsia" w:ascii="宋体" w:hAnsi="宋体" w:eastAsia="宋体" w:cs="宋体"/>
                <w:szCs w:val="22"/>
                <w:highlight w:val="none"/>
              </w:rPr>
              <w:t xml:space="preserve">采购需求”中“</w:t>
            </w:r>
            <w:r>
              <w:rPr>
                <w:rFonts w:hint="eastAsia" w:ascii="宋体" w:hAnsi="宋体" w:eastAsia="宋体" w:cs="宋体"/>
                <w:szCs w:val="22"/>
                <w:highlight w:val="none"/>
                <w:lang w:val="en-US" w:eastAsia="zh-CN"/>
              </w:rPr>
              <w:t xml:space="preserve">七</w:t>
            </w: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售后服务要求</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提供售后服务</w:t>
            </w:r>
            <w:r>
              <w:rPr>
                <w:rFonts w:hint="eastAsia" w:ascii="宋体" w:hAnsi="宋体" w:eastAsia="宋体" w:cs="宋体"/>
                <w:szCs w:val="22"/>
                <w:highlight w:val="none"/>
              </w:rPr>
              <w:t xml:space="preserve">方案。优于采购需求的得</w:t>
            </w:r>
            <w:r>
              <w:rPr>
                <w:rFonts w:hint="eastAsia" w:ascii="宋体" w:hAnsi="宋体" w:eastAsia="宋体" w:cs="宋体"/>
                <w:szCs w:val="22"/>
                <w:highlight w:val="none"/>
                <w:lang w:val="en-US" w:eastAsia="zh-CN"/>
              </w:rPr>
              <w:t xml:space="preserve">5</w:t>
            </w:r>
            <w:r>
              <w:rPr>
                <w:rFonts w:hint="eastAsia" w:ascii="宋体" w:hAnsi="宋体" w:eastAsia="宋体" w:cs="宋体"/>
                <w:szCs w:val="22"/>
                <w:highlight w:val="none"/>
              </w:rPr>
              <w:t xml:space="preserve">分；满足采购需求的得</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分；其他情况不得分。</w:t>
            </w:r>
            <w:r>
              <w:rPr>
                <w:rFonts w:hint="eastAsia" w:ascii="Times New Roman" w:hAnsi="Times New Roman" w:eastAsia="宋体" w:cs="宋体"/>
                <w:b w:val="0"/>
                <w:color w:val="000000"/>
                <w:sz w:val="21"/>
                <w:szCs w:val="24"/>
                <w:highlight w:val="none"/>
              </w:rPr>
            </w:r>
            <w:r/>
          </w:p>
        </w:tc>
      </w:tr>
    </w:tbl>
    <w:p>
      <w:pPr>
        <w:pStyle w:val="680"/>
        <w:jc w:val="left"/>
        <w:spacing w:line="500"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r>
      <w:r/>
    </w:p>
    <w:p>
      <w:pPr>
        <w:pStyle w:val="680"/>
        <w:rPr>
          <w:rFonts w:hint="eastAsia" w:ascii="Times New Roman" w:hAnsi="Times New Roman"/>
          <w:caps w:val="0"/>
          <w:color w:val="000000"/>
          <w:highlight w:val="none"/>
        </w:rPr>
      </w:pPr>
      <w:r/>
      <w:bookmarkStart w:id="209" w:name="EBe0cfd1035ea44f689f97db50fccddc8b"/>
      <w:r>
        <w:rPr>
          <w:rFonts w:hint="eastAsia" w:ascii="Times New Roman" w:hAnsi="Times New Roman"/>
          <w:caps w:val="0"/>
          <w:color w:val="000000"/>
          <w:sz w:val="20"/>
          <w:highlight w:val="none"/>
        </w:rPr>
        <w:t xml:space="preserve"> </w:t>
      </w:r>
      <w:bookmarkEnd w:id="209"/>
      <w:r>
        <w:rPr>
          <w:rFonts w:hint="eastAsia" w:ascii="Times New Roman" w:hAnsi="Times New Roman"/>
          <w:caps w:val="0"/>
          <w:color w:val="000000"/>
          <w:highlight w:val="none"/>
        </w:rPr>
      </w:r>
      <w:r/>
    </w:p>
    <w:p>
      <w:pPr>
        <w:pStyle w:val="680"/>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none"/>
          <w:lang w:eastAsia="zh-CN"/>
        </w:rPr>
      </w:pPr>
      <w:r>
        <w:rPr>
          <w:rFonts w:hint="eastAsia" w:ascii="Times New Roman" w:hAnsi="Times New Roman" w:eastAsia="仿宋_GB2312" w:cs="Times New Roman"/>
          <w:b/>
          <w:caps w:val="0"/>
          <w:color w:val="000000"/>
          <w:sz w:val="24"/>
          <w:highlight w:val="none"/>
          <w:lang w:val="en-US" w:eastAsia="zh-CN"/>
        </w:rPr>
        <w:t xml:space="preserve">（三）</w:t>
      </w:r>
      <w:r>
        <w:rPr>
          <w:rFonts w:hint="eastAsia" w:ascii="Times New Roman" w:hAnsi="Times New Roman" w:eastAsia="仿宋_GB2312" w:cs="Times New Roman"/>
          <w:b/>
          <w:caps w:val="0"/>
          <w:color w:val="000000"/>
          <w:sz w:val="24"/>
          <w:highlight w:val="none"/>
        </w:rPr>
        <w:t xml:space="preserve">评标结果</w:t>
      </w:r>
      <w:r>
        <w:rPr>
          <w:rFonts w:hint="eastAsia" w:ascii="Times New Roman" w:hAnsi="Times New Roman" w:eastAsia="仿宋_GB2312"/>
          <w:b/>
          <w:caps w:val="0"/>
          <w:color w:val="000000"/>
          <w:sz w:val="24"/>
          <w:highlight w:val="none"/>
        </w:rPr>
        <w:t xml:space="preserve">。</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eastAsia="zh-CN"/>
        </w:rPr>
      </w:r>
      <w:r/>
    </w:p>
    <w:p>
      <w:pPr>
        <w:pStyle w:val="680"/>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ascii="Times New Roman" w:hAnsi="Times New Roman" w:eastAsia="仿宋_GB2312" w:cs="Times New Roman"/>
          <w:b/>
          <w:caps w:val="0"/>
          <w:color w:val="000000"/>
          <w:sz w:val="24"/>
          <w:highlight w:val="none"/>
          <w:lang w:val="en-US" w:eastAsia="zh-CN"/>
        </w:rPr>
        <w:t xml:space="preserve">（四）政府采购政策功能落实</w:t>
      </w:r>
      <w:r>
        <w:rPr>
          <w:rFonts w:hint="eastAsia" w:ascii="Times New Roman" w:hAnsi="Times New Roman" w:eastAsia="仿宋_GB2312" w:cs="Times New Roman"/>
          <w:b/>
          <w:caps w:val="0"/>
          <w:color w:val="000000"/>
          <w:sz w:val="24"/>
          <w:highlight w:val="none"/>
          <w:lang w:val="en-US" w:eastAsia="zh-CN"/>
        </w:rPr>
      </w:r>
      <w:r/>
    </w:p>
    <w:p>
      <w:pPr>
        <w:pStyle w:val="680"/>
        <w:numPr>
          <w:ilvl w:val="0"/>
          <w:numId w:val="0"/>
        </w:numPr>
        <w:pageBreakBefore w:val="0"/>
        <w:spacing w:line="500" w:lineRule="exact"/>
        <w:widowControl w:val="off"/>
        <w:rPr>
          <w:rFonts w:hint="eastAsia" w:ascii="Times New Roman" w:hAnsi="Times New Roman"/>
          <w:b/>
          <w:caps w:val="0"/>
          <w:color w:val="000000"/>
          <w:sz w:val="24"/>
          <w:highlight w:val="none"/>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2 </w:t>
      </w:r>
      <w:r>
        <w:rPr>
          <w:rFonts w:hint="eastAsia" w:ascii="Times New Roman" w:hAnsi="Times New Roman"/>
          <w:b/>
          <w:caps w:val="0"/>
          <w:color w:val="000000"/>
          <w:sz w:val="24"/>
          <w:highlight w:val="none"/>
        </w:rPr>
      </w:r>
      <w:r/>
    </w:p>
    <w:p>
      <w:pPr>
        <w:pStyle w:val="680"/>
        <w:spacing w:line="500" w:lineRule="exact"/>
        <w:rPr>
          <w:rFonts w:eastAsia="仿宋_GB2312" w:cs="Times New Roman"/>
          <w:b/>
          <w:sz w:val="24"/>
          <w:lang w:val="en-US" w:eastAsia="zh-CN"/>
        </w:rPr>
      </w:pPr>
      <w:r>
        <w:rPr>
          <w:rFonts w:hint="eastAsia" w:eastAsia="仿宋_GB2312" w:cs="Times New Roman"/>
          <w:b/>
          <w:bCs/>
          <w:sz w:val="24"/>
        </w:rPr>
        <w:t xml:space="preserve">本项目落实的政府采购政策对应以下序号为</w:t>
      </w:r>
      <w:r>
        <w:rPr>
          <w:rFonts w:hint="eastAsia" w:eastAsia="仿宋_GB2312" w:cs="Times New Roman"/>
          <w:b/>
          <w:bCs/>
          <w:sz w:val="24"/>
          <w:u w:val="single"/>
        </w:rPr>
        <w:t xml:space="preserve">1、2、4</w:t>
      </w:r>
      <w:r>
        <w:rPr>
          <w:rFonts w:hint="eastAsia" w:eastAsia="仿宋_GB2312" w:cs="Times New Roman"/>
          <w:b/>
          <w:bCs/>
          <w:sz w:val="24"/>
          <w:u w:val="single"/>
          <w:lang w:eastAsia="zh-CN"/>
        </w:rPr>
        <w:t xml:space="preserve">、</w:t>
      </w:r>
      <w:r>
        <w:rPr>
          <w:rFonts w:hint="eastAsia" w:eastAsia="仿宋_GB2312" w:cs="Times New Roman"/>
          <w:b/>
          <w:bCs/>
          <w:sz w:val="24"/>
          <w:u w:val="single"/>
          <w:lang w:val="en-US" w:eastAsia="zh-CN"/>
        </w:rPr>
        <w:t xml:space="preserve">5、6</w:t>
      </w:r>
      <w:r>
        <w:rPr>
          <w:rFonts w:eastAsia="仿宋_GB2312" w:cs="Times New Roman"/>
          <w:b/>
          <w:sz w:val="24"/>
          <w:lang w:val="en-US" w:eastAsia="zh-CN"/>
        </w:rPr>
      </w:r>
      <w:r/>
    </w:p>
    <w:p>
      <w:pPr>
        <w:pStyle w:val="680"/>
        <w:numPr>
          <w:ilvl w:val="0"/>
          <w:numId w:val="17"/>
        </w:numPr>
        <w:ind w:firstLine="480"/>
        <w:spacing w:line="460" w:lineRule="exact"/>
        <w:rPr>
          <w:rFonts w:eastAsia="宋体" w:cs="仿宋_GB2312"/>
          <w:sz w:val="24"/>
        </w:rPr>
      </w:pPr>
      <w:r>
        <w:rPr>
          <w:rFonts w:hint="eastAsia" w:eastAsia="宋体" w:cs="仿宋_GB2312"/>
          <w:sz w:val="24"/>
        </w:rPr>
        <w:t xml:space="preserve">采购本国货物、工程和服务</w:t>
      </w:r>
      <w:r>
        <w:rPr>
          <w:rFonts w:eastAsia="宋体" w:cs="仿宋_GB2312"/>
          <w:sz w:val="24"/>
        </w:rPr>
      </w:r>
      <w:r/>
    </w:p>
    <w:p>
      <w:pPr>
        <w:pStyle w:val="680"/>
        <w:ind w:firstLine="480"/>
        <w:spacing w:line="460" w:lineRule="exact"/>
        <w:rPr>
          <w:rFonts w:eastAsia="宋体" w:cs="仿宋_GB2312"/>
          <w:sz w:val="24"/>
        </w:rPr>
      </w:pPr>
      <w:r>
        <w:rPr>
          <w:rFonts w:hint="eastAsia" w:eastAsia="宋体" w:cs="仿宋_GB2312"/>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eastAsia="宋体" w:cs="仿宋_GB2312"/>
          <w:sz w:val="24"/>
        </w:rPr>
      </w:r>
      <w:r/>
    </w:p>
    <w:p>
      <w:pPr>
        <w:pStyle w:val="680"/>
        <w:ind w:firstLine="480"/>
        <w:spacing w:line="460" w:lineRule="exact"/>
        <w:rPr>
          <w:rFonts w:eastAsia="宋体" w:cs="仿宋_GB2312"/>
          <w:sz w:val="24"/>
        </w:rPr>
      </w:pPr>
      <w:r>
        <w:rPr>
          <w:rFonts w:hint="eastAsia" w:eastAsia="宋体" w:cs="仿宋_GB2312"/>
          <w:sz w:val="24"/>
        </w:rPr>
        <w:t xml:space="preserve">2、</w:t>
      </w:r>
      <w:r>
        <w:rPr>
          <w:rFonts w:eastAsia="宋体" w:cs="仿宋_GB2312"/>
          <w:sz w:val="24"/>
        </w:rPr>
        <w:t xml:space="preserve">中小企业政策</w:t>
      </w:r>
      <w:r>
        <w:rPr>
          <w:rFonts w:eastAsia="宋体" w:cs="仿宋_GB2312"/>
          <w:sz w:val="24"/>
        </w:rPr>
      </w:r>
      <w:r/>
    </w:p>
    <w:p>
      <w:pPr>
        <w:pStyle w:val="680"/>
        <w:ind w:firstLine="480"/>
        <w:spacing w:line="460" w:lineRule="exact"/>
        <w:rPr>
          <w:rFonts w:eastAsia="宋体" w:cs="Times New Roman"/>
          <w:sz w:val="24"/>
        </w:rPr>
      </w:pPr>
      <w:r>
        <w:rPr>
          <w:rFonts w:hint="eastAsia" w:eastAsia="宋体" w:cs="Times New Roman"/>
          <w:sz w:val="24"/>
        </w:rPr>
        <w:t xml:space="preserve">本项目按以下第</w:t>
      </w:r>
      <w:r>
        <w:rPr>
          <w:rFonts w:hint="eastAsia" w:eastAsia="宋体" w:cs="Times New Roman"/>
          <w:sz w:val="24"/>
          <w:u w:val="single"/>
        </w:rPr>
        <w:t xml:space="preserve"> （2） </w:t>
      </w:r>
      <w:r>
        <w:rPr>
          <w:rFonts w:hint="eastAsia" w:eastAsia="宋体" w:cs="Times New Roman"/>
          <w:sz w:val="24"/>
        </w:rPr>
        <w:t xml:space="preserve">种政策确定本项目落实的中小企业政策：</w:t>
      </w:r>
      <w:r>
        <w:rPr>
          <w:rFonts w:eastAsia="宋体" w:cs="Times New Roman"/>
          <w:sz w:val="24"/>
        </w:rPr>
      </w:r>
      <w:r/>
    </w:p>
    <w:p>
      <w:pPr>
        <w:pStyle w:val="680"/>
        <w:ind w:firstLine="480"/>
        <w:spacing w:line="460" w:lineRule="exact"/>
        <w:rPr>
          <w:rFonts w:eastAsia="宋体" w:cs="Times New Roman"/>
          <w:sz w:val="24"/>
        </w:rPr>
      </w:pPr>
      <w:r>
        <w:rPr>
          <w:rFonts w:hint="eastAsia" w:eastAsia="宋体" w:cs="Times New Roman"/>
          <w:sz w:val="24"/>
        </w:rPr>
        <w:t xml:space="preserve">（1）本项目专门面向中小企业（含监狱企业、残疾人福利企业）采购。</w:t>
      </w:r>
      <w:r>
        <w:rPr>
          <w:rFonts w:eastAsia="宋体" w:cs="Times New Roman"/>
          <w:sz w:val="24"/>
        </w:rPr>
      </w:r>
      <w:r/>
    </w:p>
    <w:p>
      <w:pPr>
        <w:pStyle w:val="680"/>
        <w:ind w:firstLine="480"/>
        <w:spacing w:line="460" w:lineRule="exact"/>
        <w:rPr>
          <w:rFonts w:eastAsia="宋体" w:cs="Times New Roman"/>
          <w:b/>
          <w:bCs/>
          <w:sz w:val="24"/>
        </w:rPr>
      </w:pPr>
      <w:r>
        <w:rPr>
          <w:rFonts w:hint="eastAsia" w:eastAsia="宋体" w:cs="Times New Roman"/>
          <w:b/>
          <w:bCs/>
          <w:sz w:val="24"/>
        </w:rPr>
        <w:t xml:space="preserve">（2）</w:t>
      </w:r>
      <w:r>
        <w:rPr>
          <w:rFonts w:hint="eastAsia" w:eastAsia="宋体" w:cs="仿宋_GB2312"/>
          <w:b/>
          <w:bCs/>
          <w:sz w:val="24"/>
        </w:rPr>
        <w:t xml:space="preserve">投标人提供的货物符合下列情形的，对小微企业报价给予</w:t>
      </w:r>
      <w:r>
        <w:rPr>
          <w:rFonts w:hint="eastAsia" w:eastAsia="宋体" w:cs="仿宋_GB2312"/>
          <w:b/>
          <w:bCs/>
          <w:sz w:val="24"/>
          <w:u w:val="single"/>
        </w:rPr>
        <w:t xml:space="preserve"> 15%  </w:t>
      </w:r>
      <w:r>
        <w:rPr>
          <w:rFonts w:hint="eastAsia" w:eastAsia="宋体" w:cs="仿宋_GB2312"/>
          <w:b/>
          <w:bCs/>
          <w:sz w:val="24"/>
        </w:rPr>
        <w:t xml:space="preserve">的扣除，用扣除后的价格参加评审。</w:t>
      </w:r>
      <w:r>
        <w:rPr>
          <w:rFonts w:eastAsia="宋体" w:cs="Times New Roman"/>
          <w:b/>
          <w:bCs/>
          <w:sz w:val="24"/>
        </w:rPr>
      </w:r>
      <w:r/>
    </w:p>
    <w:p>
      <w:pPr>
        <w:pStyle w:val="680"/>
        <w:ind w:firstLine="480"/>
        <w:spacing w:line="440" w:lineRule="exact"/>
        <w:rPr>
          <w:rFonts w:eastAsia="宋体" w:cs="仿宋_GB2312"/>
          <w:sz w:val="24"/>
        </w:rPr>
      </w:pPr>
      <w:r>
        <w:rPr>
          <w:rFonts w:hint="eastAsia" w:eastAsia="宋体" w:cs="仿宋_GB2312"/>
          <w:sz w:val="24"/>
        </w:rPr>
        <w:t xml:space="preserve">在货物采购项目中，货物由中小企业制造，即货物由中小企业生产且使用该中小企业商号或者注册商标。</w:t>
      </w:r>
      <w:r>
        <w:rPr>
          <w:rFonts w:eastAsia="宋体" w:cs="仿宋_GB2312"/>
          <w:sz w:val="24"/>
        </w:rPr>
      </w:r>
      <w:r/>
    </w:p>
    <w:p>
      <w:pPr>
        <w:pStyle w:val="680"/>
        <w:ind w:firstLine="480"/>
        <w:spacing w:line="460" w:lineRule="exact"/>
        <w:rPr>
          <w:rFonts w:eastAsia="宋体" w:cs="Times New Roman"/>
          <w:sz w:val="24"/>
        </w:rPr>
      </w:pPr>
      <w:r>
        <w:rPr>
          <w:rFonts w:hint="eastAsia" w:eastAsia="宋体" w:cs="仿宋_GB2312"/>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eastAsia="宋体" w:cs="Times New Roman"/>
          <w:sz w:val="24"/>
        </w:rPr>
      </w:r>
      <w:r/>
    </w:p>
    <w:p>
      <w:pPr>
        <w:pStyle w:val="680"/>
        <w:ind w:firstLine="480"/>
        <w:spacing w:line="460" w:lineRule="exact"/>
        <w:rPr>
          <w:rFonts w:eastAsia="宋体" w:cs="Times New Roman"/>
          <w:sz w:val="24"/>
        </w:rPr>
      </w:pPr>
      <w:r>
        <w:rPr>
          <w:rFonts w:hint="eastAsia" w:eastAsia="宋体" w:cs="仿宋_GB2312"/>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eastAsia="宋体" w:cs="Times New Roman"/>
          <w:sz w:val="24"/>
        </w:rPr>
      </w:r>
      <w:r/>
    </w:p>
    <w:p>
      <w:pPr>
        <w:pStyle w:val="680"/>
        <w:ind w:firstLine="480"/>
        <w:spacing w:line="460" w:lineRule="exact"/>
        <w:rPr>
          <w:rFonts w:eastAsia="宋体" w:cs="Times New Roman"/>
          <w:sz w:val="24"/>
        </w:rPr>
      </w:pPr>
      <w:r>
        <w:rPr>
          <w:rFonts w:hint="eastAsia" w:eastAsia="宋体" w:cs="仿宋_GB2312"/>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eastAsia="宋体" w:cs="Times New Roman"/>
          <w:sz w:val="24"/>
        </w:rPr>
      </w:r>
      <w:r/>
    </w:p>
    <w:p>
      <w:pPr>
        <w:pStyle w:val="680"/>
        <w:ind w:firstLine="480"/>
        <w:spacing w:line="460" w:lineRule="exact"/>
        <w:rPr>
          <w:rFonts w:eastAsia="宋体" w:cs="Times New Roman"/>
          <w:sz w:val="24"/>
        </w:rPr>
      </w:pPr>
      <w:r>
        <w:rPr>
          <w:rFonts w:hint="eastAsia" w:eastAsia="宋体" w:cs="仿宋_GB2312"/>
          <w:sz w:val="24"/>
        </w:rPr>
        <w:t xml:space="preserve">④大中型企业与小微企业组成联合体或者允许大中型企业向一家或者多家小微企业分包的采购项目，对于联合协议或者分包意向协议约定小微企业的合同份额占到合</w:t>
      </w:r>
      <w:r>
        <w:rPr>
          <w:rFonts w:hint="eastAsia" w:eastAsia="宋体" w:cs="仿宋_GB2312"/>
          <w:b/>
          <w:bCs/>
          <w:sz w:val="24"/>
        </w:rPr>
        <w:t xml:space="preserve">同总金额40%以上的，对联合体或者大中型企业的报价给予5%（工程项目为2%）的</w:t>
      </w:r>
      <w:r>
        <w:rPr>
          <w:rFonts w:hint="eastAsia" w:eastAsia="宋体" w:cs="仿宋_GB2312"/>
          <w:sz w:val="24"/>
        </w:rPr>
        <w:t xml:space="preserve">扣除，用扣除后的价格参加评审。（是否接受联合体以“项目基本情况”相关内容为准，是否允许大中型企业向一家或者多家小微企业分包以“投标人须知”、“采购需求”相关内容为准。）</w:t>
      </w:r>
      <w:r>
        <w:rPr>
          <w:rFonts w:eastAsia="宋体" w:cs="Times New Roman"/>
          <w:sz w:val="24"/>
        </w:rPr>
      </w:r>
      <w:r/>
    </w:p>
    <w:p>
      <w:pPr>
        <w:pStyle w:val="680"/>
        <w:ind w:firstLine="480"/>
        <w:spacing w:line="460" w:lineRule="exact"/>
        <w:rPr>
          <w:rFonts w:eastAsia="宋体" w:cs="仿宋_GB2312"/>
          <w:sz w:val="24"/>
        </w:rPr>
      </w:pPr>
      <w:r>
        <w:rPr>
          <w:rFonts w:hint="eastAsia" w:eastAsia="宋体" w:cs="仿宋_GB2312"/>
          <w:sz w:val="24"/>
        </w:rPr>
        <w:t xml:space="preserve">3、政府采购节能产品、环境标志产品</w:t>
      </w:r>
      <w:r>
        <w:rPr>
          <w:rFonts w:eastAsia="宋体" w:cs="仿宋_GB2312"/>
          <w:sz w:val="24"/>
        </w:rPr>
      </w:r>
      <w:r/>
    </w:p>
    <w:p>
      <w:pPr>
        <w:pStyle w:val="680"/>
        <w:ind w:firstLine="480"/>
        <w:spacing w:line="460" w:lineRule="exact"/>
        <w:rPr>
          <w:rFonts w:eastAsia="宋体" w:cs="仿宋_GB2312"/>
          <w:sz w:val="24"/>
        </w:rPr>
      </w:pPr>
      <w:r>
        <w:rPr>
          <w:rFonts w:hint="eastAsia" w:eastAsia="宋体" w:cs="仿宋_GB2312"/>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eastAsia="宋体" w:cs="仿宋_GB2312"/>
          <w:sz w:val="24"/>
        </w:rPr>
      </w:r>
      <w:r/>
    </w:p>
    <w:p>
      <w:pPr>
        <w:pStyle w:val="680"/>
        <w:ind w:firstLine="480"/>
        <w:spacing w:line="460" w:lineRule="exact"/>
        <w:rPr>
          <w:rFonts w:eastAsia="宋体" w:cs="仿宋_GB2312"/>
          <w:sz w:val="24"/>
        </w:rPr>
      </w:pPr>
      <w:r>
        <w:rPr>
          <w:rFonts w:hint="eastAsia" w:eastAsia="宋体" w:cs="仿宋_GB2312"/>
          <w:sz w:val="24"/>
        </w:rPr>
        <w:t xml:space="preserve">（2）采购人拟采购的产品属于政府强制采购的节能产品品目清单范围的，投标人须提供国家确定的认证机构出具的、处于有效期之内的节能产品认证证书的，否则无效标处理。</w:t>
      </w:r>
      <w:r>
        <w:rPr>
          <w:rFonts w:eastAsia="宋体" w:cs="仿宋_GB2312"/>
          <w:sz w:val="24"/>
        </w:rPr>
      </w:r>
      <w:r/>
    </w:p>
    <w:p>
      <w:pPr>
        <w:pStyle w:val="680"/>
        <w:ind w:firstLine="480"/>
        <w:spacing w:line="460" w:lineRule="exact"/>
        <w:rPr>
          <w:rFonts w:eastAsia="宋体" w:cs="仿宋_GB2312"/>
          <w:sz w:val="24"/>
        </w:rPr>
      </w:pPr>
      <w:r>
        <w:rPr>
          <w:rFonts w:hint="eastAsia" w:eastAsia="宋体" w:cs="仿宋_GB2312"/>
          <w:sz w:val="24"/>
        </w:rPr>
        <w:t xml:space="preserve">（3）采购人拟采购的产品属于优先采购的节能环保品目清单范围的，按以下条件优先采购：</w:t>
      </w:r>
      <w:r>
        <w:rPr>
          <w:rFonts w:eastAsia="宋体" w:cs="仿宋_GB2312"/>
          <w:sz w:val="24"/>
        </w:rPr>
      </w:r>
      <w:r/>
    </w:p>
    <w:p>
      <w:pPr>
        <w:pStyle w:val="680"/>
        <w:ind w:firstLine="480"/>
        <w:spacing w:line="460" w:lineRule="exact"/>
        <w:rPr>
          <w:rFonts w:eastAsia="宋体" w:cs="仿宋_GB2312"/>
          <w:sz w:val="24"/>
        </w:rPr>
      </w:pPr>
      <w:r>
        <w:rPr>
          <w:rFonts w:hint="eastAsia" w:eastAsia="宋体" w:cs="仿宋_GB2312"/>
          <w:sz w:val="24"/>
        </w:rPr>
        <w:t xml:space="preserve">采用综合评分法的项目，对提供有效节能环保证书的投标人加分。</w:t>
      </w:r>
      <w:r>
        <w:rPr>
          <w:rFonts w:eastAsia="宋体" w:cs="仿宋_GB2312"/>
          <w:sz w:val="24"/>
        </w:rPr>
      </w:r>
      <w:r/>
    </w:p>
    <w:p>
      <w:pPr>
        <w:pStyle w:val="680"/>
        <w:ind w:firstLine="480"/>
        <w:spacing w:line="460" w:lineRule="exact"/>
        <w:rPr>
          <w:rFonts w:eastAsia="宋体" w:cs="仿宋_GB2312"/>
          <w:sz w:val="24"/>
        </w:rPr>
      </w:pPr>
      <w:r>
        <w:rPr>
          <w:rFonts w:hint="eastAsia" w:eastAsia="宋体" w:cs="仿宋_GB2312"/>
          <w:sz w:val="24"/>
        </w:rPr>
        <w:t xml:space="preserve">采用最低评标价法的项目，同等条件下优先推荐提供有效节能环保证书多的投标人为中标人。</w:t>
      </w:r>
      <w:r>
        <w:rPr>
          <w:rFonts w:eastAsia="宋体" w:cs="仿宋_GB2312"/>
          <w:sz w:val="24"/>
        </w:rPr>
      </w:r>
      <w:r/>
    </w:p>
    <w:p>
      <w:pPr>
        <w:pStyle w:val="680"/>
        <w:ind w:firstLine="480"/>
        <w:spacing w:line="460" w:lineRule="exact"/>
        <w:rPr>
          <w:rFonts w:eastAsia="宋体" w:cs="仿宋_GB2312"/>
          <w:sz w:val="24"/>
        </w:rPr>
      </w:pPr>
      <w:r>
        <w:rPr>
          <w:rFonts w:hint="eastAsia" w:eastAsia="宋体" w:cs="仿宋_GB2312"/>
          <w:sz w:val="24"/>
        </w:rPr>
        <w:t xml:space="preserve">4、商品包装、快递包装政府采购需求标准（试行）</w:t>
      </w:r>
      <w:r>
        <w:rPr>
          <w:rFonts w:eastAsia="宋体" w:cs="仿宋_GB2312"/>
          <w:sz w:val="24"/>
        </w:rPr>
      </w:r>
      <w:r/>
    </w:p>
    <w:p>
      <w:pPr>
        <w:pStyle w:val="680"/>
        <w:ind w:firstLine="480"/>
        <w:spacing w:line="460" w:lineRule="exact"/>
        <w:rPr>
          <w:rFonts w:eastAsia="宋体" w:cs="仿宋_GB2312"/>
          <w:sz w:val="24"/>
        </w:rPr>
      </w:pPr>
      <w:r>
        <w:rPr>
          <w:rFonts w:hint="eastAsia" w:eastAsia="宋体"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eastAsia="宋体" w:cs="仿宋_GB2312"/>
          <w:sz w:val="24"/>
        </w:rPr>
      </w:r>
      <w:r/>
    </w:p>
    <w:p>
      <w:pPr>
        <w:pStyle w:val="680"/>
        <w:ind w:firstLine="480"/>
        <w:spacing w:line="460" w:lineRule="exact"/>
        <w:rPr>
          <w:rFonts w:eastAsia="宋体" w:cs="仿宋_GB2312"/>
          <w:sz w:val="24"/>
        </w:rPr>
      </w:pPr>
      <w:r>
        <w:rPr>
          <w:rFonts w:hint="eastAsia" w:eastAsia="宋体" w:cs="仿宋_GB2312"/>
          <w:sz w:val="24"/>
        </w:rPr>
        <w:t xml:space="preserve">5、绿色数据中心政府采购需求标准（试行）</w:t>
      </w:r>
      <w:r>
        <w:rPr>
          <w:rFonts w:eastAsia="宋体" w:cs="仿宋_GB2312"/>
          <w:sz w:val="24"/>
        </w:rPr>
      </w:r>
      <w:r/>
    </w:p>
    <w:p>
      <w:pPr>
        <w:pStyle w:val="680"/>
        <w:ind w:firstLine="480"/>
        <w:keepLines w:val="0"/>
        <w:keepNext w:val="0"/>
        <w:pageBreakBefore w:val="0"/>
        <w:spacing w:line="460" w:lineRule="exact"/>
        <w:widowControl w:val="off"/>
        <w:rPr>
          <w:rFonts w:hint="eastAsia" w:eastAsia="宋体" w:cs="仿宋_GB2312"/>
          <w:sz w:val="24"/>
        </w:rPr>
      </w:pPr>
      <w:r>
        <w:rPr>
          <w:rFonts w:hint="eastAsia" w:eastAsia="宋体" w:cs="仿宋_GB2312"/>
          <w:sz w:val="24"/>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eastAsia="宋体" w:cs="仿宋_GB2312"/>
          <w:sz w:val="24"/>
        </w:rPr>
      </w:r>
      <w:r/>
    </w:p>
    <w:p>
      <w:pPr>
        <w:pStyle w:val="680"/>
        <w:ind w:firstLine="480"/>
        <w:keepLines w:val="0"/>
        <w:keepNext w:val="0"/>
        <w:pageBreakBefore w:val="0"/>
        <w:spacing w:line="460" w:lineRule="exact"/>
        <w:widowControl w:val="off"/>
        <w:rPr>
          <w:rFonts w:hint="eastAsia" w:eastAsia="宋体" w:cs="仿宋_GB2312"/>
          <w:sz w:val="24"/>
        </w:rPr>
      </w:pPr>
      <w:r>
        <w:rPr>
          <w:rFonts w:hint="eastAsia" w:eastAsia="宋体" w:cs="仿宋_GB2312"/>
          <w:sz w:val="24"/>
          <w:lang w:val="en-US" w:eastAsia="zh-CN"/>
        </w:rPr>
        <w:t xml:space="preserve">6、</w:t>
      </w:r>
      <w:r>
        <w:rPr>
          <w:rFonts w:hint="eastAsia" w:eastAsia="宋体" w:cs="仿宋_GB2312"/>
          <w:sz w:val="24"/>
        </w:rPr>
        <w:t xml:space="preserve">采购本国产品的支持政策</w:t>
      </w:r>
      <w:r>
        <w:rPr>
          <w:rFonts w:hint="eastAsia" w:eastAsia="宋体" w:cs="仿宋_GB2312"/>
          <w:sz w:val="24"/>
        </w:rPr>
      </w:r>
      <w:r/>
    </w:p>
    <w:p>
      <w:pPr>
        <w:pStyle w:val="680"/>
        <w:ind w:firstLine="480"/>
        <w:spacing w:line="480" w:lineRule="exact"/>
        <w:rPr>
          <w:rFonts w:ascii="Times New Roman" w:hAnsi="Times New Roman" w:eastAsia="宋体" w:cs="仿宋"/>
          <w:color w:val="ff0000"/>
          <w:sz w:val="24"/>
          <w:szCs w:val="22"/>
        </w:rPr>
      </w:pPr>
      <w:r>
        <w:rPr>
          <w:rFonts w:hint="eastAsia" w:ascii="Times New Roman" w:hAnsi="Times New Roman" w:eastAsia="宋体" w:cs="仿宋"/>
          <w:sz w:val="24"/>
          <w:szCs w:val="22"/>
        </w:rPr>
        <w:t xml:space="preserve">6.2.1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eastAsia="宋体" w:cs="仿宋"/>
          <w:color w:val="ff0000"/>
          <w:sz w:val="24"/>
          <w:szCs w:val="22"/>
        </w:rPr>
      </w:r>
      <w:r/>
    </w:p>
    <w:p>
      <w:pPr>
        <w:pStyle w:val="680"/>
        <w:ind w:firstLine="480"/>
        <w:spacing w:line="480" w:lineRule="exact"/>
        <w:rPr>
          <w:rFonts w:ascii="Times New Roman" w:hAnsi="Times New Roman" w:eastAsia="宋体" w:cs="仿宋"/>
          <w:color w:val="ff0000"/>
          <w:sz w:val="24"/>
          <w:szCs w:val="22"/>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宋体" w:cs="仿宋"/>
          <w:color w:val="ff0000"/>
          <w:sz w:val="24"/>
          <w:szCs w:val="22"/>
        </w:rPr>
      </w:r>
      <w:r/>
    </w:p>
    <w:p>
      <w:pPr>
        <w:pStyle w:val="680"/>
        <w:ind w:firstLine="480"/>
        <w:spacing w:line="480" w:lineRule="exact"/>
        <w:rPr>
          <w:rFonts w:ascii="Times New Roman" w:hAnsi="Times New Roman" w:eastAsia="宋体" w:cs="仿宋"/>
          <w:color w:val="ff0000"/>
          <w:sz w:val="24"/>
          <w:szCs w:val="22"/>
        </w:rPr>
      </w:pPr>
      <w:r>
        <w:rPr>
          <w:rFonts w:hint="eastAsia" w:ascii="Times New Roman" w:hAnsi="Times New Roman" w:eastAsia="宋体" w:cs="仿宋"/>
          <w:sz w:val="24"/>
          <w:szCs w:val="22"/>
        </w:rPr>
        <w:t xml:space="preserve">6.2.2本项目政府采购活动中既有本国产品又有非本国产品参与竞争的，</w:t>
      </w:r>
      <w:bookmarkStart w:id="210" w:name="OLE_LINK7"/>
      <w:r>
        <w:rPr>
          <w:rFonts w:hint="eastAsia" w:ascii="Times New Roman" w:hAnsi="Times New Roman" w:eastAsia="宋体" w:cs="仿宋"/>
          <w:sz w:val="24"/>
          <w:szCs w:val="22"/>
        </w:rPr>
        <w:t xml:space="preserve">依法对本国产品给予价格评审优惠，对本国产品的报价给予</w:t>
      </w:r>
      <w:r>
        <w:rPr>
          <w:rFonts w:hint="eastAsia" w:ascii="Times New Roman" w:hAnsi="Times New Roman" w:eastAsia="宋体" w:cs="仿宋"/>
          <w:b/>
          <w:bCs/>
          <w:sz w:val="24"/>
          <w:szCs w:val="22"/>
          <w:u w:val="single"/>
        </w:rPr>
        <w:t xml:space="preserve">20%</w:t>
      </w:r>
      <w:r>
        <w:rPr>
          <w:rFonts w:hint="eastAsia" w:ascii="Times New Roman" w:hAnsi="Times New Roman" w:eastAsia="宋体" w:cs="仿宋"/>
          <w:sz w:val="24"/>
          <w:szCs w:val="22"/>
        </w:rPr>
        <w:t xml:space="preserve">的价格扣除，用扣除后的价格参与评审。</w:t>
      </w:r>
      <w:bookmarkEnd w:id="210"/>
      <w:r>
        <w:rPr>
          <w:rFonts w:ascii="Times New Roman" w:hAnsi="Times New Roman" w:eastAsia="宋体" w:cs="仿宋"/>
          <w:color w:val="ff0000"/>
          <w:sz w:val="24"/>
          <w:szCs w:val="22"/>
        </w:rPr>
      </w:r>
      <w:r/>
    </w:p>
    <w:p>
      <w:pPr>
        <w:pStyle w:val="680"/>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eastAsia="宋体" w:cs="仿宋"/>
          <w:b/>
          <w:bCs/>
          <w:sz w:val="24"/>
          <w:szCs w:val="22"/>
        </w:rPr>
        <w:t xml:space="preserve">80%以上</w:t>
      </w:r>
      <w:r>
        <w:rPr>
          <w:rFonts w:hint="eastAsia" w:ascii="Times New Roman" w:hAnsi="Times New Roman" w:eastAsia="宋体" w:cs="仿宋"/>
          <w:sz w:val="24"/>
          <w:szCs w:val="22"/>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Times New Roman" w:hAnsi="Times New Roman" w:eastAsia="宋体" w:cs="仿宋"/>
          <w:sz w:val="24"/>
          <w:szCs w:val="22"/>
        </w:rPr>
      </w:r>
      <w:r/>
    </w:p>
    <w:p>
      <w:pPr>
        <w:pStyle w:val="680"/>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6.2.4 投标人需按照招标文件的要求提供《关于符合本国产品标准的声明函》，如不提供将不享受本国产品价格评审优惠。</w:t>
      </w:r>
      <w:r>
        <w:rPr>
          <w:rFonts w:ascii="Times New Roman" w:hAnsi="Times New Roman" w:eastAsia="宋体" w:cs="仿宋"/>
          <w:sz w:val="24"/>
          <w:szCs w:val="22"/>
        </w:rPr>
      </w:r>
      <w:r/>
    </w:p>
    <w:p>
      <w:pPr>
        <w:pStyle w:val="680"/>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ascii="Times New Roman" w:hAnsi="Times New Roman" w:eastAsia="宋体" w:cs="仿宋"/>
          <w:sz w:val="24"/>
          <w:szCs w:val="22"/>
        </w:rPr>
      </w:r>
      <w:r/>
    </w:p>
    <w:p>
      <w:pPr>
        <w:pStyle w:val="680"/>
        <w:ind w:firstLine="480"/>
        <w:keepLines w:val="0"/>
        <w:keepNext w:val="0"/>
        <w:pageBreakBefore w:val="0"/>
        <w:spacing w:line="460" w:lineRule="exact"/>
        <w:widowControl w:val="off"/>
        <w:rPr>
          <w:rFonts w:hint="eastAsia" w:ascii="Times New Roman" w:hAnsi="Times New Roman"/>
          <w:caps w:val="0"/>
          <w:color w:val="000000"/>
          <w:highlight w:val="none"/>
        </w:rPr>
      </w:pPr>
      <w:r>
        <w:rPr>
          <w:rFonts w:hint="eastAsia" w:ascii="Times New Roman" w:hAnsi="Times New Roman" w:eastAsia="宋体" w:cs="仿宋"/>
          <w:sz w:val="24"/>
          <w:szCs w:val="22"/>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hint="eastAsia" w:ascii="Times New Roman" w:hAnsi="Times New Roman"/>
          <w:caps w:val="0"/>
          <w:color w:val="000000"/>
          <w:highlight w:val="none"/>
        </w:rPr>
      </w:r>
      <w:r/>
    </w:p>
    <w:p>
      <w:pPr>
        <w:pStyle w:val="681"/>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t xml:space="preserve">第六章  投标</w:t>
      </w:r>
      <w:bookmarkEnd w:id="205"/>
      <w:r/>
      <w:bookmarkEnd w:id="206"/>
      <w:r/>
      <w:bookmarkEnd w:id="207"/>
      <w:r>
        <w:rPr>
          <w:rFonts w:hint="eastAsia" w:ascii="Times New Roman" w:hAnsi="Times New Roman" w:eastAsia="黑体"/>
          <w:bCs/>
          <w:caps w:val="0"/>
          <w:color w:val="000000"/>
          <w:sz w:val="44"/>
          <w:highlight w:val="none"/>
        </w:rPr>
        <w:t xml:space="preserve">文件格式 </w:t>
      </w:r>
      <w:r>
        <w:rPr>
          <w:rFonts w:hint="eastAsia" w:ascii="Times New Roman" w:hAnsi="Times New Roman" w:eastAsia="黑体"/>
          <w:bCs/>
          <w:caps w:val="0"/>
          <w:color w:val="000000"/>
          <w:sz w:val="44"/>
          <w:highlight w:val="none"/>
        </w:rPr>
      </w:r>
      <w:r/>
    </w:p>
    <w:p>
      <w:pPr>
        <w:pStyle w:val="680"/>
        <w:jc w:val="center"/>
        <w:rPr>
          <w:rFonts w:hint="eastAsia" w:ascii="Times New Roman" w:hAnsi="Times New Roman"/>
          <w:b/>
          <w:caps w:val="0"/>
          <w:color w:val="000000"/>
          <w:sz w:val="72"/>
          <w:highlight w:val="none"/>
        </w:rPr>
      </w:pPr>
      <w:r/>
      <w:bookmarkStart w:id="211" w:name="_Hlt26671244"/>
      <w:r/>
      <w:bookmarkEnd w:id="211"/>
      <w:r/>
      <w:bookmarkStart w:id="212" w:name="_Toc49090576"/>
      <w:r/>
      <w:bookmarkStart w:id="213" w:name="_Toc120614282"/>
      <w:r/>
      <w:bookmarkStart w:id="214" w:name="_Toc26554094"/>
      <w:r/>
      <w:bookmarkStart w:id="215" w:name="_Hlt26955039"/>
      <w:r/>
      <w:bookmarkEnd w:id="215"/>
      <w:r>
        <w:rPr>
          <w:rFonts w:hint="eastAsia" w:ascii="Times New Roman" w:hAnsi="Times New Roman"/>
          <w:b/>
          <w:caps w:val="0"/>
          <w:color w:val="000000"/>
          <w:sz w:val="72"/>
          <w:highlight w:val="none"/>
        </w:rPr>
      </w:r>
      <w:r/>
    </w:p>
    <w:p>
      <w:pPr>
        <w:pStyle w:val="680"/>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rPr>
          <w:rFonts w:hint="eastAsia" w:ascii="Times New Roman" w:hAnsi="Times New Roman"/>
          <w:b/>
          <w:caps w:val="0"/>
          <w:color w:val="000000"/>
          <w:sz w:val="72"/>
          <w:highlight w:val="none"/>
        </w:rPr>
      </w:r>
      <w:r/>
    </w:p>
    <w:p>
      <w:pPr>
        <w:pStyle w:val="680"/>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680"/>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680"/>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680"/>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680"/>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680"/>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rPr>
      </w:r>
      <w:r/>
    </w:p>
    <w:p>
      <w:pPr>
        <w:pStyle w:val="680"/>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680"/>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rPr>
          <w:rFonts w:hint="eastAsia" w:ascii="Times New Roman" w:hAnsi="Times New Roman"/>
          <w:b/>
          <w:caps w:val="0"/>
          <w:color w:val="000000"/>
          <w:sz w:val="36"/>
          <w:highlight w:val="none"/>
          <w:u w:val="single"/>
        </w:rPr>
      </w:r>
      <w:r/>
    </w:p>
    <w:p>
      <w:pPr>
        <w:pStyle w:val="680"/>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680"/>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680"/>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pStyle w:val="680"/>
        <w:ind w:firstLine="1084"/>
        <w:rPr>
          <w:rFonts w:ascii="Times New Roman" w:hAnsi="Times New Roman"/>
          <w:b/>
          <w:bCs/>
          <w:caps w:val="0"/>
          <w:color w:val="000000"/>
          <w:sz w:val="32"/>
          <w:szCs w:val="32"/>
          <w:highlight w:val="none"/>
        </w:rPr>
      </w:pPr>
      <w:r>
        <w:rPr>
          <w:rFonts w:ascii="Times New Roman" w:hAnsi="Times New Roman"/>
          <w:b/>
          <w:caps w:val="0"/>
          <w:color w:val="000000"/>
          <w:sz w:val="36"/>
          <w:highlight w:val="none"/>
          <w:u w:val="single"/>
        </w:rPr>
        <w:br w:type="page" w:clear="all"/>
      </w:r>
      <w:r>
        <w:rPr>
          <w:rFonts w:ascii="Times New Roman" w:hAnsi="Times New Roman"/>
          <w:b/>
          <w:bCs/>
          <w:caps w:val="0"/>
          <w:color w:val="000000"/>
          <w:sz w:val="32"/>
          <w:szCs w:val="32"/>
          <w:highlight w:val="none"/>
        </w:rPr>
      </w:r>
      <w:r/>
    </w:p>
    <w:p>
      <w:pPr>
        <w:pStyle w:val="680"/>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t xml:space="preserve">投标文件目录</w:t>
      </w:r>
      <w:r>
        <w:rPr>
          <w:rFonts w:hint="eastAsia" w:ascii="Times New Roman" w:hAnsi="Times New Roman"/>
          <w:b/>
          <w:bCs/>
          <w:caps w:val="0"/>
          <w:color w:val="000000"/>
          <w:sz w:val="32"/>
          <w:szCs w:val="32"/>
          <w:highlight w:val="none"/>
        </w:rPr>
      </w:r>
      <w:r/>
    </w:p>
    <w:p>
      <w:pPr>
        <w:pStyle w:val="680"/>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680"/>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w:t>
      </w:r>
      <w:r>
        <w:rPr>
          <w:rFonts w:hint="eastAsia" w:ascii="Times New Roman" w:hAnsi="Times New Roman" w:eastAsia="宋体" w:cs="宋体"/>
          <w:b w:val="0"/>
          <w:bCs w:val="0"/>
          <w:iCs w:val="0"/>
          <w:caps w:val="0"/>
          <w:color w:val="000000"/>
          <w:sz w:val="28"/>
          <w:szCs w:val="28"/>
          <w:highlight w:val="none"/>
          <w:lang w:val="en-US" w:eastAsia="zh-CN"/>
        </w:rPr>
        <w:t xml:space="preserve">投标人响应承诺函</w:t>
      </w:r>
      <w:r>
        <w:rPr>
          <w:rFonts w:ascii="Times New Roman" w:hAnsi="Times New Roman" w:eastAsia="宋体" w:cs="宋体"/>
          <w:b w:val="0"/>
          <w:bCs w:val="0"/>
          <w:iCs w:val="0"/>
          <w:caps w:val="0"/>
          <w:color w:val="000000"/>
          <w:sz w:val="28"/>
          <w:szCs w:val="28"/>
          <w:highlight w:val="none"/>
          <w:lang w:val="en-US" w:eastAsia="zh-CN"/>
        </w:rPr>
      </w:r>
      <w:r/>
    </w:p>
    <w:p>
      <w:pPr>
        <w:pStyle w:val="680"/>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w:t>
      </w:r>
      <w:r>
        <w:rPr>
          <w:rFonts w:hint="eastAsia" w:ascii="Times New Roman" w:hAnsi="Times New Roman" w:eastAsia="宋体" w:cs="宋体"/>
          <w:b w:val="0"/>
          <w:bCs w:val="0"/>
          <w:iCs w:val="0"/>
          <w:caps w:val="0"/>
          <w:color w:val="000000"/>
          <w:sz w:val="28"/>
          <w:szCs w:val="28"/>
          <w:highlight w:val="none"/>
          <w:lang w:val="en-US" w:eastAsia="zh-CN"/>
        </w:rPr>
        <w:t xml:space="preserve">投标人基本情况</w:t>
      </w:r>
      <w:r>
        <w:rPr>
          <w:rFonts w:hint="eastAsia" w:ascii="Times New Roman" w:hAnsi="Times New Roman" w:eastAsia="宋体" w:cs="宋体"/>
          <w:b w:val="0"/>
          <w:bCs w:val="0"/>
          <w:iCs w:val="0"/>
          <w:caps w:val="0"/>
          <w:color w:val="000000"/>
          <w:sz w:val="28"/>
          <w:szCs w:val="28"/>
          <w:highlight w:val="none"/>
          <w:lang w:val="en-US" w:eastAsia="zh-CN"/>
        </w:rPr>
      </w:r>
      <w:r/>
    </w:p>
    <w:p>
      <w:pPr>
        <w:pStyle w:val="680"/>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highlight w:val="none"/>
          <w:lang w:val="en-US" w:eastAsia="zh-CN"/>
        </w:rPr>
      </w:r>
      <w:r/>
    </w:p>
    <w:p>
      <w:pPr>
        <w:pStyle w:val="680"/>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rPr>
          <w:rFonts w:hint="eastAsia" w:ascii="Times New Roman" w:hAnsi="Times New Roman" w:eastAsia="宋体" w:cs="宋体"/>
          <w:b w:val="0"/>
          <w:bCs w:val="0"/>
          <w:iCs w:val="0"/>
          <w:caps w:val="0"/>
          <w:color w:val="000000"/>
          <w:sz w:val="28"/>
          <w:szCs w:val="28"/>
          <w:highlight w:val="none"/>
          <w:lang w:val="en-US" w:eastAsia="zh-CN"/>
        </w:rPr>
      </w:r>
      <w:r/>
    </w:p>
    <w:p>
      <w:pPr>
        <w:pStyle w:val="680"/>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五</w:t>
      </w:r>
      <w:r>
        <w:rPr>
          <w:rFonts w:hint="eastAsia" w:ascii="Times New Roman" w:hAnsi="Times New Roman" w:eastAsia="宋体" w:cs="宋体"/>
          <w:b w:val="0"/>
          <w:bCs w:val="0"/>
          <w:iCs w:val="0"/>
          <w:caps w:val="0"/>
          <w:color w:val="000000"/>
          <w:sz w:val="28"/>
          <w:szCs w:val="28"/>
          <w:highlight w:val="none"/>
          <w:lang w:val="en-US" w:eastAsia="zh-CN"/>
        </w:rPr>
        <w:t xml:space="preserve">、开标一览表</w:t>
      </w:r>
      <w:r>
        <w:rPr>
          <w:rFonts w:hint="eastAsia" w:ascii="Times New Roman" w:hAnsi="Times New Roman" w:eastAsia="宋体" w:cs="宋体"/>
          <w:b w:val="0"/>
          <w:bCs w:val="0"/>
          <w:iCs w:val="0"/>
          <w:caps w:val="0"/>
          <w:color w:val="000000"/>
          <w:sz w:val="28"/>
          <w:szCs w:val="28"/>
          <w:highlight w:val="none"/>
          <w:lang w:val="en-US" w:eastAsia="zh-CN"/>
        </w:rPr>
      </w:r>
      <w:r/>
    </w:p>
    <w:p>
      <w:pPr>
        <w:pStyle w:val="680"/>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六</w:t>
      </w:r>
      <w:r>
        <w:rPr>
          <w:rFonts w:hint="eastAsia" w:ascii="Times New Roman" w:hAnsi="Times New Roman" w:eastAsia="宋体" w:cs="宋体"/>
          <w:b w:val="0"/>
          <w:bCs w:val="0"/>
          <w:iCs w:val="0"/>
          <w:caps w:val="0"/>
          <w:color w:val="000000"/>
          <w:sz w:val="28"/>
          <w:szCs w:val="28"/>
          <w:highlight w:val="none"/>
          <w:lang w:val="en-US" w:eastAsia="zh-CN"/>
        </w:rPr>
        <w:t xml:space="preserve">、投标报价明细表</w:t>
      </w:r>
      <w:r>
        <w:rPr>
          <w:rFonts w:ascii="Times New Roman" w:hAnsi="Times New Roman" w:eastAsia="宋体" w:cs="宋体"/>
          <w:b w:val="0"/>
          <w:bCs w:val="0"/>
          <w:iCs w:val="0"/>
          <w:caps w:val="0"/>
          <w:color w:val="000000"/>
          <w:sz w:val="28"/>
          <w:szCs w:val="28"/>
          <w:highlight w:val="none"/>
          <w:lang w:val="en-US" w:eastAsia="zh-CN"/>
        </w:rPr>
      </w:r>
      <w:r/>
    </w:p>
    <w:p>
      <w:pPr>
        <w:pStyle w:val="680"/>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七</w:t>
      </w:r>
      <w:r>
        <w:rPr>
          <w:rFonts w:hint="eastAsia" w:ascii="Times New Roman" w:hAnsi="Times New Roman" w:eastAsia="宋体" w:cs="宋体"/>
          <w:b w:val="0"/>
          <w:bCs w:val="0"/>
          <w:iCs w:val="0"/>
          <w:caps w:val="0"/>
          <w:color w:val="000000"/>
          <w:sz w:val="28"/>
          <w:szCs w:val="28"/>
          <w:highlight w:val="none"/>
          <w:lang w:val="en-US" w:eastAsia="zh-CN"/>
        </w:rPr>
        <w:t xml:space="preserve">、</w:t>
      </w:r>
      <w:r>
        <w:rPr>
          <w:rFonts w:hint="eastAsia" w:eastAsia="宋体" w:cs="宋体"/>
          <w:b w:val="0"/>
          <w:bCs w:val="0"/>
          <w:iCs w:val="0"/>
          <w:caps w:val="0"/>
          <w:color w:val="000000"/>
          <w:sz w:val="28"/>
          <w:szCs w:val="28"/>
          <w:highlight w:val="none"/>
          <w:lang w:val="en-US" w:eastAsia="zh-CN"/>
        </w:rPr>
        <w:t xml:space="preserve">中小企业声明函</w:t>
      </w:r>
      <w:r>
        <w:rPr>
          <w:rFonts w:ascii="Times New Roman" w:hAnsi="Times New Roman" w:eastAsia="宋体" w:cs="宋体"/>
          <w:b w:val="0"/>
          <w:bCs w:val="0"/>
          <w:iCs w:val="0"/>
          <w:caps w:val="0"/>
          <w:color w:val="000000"/>
          <w:sz w:val="28"/>
          <w:szCs w:val="28"/>
          <w:highlight w:val="none"/>
          <w:lang w:val="en-US" w:eastAsia="zh-CN"/>
        </w:rPr>
      </w:r>
      <w:r/>
    </w:p>
    <w:p>
      <w:pPr>
        <w:pStyle w:val="680"/>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八</w:t>
      </w:r>
      <w:r>
        <w:rPr>
          <w:rFonts w:hint="eastAsia" w:ascii="Times New Roman" w:hAnsi="Times New Roman" w:eastAsia="宋体" w:cs="宋体"/>
          <w:b w:val="0"/>
          <w:bCs w:val="0"/>
          <w:iCs w:val="0"/>
          <w:caps w:val="0"/>
          <w:color w:val="000000"/>
          <w:sz w:val="28"/>
          <w:szCs w:val="28"/>
          <w:highlight w:val="none"/>
          <w:lang w:val="en-US" w:eastAsia="zh-CN"/>
        </w:rPr>
        <w:t xml:space="preserve">、技术要求响应及偏离表</w:t>
      </w:r>
      <w:r>
        <w:rPr>
          <w:rFonts w:hint="eastAsia" w:ascii="Times New Roman" w:hAnsi="Times New Roman" w:eastAsia="宋体" w:cs="宋体"/>
          <w:b w:val="0"/>
          <w:bCs w:val="0"/>
          <w:iCs w:val="0"/>
          <w:caps w:val="0"/>
          <w:color w:val="000000"/>
          <w:sz w:val="28"/>
          <w:szCs w:val="28"/>
          <w:highlight w:val="none"/>
          <w:lang w:val="en-US" w:eastAsia="zh-CN"/>
        </w:rPr>
      </w:r>
      <w:r/>
    </w:p>
    <w:p>
      <w:pPr>
        <w:pStyle w:val="680"/>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九</w:t>
      </w:r>
      <w:r>
        <w:rPr>
          <w:rFonts w:hint="eastAsia" w:ascii="Times New Roman" w:hAnsi="Times New Roman" w:eastAsia="宋体" w:cs="宋体"/>
          <w:b w:val="0"/>
          <w:bCs w:val="0"/>
          <w:iCs w:val="0"/>
          <w:caps w:val="0"/>
          <w:color w:val="000000"/>
          <w:sz w:val="28"/>
          <w:szCs w:val="28"/>
          <w:highlight w:val="none"/>
          <w:lang w:val="en-US" w:eastAsia="zh-CN"/>
        </w:rPr>
        <w:t xml:space="preserve">、项目组成员</w:t>
      </w:r>
      <w:r>
        <w:rPr>
          <w:rFonts w:hint="eastAsia" w:ascii="Times New Roman" w:hAnsi="Times New Roman" w:eastAsia="宋体" w:cs="宋体"/>
          <w:b w:val="0"/>
          <w:bCs w:val="0"/>
          <w:iCs w:val="0"/>
          <w:caps w:val="0"/>
          <w:color w:val="000000"/>
          <w:sz w:val="28"/>
          <w:szCs w:val="28"/>
          <w:highlight w:val="none"/>
          <w:lang w:val="en-US" w:eastAsia="zh-CN"/>
        </w:rPr>
      </w:r>
      <w:r/>
    </w:p>
    <w:p>
      <w:pPr>
        <w:pStyle w:val="680"/>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十、企业业绩</w:t>
      </w:r>
      <w:r>
        <w:rPr>
          <w:rFonts w:hint="eastAsia" w:ascii="Times New Roman" w:hAnsi="Times New Roman" w:eastAsia="宋体" w:cs="宋体"/>
          <w:b w:val="0"/>
          <w:bCs w:val="0"/>
          <w:iCs w:val="0"/>
          <w:caps w:val="0"/>
          <w:color w:val="000000"/>
          <w:sz w:val="28"/>
          <w:szCs w:val="28"/>
          <w:highlight w:val="none"/>
          <w:lang w:val="en-US" w:eastAsia="zh-CN"/>
        </w:rPr>
      </w:r>
      <w:r/>
    </w:p>
    <w:p>
      <w:pPr>
        <w:pStyle w:val="680"/>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w:t>
      </w:r>
      <w:r>
        <w:rPr>
          <w:rFonts w:hint="eastAsia" w:eastAsia="宋体" w:cs="宋体"/>
          <w:b w:val="0"/>
          <w:bCs w:val="0"/>
          <w:iCs w:val="0"/>
          <w:caps w:val="0"/>
          <w:color w:val="000000"/>
          <w:sz w:val="28"/>
          <w:szCs w:val="28"/>
          <w:highlight w:val="none"/>
          <w:lang w:val="en-US" w:eastAsia="zh-CN"/>
        </w:rPr>
        <w:t xml:space="preserve">一</w:t>
      </w:r>
      <w:r>
        <w:rPr>
          <w:rFonts w:hint="eastAsia" w:ascii="Times New Roman" w:hAnsi="Times New Roman" w:eastAsia="宋体" w:cs="宋体"/>
          <w:b w:val="0"/>
          <w:bCs w:val="0"/>
          <w:iCs w:val="0"/>
          <w:caps w:val="0"/>
          <w:color w:val="000000"/>
          <w:sz w:val="28"/>
          <w:szCs w:val="28"/>
          <w:highlight w:val="none"/>
          <w:lang w:val="en-US" w:eastAsia="zh-CN"/>
        </w:rPr>
        <w:t xml:space="preserve">、</w:t>
      </w:r>
      <w:r>
        <w:rPr>
          <w:rFonts w:hint="eastAsia" w:eastAsia="宋体" w:cs="宋体"/>
          <w:b w:val="0"/>
          <w:bCs w:val="0"/>
          <w:iCs w:val="0"/>
          <w:caps w:val="0"/>
          <w:color w:val="000000"/>
          <w:sz w:val="28"/>
          <w:szCs w:val="28"/>
          <w:highlight w:val="none"/>
          <w:lang w:val="en-US" w:eastAsia="zh-CN"/>
        </w:rPr>
        <w:t xml:space="preserve">承诺函（格式自拟）</w:t>
      </w:r>
      <w:r>
        <w:rPr>
          <w:rFonts w:ascii="Times New Roman" w:hAnsi="Times New Roman" w:eastAsia="宋体" w:cs="宋体"/>
          <w:b w:val="0"/>
          <w:bCs w:val="0"/>
          <w:iCs w:val="0"/>
          <w:caps w:val="0"/>
          <w:color w:val="000000"/>
          <w:sz w:val="28"/>
          <w:szCs w:val="28"/>
          <w:highlight w:val="none"/>
          <w:lang w:val="en-US" w:eastAsia="zh-CN"/>
        </w:rPr>
      </w:r>
      <w:r/>
    </w:p>
    <w:p>
      <w:pPr>
        <w:pStyle w:val="680"/>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十二、</w:t>
      </w:r>
      <w:r>
        <w:rPr>
          <w:rFonts w:hint="eastAsia" w:ascii="Times New Roman" w:hAnsi="Times New Roman" w:eastAsia="宋体" w:cs="宋体"/>
          <w:b w:val="0"/>
          <w:bCs w:val="0"/>
          <w:iCs w:val="0"/>
          <w:caps w:val="0"/>
          <w:color w:val="000000"/>
          <w:sz w:val="28"/>
          <w:szCs w:val="28"/>
          <w:highlight w:val="none"/>
          <w:lang w:val="en-US" w:eastAsia="zh-CN"/>
        </w:rPr>
        <w:t xml:space="preserve">投标所需其他材料</w:t>
      </w:r>
      <w:r>
        <w:rPr>
          <w:rFonts w:hint="eastAsia" w:ascii="Times New Roman" w:hAnsi="Times New Roman" w:eastAsia="宋体" w:cs="宋体"/>
          <w:b w:val="0"/>
          <w:bCs w:val="0"/>
          <w:iCs w:val="0"/>
          <w:caps w:val="0"/>
          <w:color w:val="000000"/>
          <w:sz w:val="28"/>
          <w:szCs w:val="28"/>
          <w:highlight w:val="none"/>
          <w:lang w:val="en-US" w:eastAsia="zh-CN"/>
        </w:rPr>
      </w:r>
      <w:r/>
    </w:p>
    <w:p>
      <w:pPr>
        <w:pStyle w:val="731"/>
        <w:tabs>
          <w:tab w:val="right" w:pos="8720" w:leader="dot"/>
        </w:tabs>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pStyle w:val="680"/>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680"/>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680"/>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680"/>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680"/>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98"/>
        <w:rPr>
          <w:rFonts w:ascii="Times New Roman" w:hAnsi="Times New Roman"/>
          <w:caps w:val="0"/>
          <w:color w:val="000000"/>
          <w:highlight w:val="none"/>
        </w:rPr>
      </w:pPr>
      <w:r/>
      <w:bookmarkStart w:id="216" w:name="_Toc23838"/>
      <w:r>
        <w:rPr>
          <w:rFonts w:ascii="Times New Roman" w:hAnsi="Times New Roman"/>
          <w:caps w:val="0"/>
          <w:color w:val="000000"/>
          <w:highlight w:val="none"/>
        </w:rPr>
      </w:r>
      <w:r/>
    </w:p>
    <w:p>
      <w:pPr>
        <w:pStyle w:val="798"/>
        <w:rPr>
          <w:rFonts w:ascii="Times New Roman" w:hAnsi="Times New Roman"/>
          <w:caps w:val="0"/>
          <w:color w:val="000000"/>
          <w:highlight w:val="none"/>
        </w:rPr>
      </w:pPr>
      <w:r>
        <w:rPr>
          <w:rFonts w:ascii="Times New Roman" w:hAnsi="Times New Roman"/>
          <w:caps w:val="0"/>
          <w:color w:val="000000"/>
          <w:highlight w:val="none"/>
        </w:rPr>
      </w:r>
      <w:r/>
    </w:p>
    <w:p>
      <w:pPr>
        <w:pStyle w:val="798"/>
        <w:rPr>
          <w:rFonts w:ascii="Times New Roman" w:hAnsi="Times New Roman"/>
          <w:caps w:val="0"/>
          <w:color w:val="000000"/>
          <w:highlight w:val="none"/>
        </w:rPr>
      </w:pPr>
      <w:r>
        <w:rPr>
          <w:rFonts w:ascii="Times New Roman" w:hAnsi="Times New Roman"/>
          <w:caps w:val="0"/>
          <w:color w:val="000000"/>
          <w:highlight w:val="none"/>
        </w:rPr>
      </w:r>
      <w:r/>
    </w:p>
    <w:p>
      <w:pPr>
        <w:pStyle w:val="798"/>
        <w:rPr>
          <w:rFonts w:ascii="Times New Roman" w:hAnsi="Times New Roman"/>
          <w:caps w:val="0"/>
          <w:color w:val="000000"/>
          <w:highlight w:val="none"/>
        </w:rPr>
      </w:pPr>
      <w:r>
        <w:rPr>
          <w:rFonts w:ascii="Times New Roman" w:hAnsi="Times New Roman"/>
          <w:caps w:val="0"/>
          <w:color w:val="000000"/>
          <w:highlight w:val="none"/>
        </w:rPr>
      </w:r>
      <w:r/>
    </w:p>
    <w:p>
      <w:pPr>
        <w:pStyle w:val="798"/>
        <w:rPr>
          <w:rFonts w:ascii="Times New Roman" w:hAnsi="Times New Roman"/>
          <w:caps w:val="0"/>
          <w:color w:val="000000"/>
          <w:highlight w:val="none"/>
        </w:rPr>
      </w:pPr>
      <w:r>
        <w:rPr>
          <w:rFonts w:ascii="Times New Roman" w:hAnsi="Times New Roman"/>
          <w:caps w:val="0"/>
          <w:color w:val="000000"/>
          <w:highlight w:val="none"/>
        </w:rPr>
      </w:r>
      <w:r/>
    </w:p>
    <w:p>
      <w:pPr>
        <w:pStyle w:val="798"/>
        <w:rPr>
          <w:rFonts w:ascii="Times New Roman" w:hAnsi="Times New Roman"/>
          <w:caps w:val="0"/>
          <w:color w:val="000000"/>
          <w:highlight w:val="none"/>
        </w:rPr>
      </w:pPr>
      <w:r>
        <w:rPr>
          <w:rFonts w:ascii="Times New Roman" w:hAnsi="Times New Roman"/>
          <w:caps w:val="0"/>
          <w:color w:val="000000"/>
          <w:highlight w:val="none"/>
        </w:rPr>
      </w:r>
      <w:r/>
    </w:p>
    <w:p>
      <w:pPr>
        <w:pStyle w:val="798"/>
        <w:rPr>
          <w:rFonts w:ascii="Times New Roman" w:hAnsi="Times New Roman"/>
          <w:caps w:val="0"/>
          <w:color w:val="000000"/>
          <w:highlight w:val="none"/>
        </w:rPr>
      </w:pPr>
      <w:r>
        <w:rPr>
          <w:rFonts w:ascii="Times New Roman" w:hAnsi="Times New Roman"/>
          <w:caps w:val="0"/>
          <w:color w:val="000000"/>
          <w:highlight w:val="none"/>
        </w:rPr>
      </w:r>
      <w:r/>
    </w:p>
    <w:p>
      <w:pPr>
        <w:pStyle w:val="796"/>
        <w:jc w:val="both"/>
        <w:rPr>
          <w:rFonts w:hint="eastAsia" w:ascii="Times New Roman" w:hAnsi="Times New Roman" w:eastAsia="宋体" w:cs="Times New Roman"/>
          <w:b/>
          <w:caps w:val="0"/>
          <w:color w:val="000000"/>
          <w:sz w:val="32"/>
          <w:szCs w:val="32"/>
          <w:highlight w:val="none"/>
        </w:rPr>
      </w:pPr>
      <w:r/>
      <w:bookmarkEnd w:id="212"/>
      <w:r/>
      <w:bookmarkEnd w:id="213"/>
      <w:r/>
      <w:bookmarkEnd w:id="214"/>
      <w:r/>
      <w:bookmarkEnd w:id="216"/>
      <w:r/>
      <w:bookmarkStart w:id="217" w:name="_Toc120614284"/>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、投标声明及承诺函</w:t>
      </w:r>
      <w:r>
        <w:rPr>
          <w:rFonts w:hint="eastAsia" w:ascii="Times New Roman" w:hAnsi="Times New Roman" w:eastAsia="宋体" w:cs="Times New Roman"/>
          <w:b/>
          <w:caps w:val="0"/>
          <w:color w:val="000000"/>
          <w:sz w:val="32"/>
          <w:szCs w:val="32"/>
          <w:highlight w:val="none"/>
        </w:rPr>
      </w:r>
      <w:r/>
    </w:p>
    <w:p>
      <w:pPr>
        <w:pStyle w:val="796"/>
        <w:jc w:val="left"/>
        <w:spacing w:line="500" w:lineRule="exact"/>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rPr>
          <w:rFonts w:ascii="Times New Roman" w:hAnsi="Times New Roman" w:eastAsia="方正仿宋_GBK"/>
          <w:caps w:val="0"/>
          <w:color w:val="000000"/>
          <w:sz w:val="24"/>
          <w:szCs w:val="24"/>
          <w:highlight w:val="none"/>
          <w:u w:val="single"/>
        </w:rPr>
      </w:r>
      <w:r/>
    </w:p>
    <w:p>
      <w:pPr>
        <w:pStyle w:val="796"/>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项目的招标文件，我方在参加本项目招投标活动中，特做出如下承诺：</w:t>
      </w:r>
      <w:r>
        <w:rPr>
          <w:rFonts w:ascii="Times New Roman" w:hAnsi="Times New Roman" w:eastAsia="方正仿宋_GBK"/>
          <w:caps w:val="0"/>
          <w:color w:val="000000"/>
          <w:sz w:val="24"/>
          <w:szCs w:val="24"/>
          <w:highlight w:val="none"/>
        </w:rPr>
      </w:r>
      <w:r/>
    </w:p>
    <w:p>
      <w:pPr>
        <w:pStyle w:val="796"/>
        <w:ind w:firstLine="480"/>
        <w:jc w:val="left"/>
        <w:spacing w:line="500" w:lineRule="exact"/>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rPr>
          <w:rFonts w:ascii="Times New Roman" w:hAnsi="Times New Roman" w:eastAsia="方正仿宋_GBK"/>
          <w:caps w:val="0"/>
          <w:color w:val="000000"/>
          <w:sz w:val="24"/>
          <w:highlight w:val="none"/>
        </w:rPr>
      </w:r>
      <w:r/>
    </w:p>
    <w:p>
      <w:pPr>
        <w:pStyle w:val="796"/>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highlight w:val="none"/>
        </w:rPr>
      </w:r>
      <w:r/>
    </w:p>
    <w:p>
      <w:pPr>
        <w:pStyle w:val="796"/>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rPr>
          <w:rFonts w:ascii="Times New Roman" w:hAnsi="Times New Roman" w:eastAsia="方正仿宋_GBK"/>
          <w:caps w:val="0"/>
          <w:color w:val="000000"/>
          <w:sz w:val="24"/>
          <w:szCs w:val="24"/>
          <w:highlight w:val="none"/>
        </w:rPr>
      </w:r>
      <w:r/>
    </w:p>
    <w:p>
      <w:pPr>
        <w:pStyle w:val="796"/>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highlight w:val="none"/>
        </w:rPr>
      </w:r>
      <w:r/>
    </w:p>
    <w:p>
      <w:pPr>
        <w:pStyle w:val="796"/>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highlight w:val="none"/>
        </w:rPr>
      </w:r>
      <w:r/>
    </w:p>
    <w:p>
      <w:pPr>
        <w:pStyle w:val="796"/>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rPr>
          <w:rFonts w:ascii="Times New Roman" w:hAnsi="Times New Roman" w:eastAsia="方正仿宋_GBK"/>
          <w:caps w:val="0"/>
          <w:color w:val="000000"/>
          <w:sz w:val="24"/>
          <w:szCs w:val="24"/>
          <w:highlight w:val="none"/>
        </w:rPr>
      </w:r>
      <w:r/>
    </w:p>
    <w:p>
      <w:pPr>
        <w:pStyle w:val="796"/>
        <w:ind w:firstLine="480"/>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796"/>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796"/>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rPr>
          <w:rFonts w:ascii="Times New Roman" w:hAnsi="Times New Roman" w:eastAsia="方正仿宋_GBK"/>
          <w:caps w:val="0"/>
          <w:color w:val="000000"/>
          <w:sz w:val="24"/>
          <w:szCs w:val="24"/>
          <w:highlight w:val="none"/>
        </w:rPr>
      </w:r>
      <w:r/>
    </w:p>
    <w:p>
      <w:pPr>
        <w:pStyle w:val="796"/>
        <w:ind w:firstLine="480"/>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rPr>
          <w:rFonts w:ascii="Times New Roman" w:hAnsi="Times New Roman"/>
          <w:caps w:val="0"/>
          <w:color w:val="000000"/>
          <w:highlight w:val="none"/>
        </w:rPr>
      </w:r>
      <w:r/>
    </w:p>
    <w:p>
      <w:pPr>
        <w:pStyle w:val="798"/>
        <w:rPr>
          <w:rFonts w:ascii="Times New Roman" w:hAnsi="Times New Roman"/>
          <w:caps w:val="0"/>
          <w:color w:val="000000"/>
          <w:highlight w:val="non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rPr>
          <w:rFonts w:ascii="Times New Roman" w:hAnsi="Times New Roman"/>
          <w:caps w:val="0"/>
          <w:color w:val="000000"/>
          <w:highlight w:val="none"/>
        </w:rPr>
      </w:r>
      <w:r/>
    </w:p>
    <w:p>
      <w:pPr>
        <w:pStyle w:val="799"/>
        <w:jc w:val="center"/>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rPr>
          <w:rFonts w:ascii="Times New Roman" w:hAnsi="Times New Roman"/>
          <w:caps w:val="0"/>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799"/>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2376"/>
        </w:trPr>
        <w:tc>
          <w:tcPr>
            <w:tcW w:w="1526" w:type="dxa"/>
            <w:vAlign w:val="center"/>
            <w:textDirection w:val="lrTb"/>
            <w:noWrap w:val="false"/>
          </w:tcPr>
          <w:p>
            <w:pPr>
              <w:pStyle w:val="799"/>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rPr>
                <w:rFonts w:ascii="Times New Roman" w:hAnsi="Times New Roman" w:eastAsia="仿宋_GB2312"/>
                <w:caps w:val="0"/>
                <w:color w:val="000000"/>
                <w:sz w:val="24"/>
                <w:szCs w:val="24"/>
                <w:highlight w:val="none"/>
              </w:rPr>
            </w:r>
            <w:r/>
          </w:p>
        </w:tc>
        <w:tc>
          <w:tcPr>
            <w:gridSpan w:val="3"/>
            <w:tcW w:w="6998" w:type="dxa"/>
            <w:vAlign w:val="top"/>
            <w:textDirection w:val="lrTb"/>
            <w:noWrap w:val="false"/>
          </w:tcPr>
          <w:p>
            <w:pPr>
              <w:pStyle w:val="799"/>
              <w:ind w:firstLine="1432"/>
              <w:spacing w:line="56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1134"/>
        </w:trPr>
        <w:tc>
          <w:tcPr>
            <w:tcW w:w="1526" w:type="dxa"/>
            <w:vAlign w:val="center"/>
            <w:textDirection w:val="lrTb"/>
            <w:noWrap w:val="false"/>
          </w:tcPr>
          <w:p>
            <w:pPr>
              <w:pStyle w:val="799"/>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799"/>
              <w:jc w:val="center"/>
              <w:spacing w:line="5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无需提供营业执照等证明材料</w:t>
            </w:r>
            <w:r>
              <w:rPr>
                <w:rFonts w:ascii="Times New Roman" w:hAnsi="Times New Roman" w:eastAsia="仿宋_GB2312"/>
                <w:caps w:val="0"/>
                <w:color w:val="000000"/>
                <w:sz w:val="24"/>
                <w:szCs w:val="24"/>
                <w:highlight w:val="none"/>
              </w:rPr>
            </w:r>
            <w:r/>
          </w:p>
        </w:tc>
      </w:tr>
    </w:tbl>
    <w:p>
      <w:pPr>
        <w:pStyle w:val="680"/>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680"/>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680"/>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96"/>
        <w:jc w:val="both"/>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rPr>
          <w:rFonts w:hint="eastAsia" w:ascii="Times New Roman" w:hAnsi="Times New Roman" w:eastAsia="黑体"/>
          <w:i/>
          <w:caps w:val="0"/>
          <w:color w:val="000000"/>
          <w:sz w:val="32"/>
          <w:szCs w:val="32"/>
          <w:highlight w:val="none"/>
          <w:u w:val="singl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三、特定资格要求的证明文件</w:t>
      </w:r>
      <w:r>
        <w:rPr>
          <w:rFonts w:hint="eastAsia" w:ascii="Times New Roman" w:hAnsi="Times New Roman" w:eastAsia="黑体"/>
          <w:i/>
          <w:caps w:val="0"/>
          <w:color w:val="000000"/>
          <w:sz w:val="32"/>
          <w:szCs w:val="32"/>
          <w:highlight w:val="none"/>
          <w:u w:val="single"/>
        </w:rPr>
      </w:r>
      <w:r/>
    </w:p>
    <w:p>
      <w:pPr>
        <w:pStyle w:val="680"/>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rPr>
          <w:rFonts w:hint="eastAsia" w:ascii="Times New Roman" w:hAnsi="Times New Roman"/>
          <w:bCs/>
          <w:caps w:val="0"/>
          <w:color w:val="000000"/>
          <w:sz w:val="24"/>
          <w:highlight w:val="none"/>
        </w:rPr>
      </w:r>
      <w:r/>
    </w:p>
    <w:p>
      <w:pPr>
        <w:pStyle w:val="680"/>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56"/>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56"/>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rPr>
          <w:rFonts w:hint="eastAsia" w:ascii="Times New Roman" w:hAnsi="Times New Roman" w:eastAsia="宋体" w:cs="Times New Roman"/>
          <w:b/>
          <w:caps w:val="0"/>
          <w:color w:val="000000"/>
          <w:sz w:val="32"/>
          <w:szCs w:val="32"/>
          <w:highlight w:val="none"/>
          <w:lang w:val="en-US" w:eastAsia="zh-CN" w:bidi="ar-SA"/>
        </w:rPr>
      </w:r>
      <w:r/>
    </w:p>
    <w:p>
      <w:pPr>
        <w:pStyle w:val="767"/>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w:t>
      </w:r>
      <w:r>
        <w:rPr>
          <w:rFonts w:hint="eastAsia" w:ascii="Times New Roman" w:hAnsi="Times New Roman"/>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lang w:val="en-US" w:eastAsia="zh-CN"/>
        </w:rPr>
        <w:t xml:space="preserve">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号项目采购活动的合法代理人，以本单位名义全权处理一切与该项目采购有关的事务。</w:t>
      </w:r>
      <w:r>
        <w:rPr>
          <w:rFonts w:hint="eastAsia" w:ascii="Times New Roman" w:hAnsi="Times New Roman"/>
          <w:caps w:val="0"/>
          <w:color w:val="000000"/>
          <w:sz w:val="24"/>
          <w:szCs w:val="24"/>
          <w:highlight w:val="none"/>
        </w:rPr>
      </w:r>
      <w:r/>
    </w:p>
    <w:p>
      <w:pPr>
        <w:pStyle w:val="767"/>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rPr>
          <w:rFonts w:hint="eastAsia" w:ascii="Times New Roman" w:hAnsi="Times New Roman"/>
          <w:caps w:val="0"/>
          <w:color w:val="000000"/>
          <w:sz w:val="24"/>
          <w:szCs w:val="24"/>
          <w:highlight w:val="none"/>
        </w:rPr>
      </w:r>
      <w:r/>
    </w:p>
    <w:p>
      <w:pPr>
        <w:pStyle w:val="767"/>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767"/>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767"/>
        <w:ind w:firstLine="120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rPr>
          <w:rFonts w:hint="eastAsia" w:ascii="Times New Roman" w:hAnsi="Times New Roman"/>
          <w:caps w:val="0"/>
          <w:color w:val="000000"/>
          <w:sz w:val="24"/>
          <w:szCs w:val="24"/>
          <w:highlight w:val="none"/>
        </w:rPr>
      </w:r>
      <w:r/>
    </w:p>
    <w:p>
      <w:pPr>
        <w:pStyle w:val="767"/>
        <w:ind w:firstLine="48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767"/>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218" w:name="_Hlt26955070"/>
      <w:r/>
      <w:bookmarkEnd w:id="218"/>
      <w:r/>
      <w:bookmarkStart w:id="219" w:name="_Hlt26671380"/>
      <w:r/>
      <w:bookmarkEnd w:id="219"/>
      <w:r/>
      <w:bookmarkStart w:id="220" w:name="_格式3__银行出具的资信证明"/>
      <w:r/>
      <w:bookmarkEnd w:id="220"/>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r>
      <w:r/>
    </w:p>
    <w:p>
      <w:pPr>
        <w:pStyle w:val="680"/>
        <w:rPr>
          <w:rFonts w:hint="eastAsia" w:ascii="Times New Roman" w:hAnsi="Times New Roman" w:eastAsia="仿宋_GB2312"/>
          <w:caps w:val="0"/>
          <w:color w:val="000000"/>
          <w:sz w:val="24"/>
          <w:szCs w:val="20"/>
          <w:highlight w:val="none"/>
        </w:rPr>
      </w:pPr>
      <w:r>
        <w:rPr>
          <w:rFonts w:hint="eastAsia" w:ascii="Times New Roman" w:hAnsi="Times New Roman" w:eastAsia="宋体" w:cs="Times New Roman"/>
          <w:b/>
          <w:caps w:val="0"/>
          <w:color w:val="000000"/>
          <w:sz w:val="32"/>
          <w:szCs w:val="32"/>
          <w:highlight w:val="none"/>
          <w:lang w:val="en-US" w:eastAsia="zh-CN" w:bidi="ar-SA"/>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五、开标一览表</w:t>
      </w:r>
      <w:r>
        <w:rPr>
          <w:rFonts w:hint="eastAsia" w:ascii="Times New Roman" w:hAnsi="Times New Roman" w:eastAsia="仿宋_GB2312"/>
          <w:caps w:val="0"/>
          <w:color w:val="000000"/>
          <w:sz w:val="24"/>
          <w:szCs w:val="20"/>
          <w:highlight w:val="none"/>
        </w:rPr>
      </w:r>
      <w:r/>
    </w:p>
    <w:p>
      <w:pPr>
        <w:pStyle w:val="680"/>
        <w:ind w:firstLine="480"/>
        <w:rPr>
          <w:rFonts w:hint="eastAsia" w:ascii="Times New Roman" w:hAnsi="Times New Roman"/>
          <w:caps w:val="0"/>
          <w:color w:val="000000"/>
          <w:sz w:val="24"/>
          <w:szCs w:val="24"/>
          <w:highlight w:val="none"/>
        </w:rPr>
      </w:pPr>
      <w:r>
        <w:rPr>
          <w:rFonts w:hint="eastAsia" w:ascii="Times New Roman" w:eastAsia="宋体"/>
          <w:color w:val="000000"/>
          <w:sz w:val="24"/>
          <w:szCs w:val="24"/>
          <w:highlight w:val="none"/>
          <w:lang w:val="en-US" w:eastAsia="zh-CN"/>
        </w:rPr>
        <w:t xml:space="preserve">按照苏彩云系统填写</w:t>
      </w:r>
      <w:r>
        <w:rPr>
          <w:rFonts w:hint="eastAsia" w:ascii="Times New Roman" w:hAnsi="Times New Roman"/>
          <w:caps w:val="0"/>
          <w:color w:val="000000"/>
          <w:sz w:val="24"/>
          <w:szCs w:val="24"/>
          <w:highlight w:val="none"/>
        </w:rPr>
      </w:r>
      <w:r/>
    </w:p>
    <w:p>
      <w:pPr>
        <w:pStyle w:val="680"/>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6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680"/>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680"/>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769"/>
        <w:ind w:left="420"/>
        <w:spacing w:before="0" w:after="0" w:line="420" w:lineRule="exact"/>
        <w:rPr>
          <w:rFonts w:hint="eastAsia" w:ascii="Times New Roman" w:hAnsi="Times New Roman"/>
          <w:caps w:val="0"/>
          <w:color w:val="000000"/>
          <w:szCs w:val="21"/>
          <w:highlight w:val="none"/>
        </w:rPr>
      </w:pPr>
      <w:r>
        <w:rPr>
          <w:rFonts w:hint="eastAsia" w:ascii="Times New Roman" w:hAnsi="Times New Roman"/>
          <w:caps w:val="0"/>
          <w:color w:val="000000"/>
          <w:szCs w:val="21"/>
          <w:highlight w:val="none"/>
        </w:rPr>
      </w:r>
      <w:r/>
    </w:p>
    <w:p>
      <w:pPr>
        <w:pStyle w:val="680"/>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680"/>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680"/>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680"/>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680"/>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680"/>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6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六、投标报价明细表</w:t>
      </w:r>
      <w:r>
        <w:rPr>
          <w:rFonts w:hint="eastAsia" w:ascii="Times New Roman" w:hAnsi="Times New Roman" w:eastAsia="宋体" w:cs="Times New Roman"/>
          <w:b/>
          <w:caps w:val="0"/>
          <w:color w:val="000000"/>
          <w:sz w:val="32"/>
          <w:szCs w:val="32"/>
          <w:highlight w:val="none"/>
          <w:lang w:val="en-US" w:eastAsia="zh-CN" w:bidi="ar-SA"/>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036"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66"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414"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84"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980"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727"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372"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46"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r>
      <w:tr>
        <w:trPr>
          <w:cantSplit/>
          <w:trHeight w:val="294"/>
        </w:trPr>
        <w:tc>
          <w:tcPr>
            <w:tcW w:w="556"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036"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66"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980"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727"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372"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1246"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r>
      <w:tr>
        <w:trPr>
          <w:cantSplit/>
          <w:trHeight w:val="696"/>
        </w:trPr>
        <w:tc>
          <w:tcPr>
            <w:tcW w:w="556"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036"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036"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pStyle w:val="68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036"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pStyle w:val="680"/>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036" w:type="dxa"/>
            <w:vAlign w:val="center"/>
            <w:textDirection w:val="lrTb"/>
            <w:noWrap w:val="false"/>
          </w:tcPr>
          <w:p>
            <w:pPr>
              <w:pStyle w:val="680"/>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966"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6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68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246" w:type="dxa"/>
            <w:vAlign w:val="top"/>
            <w:textDirection w:val="lrTb"/>
            <w:noWrap w:val="false"/>
          </w:tcPr>
          <w:p>
            <w:pPr>
              <w:pStyle w:val="680"/>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80"/>
        <w:rPr>
          <w:rFonts w:hint="eastAsia" w:ascii="宋体" w:hAnsi="宋体"/>
          <w:color w:val="000000"/>
          <w:sz w:val="24"/>
          <w:szCs w:val="21"/>
          <w:highlight w:val="none"/>
        </w:rPr>
      </w:pPr>
      <w:r>
        <w:rPr>
          <w:rFonts w:hint="eastAsia" w:ascii="宋体" w:hAnsi="宋体"/>
          <w:color w:val="000000"/>
          <w:sz w:val="24"/>
          <w:szCs w:val="24"/>
          <w:highlight w:val="none"/>
        </w:rPr>
        <w:t xml:space="preserve">备注：1.</w:t>
      </w:r>
      <w:r>
        <w:rPr>
          <w:rFonts w:hint="eastAsia" w:ascii="宋体" w:hAnsi="宋体"/>
          <w:color w:val="000000"/>
          <w:sz w:val="24"/>
          <w:szCs w:val="24"/>
          <w:highlight w:val="none"/>
        </w:rPr>
        <w:t xml:space="preserve">投标报价</w:t>
      </w:r>
      <w:r>
        <w:rPr>
          <w:rFonts w:hint="eastAsia" w:ascii="宋体" w:hAnsi="宋体"/>
          <w:color w:val="000000"/>
          <w:sz w:val="24"/>
          <w:highlight w:val="none"/>
        </w:rPr>
        <w:t xml:space="preserve">采用</w:t>
      </w:r>
      <w:r>
        <w:rPr>
          <w:rFonts w:hint="eastAsia" w:ascii="宋体" w:hAnsi="宋体"/>
          <w:color w:val="000000"/>
          <w:sz w:val="24"/>
          <w:highlight w:val="none"/>
          <w:lang w:val="en-US" w:eastAsia="zh-CN"/>
        </w:rPr>
        <w:t xml:space="preserve">总价报价</w:t>
      </w:r>
      <w:r>
        <w:rPr>
          <w:rFonts w:hint="eastAsia" w:ascii="宋体" w:hAnsi="宋体"/>
          <w:color w:val="000000"/>
          <w:sz w:val="24"/>
          <w:highlight w:val="none"/>
        </w:rPr>
        <w:t xml:space="preserve">方式</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80"/>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682"/>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highlight w:val="none"/>
        </w:rPr>
        <w:outlineLvl w:val="9"/>
      </w:pPr>
      <w:r>
        <w:rPr>
          <w:rFonts w:ascii="Times New Roman" w:hAnsi="Times New Roman" w:eastAsia="宋体" w:cs="宋体"/>
          <w:caps w:val="0"/>
          <w:strike/>
          <w:color w:val="000000"/>
          <w:sz w:val="32"/>
          <w:szCs w:val="32"/>
          <w:highlight w:val="none"/>
          <w:lang w:val="en-US" w:eastAsia="zh-CN"/>
        </w:rPr>
        <w:br w:type="page" w:clear="all"/>
      </w:r>
      <w:r>
        <w:rPr>
          <w:rFonts w:hint="eastAsia" w:ascii="Times New Roman" w:hAnsi="Times New Roman" w:eastAsia="宋体" w:cs="宋体"/>
          <w:caps w:val="0"/>
          <w:strike w:val="0"/>
          <w:color w:val="000000"/>
          <w:sz w:val="32"/>
          <w:szCs w:val="32"/>
          <w:highlight w:val="none"/>
          <w:lang w:val="en-US" w:eastAsia="zh-CN"/>
        </w:rPr>
        <w:t xml:space="preserve">七</w:t>
      </w:r>
      <w:r>
        <w:rPr>
          <w:rFonts w:hint="eastAsia" w:ascii="Times New Roman" w:hAnsi="Times New Roman" w:eastAsia="黑体"/>
          <w:b w:val="0"/>
          <w:caps w:val="0"/>
          <w:strike w:val="0"/>
          <w:color w:val="000000"/>
          <w:sz w:val="32"/>
          <w:szCs w:val="32"/>
          <w:highlight w:val="none"/>
        </w:rPr>
        <w:t xml:space="preserve">、</w:t>
      </w:r>
      <w:r>
        <w:rPr>
          <w:rFonts w:hint="eastAsia" w:ascii="Times New Roman" w:hAnsi="Times New Roman" w:eastAsia="黑体" w:cs="Times New Roman"/>
          <w:caps w:val="0"/>
          <w:color w:val="000000"/>
          <w:sz w:val="32"/>
          <w:szCs w:val="32"/>
          <w:highlight w:val="none"/>
          <w:lang w:val="en-US" w:eastAsia="zh-CN"/>
        </w:rPr>
        <w:t xml:space="preserve">中小（微）企业声明函</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货物</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rPr>
      </w:r>
      <w:r/>
    </w:p>
    <w:p>
      <w:pPr>
        <w:pStyle w:val="812"/>
        <w:jc w:val="center"/>
        <w:rPr>
          <w:rStyle w:val="690"/>
          <w:rFonts w:ascii="Times New Roman" w:hAnsi="Times New Roman" w:eastAsia="宋体" w:cs="Times New Roman"/>
          <w:b/>
          <w:caps w:val="0"/>
          <w:color w:val="000000"/>
          <w:sz w:val="36"/>
          <w:szCs w:val="36"/>
          <w:highlight w:val="none"/>
          <w:lang w:val="en-US" w:eastAsia="zh-CN" w:bidi="ar-SA"/>
        </w:rPr>
      </w:pPr>
      <w:r>
        <w:rPr>
          <w:rStyle w:val="690"/>
          <w:rFonts w:hint="eastAsia" w:ascii="Times New Roman" w:hAnsi="Times New Roman" w:eastAsia="宋体" w:cs="Times New Roman"/>
          <w:b/>
          <w:caps w:val="0"/>
          <w:color w:val="000000"/>
          <w:sz w:val="36"/>
          <w:szCs w:val="36"/>
          <w:highlight w:val="none"/>
          <w:lang w:val="en-US" w:eastAsia="zh-CN" w:bidi="ar-SA"/>
        </w:rPr>
        <w:t xml:space="preserve">中小（微）企业声明函（货物）</w:t>
      </w:r>
      <w:r>
        <w:rPr>
          <w:rStyle w:val="690"/>
          <w:rFonts w:ascii="Times New Roman" w:hAnsi="Times New Roman" w:eastAsia="宋体" w:cs="Times New Roman"/>
          <w:b/>
          <w:caps w:val="0"/>
          <w:color w:val="000000"/>
          <w:sz w:val="36"/>
          <w:szCs w:val="36"/>
          <w:highlight w:val="none"/>
          <w:lang w:val="en-US" w:eastAsia="zh-CN" w:bidi="ar-SA"/>
        </w:rPr>
      </w:r>
      <w:r/>
    </w:p>
    <w:p>
      <w:pPr>
        <w:pStyle w:val="812"/>
        <w:jc w:val="left"/>
        <w:rPr>
          <w:rStyle w:val="690"/>
          <w:rFonts w:ascii="Times New Roman" w:hAnsi="Times New Roman" w:eastAsia="宋体" w:cs="Times New Roman"/>
          <w:b/>
          <w:caps w:val="0"/>
          <w:color w:val="000000"/>
          <w:sz w:val="32"/>
          <w:szCs w:val="32"/>
          <w:highlight w:val="none"/>
          <w:lang w:val="en-US" w:eastAsia="zh-CN" w:bidi="ar-SA"/>
        </w:rPr>
      </w:pPr>
      <w:r>
        <w:rPr>
          <w:rStyle w:val="690"/>
          <w:rFonts w:ascii="Times New Roman" w:hAnsi="Times New Roman" w:eastAsia="宋体" w:cs="Times New Roman"/>
          <w:b/>
          <w:caps w:val="0"/>
          <w:color w:val="000000"/>
          <w:sz w:val="32"/>
          <w:szCs w:val="32"/>
          <w:highlight w:val="none"/>
          <w:lang w:val="en-US" w:eastAsia="zh-CN" w:bidi="ar-SA"/>
        </w:rPr>
      </w:r>
      <w:r/>
    </w:p>
    <w:p>
      <w:pPr>
        <w:pStyle w:val="812"/>
        <w:ind w:firstLine="480"/>
        <w:jc w:val="left"/>
        <w:spacing w:line="500" w:lineRule="exact"/>
        <w:rPr>
          <w:rStyle w:val="690"/>
          <w:rFonts w:hint="eastAsia" w:ascii="Times New Roman" w:hAnsi="Times New Roman" w:eastAsia="宋体" w:cs="宋体"/>
          <w:caps w:val="0"/>
          <w:color w:val="000000"/>
          <w:sz w:val="24"/>
          <w:szCs w:val="24"/>
          <w:highlight w:val="none"/>
          <w:lang w:val="en-US" w:eastAsia="zh-CN" w:bidi="ar-SA"/>
        </w:rPr>
      </w:pPr>
      <w:r>
        <w:rPr>
          <w:rStyle w:val="690"/>
          <w:rFonts w:hint="eastAsia" w:ascii="Times New Roman" w:hAnsi="Times New Roman" w:eastAsia="宋体" w:cs="宋体"/>
          <w:caps w:val="0"/>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690"/>
          <w:rFonts w:hint="eastAsia" w:ascii="Times New Roman" w:hAnsi="Times New Roman" w:eastAsia="宋体" w:cs="宋体"/>
          <w:caps w:val="0"/>
          <w:color w:val="000000"/>
          <w:sz w:val="24"/>
          <w:szCs w:val="24"/>
          <w:highlight w:val="none"/>
          <w:u w:val="single"/>
          <w:lang w:val="en-US" w:eastAsia="zh-CN" w:bidi="ar-SA"/>
        </w:rPr>
        <w:t xml:space="preserve"> 单位名称  </w:t>
      </w:r>
      <w:r>
        <w:rPr>
          <w:rStyle w:val="690"/>
          <w:rFonts w:hint="eastAsia" w:ascii="Times New Roman" w:hAnsi="Times New Roman" w:eastAsia="宋体" w:cs="宋体"/>
          <w:caps w:val="0"/>
          <w:color w:val="000000"/>
          <w:sz w:val="24"/>
          <w:szCs w:val="24"/>
          <w:highlight w:val="none"/>
          <w:lang w:val="en-US" w:eastAsia="zh-CN" w:bidi="ar-SA"/>
        </w:rPr>
        <w:t xml:space="preserve">的（</w:t>
      </w:r>
      <w:r>
        <w:rPr>
          <w:rStyle w:val="690"/>
          <w:rFonts w:hint="eastAsia" w:ascii="Times New Roman" w:hAnsi="Times New Roman" w:eastAsia="宋体" w:cs="宋体"/>
          <w:caps w:val="0"/>
          <w:color w:val="000000"/>
          <w:sz w:val="24"/>
          <w:szCs w:val="24"/>
          <w:highlight w:val="none"/>
          <w:u w:val="single"/>
          <w:lang w:val="en-US" w:eastAsia="zh-CN" w:bidi="ar-SA"/>
        </w:rPr>
        <w:t xml:space="preserve">项目名称）</w:t>
      </w:r>
      <w:r>
        <w:rPr>
          <w:rStyle w:val="690"/>
          <w:rFonts w:hint="eastAsia" w:ascii="Times New Roman" w:hAnsi="Times New Roman" w:eastAsia="宋体" w:cs="宋体"/>
          <w:caps w:val="0"/>
          <w:color w:val="000000"/>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rStyle w:val="690"/>
          <w:rFonts w:hint="eastAsia" w:ascii="Times New Roman" w:hAnsi="Times New Roman" w:eastAsia="宋体" w:cs="宋体"/>
          <w:caps w:val="0"/>
          <w:color w:val="000000"/>
          <w:sz w:val="24"/>
          <w:szCs w:val="24"/>
          <w:highlight w:val="none"/>
          <w:lang w:val="en-US" w:eastAsia="zh-CN" w:bidi="ar-SA"/>
        </w:rPr>
      </w:r>
      <w:r/>
    </w:p>
    <w:p>
      <w:pPr>
        <w:pStyle w:val="812"/>
        <w:ind w:firstLine="480"/>
        <w:jc w:val="left"/>
        <w:spacing w:line="500" w:lineRule="exact"/>
        <w:rPr>
          <w:rStyle w:val="690"/>
          <w:rFonts w:hint="eastAsia" w:ascii="Times New Roman" w:hAnsi="Times New Roman" w:eastAsia="宋体" w:cs="宋体"/>
          <w:caps w:val="0"/>
          <w:color w:val="000000"/>
          <w:sz w:val="24"/>
          <w:szCs w:val="24"/>
          <w:highlight w:val="none"/>
          <w:u w:val="single"/>
          <w:lang w:val="en-US" w:eastAsia="zh-CN" w:bidi="ar-SA"/>
        </w:rPr>
      </w:pPr>
      <w:r>
        <w:rPr>
          <w:rStyle w:val="690"/>
          <w:rFonts w:hint="eastAsia" w:ascii="Times New Roman" w:hAnsi="Times New Roman" w:eastAsia="宋体" w:cs="宋体"/>
          <w:caps w:val="0"/>
          <w:color w:val="000000"/>
          <w:sz w:val="24"/>
          <w:szCs w:val="24"/>
          <w:highlight w:val="none"/>
          <w:lang w:val="en-US" w:eastAsia="zh-CN" w:bidi="ar-SA"/>
        </w:rPr>
        <w:t xml:space="preserve">1. </w:t>
      </w:r>
      <w:r>
        <w:rPr>
          <w:rStyle w:val="690"/>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690"/>
          <w:rFonts w:hint="eastAsia" w:ascii="Times New Roman" w:hAnsi="Times New Roman" w:eastAsia="宋体" w:cs="宋体"/>
          <w:caps w:val="0"/>
          <w:color w:val="000000"/>
          <w:sz w:val="24"/>
          <w:szCs w:val="24"/>
          <w:highlight w:val="none"/>
          <w:lang w:val="en-US" w:eastAsia="zh-CN" w:bidi="ar-SA"/>
        </w:rPr>
        <w:t xml:space="preserve">，属于（</w:t>
      </w:r>
      <w:r>
        <w:rPr>
          <w:rStyle w:val="690"/>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690"/>
          <w:rFonts w:hint="eastAsia" w:ascii="Times New Roman" w:hAnsi="Times New Roman" w:eastAsia="宋体" w:cs="宋体"/>
          <w:caps w:val="0"/>
          <w:color w:val="000000"/>
          <w:sz w:val="24"/>
          <w:szCs w:val="24"/>
          <w:highlight w:val="none"/>
          <w:u w:val="single"/>
          <w:lang w:val="en-US" w:eastAsia="zh-CN" w:bidi="ar-SA"/>
        </w:rPr>
        <w:t xml:space="preserve">行业</w:t>
      </w:r>
      <w:r>
        <w:rPr>
          <w:rStyle w:val="690"/>
          <w:rFonts w:hint="eastAsia" w:ascii="Times New Roman" w:hAnsi="Times New Roman" w:eastAsia="宋体" w:cs="宋体"/>
          <w:caps w:val="0"/>
          <w:color w:val="000000"/>
          <w:sz w:val="24"/>
          <w:szCs w:val="24"/>
          <w:highlight w:val="none"/>
          <w:lang w:val="en-US" w:eastAsia="zh-CN" w:bidi="ar-SA"/>
        </w:rPr>
        <w:t xml:space="preserve">；制造商为</w:t>
      </w:r>
      <w:r>
        <w:rPr>
          <w:rStyle w:val="690"/>
          <w:rFonts w:hint="eastAsia" w:ascii="Times New Roman" w:hAnsi="Times New Roman" w:eastAsia="宋体" w:cs="宋体"/>
          <w:caps w:val="0"/>
          <w:color w:val="000000"/>
          <w:sz w:val="24"/>
          <w:szCs w:val="24"/>
          <w:highlight w:val="none"/>
          <w:u w:val="single"/>
          <w:lang w:val="en-US" w:eastAsia="zh-CN" w:bidi="ar-SA"/>
        </w:rPr>
        <w:t xml:space="preserve">（企业名称）</w:t>
      </w:r>
      <w:r>
        <w:rPr>
          <w:rStyle w:val="690"/>
          <w:rFonts w:hint="eastAsia" w:ascii="Times New Roman" w:hAnsi="Times New Roman" w:eastAsia="宋体" w:cs="宋体"/>
          <w:caps w:val="0"/>
          <w:color w:val="000000"/>
          <w:sz w:val="24"/>
          <w:szCs w:val="24"/>
          <w:highlight w:val="none"/>
          <w:lang w:val="en-US" w:eastAsia="zh-CN" w:bidi="ar-SA"/>
        </w:rPr>
        <w:t xml:space="preserve">，从业人员</w:t>
      </w:r>
      <w:r>
        <w:rPr>
          <w:rStyle w:val="690"/>
          <w:rFonts w:hint="eastAsia" w:ascii="Times New Roman" w:hAnsi="Times New Roman" w:eastAsia="宋体" w:cs="宋体"/>
          <w:caps w:val="0"/>
          <w:color w:val="000000"/>
          <w:sz w:val="24"/>
          <w:szCs w:val="24"/>
          <w:highlight w:val="none"/>
          <w:u w:val="single"/>
          <w:lang w:val="en-US" w:eastAsia="zh-CN" w:bidi="ar-SA"/>
        </w:rPr>
        <w:t xml:space="preserve">   </w:t>
      </w:r>
      <w:r>
        <w:rPr>
          <w:rStyle w:val="690"/>
          <w:rFonts w:hint="eastAsia" w:ascii="Times New Roman" w:hAnsi="Times New Roman" w:eastAsia="宋体" w:cs="宋体"/>
          <w:caps w:val="0"/>
          <w:color w:val="000000"/>
          <w:sz w:val="24"/>
          <w:szCs w:val="24"/>
          <w:highlight w:val="none"/>
          <w:lang w:val="en-US" w:eastAsia="zh-CN" w:bidi="ar-SA"/>
        </w:rPr>
        <w:t xml:space="preserve">人，营业收入为 </w:t>
      </w:r>
      <w:r>
        <w:rPr>
          <w:rStyle w:val="690"/>
          <w:rFonts w:hint="eastAsia" w:ascii="Times New Roman" w:hAnsi="Times New Roman" w:eastAsia="宋体" w:cs="宋体"/>
          <w:caps w:val="0"/>
          <w:color w:val="000000"/>
          <w:sz w:val="24"/>
          <w:szCs w:val="24"/>
          <w:highlight w:val="none"/>
          <w:u w:val="single"/>
          <w:lang w:val="en-US" w:eastAsia="zh-CN" w:bidi="ar-SA"/>
        </w:rPr>
        <w:t xml:space="preserve">   </w:t>
      </w:r>
      <w:r>
        <w:rPr>
          <w:rStyle w:val="690"/>
          <w:rFonts w:hint="eastAsia" w:ascii="Times New Roman" w:hAnsi="Times New Roman" w:eastAsia="宋体" w:cs="宋体"/>
          <w:caps w:val="0"/>
          <w:color w:val="000000"/>
          <w:sz w:val="24"/>
          <w:szCs w:val="24"/>
          <w:highlight w:val="none"/>
          <w:lang w:val="en-US" w:eastAsia="zh-CN" w:bidi="ar-SA"/>
        </w:rPr>
        <w:t xml:space="preserve">万元，资产总额为</w:t>
      </w:r>
      <w:r>
        <w:rPr>
          <w:rStyle w:val="690"/>
          <w:rFonts w:hint="eastAsia" w:ascii="Times New Roman" w:hAnsi="Times New Roman" w:eastAsia="宋体" w:cs="宋体"/>
          <w:caps w:val="0"/>
          <w:color w:val="000000"/>
          <w:sz w:val="24"/>
          <w:szCs w:val="24"/>
          <w:highlight w:val="none"/>
          <w:u w:val="single"/>
          <w:lang w:val="en-US" w:eastAsia="zh-CN" w:bidi="ar-SA"/>
        </w:rPr>
        <w:t xml:space="preserve">  </w:t>
      </w:r>
      <w:r>
        <w:rPr>
          <w:rStyle w:val="690"/>
          <w:rFonts w:hint="eastAsia" w:ascii="Times New Roman" w:hAnsi="Times New Roman" w:eastAsia="宋体" w:cs="宋体"/>
          <w:caps w:val="0"/>
          <w:color w:val="000000"/>
          <w:sz w:val="24"/>
          <w:szCs w:val="24"/>
          <w:highlight w:val="none"/>
          <w:lang w:val="en-US" w:eastAsia="zh-CN" w:bidi="ar-SA"/>
        </w:rPr>
        <w:t xml:space="preserve">万元</w:t>
      </w:r>
      <w:r>
        <w:rPr>
          <w:rStyle w:val="690"/>
          <w:rFonts w:hint="eastAsia" w:ascii="Times New Roman" w:hAnsi="Times New Roman" w:eastAsia="宋体" w:cs="宋体"/>
          <w:caps w:val="0"/>
          <w:color w:val="000000"/>
          <w:sz w:val="24"/>
          <w:szCs w:val="24"/>
          <w:highlight w:val="none"/>
          <w:vertAlign w:val="superscript"/>
          <w:lang w:val="en-US" w:eastAsia="zh-CN" w:bidi="ar-SA"/>
        </w:rPr>
        <w:t xml:space="preserve">1</w:t>
      </w:r>
      <w:r>
        <w:rPr>
          <w:rStyle w:val="690"/>
          <w:rFonts w:hint="eastAsia" w:ascii="Times New Roman" w:hAnsi="Times New Roman" w:eastAsia="宋体" w:cs="宋体"/>
          <w:caps w:val="0"/>
          <w:color w:val="000000"/>
          <w:sz w:val="24"/>
          <w:szCs w:val="24"/>
          <w:highlight w:val="none"/>
          <w:lang w:val="en-US" w:eastAsia="zh-CN" w:bidi="ar-SA"/>
        </w:rPr>
        <w:t xml:space="preserve">，属于</w:t>
      </w:r>
      <w:r>
        <w:rPr>
          <w:rStyle w:val="690"/>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rStyle w:val="690"/>
          <w:rFonts w:hint="eastAsia" w:ascii="Times New Roman" w:hAnsi="Times New Roman" w:eastAsia="宋体" w:cs="宋体"/>
          <w:caps w:val="0"/>
          <w:color w:val="000000"/>
          <w:sz w:val="24"/>
          <w:szCs w:val="24"/>
          <w:highlight w:val="none"/>
          <w:u w:val="single"/>
          <w:lang w:val="en-US" w:eastAsia="zh-CN" w:bidi="ar-SA"/>
        </w:rPr>
      </w:r>
      <w:r/>
    </w:p>
    <w:p>
      <w:pPr>
        <w:pStyle w:val="812"/>
        <w:ind w:firstLine="480"/>
        <w:jc w:val="left"/>
        <w:spacing w:line="500" w:lineRule="exact"/>
        <w:rPr>
          <w:rStyle w:val="690"/>
          <w:rFonts w:hint="eastAsia" w:ascii="Times New Roman" w:hAnsi="Times New Roman" w:eastAsia="宋体" w:cs="宋体"/>
          <w:caps w:val="0"/>
          <w:color w:val="000000"/>
          <w:sz w:val="24"/>
          <w:szCs w:val="24"/>
          <w:highlight w:val="none"/>
          <w:u w:val="single"/>
          <w:lang w:val="en-US" w:eastAsia="zh-CN" w:bidi="ar-SA"/>
        </w:rPr>
      </w:pPr>
      <w:r>
        <w:rPr>
          <w:rStyle w:val="690"/>
          <w:rFonts w:hint="eastAsia" w:ascii="Times New Roman" w:hAnsi="Times New Roman" w:eastAsia="宋体" w:cs="宋体"/>
          <w:caps w:val="0"/>
          <w:color w:val="000000"/>
          <w:sz w:val="24"/>
          <w:szCs w:val="24"/>
          <w:highlight w:val="none"/>
          <w:lang w:val="en-US" w:eastAsia="zh-CN" w:bidi="ar-SA"/>
        </w:rPr>
        <w:t xml:space="preserve">2. </w:t>
      </w:r>
      <w:r>
        <w:rPr>
          <w:rStyle w:val="690"/>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690"/>
          <w:rFonts w:hint="eastAsia" w:ascii="Times New Roman" w:hAnsi="Times New Roman" w:eastAsia="宋体" w:cs="宋体"/>
          <w:caps w:val="0"/>
          <w:color w:val="000000"/>
          <w:sz w:val="24"/>
          <w:szCs w:val="24"/>
          <w:highlight w:val="none"/>
          <w:lang w:val="en-US" w:eastAsia="zh-CN" w:bidi="ar-SA"/>
        </w:rPr>
        <w:t xml:space="preserve">，属于（</w:t>
      </w:r>
      <w:r>
        <w:rPr>
          <w:rStyle w:val="690"/>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690"/>
          <w:rFonts w:hint="eastAsia" w:ascii="Times New Roman" w:hAnsi="Times New Roman" w:eastAsia="宋体" w:cs="宋体"/>
          <w:caps w:val="0"/>
          <w:color w:val="000000"/>
          <w:sz w:val="24"/>
          <w:szCs w:val="24"/>
          <w:highlight w:val="none"/>
          <w:u w:val="single"/>
          <w:lang w:val="en-US" w:eastAsia="zh-CN" w:bidi="ar-SA"/>
        </w:rPr>
        <w:t xml:space="preserve">行业</w:t>
      </w:r>
      <w:r>
        <w:rPr>
          <w:rStyle w:val="690"/>
          <w:rFonts w:hint="eastAsia" w:ascii="Times New Roman" w:hAnsi="Times New Roman" w:eastAsia="宋体" w:cs="宋体"/>
          <w:caps w:val="0"/>
          <w:color w:val="000000"/>
          <w:sz w:val="24"/>
          <w:szCs w:val="24"/>
          <w:highlight w:val="none"/>
          <w:lang w:val="en-US" w:eastAsia="zh-CN" w:bidi="ar-SA"/>
        </w:rPr>
        <w:t xml:space="preserve">；制造商为</w:t>
      </w:r>
      <w:r>
        <w:rPr>
          <w:rStyle w:val="690"/>
          <w:rFonts w:hint="eastAsia" w:ascii="Times New Roman" w:hAnsi="Times New Roman" w:eastAsia="宋体" w:cs="宋体"/>
          <w:caps w:val="0"/>
          <w:color w:val="000000"/>
          <w:sz w:val="24"/>
          <w:szCs w:val="24"/>
          <w:highlight w:val="none"/>
          <w:u w:val="single"/>
          <w:lang w:val="en-US" w:eastAsia="zh-CN" w:bidi="ar-SA"/>
        </w:rPr>
        <w:t xml:space="preserve">（企业名称）        </w:t>
      </w:r>
      <w:r>
        <w:rPr>
          <w:rStyle w:val="690"/>
          <w:rFonts w:hint="eastAsia" w:ascii="Times New Roman" w:hAnsi="Times New Roman" w:eastAsia="宋体" w:cs="宋体"/>
          <w:caps w:val="0"/>
          <w:color w:val="000000"/>
          <w:sz w:val="24"/>
          <w:szCs w:val="24"/>
          <w:highlight w:val="none"/>
          <w:lang w:val="en-US" w:eastAsia="zh-CN" w:bidi="ar-SA"/>
        </w:rPr>
        <w:t xml:space="preserve">，从业人员</w:t>
      </w:r>
      <w:r>
        <w:rPr>
          <w:rStyle w:val="690"/>
          <w:rFonts w:hint="eastAsia" w:ascii="Times New Roman" w:hAnsi="Times New Roman" w:eastAsia="宋体" w:cs="宋体"/>
          <w:caps w:val="0"/>
          <w:color w:val="000000"/>
          <w:sz w:val="24"/>
          <w:szCs w:val="24"/>
          <w:highlight w:val="none"/>
          <w:u w:val="single"/>
          <w:lang w:val="en-US" w:eastAsia="zh-CN" w:bidi="ar-SA"/>
        </w:rPr>
        <w:t xml:space="preserve">   </w:t>
      </w:r>
      <w:r>
        <w:rPr>
          <w:rStyle w:val="690"/>
          <w:rFonts w:hint="eastAsia" w:ascii="Times New Roman" w:hAnsi="Times New Roman" w:eastAsia="宋体" w:cs="宋体"/>
          <w:caps w:val="0"/>
          <w:color w:val="000000"/>
          <w:sz w:val="24"/>
          <w:szCs w:val="24"/>
          <w:highlight w:val="none"/>
          <w:lang w:val="en-US" w:eastAsia="zh-CN" w:bidi="ar-SA"/>
        </w:rPr>
        <w:t xml:space="preserve">人，营业收入为 </w:t>
      </w:r>
      <w:r>
        <w:rPr>
          <w:rStyle w:val="690"/>
          <w:rFonts w:hint="eastAsia" w:ascii="Times New Roman" w:hAnsi="Times New Roman" w:eastAsia="宋体" w:cs="宋体"/>
          <w:caps w:val="0"/>
          <w:color w:val="000000"/>
          <w:sz w:val="24"/>
          <w:szCs w:val="24"/>
          <w:highlight w:val="none"/>
          <w:u w:val="single"/>
          <w:lang w:val="en-US" w:eastAsia="zh-CN" w:bidi="ar-SA"/>
        </w:rPr>
        <w:t xml:space="preserve">       </w:t>
      </w:r>
      <w:r>
        <w:rPr>
          <w:rStyle w:val="690"/>
          <w:rFonts w:hint="eastAsia" w:ascii="Times New Roman" w:hAnsi="Times New Roman" w:eastAsia="宋体" w:cs="宋体"/>
          <w:caps w:val="0"/>
          <w:color w:val="000000"/>
          <w:sz w:val="24"/>
          <w:szCs w:val="24"/>
          <w:highlight w:val="none"/>
          <w:lang w:val="en-US" w:eastAsia="zh-CN" w:bidi="ar-SA"/>
        </w:rPr>
        <w:t xml:space="preserve">万元，资产总额为</w:t>
      </w:r>
      <w:r>
        <w:rPr>
          <w:rStyle w:val="690"/>
          <w:rFonts w:hint="eastAsia" w:ascii="Times New Roman" w:hAnsi="Times New Roman" w:eastAsia="宋体" w:cs="宋体"/>
          <w:caps w:val="0"/>
          <w:color w:val="000000"/>
          <w:sz w:val="24"/>
          <w:szCs w:val="24"/>
          <w:highlight w:val="none"/>
          <w:u w:val="single"/>
          <w:lang w:val="en-US" w:eastAsia="zh-CN" w:bidi="ar-SA"/>
        </w:rPr>
        <w:t xml:space="preserve">        </w:t>
      </w:r>
      <w:r>
        <w:rPr>
          <w:rStyle w:val="690"/>
          <w:rFonts w:hint="eastAsia" w:ascii="Times New Roman" w:hAnsi="Times New Roman" w:eastAsia="宋体" w:cs="宋体"/>
          <w:caps w:val="0"/>
          <w:color w:val="000000"/>
          <w:sz w:val="24"/>
          <w:szCs w:val="24"/>
          <w:highlight w:val="none"/>
          <w:lang w:val="en-US" w:eastAsia="zh-CN" w:bidi="ar-SA"/>
        </w:rPr>
        <w:t xml:space="preserve">万元，属于</w:t>
      </w:r>
      <w:r>
        <w:rPr>
          <w:rStyle w:val="690"/>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rStyle w:val="690"/>
          <w:rFonts w:hint="eastAsia" w:ascii="Times New Roman" w:hAnsi="Times New Roman" w:eastAsia="宋体" w:cs="宋体"/>
          <w:caps w:val="0"/>
          <w:color w:val="000000"/>
          <w:sz w:val="24"/>
          <w:szCs w:val="24"/>
          <w:highlight w:val="none"/>
          <w:u w:val="single"/>
          <w:lang w:val="en-US" w:eastAsia="zh-CN" w:bidi="ar-SA"/>
        </w:rPr>
      </w:r>
      <w:r/>
    </w:p>
    <w:p>
      <w:pPr>
        <w:pStyle w:val="812"/>
        <w:ind w:firstLine="480"/>
        <w:jc w:val="left"/>
        <w:spacing w:line="500" w:lineRule="exact"/>
        <w:rPr>
          <w:rStyle w:val="690"/>
          <w:rFonts w:hint="eastAsia" w:ascii="Times New Roman" w:hAnsi="Times New Roman" w:eastAsia="宋体" w:cs="宋体"/>
          <w:caps w:val="0"/>
          <w:color w:val="000000"/>
          <w:sz w:val="24"/>
          <w:szCs w:val="24"/>
          <w:highlight w:val="none"/>
          <w:lang w:val="en-US" w:eastAsia="zh-CN" w:bidi="ar-SA"/>
        </w:rPr>
      </w:pPr>
      <w:r>
        <w:rPr>
          <w:rStyle w:val="690"/>
          <w:rFonts w:hint="eastAsia" w:ascii="Times New Roman" w:hAnsi="Times New Roman" w:eastAsia="宋体" w:cs="宋体"/>
          <w:caps w:val="0"/>
          <w:color w:val="000000"/>
          <w:sz w:val="24"/>
          <w:szCs w:val="24"/>
          <w:highlight w:val="none"/>
          <w:lang w:val="en-US" w:eastAsia="zh-CN" w:bidi="ar-SA"/>
        </w:rPr>
        <w:t xml:space="preserve">……</w:t>
      </w:r>
      <w:r>
        <w:rPr>
          <w:rStyle w:val="690"/>
          <w:rFonts w:hint="eastAsia" w:ascii="Times New Roman" w:hAnsi="Times New Roman" w:eastAsia="宋体" w:cs="宋体"/>
          <w:caps w:val="0"/>
          <w:color w:val="000000"/>
          <w:sz w:val="24"/>
          <w:szCs w:val="24"/>
          <w:highlight w:val="none"/>
          <w:lang w:val="en-US" w:eastAsia="zh-CN" w:bidi="ar-SA"/>
        </w:rPr>
      </w:r>
      <w:r/>
    </w:p>
    <w:p>
      <w:pPr>
        <w:pStyle w:val="812"/>
        <w:ind w:firstLine="480"/>
        <w:jc w:val="left"/>
        <w:spacing w:line="500" w:lineRule="exact"/>
        <w:rPr>
          <w:rStyle w:val="690"/>
          <w:rFonts w:hint="eastAsia" w:ascii="Times New Roman" w:hAnsi="Times New Roman" w:eastAsia="宋体" w:cs="宋体"/>
          <w:caps w:val="0"/>
          <w:color w:val="000000"/>
          <w:sz w:val="24"/>
          <w:szCs w:val="24"/>
          <w:highlight w:val="none"/>
          <w:lang w:val="en-US" w:eastAsia="zh-CN" w:bidi="ar-SA"/>
        </w:rPr>
      </w:pPr>
      <w:r>
        <w:rPr>
          <w:rStyle w:val="690"/>
          <w:rFonts w:hint="eastAsia" w:ascii="Times New Roman" w:hAnsi="Times New Roman" w:eastAsia="宋体" w:cs="宋体"/>
          <w:caps w:val="0"/>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rStyle w:val="690"/>
          <w:rFonts w:hint="eastAsia" w:ascii="Times New Roman" w:hAnsi="Times New Roman" w:eastAsia="宋体" w:cs="宋体"/>
          <w:caps w:val="0"/>
          <w:color w:val="000000"/>
          <w:sz w:val="24"/>
          <w:szCs w:val="24"/>
          <w:highlight w:val="none"/>
          <w:lang w:val="en-US" w:eastAsia="zh-CN" w:bidi="ar-SA"/>
        </w:rPr>
      </w:r>
      <w:r/>
    </w:p>
    <w:p>
      <w:pPr>
        <w:pStyle w:val="812"/>
        <w:ind w:firstLine="480"/>
        <w:jc w:val="left"/>
        <w:spacing w:line="500" w:lineRule="exact"/>
        <w:rPr>
          <w:rStyle w:val="690"/>
          <w:rFonts w:hint="eastAsia" w:ascii="Times New Roman" w:hAnsi="Times New Roman" w:eastAsia="宋体" w:cs="宋体"/>
          <w:caps w:val="0"/>
          <w:color w:val="000000"/>
          <w:sz w:val="24"/>
          <w:szCs w:val="24"/>
          <w:highlight w:val="none"/>
          <w:lang w:val="en-US" w:eastAsia="zh-CN" w:bidi="ar-SA"/>
        </w:rPr>
      </w:pPr>
      <w:r>
        <w:rPr>
          <w:rStyle w:val="690"/>
          <w:rFonts w:hint="eastAsia" w:ascii="Times New Roman" w:hAnsi="Times New Roman" w:eastAsia="宋体" w:cs="宋体"/>
          <w:caps w:val="0"/>
          <w:color w:val="000000"/>
          <w:sz w:val="24"/>
          <w:szCs w:val="24"/>
          <w:highlight w:val="none"/>
          <w:lang w:val="en-US" w:eastAsia="zh-CN" w:bidi="ar-SA"/>
        </w:rPr>
        <w:t xml:space="preserve">本企业对上述声明内容的真实性负责。如有虚假，将依法承担相应责任。</w:t>
      </w:r>
      <w:r>
        <w:rPr>
          <w:rStyle w:val="690"/>
          <w:rFonts w:hint="eastAsia" w:ascii="Times New Roman" w:hAnsi="Times New Roman" w:eastAsia="宋体" w:cs="宋体"/>
          <w:caps w:val="0"/>
          <w:color w:val="000000"/>
          <w:sz w:val="24"/>
          <w:szCs w:val="24"/>
          <w:highlight w:val="none"/>
          <w:lang w:val="en-US" w:eastAsia="zh-CN" w:bidi="ar-SA"/>
        </w:rPr>
      </w:r>
      <w:r/>
    </w:p>
    <w:p>
      <w:pPr>
        <w:pStyle w:val="680"/>
        <w:ind w:right="72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680"/>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680"/>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812"/>
        <w:ind w:firstLine="360"/>
        <w:spacing w:line="560" w:lineRule="exact"/>
        <w:rPr>
          <w:rStyle w:val="690"/>
          <w:rFonts w:ascii="Times New Roman" w:hAnsi="Times New Roman" w:eastAsia="宋体" w:cs="Times New Roman"/>
          <w:caps w:val="0"/>
          <w:color w:val="000000"/>
          <w:sz w:val="18"/>
          <w:szCs w:val="18"/>
          <w:highlight w:val="none"/>
          <w:lang w:val="en-US" w:eastAsia="zh-CN" w:bidi="ar-SA"/>
        </w:rPr>
      </w:pPr>
      <w:r>
        <w:rPr>
          <w:rStyle w:val="690"/>
          <w:rFonts w:hint="eastAsia" w:ascii="Times New Roman" w:hAnsi="Times New Roman" w:eastAsia="宋体" w:cs="Times New Roman"/>
          <w:caps w:val="0"/>
          <w:color w:val="000000"/>
          <w:sz w:val="18"/>
          <w:szCs w:val="18"/>
          <w:highlight w:val="none"/>
          <w:vertAlign w:val="superscript"/>
          <w:lang w:val="en-US" w:eastAsia="zh-CN" w:bidi="ar-SA"/>
        </w:rPr>
        <w:t xml:space="preserve">1</w:t>
      </w:r>
      <w:r>
        <w:rPr>
          <w:rStyle w:val="690"/>
          <w:rFonts w:hint="eastAsia" w:ascii="Times New Roman" w:hAnsi="Times New Roman" w:eastAsia="宋体" w:cs="Times New Roman"/>
          <w:caps w:val="0"/>
          <w:color w:val="000000"/>
          <w:sz w:val="18"/>
          <w:szCs w:val="18"/>
          <w:highlight w:val="none"/>
          <w:lang w:val="en-US" w:eastAsia="zh-CN" w:bidi="ar-SA"/>
        </w:rPr>
        <w:t xml:space="preserve">从业人员、营业收入、资产总额填报上一年数据，无上一年数据的新成立企业可不填报。</w:t>
      </w:r>
      <w:r>
        <w:rPr>
          <w:rStyle w:val="690"/>
          <w:rFonts w:ascii="Times New Roman" w:hAnsi="Times New Roman" w:eastAsia="宋体" w:cs="Times New Roman"/>
          <w:caps w:val="0"/>
          <w:color w:val="000000"/>
          <w:sz w:val="18"/>
          <w:szCs w:val="18"/>
          <w:highlight w:val="none"/>
          <w:lang w:val="en-US" w:eastAsia="zh-CN" w:bidi="ar-SA"/>
        </w:rPr>
      </w:r>
      <w:r/>
    </w:p>
    <w:p>
      <w:pPr>
        <w:pStyle w:val="680"/>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ascii="Times New Roman" w:hAnsi="Times New Roman" w:eastAsia="黑体"/>
          <w:b/>
          <w:caps w:val="0"/>
          <w:color w:val="000000"/>
          <w:sz w:val="32"/>
          <w:szCs w:val="32"/>
          <w:highlight w:val="none"/>
        </w:rPr>
        <w:br w:type="page" w:clear="all"/>
      </w:r>
      <w:r>
        <w:rPr>
          <w:rFonts w:hint="eastAsia" w:ascii="Times New Roman" w:hAnsi="Times New Roman" w:eastAsia="黑体" w:cs="Times New Roman"/>
          <w:i w:val="0"/>
          <w:iCs/>
          <w:caps w:val="0"/>
          <w:color w:val="000000"/>
          <w:sz w:val="32"/>
          <w:szCs w:val="32"/>
          <w:highlight w:val="none"/>
          <w:u w:val="none"/>
          <w:lang w:val="en-US" w:eastAsia="zh-CN"/>
        </w:rPr>
      </w:r>
      <w:r/>
    </w:p>
    <w:p>
      <w:pPr>
        <w:pStyle w:val="813"/>
        <w:jc w:val="center"/>
        <w:spacing w:before="151" w:after="151" w:line="600" w:lineRule="exact"/>
        <w:rPr>
          <w:rStyle w:val="690"/>
          <w:rFonts w:ascii="Times New Roman" w:hAnsi="Times New Roman" w:eastAsia="宋体" w:cs="Times New Roman"/>
          <w:b/>
          <w:bCs/>
          <w:caps w:val="0"/>
          <w:color w:val="000000"/>
          <w:sz w:val="32"/>
          <w:szCs w:val="32"/>
          <w:highlight w:val="none"/>
          <w:lang w:val="en-US" w:eastAsia="zh-CN" w:bidi="ar-SA"/>
        </w:rPr>
      </w:pPr>
      <w:r>
        <w:rPr>
          <w:rStyle w:val="690"/>
          <w:rFonts w:hint="eastAsia" w:ascii="Times New Roman" w:hAnsi="Times New Roman" w:eastAsia="宋体" w:cs="Times New Roman"/>
          <w:b/>
          <w:bCs/>
          <w:caps w:val="0"/>
          <w:color w:val="000000"/>
          <w:sz w:val="32"/>
          <w:szCs w:val="32"/>
          <w:highlight w:val="none"/>
          <w:lang w:val="en-US" w:eastAsia="zh-CN" w:bidi="ar-SA"/>
        </w:rPr>
        <w:t xml:space="preserve">残疾人福利性单位声明函</w:t>
      </w:r>
      <w:r>
        <w:rPr>
          <w:rStyle w:val="690"/>
          <w:rFonts w:ascii="Times New Roman" w:hAnsi="Times New Roman" w:eastAsia="宋体" w:cs="Times New Roman"/>
          <w:b/>
          <w:bCs/>
          <w:caps w:val="0"/>
          <w:color w:val="000000"/>
          <w:sz w:val="32"/>
          <w:szCs w:val="32"/>
          <w:highlight w:val="none"/>
          <w:lang w:val="en-US" w:eastAsia="zh-CN" w:bidi="ar-SA"/>
        </w:rPr>
      </w:r>
      <w:r/>
    </w:p>
    <w:p>
      <w:pPr>
        <w:pStyle w:val="814"/>
        <w:spacing w:line="588" w:lineRule="exact"/>
        <w:rPr>
          <w:rStyle w:val="690"/>
          <w:rFonts w:ascii="Times New Roman" w:hAnsi="Times New Roman" w:eastAsia="仿宋_GB2312" w:cs="Times New Roman"/>
          <w:b/>
          <w:caps w:val="0"/>
          <w:color w:val="000000"/>
          <w:spacing w:val="6"/>
          <w:sz w:val="30"/>
          <w:szCs w:val="30"/>
          <w:highlight w:val="none"/>
          <w:lang w:val="en-US" w:eastAsia="zh-CN" w:bidi="ar-SA"/>
        </w:rPr>
      </w:pPr>
      <w:r>
        <w:rPr>
          <w:rStyle w:val="690"/>
          <w:rFonts w:ascii="Times New Roman" w:hAnsi="Times New Roman" w:eastAsia="仿宋_GB2312" w:cs="Times New Roman"/>
          <w:b/>
          <w:caps w:val="0"/>
          <w:color w:val="000000"/>
          <w:spacing w:val="6"/>
          <w:sz w:val="30"/>
          <w:szCs w:val="30"/>
          <w:highlight w:val="none"/>
          <w:lang w:val="en-US" w:eastAsia="zh-CN" w:bidi="ar-SA"/>
        </w:rPr>
      </w:r>
      <w:r/>
    </w:p>
    <w:p>
      <w:pPr>
        <w:pStyle w:val="680"/>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的</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highlight w:val="none"/>
          <w:lang w:val="en-US" w:eastAsia="zh-CN"/>
        </w:rPr>
      </w:r>
      <w:r/>
    </w:p>
    <w:p>
      <w:pPr>
        <w:pStyle w:val="680"/>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本单位对上述声明的真实性负责。如有虚假，将依法承担相应责任。</w:t>
      </w:r>
      <w:r>
        <w:rPr>
          <w:rFonts w:hint="eastAsia" w:ascii="Times New Roman" w:hAnsi="Times New Roman" w:eastAsia="宋体" w:cs="Times New Roman"/>
          <w:caps w:val="0"/>
          <w:color w:val="000000"/>
          <w:sz w:val="24"/>
          <w:highlight w:val="none"/>
        </w:rPr>
      </w:r>
      <w:r/>
    </w:p>
    <w:p>
      <w:pPr>
        <w:pStyle w:val="680"/>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680"/>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（备注：1、</w:t>
      </w:r>
      <w:r>
        <w:rPr>
          <w:rFonts w:hint="eastAsia" w:ascii="Times New Roman" w:hAnsi="Times New Roman"/>
          <w:caps w:val="0"/>
          <w:color w:val="000000"/>
          <w:sz w:val="24"/>
          <w:highlight w:val="none"/>
          <w:lang w:eastAsia="zh-CN"/>
        </w:rPr>
        <w:t xml:space="preserve">投标人</w:t>
      </w:r>
      <w:r>
        <w:rPr>
          <w:rFonts w:hint="eastAsia" w:ascii="Times New Roman" w:hAnsi="Times New Roman"/>
          <w:caps w:val="0"/>
          <w:color w:val="000000"/>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r>
      <w:r/>
    </w:p>
    <w:p>
      <w:pPr>
        <w:pStyle w:val="680"/>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p>
    <w:p>
      <w:pPr>
        <w:pStyle w:val="800"/>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p>
    <w:p>
      <w:pPr>
        <w:pStyle w:val="680"/>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680"/>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680"/>
        <w:ind w:firstLine="482"/>
        <w:jc w:val="both"/>
        <w:spacing w:before="0" w:beforeAutospacing="0" w:after="0" w:afterAutospacing="0" w:line="400" w:lineRule="exact"/>
        <w:widowControl w:val="off"/>
        <w:rPr>
          <w:rFonts w:hint="eastAsia" w:ascii="Times New Roman" w:hAnsi="Times New Roman" w:eastAsia="宋体" w:cs="Times New Roman"/>
          <w:b/>
          <w:caps w:val="0"/>
          <w:color w:val="000000"/>
          <w:sz w:val="32"/>
          <w:szCs w:val="32"/>
          <w:highlight w:val="none"/>
          <w:lang w:val="en-US" w:eastAsia="zh-CN" w:bidi="ar-SA"/>
        </w:rPr>
      </w:pPr>
      <w:r>
        <w:rPr>
          <w:rFonts w:ascii="Times New Roman" w:hAnsi="Times New Roman" w:eastAsia="黑体"/>
          <w:b/>
          <w:caps w:val="0"/>
          <w:color w:val="000000"/>
          <w:sz w:val="32"/>
          <w:szCs w:val="32"/>
          <w:highlight w:val="none"/>
        </w:rPr>
        <w:br w:type="page" w:clear="all"/>
      </w:r>
      <w:r>
        <w:rPr>
          <w:rFonts w:hint="eastAsia" w:eastAsia="黑体"/>
          <w:b/>
          <w:caps w:val="0"/>
          <w:color w:val="000000"/>
          <w:sz w:val="32"/>
          <w:szCs w:val="32"/>
          <w:highlight w:val="none"/>
          <w:lang w:val="en-US" w:eastAsia="zh-CN"/>
        </w:rPr>
        <w:t xml:space="preserve">八</w:t>
      </w:r>
      <w:r>
        <w:rPr>
          <w:rFonts w:hint="eastAsia" w:ascii="Times New Roman" w:hAnsi="Times New Roman" w:eastAsia="宋体" w:cs="Times New Roman"/>
          <w:b/>
          <w:caps w:val="0"/>
          <w:color w:val="000000"/>
          <w:sz w:val="32"/>
          <w:szCs w:val="32"/>
          <w:highlight w:val="none"/>
          <w:lang w:val="en-US" w:eastAsia="zh-CN" w:bidi="ar-SA"/>
        </w:rPr>
        <w:t xml:space="preserve">、技术响应偏离表（技术参数响应）</w:t>
      </w:r>
      <w:r>
        <w:rPr>
          <w:rFonts w:hint="eastAsia" w:ascii="Times New Roman" w:hAnsi="Times New Roman" w:eastAsia="宋体" w:cs="Times New Roman"/>
          <w:b/>
          <w:caps w:val="0"/>
          <w:color w:val="000000"/>
          <w:sz w:val="32"/>
          <w:szCs w:val="32"/>
          <w:highlight w:val="none"/>
          <w:lang w:val="en-US" w:eastAsia="zh-CN" w:bidi="ar-SA"/>
        </w:rPr>
      </w:r>
      <w:r/>
    </w:p>
    <w:p>
      <w:pPr>
        <w:pStyle w:val="680"/>
        <w:ind w:firstLine="482"/>
        <w:jc w:val="both"/>
        <w:spacing w:before="0" w:beforeAutospacing="0" w:after="0" w:afterAutospacing="0" w:line="400" w:lineRule="exact"/>
        <w:widowControl w:val="off"/>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680"/>
              <w:jc w:val="center"/>
              <w:spacing w:before="100" w:line="559" w:lineRule="atLeast"/>
              <w:rPr>
                <w:rFonts w:hint="eastAsia" w:ascii="宋体" w:hAnsi="宋体" w:eastAsia="宋体" w:cs="仿宋"/>
                <w:szCs w:val="22"/>
              </w:rPr>
            </w:pPr>
            <w:r>
              <w:rPr>
                <w:rFonts w:hint="eastAsia" w:ascii="宋体" w:hAnsi="宋体" w:eastAsia="宋体" w:cs="仿宋"/>
                <w:sz w:val="28"/>
                <w:szCs w:val="22"/>
              </w:rPr>
              <w:t xml:space="preserve">招标文件内容</w:t>
            </w:r>
            <w:r>
              <w:rPr>
                <w:rFonts w:hint="eastAsia" w:ascii="宋体" w:hAnsi="宋体" w:eastAsia="宋体" w:cs="仿宋"/>
                <w:szCs w:val="22"/>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680"/>
              <w:jc w:val="center"/>
              <w:spacing w:before="100" w:line="559" w:lineRule="atLeast"/>
              <w:rPr>
                <w:rFonts w:hint="eastAsia" w:ascii="宋体" w:hAnsi="宋体" w:eastAsia="宋体" w:cs="仿宋"/>
                <w:szCs w:val="22"/>
              </w:rPr>
            </w:pPr>
            <w:r>
              <w:rPr>
                <w:rFonts w:hint="eastAsia" w:ascii="宋体" w:hAnsi="宋体" w:eastAsia="宋体" w:cs="仿宋"/>
                <w:sz w:val="28"/>
                <w:szCs w:val="22"/>
              </w:rPr>
              <w:t xml:space="preserve">投标文件内容</w:t>
            </w:r>
            <w:r>
              <w:rPr>
                <w:rFonts w:hint="eastAsia" w:ascii="宋体" w:hAnsi="宋体" w:eastAsia="宋体" w:cs="仿宋"/>
                <w:szCs w:val="22"/>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680"/>
              <w:jc w:val="center"/>
              <w:spacing w:before="100" w:line="400" w:lineRule="exact"/>
              <w:rPr>
                <w:rFonts w:hint="eastAsia" w:ascii="宋体" w:hAnsi="宋体" w:eastAsia="宋体" w:cs="仿宋"/>
                <w:sz w:val="28"/>
                <w:szCs w:val="22"/>
              </w:rPr>
            </w:pPr>
            <w:r>
              <w:rPr>
                <w:rFonts w:hint="eastAsia" w:ascii="宋体" w:hAnsi="宋体" w:eastAsia="宋体" w:cs="仿宋"/>
                <w:sz w:val="28"/>
                <w:szCs w:val="22"/>
              </w:rPr>
              <w:t xml:space="preserve">偏离情况</w:t>
            </w:r>
            <w:r>
              <w:rPr>
                <w:rFonts w:hint="eastAsia" w:ascii="宋体" w:hAnsi="宋体" w:eastAsia="宋体" w:cs="仿宋"/>
                <w:sz w:val="28"/>
                <w:szCs w:val="22"/>
              </w:rPr>
            </w:r>
            <w:r/>
          </w:p>
          <w:p>
            <w:pPr>
              <w:pStyle w:val="680"/>
              <w:jc w:val="center"/>
              <w:spacing w:before="100" w:line="400" w:lineRule="exact"/>
              <w:rPr>
                <w:rFonts w:hint="eastAsia" w:ascii="宋体" w:hAnsi="宋体" w:eastAsia="宋体" w:cs="仿宋"/>
                <w:sz w:val="28"/>
                <w:szCs w:val="22"/>
              </w:rPr>
            </w:pPr>
            <w:r>
              <w:rPr>
                <w:rFonts w:hint="eastAsia" w:ascii="宋体" w:hAnsi="宋体" w:eastAsia="宋体" w:cs="仿宋"/>
                <w:sz w:val="28"/>
                <w:szCs w:val="22"/>
              </w:rPr>
              <w:t xml:space="preserve">（</w:t>
            </w:r>
            <w:r>
              <w:rPr>
                <w:rFonts w:ascii="宋体" w:hAnsi="宋体" w:eastAsia="宋体" w:cs="仿宋"/>
                <w:b/>
                <w:sz w:val="24"/>
                <w:szCs w:val="22"/>
              </w:rPr>
              <w:t xml:space="preserve">正偏离、负偏离、无偏离</w:t>
            </w:r>
            <w:r>
              <w:rPr>
                <w:rFonts w:hint="eastAsia" w:ascii="宋体" w:hAnsi="宋体" w:eastAsia="宋体" w:cs="仿宋"/>
                <w:sz w:val="28"/>
                <w:szCs w:val="22"/>
              </w:rPr>
              <w:t xml:space="preserve">）</w:t>
            </w:r>
            <w:r>
              <w:rPr>
                <w:rFonts w:hint="eastAsia" w:ascii="宋体" w:hAnsi="宋体" w:eastAsia="宋体" w:cs="仿宋"/>
                <w:sz w:val="28"/>
                <w:szCs w:val="22"/>
              </w:rPr>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680"/>
              <w:jc w:val="center"/>
              <w:spacing w:before="100" w:line="559" w:lineRule="atLeast"/>
              <w:rPr>
                <w:rFonts w:hint="eastAsia" w:ascii="宋体" w:hAnsi="宋体" w:eastAsia="宋体" w:cs="仿宋"/>
                <w:sz w:val="28"/>
                <w:szCs w:val="28"/>
              </w:rPr>
            </w:pPr>
            <w:r>
              <w:rPr>
                <w:rFonts w:hint="eastAsia" w:ascii="宋体" w:hAnsi="宋体" w:eastAsia="宋体" w:cs="仿宋"/>
                <w:sz w:val="28"/>
                <w:szCs w:val="22"/>
              </w:rPr>
              <w:t xml:space="preserve">偏离内容及说明</w:t>
            </w:r>
            <w:r>
              <w:rPr>
                <w:rFonts w:hint="eastAsia" w:ascii="宋体" w:hAnsi="宋体" w:eastAsia="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80"/>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80"/>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80"/>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80"/>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80"/>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80"/>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80"/>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80"/>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80"/>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80"/>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80"/>
              <w:jc w:val="center"/>
              <w:spacing w:line="559" w:lineRule="atLeast"/>
              <w:rPr>
                <w:rFonts w:hint="eastAsia" w:ascii="仿宋" w:hAnsi="仿宋" w:eastAsia="仿宋" w:cs="仿宋"/>
                <w:szCs w:val="22"/>
              </w:rPr>
            </w:pPr>
            <w:r>
              <w:rPr>
                <w:rFonts w:hint="eastAsia" w:ascii="仿宋" w:hAnsi="仿宋" w:eastAsia="仿宋" w:cs="仿宋"/>
                <w:sz w:val="24"/>
                <w:szCs w:val="22"/>
              </w:rPr>
              <w:t xml:space="preserve"> </w:t>
            </w:r>
            <w:r>
              <w:rPr>
                <w:rFonts w:hint="eastAsia" w:ascii="仿宋" w:hAnsi="仿宋" w:eastAsia="仿宋" w:cs="仿宋"/>
                <w:szCs w:val="22"/>
              </w:rPr>
            </w:r>
            <w:r/>
          </w:p>
        </w:tc>
      </w:tr>
    </w:tbl>
    <w:p>
      <w:pPr>
        <w:pStyle w:val="680"/>
        <w:ind w:firstLine="482"/>
        <w:jc w:val="both"/>
        <w:spacing w:before="0" w:beforeAutospacing="0" w:after="0" w:afterAutospacing="0" w:line="400" w:lineRule="exact"/>
        <w:widowControl w:val="off"/>
        <w:rPr>
          <w:rFonts w:hint="eastAsia" w:ascii="Times New Roman" w:hAnsi="Times New Roman" w:eastAsia="宋体" w:cs="仿宋"/>
          <w:b/>
          <w:bCs/>
          <w:sz w:val="24"/>
          <w:szCs w:val="28"/>
          <w:lang w:val="en-US" w:eastAsia="zh-CN" w:bidi="ar-SA"/>
        </w:rPr>
      </w:pPr>
      <w:r>
        <w:rPr>
          <w:rFonts w:hint="eastAsia" w:ascii="Times New Roman" w:hAnsi="Times New Roman" w:eastAsia="宋体" w:cs="仿宋"/>
          <w:b/>
          <w:bCs/>
          <w:sz w:val="24"/>
          <w:szCs w:val="28"/>
          <w:lang w:val="en-US" w:eastAsia="zh-CN" w:bidi="ar-SA"/>
        </w:rPr>
      </w:r>
      <w:r/>
    </w:p>
    <w:p>
      <w:pPr>
        <w:pStyle w:val="680"/>
        <w:ind w:firstLine="482"/>
        <w:jc w:val="both"/>
        <w:spacing w:before="0" w:beforeAutospacing="0" w:after="0" w:afterAutospacing="0" w:line="400" w:lineRule="exact"/>
        <w:widowControl w:val="off"/>
        <w:rPr>
          <w:rFonts w:ascii="Times New Roman" w:hAnsi="Times New Roman" w:eastAsia="宋体" w:cs="宋体"/>
          <w:b/>
          <w:bCs/>
          <w:sz w:val="24"/>
          <w:szCs w:val="20"/>
          <w:lang w:val="en-US" w:eastAsia="zh-CN" w:bidi="ar-SA"/>
        </w:rPr>
      </w:pPr>
      <w:r>
        <w:rPr>
          <w:rFonts w:hint="eastAsia" w:ascii="Times New Roman" w:hAnsi="Times New Roman" w:eastAsia="宋体" w:cs="仿宋"/>
          <w:b/>
          <w:bCs/>
          <w:sz w:val="24"/>
          <w:szCs w:val="28"/>
          <w:lang w:val="en-US" w:eastAsia="zh-CN" w:bidi="ar-SA"/>
        </w:rPr>
        <w:t xml:space="preserve">备注：</w:t>
      </w:r>
      <w:r>
        <w:rPr>
          <w:rFonts w:hint="eastAsia" w:ascii="Times New Roman" w:hAnsi="Times New Roman" w:eastAsia="宋体" w:cs="仿宋"/>
          <w:sz w:val="24"/>
          <w:szCs w:val="28"/>
          <w:lang w:val="en-US" w:eastAsia="zh-CN" w:bidi="ar-SA"/>
        </w:rPr>
        <w:t xml:space="preserve">1</w:t>
      </w:r>
      <w:bookmarkStart w:id="221" w:name="_Hlk187934629"/>
      <w:r>
        <w:rPr>
          <w:rFonts w:hint="eastAsia" w:ascii="Times New Roman" w:hAnsi="Times New Roman" w:eastAsia="宋体" w:cs="仿宋"/>
          <w:sz w:val="24"/>
          <w:szCs w:val="28"/>
          <w:lang w:val="en-US" w:eastAsia="zh-CN" w:bidi="ar-SA"/>
        </w:rPr>
        <w:t xml:space="preserve">.</w:t>
      </w:r>
      <w:r>
        <w:rPr>
          <w:rFonts w:hint="eastAsia" w:ascii="Times New Roman" w:hAnsi="Times New Roman" w:eastAsia="宋体" w:cs="宋体"/>
          <w:sz w:val="24"/>
          <w:szCs w:val="20"/>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sz w:val="24"/>
          <w:szCs w:val="20"/>
          <w:lang w:val="en-US" w:eastAsia="zh-CN" w:bidi="ar-SA"/>
        </w:rPr>
        <w:t xml:space="preserve">作无效响应处理。</w:t>
      </w:r>
      <w:r>
        <w:rPr>
          <w:rFonts w:ascii="Times New Roman" w:hAnsi="Times New Roman" w:eastAsia="宋体" w:cs="宋体"/>
          <w:b/>
          <w:bCs/>
          <w:sz w:val="24"/>
          <w:szCs w:val="20"/>
          <w:lang w:val="en-US" w:eastAsia="zh-CN" w:bidi="ar-SA"/>
        </w:rPr>
      </w:r>
      <w:r/>
    </w:p>
    <w:p>
      <w:pPr>
        <w:pStyle w:val="680"/>
        <w:ind w:firstLine="482"/>
        <w:jc w:val="both"/>
        <w:spacing w:before="0" w:beforeAutospacing="0" w:after="0" w:afterAutospacing="0" w:line="400" w:lineRule="exact"/>
        <w:widowControl w:val="off"/>
        <w:rPr>
          <w:rFonts w:hint="eastAsia" w:ascii="Times New Roman" w:hAnsi="Times New Roman" w:eastAsia="宋体" w:cs="宋体"/>
          <w:sz w:val="24"/>
          <w:szCs w:val="20"/>
          <w:lang w:val="en-US" w:eastAsia="zh-CN" w:bidi="ar-SA"/>
        </w:rPr>
      </w:pPr>
      <w:r>
        <w:rPr>
          <w:rFonts w:hint="eastAsia" w:ascii="Times New Roman" w:hAnsi="Times New Roman" w:eastAsia="宋体" w:cs="宋体"/>
          <w:sz w:val="24"/>
          <w:szCs w:val="20"/>
          <w:lang w:val="en-US" w:eastAsia="zh-CN" w:bidi="ar-SA"/>
        </w:rPr>
        <w:t xml:space="preserve">2.对采购需求的其它非实质性要求，投标人按所投产品情况</w:t>
      </w:r>
      <w:r>
        <w:rPr>
          <w:rFonts w:ascii="Times New Roman" w:hAnsi="Times New Roman" w:eastAsia="宋体" w:cs="宋体"/>
          <w:sz w:val="24"/>
          <w:szCs w:val="20"/>
          <w:lang w:val="en-US" w:eastAsia="zh-CN" w:bidi="ar-SA"/>
        </w:rPr>
        <w:t xml:space="preserve">在此表中详细列出偏离情况（包括正偏离、负偏离、无偏离）并说明理由</w:t>
      </w:r>
      <w:r>
        <w:rPr>
          <w:rFonts w:hint="eastAsia" w:ascii="Times New Roman" w:hAnsi="Times New Roman" w:eastAsia="宋体" w:cs="宋体"/>
          <w:sz w:val="24"/>
          <w:szCs w:val="20"/>
          <w:lang w:val="en-US" w:eastAsia="zh-CN" w:bidi="ar-SA"/>
        </w:rPr>
        <w:t xml:space="preserve">；未列明的均视为未响应招标文件要求</w:t>
      </w:r>
      <w:r>
        <w:rPr>
          <w:rFonts w:ascii="Times New Roman" w:hAnsi="Times New Roman" w:eastAsia="宋体" w:cs="宋体"/>
          <w:sz w:val="24"/>
          <w:szCs w:val="20"/>
          <w:lang w:val="en-US" w:eastAsia="zh-CN" w:bidi="ar-SA"/>
        </w:rPr>
        <w:t xml:space="preserve">。</w:t>
      </w:r>
      <w:bookmarkEnd w:id="221"/>
      <w:r>
        <w:rPr>
          <w:rFonts w:hint="eastAsia" w:ascii="Times New Roman" w:hAnsi="Times New Roman" w:eastAsia="宋体" w:cs="宋体"/>
          <w:sz w:val="24"/>
          <w:szCs w:val="20"/>
          <w:lang w:val="en-US" w:eastAsia="zh-CN" w:bidi="ar-SA"/>
        </w:rPr>
      </w:r>
      <w:r/>
    </w:p>
    <w:p>
      <w:pPr>
        <w:pStyle w:val="680"/>
        <w:jc w:val="center"/>
        <w:rPr>
          <w:rFonts w:hint="eastAsia" w:ascii="Times New Roman" w:hAnsi="Times New Roman" w:eastAsia="黑体"/>
          <w:b/>
          <w:caps w:val="0"/>
          <w:color w:val="000000"/>
          <w:sz w:val="36"/>
          <w:highlight w:val="none"/>
        </w:rPr>
      </w:pPr>
      <w:r>
        <w:rPr>
          <w:rFonts w:hint="eastAsia" w:ascii="Times New Roman" w:hAnsi="Times New Roman" w:eastAsia="黑体"/>
          <w:b/>
          <w:caps w:val="0"/>
          <w:color w:val="000000"/>
          <w:sz w:val="36"/>
          <w:highlight w:val="none"/>
        </w:rPr>
      </w:r>
      <w:r/>
    </w:p>
    <w:p>
      <w:pPr>
        <w:pStyle w:val="803"/>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3"/>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br w:type="page" w:clear="all"/>
      </w:r>
      <w:r>
        <w:rPr>
          <w:rFonts w:hint="eastAsia" w:ascii="Times New Roman" w:hAnsi="Times New Roman"/>
          <w:caps w:val="0"/>
          <w:color w:val="000000"/>
          <w:highlight w:val="none"/>
          <w:lang w:val="en-US" w:eastAsia="zh-CN"/>
        </w:rPr>
        <w:t xml:space="preserve">九、</w:t>
      </w:r>
      <w:r>
        <w:rPr>
          <w:rFonts w:ascii="Times New Roman" w:hAnsi="Times New Roman"/>
          <w:caps w:val="0"/>
          <w:color w:val="000000"/>
          <w:highlight w:val="none"/>
        </w:rPr>
        <w:t xml:space="preserve">项目组人员</w:t>
      </w:r>
      <w:r>
        <w:rPr>
          <w:rFonts w:ascii="Times New Roman" w:hAnsi="Times New Roman"/>
          <w:caps w:val="0"/>
          <w:color w:val="000000"/>
          <w:highlight w:val="none"/>
        </w:rPr>
      </w:r>
      <w:r/>
    </w:p>
    <w:p>
      <w:pPr>
        <w:pStyle w:val="742"/>
        <w:jc w:val="center"/>
        <w:spacing w:line="600" w:lineRule="exact"/>
        <w:rPr>
          <w:rFonts w:ascii="Times New Roman" w:hAnsi="Times New Roman" w:cs="宋体"/>
          <w:b/>
          <w:bCs/>
          <w:caps w:val="0"/>
          <w:color w:val="000000"/>
          <w:sz w:val="32"/>
          <w:szCs w:val="32"/>
          <w:highlight w:val="none"/>
        </w:rPr>
      </w:pPr>
      <w:r>
        <w:rPr>
          <w:rFonts w:hint="eastAsia" w:ascii="Times New Roman" w:hAnsi="Times New Roman" w:cs="宋体"/>
          <w:b/>
          <w:bCs/>
          <w:caps w:val="0"/>
          <w:color w:val="000000"/>
          <w:sz w:val="32"/>
          <w:szCs w:val="32"/>
          <w:highlight w:val="none"/>
          <w:lang w:bidi="ar"/>
        </w:rPr>
        <w:t xml:space="preserve">项目组成员</w:t>
      </w:r>
      <w:r>
        <w:rPr>
          <w:rFonts w:ascii="Times New Roman" w:hAnsi="Times New Roman" w:cs="宋体"/>
          <w:b/>
          <w:bCs/>
          <w:caps w:val="0"/>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804"/>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姓名</w:t>
            </w: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04"/>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职务</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04"/>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学历</w:t>
            </w: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04"/>
              <w:ind w:firstLine="280"/>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身份证号</w:t>
            </w: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04"/>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相关证书</w:t>
            </w: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04"/>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备注</w:t>
            </w: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42"/>
              <w:jc w:val="center"/>
              <w:widowControl/>
              <w:rPr>
                <w:rFonts w:hint="eastAsia" w:ascii="Times New Roman" w:hAnsi="Times New Roman" w:eastAsia="仿宋_GB2312"/>
                <w:caps w:val="0"/>
                <w:color w:val="000000"/>
                <w:sz w:val="20"/>
                <w:szCs w:val="20"/>
                <w:highlight w:val="none"/>
                <w:lang w:val="en-US" w:eastAsia="zh-CN"/>
              </w:rPr>
              <w:framePr w:vAnchor="page" w:hAnchor="page" w:xAlign="center" w:y="74"/>
            </w:pPr>
            <w:r>
              <w:rPr>
                <w:rFonts w:hint="eastAsia" w:ascii="Times New Roman" w:hAnsi="Times New Roman" w:eastAsia="仿宋_GB2312" w:cs="仿宋_GB2312"/>
                <w:caps w:val="0"/>
                <w:color w:val="000000"/>
                <w:sz w:val="28"/>
                <w:szCs w:val="28"/>
                <w:highlight w:val="none"/>
                <w:lang w:bidi="ar"/>
              </w:rPr>
              <w:t xml:space="preserve">项目</w:t>
            </w:r>
            <w:r>
              <w:rPr>
                <w:rFonts w:hint="eastAsia" w:ascii="Times New Roman" w:hAnsi="Times New Roman" w:eastAsia="仿宋_GB2312" w:cs="仿宋_GB2312"/>
                <w:caps w:val="0"/>
                <w:color w:val="000000"/>
                <w:sz w:val="28"/>
                <w:szCs w:val="28"/>
                <w:highlight w:val="none"/>
                <w:lang w:val="en-US" w:eastAsia="zh-CN" w:bidi="ar"/>
              </w:rPr>
              <w:t xml:space="preserve">负责人</w:t>
            </w:r>
            <w:r>
              <w:rPr>
                <w:rFonts w:hint="eastAsia" w:ascii="Times New Roman" w:hAnsi="Times New Roman" w:eastAsia="仿宋_GB2312"/>
                <w:caps w:val="0"/>
                <w:color w:val="000000"/>
                <w:sz w:val="20"/>
                <w:szCs w:val="20"/>
                <w:highlight w:val="none"/>
                <w:lang w:val="en-US" w:eastAsia="zh-CN"/>
              </w:rPr>
            </w:r>
            <w:r/>
          </w:p>
        </w:tc>
        <w:tc>
          <w:tcPr>
            <w:tcW w:w="99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42"/>
              <w:jc w:val="center"/>
              <w:rPr>
                <w:rFonts w:ascii="Times New Roman" w:hAnsi="Times New Roman" w:eastAsia="仿宋_GB2312" w:cs="仿宋_GB2312"/>
                <w:caps w:val="0"/>
                <w:color w:val="000000"/>
                <w:sz w:val="28"/>
                <w:szCs w:val="28"/>
                <w:highlight w:val="none"/>
                <w:lang w:val="en-US" w:eastAsia="zh-CN"/>
              </w:rPr>
              <w:framePr w:vAnchor="page" w:hAnchor="page" w:xAlign="center" w:y="74"/>
            </w:pPr>
            <w:r>
              <w:rPr>
                <w:rFonts w:hint="eastAsia" w:ascii="Times New Roman" w:hAnsi="Times New Roman" w:eastAsia="仿宋_GB2312" w:cs="仿宋_GB2312"/>
                <w:caps w:val="0"/>
                <w:color w:val="000000"/>
                <w:sz w:val="28"/>
                <w:szCs w:val="28"/>
                <w:highlight w:val="none"/>
                <w:lang w:val="en-US" w:eastAsia="zh-CN"/>
              </w:rPr>
              <w:t xml:space="preserve">技术负责人</w:t>
            </w:r>
            <w:r>
              <w:rPr>
                <w:rFonts w:ascii="Times New Roman" w:hAnsi="Times New Roman" w:eastAsia="仿宋_GB2312" w:cs="仿宋_GB2312"/>
                <w:caps w:val="0"/>
                <w:color w:val="000000"/>
                <w:sz w:val="28"/>
                <w:szCs w:val="28"/>
                <w:highlight w:val="none"/>
                <w:lang w:val="en-US" w:eastAsia="zh-CN"/>
              </w:rPr>
            </w:r>
            <w:r/>
          </w:p>
        </w:tc>
        <w:tc>
          <w:tcPr>
            <w:tcW w:w="99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42"/>
              <w:jc w:val="center"/>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42"/>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42"/>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0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bl>
    <w:p>
      <w:pPr>
        <w:pStyle w:val="742"/>
        <w:ind w:firstLine="398"/>
        <w:spacing w:line="46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b/>
          <w:caps w:val="0"/>
          <w:color w:val="000000"/>
          <w:szCs w:val="24"/>
          <w:highlight w:val="none"/>
          <w:lang w:bidi="ar"/>
        </w:rPr>
        <w:t xml:space="preserve">注：如供应商中标，项目组成员必须按本表承诺人员操作，不得随意更换。</w:t>
      </w:r>
      <w:r>
        <w:rPr>
          <w:rFonts w:ascii="Times New Roman" w:hAnsi="Times New Roman" w:eastAsia="仿宋_GB2312" w:cs="仿宋_GB2312"/>
          <w:caps w:val="0"/>
          <w:color w:val="000000"/>
          <w:szCs w:val="24"/>
          <w:highlight w:val="none"/>
        </w:rPr>
      </w:r>
      <w:r/>
    </w:p>
    <w:p>
      <w:pPr>
        <w:pStyle w:val="742"/>
        <w:ind w:firstLine="280"/>
        <w:spacing w:line="50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caps w:val="0"/>
          <w:color w:val="000000"/>
          <w:szCs w:val="24"/>
          <w:highlight w:val="none"/>
        </w:rPr>
      </w:r>
      <w:r/>
    </w:p>
    <w:p>
      <w:pPr>
        <w:pStyle w:val="805"/>
        <w:spacing w:line="500" w:lineRule="exact"/>
        <w:rPr>
          <w:rFonts w:ascii="Times New Roman" w:hAnsi="Times New Roman"/>
          <w:caps w:val="0"/>
          <w:color w:val="000000"/>
          <w:highlight w:val="none"/>
        </w:rPr>
      </w:pPr>
      <w:r>
        <w:rPr>
          <w:rFonts w:ascii="Times New Roman" w:hAnsi="Times New Roman"/>
          <w:caps w:val="0"/>
          <w:color w:val="000000"/>
          <w:highlight w:val="none"/>
        </w:rPr>
        <w:br w:type="page" w:clear="all"/>
      </w:r>
      <w:bookmarkStart w:id="222" w:name="_Toc11176"/>
      <w:r>
        <w:rPr>
          <w:rFonts w:hint="eastAsia" w:ascii="Times New Roman" w:hAnsi="Times New Roman" w:eastAsia="黑体" w:cs="黑体"/>
          <w:b/>
          <w:caps w:val="0"/>
          <w:color w:val="000000"/>
          <w:sz w:val="32"/>
          <w:highlight w:val="none"/>
          <w:lang w:val="en-US" w:eastAsia="zh-CN"/>
        </w:rPr>
        <w:t xml:space="preserve">十</w:t>
      </w:r>
      <w:r>
        <w:rPr>
          <w:rFonts w:hint="eastAsia" w:ascii="Times New Roman" w:hAnsi="Times New Roman" w:eastAsia="黑体" w:cs="黑体"/>
          <w:b/>
          <w:caps w:val="0"/>
          <w:color w:val="000000"/>
          <w:sz w:val="32"/>
          <w:highlight w:val="none"/>
        </w:rPr>
        <w:t xml:space="preserve">、</w:t>
      </w:r>
      <w:bookmarkEnd w:id="222"/>
      <w:r>
        <w:rPr>
          <w:rFonts w:hint="eastAsia" w:ascii="Times New Roman" w:hAnsi="Times New Roman" w:eastAsia="黑体" w:cs="黑体"/>
          <w:b/>
          <w:caps w:val="0"/>
          <w:color w:val="000000"/>
          <w:sz w:val="32"/>
          <w:highlight w:val="none"/>
        </w:rPr>
        <w:t xml:space="preserve">企业业绩</w:t>
      </w:r>
      <w:r>
        <w:rPr>
          <w:rFonts w:ascii="Times New Roman" w:hAnsi="Times New Roman"/>
          <w:caps w:val="0"/>
          <w:color w:val="000000"/>
          <w:highlight w:val="none"/>
        </w:rPr>
      </w:r>
      <w:r/>
    </w:p>
    <w:p>
      <w:pPr>
        <w:pStyle w:val="806"/>
        <w:jc w:val="center"/>
        <w:rPr>
          <w:rFonts w:ascii="Times New Roman" w:hAnsi="Times New Roman"/>
          <w:b/>
          <w:caps w:val="0"/>
          <w:color w:val="000000"/>
          <w:sz w:val="32"/>
          <w:szCs w:val="32"/>
          <w:highlight w:val="none"/>
        </w:rPr>
      </w:pPr>
      <w:r>
        <w:rPr>
          <w:rFonts w:hint="eastAsia" w:ascii="Times New Roman" w:hAnsi="Times New Roman"/>
          <w:b/>
          <w:caps w:val="0"/>
          <w:color w:val="000000"/>
          <w:sz w:val="32"/>
          <w:szCs w:val="32"/>
          <w:highlight w:val="none"/>
        </w:rPr>
        <w:t xml:space="preserve">投标人承担类似项目业绩一览表</w:t>
      </w:r>
      <w:r>
        <w:rPr>
          <w:rFonts w:ascii="Times New Roman" w:hAnsi="Times New Roman"/>
          <w:b/>
          <w:caps w:val="0"/>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07"/>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序号</w:t>
            </w:r>
            <w:r>
              <w:rPr>
                <w:rFonts w:ascii="Times New Roman" w:hAnsi="Times New Roman" w:eastAsia="仿宋_GB2312"/>
                <w:caps w:val="0"/>
                <w:color w:val="000000"/>
                <w:sz w:val="28"/>
                <w:szCs w:val="28"/>
                <w:highlight w:val="none"/>
              </w:rPr>
            </w:r>
            <w:r/>
          </w:p>
        </w:tc>
        <w:tc>
          <w:tcPr>
            <w:tcW w:w="3827" w:type="dxa"/>
            <w:vAlign w:val="center"/>
            <w:textDirection w:val="lrTb"/>
            <w:noWrap w:val="false"/>
          </w:tcPr>
          <w:p>
            <w:pPr>
              <w:pStyle w:val="807"/>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项目名称</w:t>
            </w:r>
            <w:r>
              <w:rPr>
                <w:rFonts w:ascii="Times New Roman" w:hAnsi="Times New Roman" w:eastAsia="仿宋_GB2312"/>
                <w:caps w:val="0"/>
                <w:color w:val="000000"/>
                <w:sz w:val="28"/>
                <w:szCs w:val="28"/>
                <w:highlight w:val="none"/>
              </w:rPr>
            </w:r>
            <w:r/>
          </w:p>
        </w:tc>
        <w:tc>
          <w:tcPr>
            <w:tcW w:w="2433" w:type="dxa"/>
            <w:vAlign w:val="center"/>
            <w:textDirection w:val="lrTb"/>
            <w:noWrap w:val="false"/>
          </w:tcPr>
          <w:p>
            <w:pPr>
              <w:pStyle w:val="807"/>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采购单位</w:t>
            </w:r>
            <w:r>
              <w:rPr>
                <w:rFonts w:ascii="Times New Roman" w:hAnsi="Times New Roman" w:eastAsia="仿宋_GB2312"/>
                <w:caps w:val="0"/>
                <w:color w:val="000000"/>
                <w:sz w:val="28"/>
                <w:szCs w:val="28"/>
                <w:highlight w:val="none"/>
              </w:rPr>
            </w:r>
            <w:r/>
          </w:p>
        </w:tc>
        <w:tc>
          <w:tcPr>
            <w:tcW w:w="1395" w:type="dxa"/>
            <w:vAlign w:val="center"/>
            <w:textDirection w:val="lrTb"/>
            <w:noWrap w:val="false"/>
          </w:tcPr>
          <w:p>
            <w:pPr>
              <w:pStyle w:val="807"/>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合同金额</w:t>
            </w:r>
            <w:r>
              <w:rPr>
                <w:rFonts w:ascii="Times New Roman" w:hAnsi="Times New Roman" w:eastAsia="仿宋_GB2312"/>
                <w:caps w:val="0"/>
                <w:color w:val="000000"/>
                <w:sz w:val="28"/>
                <w:szCs w:val="28"/>
                <w:highlight w:val="none"/>
              </w:rPr>
            </w:r>
            <w:r/>
          </w:p>
        </w:tc>
      </w:tr>
      <w:tr>
        <w:trPr>
          <w:trHeight w:val="1510"/>
        </w:trPr>
        <w:tc>
          <w:tcPr>
            <w:tcW w:w="1229" w:type="dxa"/>
            <w:vAlign w:val="top"/>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25"/>
        </w:trPr>
        <w:tc>
          <w:tcPr>
            <w:tcW w:w="1229" w:type="dxa"/>
            <w:vAlign w:val="top"/>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0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bl>
    <w:p>
      <w:pPr>
        <w:pStyle w:val="806"/>
        <w:rPr>
          <w:rFonts w:ascii="Times New Roman" w:hAnsi="Times New Roman"/>
          <w:caps w:val="0"/>
          <w:color w:val="000000"/>
          <w:highlight w:val="none"/>
        </w:rPr>
      </w:pPr>
      <w:r>
        <w:rPr>
          <w:rFonts w:hint="eastAsia" w:ascii="Times New Roman" w:hAnsi="Times New Roman" w:eastAsia="仿宋_GB2312"/>
          <w:b/>
          <w:caps w:val="0"/>
          <w:color w:val="000000"/>
          <w:sz w:val="24"/>
          <w:highlight w:val="none"/>
        </w:rPr>
        <w:t xml:space="preserve">注：请填写此表，并按要求上传业绩资料电子件。</w:t>
      </w:r>
      <w:r>
        <w:rPr>
          <w:rFonts w:ascii="Times New Roman" w:hAnsi="Times New Roman"/>
          <w:caps w:val="0"/>
          <w:color w:val="000000"/>
          <w:highlight w:val="none"/>
        </w:rPr>
      </w:r>
      <w:r/>
    </w:p>
    <w:p>
      <w:pPr>
        <w:pStyle w:val="808"/>
        <w:rPr>
          <w:rFonts w:ascii="Times New Roman" w:hAnsi="Times New Roman"/>
          <w:caps w:val="0"/>
          <w:color w:val="000000"/>
          <w:highlight w:val="none"/>
          <w:lang w:val="en-US" w:eastAsia="zh-CN"/>
        </w:rPr>
        <w:outlineLvl w:val="1"/>
      </w:pPr>
      <w:r>
        <w:rPr>
          <w:rFonts w:ascii="Times New Roman" w:hAnsi="Times New Roman"/>
          <w:caps w:val="0"/>
          <w:color w:val="000000"/>
          <w:highlight w:val="none"/>
        </w:rPr>
        <w:br w:type="page" w:clear="all"/>
      </w:r>
      <w:bookmarkStart w:id="223" w:name="_Hlk211435742"/>
      <w:r/>
      <w:bookmarkStart w:id="224" w:name="_Toc28140"/>
      <w:r>
        <w:rPr>
          <w:rFonts w:hint="eastAsia" w:ascii="Times New Roman" w:hAnsi="Times New Roman"/>
          <w:caps w:val="0"/>
          <w:color w:val="000000"/>
          <w:highlight w:val="none"/>
          <w:lang w:val="en-US" w:eastAsia="zh-CN"/>
        </w:rPr>
        <w:t xml:space="preserve">十一、</w:t>
      </w:r>
      <w:bookmarkEnd w:id="223"/>
      <w:r>
        <w:rPr>
          <w:rFonts w:hint="eastAsia" w:ascii="Times New Roman" w:hAnsi="Times New Roman"/>
          <w:caps w:val="0"/>
          <w:color w:val="000000"/>
          <w:highlight w:val="none"/>
          <w:lang w:val="en-US" w:eastAsia="zh-CN"/>
        </w:rPr>
        <w:t xml:space="preserve">承诺函</w:t>
      </w:r>
      <w:r>
        <w:rPr>
          <w:rFonts w:ascii="Times New Roman" w:hAnsi="Times New Roman"/>
          <w:caps w:val="0"/>
          <w:color w:val="000000"/>
          <w:highlight w:val="none"/>
          <w:lang w:val="en-US" w:eastAsia="zh-CN"/>
        </w:rPr>
      </w:r>
      <w:r/>
    </w:p>
    <w:p>
      <w:pPr>
        <w:pStyle w:val="808"/>
        <w:rPr>
          <w:rFonts w:hint="eastAsia" w:ascii="Times New Roman" w:hAnsi="Times New Roman" w:eastAsia="仿宋_GB2312" w:cs="Times New Roman"/>
          <w:b w:val="0"/>
          <w:caps w:val="0"/>
          <w:color w:val="000000"/>
          <w:sz w:val="28"/>
          <w:szCs w:val="28"/>
          <w:highlight w:val="none"/>
          <w:lang w:val="en-US" w:eastAsia="zh-CN" w:bidi="ar-SA"/>
        </w:rPr>
        <w:outlineLvl w:val="1"/>
      </w:pPr>
      <w:r>
        <w:rPr>
          <w:rFonts w:hint="eastAsia" w:ascii="Times New Roman" w:hAnsi="Times New Roman" w:eastAsia="仿宋_GB2312" w:cs="Times New Roman"/>
          <w:b w:val="0"/>
          <w:caps w:val="0"/>
          <w:color w:val="000000"/>
          <w:sz w:val="28"/>
          <w:szCs w:val="28"/>
          <w:highlight w:val="none"/>
          <w:lang w:val="en-US" w:eastAsia="zh-CN" w:bidi="ar-SA"/>
        </w:rPr>
        <w:t xml:space="preserve">投标人必须承诺其投标文件（包括产品技术参数、性能证明、资质文件等）所有资料真实、准确、有效。‌‌签订合同前需提供所投产品厂家的原厂授权书确保产品为原厂正品，招标人保留对投标人提供的资料及产品进行核查的权利，一旦发现弄虚作假，将取消其中标资格，并追究其法律责任和经济损失。（格式自拟）</w:t>
      </w:r>
      <w:r>
        <w:rPr>
          <w:rFonts w:hint="eastAsia" w:ascii="Times New Roman" w:hAnsi="Times New Roman" w:eastAsia="仿宋_GB2312" w:cs="Times New Roman"/>
          <w:b w:val="0"/>
          <w:caps w:val="0"/>
          <w:color w:val="000000"/>
          <w:sz w:val="28"/>
          <w:szCs w:val="28"/>
          <w:highlight w:val="none"/>
          <w:lang w:val="en-US" w:eastAsia="zh-CN" w:bidi="ar-SA"/>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08"/>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十二、投标所需其他材料</w:t>
      </w:r>
      <w:bookmarkEnd w:id="224"/>
      <w:r>
        <w:rPr>
          <w:rFonts w:ascii="Times New Roman" w:hAnsi="Times New Roman"/>
          <w:caps w:val="0"/>
          <w:color w:val="000000"/>
          <w:highlight w:val="none"/>
        </w:rPr>
      </w:r>
      <w:r/>
    </w:p>
    <w:p>
      <w:pPr>
        <w:pStyle w:val="809"/>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highlight w:val="none"/>
        </w:rPr>
      </w:r>
      <w:r/>
    </w:p>
    <w:p>
      <w:pPr>
        <w:pStyle w:val="680"/>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rPr>
          <w:rFonts w:ascii="Times New Roman" w:hAnsi="Times New Roman"/>
          <w:caps w:val="0"/>
          <w:color w:val="000000"/>
          <w:sz w:val="20"/>
          <w:highlight w:val="none"/>
        </w:rPr>
      </w:r>
      <w:r/>
    </w:p>
    <w:p>
      <w:pPr>
        <w:pStyle w:val="680"/>
        <w:rPr>
          <w:rFonts w:ascii="Times New Roman" w:hAnsi="Times New Roman"/>
          <w:caps w:val="0"/>
          <w:color w:val="000000"/>
          <w:highlight w:val="none"/>
        </w:rPr>
      </w:pPr>
      <w:r>
        <w:rPr>
          <w:rFonts w:ascii="Times New Roman" w:hAnsi="Times New Roman"/>
          <w:caps w:val="0"/>
          <w:color w:val="000000"/>
          <w:highlight w:val="none"/>
        </w:rPr>
      </w:r>
      <w:r/>
    </w:p>
    <w:p>
      <w:pPr>
        <w:pStyle w:val="680"/>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680"/>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680"/>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680"/>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680"/>
        <w:spacing w:line="480" w:lineRule="auto"/>
        <w:rPr>
          <w:rFonts w:hint="eastAsia" w:ascii="Times New Roman" w:hAnsi="Times New Roman"/>
          <w:caps w:val="0"/>
          <w:color w:val="000000"/>
          <w:sz w:val="24"/>
          <w:highlight w:val="none"/>
        </w:rPr>
      </w:pPr>
      <w:r/>
      <w:bookmarkEnd w:id="217"/>
      <w:r>
        <w:rPr>
          <w:rFonts w:hint="eastAsia" w:ascii="Times New Roman" w:hAnsi="Times New Roman"/>
          <w:caps w:val="0"/>
          <w:color w:val="000000"/>
          <w:sz w:val="24"/>
          <w:highlight w:val="none"/>
        </w:rPr>
      </w:r>
      <w:r/>
    </w:p>
    <w:p>
      <w:pPr>
        <w:pStyle w:val="680"/>
        <w:spacing w:line="48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p>
    <w:p>
      <w:pPr>
        <w:pStyle w:val="695"/>
        <w:ind w:firstLine="0"/>
        <w:rPr>
          <w:rFonts w:hint="eastAsia" w:ascii="Times New Roman" w:hAnsi="Times New Roman"/>
          <w:caps w:val="0"/>
          <w:color w:val="000000"/>
          <w:sz w:val="24"/>
          <w:highlight w:val="none"/>
        </w:rPr>
      </w:pPr>
      <w:r/>
      <w:bookmarkStart w:id="225" w:name="_Hlt26671374"/>
      <w:r/>
      <w:bookmarkEnd w:id="225"/>
      <w:r/>
      <w:bookmarkStart w:id="226" w:name="_Hlt26955066"/>
      <w:r/>
      <w:bookmarkEnd w:id="226"/>
      <w:r/>
      <w:bookmarkStart w:id="227" w:name="_Hlt26609389"/>
      <w:r/>
      <w:bookmarkEnd w:id="227"/>
      <w:r/>
      <w:bookmarkStart w:id="228" w:name="_Toc462564146"/>
      <w:r>
        <w:rPr>
          <w:rFonts w:hint="eastAsia" w:ascii="Times New Roman" w:hAnsi="Times New Roman"/>
          <w:caps w:val="0"/>
          <w:color w:val="000000"/>
          <w:sz w:val="24"/>
          <w:highlight w:val="none"/>
        </w:rPr>
      </w:r>
      <w:r/>
    </w:p>
    <w:p>
      <w:pPr>
        <w:pStyle w:val="680"/>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56"/>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56"/>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56"/>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56"/>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56"/>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56"/>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680"/>
        <w:jc w:val="center"/>
        <w:rPr>
          <w:rFonts w:ascii="Times New Roman" w:hAnsi="Times New Roman" w:cs="仿宋"/>
          <w:b/>
          <w:bCs/>
          <w:caps w:val="0"/>
          <w:color w:val="000000"/>
          <w:sz w:val="32"/>
          <w:szCs w:val="32"/>
          <w:highlight w:val="none"/>
        </w:rPr>
      </w:pPr>
      <w:r/>
      <w:bookmarkEnd w:id="195"/>
      <w:r/>
      <w:bookmarkEnd w:id="196"/>
      <w:r/>
      <w:bookmarkEnd w:id="228"/>
      <w:r/>
      <w:bookmarkStart w:id="229" w:name="_格式2__法定代表人授权书"/>
      <w:r/>
      <w:bookmarkEnd w:id="229"/>
      <w:r>
        <w:rPr>
          <w:rFonts w:hint="eastAsia" w:ascii="Times New Roman" w:hAnsi="Times New Roman" w:eastAsia="黑体"/>
          <w:b/>
          <w:caps w:val="0"/>
          <w:color w:val="000000"/>
          <w:sz w:val="32"/>
          <w:szCs w:val="32"/>
          <w:highlight w:val="none"/>
        </w:rPr>
        <w:br w:type="page" w:clear="all"/>
      </w:r>
      <w:r>
        <w:rPr>
          <w:rFonts w:hint="eastAsia" w:ascii="Times New Roman" w:hAnsi="Times New Roman" w:eastAsia="仿宋_GB2312" w:cs="Times New Roman"/>
          <w:b/>
          <w:color w:val="000000"/>
          <w:sz w:val="28"/>
          <w:szCs w:val="28"/>
          <w:highlight w:val="none"/>
        </w:rPr>
        <w:t xml:space="preserve">质疑函范本</w:t>
      </w:r>
      <w:r>
        <w:rPr>
          <w:rFonts w:ascii="Times New Roman" w:hAnsi="Times New Roman" w:cs="仿宋"/>
          <w:b/>
          <w:bCs/>
          <w:caps w:val="0"/>
          <w:color w:val="000000"/>
          <w:sz w:val="32"/>
          <w:szCs w:val="32"/>
          <w:highlight w:val="none"/>
        </w:rPr>
      </w:r>
      <w:r/>
    </w:p>
    <w:p>
      <w:pPr>
        <w:pStyle w:val="680"/>
        <w:spacing w:before="290"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rPr>
          <w:rFonts w:ascii="Times New Roman" w:hAnsi="Times New Roman" w:cs="仿宋"/>
          <w:bCs/>
          <w:caps w:val="0"/>
          <w:color w:val="000000"/>
          <w:sz w:val="24"/>
          <w:szCs w:val="24"/>
          <w:highlight w:val="none"/>
        </w:rPr>
      </w:r>
      <w:r/>
    </w:p>
    <w:p>
      <w:pPr>
        <w:pStyle w:val="680"/>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80"/>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80"/>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80"/>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80"/>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80"/>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80"/>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rPr>
          <w:rFonts w:ascii="Times New Roman" w:hAnsi="Times New Roman" w:cs="仿宋"/>
          <w:bCs/>
          <w:caps w:val="0"/>
          <w:color w:val="000000"/>
          <w:sz w:val="24"/>
          <w:szCs w:val="24"/>
          <w:highlight w:val="none"/>
        </w:rPr>
      </w:r>
      <w:r/>
    </w:p>
    <w:p>
      <w:pPr>
        <w:pStyle w:val="680"/>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80"/>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80"/>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80"/>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80"/>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rPr>
          <w:rFonts w:ascii="Times New Roman" w:hAnsi="Times New Roman" w:cs="仿宋"/>
          <w:bCs/>
          <w:caps w:val="0"/>
          <w:color w:val="000000"/>
          <w:sz w:val="24"/>
          <w:szCs w:val="24"/>
          <w:highlight w:val="none"/>
        </w:rPr>
      </w:r>
      <w:r/>
    </w:p>
    <w:p>
      <w:pPr>
        <w:pStyle w:val="680"/>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80"/>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80"/>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80"/>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80"/>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80"/>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rPr>
          <w:rFonts w:ascii="Times New Roman" w:hAnsi="Times New Roman" w:cs="仿宋"/>
          <w:caps w:val="0"/>
          <w:color w:val="000000"/>
          <w:sz w:val="24"/>
          <w:szCs w:val="24"/>
          <w:highlight w:val="none"/>
          <w:u w:val="single"/>
        </w:rPr>
      </w:r>
      <w:r/>
    </w:p>
    <w:p>
      <w:pPr>
        <w:pStyle w:val="680"/>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rPr>
          <w:rFonts w:ascii="Times New Roman" w:hAnsi="Times New Roman" w:cs="仿宋"/>
          <w:caps w:val="0"/>
          <w:color w:val="000000"/>
          <w:sz w:val="24"/>
          <w:szCs w:val="24"/>
          <w:highlight w:val="none"/>
        </w:rPr>
      </w:r>
      <w:r/>
    </w:p>
    <w:p>
      <w:pPr>
        <w:pStyle w:val="680"/>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rPr>
          <w:rFonts w:ascii="Times New Roman" w:hAnsi="Times New Roman" w:cs="仿宋"/>
          <w:bCs/>
          <w:caps w:val="0"/>
          <w:color w:val="000000"/>
          <w:sz w:val="24"/>
          <w:szCs w:val="24"/>
          <w:highlight w:val="none"/>
        </w:rPr>
      </w:r>
      <w:r/>
    </w:p>
    <w:p>
      <w:pPr>
        <w:pStyle w:val="680"/>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rPr>
          <w:rFonts w:ascii="Times New Roman" w:hAnsi="Times New Roman"/>
          <w:caps w:val="0"/>
          <w:color w:val="000000"/>
          <w:sz w:val="24"/>
          <w:szCs w:val="24"/>
          <w:highlight w:val="none"/>
        </w:rPr>
      </w:r>
      <w:r/>
    </w:p>
    <w:p>
      <w:pPr>
        <w:pStyle w:val="6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rPr>
          <w:rFonts w:ascii="Times New Roman" w:hAnsi="Times New Roman"/>
          <w:caps w:val="0"/>
          <w:color w:val="000000"/>
          <w:sz w:val="24"/>
          <w:szCs w:val="24"/>
          <w:highlight w:val="none"/>
        </w:rPr>
      </w:r>
      <w:r/>
    </w:p>
    <w:p>
      <w:pPr>
        <w:pStyle w:val="680"/>
        <w:spacing w:line="400" w:lineRule="exact"/>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rPr>
          <w:rFonts w:ascii="Times New Roman" w:hAnsi="Times New Roman"/>
          <w:b/>
          <w:caps w:val="0"/>
          <w:color w:val="000000"/>
          <w:sz w:val="24"/>
          <w:szCs w:val="24"/>
          <w:highlight w:val="none"/>
        </w:rPr>
      </w:r>
      <w:r/>
    </w:p>
    <w:p>
      <w:pPr>
        <w:pStyle w:val="680"/>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rPr>
          <w:rFonts w:ascii="Times New Roman" w:hAnsi="Times New Roman"/>
          <w:caps w:val="0"/>
          <w:color w:val="000000"/>
          <w:sz w:val="24"/>
          <w:szCs w:val="24"/>
          <w:highlight w:val="none"/>
        </w:rPr>
      </w:r>
      <w:r/>
    </w:p>
    <w:p>
      <w:pPr>
        <w:pStyle w:val="680"/>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rPr>
          <w:rFonts w:ascii="Times New Roman" w:hAnsi="Times New Roman"/>
          <w:caps w:val="0"/>
          <w:color w:val="000000"/>
          <w:sz w:val="24"/>
          <w:szCs w:val="24"/>
          <w:highlight w:val="none"/>
        </w:rPr>
      </w:r>
      <w:r/>
    </w:p>
    <w:p>
      <w:pPr>
        <w:pStyle w:val="680"/>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rPr>
          <w:rFonts w:ascii="Times New Roman" w:hAnsi="Times New Roman"/>
          <w:caps w:val="0"/>
          <w:color w:val="000000"/>
          <w:sz w:val="24"/>
          <w:szCs w:val="24"/>
          <w:highlight w:val="none"/>
        </w:rPr>
      </w:r>
      <w:r/>
    </w:p>
    <w:p>
      <w:pPr>
        <w:pStyle w:val="680"/>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rPr>
          <w:rFonts w:ascii="Times New Roman" w:hAnsi="Times New Roman"/>
          <w:caps w:val="0"/>
          <w:color w:val="000000"/>
          <w:sz w:val="24"/>
          <w:szCs w:val="24"/>
          <w:highlight w:val="none"/>
        </w:rPr>
      </w:r>
      <w:r/>
    </w:p>
    <w:p>
      <w:pPr>
        <w:pStyle w:val="680"/>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rPr>
          <w:rFonts w:ascii="Times New Roman" w:hAnsi="Times New Roman"/>
          <w:caps w:val="0"/>
          <w:color w:val="000000"/>
          <w:sz w:val="24"/>
          <w:szCs w:val="24"/>
          <w:highlight w:val="none"/>
        </w:rPr>
      </w:r>
      <w:r/>
    </w:p>
    <w:p>
      <w:pPr>
        <w:pStyle w:val="680"/>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rPr>
          <w:rFonts w:ascii="Times New Roman" w:hAnsi="Times New Roman"/>
          <w:caps w:val="0"/>
          <w:color w:val="000000"/>
          <w:sz w:val="24"/>
          <w:szCs w:val="24"/>
          <w:highlight w:val="none"/>
        </w:rPr>
      </w:r>
      <w:r/>
    </w:p>
    <w:p>
      <w:pPr>
        <w:pStyle w:val="695"/>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695"/>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rPr>
        <w:rStyle w:val="752"/>
        <w:rFonts w:ascii="宋体" w:hAnsi="宋体"/>
      </w:rPr>
      <w:framePr w:wrap="around" w:vAnchor="text" w:hAnchor="margin" w:xAlign="center" w:y="1"/>
    </w:pPr>
    <w:r>
      <w:rPr>
        <w:rFonts w:ascii="宋体" w:hAnsi="宋体"/>
      </w:rPr>
      <w:fldChar w:fldCharType="begin"/>
    </w:r>
    <w:r>
      <w:rPr>
        <w:rStyle w:val="752"/>
        <w:rFonts w:ascii="宋体" w:hAnsi="宋体"/>
      </w:rPr>
      <w:instrText xml:space="preserve">PAGE  </w:instrText>
    </w:r>
    <w:r>
      <w:rPr>
        <w:rFonts w:ascii="宋体" w:hAnsi="宋体"/>
      </w:rPr>
      <w:fldChar w:fldCharType="separate"/>
    </w:r>
    <w:r>
      <w:rPr>
        <w:rStyle w:val="752"/>
        <w:rFonts w:ascii="宋体" w:hAnsi="宋体"/>
      </w:rPr>
      <w:t xml:space="preserve">３５</w:t>
    </w:r>
    <w:r>
      <w:rPr>
        <w:rFonts w:ascii="宋体" w:hAnsi="宋体"/>
      </w:rPr>
      <w:fldChar w:fldCharType="end"/>
    </w:r>
    <w:r>
      <w:rPr>
        <w:rStyle w:val="752"/>
        <w:rFonts w:ascii="宋体" w:hAnsi="宋体"/>
      </w:rPr>
    </w:r>
    <w:r/>
  </w:p>
  <w:p>
    <w:pPr>
      <w:pStyle w:val="72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rPr>
        <w:rStyle w:val="752"/>
      </w:rPr>
      <w:framePr w:wrap="around" w:vAnchor="text" w:hAnchor="margin" w:xAlign="center" w:y="1"/>
    </w:pPr>
    <w:r>
      <w:fldChar w:fldCharType="begin"/>
    </w:r>
    <w:r>
      <w:rPr>
        <w:rStyle w:val="752"/>
      </w:rPr>
      <w:instrText xml:space="preserve">PAGE  </w:instrText>
    </w:r>
    <w:r>
      <w:fldChar w:fldCharType="separate"/>
    </w:r>
    <w:r>
      <w:rPr>
        <w:rStyle w:val="752"/>
      </w:rPr>
      <w:t xml:space="preserve">1</w:t>
    </w:r>
    <w:r>
      <w:fldChar w:fldCharType="end"/>
    </w:r>
    <w:r>
      <w:rPr>
        <w:rStyle w:val="752"/>
      </w:rPr>
    </w:r>
    <w:r/>
  </w:p>
  <w:p>
    <w:pPr>
      <w:pStyle w:val="7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80"/>
        <w:ind w:left="432" w:hanging="432"/>
      </w:pPr>
    </w:lvl>
    <w:lvl w:ilvl="1">
      <w:start w:val="1"/>
      <w:numFmt w:val="decimal"/>
      <w:isLgl w:val="false"/>
      <w:suff w:val="tab"/>
      <w:lvlText w:val="%1.%2."/>
      <w:lvlJc w:val="left"/>
      <w:pPr>
        <w:pStyle w:val="680"/>
        <w:ind w:left="575" w:hanging="575"/>
      </w:pPr>
    </w:lvl>
    <w:lvl w:ilvl="2">
      <w:start w:val="1"/>
      <w:numFmt w:val="decimal"/>
      <w:isLgl w:val="false"/>
      <w:suff w:val="tab"/>
      <w:lvlText w:val="%1.%2.%3."/>
      <w:lvlJc w:val="left"/>
      <w:pPr>
        <w:pStyle w:val="680"/>
        <w:ind w:left="720" w:hanging="720"/>
      </w:pPr>
    </w:lvl>
    <w:lvl w:ilvl="3">
      <w:start w:val="1"/>
      <w:numFmt w:val="decimal"/>
      <w:isLgl w:val="false"/>
      <w:suff w:val="tab"/>
      <w:lvlText w:val="%1.%2.%3.%4."/>
      <w:lvlJc w:val="left"/>
      <w:pPr>
        <w:pStyle w:val="680"/>
        <w:ind w:left="864" w:hanging="864"/>
      </w:pPr>
    </w:lvl>
    <w:lvl w:ilvl="4">
      <w:start w:val="1"/>
      <w:numFmt w:val="decimal"/>
      <w:isLgl w:val="false"/>
      <w:suff w:val="tab"/>
      <w:lvlText w:val="%1.%2.%3.%4.%5."/>
      <w:lvlJc w:val="left"/>
      <w:pPr>
        <w:pStyle w:val="680"/>
        <w:ind w:left="1008" w:hanging="1008"/>
      </w:pPr>
    </w:lvl>
    <w:lvl w:ilvl="5">
      <w:start w:val="1"/>
      <w:numFmt w:val="decimal"/>
      <w:isLgl w:val="false"/>
      <w:suff w:val="tab"/>
      <w:lvlText w:val="%1.%2.%3.%4.%5.%6."/>
      <w:lvlJc w:val="left"/>
      <w:pPr>
        <w:pStyle w:val="680"/>
        <w:ind w:left="1151" w:hanging="1151"/>
      </w:pPr>
    </w:lvl>
    <w:lvl w:ilvl="6">
      <w:start w:val="1"/>
      <w:numFmt w:val="decimal"/>
      <w:isLgl w:val="false"/>
      <w:suff w:val="tab"/>
      <w:lvlText w:val="%1.%2.%3.%4.%5.%6.%7."/>
      <w:lvlJc w:val="left"/>
      <w:pPr>
        <w:pStyle w:val="680"/>
        <w:ind w:left="1296" w:hanging="1296"/>
      </w:pPr>
    </w:lvl>
    <w:lvl w:ilvl="7">
      <w:start w:val="1"/>
      <w:numFmt w:val="decimal"/>
      <w:isLgl w:val="false"/>
      <w:suff w:val="tab"/>
      <w:lvlText w:val="%1.%2.%3.%4.%5.%6.%7.%8."/>
      <w:lvlJc w:val="left"/>
      <w:pPr>
        <w:pStyle w:val="680"/>
        <w:ind w:left="1440" w:hanging="1440"/>
      </w:pPr>
    </w:lvl>
    <w:lvl w:ilvl="8">
      <w:start w:val="1"/>
      <w:numFmt w:val="decimal"/>
      <w:isLgl w:val="false"/>
      <w:suff w:val="tab"/>
      <w:lvlText w:val="%1.%2.%3.%4.%5.%6.%7.%8.%9."/>
      <w:lvlJc w:val="left"/>
      <w:pPr>
        <w:pStyle w:val="680"/>
        <w:ind w:left="1583" w:hanging="1583"/>
      </w:pPr>
    </w:lvl>
  </w:abstractNum>
  <w:abstractNum w:abstractNumId="2">
    <w:multiLevelType w:val="hybridMultilevel"/>
    <w:lvl w:ilvl="0">
      <w:start w:val="5"/>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680"/>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8">
    <w:multiLevelType w:val="hybridMultilevel"/>
    <w:lvl w:ilvl="0">
      <w:start w:val="1"/>
      <w:numFmt w:val="upperLetter"/>
      <w:pStyle w:val="761"/>
      <w:isLgl w:val="false"/>
      <w:suff w:val="tab"/>
      <w:lvlText w:val="附录%1."/>
      <w:lvlJc w:val="left"/>
      <w:pPr>
        <w:pStyle w:val="68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778"/>
      <w:isLgl w:val="false"/>
      <w:suff w:val="tab"/>
      <w:lvlText w:val="%1."/>
      <w:lvlJc w:val="left"/>
      <w:pPr>
        <w:pStyle w:val="680"/>
        <w:ind w:left="709" w:hanging="709"/>
        <w:tabs>
          <w:tab w:val="num" w:pos="709" w:leader="none"/>
        </w:tabs>
      </w:pPr>
      <w:rPr>
        <w:rFonts w:hint="eastAsia"/>
      </w:rPr>
    </w:lvl>
    <w:lvl w:ilvl="1">
      <w:start w:val="1"/>
      <w:numFmt w:val="decimal"/>
      <w:isLgl w:val="false"/>
      <w:suff w:val="tab"/>
      <w:lvlText w:val="%1.%2"/>
      <w:lvlJc w:val="left"/>
      <w:pPr>
        <w:pStyle w:val="680"/>
        <w:ind w:left="709" w:hanging="709"/>
        <w:tabs>
          <w:tab w:val="num" w:pos="709" w:leader="none"/>
        </w:tabs>
      </w:pPr>
      <w:rPr>
        <w:rFonts w:hint="eastAsia"/>
      </w:rPr>
    </w:lvl>
    <w:lvl w:ilvl="2">
      <w:start w:val="1"/>
      <w:numFmt w:val="decimal"/>
      <w:isLgl w:val="false"/>
      <w:suff w:val="tab"/>
      <w:lvlText w:val="%1.%2.%3."/>
      <w:lvlJc w:val="left"/>
      <w:pPr>
        <w:pStyle w:val="680"/>
        <w:ind w:left="425" w:hanging="425"/>
        <w:tabs>
          <w:tab w:val="num" w:pos="425" w:leader="none"/>
        </w:tabs>
      </w:pPr>
      <w:rPr>
        <w:rFonts w:hint="eastAsia"/>
      </w:rPr>
    </w:lvl>
    <w:lvl w:ilvl="3">
      <w:start w:val="1"/>
      <w:numFmt w:val="decimal"/>
      <w:isLgl w:val="false"/>
      <w:suff w:val="tab"/>
      <w:lvlText w:val="%1.%2.%3.%4."/>
      <w:lvlJc w:val="left"/>
      <w:pPr>
        <w:pStyle w:val="680"/>
        <w:ind w:left="851" w:hanging="851"/>
        <w:tabs>
          <w:tab w:val="num" w:pos="851" w:leader="none"/>
        </w:tabs>
      </w:pPr>
      <w:rPr>
        <w:rFonts w:hint="eastAsia"/>
      </w:rPr>
    </w:lvl>
    <w:lvl w:ilvl="4">
      <w:start w:val="1"/>
      <w:numFmt w:val="decimal"/>
      <w:isLgl w:val="false"/>
      <w:suff w:val="tab"/>
      <w:lvlText w:val="%1.%2.%3.%4.%5."/>
      <w:lvlJc w:val="left"/>
      <w:pPr>
        <w:pStyle w:val="680"/>
        <w:ind w:left="992" w:hanging="992"/>
        <w:tabs>
          <w:tab w:val="num" w:pos="992" w:leader="none"/>
        </w:tabs>
      </w:pPr>
      <w:rPr>
        <w:rFonts w:hint="eastAsia"/>
      </w:rPr>
    </w:lvl>
    <w:lvl w:ilvl="5">
      <w:start w:val="1"/>
      <w:numFmt w:val="decimal"/>
      <w:isLgl w:val="false"/>
      <w:suff w:val="tab"/>
      <w:lvlText w:val="%1.%2.%3.%4.%5.%6."/>
      <w:lvlJc w:val="left"/>
      <w:pPr>
        <w:pStyle w:val="680"/>
        <w:ind w:left="1134" w:hanging="1134"/>
        <w:tabs>
          <w:tab w:val="num" w:pos="1134" w:leader="none"/>
        </w:tabs>
      </w:pPr>
      <w:rPr>
        <w:rFonts w:hint="eastAsia"/>
      </w:rPr>
    </w:lvl>
    <w:lvl w:ilvl="6">
      <w:start w:val="1"/>
      <w:numFmt w:val="decimal"/>
      <w:isLgl w:val="false"/>
      <w:suff w:val="tab"/>
      <w:lvlText w:val="%1.%2.%3.%4.%5.%6.%7."/>
      <w:lvlJc w:val="left"/>
      <w:pPr>
        <w:pStyle w:val="680"/>
        <w:ind w:left="1276" w:hanging="1276"/>
        <w:tabs>
          <w:tab w:val="num" w:pos="1276" w:leader="none"/>
        </w:tabs>
      </w:pPr>
      <w:rPr>
        <w:rFonts w:hint="eastAsia"/>
      </w:rPr>
    </w:lvl>
    <w:lvl w:ilvl="7">
      <w:start w:val="1"/>
      <w:numFmt w:val="decimal"/>
      <w:isLgl w:val="false"/>
      <w:suff w:val="tab"/>
      <w:lvlText w:val="%1.%2.%3.%4.%5.%6.%7.%8."/>
      <w:lvlJc w:val="left"/>
      <w:pPr>
        <w:pStyle w:val="680"/>
        <w:ind w:left="1418" w:hanging="1418"/>
        <w:tabs>
          <w:tab w:val="num" w:pos="1418" w:leader="none"/>
        </w:tabs>
      </w:pPr>
      <w:rPr>
        <w:rFonts w:hint="eastAsia"/>
      </w:rPr>
    </w:lvl>
    <w:lvl w:ilvl="8">
      <w:start w:val="1"/>
      <w:numFmt w:val="decimal"/>
      <w:isLgl w:val="false"/>
      <w:suff w:val="tab"/>
      <w:lvlText w:val="%1.%2.%3.%4.%5.%6.%7.%8.%9."/>
      <w:lvlJc w:val="left"/>
      <w:pPr>
        <w:pStyle w:val="680"/>
        <w:ind w:left="1559" w:hanging="1559"/>
        <w:tabs>
          <w:tab w:val="num" w:pos="1559" w:leader="none"/>
        </w:tabs>
      </w:pPr>
      <w:rPr>
        <w:rFonts w:hint="eastAsia"/>
      </w:rPr>
    </w:lvl>
  </w:abstractNum>
  <w:abstractNum w:abstractNumId="13">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pStyle w:val="680"/>
        <w:ind w:left="0" w:firstLine="0"/>
      </w:pPr>
      <w:rPr>
        <w:rFonts w:hint="eastAsia"/>
      </w:rPr>
    </w:lvl>
    <w:lvl w:ilvl="1">
      <w:start w:val="1"/>
      <w:numFmt w:val="decimal"/>
      <w:isLgl w:val="false"/>
      <w:suff w:val="nothing"/>
      <w:lvlText w:val="%2、"/>
      <w:lvlJc w:val="left"/>
      <w:pPr>
        <w:pStyle w:val="680"/>
        <w:ind w:left="0" w:firstLine="0"/>
      </w:pPr>
      <w:rPr>
        <w:rFonts w:hint="eastAsia"/>
      </w:rPr>
    </w:lvl>
    <w:lvl w:ilvl="2">
      <w:start w:val="1"/>
      <w:numFmt w:val="decimal"/>
      <w:isLgl w:val="false"/>
      <w:suff w:val="nothing"/>
      <w:lvlText w:val="%2.%3 "/>
      <w:lvlJc w:val="left"/>
      <w:pPr>
        <w:pStyle w:val="680"/>
        <w:ind w:left="0" w:firstLine="0"/>
      </w:pPr>
      <w:rPr>
        <w:rFonts w:hint="eastAsia"/>
      </w:rPr>
    </w:lvl>
    <w:lvl w:ilvl="3">
      <w:start w:val="1"/>
      <w:numFmt w:val="decimal"/>
      <w:isLgl w:val="false"/>
      <w:suff w:val="nothing"/>
      <w:lvlText w:val="%2.%3.%4 "/>
      <w:lvlJc w:val="left"/>
      <w:pPr>
        <w:pStyle w:val="680"/>
        <w:ind w:left="0" w:firstLine="0"/>
      </w:pPr>
      <w:rPr>
        <w:rFonts w:hint="eastAsia"/>
      </w:rPr>
    </w:lvl>
    <w:lvl w:ilvl="4">
      <w:start w:val="1"/>
      <w:numFmt w:val="decimal"/>
      <w:isLgl w:val="false"/>
      <w:suff w:val="nothing"/>
      <w:lvlText w:val="%2.%3.%4.%5 "/>
      <w:lvlJc w:val="left"/>
      <w:pPr>
        <w:pStyle w:val="680"/>
        <w:ind w:left="0" w:firstLine="0"/>
      </w:pPr>
      <w:rPr>
        <w:rFonts w:hint="eastAsia"/>
      </w:rPr>
    </w:lvl>
    <w:lvl w:ilvl="5">
      <w:start w:val="1"/>
      <w:numFmt w:val="decimal"/>
      <w:pStyle w:val="686"/>
      <w:isLgl w:val="false"/>
      <w:suff w:val="nothing"/>
      <w:lvlText w:val=""/>
      <w:lvlJc w:val="left"/>
      <w:pPr>
        <w:pStyle w:val="680"/>
        <w:ind w:left="0" w:firstLine="0"/>
      </w:pPr>
      <w:rPr>
        <w:rFonts w:hint="eastAsia"/>
      </w:rPr>
    </w:lvl>
    <w:lvl w:ilvl="6">
      <w:start w:val="1"/>
      <w:numFmt w:val="decimal"/>
      <w:pStyle w:val="687"/>
      <w:isLgl w:val="false"/>
      <w:suff w:val="nothing"/>
      <w:lvlText w:val=""/>
      <w:lvlJc w:val="left"/>
      <w:pPr>
        <w:pStyle w:val="680"/>
        <w:ind w:left="0" w:firstLine="0"/>
      </w:pPr>
      <w:rPr>
        <w:rFonts w:hint="eastAsia"/>
      </w:rPr>
    </w:lvl>
    <w:lvl w:ilvl="7">
      <w:start w:val="1"/>
      <w:numFmt w:val="decimal"/>
      <w:pStyle w:val="688"/>
      <w:isLgl w:val="false"/>
      <w:suff w:val="nothing"/>
      <w:lvlText w:val=""/>
      <w:lvlJc w:val="left"/>
      <w:pPr>
        <w:pStyle w:val="680"/>
        <w:ind w:left="0" w:firstLine="0"/>
      </w:pPr>
      <w:rPr>
        <w:rFonts w:hint="eastAsia"/>
      </w:rPr>
    </w:lvl>
    <w:lvl w:ilvl="8">
      <w:start w:val="1"/>
      <w:numFmt w:val="decimal"/>
      <w:pStyle w:val="689"/>
      <w:isLgl w:val="false"/>
      <w:suff w:val="nothing"/>
      <w:lvlText w:val=""/>
      <w:lvlJc w:val="left"/>
      <w:pPr>
        <w:pStyle w:val="680"/>
        <w:ind w:left="0" w:firstLine="0"/>
      </w:pPr>
      <w:rPr>
        <w:rFonts w:hint="eastAsia"/>
      </w:rPr>
    </w:lvl>
  </w:abstractNum>
  <w:abstractNum w:abstractNumId="16">
    <w:multiLevelType w:val="hybridMultilevel"/>
    <w:lvl w:ilvl="0">
      <w:start w:val="1"/>
      <w:numFmt w:val="japaneseCounting"/>
      <w:isLgl w:val="false"/>
      <w:suff w:val="tab"/>
      <w:lvlText w:val="第%1章"/>
      <w:lvlJc w:val="left"/>
      <w:pPr>
        <w:pStyle w:val="68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8"/>
  </w:num>
  <w:num w:numId="3">
    <w:abstractNumId w:val="12"/>
  </w:num>
  <w:num w:numId="4">
    <w:abstractNumId w:val="16"/>
  </w:num>
  <w:num w:numId="5">
    <w:abstractNumId w:val="1"/>
  </w:num>
  <w:num w:numId="6">
    <w:abstractNumId w:val="9"/>
  </w:num>
  <w:num w:numId="7">
    <w:abstractNumId w:val="2"/>
  </w:num>
  <w:num w:numId="8">
    <w:abstractNumId w:val="0"/>
  </w:num>
  <w:num w:numId="9">
    <w:abstractNumId w:val="6"/>
  </w:num>
  <w:num w:numId="10">
    <w:abstractNumId w:val="11"/>
  </w:num>
  <w:num w:numId="11">
    <w:abstractNumId w:val="3"/>
  </w:num>
  <w:num w:numId="12">
    <w:abstractNumId w:val="5"/>
  </w:num>
  <w:num w:numId="13">
    <w:abstractNumId w:val="10"/>
  </w:num>
  <w:num w:numId="14">
    <w:abstractNumId w:val="13"/>
  </w:num>
  <w:num w:numId="15">
    <w:abstractNumId w:val="14"/>
  </w:num>
  <w:num w:numId="16">
    <w:abstractNumId w:val="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0"/>
    <w:next w:val="6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0"/>
    <w:link w:val="680"/>
    <w:qFormat/>
    <w:pPr>
      <w:jc w:val="both"/>
      <w:widowControl w:val="off"/>
    </w:pPr>
    <w:rPr>
      <w:rFonts w:ascii="Times New Roman" w:hAnsi="Times New Roman"/>
      <w:sz w:val="21"/>
      <w:szCs w:val="21"/>
      <w:lang w:val="en-US" w:eastAsia="zh-CN" w:bidi="ar-SA"/>
    </w:rPr>
  </w:style>
  <w:style w:type="paragraph" w:styleId="681">
    <w:name w:val="标题 1"/>
    <w:basedOn w:val="680"/>
    <w:next w:val="680"/>
    <w:link w:val="692"/>
    <w:qFormat/>
    <w:pPr>
      <w:jc w:val="center"/>
      <w:keepNext/>
      <w:outlineLvl w:val="0"/>
    </w:pPr>
    <w:rPr>
      <w:rFonts w:ascii="楷体_GB2312" w:eastAsia="楷体_GB2312"/>
      <w:sz w:val="28"/>
      <w:szCs w:val="28"/>
    </w:rPr>
  </w:style>
  <w:style w:type="paragraph" w:styleId="682">
    <w:name w:val="标题 2"/>
    <w:basedOn w:val="680"/>
    <w:next w:val="680"/>
    <w:link w:val="693"/>
    <w:qFormat/>
    <w:pPr>
      <w:jc w:val="center"/>
      <w:keepLines/>
      <w:keepNext/>
      <w:spacing w:before="260" w:after="260" w:line="416" w:lineRule="auto"/>
      <w:outlineLvl w:val="1"/>
    </w:pPr>
    <w:rPr>
      <w:rFonts w:ascii="Arial" w:hAnsi="Arial" w:eastAsia="幼圆" w:cs="Arial"/>
      <w:b/>
      <w:bCs/>
      <w:sz w:val="44"/>
      <w:szCs w:val="44"/>
    </w:rPr>
  </w:style>
  <w:style w:type="paragraph" w:styleId="683">
    <w:name w:val="标题 3"/>
    <w:basedOn w:val="680"/>
    <w:next w:val="695"/>
    <w:link w:val="694"/>
    <w:qFormat/>
    <w:pPr>
      <w:keepLines/>
      <w:keepNext/>
      <w:spacing w:before="260" w:after="260" w:line="416" w:lineRule="auto"/>
      <w:outlineLvl w:val="2"/>
    </w:pPr>
    <w:rPr>
      <w:b/>
      <w:bCs/>
      <w:sz w:val="32"/>
      <w:szCs w:val="32"/>
    </w:rPr>
  </w:style>
  <w:style w:type="paragraph" w:styleId="684">
    <w:name w:val="标题 4"/>
    <w:basedOn w:val="680"/>
    <w:next w:val="695"/>
    <w:link w:val="697"/>
    <w:qFormat/>
    <w:pPr>
      <w:keepLines/>
      <w:keepNext/>
      <w:spacing w:before="280" w:after="290" w:line="376" w:lineRule="auto"/>
      <w:outlineLvl w:val="3"/>
    </w:pPr>
    <w:rPr>
      <w:rFonts w:ascii="Arial" w:hAnsi="Arial" w:eastAsia="黑体" w:cs="Arial"/>
      <w:b/>
      <w:bCs/>
      <w:sz w:val="28"/>
      <w:szCs w:val="28"/>
    </w:rPr>
  </w:style>
  <w:style w:type="paragraph" w:styleId="685">
    <w:name w:val="标题 5"/>
    <w:basedOn w:val="680"/>
    <w:next w:val="695"/>
    <w:link w:val="698"/>
    <w:qFormat/>
    <w:pPr>
      <w:keepNext/>
      <w:outlineLvl w:val="4"/>
    </w:pPr>
    <w:rPr>
      <w:rFonts w:ascii="宋体"/>
      <w:color w:val="000000"/>
      <w:sz w:val="28"/>
      <w:szCs w:val="28"/>
    </w:rPr>
  </w:style>
  <w:style w:type="paragraph" w:styleId="686">
    <w:name w:val="标题 6"/>
    <w:basedOn w:val="680"/>
    <w:next w:val="680"/>
    <w:link w:val="699"/>
    <w:qFormat/>
    <w:pPr>
      <w:numPr>
        <w:ilvl w:val="5"/>
        <w:numId w:val="1"/>
      </w:numPr>
      <w:keepLines/>
      <w:keepNext/>
      <w:spacing w:before="240" w:after="64" w:line="320" w:lineRule="auto"/>
      <w:outlineLvl w:val="5"/>
    </w:pPr>
    <w:rPr>
      <w:rFonts w:ascii="Arial" w:hAnsi="Arial" w:eastAsia="黑体"/>
      <w:b/>
      <w:bCs/>
      <w:sz w:val="24"/>
      <w:szCs w:val="24"/>
    </w:rPr>
  </w:style>
  <w:style w:type="paragraph" w:styleId="687">
    <w:name w:val="标题 7"/>
    <w:basedOn w:val="680"/>
    <w:next w:val="680"/>
    <w:link w:val="700"/>
    <w:qFormat/>
    <w:pPr>
      <w:numPr>
        <w:ilvl w:val="6"/>
        <w:numId w:val="1"/>
      </w:numPr>
      <w:keepLines/>
      <w:keepNext/>
      <w:spacing w:before="240" w:after="64" w:line="320" w:lineRule="auto"/>
      <w:outlineLvl w:val="6"/>
    </w:pPr>
    <w:rPr>
      <w:b/>
      <w:bCs/>
      <w:sz w:val="24"/>
      <w:szCs w:val="24"/>
    </w:rPr>
  </w:style>
  <w:style w:type="paragraph" w:styleId="688">
    <w:name w:val="标题 8"/>
    <w:basedOn w:val="680"/>
    <w:next w:val="680"/>
    <w:link w:val="701"/>
    <w:qFormat/>
    <w:pPr>
      <w:numPr>
        <w:ilvl w:val="7"/>
        <w:numId w:val="1"/>
      </w:numPr>
      <w:keepLines/>
      <w:keepNext/>
      <w:spacing w:before="240" w:after="64" w:line="320" w:lineRule="auto"/>
      <w:outlineLvl w:val="7"/>
    </w:pPr>
    <w:rPr>
      <w:rFonts w:ascii="Arial" w:hAnsi="Arial" w:eastAsia="黑体"/>
      <w:sz w:val="24"/>
      <w:szCs w:val="24"/>
    </w:rPr>
  </w:style>
  <w:style w:type="paragraph" w:styleId="689">
    <w:name w:val="标题 9"/>
    <w:basedOn w:val="680"/>
    <w:next w:val="680"/>
    <w:link w:val="702"/>
    <w:qFormat/>
    <w:pPr>
      <w:numPr>
        <w:ilvl w:val="8"/>
        <w:numId w:val="1"/>
      </w:numPr>
      <w:keepLines/>
      <w:keepNext/>
      <w:spacing w:before="240" w:after="64" w:line="320" w:lineRule="auto"/>
      <w:outlineLvl w:val="8"/>
    </w:pPr>
    <w:rPr>
      <w:rFonts w:ascii="Arial" w:hAnsi="Arial" w:eastAsia="黑体"/>
    </w:rPr>
  </w:style>
  <w:style w:type="character" w:styleId="690">
    <w:name w:val="默认段落字体"/>
    <w:next w:val="690"/>
    <w:link w:val="680"/>
    <w:uiPriority w:val="1"/>
    <w:unhideWhenUsed/>
  </w:style>
  <w:style w:type="table" w:styleId="691">
    <w:name w:val="普通表格"/>
    <w:next w:val="691"/>
    <w:link w:val="680"/>
    <w:uiPriority w:val="99"/>
    <w:unhideWhenUsed/>
    <w:tblPr/>
  </w:style>
  <w:style w:type="character" w:styleId="692">
    <w:name w:val="标题 1 Char"/>
    <w:next w:val="692"/>
    <w:link w:val="681"/>
    <w:rPr>
      <w:rFonts w:ascii="楷体_GB2312" w:hAnsi="Times New Roman" w:eastAsia="楷体_GB2312" w:cs="Times New Roman"/>
      <w:sz w:val="28"/>
      <w:szCs w:val="28"/>
    </w:rPr>
  </w:style>
  <w:style w:type="character" w:styleId="693">
    <w:name w:val="标题 2 Char"/>
    <w:next w:val="693"/>
    <w:link w:val="682"/>
    <w:rPr>
      <w:rFonts w:ascii="Arial" w:hAnsi="Arial" w:eastAsia="幼圆" w:cs="Arial"/>
      <w:b/>
      <w:bCs/>
      <w:sz w:val="44"/>
      <w:szCs w:val="44"/>
    </w:rPr>
  </w:style>
  <w:style w:type="character" w:styleId="694">
    <w:name w:val="标题 3 Char"/>
    <w:next w:val="694"/>
    <w:link w:val="683"/>
    <w:rPr>
      <w:rFonts w:ascii="Times New Roman" w:hAnsi="Times New Roman" w:eastAsia="宋体" w:cs="Times New Roman"/>
      <w:b/>
      <w:bCs/>
      <w:sz w:val="32"/>
      <w:szCs w:val="32"/>
    </w:rPr>
  </w:style>
  <w:style w:type="paragraph" w:styleId="695">
    <w:name w:val="正文缩进"/>
    <w:basedOn w:val="680"/>
    <w:next w:val="680"/>
    <w:link w:val="696"/>
    <w:pPr>
      <w:ind w:firstLine="420"/>
    </w:pPr>
  </w:style>
  <w:style w:type="character" w:styleId="696">
    <w:name w:val="正文缩进 Char"/>
    <w:next w:val="696"/>
    <w:link w:val="695"/>
    <w:rPr>
      <w:rFonts w:ascii="Times New Roman" w:hAnsi="Times New Roman" w:eastAsia="宋体" w:cs="Times New Roman"/>
      <w:szCs w:val="21"/>
    </w:rPr>
  </w:style>
  <w:style w:type="character" w:styleId="697">
    <w:name w:val="标题 4 Char"/>
    <w:next w:val="697"/>
    <w:link w:val="684"/>
    <w:rPr>
      <w:rFonts w:ascii="Arial" w:hAnsi="Arial" w:eastAsia="黑体" w:cs="Arial"/>
      <w:b/>
      <w:bCs/>
      <w:sz w:val="28"/>
      <w:szCs w:val="28"/>
    </w:rPr>
  </w:style>
  <w:style w:type="character" w:styleId="698">
    <w:name w:val="标题 5 Char"/>
    <w:next w:val="698"/>
    <w:link w:val="685"/>
    <w:rPr>
      <w:rFonts w:ascii="宋体" w:hAnsi="Times New Roman" w:eastAsia="宋体" w:cs="Times New Roman"/>
      <w:color w:val="000000"/>
      <w:sz w:val="28"/>
      <w:szCs w:val="28"/>
    </w:rPr>
  </w:style>
  <w:style w:type="character" w:styleId="699">
    <w:name w:val="标题 6 Char"/>
    <w:next w:val="699"/>
    <w:link w:val="686"/>
    <w:rPr>
      <w:rFonts w:ascii="Arial" w:hAnsi="Arial" w:eastAsia="黑体" w:cs="Times New Roman"/>
      <w:b/>
      <w:bCs/>
      <w:sz w:val="24"/>
      <w:szCs w:val="24"/>
    </w:rPr>
  </w:style>
  <w:style w:type="character" w:styleId="700">
    <w:name w:val="标题 7 Char"/>
    <w:next w:val="700"/>
    <w:link w:val="687"/>
    <w:rPr>
      <w:rFonts w:ascii="Times New Roman" w:hAnsi="Times New Roman" w:eastAsia="宋体" w:cs="Times New Roman"/>
      <w:b/>
      <w:bCs/>
      <w:sz w:val="24"/>
      <w:szCs w:val="24"/>
    </w:rPr>
  </w:style>
  <w:style w:type="character" w:styleId="701">
    <w:name w:val="标题 8 Char"/>
    <w:next w:val="701"/>
    <w:link w:val="688"/>
    <w:rPr>
      <w:rFonts w:ascii="Arial" w:hAnsi="Arial" w:eastAsia="黑体" w:cs="Times New Roman"/>
      <w:sz w:val="24"/>
      <w:szCs w:val="24"/>
    </w:rPr>
  </w:style>
  <w:style w:type="character" w:styleId="702">
    <w:name w:val="标题 9 Char"/>
    <w:next w:val="702"/>
    <w:link w:val="689"/>
    <w:rPr>
      <w:rFonts w:ascii="Arial" w:hAnsi="Arial" w:eastAsia="黑体" w:cs="Times New Roman"/>
      <w:szCs w:val="21"/>
    </w:rPr>
  </w:style>
  <w:style w:type="paragraph" w:styleId="703">
    <w:name w:val="列表 3"/>
    <w:basedOn w:val="680"/>
    <w:next w:val="703"/>
    <w:link w:val="680"/>
    <w:pPr>
      <w:ind w:left="100" w:hanging="200"/>
    </w:pPr>
  </w:style>
  <w:style w:type="paragraph" w:styleId="704">
    <w:name w:val="目录 7"/>
    <w:basedOn w:val="680"/>
    <w:next w:val="680"/>
    <w:link w:val="680"/>
    <w:semiHidden/>
    <w:pPr>
      <w:ind w:left="1260"/>
      <w:jc w:val="left"/>
    </w:pPr>
  </w:style>
  <w:style w:type="paragraph" w:styleId="705">
    <w:name w:val="文档结构图"/>
    <w:basedOn w:val="680"/>
    <w:next w:val="705"/>
    <w:link w:val="706"/>
    <w:semiHidden/>
    <w:pPr>
      <w:shd w:val="clear" w:color="auto" w:fill="000080"/>
    </w:pPr>
  </w:style>
  <w:style w:type="character" w:styleId="706">
    <w:name w:val="文档结构图 Char"/>
    <w:next w:val="706"/>
    <w:link w:val="705"/>
    <w:semiHidden/>
    <w:rPr>
      <w:rFonts w:ascii="Times New Roman" w:hAnsi="Times New Roman" w:eastAsia="宋体" w:cs="Times New Roman"/>
      <w:szCs w:val="21"/>
      <w:shd w:val="clear" w:color="auto" w:fill="000080"/>
    </w:rPr>
  </w:style>
  <w:style w:type="paragraph" w:styleId="707">
    <w:name w:val="批注文字"/>
    <w:basedOn w:val="680"/>
    <w:next w:val="707"/>
    <w:link w:val="708"/>
    <w:semiHidden/>
    <w:pPr>
      <w:jc w:val="left"/>
    </w:pPr>
  </w:style>
  <w:style w:type="character" w:styleId="708">
    <w:name w:val="批注文字 Char"/>
    <w:next w:val="708"/>
    <w:link w:val="707"/>
    <w:semiHidden/>
    <w:rPr>
      <w:rFonts w:ascii="Times New Roman" w:hAnsi="Times New Roman" w:eastAsia="宋体" w:cs="Times New Roman"/>
      <w:szCs w:val="21"/>
    </w:rPr>
  </w:style>
  <w:style w:type="paragraph" w:styleId="709">
    <w:name w:val="正文文本 3"/>
    <w:basedOn w:val="680"/>
    <w:next w:val="709"/>
    <w:link w:val="710"/>
    <w:rPr>
      <w:rFonts w:ascii="仿宋_GB2312" w:hAnsi="Arial" w:eastAsia="仿宋_GB2312"/>
      <w:sz w:val="32"/>
      <w:szCs w:val="32"/>
    </w:rPr>
  </w:style>
  <w:style w:type="character" w:styleId="710">
    <w:name w:val="正文文本 3 Char"/>
    <w:next w:val="710"/>
    <w:link w:val="709"/>
    <w:rPr>
      <w:rFonts w:ascii="仿宋_GB2312" w:hAnsi="Arial" w:eastAsia="仿宋_GB2312" w:cs="Times New Roman"/>
      <w:sz w:val="32"/>
      <w:szCs w:val="32"/>
    </w:rPr>
  </w:style>
  <w:style w:type="paragraph" w:styleId="711">
    <w:name w:val="正文文本"/>
    <w:basedOn w:val="680"/>
    <w:next w:val="711"/>
    <w:link w:val="712"/>
    <w:rPr>
      <w:rFonts w:ascii="楷体_GB2312" w:hAnsi="Arial" w:eastAsia="楷体_GB2312"/>
      <w:sz w:val="28"/>
      <w:szCs w:val="28"/>
    </w:rPr>
  </w:style>
  <w:style w:type="character" w:styleId="712">
    <w:name w:val="正文文本 Char"/>
    <w:next w:val="712"/>
    <w:link w:val="711"/>
    <w:rPr>
      <w:rFonts w:ascii="楷体_GB2312" w:hAnsi="Arial" w:eastAsia="楷体_GB2312" w:cs="Times New Roman"/>
      <w:sz w:val="28"/>
      <w:szCs w:val="28"/>
    </w:rPr>
  </w:style>
  <w:style w:type="paragraph" w:styleId="713">
    <w:name w:val="正文文本缩进"/>
    <w:basedOn w:val="680"/>
    <w:next w:val="680"/>
    <w:link w:val="714"/>
    <w:pPr>
      <w:ind w:firstLine="645"/>
    </w:pPr>
    <w:rPr>
      <w:rFonts w:ascii="楷体_GB2312" w:eastAsia="楷体_GB2312"/>
      <w:sz w:val="32"/>
      <w:szCs w:val="32"/>
    </w:rPr>
  </w:style>
  <w:style w:type="character" w:styleId="714">
    <w:name w:val="正文文本缩进 Char"/>
    <w:next w:val="714"/>
    <w:link w:val="713"/>
    <w:rPr>
      <w:rFonts w:ascii="楷体_GB2312" w:hAnsi="Times New Roman" w:eastAsia="楷体_GB2312" w:cs="Times New Roman"/>
      <w:sz w:val="32"/>
      <w:szCs w:val="32"/>
    </w:rPr>
  </w:style>
  <w:style w:type="paragraph" w:styleId="715">
    <w:name w:val="列表 2"/>
    <w:basedOn w:val="680"/>
    <w:next w:val="715"/>
    <w:link w:val="680"/>
    <w:pPr>
      <w:ind w:left="100" w:hanging="200"/>
    </w:pPr>
  </w:style>
  <w:style w:type="paragraph" w:styleId="716">
    <w:name w:val="目录 5"/>
    <w:basedOn w:val="680"/>
    <w:next w:val="680"/>
    <w:link w:val="680"/>
    <w:semiHidden/>
    <w:pPr>
      <w:ind w:left="840"/>
      <w:jc w:val="left"/>
    </w:pPr>
  </w:style>
  <w:style w:type="paragraph" w:styleId="717">
    <w:name w:val="目录 3"/>
    <w:basedOn w:val="680"/>
    <w:next w:val="680"/>
    <w:link w:val="680"/>
    <w:semiHidden/>
    <w:pPr>
      <w:ind w:left="420"/>
      <w:jc w:val="left"/>
    </w:pPr>
    <w:rPr>
      <w:i/>
      <w:iCs/>
      <w:szCs w:val="24"/>
    </w:rPr>
  </w:style>
  <w:style w:type="paragraph" w:styleId="718">
    <w:name w:val="纯文本"/>
    <w:basedOn w:val="680"/>
    <w:next w:val="718"/>
    <w:link w:val="719"/>
    <w:rPr>
      <w:rFonts w:ascii="宋体" w:hAnsi="Courier New" w:cs="Courier New"/>
    </w:rPr>
  </w:style>
  <w:style w:type="character" w:styleId="719">
    <w:name w:val="纯文本 Char"/>
    <w:next w:val="719"/>
    <w:link w:val="718"/>
    <w:rPr>
      <w:rFonts w:ascii="宋体" w:hAnsi="Courier New" w:eastAsia="宋体" w:cs="Courier New"/>
      <w:szCs w:val="21"/>
    </w:rPr>
  </w:style>
  <w:style w:type="paragraph" w:styleId="720">
    <w:name w:val="目录 8"/>
    <w:basedOn w:val="680"/>
    <w:next w:val="680"/>
    <w:link w:val="680"/>
    <w:semiHidden/>
    <w:pPr>
      <w:ind w:left="1470"/>
      <w:jc w:val="left"/>
    </w:pPr>
  </w:style>
  <w:style w:type="paragraph" w:styleId="721">
    <w:name w:val="日期"/>
    <w:basedOn w:val="680"/>
    <w:next w:val="680"/>
    <w:link w:val="722"/>
    <w:rPr>
      <w:sz w:val="24"/>
      <w:szCs w:val="24"/>
    </w:rPr>
  </w:style>
  <w:style w:type="character" w:styleId="722">
    <w:name w:val="日期 Char"/>
    <w:next w:val="722"/>
    <w:link w:val="721"/>
    <w:rPr>
      <w:rFonts w:ascii="Times New Roman" w:hAnsi="Times New Roman" w:eastAsia="宋体" w:cs="Times New Roman"/>
      <w:sz w:val="24"/>
      <w:szCs w:val="24"/>
    </w:rPr>
  </w:style>
  <w:style w:type="paragraph" w:styleId="723">
    <w:name w:val="正文文本缩进 2"/>
    <w:basedOn w:val="680"/>
    <w:next w:val="723"/>
    <w:link w:val="724"/>
    <w:pPr>
      <w:ind w:left="630" w:firstLine="645"/>
    </w:pPr>
    <w:rPr>
      <w:rFonts w:ascii="Arial" w:hAnsi="Arial" w:eastAsia="仿宋_GB2312" w:cs="Arial"/>
      <w:sz w:val="32"/>
      <w:szCs w:val="32"/>
    </w:rPr>
  </w:style>
  <w:style w:type="character" w:styleId="724">
    <w:name w:val="正文文本缩进 2 Char"/>
    <w:next w:val="724"/>
    <w:link w:val="723"/>
    <w:rPr>
      <w:rFonts w:ascii="Arial" w:hAnsi="Arial" w:eastAsia="仿宋_GB2312" w:cs="Arial"/>
      <w:sz w:val="32"/>
      <w:szCs w:val="32"/>
    </w:rPr>
  </w:style>
  <w:style w:type="paragraph" w:styleId="725">
    <w:name w:val="批注框文本"/>
    <w:basedOn w:val="680"/>
    <w:next w:val="725"/>
    <w:link w:val="726"/>
    <w:semiHidden/>
    <w:rPr>
      <w:sz w:val="18"/>
      <w:szCs w:val="18"/>
    </w:rPr>
  </w:style>
  <w:style w:type="character" w:styleId="726">
    <w:name w:val="批注框文本 Char"/>
    <w:next w:val="726"/>
    <w:link w:val="725"/>
    <w:semiHidden/>
    <w:rPr>
      <w:rFonts w:ascii="Times New Roman" w:hAnsi="Times New Roman" w:eastAsia="宋体" w:cs="Times New Roman"/>
      <w:sz w:val="18"/>
      <w:szCs w:val="18"/>
    </w:rPr>
  </w:style>
  <w:style w:type="paragraph" w:styleId="727">
    <w:name w:val="页脚"/>
    <w:basedOn w:val="680"/>
    <w:next w:val="727"/>
    <w:link w:val="728"/>
    <w:pPr>
      <w:jc w:val="left"/>
      <w:tabs>
        <w:tab w:val="center" w:pos="4153" w:leader="none"/>
        <w:tab w:val="right" w:pos="8306" w:leader="none"/>
      </w:tabs>
    </w:pPr>
    <w:rPr>
      <w:sz w:val="18"/>
      <w:szCs w:val="18"/>
    </w:rPr>
  </w:style>
  <w:style w:type="character" w:styleId="728">
    <w:name w:val="页脚 Char"/>
    <w:next w:val="728"/>
    <w:link w:val="727"/>
    <w:rPr>
      <w:rFonts w:ascii="Times New Roman" w:hAnsi="Times New Roman" w:eastAsia="宋体" w:cs="Times New Roman"/>
      <w:sz w:val="18"/>
      <w:szCs w:val="18"/>
    </w:rPr>
  </w:style>
  <w:style w:type="paragraph" w:styleId="729">
    <w:name w:val="页眉"/>
    <w:basedOn w:val="680"/>
    <w:next w:val="729"/>
    <w:link w:val="730"/>
    <w:pPr>
      <w:jc w:val="center"/>
      <w:tabs>
        <w:tab w:val="center" w:pos="4153" w:leader="none"/>
        <w:tab w:val="right" w:pos="8306" w:leader="none"/>
      </w:tabs>
      <w:pBdr>
        <w:bottom w:val="single" w:color="000000" w:sz="6" w:space="1"/>
      </w:pBdr>
    </w:pPr>
    <w:rPr>
      <w:sz w:val="18"/>
      <w:szCs w:val="18"/>
    </w:rPr>
  </w:style>
  <w:style w:type="character" w:styleId="730">
    <w:name w:val="页眉 Char"/>
    <w:next w:val="730"/>
    <w:link w:val="729"/>
    <w:rPr>
      <w:rFonts w:ascii="Times New Roman" w:hAnsi="Times New Roman" w:eastAsia="宋体" w:cs="Times New Roman"/>
      <w:sz w:val="18"/>
      <w:szCs w:val="18"/>
    </w:rPr>
  </w:style>
  <w:style w:type="paragraph" w:styleId="731">
    <w:name w:val="目录 1"/>
    <w:basedOn w:val="680"/>
    <w:next w:val="680"/>
    <w:link w:val="680"/>
    <w:semiHidden/>
    <w:pPr>
      <w:jc w:val="left"/>
      <w:spacing w:before="120" w:after="120" w:line="400" w:lineRule="exact"/>
      <w:tabs>
        <w:tab w:val="right" w:pos="8720" w:leader="dot"/>
      </w:tabs>
    </w:pPr>
    <w:rPr>
      <w:rFonts w:ascii="宋体" w:hAnsi="宋体"/>
      <w:caps/>
      <w:sz w:val="24"/>
      <w:szCs w:val="24"/>
    </w:rPr>
  </w:style>
  <w:style w:type="paragraph" w:styleId="732">
    <w:name w:val="目录 4"/>
    <w:basedOn w:val="680"/>
    <w:next w:val="680"/>
    <w:link w:val="680"/>
    <w:semiHidden/>
    <w:pPr>
      <w:ind w:left="630"/>
      <w:jc w:val="left"/>
    </w:pPr>
  </w:style>
  <w:style w:type="paragraph" w:styleId="733">
    <w:name w:val="列表"/>
    <w:basedOn w:val="680"/>
    <w:next w:val="733"/>
    <w:link w:val="680"/>
    <w:pPr>
      <w:ind w:left="200" w:hanging="200"/>
    </w:pPr>
  </w:style>
  <w:style w:type="paragraph" w:styleId="734">
    <w:name w:val="目录 6"/>
    <w:basedOn w:val="680"/>
    <w:next w:val="680"/>
    <w:link w:val="680"/>
    <w:semiHidden/>
    <w:pPr>
      <w:ind w:left="1050"/>
      <w:jc w:val="left"/>
    </w:pPr>
  </w:style>
  <w:style w:type="paragraph" w:styleId="735">
    <w:name w:val="正文文本缩进 3"/>
    <w:basedOn w:val="680"/>
    <w:next w:val="735"/>
    <w:link w:val="736"/>
    <w:pPr>
      <w:ind w:left="645" w:firstLine="645"/>
    </w:pPr>
    <w:rPr>
      <w:rFonts w:ascii="Arial" w:hAnsi="Arial" w:eastAsia="仿宋_GB2312" w:cs="Arial"/>
      <w:color w:val="ffff00"/>
      <w:sz w:val="32"/>
      <w:szCs w:val="32"/>
    </w:rPr>
  </w:style>
  <w:style w:type="character" w:styleId="736">
    <w:name w:val="正文文本缩进 3 Char"/>
    <w:next w:val="736"/>
    <w:link w:val="735"/>
    <w:rPr>
      <w:rFonts w:ascii="Arial" w:hAnsi="Arial" w:eastAsia="仿宋_GB2312" w:cs="Arial"/>
      <w:color w:val="ffff00"/>
      <w:sz w:val="32"/>
      <w:szCs w:val="32"/>
    </w:rPr>
  </w:style>
  <w:style w:type="paragraph" w:styleId="737">
    <w:name w:val="图表目录"/>
    <w:basedOn w:val="680"/>
    <w:next w:val="680"/>
    <w:link w:val="680"/>
    <w:semiHidden/>
    <w:pPr>
      <w:ind w:left="840" w:hanging="420"/>
    </w:pPr>
  </w:style>
  <w:style w:type="paragraph" w:styleId="738">
    <w:name w:val="目录 2"/>
    <w:basedOn w:val="680"/>
    <w:next w:val="680"/>
    <w:link w:val="680"/>
    <w:semiHidden/>
    <w:pPr>
      <w:ind w:left="210"/>
      <w:jc w:val="left"/>
    </w:pPr>
    <w:rPr>
      <w:smallCaps/>
      <w:szCs w:val="24"/>
    </w:rPr>
  </w:style>
  <w:style w:type="paragraph" w:styleId="739">
    <w:name w:val="目录 9"/>
    <w:basedOn w:val="680"/>
    <w:next w:val="680"/>
    <w:link w:val="680"/>
    <w:semiHidden/>
    <w:pPr>
      <w:ind w:left="1680"/>
      <w:jc w:val="left"/>
    </w:pPr>
  </w:style>
  <w:style w:type="paragraph" w:styleId="740">
    <w:name w:val="正文文本 2"/>
    <w:basedOn w:val="680"/>
    <w:next w:val="740"/>
    <w:link w:val="741"/>
    <w:pPr>
      <w:jc w:val="center"/>
      <w:widowControl/>
    </w:pPr>
    <w:rPr>
      <w:rFonts w:ascii="楷体_GB2312" w:eastAsia="楷体_GB2312"/>
      <w:sz w:val="28"/>
      <w:szCs w:val="28"/>
    </w:rPr>
  </w:style>
  <w:style w:type="character" w:styleId="741">
    <w:name w:val="正文文本 2 Char"/>
    <w:next w:val="741"/>
    <w:link w:val="740"/>
    <w:rPr>
      <w:rFonts w:ascii="楷体_GB2312" w:hAnsi="Times New Roman" w:eastAsia="楷体_GB2312" w:cs="Times New Roman"/>
      <w:sz w:val="28"/>
      <w:szCs w:val="28"/>
    </w:rPr>
  </w:style>
  <w:style w:type="paragraph" w:styleId="742">
    <w:name w:val="普通(网站)"/>
    <w:basedOn w:val="680"/>
    <w:next w:val="742"/>
    <w:link w:val="680"/>
    <w:uiPriority w:val="99"/>
    <w:pPr>
      <w:jc w:val="left"/>
      <w:spacing w:before="100" w:beforeAutospacing="1" w:after="100" w:afterAutospacing="1"/>
      <w:widowControl/>
    </w:pPr>
    <w:rPr>
      <w:rFonts w:ascii="宋体" w:hAnsi="宋体" w:cs="宋体"/>
      <w:sz w:val="24"/>
      <w:szCs w:val="24"/>
    </w:rPr>
  </w:style>
  <w:style w:type="paragraph" w:styleId="743">
    <w:name w:val="索引 1"/>
    <w:basedOn w:val="680"/>
    <w:next w:val="680"/>
    <w:link w:val="680"/>
    <w:semiHidden/>
    <w:pPr>
      <w:spacing w:line="240" w:lineRule="atLeast"/>
    </w:pPr>
    <w:rPr>
      <w:b/>
      <w:bCs/>
    </w:rPr>
  </w:style>
  <w:style w:type="paragraph" w:styleId="744">
    <w:name w:val="批注主题"/>
    <w:basedOn w:val="707"/>
    <w:next w:val="707"/>
    <w:link w:val="745"/>
    <w:semiHidden/>
    <w:rPr>
      <w:b/>
      <w:bCs/>
    </w:rPr>
  </w:style>
  <w:style w:type="character" w:styleId="745">
    <w:name w:val="批注主题 Char"/>
    <w:next w:val="745"/>
    <w:link w:val="744"/>
    <w:semiHidden/>
    <w:rPr>
      <w:rFonts w:ascii="Times New Roman" w:hAnsi="Times New Roman" w:eastAsia="宋体" w:cs="Times New Roman"/>
      <w:b/>
      <w:bCs/>
      <w:szCs w:val="21"/>
    </w:rPr>
  </w:style>
  <w:style w:type="paragraph" w:styleId="746">
    <w:name w:val="正文首行缩进"/>
    <w:basedOn w:val="680"/>
    <w:next w:val="746"/>
    <w:link w:val="747"/>
    <w:pPr>
      <w:ind w:firstLine="200"/>
      <w:spacing w:line="360" w:lineRule="auto"/>
    </w:pPr>
    <w:rPr>
      <w:rFonts w:ascii="仿宋_GB2312" w:eastAsia="仿宋_GB2312"/>
      <w:sz w:val="30"/>
      <w:szCs w:val="30"/>
    </w:rPr>
  </w:style>
  <w:style w:type="character" w:styleId="747">
    <w:name w:val="正文首行缩进 Char"/>
    <w:next w:val="747"/>
    <w:link w:val="746"/>
    <w:rPr>
      <w:rFonts w:ascii="仿宋_GB2312" w:hAnsi="Times New Roman" w:eastAsia="仿宋_GB2312" w:cs="Times New Roman"/>
      <w:sz w:val="30"/>
      <w:szCs w:val="30"/>
    </w:rPr>
  </w:style>
  <w:style w:type="paragraph" w:styleId="748">
    <w:name w:val="正文首行缩进 2"/>
    <w:basedOn w:val="713"/>
    <w:next w:val="748"/>
    <w:link w:val="749"/>
    <w:pPr>
      <w:ind w:firstLine="420"/>
      <w:spacing w:line="360" w:lineRule="auto"/>
    </w:pPr>
    <w:rPr>
      <w:rFonts w:ascii="宋体" w:hAnsi="宋体" w:eastAsia="宋体"/>
      <w:sz w:val="21"/>
      <w:szCs w:val="20"/>
    </w:rPr>
  </w:style>
  <w:style w:type="character" w:styleId="749">
    <w:name w:val="正文首行缩进 2 Char"/>
    <w:next w:val="749"/>
    <w:link w:val="748"/>
    <w:rPr>
      <w:rFonts w:ascii="宋体" w:hAnsi="宋体" w:eastAsia="宋体" w:cs="Times New Roman"/>
      <w:sz w:val="32"/>
      <w:szCs w:val="20"/>
    </w:rPr>
  </w:style>
  <w:style w:type="table" w:styleId="750">
    <w:name w:val="网格型"/>
    <w:basedOn w:val="691"/>
    <w:next w:val="750"/>
    <w:link w:val="680"/>
    <w:pPr>
      <w:jc w:val="both"/>
      <w:widowControl w:val="off"/>
    </w:pPr>
    <w:rPr>
      <w:rFonts w:ascii="Times New Roman" w:hAnsi="Times New Roman" w:eastAsia="宋体" w:cs="Times New Roman"/>
      <w:sz w:val="20"/>
      <w:szCs w:val="20"/>
    </w:rPr>
    <w:tblPr/>
  </w:style>
  <w:style w:type="character" w:styleId="751">
    <w:name w:val="要点"/>
    <w:next w:val="751"/>
    <w:link w:val="680"/>
    <w:qFormat/>
    <w:rPr>
      <w:b/>
      <w:bCs/>
    </w:rPr>
  </w:style>
  <w:style w:type="character" w:styleId="752">
    <w:name w:val="页码"/>
    <w:next w:val="752"/>
    <w:link w:val="680"/>
  </w:style>
  <w:style w:type="character" w:styleId="753">
    <w:name w:val="已访问的超链接"/>
    <w:next w:val="753"/>
    <w:link w:val="680"/>
    <w:rPr>
      <w:color w:val="800080"/>
      <w:u w:val="single"/>
    </w:rPr>
  </w:style>
  <w:style w:type="character" w:styleId="754">
    <w:name w:val="超链接"/>
    <w:next w:val="754"/>
    <w:link w:val="680"/>
    <w:rPr>
      <w:color w:val="0000ff"/>
      <w:u w:val="single"/>
    </w:rPr>
  </w:style>
  <w:style w:type="character" w:styleId="755">
    <w:name w:val="批注引用"/>
    <w:next w:val="755"/>
    <w:link w:val="680"/>
    <w:semiHidden/>
    <w:rPr>
      <w:sz w:val="21"/>
      <w:szCs w:val="21"/>
    </w:rPr>
  </w:style>
  <w:style w:type="paragraph" w:styleId="756">
    <w:name w:val="正文空2字"/>
    <w:basedOn w:val="757"/>
    <w:next w:val="756"/>
    <w:link w:val="680"/>
    <w:uiPriority w:val="99"/>
    <w:qFormat/>
    <w:pPr>
      <w:ind w:firstLine="640"/>
      <w:spacing w:line="560" w:lineRule="exact"/>
      <w:widowControl w:val="off"/>
    </w:pPr>
    <w:rPr>
      <w:rFonts w:ascii="仿宋_GB2312" w:hAnsi="仿宋_GB2312" w:cs="仿宋_GB2312"/>
      <w:lang w:val="zh-TW"/>
    </w:rPr>
  </w:style>
  <w:style w:type="paragraph" w:styleId="757">
    <w:name w:val="左对齐正文"/>
    <w:next w:val="757"/>
    <w:link w:val="680"/>
    <w:uiPriority w:val="99"/>
    <w:qFormat/>
    <w:rPr>
      <w:rFonts w:ascii="Calibri" w:hAnsi="Calibri" w:eastAsia="仿宋_GB2312" w:cs="Calibri"/>
      <w:sz w:val="32"/>
      <w:szCs w:val="32"/>
      <w:lang w:val="en-US" w:eastAsia="zh-CN" w:bidi="ar-SA"/>
    </w:rPr>
  </w:style>
  <w:style w:type="paragraph" w:styleId="758">
    <w:name w:val="索引 41"/>
    <w:basedOn w:val="680"/>
    <w:next w:val="680"/>
    <w:link w:val="680"/>
    <w:semiHidden/>
    <w:qFormat/>
    <w:pPr>
      <w:ind w:left="1260"/>
    </w:pPr>
    <w:rPr>
      <w:rFonts w:ascii="Calibri" w:hAnsi="Calibri" w:eastAsia="Calibri" w:cs="宋体"/>
      <w:sz w:val="20"/>
      <w:lang w:val="zh-CN"/>
    </w:rPr>
  </w:style>
  <w:style w:type="character" w:styleId="759">
    <w:name w:val="font5 Char"/>
    <w:next w:val="759"/>
    <w:link w:val="680"/>
    <w:rPr>
      <w:rFonts w:ascii="宋体" w:hAnsi="宋体" w:eastAsia="宋体"/>
      <w:sz w:val="28"/>
      <w:szCs w:val="28"/>
      <w:lang w:val="en-US" w:eastAsia="zh-CN" w:bidi="ar-SA"/>
    </w:rPr>
  </w:style>
  <w:style w:type="character" w:styleId="760">
    <w:name w:val="二级目录 Char"/>
    <w:next w:val="760"/>
    <w:link w:val="761"/>
    <w:rPr>
      <w:b/>
      <w:sz w:val="30"/>
      <w:szCs w:val="28"/>
    </w:rPr>
  </w:style>
  <w:style w:type="paragraph" w:styleId="761">
    <w:name w:val="二级目录"/>
    <w:next w:val="680"/>
    <w:link w:val="760"/>
    <w:pPr>
      <w:numPr>
        <w:ilvl w:val="0"/>
        <w:numId w:val="2"/>
      </w:numPr>
      <w:tabs>
        <w:tab w:val="left" w:pos="907" w:leader="none"/>
        <w:tab w:val="left" w:pos="1145" w:leader="none"/>
      </w:tabs>
      <w:outlineLvl w:val="1"/>
    </w:pPr>
    <w:rPr>
      <w:b/>
      <w:sz w:val="30"/>
      <w:szCs w:val="28"/>
      <w:lang w:val="en-US" w:eastAsia="zh-CN" w:bidi="ar-SA"/>
    </w:rPr>
  </w:style>
  <w:style w:type="character" w:styleId="762">
    <w:name w:val="列出段落 Char,Bullet List Char,numbered Char,FooterText Char,List Paragraph1 Char,Paragraphe de liste1 Char"/>
    <w:next w:val="762"/>
    <w:link w:val="763"/>
    <w:rPr>
      <w:rFonts w:ascii="Calibri" w:hAnsi="Calibri"/>
      <w:sz w:val="24"/>
      <w:szCs w:val="24"/>
      <w:lang w:eastAsia="en-US" w:bidi="en-US"/>
    </w:rPr>
  </w:style>
  <w:style w:type="paragraph" w:styleId="763">
    <w:name w:val="列出段落1"/>
    <w:basedOn w:val="680"/>
    <w:next w:val="763"/>
    <w:link w:val="762"/>
    <w:qFormat/>
    <w:pPr>
      <w:contextualSpacing/>
      <w:ind w:left="720"/>
      <w:jc w:val="left"/>
      <w:widowControl/>
    </w:pPr>
    <w:rPr>
      <w:rFonts w:ascii="Calibri" w:hAnsi="Calibri" w:eastAsia="宋体" w:cs="Times New Roman"/>
      <w:sz w:val="24"/>
      <w:szCs w:val="24"/>
      <w:lang w:eastAsia="en-US" w:bidi="en-US"/>
    </w:rPr>
  </w:style>
  <w:style w:type="paragraph" w:styleId="764">
    <w:name w:val="Body Text(ch)"/>
    <w:basedOn w:val="680"/>
    <w:next w:val="711"/>
    <w:link w:val="680"/>
    <w:pPr>
      <w:spacing w:after="120"/>
    </w:pPr>
    <w:rPr>
      <w:rFonts w:ascii="宋体" w:hAnsi="Arial"/>
      <w:bCs/>
      <w:iCs/>
      <w:szCs w:val="24"/>
    </w:rPr>
  </w:style>
  <w:style w:type="paragraph" w:styleId="765">
    <w:name w:val="xl27"/>
    <w:basedOn w:val="680"/>
    <w:next w:val="765"/>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6">
    <w:name w:val="xl26"/>
    <w:basedOn w:val="680"/>
    <w:next w:val="766"/>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7">
    <w:name w:val="Char"/>
    <w:basedOn w:val="680"/>
    <w:next w:val="767"/>
    <w:link w:val="680"/>
    <w:pPr>
      <w:ind w:firstLine="200"/>
      <w:tabs>
        <w:tab w:val="left" w:pos="360" w:leader="none"/>
      </w:tabs>
    </w:pPr>
    <w:rPr>
      <w:sz w:val="28"/>
      <w:szCs w:val="30"/>
    </w:rPr>
  </w:style>
  <w:style w:type="paragraph" w:styleId="768">
    <w:name w:val=" Char"/>
    <w:basedOn w:val="705"/>
    <w:next w:val="768"/>
    <w:link w:val="680"/>
    <w:rPr>
      <w:rFonts w:ascii="Tahoma" w:hAnsi="Tahoma"/>
      <w:sz w:val="24"/>
      <w:szCs w:val="24"/>
    </w:rPr>
  </w:style>
  <w:style w:type="paragraph" w:styleId="769">
    <w:name w:val="普通正文"/>
    <w:basedOn w:val="680"/>
    <w:next w:val="769"/>
    <w:link w:val="680"/>
    <w:pPr>
      <w:ind w:firstLine="480"/>
      <w:jc w:val="left"/>
      <w:spacing w:before="120" w:after="120" w:line="360" w:lineRule="auto"/>
    </w:pPr>
    <w:rPr>
      <w:rFonts w:ascii="Arial" w:hAnsi="Arial"/>
      <w:sz w:val="24"/>
      <w:szCs w:val="24"/>
    </w:rPr>
  </w:style>
  <w:style w:type="paragraph" w:styleId="770">
    <w:name w:val="table_lines"/>
    <w:basedOn w:val="680"/>
    <w:next w:val="770"/>
    <w:link w:val="680"/>
    <w:pPr>
      <w:jc w:val="left"/>
      <w:widowControl/>
    </w:pPr>
    <w:rPr>
      <w:sz w:val="20"/>
      <w:szCs w:val="20"/>
      <w:lang w:val="de-DE" w:eastAsia="de-DE"/>
    </w:rPr>
  </w:style>
  <w:style w:type="paragraph" w:styleId="771">
    <w:name w:val="附录1"/>
    <w:next w:val="771"/>
    <w:link w:val="68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2">
    <w:name w:val="font7"/>
    <w:basedOn w:val="680"/>
    <w:next w:val="772"/>
    <w:link w:val="680"/>
    <w:pPr>
      <w:jc w:val="left"/>
      <w:spacing w:before="100" w:beforeAutospacing="1" w:after="100" w:afterAutospacing="1"/>
      <w:widowControl/>
    </w:pPr>
    <w:rPr>
      <w:rFonts w:hint="eastAsia" w:ascii="宋体" w:hAnsi="宋体"/>
      <w:sz w:val="18"/>
      <w:szCs w:val="18"/>
    </w:rPr>
  </w:style>
  <w:style w:type="paragraph" w:styleId="773">
    <w:name w:val=" Char Char Char Char"/>
    <w:basedOn w:val="705"/>
    <w:next w:val="773"/>
    <w:link w:val="680"/>
    <w:pPr>
      <w:spacing w:line="360" w:lineRule="auto"/>
    </w:pPr>
    <w:rPr>
      <w:rFonts w:ascii="Tahoma" w:hAnsi="Tahoma"/>
      <w:sz w:val="24"/>
      <w:szCs w:val="24"/>
    </w:rPr>
  </w:style>
  <w:style w:type="paragraph" w:styleId="774">
    <w:name w:val="列出段落"/>
    <w:basedOn w:val="680"/>
    <w:next w:val="774"/>
    <w:link w:val="680"/>
    <w:qFormat/>
    <w:pPr>
      <w:contextualSpacing/>
      <w:ind w:left="720"/>
      <w:jc w:val="left"/>
      <w:widowControl/>
    </w:pPr>
    <w:rPr>
      <w:rFonts w:ascii="Calibri" w:hAnsi="Calibri"/>
      <w:sz w:val="24"/>
      <w:szCs w:val="24"/>
      <w:lang w:eastAsia="en-US" w:bidi="en-US"/>
    </w:rPr>
  </w:style>
  <w:style w:type="paragraph" w:styleId="775">
    <w:name w:val="4"/>
    <w:basedOn w:val="680"/>
    <w:next w:val="735"/>
    <w:link w:val="680"/>
    <w:pPr>
      <w:ind w:firstLine="420"/>
      <w:spacing w:line="360" w:lineRule="auto"/>
    </w:pPr>
    <w:rPr>
      <w:color w:val="ff0000"/>
      <w:sz w:val="24"/>
      <w:szCs w:val="24"/>
    </w:rPr>
  </w:style>
  <w:style w:type="paragraph" w:styleId="776">
    <w:name w:val="普通 (Web)"/>
    <w:basedOn w:val="680"/>
    <w:next w:val="776"/>
    <w:link w:val="680"/>
    <w:pPr>
      <w:jc w:val="left"/>
      <w:spacing w:before="100" w:beforeAutospacing="1" w:after="100" w:afterAutospacing="1"/>
      <w:widowControl/>
    </w:pPr>
    <w:rPr>
      <w:rFonts w:ascii="宋体" w:hAnsi="宋体"/>
      <w:sz w:val="24"/>
      <w:szCs w:val="24"/>
    </w:rPr>
  </w:style>
  <w:style w:type="paragraph" w:styleId="777">
    <w:name w:val=" Char Char Char Char Char Char Char Char Char Char"/>
    <w:basedOn w:val="680"/>
    <w:next w:val="777"/>
    <w:link w:val="680"/>
    <w:pPr>
      <w:spacing w:line="360" w:lineRule="auto"/>
    </w:pPr>
    <w:rPr>
      <w:sz w:val="24"/>
      <w:szCs w:val="20"/>
    </w:rPr>
  </w:style>
  <w:style w:type="paragraph" w:styleId="778">
    <w:name w:val="样式1"/>
    <w:basedOn w:val="680"/>
    <w:next w:val="778"/>
    <w:link w:val="680"/>
    <w:pPr>
      <w:numPr>
        <w:ilvl w:val="0"/>
        <w:numId w:val="3"/>
      </w:numPr>
      <w:tabs>
        <w:tab w:val="left" w:pos="709" w:leader="none"/>
      </w:tabs>
    </w:pPr>
    <w:rPr>
      <w:rFonts w:ascii="宋体" w:hAnsi="宋体"/>
    </w:rPr>
  </w:style>
  <w:style w:type="paragraph" w:styleId="779">
    <w:name w:val="font6"/>
    <w:basedOn w:val="680"/>
    <w:next w:val="779"/>
    <w:link w:val="680"/>
    <w:pPr>
      <w:jc w:val="left"/>
      <w:spacing w:before="100" w:beforeAutospacing="1" w:after="100" w:afterAutospacing="1"/>
      <w:widowControl/>
    </w:pPr>
    <w:rPr>
      <w:rFonts w:hint="eastAsia" w:ascii="宋体" w:hAnsi="宋体"/>
      <w:sz w:val="28"/>
      <w:szCs w:val="28"/>
      <w:u w:val="single"/>
    </w:rPr>
  </w:style>
  <w:style w:type="paragraph" w:styleId="780">
    <w:name w:val="xl25"/>
    <w:basedOn w:val="680"/>
    <w:next w:val="780"/>
    <w:link w:val="68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1">
    <w:name w:val="图标"/>
    <w:basedOn w:val="680"/>
    <w:next w:val="680"/>
    <w:link w:val="68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2">
    <w:name w:val="标题3"/>
    <w:basedOn w:val="680"/>
    <w:next w:val="680"/>
    <w:link w:val="680"/>
    <w:pPr>
      <w:ind w:firstLine="624"/>
      <w:spacing w:line="590" w:lineRule="atLeast"/>
    </w:pPr>
    <w:rPr>
      <w:rFonts w:ascii="方正黑体_GBK" w:eastAsia="方正黑体_GBK"/>
      <w:sz w:val="32"/>
      <w:szCs w:val="32"/>
    </w:rPr>
  </w:style>
  <w:style w:type="paragraph" w:styleId="783">
    <w:name w:val="xl24"/>
    <w:basedOn w:val="680"/>
    <w:next w:val="783"/>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4">
    <w:name w:val="xl29"/>
    <w:basedOn w:val="680"/>
    <w:next w:val="784"/>
    <w:link w:val="68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5">
    <w:name w:val="Char Char Char Char Char Char Char Char"/>
    <w:basedOn w:val="680"/>
    <w:next w:val="785"/>
    <w:link w:val="680"/>
    <w:pPr>
      <w:jc w:val="left"/>
      <w:spacing w:after="160" w:line="240" w:lineRule="exact"/>
      <w:widowControl/>
    </w:pPr>
    <w:rPr>
      <w:rFonts w:ascii="Verdana" w:hAnsi="Verdana"/>
      <w:sz w:val="20"/>
      <w:szCs w:val="20"/>
      <w:lang w:eastAsia="en-US"/>
    </w:rPr>
  </w:style>
  <w:style w:type="paragraph" w:styleId="786">
    <w:name w:val="xl28"/>
    <w:basedOn w:val="680"/>
    <w:next w:val="786"/>
    <w:link w:val="68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7">
    <w:name w:val=" Char Char Char Char Char Char Char Char"/>
    <w:basedOn w:val="680"/>
    <w:next w:val="787"/>
    <w:link w:val="680"/>
    <w:pPr>
      <w:jc w:val="left"/>
      <w:spacing w:after="160" w:line="240" w:lineRule="exact"/>
      <w:widowControl/>
    </w:pPr>
    <w:rPr>
      <w:rFonts w:ascii="Verdana" w:hAnsi="Verdana"/>
      <w:sz w:val="20"/>
      <w:szCs w:val="20"/>
      <w:lang w:eastAsia="en-US"/>
    </w:rPr>
  </w:style>
  <w:style w:type="paragraph" w:styleId="788">
    <w:name w:val="xl30"/>
    <w:basedOn w:val="680"/>
    <w:next w:val="788"/>
    <w:link w:val="680"/>
    <w:pPr>
      <w:jc w:val="center"/>
      <w:spacing w:before="100" w:beforeAutospacing="1" w:after="100" w:afterAutospacing="1"/>
      <w:widowControl/>
    </w:pPr>
    <w:rPr>
      <w:rFonts w:ascii="宋体" w:hAnsi="宋体"/>
      <w:b/>
      <w:bCs/>
      <w:sz w:val="36"/>
      <w:szCs w:val="36"/>
    </w:rPr>
  </w:style>
  <w:style w:type="paragraph" w:styleId="789">
    <w:name w:val="Char Char Char Char"/>
    <w:basedOn w:val="705"/>
    <w:next w:val="789"/>
    <w:link w:val="680"/>
    <w:pPr>
      <w:spacing w:line="360" w:lineRule="auto"/>
    </w:pPr>
    <w:rPr>
      <w:rFonts w:ascii="Tahoma" w:hAnsi="Tahoma"/>
      <w:sz w:val="24"/>
      <w:szCs w:val="24"/>
    </w:rPr>
  </w:style>
  <w:style w:type="paragraph" w:styleId="790">
    <w:name w:val="table_1stline"/>
    <w:basedOn w:val="680"/>
    <w:next w:val="790"/>
    <w:link w:val="680"/>
    <w:pPr>
      <w:jc w:val="left"/>
      <w:spacing w:before="120"/>
      <w:widowControl/>
    </w:pPr>
    <w:rPr>
      <w:bCs/>
      <w:sz w:val="20"/>
      <w:szCs w:val="20"/>
      <w:lang w:val="de-DE" w:eastAsia="de-DE"/>
    </w:rPr>
  </w:style>
  <w:style w:type="paragraph" w:styleId="791">
    <w:name w:val="font5"/>
    <w:basedOn w:val="680"/>
    <w:next w:val="791"/>
    <w:link w:val="680"/>
    <w:pPr>
      <w:jc w:val="left"/>
      <w:spacing w:before="100" w:beforeAutospacing="1" w:after="100" w:afterAutospacing="1"/>
      <w:widowControl/>
    </w:pPr>
    <w:rPr>
      <w:rFonts w:hint="eastAsia" w:ascii="宋体" w:hAnsi="宋体"/>
      <w:sz w:val="28"/>
      <w:szCs w:val="28"/>
    </w:rPr>
  </w:style>
  <w:style w:type="paragraph" w:styleId="792">
    <w:name w:val="标题1"/>
    <w:basedOn w:val="680"/>
    <w:next w:val="680"/>
    <w:link w:val="680"/>
    <w:pPr>
      <w:jc w:val="center"/>
      <w:spacing w:line="700" w:lineRule="atLeast"/>
      <w:tabs>
        <w:tab w:val="left" w:pos="9193" w:leader="none"/>
        <w:tab w:val="left" w:pos="9827" w:leader="none"/>
      </w:tabs>
    </w:pPr>
    <w:rPr>
      <w:rFonts w:ascii="方正小标宋_GBK" w:eastAsia="方正小标宋_GBK"/>
      <w:sz w:val="44"/>
      <w:szCs w:val="20"/>
    </w:rPr>
  </w:style>
  <w:style w:type="paragraph" w:styleId="793">
    <w:name w:val="修订"/>
    <w:next w:val="793"/>
    <w:link w:val="680"/>
    <w:uiPriority w:val="99"/>
    <w:semiHidden/>
    <w:rPr>
      <w:rFonts w:ascii="Times New Roman" w:hAnsi="Times New Roman"/>
      <w:sz w:val="21"/>
      <w:szCs w:val="21"/>
      <w:lang w:val="en-US" w:eastAsia="zh-CN" w:bidi="ar-SA"/>
    </w:rPr>
  </w:style>
  <w:style w:type="paragraph" w:styleId="794">
    <w:name w:val="无间隔"/>
    <w:next w:val="794"/>
    <w:link w:val="680"/>
    <w:uiPriority w:val="99"/>
    <w:qFormat/>
    <w:pPr>
      <w:jc w:val="both"/>
      <w:widowControl w:val="off"/>
    </w:pPr>
    <w:rPr>
      <w:rFonts w:ascii="Times New Roman" w:hAnsi="Times New Roman"/>
      <w:sz w:val="21"/>
      <w:szCs w:val="21"/>
      <w:lang w:val="en-US" w:eastAsia="zh-CN" w:bidi="ar-SA"/>
    </w:rPr>
  </w:style>
  <w:style w:type="table" w:styleId="795">
    <w:name w:val="Table Normal"/>
    <w:next w:val="795"/>
    <w:link w:val="680"/>
    <w:qFormat/>
    <w:tblPr/>
  </w:style>
  <w:style w:type="paragraph" w:styleId="796">
    <w:name w:val="Normal_5_0"/>
    <w:next w:val="796"/>
    <w:link w:val="680"/>
    <w:qFormat/>
    <w:pPr>
      <w:jc w:val="both"/>
      <w:widowControl w:val="off"/>
    </w:pPr>
    <w:rPr>
      <w:rFonts w:ascii="Calibri" w:hAnsi="Calibri" w:eastAsia="宋体" w:cs="Times New Roman"/>
      <w:sz w:val="21"/>
      <w:szCs w:val="22"/>
      <w:lang w:val="en-US" w:eastAsia="zh-CN" w:bidi="ar-SA"/>
    </w:rPr>
  </w:style>
  <w:style w:type="paragraph" w:styleId="797">
    <w:name w:val="Normal_6_0"/>
    <w:next w:val="797"/>
    <w:link w:val="680"/>
    <w:qFormat/>
    <w:rPr>
      <w:rFonts w:ascii="黑体" w:hAnsi="黑体" w:eastAsia="黑体" w:cs="黑体"/>
      <w:b/>
      <w:sz w:val="32"/>
      <w:szCs w:val="24"/>
      <w:lang w:val="en-US" w:eastAsia="zh-CN" w:bidi="ar-SA"/>
    </w:rPr>
  </w:style>
  <w:style w:type="paragraph" w:styleId="798">
    <w:name w:val="Normal_1_2"/>
    <w:next w:val="798"/>
    <w:link w:val="680"/>
    <w:qFormat/>
    <w:rPr>
      <w:rFonts w:ascii="Times New Roman" w:hAnsi="Times New Roman" w:eastAsia="Times New Roman" w:cs="Times New Roman"/>
      <w:sz w:val="24"/>
      <w:szCs w:val="24"/>
      <w:lang w:val="en-US" w:eastAsia="zh-CN" w:bidi="ar-SA"/>
    </w:rPr>
  </w:style>
  <w:style w:type="paragraph" w:styleId="799">
    <w:name w:val="正文_2"/>
    <w:next w:val="799"/>
    <w:link w:val="680"/>
    <w:qFormat/>
    <w:pPr>
      <w:jc w:val="both"/>
      <w:widowControl w:val="off"/>
    </w:pPr>
    <w:rPr>
      <w:rFonts w:ascii="Calibri" w:hAnsi="Calibri" w:eastAsia="宋体" w:cs="Times New Roman"/>
      <w:sz w:val="21"/>
      <w:szCs w:val="22"/>
      <w:lang w:val="en-US" w:eastAsia="zh-CN" w:bidi="ar-SA"/>
    </w:rPr>
  </w:style>
  <w:style w:type="paragraph" w:styleId="800">
    <w:name w:val="正文文本12"/>
    <w:basedOn w:val="680"/>
    <w:next w:val="800"/>
    <w:link w:val="680"/>
    <w:uiPriority w:val="1"/>
    <w:qFormat/>
    <w:pPr>
      <w:ind w:left="120"/>
    </w:pPr>
    <w:rPr>
      <w:rFonts w:ascii="宋体" w:hAnsi="宋体" w:eastAsia="宋体" w:cs="宋体"/>
      <w:sz w:val="21"/>
      <w:szCs w:val="21"/>
      <w:lang w:val="zh-CN" w:eastAsia="zh-CN" w:bidi="zh-CN"/>
    </w:rPr>
  </w:style>
  <w:style w:type="paragraph" w:styleId="801">
    <w:name w:val="正文2"/>
    <w:basedOn w:val="680"/>
    <w:next w:val="801"/>
    <w:link w:val="680"/>
    <w:qFormat/>
    <w:pPr>
      <w:ind w:firstLine="510"/>
      <w:spacing w:before="156" w:line="360" w:lineRule="auto"/>
    </w:pPr>
    <w:rPr>
      <w:sz w:val="24"/>
      <w:szCs w:val="20"/>
    </w:rPr>
  </w:style>
  <w:style w:type="paragraph" w:styleId="802">
    <w:name w:val="首行缩进"/>
    <w:basedOn w:val="680"/>
    <w:next w:val="802"/>
    <w:link w:val="680"/>
    <w:qFormat/>
    <w:pPr>
      <w:ind w:firstLine="480"/>
    </w:pPr>
    <w:rPr>
      <w:rFonts w:ascii="Times New Roman" w:hAnsi="Times New Roman" w:cs="Times New Roman"/>
      <w:lang w:val="zh-CN"/>
    </w:rPr>
  </w:style>
  <w:style w:type="paragraph" w:styleId="803">
    <w:name w:val="Normal_18_0"/>
    <w:next w:val="803"/>
    <w:link w:val="680"/>
    <w:qFormat/>
    <w:rPr>
      <w:rFonts w:ascii="黑体" w:hAnsi="黑体" w:eastAsia="黑体" w:cs="黑体"/>
      <w:b/>
      <w:sz w:val="32"/>
      <w:szCs w:val="24"/>
      <w:lang w:val="en-US" w:eastAsia="zh-CN" w:bidi="ar-SA"/>
    </w:rPr>
  </w:style>
  <w:style w:type="paragraph" w:styleId="804">
    <w:name w:val="正文_12_0_0_0_0"/>
    <w:basedOn w:val="680"/>
    <w:next w:val="804"/>
    <w:link w:val="680"/>
    <w:qFormat/>
    <w:rPr>
      <w:rFonts w:ascii="Times New Roman" w:hAnsi="Times New Roman"/>
      <w:szCs w:val="24"/>
    </w:rPr>
  </w:style>
  <w:style w:type="paragraph" w:styleId="805">
    <w:name w:val="正文_12_0_0_0"/>
    <w:next w:val="805"/>
    <w:link w:val="680"/>
    <w:qFormat/>
    <w:pPr>
      <w:jc w:val="both"/>
      <w:widowControl w:val="off"/>
    </w:pPr>
    <w:rPr>
      <w:rFonts w:ascii="Times New Roman" w:hAnsi="Times New Roman" w:eastAsia="宋体" w:cs="Times New Roman"/>
      <w:sz w:val="21"/>
      <w:szCs w:val="24"/>
      <w:lang w:val="en-US" w:eastAsia="zh-CN" w:bidi="ar-SA"/>
    </w:rPr>
  </w:style>
  <w:style w:type="paragraph" w:styleId="806">
    <w:name w:val="正文_14_0"/>
    <w:next w:val="806"/>
    <w:link w:val="680"/>
    <w:qFormat/>
    <w:pPr>
      <w:jc w:val="both"/>
      <w:widowControl w:val="off"/>
    </w:pPr>
    <w:rPr>
      <w:rFonts w:ascii="Calibri" w:hAnsi="Calibri" w:eastAsia="宋体" w:cs="Times New Roman"/>
      <w:sz w:val="21"/>
      <w:szCs w:val="22"/>
      <w:lang w:val="en-US" w:eastAsia="zh-CN" w:bidi="ar-SA"/>
    </w:rPr>
  </w:style>
  <w:style w:type="paragraph" w:styleId="807">
    <w:name w:val="正文_14_0_0"/>
    <w:next w:val="807"/>
    <w:link w:val="680"/>
    <w:qFormat/>
    <w:pPr>
      <w:jc w:val="both"/>
      <w:widowControl w:val="off"/>
    </w:pPr>
    <w:rPr>
      <w:rFonts w:ascii="Times New Roman" w:hAnsi="Times New Roman" w:eastAsia="宋体" w:cs="Times New Roman"/>
      <w:sz w:val="21"/>
      <w:szCs w:val="24"/>
      <w:lang w:val="en-US" w:eastAsia="zh-CN" w:bidi="ar-SA"/>
    </w:rPr>
  </w:style>
  <w:style w:type="paragraph" w:styleId="808">
    <w:name w:val="Normal_20"/>
    <w:next w:val="808"/>
    <w:link w:val="680"/>
    <w:qFormat/>
    <w:rPr>
      <w:rFonts w:ascii="黑体" w:hAnsi="黑体" w:eastAsia="黑体" w:cs="黑体"/>
      <w:b/>
      <w:sz w:val="32"/>
      <w:szCs w:val="24"/>
      <w:lang w:val="en-US" w:eastAsia="zh-CN" w:bidi="ar-SA"/>
    </w:rPr>
  </w:style>
  <w:style w:type="paragraph" w:styleId="809">
    <w:name w:val="正文_15_0"/>
    <w:next w:val="809"/>
    <w:link w:val="680"/>
    <w:qFormat/>
    <w:pPr>
      <w:jc w:val="both"/>
      <w:widowControl w:val="off"/>
    </w:pPr>
    <w:rPr>
      <w:rFonts w:ascii="Calibri" w:hAnsi="Calibri" w:eastAsia="宋体" w:cs="Times New Roman"/>
      <w:sz w:val="21"/>
      <w:szCs w:val="22"/>
      <w:lang w:val="en-US" w:eastAsia="zh-CN" w:bidi="ar-SA"/>
    </w:rPr>
  </w:style>
  <w:style w:type="paragraph" w:styleId="810">
    <w:name w:val="Normal_0"/>
    <w:next w:val="810"/>
    <w:link w:val="680"/>
    <w:qFormat/>
    <w:rPr>
      <w:rFonts w:ascii="黑体" w:hAnsi="黑体" w:eastAsia="黑体" w:cs="Times New Roman"/>
      <w:b/>
      <w:sz w:val="32"/>
      <w:szCs w:val="24"/>
      <w:lang w:val="en-US" w:eastAsia="zh-CN" w:bidi="ar-SA"/>
    </w:rPr>
  </w:style>
  <w:style w:type="paragraph" w:styleId="811">
    <w:name w:val="部分1"/>
    <w:basedOn w:val="680"/>
    <w:next w:val="811"/>
    <w:link w:val="680"/>
    <w:qFormat/>
    <w:pPr>
      <w:jc w:val="center"/>
      <w:keepNext/>
      <w:pageBreakBefore/>
      <w:spacing w:line="360" w:lineRule="auto"/>
      <w:tabs>
        <w:tab w:val="left" w:pos="720" w:leader="none"/>
      </w:tabs>
      <w:outlineLvl w:val="0"/>
    </w:pPr>
    <w:rPr>
      <w:rFonts w:eastAsia="黑体"/>
      <w:b/>
      <w:sz w:val="36"/>
      <w:szCs w:val="20"/>
    </w:rPr>
  </w:style>
  <w:style w:type="paragraph" w:styleId="812">
    <w:name w:val="Normal_12_0"/>
    <w:next w:val="812"/>
    <w:link w:val="680"/>
    <w:qFormat/>
    <w:pPr>
      <w:jc w:val="both"/>
      <w:widowControl w:val="off"/>
    </w:pPr>
    <w:rPr>
      <w:rFonts w:ascii="Calibri" w:hAnsi="Calibri" w:eastAsia="宋体" w:cs="Times New Roman"/>
      <w:sz w:val="21"/>
      <w:szCs w:val="22"/>
    </w:rPr>
  </w:style>
  <w:style w:type="paragraph" w:styleId="813">
    <w:name w:val="正文_9_0"/>
    <w:next w:val="813"/>
    <w:link w:val="680"/>
    <w:qFormat/>
    <w:pPr>
      <w:jc w:val="both"/>
      <w:widowControl w:val="off"/>
    </w:pPr>
    <w:rPr>
      <w:rFonts w:ascii="Calibri" w:hAnsi="Calibri" w:eastAsia="宋体" w:cs="Times New Roman"/>
      <w:sz w:val="21"/>
      <w:szCs w:val="22"/>
    </w:rPr>
  </w:style>
  <w:style w:type="paragraph" w:styleId="814">
    <w:name w:val="正文_8_1"/>
    <w:next w:val="814"/>
    <w:link w:val="680"/>
    <w:qFormat/>
    <w:pPr>
      <w:jc w:val="both"/>
      <w:widowControl w:val="off"/>
    </w:pPr>
    <w:rPr>
      <w:rFonts w:ascii="Calibri" w:hAnsi="Calibri" w:eastAsia="宋体" w:cs="Times New Roman"/>
      <w:sz w:val="21"/>
      <w:szCs w:val="22"/>
    </w:rPr>
  </w:style>
  <w:style w:type="paragraph" w:styleId="815">
    <w:name w:val="正文_1_0_0_0_0"/>
    <w:next w:val="815"/>
    <w:link w:val="680"/>
    <w:qFormat/>
    <w:pPr>
      <w:jc w:val="both"/>
      <w:widowControl w:val="off"/>
    </w:pPr>
    <w:rPr>
      <w:rFonts w:ascii="Times New Roman" w:hAnsi="Times New Roman" w:eastAsia="宋体" w:cs="Times New Roman"/>
      <w:sz w:val="21"/>
    </w:rPr>
  </w:style>
  <w:style w:type="paragraph" w:styleId="816">
    <w:name w:val="列出段落_2"/>
    <w:basedOn w:val="814"/>
    <w:next w:val="816"/>
    <w:link w:val="680"/>
    <w:uiPriority w:val="34"/>
    <w:qFormat/>
    <w:pPr>
      <w:ind w:firstLine="420"/>
    </w:pPr>
    <w:rPr>
      <w:rFonts w:ascii="Calibri" w:hAnsi="Calibri" w:eastAsia="宋体"/>
    </w:rPr>
  </w:style>
  <w:style w:type="paragraph" w:styleId="817">
    <w:name w:val="Normal_13_0"/>
    <w:next w:val="817"/>
    <w:link w:val="680"/>
    <w:qFormat/>
    <w:rPr>
      <w:rFonts w:ascii="黑体" w:hAnsi="黑体" w:eastAsia="黑体" w:cs="黑体"/>
      <w:b/>
      <w:sz w:val="32"/>
      <w:szCs w:val="24"/>
    </w:rPr>
  </w:style>
  <w:style w:type="paragraph" w:styleId="818">
    <w:name w:val="正文_16_0_0"/>
    <w:next w:val="819"/>
    <w:link w:val="680"/>
    <w:qFormat/>
    <w:pPr>
      <w:jc w:val="both"/>
      <w:widowControl w:val="off"/>
    </w:pPr>
    <w:rPr>
      <w:rFonts w:ascii="Calibri" w:hAnsi="Calibri" w:eastAsia="宋体" w:cs="Times New Roman"/>
      <w:sz w:val="21"/>
      <w:szCs w:val="22"/>
    </w:rPr>
  </w:style>
  <w:style w:type="paragraph" w:styleId="819">
    <w:name w:val="正文1_0"/>
    <w:next w:val="819"/>
    <w:link w:val="680"/>
    <w:qFormat/>
    <w:pPr>
      <w:jc w:val="both"/>
      <w:widowControl w:val="off"/>
    </w:pPr>
    <w:rPr>
      <w:rFonts w:ascii="Times New Roman" w:hAnsi="Times New Roman" w:eastAsia="宋体" w:cs="Times New Roman"/>
      <w:szCs w:val="24"/>
    </w:rPr>
  </w:style>
  <w:style w:type="paragraph" w:styleId="820">
    <w:name w:val="Normal_19_0"/>
    <w:next w:val="820"/>
    <w:link w:val="680"/>
    <w:qFormat/>
    <w:pPr>
      <w:jc w:val="both"/>
      <w:widowControl w:val="off"/>
    </w:pPr>
    <w:rPr>
      <w:rFonts w:ascii="Calibri" w:hAnsi="Calibri" w:eastAsia="宋体" w:cs="Times New Roman"/>
      <w:lang w:val="en-US" w:eastAsia="zh-CN" w:bidi="ar-SA"/>
    </w:rPr>
  </w:style>
  <w:style w:type="character" w:styleId="821">
    <w:name w:val="默认段落字体1"/>
    <w:next w:val="821"/>
    <w:link w:val="680"/>
    <w:uiPriority w:val="1"/>
    <w:unhideWhenUsed/>
    <w:qFormat/>
  </w:style>
  <w:style w:type="paragraph" w:styleId="822">
    <w:name w:val="正文缩进1"/>
    <w:next w:val="680"/>
    <w:link w:val="680"/>
    <w:qFormat/>
    <w:pPr>
      <w:ind w:firstLine="420"/>
      <w:jc w:val="both"/>
      <w:widowControl w:val="off"/>
    </w:pPr>
    <w:rPr>
      <w:rFonts w:ascii="Times New Roman" w:hAnsi="Times New Roman" w:eastAsia="宋体" w:cs="Times New Roman"/>
      <w:sz w:val="21"/>
      <w:szCs w:val="21"/>
      <w:lang w:val="en-US" w:eastAsia="zh-CN" w:bidi="ar-SA"/>
    </w:rPr>
  </w:style>
  <w:style w:type="paragraph" w:styleId="823">
    <w:name w:val="Normal_22_0"/>
    <w:next w:val="823"/>
    <w:link w:val="680"/>
    <w:qFormat/>
    <w:pPr>
      <w:jc w:val="both"/>
      <w:widowControl w:val="off"/>
    </w:pPr>
    <w:rPr>
      <w:rFonts w:ascii="Calibri" w:hAnsi="Calibri" w:eastAsia="宋体" w:cs="Times New Roman"/>
      <w:szCs w:val="24"/>
      <w:lang w:val="en-US" w:eastAsia="zh-CN" w:bidi="ar-SA"/>
    </w:rPr>
  </w:style>
  <w:style w:type="paragraph" w:styleId="824">
    <w:name w:val="Normal_16"/>
    <w:next w:val="824"/>
    <w:link w:val="680"/>
    <w:qFormat/>
    <w:pPr>
      <w:jc w:val="both"/>
      <w:widowControl w:val="off"/>
    </w:pPr>
    <w:rPr>
      <w:rFonts w:ascii="Calibri" w:hAnsi="Calibri" w:eastAsia="Times New Roman" w:cs="Times New Roman"/>
      <w:sz w:val="21"/>
      <w:szCs w:val="22"/>
      <w:lang w:val="en-US" w:eastAsia="zh-CN" w:bidi="ar-SA"/>
    </w:rPr>
  </w:style>
  <w:style w:type="paragraph" w:styleId="825">
    <w:name w:val="Table Text_0"/>
    <w:next w:val="825"/>
    <w:link w:val="680"/>
    <w:semiHidden/>
    <w:qFormat/>
    <w:pPr>
      <w:jc w:val="both"/>
      <w:widowControl w:val="off"/>
    </w:pPr>
    <w:rPr>
      <w:rFonts w:ascii="宋体" w:hAnsi="宋体" w:eastAsia="宋体" w:cs="宋体"/>
      <w:sz w:val="20"/>
      <w:szCs w:val="20"/>
      <w:lang w:val="en-US" w:eastAsia="en-US" w:bidi="ar-SA"/>
    </w:rPr>
  </w:style>
  <w:style w:type="paragraph" w:styleId="826">
    <w:name w:val="正文_3"/>
    <w:next w:val="827"/>
    <w:link w:val="680"/>
    <w:qFormat/>
    <w:pPr>
      <w:jc w:val="both"/>
      <w:widowControl w:val="off"/>
    </w:pPr>
    <w:rPr>
      <w:rFonts w:ascii="Calibri" w:hAnsi="Calibri" w:eastAsia="宋体" w:cs="Times New Roman"/>
      <w:szCs w:val="24"/>
    </w:rPr>
  </w:style>
  <w:style w:type="paragraph" w:styleId="827">
    <w:name w:val="Normal_19"/>
    <w:next w:val="827"/>
    <w:link w:val="680"/>
    <w:qFormat/>
    <w:pPr>
      <w:jc w:val="both"/>
      <w:widowControl w:val="off"/>
    </w:pPr>
    <w:rPr>
      <w:rFonts w:ascii="Calibri" w:hAnsi="Calibri" w:eastAsia="宋体" w:cs="Times New Roman"/>
    </w:rPr>
  </w:style>
  <w:style w:type="paragraph" w:styleId="828">
    <w:name w:val="正文_2_1"/>
    <w:next w:val="828"/>
    <w:link w:val="680"/>
    <w:qFormat/>
    <w:pPr>
      <w:jc w:val="both"/>
      <w:widowControl w:val="off"/>
    </w:pPr>
    <w:rPr>
      <w:rFonts w:ascii="Calibri" w:hAnsi="Calibri" w:eastAsia="Times New Roman" w:cs="Times New Roman"/>
    </w:rPr>
  </w:style>
  <w:style w:type="paragraph" w:styleId="829">
    <w:name w:val="普通(网站)111"/>
    <w:next w:val="829"/>
    <w:link w:val="680"/>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character" w:styleId="35140" w:default="1">
    <w:name w:val="Default Paragraph Font"/>
    <w:uiPriority w:val="1"/>
    <w:semiHidden/>
    <w:unhideWhenUsed/>
  </w:style>
  <w:style w:type="numbering" w:styleId="35141" w:default="1">
    <w:name w:val="No List"/>
    <w:uiPriority w:val="99"/>
    <w:semiHidden/>
    <w:unhideWhenUsed/>
  </w:style>
  <w:style w:type="table" w:styleId="351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臧浩</cp:lastModifiedBy>
  <cp:revision>3</cp:revision>
  <dcterms:created xsi:type="dcterms:W3CDTF">2023-03-16T02:16:00Z</dcterms:created>
  <dcterms:modified xsi:type="dcterms:W3CDTF">2026-08-06T04:34:14Z</dcterms:modified>
</cp:coreProperties>
</file>