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ind w:firstLine="0"/>
        <w:jc w:val="center"/>
        <w:spacing w:line="480" w:lineRule="exact"/>
        <w:rPr>
          <w:sz w:val="28"/>
          <w:highlight w:val="none"/>
        </w:rPr>
      </w:pPr>
      <w:r>
        <w:rPr>
          <w:sz w:val="28"/>
          <w:highlight w:val="none"/>
        </w:rPr>
      </w:r>
      <w:r/>
    </w:p>
    <w:p>
      <w:pPr>
        <w:pStyle w:val="74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9"/>
        <w:ind w:firstLine="0"/>
        <w:jc w:val="center"/>
        <w:spacing w:line="480" w:lineRule="exact"/>
        <w:rPr>
          <w:sz w:val="28"/>
          <w:highlight w:val="none"/>
        </w:rPr>
      </w:pPr>
      <w:r>
        <w:rPr>
          <w:sz w:val="28"/>
          <w:highlight w:val="none"/>
        </w:rPr>
      </w:r>
      <w:r/>
    </w:p>
    <w:p>
      <w:pPr>
        <w:pStyle w:val="749"/>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南通市启秀中学滨江校区合班教室设备采购项目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94</w:t>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pStyle w:val="74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49"/>
        <w:ind w:firstLine="0"/>
        <w:jc w:val="center"/>
        <w:spacing w:line="480" w:lineRule="exact"/>
        <w:rPr>
          <w:sz w:val="28"/>
          <w:highlight w:val="none"/>
        </w:rPr>
      </w:pPr>
      <w:r>
        <w:rPr>
          <w:highlight w:val="none"/>
          <w:lang w:eastAsia="zh-CN"/>
        </w:rPr>
        <w:br w:type="page" w:clear="all"/>
      </w:r>
      <w:r/>
    </w:p>
    <w:p>
      <w:pPr>
        <w:pStyle w:val="74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2"/>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2"/>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56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4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9"/>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南通市启秀中学滨江校区合班教室设备采购项目的潜在供应商应在江苏政府采购网获取采购文件，并于2026年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9"/>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94</w:t>
      </w:r>
      <w:r/>
    </w:p>
    <w:p>
      <w:pPr>
        <w:pStyle w:val="749"/>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2.项目名称：南通市启秀中学滨江校区合班教室设备采购项目</w:t>
      </w:r>
      <w:r/>
    </w:p>
    <w:p>
      <w:pPr>
        <w:pStyle w:val="749"/>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30</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30</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5.采购需求：触控一体机</w:t>
      </w:r>
      <w:r>
        <w:rPr>
          <w:rFonts w:hint="eastAsia" w:ascii="仿宋" w:hAnsi="仿宋" w:eastAsia="仿宋" w:cs="仿宋"/>
          <w:sz w:val="28"/>
          <w:szCs w:val="28"/>
          <w:highlight w:val="none"/>
          <w:lang w:eastAsia="zh-CN"/>
        </w:rPr>
        <w:t xml:space="preserve">、便携录播一体机</w:t>
      </w:r>
      <w:r>
        <w:rPr>
          <w:rFonts w:hint="eastAsia" w:ascii="仿宋" w:hAnsi="仿宋" w:eastAsia="仿宋" w:cs="仿宋"/>
          <w:sz w:val="28"/>
          <w:szCs w:val="28"/>
          <w:highlight w:val="none"/>
          <w:lang w:val="en-US" w:eastAsia="zh-CN"/>
        </w:rPr>
        <w:t xml:space="preserve">等（详见第四章）</w:t>
      </w:r>
      <w:r>
        <w:rPr>
          <w:rFonts w:hint="eastAsia" w:ascii="仿宋" w:hAnsi="仿宋" w:eastAsia="仿宋" w:cs="仿宋"/>
          <w:sz w:val="28"/>
          <w:szCs w:val="28"/>
          <w:highlight w:val="none"/>
        </w:rPr>
        <w:t xml:space="preserve">。</w:t>
      </w:r>
      <w:r/>
    </w:p>
    <w:p>
      <w:pPr>
        <w:pStyle w:val="749"/>
        <w:ind w:firstLine="560"/>
        <w:keepLines w:val="0"/>
        <w:keepNext w:val="0"/>
        <w:pageBreakBefore w:val="0"/>
        <w:spacing w:line="480" w:lineRule="exact"/>
        <w:widowControl w:val="off"/>
        <w:rPr>
          <w:rFonts w:hint="eastAsia" w:ascii="仿宋" w:hAnsi="仿宋" w:eastAsia="仿宋" w:cs="仿宋"/>
          <w:sz w:val="28"/>
          <w:szCs w:val="28"/>
          <w:highlight w:val="none"/>
        </w:rPr>
        <w:outlineLvl w:val="1"/>
      </w:pPr>
      <w:r>
        <w:rPr>
          <w:rFonts w:hint="eastAsia" w:ascii="仿宋" w:hAnsi="仿宋" w:eastAsia="仿宋" w:cs="仿宋"/>
          <w:sz w:val="28"/>
          <w:szCs w:val="28"/>
          <w:highlight w:val="none"/>
        </w:rPr>
        <w:t xml:space="preserve">6.合同履行期限：合同签订后，30个日历天内完成供货、安装。</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4"/>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4"/>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eastAsia="zh-CN"/>
        </w:rPr>
        <w:t xml:space="preserve">20</w:t>
      </w:r>
      <w:r>
        <w:rPr>
          <w:rFonts w:hint="eastAsia" w:ascii="仿宋" w:hAnsi="仿宋" w:eastAsia="仿宋" w:cs="仿宋"/>
          <w:sz w:val="28"/>
          <w:szCs w:val="28"/>
          <w:highlight w:val="none"/>
        </w:rPr>
        <w:t xml:space="preserve">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24"/>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称：南通市启秀中学</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址：南通市崇川区跃龙路74号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人：殷</w:t>
      </w:r>
      <w:r>
        <w:rPr>
          <w:rFonts w:hint="eastAsia" w:ascii="仿宋" w:hAnsi="仿宋" w:eastAsia="仿宋" w:cs="仿宋"/>
          <w:sz w:val="28"/>
          <w:szCs w:val="28"/>
          <w:highlight w:val="none"/>
          <w:lang w:val="en-US" w:eastAsia="zh-CN"/>
        </w:rPr>
        <w:t xml:space="preserve">老师</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联系方式：13615231546</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4"/>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val="0"/>
          <w:bCs w:val="0"/>
          <w:color w:val="000000"/>
          <w:sz w:val="28"/>
          <w:szCs w:val="28"/>
          <w:highlight w:val="none"/>
        </w:rPr>
        <w:t xml:space="preserve">本项目政府采购活动中</w:t>
      </w:r>
      <w:r>
        <w:rPr>
          <w:rFonts w:hint="eastAsia" w:ascii="仿宋" w:hAnsi="仿宋" w:eastAsia="仿宋" w:cs="仿宋"/>
          <w:b/>
          <w:bCs/>
          <w:color w:val="000000"/>
          <w:sz w:val="28"/>
          <w:szCs w:val="28"/>
          <w:highlight w:val="none"/>
        </w:rPr>
        <w:t xml:space="preserve">既有本国产品又有非本国产品参与竞争的</w:t>
      </w:r>
      <w:r>
        <w:rPr>
          <w:rFonts w:hint="eastAsia" w:ascii="仿宋" w:hAnsi="仿宋" w:eastAsia="仿宋" w:cs="仿宋"/>
          <w:b w:val="0"/>
          <w:bCs w:val="0"/>
          <w:color w:val="000000"/>
          <w:sz w:val="28"/>
          <w:szCs w:val="28"/>
          <w:highlight w:val="none"/>
        </w:rPr>
        <w:t xml:space="preserve">，依法对本国产品给予价格评审优惠，对本国产品的报价给予20%的价格扣除，用扣除后的价格参与评审。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9"/>
        <w:ind w:firstLine="0"/>
        <w:jc w:val="center"/>
        <w:rPr>
          <w:color w:val="000000"/>
          <w:sz w:val="28"/>
          <w:szCs w:val="28"/>
          <w:highlight w:val="none"/>
        </w:rPr>
      </w:pPr>
      <w:r>
        <w:rPr>
          <w:color w:val="000000"/>
          <w:sz w:val="28"/>
          <w:szCs w:val="28"/>
          <w:highlight w:val="none"/>
        </w:rPr>
      </w:r>
      <w:r/>
    </w:p>
    <w:p>
      <w:pPr>
        <w:pStyle w:val="749"/>
        <w:ind w:firstLine="0"/>
        <w:jc w:val="center"/>
        <w:rPr>
          <w:color w:val="000000"/>
          <w:sz w:val="28"/>
          <w:szCs w:val="28"/>
          <w:highlight w:val="none"/>
        </w:rPr>
      </w:pPr>
      <w:r>
        <w:rPr>
          <w:color w:val="000000"/>
          <w:sz w:val="28"/>
          <w:szCs w:val="28"/>
          <w:highlight w:val="none"/>
        </w:rPr>
      </w:r>
      <w:r/>
    </w:p>
    <w:p>
      <w:pPr>
        <w:pStyle w:val="749"/>
        <w:ind w:firstLine="0"/>
        <w:jc w:val="center"/>
        <w:rPr>
          <w:color w:val="000000"/>
          <w:sz w:val="28"/>
          <w:szCs w:val="28"/>
          <w:highlight w:val="none"/>
        </w:rPr>
      </w:pPr>
      <w:r>
        <w:rPr>
          <w:color w:val="000000"/>
          <w:sz w:val="28"/>
          <w:szCs w:val="28"/>
          <w:highlight w:val="none"/>
        </w:rPr>
      </w:r>
      <w:r/>
    </w:p>
    <w:p>
      <w:pPr>
        <w:pStyle w:val="749"/>
        <w:ind w:firstLine="0"/>
        <w:jc w:val="center"/>
        <w:rPr>
          <w:rFonts w:hint="eastAsia"/>
          <w:highlight w:val="none"/>
        </w:rPr>
      </w:pPr>
      <w:r>
        <w:rPr>
          <w:rFonts w:hint="eastAsia"/>
          <w:highlight w:val="none"/>
        </w:rPr>
      </w:r>
      <w:r/>
    </w:p>
    <w:p>
      <w:pPr>
        <w:pStyle w:val="90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9"/>
        <w:ind w:left="0" w:firstLine="420"/>
        <w:spacing w:after="0" w:line="400" w:lineRule="exact"/>
        <w:rPr>
          <w:rFonts w:ascii="宋体" w:hAnsi="宋体"/>
          <w:szCs w:val="21"/>
          <w:highlight w:val="none"/>
        </w:rPr>
      </w:pPr>
      <w:r>
        <w:rPr>
          <w:rFonts w:ascii="宋体" w:hAnsi="宋体"/>
          <w:szCs w:val="21"/>
          <w:highlight w:val="none"/>
        </w:rPr>
      </w:r>
      <w:r/>
    </w:p>
    <w:p>
      <w:pPr>
        <w:pStyle w:val="90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4"/>
        <w:rPr>
          <w:rFonts w:ascii="宋体" w:hAnsi="宋体" w:eastAsia="宋体" w:cs="宋体"/>
          <w:color w:val="000000"/>
          <w:sz w:val="21"/>
          <w:highlight w:val="none"/>
        </w:rPr>
      </w:pPr>
      <w:r>
        <w:rPr>
          <w:highlight w:val="none"/>
        </w:rPr>
        <w:br w:type="page" w:clear="all"/>
      </w:r>
      <w:r/>
    </w:p>
    <w:p>
      <w:pPr>
        <w:pStyle w:val="94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2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2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bookmarkStart w:id="14" w:name="_GoBack"/>
      <w:r/>
      <w:bookmarkEnd w:id="14"/>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9"/>
        <w:ind w:firstLine="0"/>
        <w:spacing w:line="440" w:lineRule="exact"/>
        <w:rPr>
          <w:rFonts w:ascii="Times New Roman" w:hAnsi="Times New Roman"/>
          <w:b/>
          <w:bCs/>
          <w:sz w:val="32"/>
          <w:szCs w:val="32"/>
          <w:highlight w:val="none"/>
          <w:lang w:eastAsia="zh-CN"/>
        </w:rPr>
        <w:outlineLvl w:val="1"/>
      </w:pPr>
      <w:r>
        <w:rPr>
          <w:rFonts w:hint="eastAsia"/>
          <w:b/>
          <w:sz w:val="28"/>
          <w:highlight w:val="none"/>
          <w:lang w:eastAsia="zh-CN"/>
        </w:rPr>
        <w:t xml:space="preserve">项目属性：货物类</w:t>
      </w:r>
      <w:r/>
    </w:p>
    <w:p>
      <w:pPr>
        <w:pStyle w:val="749"/>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21"/>
        <w:tblW w:w="8504" w:type="dxa"/>
        <w:jc w:val="center"/>
        <w:tblLayout w:type="autofit"/>
        <w:tblCellMar>
          <w:left w:w="108" w:type="dxa"/>
          <w:top w:w="0" w:type="dxa"/>
          <w:right w:w="108" w:type="dxa"/>
          <w:bottom w:w="0" w:type="dxa"/>
        </w:tblCellMar>
        <w:tblLook w:val="04A0" w:firstRow="1" w:lastRow="0" w:firstColumn="1" w:lastColumn="0" w:noHBand="0" w:noVBand="1"/>
      </w:tblPr>
      <w:tblGrid>
        <w:gridCol w:w="1082"/>
        <w:gridCol w:w="3752"/>
        <w:gridCol w:w="677"/>
        <w:gridCol w:w="677"/>
        <w:gridCol w:w="2316"/>
      </w:tblGrid>
      <w:tr>
        <w:trPr>
          <w:jc w:val="center"/>
          <w:trHeight w:val="0"/>
          <w:tblHeader/>
        </w:trPr>
        <w:tc>
          <w:tcPr>
            <w:tcBorders>
              <w:top w:val="single" w:color="auto"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912"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对应中小企业划分标准所属行业</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5033"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A</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教学交互与音视频设备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智慧讲台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推拉黑板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触控一体机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教学软件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便携录播一体机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便携式录播系统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无线云台摄像机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摄像机支架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个</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无线麦克风</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无线全向麦克风</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移动拉杆箱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12</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专业音箱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只</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13</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专业音箱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只</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14</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专业功放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专业功放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16</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支架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只</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17</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调音台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18</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AI反馈抑制器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19</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电源管理器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U段无线话筒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21</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话筒呼叫控制嵌入软件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U段无线话筒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23</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话筒呼叫控制嵌入软件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24</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无线话筒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25</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话筒呼叫控制嵌入软件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26</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桌插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个</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27</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超高清视频无缝切换矩阵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28</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智能混合矩阵切换嵌入软件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5033"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B</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家具及配套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铝合金阶梯椅（后写字板可折叠）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位</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前排条桌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张</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中控台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转椅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个</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遮光布艺窗帘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m²</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五金及轨道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米</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5033"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C</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辅材及其他</w:t>
            </w:r>
            <w:r/>
          </w:p>
          <w:p>
            <w:pPr>
              <w:ind w:left="0" w:right="0" w:firstLine="0"/>
              <w:jc w:val="center"/>
              <w:widowControl/>
              <w:rPr>
                <w:rFonts w:hint="eastAsia" w:ascii="仿宋" w:hAnsi="仿宋" w:eastAsia="仿宋" w:cs="仿宋"/>
                <w:color w:val="000000"/>
                <w:sz w:val="22"/>
                <w:szCs w:val="22"/>
                <w:highlight w:val="none"/>
                <w:lang w:eastAsia="zh-CN"/>
              </w:rPr>
            </w:pPr>
            <w:r>
              <w:rPr>
                <w:rFonts w:hint="eastAsia" w:ascii="仿宋" w:hAnsi="仿宋" w:eastAsia="仿宋" w:cs="仿宋"/>
                <w:b/>
                <w:bCs/>
                <w:color w:val="000000"/>
                <w:sz w:val="22"/>
                <w:szCs w:val="22"/>
                <w:highlight w:val="none"/>
                <w:lang w:eastAsia="zh-CN"/>
              </w:rPr>
              <w:t xml:space="preserve">本项所列产品（机柜除外）属于低值易耗品，无需提供中小微企业声明函。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音频连接线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音频连接线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音频连接线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shd w:val="clear" w:color="000000" w:fill="ffffff"/>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b/>
                <w:bCs/>
                <w:color w:val="000000"/>
                <w:sz w:val="22"/>
                <w:szCs w:val="22"/>
                <w:highlight w:val="none"/>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工业</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视频线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视频线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电源线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批</w:t>
            </w:r>
            <w:r/>
          </w:p>
        </w:tc>
        <w:tc>
          <w:tcPr>
            <w:shd w:val="clear" w:color="000000" w:fill="ffffff"/>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shd w:val="clear" w:color="000000" w:fill="ffffff"/>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音箱线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批</w:t>
            </w:r>
            <w:r/>
          </w:p>
        </w:tc>
        <w:tc>
          <w:tcPr>
            <w:shd w:val="clear" w:color="000000" w:fill="ffffff"/>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eastAsia="zh-CN"/>
              </w:rPr>
              <w:t xml:space="preserve">其他</w:t>
            </w:r>
            <w:r>
              <w:rPr>
                <w:rFonts w:hint="eastAsia" w:ascii="仿宋" w:hAnsi="仿宋" w:eastAsia="仿宋" w:cs="仿宋"/>
                <w:sz w:val="22"/>
                <w:szCs w:val="22"/>
                <w:highlight w:val="none"/>
              </w:rPr>
              <w:t xml:space="preserve">附材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批</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w:t>
            </w:r>
            <w:r/>
          </w:p>
        </w:tc>
      </w:tr>
      <w:tr>
        <w:trPr>
          <w:jc w:val="center"/>
          <w:trHeight w:val="0"/>
        </w:trPr>
        <w:tc>
          <w:tcPr>
            <w:tcBorders>
              <w:top w:val="none" w:color="000000" w:sz="4" w:space="0"/>
              <w:left w:val="single" w:color="auto" w:sz="4" w:space="0"/>
              <w:bottom w:val="single" w:color="auto" w:sz="4" w:space="0"/>
              <w:right w:val="single" w:color="auto" w:sz="4" w:space="0"/>
            </w:tcBorders>
            <w:tcW w:w="1121"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3912"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施工及集成服务</w:t>
            </w:r>
            <w:r/>
          </w:p>
        </w:tc>
        <w:tc>
          <w:tcPr>
            <w:tcBorders>
              <w:top w:val="none" w:color="000000" w:sz="4" w:space="0"/>
              <w:left w:val="none" w:color="000000" w:sz="4" w:space="0"/>
              <w:bottom w:val="single" w:color="auto" w:sz="4" w:space="0"/>
              <w:right w:val="single" w:color="auto" w:sz="4" w:space="0"/>
            </w:tcBorders>
            <w:tcW w:w="530"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0"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w:t>
            </w:r>
            <w:r/>
          </w:p>
        </w:tc>
        <w:tc>
          <w:tcPr>
            <w:tcBorders>
              <w:top w:val="none" w:color="000000" w:sz="4" w:space="0"/>
              <w:left w:val="none" w:color="000000" w:sz="4" w:space="0"/>
              <w:bottom w:val="single" w:color="auto" w:sz="4" w:space="0"/>
              <w:right w:val="single" w:color="auto" w:sz="4" w:space="0"/>
            </w:tcBorders>
            <w:tcW w:w="2411" w:type="dxa"/>
            <w:vAlign w:val="center"/>
            <w:textDirection w:val="lrTb"/>
            <w:noWrap w:val="false"/>
          </w:tcPr>
          <w:p>
            <w:pPr>
              <w:ind w:left="0" w:right="0" w:firstLine="0"/>
              <w:jc w:val="center"/>
              <w:widowControl/>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w:t>
            </w:r>
            <w:r/>
          </w:p>
        </w:tc>
      </w:tr>
    </w:tbl>
    <w:p>
      <w:pPr>
        <w:pStyle w:val="749"/>
        <w:ind w:firstLine="0"/>
        <w:spacing w:line="480" w:lineRule="exact"/>
        <w:rPr>
          <w:rFonts w:hint="eastAsia" w:ascii="仿宋" w:hAnsi="仿宋" w:eastAsia="仿宋" w:cs="仿宋"/>
          <w:b/>
          <w:color w:val="auto"/>
          <w:sz w:val="24"/>
          <w:szCs w:val="18"/>
          <w:highlight w:val="none"/>
          <w:lang w:val="en-US" w:eastAsia="zh-CN"/>
        </w:rPr>
        <w:outlineLvl w:val="1"/>
      </w:pPr>
      <w:r>
        <w:rPr>
          <w:rFonts w:hint="eastAsia" w:ascii="仿宋" w:hAnsi="仿宋" w:eastAsia="仿宋" w:cs="仿宋"/>
          <w:b/>
          <w:color w:val="auto"/>
          <w:sz w:val="24"/>
          <w:szCs w:val="18"/>
          <w:highlight w:val="none"/>
          <w:lang w:val="en-US" w:eastAsia="zh-CN"/>
        </w:rPr>
        <w:t xml:space="preserve">本项目核心产品：触控一体机</w:t>
      </w:r>
      <w:r/>
    </w:p>
    <w:p>
      <w:pPr>
        <w:pStyle w:val="749"/>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numPr>
          <w:ilvl w:val="0"/>
          <w:numId w:val="0"/>
        </w:numPr>
        <w:keepLines w:val="0"/>
        <w:keepNext w:val="0"/>
        <w:pageBreakBefore w:val="0"/>
        <w:spacing w:line="48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仿宋" w:hAnsi="仿宋" w:eastAsia="仿宋" w:cs="仿宋"/>
          <w:b w:val="0"/>
          <w:bCs w:val="0"/>
          <w:caps/>
          <w:color w:val="auto"/>
          <w:sz w:val="24"/>
          <w:szCs w:val="24"/>
          <w:highlight w:val="none"/>
          <w:lang w:val="en-US" w:eastAsia="zh-CN" w:bidi="ar-SA"/>
        </w:rPr>
        <w:t xml:space="preserve">响应供应商报价中包括完成本项目所</w:t>
      </w:r>
      <w:r>
        <w:rPr>
          <w:rFonts w:hint="eastAsia" w:ascii="仿宋" w:hAnsi="仿宋" w:eastAsia="仿宋" w:cs="仿宋"/>
          <w:b w:val="0"/>
          <w:bCs w:val="0"/>
          <w:caps/>
          <w:color w:val="auto"/>
          <w:sz w:val="24"/>
          <w:szCs w:val="24"/>
          <w:highlight w:val="none"/>
          <w:lang w:val="en-US" w:eastAsia="zh-CN" w:bidi="ar-SA"/>
        </w:rPr>
        <w:t xml:space="preserve">需的全部材料费、加工制作费、包装费、运输保险费、安装费、调试费、检测费、力支费、利润、税费、合同包含的所有风险、责任等以及响应供应商认为需要的其他费用等，且该价格不因市场价格因素及政策性调整的变化而调整。响应供应商可以自行咨询、踏勘现场，充分了解现场任何影响响应报价之情况，根据现场情况考虑相应的运输、上楼搬运、分楼分层安装等工作实际，并将相关费用考虑在报价中，任何忽视、猜测或误解现场情况而导致的成本增加或工期延长等，采购方一律不予认可。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采购标的需满足的质量、安全、技术规格等要求</w:t>
      </w:r>
      <w:r/>
    </w:p>
    <w:p>
      <w:pPr>
        <w:numPr>
          <w:ilvl w:val="0"/>
          <w:numId w:val="0"/>
        </w:numPr>
        <w:keepLines w:val="0"/>
        <w:keepNext w:val="0"/>
        <w:pageBreakBefore w:val="0"/>
        <w:spacing w:line="480" w:lineRule="exact"/>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t xml:space="preserve">1.技术参数清单</w:t>
      </w:r>
      <w:r/>
    </w:p>
    <w:tbl>
      <w:tblPr>
        <w:tblStyle w:val="721"/>
        <w:tblW w:w="8293" w:type="dxa"/>
        <w:jc w:val="center"/>
        <w:tblLayout w:type="autofit"/>
        <w:tblCellMar>
          <w:left w:w="108" w:type="dxa"/>
          <w:top w:w="0" w:type="dxa"/>
          <w:right w:w="108" w:type="dxa"/>
          <w:bottom w:w="0" w:type="dxa"/>
        </w:tblCellMar>
        <w:tblLook w:val="04A0" w:firstRow="1" w:lastRow="0" w:firstColumn="1" w:lastColumn="0" w:noHBand="0" w:noVBand="1"/>
      </w:tblPr>
      <w:tblGrid>
        <w:gridCol w:w="698"/>
        <w:gridCol w:w="2064"/>
        <w:gridCol w:w="4134"/>
        <w:gridCol w:w="698"/>
        <w:gridCol w:w="699"/>
      </w:tblGrid>
      <w:tr>
        <w:trPr>
          <w:jc w:val="center"/>
          <w:trHeight w:val="0"/>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配置参数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2762"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A</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教学交互与音视频设备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智慧讲台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numPr>
                <w:ilvl w:val="0"/>
                <w:numId w:val="1"/>
              </w:num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整体尺寸不小于 1100mm（长）x600mm（宽）x1000mm（高），设置不低于21.5寸电容触摸屏幕，覆盖&lt;3mm钢化玻璃</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保护屏幕安全。屏幕在讲台上方倾斜安装。 </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2、支持多点触控对黑板操作，同步显示黑板画面，书写延迟&lt;50ms，可使用手指或触控笔进行触控。</w:t>
            </w:r>
            <w:r/>
          </w:p>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3.</w:t>
            </w:r>
            <w:r>
              <w:rPr>
                <w:rFonts w:hint="eastAsia" w:ascii="仿宋" w:hAnsi="仿宋" w:eastAsia="仿宋" w:cs="仿宋"/>
                <w:color w:val="000000"/>
                <w:sz w:val="22"/>
                <w:szCs w:val="22"/>
                <w:highlight w:val="none"/>
              </w:rPr>
              <w:t xml:space="preserve">支持与智慧黑板联动，可通过讲台控制智慧黑板，同步显示智慧黑板画面，支持多点触控。</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4、讲台不低于8个功能按键与智慧黑板联动，须包括关机、熄讲台、音量调节、开机、熄黑板、息小屏等功能。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5、老师接触桌面为纯平面木质材料设计。</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6、配置USB接口</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USB&gt;2个。</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7、配置五孔插座电源接口，可提供220V交流电，供电脑等电子设备进行充电。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推拉黑板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1.</w:t>
            </w:r>
            <w:r>
              <w:rPr>
                <w:rFonts w:hint="eastAsia" w:ascii="仿宋" w:hAnsi="仿宋" w:eastAsia="仿宋" w:cs="仿宋"/>
                <w:color w:val="000000"/>
                <w:sz w:val="22"/>
                <w:szCs w:val="22"/>
                <w:highlight w:val="none"/>
              </w:rPr>
              <w:t xml:space="preserve">结构：产品为上下推拉结构，升降结构在黑板背面，不外露；安装有 EVA 减震缓冲块，外框与轨道不直接碰撞，避免产生金属碰撞声。</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2、规格：整体外径约≥4000mm×1950mm，由两块书写板和电子设备组成，两块板可交替上下推拉，单块黑板外径≥ 2000mm×900mm，外包香槟色整体无拼接大框，将黑板与显示设备整体镶嵌。外径可根据学校实际情况进行适当调整</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3、书写面板：材质：材质采用烤漆面板，厚度≥0.35mm， 整板无拼接；颜色：绿色，表面附有透明保护膜；硬度：涂层硬度≥7H，光泽度＜6%，无明显眩光，不反光，有效保护学生视力。</w:t>
            </w:r>
            <w:r/>
          </w:p>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4.</w:t>
            </w:r>
            <w:r>
              <w:rPr>
                <w:rFonts w:hint="eastAsia" w:ascii="仿宋" w:hAnsi="仿宋" w:eastAsia="仿宋" w:cs="仿宋"/>
                <w:color w:val="000000"/>
                <w:sz w:val="22"/>
                <w:szCs w:val="22"/>
                <w:highlight w:val="none"/>
              </w:rPr>
              <w:t xml:space="preserve">衬板：书写的升降板衬板采用具有优良的防水、阻燃、隔音、减震、耐腐蚀性、强度高的挤塑板，厚度≥15mm，硬度高。</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5、背板：采用优质防锈彩涂钢板，厚度≥0.3mm。</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6、边框：采用高级香槟色铝合金型材。</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7、粉笔槽：有效防止粉笔灰垂直落地与边框采用绞扣式镶嵌连接，铝合金色泽一致，端头设有 ABS 塑料封堵，防止划伤。</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8、安全性：符合GB28231-2011《书写板安全卫生要求》。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触控一体机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1.</w:t>
            </w:r>
            <w:r>
              <w:rPr>
                <w:rFonts w:hint="eastAsia" w:ascii="仿宋" w:hAnsi="仿宋" w:eastAsia="仿宋" w:cs="仿宋"/>
                <w:color w:val="000000"/>
                <w:sz w:val="22"/>
                <w:szCs w:val="22"/>
                <w:highlight w:val="none"/>
              </w:rPr>
              <w:t xml:space="preserve">显示尺寸不低于98英寸</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整机采用一体化设计，外部无任何可见内部功能模块的连接线。支持红外≥20点触摸感应方式，触摸方式：手指、笔，或其他任何非透明物体，免驱动操作，即插即用。</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2、采用金属极窄边框设计。</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3、支持全通道屏幕录制功能。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4、前置非转接接口：USB3.0≥2个，TYPEC≥1个，USB接口均支持在安卓和Windows双系统下识别，无需区分。</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5、为方便操作，整机</w:t>
            </w:r>
            <w:r>
              <w:rPr>
                <w:rFonts w:hint="eastAsia" w:ascii="仿宋" w:hAnsi="仿宋" w:eastAsia="仿宋" w:cs="仿宋"/>
                <w:color w:val="000000"/>
                <w:sz w:val="22"/>
                <w:szCs w:val="22"/>
                <w:highlight w:val="none"/>
                <w:lang w:eastAsia="zh-CN"/>
              </w:rPr>
              <w:t xml:space="preserve">须</w:t>
            </w:r>
            <w:r>
              <w:rPr>
                <w:rFonts w:hint="eastAsia" w:ascii="仿宋" w:hAnsi="仿宋" w:eastAsia="仿宋" w:cs="仿宋"/>
                <w:color w:val="000000"/>
                <w:sz w:val="22"/>
                <w:szCs w:val="22"/>
                <w:highlight w:val="none"/>
              </w:rPr>
              <w:t xml:space="preserve">具有不少于6个</w:t>
            </w:r>
            <w:r>
              <w:rPr>
                <w:rFonts w:hint="eastAsia" w:ascii="仿宋" w:hAnsi="仿宋" w:eastAsia="仿宋" w:cs="仿宋"/>
                <w:color w:val="000000"/>
                <w:sz w:val="22"/>
                <w:szCs w:val="22"/>
                <w:highlight w:val="none"/>
              </w:rPr>
              <w:t xml:space="preserve">前置实体按键实现高频教学应用，包括但不仅限于电源开关、进入主页、菜单、音量+</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音量－</w:t>
            </w:r>
            <w:r>
              <w:rPr>
                <w:rFonts w:hint="eastAsia" w:ascii="仿宋" w:hAnsi="仿宋" w:eastAsia="仿宋" w:cs="仿宋"/>
                <w:color w:val="000000"/>
                <w:sz w:val="22"/>
                <w:szCs w:val="22"/>
                <w:highlight w:val="none"/>
              </w:rPr>
              <w:t xml:space="preserve">、信号源等，以上功能均一键直达，非多个按键组合。</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6、整机内置安卓嵌入式系统，采用不低于八核CPU，系统版本不低于安卓14.0，内存不低于4G RAM，存储不低于32G ROM。</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7、支持全通道批注功能。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8、支持通道唤醒功能，支持网络唤醒、HDMI唤醒等多种唤醒方式。</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9、支持护眼模式开启。</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10、设备支持云桌面教学应用部署，可通过整机嵌入式系统或外接终端设备接入云桌面服务，实现云黑板教学场景。</w:t>
            </w:r>
            <w:r/>
          </w:p>
          <w:p>
            <w:pPr>
              <w:ind w:left="0" w:right="0" w:firstLine="0"/>
              <w:jc w:val="left"/>
              <w:widowControl/>
              <w:rPr>
                <w:rFonts w:hint="eastAsia" w:ascii="仿宋" w:hAnsi="仿宋" w:eastAsia="仿宋" w:cs="仿宋"/>
                <w:sz w:val="22"/>
                <w:highlight w:val="none"/>
              </w:rPr>
            </w:pPr>
            <w:r>
              <w:rPr>
                <w:rFonts w:hint="eastAsia" w:ascii="仿宋" w:hAnsi="仿宋" w:eastAsia="仿宋" w:cs="仿宋"/>
                <w:color w:val="000000"/>
                <w:sz w:val="22"/>
                <w:szCs w:val="22"/>
                <w:highlight w:val="none"/>
                <w:lang w:eastAsia="zh-CN"/>
              </w:rPr>
              <w:t xml:space="preserve">11.</w:t>
            </w:r>
            <w:r>
              <w:rPr>
                <w:rFonts w:hint="eastAsia" w:ascii="仿宋" w:hAnsi="仿宋" w:eastAsia="仿宋" w:cs="仿宋"/>
                <w:color w:val="000000"/>
                <w:sz w:val="22"/>
                <w:szCs w:val="22"/>
                <w:highlight w:val="none"/>
              </w:rPr>
              <w:t xml:space="preserve">具备内置摄像头，摄像头可拍摄≥1300万像素照片，具有≥8孔阵列的阵列式麦克风，支持声音拾取</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13、内置OPS电脑采用模块化设计，实现无单独接线的插拔。内置OPS配置：不低于四核八线程高性能 CPU，内存≥8G，固态硬盘≥256G。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教学软件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一、课堂教学软件</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1.软件应用模块均在统一界面，集中管理。</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2.支持一键进行屏幕截图，支持自定义截图区域，且可选择隐藏备课主窗口。</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.支持学校老师通过手机号码注册账号，支持账号、短信、钉钉和微信扫码等多种登录方式；提供不少于50G的个人云空间，无需通过完成特定任务就能获取</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二</w:t>
            </w:r>
            <w:r>
              <w:rPr>
                <w:rFonts w:hint="eastAsia" w:ascii="仿宋" w:hAnsi="仿宋" w:eastAsia="仿宋" w:cs="仿宋"/>
                <w:color w:val="000000"/>
                <w:sz w:val="22"/>
                <w:szCs w:val="22"/>
                <w:highlight w:val="none"/>
              </w:rPr>
              <w:t xml:space="preserve">、录屏功能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1.用户无需额外安装其他软件即可在白板软件首页一键打开录屏功能。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2.支持选择和切换全屏录制，区域录制、应用窗口录制。</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3.支持选择使用录制倒计时功能，可随意设置录制时间。</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三</w:t>
            </w:r>
            <w:r>
              <w:rPr>
                <w:rFonts w:hint="eastAsia" w:ascii="仿宋" w:hAnsi="仿宋" w:eastAsia="仿宋" w:cs="仿宋"/>
                <w:color w:val="000000"/>
                <w:sz w:val="22"/>
                <w:szCs w:val="22"/>
                <w:highlight w:val="none"/>
              </w:rPr>
              <w:t xml:space="preserve">、投屏互动教学软件</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1.具备服务端生成热点功能。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2.支持多类型设备连接：支持 IOS、MAC 镜像投屏、安卓移动端（Android 6.0 及以上）与黑板互投、Windows 客户端与黑板端互投。</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3.支持密码管理，首次连接需要输入密码</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4.支持智慧黑板端画面同步至</w:t>
            </w:r>
            <w:r>
              <w:rPr>
                <w:rFonts w:hint="eastAsia" w:ascii="仿宋" w:hAnsi="仿宋" w:eastAsia="仿宋" w:cs="仿宋"/>
                <w:color w:val="000000"/>
                <w:sz w:val="22"/>
                <w:szCs w:val="22"/>
                <w:highlight w:val="none"/>
                <w:lang w:val="en-US" w:eastAsia="zh-CN"/>
              </w:rPr>
              <w:t xml:space="preserve">q</w:t>
            </w:r>
            <w:r>
              <w:rPr>
                <w:rFonts w:hint="eastAsia" w:ascii="仿宋" w:hAnsi="仿宋" w:eastAsia="仿宋" w:cs="仿宋"/>
                <w:color w:val="000000"/>
                <w:sz w:val="22"/>
                <w:szCs w:val="22"/>
                <w:highlight w:val="none"/>
              </w:rPr>
              <w:t xml:space="preserve">手机端，手机端设备可远程控制服务端 Windows 桌面。</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5.具备实物展台功能：可将手机摄像头画面直播至 PC 服务端，或将学生作业、试卷、课本等资料拍照上传至智慧黑板端。</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rPr>
              <w:t xml:space="preserve">.支持一键录屏功能。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7</w:t>
            </w:r>
            <w:r>
              <w:rPr>
                <w:rFonts w:hint="eastAsia" w:ascii="仿宋" w:hAnsi="仿宋" w:eastAsia="仿宋" w:cs="仿宋"/>
                <w:color w:val="000000"/>
                <w:sz w:val="22"/>
                <w:szCs w:val="22"/>
                <w:highlight w:val="none"/>
              </w:rPr>
              <w:t xml:space="preserve">.支持 Windows 客户端远程控制智慧黑板端桌面；支持 Windows 客户端桌面同步至智慧黑板端，并且可互相操控。</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四</w:t>
            </w:r>
            <w:r>
              <w:rPr>
                <w:rFonts w:hint="eastAsia" w:ascii="仿宋" w:hAnsi="仿宋" w:eastAsia="仿宋" w:cs="仿宋"/>
                <w:color w:val="000000"/>
                <w:sz w:val="22"/>
                <w:szCs w:val="22"/>
                <w:highlight w:val="none"/>
              </w:rPr>
              <w:t xml:space="preserve">、集中控制管理平台</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1、平台采用B/S架构设计，可在Windows、Android、iOS等多种不同的操作系统上通过网页浏览器</w:t>
            </w:r>
            <w:r>
              <w:rPr>
                <w:rFonts w:hint="eastAsia" w:ascii="仿宋" w:hAnsi="仿宋" w:eastAsia="仿宋" w:cs="仿宋"/>
                <w:color w:val="000000"/>
                <w:sz w:val="22"/>
                <w:szCs w:val="22"/>
                <w:highlight w:val="none"/>
                <w:lang w:eastAsia="zh-CN"/>
              </w:rPr>
              <w:t xml:space="preserve">登录</w:t>
            </w:r>
            <w:r>
              <w:rPr>
                <w:rFonts w:hint="eastAsia" w:ascii="仿宋" w:hAnsi="仿宋" w:eastAsia="仿宋" w:cs="仿宋"/>
                <w:color w:val="000000"/>
                <w:sz w:val="22"/>
                <w:szCs w:val="22"/>
                <w:highlight w:val="none"/>
              </w:rPr>
              <w:t xml:space="preserve">控制智能交互设备。</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2、可远程监控智能交互设备开关机状态、系统运行时间、开机时间、最大不关机时间、异常断电情况、操作系统版本、CPU、内存、硬盘大小及剩余空间和内存使用率等。</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3、管理平台支持远程指令控制，支持单台设备控制或多台设备批量控制，包括：开关机、屏幕锁</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支持自定义解锁密码</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、打铃、启用/禁用U盘等。</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4</w:t>
            </w:r>
            <w:r>
              <w:rPr>
                <w:rFonts w:hint="eastAsia" w:ascii="仿宋" w:hAnsi="仿宋" w:eastAsia="仿宋" w:cs="仿宋"/>
                <w:color w:val="000000"/>
                <w:sz w:val="22"/>
                <w:szCs w:val="22"/>
                <w:highlight w:val="none"/>
              </w:rPr>
              <w:t xml:space="preserve">、管理平台具有安全管理功能，由平台开启和关闭智能交互设备的U盘识别功能。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rPr>
              <w:t xml:space="preserve">、管理平台具有图片展播功能，可向智能交互设备发送不低于10张图片，设备端将进行轮播展示，平台可设定轮播时长和速度。</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rPr>
              <w:t xml:space="preserve">、管理平台提供远程巡课功能，可以图片形式巡课，也可以实时动态查看智能交互设备使用界面，并支持远程操作智能交互设备。</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7</w:t>
            </w:r>
            <w:r>
              <w:rPr>
                <w:rFonts w:hint="eastAsia" w:ascii="仿宋" w:hAnsi="仿宋" w:eastAsia="仿宋" w:cs="仿宋"/>
                <w:color w:val="000000"/>
                <w:sz w:val="22"/>
                <w:szCs w:val="22"/>
                <w:highlight w:val="none"/>
              </w:rPr>
              <w:t xml:space="preserve">、管理平台支持批量对智能交互设备进行软件远程部署，配套专用教学软件批量部署支持静默安装。</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lang w:val="en-US" w:eastAsia="zh-CN"/>
              </w:rPr>
              <w:t xml:space="preserve">8</w:t>
            </w:r>
            <w:r>
              <w:rPr>
                <w:rFonts w:hint="eastAsia" w:ascii="仿宋" w:hAnsi="仿宋" w:eastAsia="仿宋" w:cs="仿宋"/>
                <w:color w:val="000000"/>
                <w:sz w:val="22"/>
                <w:szCs w:val="22"/>
                <w:highlight w:val="none"/>
              </w:rPr>
              <w:t xml:space="preserve">、智能交互设备客户端输入所在学校管理员的账号密码进行注册绑定，支持自定义智能交互设备名称。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便携录播一体机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1.要求录播主机采用一体化嵌入式硬件设计架构，内置国产化八核处理器、Linux系统、≥8GB内存，≥1T硬盘。</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★2.要求录播主机满足录制、直播、点播、互动、导播管理、存储、切换、视音频编码、语音转写、虚拟抠像、行为分析等功能。至少支持内置有线网络、无线</w:t>
            </w:r>
            <w:r>
              <w:rPr>
                <w:rFonts w:hint="eastAsia" w:ascii="仿宋" w:hAnsi="仿宋" w:eastAsia="仿宋" w:cs="仿宋"/>
                <w:sz w:val="22"/>
                <w:szCs w:val="22"/>
                <w:highlight w:val="none"/>
                <w:lang w:eastAsia="zh-CN"/>
              </w:rPr>
              <w:t xml:space="preserve">Wi-Fi</w:t>
            </w:r>
            <w:r>
              <w:rPr>
                <w:rFonts w:hint="eastAsia" w:ascii="仿宋" w:hAnsi="仿宋" w:eastAsia="仿宋" w:cs="仿宋"/>
                <w:sz w:val="22"/>
                <w:szCs w:val="22"/>
                <w:highlight w:val="none"/>
              </w:rPr>
              <w:t xml:space="preserve">和SIM卡插卡3种联网方式，方便随时随地连接网络。（</w:t>
            </w:r>
            <w:r>
              <w:rPr>
                <w:rFonts w:hint="eastAsia" w:ascii="仿宋" w:hAnsi="仿宋" w:eastAsia="仿宋" w:cs="仿宋"/>
                <w:sz w:val="22"/>
                <w:szCs w:val="22"/>
                <w:highlight w:val="none"/>
                <w:lang w:val="en-US" w:eastAsia="zh-CN"/>
              </w:rPr>
              <w:t xml:space="preserve">供货前</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val="en-US" w:eastAsia="zh-CN"/>
              </w:rPr>
              <w:t xml:space="preserve">功能截图</w:t>
            </w:r>
            <w:r>
              <w:rPr>
                <w:rFonts w:hint="eastAsia" w:ascii="仿宋" w:hAnsi="仿宋" w:eastAsia="仿宋" w:cs="仿宋"/>
                <w:sz w:val="22"/>
                <w:szCs w:val="22"/>
                <w:highlight w:val="none"/>
              </w:rPr>
              <w:t xml:space="preserve">，加盖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公章）</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3.要求录播主机具有</w:t>
            </w:r>
            <w:r>
              <w:rPr>
                <w:rFonts w:hint="eastAsia" w:ascii="仿宋" w:hAnsi="仿宋" w:eastAsia="仿宋" w:cs="仿宋"/>
                <w:sz w:val="22"/>
                <w:szCs w:val="22"/>
                <w:highlight w:val="none"/>
                <w:lang w:eastAsia="zh-CN"/>
              </w:rPr>
              <w:t xml:space="preserve">Wi-Fi</w:t>
            </w:r>
            <w:r>
              <w:rPr>
                <w:rFonts w:hint="eastAsia" w:ascii="仿宋" w:hAnsi="仿宋" w:eastAsia="仿宋" w:cs="仿宋"/>
                <w:sz w:val="22"/>
                <w:szCs w:val="22"/>
                <w:highlight w:val="none"/>
              </w:rPr>
              <w:t xml:space="preserve">认证和忽略功能，可选择手动触发认证弹窗。</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4.要求配置≥15.6英寸全贴合电容触控液晶屏，采用防指纹涂层工艺，无须外接显示设备，用户可直接通过主机查看已录制的视频，支持在主机上直接播放查看录制效果，并可使用U盘拷贝。</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5.要求具有多指智能手势识别息屏功能，操作者可在触摸屏任意位置，通过触摸实现对屏幕背光的关闭和开启。</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6.要求支持≥2路HDMI输入接口，支持≥3路HDMI输出接口，≥1路输出本地画面，≥1路输出合成画面，≥1路HDMI自定义输出视频源和分辨率。</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7.要求支持≥1路线性输入，≥1路3.5mm音频输入，≥1路线性输出，≥1路3.5mm音频输出。</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8.要求支持≥2路RS232控制接口。</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9.要求支持≥1路TYPE-C接口，≥4路USB3.0接口，支持连接鼠标、键盘进行导播控制以及主机连接U盘进行课程视频的录制、下载，支持外接光驱刻录光盘，拷贝本地视频至光驱刻录。</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★10.系统整体支持</w:t>
            </w:r>
            <w:r>
              <w:rPr>
                <w:rFonts w:hint="eastAsia" w:ascii="仿宋" w:hAnsi="仿宋" w:eastAsia="仿宋" w:cs="仿宋"/>
                <w:sz w:val="22"/>
                <w:szCs w:val="22"/>
                <w:highlight w:val="none"/>
                <w:lang w:val="en-US" w:eastAsia="zh-CN"/>
              </w:rPr>
              <w:t xml:space="preserve">多</w:t>
            </w:r>
            <w:r>
              <w:rPr>
                <w:rFonts w:hint="eastAsia" w:ascii="仿宋" w:hAnsi="仿宋" w:eastAsia="仿宋" w:cs="仿宋"/>
                <w:sz w:val="22"/>
                <w:szCs w:val="22"/>
                <w:highlight w:val="none"/>
              </w:rPr>
              <w:t xml:space="preserve">路RJ45网口，</w:t>
            </w:r>
            <w:r>
              <w:rPr>
                <w:rFonts w:hint="eastAsia" w:ascii="仿宋" w:hAnsi="仿宋" w:eastAsia="仿宋" w:cs="仿宋"/>
                <w:sz w:val="22"/>
                <w:szCs w:val="22"/>
                <w:highlight w:val="none"/>
                <w:lang w:val="en-US" w:eastAsia="zh-CN"/>
              </w:rPr>
              <w:t xml:space="preserve">至少包含3</w:t>
            </w:r>
            <w:r>
              <w:rPr>
                <w:rFonts w:hint="eastAsia" w:ascii="仿宋" w:hAnsi="仿宋" w:eastAsia="仿宋" w:cs="仿宋"/>
                <w:sz w:val="22"/>
                <w:szCs w:val="22"/>
                <w:highlight w:val="none"/>
              </w:rPr>
              <w:t xml:space="preserve">路</w:t>
            </w:r>
            <w:r>
              <w:rPr>
                <w:rFonts w:hint="eastAsia" w:ascii="仿宋" w:hAnsi="仿宋" w:eastAsia="仿宋" w:cs="仿宋"/>
                <w:sz w:val="22"/>
                <w:szCs w:val="22"/>
                <w:highlight w:val="none"/>
              </w:rPr>
              <w:t xml:space="preserve">POE供电网</w:t>
            </w:r>
            <w:r>
              <w:rPr>
                <w:rFonts w:hint="eastAsia" w:ascii="仿宋" w:hAnsi="仿宋" w:eastAsia="仿宋" w:cs="仿宋"/>
                <w:sz w:val="22"/>
                <w:szCs w:val="22"/>
                <w:highlight w:val="none"/>
                <w:lang w:val="en-US" w:eastAsia="zh-CN"/>
              </w:rPr>
              <w:t xml:space="preserve">口</w:t>
            </w:r>
            <w:r>
              <w:rPr>
                <w:rFonts w:hint="eastAsia" w:ascii="仿宋" w:hAnsi="仿宋" w:eastAsia="仿宋" w:cs="仿宋"/>
                <w:sz w:val="22"/>
                <w:szCs w:val="22"/>
                <w:highlight w:val="none"/>
              </w:rPr>
              <w:t xml:space="preserve">，单网线同步实现设备供电与视频数据传输，支持摄像机统一智能组网管理，接入摄像机支持即插即用。（</w:t>
            </w:r>
            <w:r>
              <w:rPr>
                <w:rFonts w:hint="eastAsia" w:ascii="仿宋" w:hAnsi="仿宋" w:eastAsia="仿宋" w:cs="仿宋"/>
                <w:sz w:val="22"/>
                <w:szCs w:val="22"/>
                <w:highlight w:val="none"/>
                <w:lang w:val="en-US" w:eastAsia="zh-CN"/>
              </w:rPr>
              <w:t xml:space="preserve">供货前</w:t>
            </w:r>
            <w:r>
              <w:rPr>
                <w:rFonts w:hint="eastAsia" w:ascii="仿宋" w:hAnsi="仿宋" w:eastAsia="仿宋" w:cs="仿宋"/>
                <w:sz w:val="22"/>
                <w:szCs w:val="22"/>
                <w:highlight w:val="none"/>
              </w:rPr>
              <w:t xml:space="preserve">提供功能截图或实物照片或产品彩页，加盖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公章）</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11.要求录播主机内置不低于2个5W的扬声器，用于播放本地视频声音。</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12.视频编码：要求支持H.265和H.264两种视频编码协议，支持4K分辨率（3840*2160）视频的编码和录制。</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.设备需内置≥1</w:t>
            </w:r>
            <w:r>
              <w:rPr>
                <w:rFonts w:hint="eastAsia" w:ascii="仿宋" w:hAnsi="仿宋" w:eastAsia="仿宋" w:cs="仿宋"/>
                <w:sz w:val="22"/>
                <w:szCs w:val="22"/>
                <w:highlight w:val="none"/>
                <w:lang w:val="en-US" w:eastAsia="zh-CN"/>
              </w:rPr>
              <w:t xml:space="preserve">0</w:t>
            </w:r>
            <w:r>
              <w:rPr>
                <w:rFonts w:hint="eastAsia" w:ascii="仿宋" w:hAnsi="仿宋" w:eastAsia="仿宋" w:cs="仿宋"/>
                <w:sz w:val="22"/>
                <w:szCs w:val="22"/>
                <w:highlight w:val="none"/>
              </w:rPr>
              <w:t xml:space="preserve">000mAh电池，无需额外配置移动电源即可进行户外活动录制，具有电量不足提示功能，低于5%倒计时关机。</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.为保证具有更好的散热效果，主机需内置散热风扇，可自定义主机风扇转速。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便携式录播系统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1.系统支持账号密码登录，支持电影模式、资源模式等录制模式，支持≥1路电影模式加≥6路资源备份，可同时录制合成画面、教师全景、教师特写、学生全景、学生特写、板书画面、电脑画面。</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2.录制格式至少支持MP4/FLV/TS，录制分辨率支持3840*2160、1920*1080等，支持录制帧率设定，可选择25fps/30fps。码流支持1000-20000kbps可选。</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3.支持实时显示录播主机CPU的使用率，硬盘使用情况，不少于6路预监画面，可自定义通道预监画面名称，可同步显示对应摄像机的电量，具有自动息屏功能，可选择息屏时间。</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4.支持手指点控模式；导播模式支持视频预览、直播输出监视、视频切换等功能，其中手指拖动视频切换时支持导播小画面定位跟随。</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5.支持导播模式设置：至少包括手动、半自动、全自动模式，具有自动轮巡导播模式，可自定义轮巡画面和间隔时长。</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6.支持会议导播模式，开启会议模式后，系统根据会议麦克风发言自动切换视频画面预置位。</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.需支持上滑、下滑、左滑、右滑等多种切换特效，支持自定义选择≥8种特效切换速度。</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.系统支持摄像机云台控制，可以对摄像机进行变焦、上下左右位置调整以及≥8个预置位的设置，整个过程支持手指触控操作。</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.系统可以进行音量设置，可以采用手指拖动方式控制设备输入输出的音量大小。</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.需支持对屏幕亮度进行设置，采用手指拖动方式控制设备的亮度。</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.所录制的视频文件既可存储在本地硬盘，也支持通过FTP上传至平台，同时支持用户随时通过录播主机点播回放视频，并可使用移动磁盘或硬盘拷贝下载。</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.要求系统具有推送公网直播功能并可在设备上自动生成直播二维码，扫描即可观看直播，系统可选择创建直播类型，至少包括活动直播和教研直播，支持自定义直播标题和起始时间，可设置直播分辨率和码率，</w:t>
            </w:r>
            <w:r>
              <w:rPr>
                <w:rFonts w:hint="eastAsia" w:ascii="仿宋" w:hAnsi="仿宋" w:eastAsia="仿宋" w:cs="仿宋"/>
                <w:sz w:val="22"/>
                <w:szCs w:val="22"/>
                <w:highlight w:val="none"/>
                <w:lang w:eastAsia="zh-CN"/>
              </w:rPr>
              <w:t xml:space="preserve">调节</w:t>
            </w:r>
            <w:r>
              <w:rPr>
                <w:rFonts w:hint="eastAsia" w:ascii="仿宋" w:hAnsi="仿宋" w:eastAsia="仿宋" w:cs="仿宋"/>
                <w:sz w:val="22"/>
                <w:szCs w:val="22"/>
                <w:highlight w:val="none"/>
              </w:rPr>
              <w:t xml:space="preserve">直播画面音量大小，支持直播列表的查看，直播列表展示课程天数。</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.系统需支持RTMP直播推流，推送的直播流可选择不同视频源，可选画面≥4个，可同时开启平台直播和三方推流直播。</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rPr>
              <w:t xml:space="preserve">.需支持摄像机遥控器，可设置摄像机模式，至少包括室内、室外、背光、大屏模式，可选择优先有线网络。</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15</w:t>
            </w:r>
            <w:r>
              <w:rPr>
                <w:rFonts w:hint="eastAsia" w:ascii="仿宋" w:hAnsi="仿宋" w:eastAsia="仿宋" w:cs="仿宋"/>
                <w:sz w:val="22"/>
                <w:szCs w:val="22"/>
                <w:highlight w:val="none"/>
              </w:rPr>
              <w:t xml:space="preserve">.要求内置微课制作功能，支持不少于前景、人像、背景3层场景叠加，叠加的场景支持PPT、视频、图片，虚拟抠像后的人像等类型。要求支持虚拟抠像后合成的画面实现和远端进行音视频互动。（</w:t>
            </w:r>
            <w:r>
              <w:rPr>
                <w:rFonts w:hint="eastAsia" w:ascii="仿宋" w:hAnsi="仿宋" w:eastAsia="仿宋" w:cs="仿宋"/>
                <w:sz w:val="22"/>
                <w:szCs w:val="22"/>
                <w:highlight w:val="none"/>
                <w:lang w:val="en-US" w:eastAsia="zh-CN"/>
              </w:rPr>
              <w:t xml:space="preserve">供货前</w:t>
            </w:r>
            <w:r>
              <w:rPr>
                <w:rFonts w:hint="eastAsia" w:ascii="仿宋" w:hAnsi="仿宋" w:eastAsia="仿宋" w:cs="仿宋"/>
                <w:sz w:val="22"/>
                <w:szCs w:val="22"/>
                <w:highlight w:val="none"/>
              </w:rPr>
              <w:t xml:space="preserve">提供功能截图或实物照片或产品彩页，加盖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公章）</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16</w:t>
            </w:r>
            <w:r>
              <w:rPr>
                <w:rFonts w:hint="eastAsia" w:ascii="仿宋" w:hAnsi="仿宋" w:eastAsia="仿宋" w:cs="仿宋"/>
                <w:sz w:val="22"/>
                <w:szCs w:val="22"/>
                <w:highlight w:val="none"/>
              </w:rPr>
              <w:t xml:space="preserve">.至少支持智能抠像和键显色两种抠像模式。</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17</w:t>
            </w:r>
            <w:r>
              <w:rPr>
                <w:rFonts w:hint="eastAsia" w:ascii="仿宋" w:hAnsi="仿宋" w:eastAsia="仿宋" w:cs="仿宋"/>
                <w:sz w:val="22"/>
                <w:szCs w:val="22"/>
                <w:highlight w:val="none"/>
              </w:rPr>
              <w:t xml:space="preserve">.需支持手动调整前景、人像大小以及位置，抠像功能支持噪点清除、去黑边、溢色清除、前景强化、边缘平滑、饱和度压缩、黑色加强等细节调整，支持校色系数调节由绿幕软件造成的色差，从而达到更为理想的抠像效果</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18</w:t>
            </w:r>
            <w:r>
              <w:rPr>
                <w:rFonts w:hint="eastAsia" w:ascii="仿宋" w:hAnsi="仿宋" w:eastAsia="仿宋" w:cs="仿宋"/>
                <w:sz w:val="22"/>
                <w:szCs w:val="22"/>
                <w:highlight w:val="none"/>
              </w:rPr>
              <w:t xml:space="preserve">.需支持自定义抠像区域，可通过手指拖拽调整抠像区域位置和大小。</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19</w:t>
            </w:r>
            <w:r>
              <w:rPr>
                <w:rFonts w:hint="eastAsia" w:ascii="仿宋" w:hAnsi="仿宋" w:eastAsia="仿宋" w:cs="仿宋"/>
                <w:sz w:val="22"/>
                <w:szCs w:val="22"/>
                <w:highlight w:val="none"/>
              </w:rPr>
              <w:t xml:space="preserve">.要求不依赖网络、外置设备即可实现行为分析、实时字幕的语音转写和热词提取。系统内置行为分析系统，至少支持对教室人数、举手、站立、背身、趴下、低头、扭头人数的实时统计，并实时汇总学生的参与度、活跃度和抬头率。</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lang w:val="en-US" w:eastAsia="zh-CN"/>
              </w:rPr>
              <w:t xml:space="preserve">0</w:t>
            </w:r>
            <w:r>
              <w:rPr>
                <w:rFonts w:hint="eastAsia" w:ascii="仿宋" w:hAnsi="仿宋" w:eastAsia="仿宋" w:cs="仿宋"/>
                <w:sz w:val="22"/>
                <w:szCs w:val="22"/>
                <w:highlight w:val="none"/>
              </w:rPr>
              <w:t xml:space="preserve">.行为分析可选择是否进行举手、趴桌、站立等行为数据展示，可选择学生全景相机位置，语音识别需支持区分角色，自动</w:t>
            </w:r>
            <w:r>
              <w:rPr>
                <w:rFonts w:hint="eastAsia" w:ascii="仿宋" w:hAnsi="仿宋" w:eastAsia="仿宋" w:cs="仿宋"/>
                <w:sz w:val="22"/>
                <w:szCs w:val="22"/>
                <w:highlight w:val="none"/>
                <w:lang w:eastAsia="zh-CN"/>
              </w:rPr>
              <w:t xml:space="preserve">生成</w:t>
            </w:r>
            <w:r>
              <w:rPr>
                <w:rFonts w:hint="eastAsia" w:ascii="仿宋" w:hAnsi="仿宋" w:eastAsia="仿宋" w:cs="仿宋"/>
                <w:sz w:val="22"/>
                <w:szCs w:val="22"/>
                <w:highlight w:val="none"/>
              </w:rPr>
              <w:t xml:space="preserve">行为分析报告，报告可自动下载至本地文件夹中。</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.内置互动系统，支持标准SIP和H.323互动协议，互动界面支持双流、一键静音、全屏、导播设置等功能</w:t>
            </w:r>
            <w:r>
              <w:rPr>
                <w:rFonts w:hint="eastAsia" w:ascii="仿宋" w:hAnsi="仿宋" w:eastAsia="仿宋" w:cs="仿宋"/>
                <w:sz w:val="22"/>
                <w:szCs w:val="22"/>
                <w:highlight w:val="none"/>
                <w:lang w:eastAsia="zh-CN"/>
              </w:rPr>
              <w:t xml:space="preserve">。</w:t>
            </w:r>
            <w:r/>
          </w:p>
          <w:p>
            <w:pPr>
              <w:ind w:left="0" w:right="0" w:firstLine="0"/>
              <w:jc w:val="left"/>
              <w:widowControl/>
              <w:rPr>
                <w:rFonts w:hint="eastAsia" w:ascii="仿宋" w:hAnsi="仿宋" w:eastAsia="仿宋" w:cs="仿宋"/>
                <w:sz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.授课预监：授课过程中，录播主机屏幕将实时显示授课教室和参与互动的听课教室画面，用户可实时查看授课教室的拍摄效果，及互动教室的听课状态。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无线云台摄像机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1.采用≥1/1.8 英寸CMOS、≥800万像素，需支持4K</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3840×2160</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分辨率，兼容1080P、720P等多种分辨率。</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2.需采用4K超长焦镜头，视角≥60°，光学变焦≥20倍，数字变焦≥16倍。</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3.需支持水平翻转、垂直翻转。</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4.支持不少于2D、3D数字降噪，图像信噪比≥55dB。</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5.音频接口：≥1路line in接口，需支持 AAC 编码格式，音频采样率≥48KHz。</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6.视频接口：≥1路HDMI out接口。</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w:t>
            </w:r>
            <w:r>
              <w:rPr>
                <w:rFonts w:hint="eastAsia" w:ascii="仿宋" w:hAnsi="仿宋" w:eastAsia="仿宋" w:cs="仿宋"/>
                <w:sz w:val="22"/>
                <w:szCs w:val="22"/>
                <w:highlight w:val="none"/>
                <w:lang w:eastAsia="zh-CN"/>
              </w:rPr>
              <w:t xml:space="preserve">其他接口</w:t>
            </w:r>
            <w:r>
              <w:rPr>
                <w:rFonts w:hint="eastAsia" w:ascii="仿宋" w:hAnsi="仿宋" w:eastAsia="仿宋" w:cs="仿宋"/>
                <w:sz w:val="22"/>
                <w:szCs w:val="22"/>
                <w:highlight w:val="none"/>
              </w:rPr>
              <w:t xml:space="preserve">：≥1路Type-C接口，需兼容USB 2.0和USB3.0，≥1路RS485，需支持VISCA/Pelco-D/Pelco-P协议。</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8.网络接口：≥1路RJ45网络接口，10M/100M/自适应以太网。</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9.需支持硬件复位功能，可通过Reset复位键实现整机复位。</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10.需支持USB音视频输出，同时支持UVC和UAC协议，最大支持4K@30fps输出，兼容主流视频会议软件。</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11.至少支持TCP/IP、HTTP、RTSP、RTMP/RTMPS、Onvif、DHCP、组播等网络协议等。</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12.视频制式需支持50Hz/60Hz，编码等级可设置main profile，至少支持H.264/H.265/MJPEG等视频编码协议；帧率支持1~30fps。</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13.需支持5G </w:t>
            </w:r>
            <w:r>
              <w:rPr>
                <w:rFonts w:hint="eastAsia" w:ascii="仿宋" w:hAnsi="仿宋" w:eastAsia="仿宋" w:cs="仿宋"/>
                <w:sz w:val="22"/>
                <w:szCs w:val="22"/>
                <w:highlight w:val="none"/>
                <w:lang w:eastAsia="zh-CN"/>
              </w:rPr>
              <w:t xml:space="preserve">Wi-Fi</w:t>
            </w:r>
            <w:r>
              <w:rPr>
                <w:rFonts w:hint="eastAsia" w:ascii="仿宋" w:hAnsi="仿宋" w:eastAsia="仿宋" w:cs="仿宋"/>
                <w:sz w:val="22"/>
                <w:szCs w:val="22"/>
                <w:highlight w:val="none"/>
              </w:rPr>
              <w:t xml:space="preserve">传输，天线方式2×2MIMO，最大传输速率不低于200Mbps，传输距离不低于100米。</w:t>
            </w:r>
            <w:r>
              <w:rPr>
                <w:rFonts w:hint="eastAsia" w:ascii="仿宋" w:hAnsi="仿宋" w:eastAsia="仿宋" w:cs="仿宋"/>
                <w:sz w:val="22"/>
                <w:szCs w:val="22"/>
                <w:highlight w:val="none"/>
                <w:lang w:eastAsia="zh-CN"/>
              </w:rPr>
              <w:t xml:space="preserve">具有</w:t>
            </w:r>
            <w:r>
              <w:rPr>
                <w:rFonts w:hint="eastAsia" w:ascii="仿宋" w:hAnsi="仿宋" w:eastAsia="仿宋" w:cs="仿宋"/>
                <w:sz w:val="22"/>
                <w:szCs w:val="22"/>
                <w:highlight w:val="none"/>
              </w:rPr>
              <w:t xml:space="preserve">自动搜索和智能配置功能，需采用802.11a/n标准协议。</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★14.摄像机需搭载AI算法实现人形跟踪，支持提取人体多维度特征信息，可实现教育、会议和直播等场景的自动跟踪。可支持人物动作分析，至少识别举手、起身、低头等人物动作分析。（</w:t>
            </w:r>
            <w:r>
              <w:rPr>
                <w:rFonts w:hint="eastAsia" w:ascii="仿宋" w:hAnsi="仿宋" w:eastAsia="仿宋" w:cs="仿宋"/>
                <w:sz w:val="22"/>
                <w:szCs w:val="22"/>
                <w:highlight w:val="none"/>
                <w:lang w:val="en-US" w:eastAsia="zh-CN"/>
              </w:rPr>
              <w:t xml:space="preserve">供货前</w:t>
            </w:r>
            <w:r>
              <w:rPr>
                <w:rFonts w:hint="eastAsia" w:ascii="仿宋" w:hAnsi="仿宋" w:eastAsia="仿宋" w:cs="仿宋"/>
                <w:sz w:val="22"/>
                <w:szCs w:val="22"/>
                <w:highlight w:val="none"/>
              </w:rPr>
              <w:t xml:space="preserve">提供功能截图或实物照片或产品彩页，加盖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公章）</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15.需内置OLED显示屏，至少显示输出分辨率、电池电量、无线信号强度、摄像机状态、IP 地址等信息。</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16.需支持多种白平衡方式，至少包括自动</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 室内</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 室外</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 一键式</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 手动。</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17.需支持通过浏览器进行管理，至少包括亮度、饱和度、对比度、锐度、色度设置。</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18.需支持12V电源适配器和内置电池供电，电池容量≥9450mAh。</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摄像机支架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1.脚管节数：3节。</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2.升起中轴高度：</w:t>
            </w:r>
            <w:r>
              <w:rPr>
                <w:rFonts w:hint="eastAsia" w:ascii="仿宋" w:hAnsi="仿宋" w:eastAsia="仿宋" w:cs="仿宋"/>
                <w:sz w:val="22"/>
                <w:szCs w:val="22"/>
                <w:highlight w:val="none"/>
              </w:rPr>
              <w:t xml:space="preserve">不低于</w:t>
            </w:r>
            <w:r>
              <w:rPr>
                <w:rFonts w:hint="eastAsia" w:ascii="仿宋" w:hAnsi="仿宋" w:eastAsia="仿宋" w:cs="仿宋"/>
                <w:color w:val="000000"/>
                <w:sz w:val="22"/>
                <w:szCs w:val="22"/>
                <w:highlight w:val="none"/>
              </w:rPr>
              <w:t xml:space="preserve">1860mm（含云台）。</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3.不升中轴高度：</w:t>
            </w:r>
            <w:r>
              <w:rPr>
                <w:rFonts w:hint="eastAsia" w:ascii="仿宋" w:hAnsi="仿宋" w:eastAsia="仿宋" w:cs="仿宋"/>
                <w:sz w:val="22"/>
                <w:szCs w:val="22"/>
                <w:highlight w:val="none"/>
              </w:rPr>
              <w:t xml:space="preserve">不低于</w:t>
            </w:r>
            <w:r>
              <w:rPr>
                <w:rFonts w:hint="eastAsia" w:ascii="仿宋" w:hAnsi="仿宋" w:eastAsia="仿宋" w:cs="仿宋"/>
                <w:color w:val="000000"/>
                <w:sz w:val="22"/>
                <w:szCs w:val="22"/>
                <w:highlight w:val="none"/>
              </w:rPr>
              <w:t xml:space="preserve">1480mm（含云台）。</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4.整体承重</w:t>
            </w:r>
            <w:r>
              <w:rPr>
                <w:rFonts w:hint="eastAsia" w:ascii="仿宋" w:hAnsi="仿宋" w:eastAsia="仿宋" w:cs="仿宋"/>
                <w:sz w:val="22"/>
                <w:szCs w:val="22"/>
                <w:highlight w:val="none"/>
              </w:rPr>
              <w:t xml:space="preserve">不低于</w:t>
            </w:r>
            <w:r>
              <w:rPr>
                <w:rFonts w:hint="eastAsia" w:ascii="仿宋" w:hAnsi="仿宋" w:eastAsia="仿宋" w:cs="仿宋"/>
                <w:color w:val="000000"/>
                <w:sz w:val="22"/>
                <w:szCs w:val="22"/>
                <w:highlight w:val="none"/>
              </w:rPr>
              <w:t xml:space="preserve">10kg。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个</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无线麦克风</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1.采用OLED显示屏，支持显示麦克风电池电量、麦克风配对状态、麦克风接收声音强度等。</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2.支持2.4GHz数字频段。</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3.操作范围</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无障碍</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：≥100米。</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4.麦克风频率响应：20Hz-20KHz，信噪比：84dB。</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 ≥1个USB Type-C接口，≥1个3.5mm音频接口，≥1个电源按键，≥2个音量控制按钮</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6.支持抗干扰能力，支持自动跳频技术，避免同频干扰问题。</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7.电池容量：不低于400mAh，电池续航时长：不低于8小时</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8.标配两个无线麦克风，且两个麦克风支持同时工作。</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9.充电仓供电方式：Type-C充电口，充电盒电池容量：不低于2000mAh</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10.充电仓支持电量指示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无线全向麦克风</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1.不低于8阵列MIC，具有高灵敏度、高信噪比特色，支持远距离清晰拾音。</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2.支持AI降噪、AI回声消除、AI AGC、超级降噪。</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3.拾取距离：不低于3米；</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4.内置不低于5W高响度扬声器单元，支持本地扩声；</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5.支持蓝牙、无线两种连接方式，连接距离≥10米；</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6.内置不低于4400mAh电池，支持Type-C接口充电；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移动拉杆箱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箱体材质：PP；拉杆：ABS+TPE；采用静音轮；容积不低于85L</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专业音箱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1.阻抗≤8Ω，额定功率≥400W，高频≥1.7英寸压缩高音单元×1，低频≥12英寸低音单元×1。</w:t>
            </w:r>
            <w:r/>
          </w:p>
          <w:p>
            <w:pPr>
              <w:ind w:left="0" w:right="0" w:firstLine="0"/>
              <w:jc w:val="left"/>
              <w:widowControl/>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2.频率响应（测试电压：0.2V，测试距离：1m）：等同或宽于45Hz-20kHz。</w:t>
            </w:r>
            <w:r>
              <w:rPr>
                <w:rFonts w:hint="eastAsia" w:ascii="仿宋" w:hAnsi="仿宋" w:eastAsia="仿宋" w:cs="仿宋"/>
                <w:sz w:val="22"/>
                <w:szCs w:val="22"/>
                <w:highlight w:val="none"/>
              </w:rPr>
              <w:br/>
            </w:r>
            <w:r>
              <w:rPr>
                <w:rFonts w:hint="eastAsia" w:ascii="仿宋" w:hAnsi="仿宋" w:eastAsia="仿宋" w:cs="仿宋"/>
                <w:color w:val="auto"/>
                <w:sz w:val="22"/>
                <w:szCs w:val="22"/>
                <w:highlight w:val="none"/>
              </w:rPr>
              <w:t xml:space="preserve">★3.指定频带内的声压级（测试电压：</w:t>
            </w:r>
            <w:r>
              <w:rPr>
                <w:rFonts w:hint="eastAsia" w:ascii="仿宋" w:hAnsi="仿宋" w:eastAsia="仿宋" w:cs="仿宋"/>
                <w:sz w:val="22"/>
                <w:szCs w:val="22"/>
                <w:highlight w:val="none"/>
              </w:rPr>
              <w:t xml:space="preserve">≥</w:t>
            </w:r>
            <w:r>
              <w:rPr>
                <w:rFonts w:hint="eastAsia" w:ascii="仿宋" w:hAnsi="仿宋" w:eastAsia="仿宋" w:cs="仿宋"/>
                <w:color w:val="auto"/>
                <w:sz w:val="22"/>
                <w:szCs w:val="22"/>
                <w:highlight w:val="none"/>
              </w:rPr>
              <w:t xml:space="preserve">56V，频率范围53Hz-20kHz，测试距离1m）：≥122dB。</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供货前提供第三方检测机构出具</w:t>
            </w:r>
            <w:r>
              <w:rPr>
                <w:rFonts w:hint="eastAsia" w:ascii="仿宋" w:hAnsi="仿宋" w:eastAsia="仿宋" w:cs="仿宋"/>
                <w:sz w:val="22"/>
                <w:szCs w:val="22"/>
                <w:highlight w:val="none"/>
              </w:rPr>
              <w:t xml:space="preserve">的检测依据为GB/T 9397-2013《直接辐射式电动扬声器通用规范》和GB/T 12060.5-2011《声系统设备第5部分：扬声器主要性能测试方法》并</w:t>
            </w:r>
            <w:r>
              <w:rPr>
                <w:rFonts w:hint="eastAsia" w:ascii="仿宋" w:hAnsi="仿宋" w:eastAsia="仿宋" w:cs="仿宋"/>
                <w:color w:val="auto"/>
                <w:sz w:val="22"/>
                <w:szCs w:val="22"/>
                <w:highlight w:val="none"/>
                <w:lang w:val="en-US" w:eastAsia="zh-CN"/>
              </w:rPr>
              <w:t xml:space="preserve">带有CMA标志的检测报告</w:t>
            </w:r>
            <w:r>
              <w:rPr>
                <w:rFonts w:hint="eastAsia" w:ascii="仿宋" w:hAnsi="仿宋" w:eastAsia="仿宋" w:cs="仿宋"/>
                <w:color w:val="auto"/>
                <w:sz w:val="22"/>
                <w:szCs w:val="22"/>
                <w:highlight w:val="none"/>
              </w:rPr>
              <w:t xml:space="preserve">复印件或扫描件</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加盖供应商公章。</w:t>
            </w:r>
            <w:r>
              <w:rPr>
                <w:rFonts w:hint="eastAsia" w:ascii="仿宋" w:hAnsi="仿宋" w:eastAsia="仿宋" w:cs="仿宋"/>
                <w:sz w:val="22"/>
                <w:szCs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只</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专业音箱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1.阻抗≤8Ω，额定功率≥300W，高音≥1.7英寸压缩高音单元×1，低音≥10英寸低音×1。</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2.频率响应（测试电压：0.2V，测试距离：1m）：等同或宽于45Hz-20kHz。</w:t>
            </w:r>
            <w:r>
              <w:rPr>
                <w:rFonts w:hint="eastAsia" w:ascii="仿宋" w:hAnsi="仿宋" w:eastAsia="仿宋" w:cs="仿宋"/>
                <w:sz w:val="22"/>
                <w:szCs w:val="22"/>
                <w:highlight w:val="none"/>
              </w:rPr>
              <w:br/>
            </w:r>
            <w:r>
              <w:rPr>
                <w:rFonts w:hint="eastAsia" w:ascii="仿宋" w:hAnsi="仿宋" w:eastAsia="仿宋" w:cs="仿宋"/>
                <w:color w:val="auto"/>
                <w:sz w:val="22"/>
                <w:szCs w:val="22"/>
                <w:highlight w:val="none"/>
              </w:rPr>
              <w:t xml:space="preserve">★</w:t>
            </w:r>
            <w:r>
              <w:rPr>
                <w:rFonts w:hint="eastAsia" w:ascii="仿宋" w:hAnsi="仿宋" w:eastAsia="仿宋" w:cs="仿宋"/>
                <w:sz w:val="22"/>
                <w:szCs w:val="22"/>
                <w:highlight w:val="none"/>
              </w:rPr>
              <w:t xml:space="preserve">3.指定频带内的声压级（测试电压</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49</w:t>
            </w:r>
            <w:r>
              <w:rPr>
                <w:rFonts w:hint="eastAsia" w:ascii="仿宋" w:hAnsi="仿宋" w:eastAsia="仿宋" w:cs="仿宋"/>
                <w:sz w:val="22"/>
                <w:szCs w:val="22"/>
                <w:highlight w:val="none"/>
              </w:rPr>
              <w:t xml:space="preserve">V，频率范围</w:t>
            </w:r>
            <w:r>
              <w:rPr>
                <w:rFonts w:hint="eastAsia" w:ascii="仿宋" w:hAnsi="仿宋" w:eastAsia="仿宋" w:cs="仿宋"/>
                <w:sz w:val="22"/>
                <w:szCs w:val="22"/>
                <w:highlight w:val="none"/>
                <w:lang w:val="en-US" w:eastAsia="zh-CN"/>
              </w:rPr>
              <w:t xml:space="preserve">45</w:t>
            </w:r>
            <w:r>
              <w:rPr>
                <w:rFonts w:hint="eastAsia" w:ascii="仿宋" w:hAnsi="仿宋" w:eastAsia="仿宋" w:cs="仿宋"/>
                <w:sz w:val="22"/>
                <w:szCs w:val="22"/>
                <w:highlight w:val="none"/>
              </w:rPr>
              <w:t xml:space="preserve">Hz-20kHz，测试距离1m）：≥</w:t>
            </w:r>
            <w:r>
              <w:rPr>
                <w:rFonts w:hint="eastAsia" w:ascii="仿宋" w:hAnsi="仿宋" w:eastAsia="仿宋" w:cs="仿宋"/>
                <w:sz w:val="22"/>
                <w:szCs w:val="22"/>
                <w:highlight w:val="none"/>
                <w:lang w:val="en-US" w:eastAsia="zh-CN"/>
              </w:rPr>
              <w:t xml:space="preserve">119</w:t>
            </w:r>
            <w:r>
              <w:rPr>
                <w:rFonts w:hint="eastAsia" w:ascii="仿宋" w:hAnsi="仿宋" w:eastAsia="仿宋" w:cs="仿宋"/>
                <w:sz w:val="22"/>
                <w:szCs w:val="22"/>
                <w:highlight w:val="none"/>
              </w:rPr>
              <w:t xml:space="preserve">dB。</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供货前提供第三方检测机构出具</w:t>
            </w:r>
            <w:r>
              <w:rPr>
                <w:rFonts w:hint="eastAsia" w:ascii="仿宋" w:hAnsi="仿宋" w:eastAsia="仿宋" w:cs="仿宋"/>
                <w:sz w:val="22"/>
                <w:szCs w:val="22"/>
                <w:highlight w:val="none"/>
              </w:rPr>
              <w:t xml:space="preserve">的检测依据为GB/T 9397-2013《直接辐射式电动扬声器通用规范》和GB/T 12060.5-2011《声系统设备第5部分：扬声器主要性能测试方法》并</w:t>
            </w:r>
            <w:r>
              <w:rPr>
                <w:rFonts w:hint="eastAsia" w:ascii="仿宋" w:hAnsi="仿宋" w:eastAsia="仿宋" w:cs="仿宋"/>
                <w:color w:val="auto"/>
                <w:sz w:val="22"/>
                <w:szCs w:val="22"/>
                <w:highlight w:val="none"/>
                <w:lang w:val="en-US" w:eastAsia="zh-CN"/>
              </w:rPr>
              <w:t xml:space="preserve">带有CMA标志的检测报告</w:t>
            </w:r>
            <w:r>
              <w:rPr>
                <w:rFonts w:hint="eastAsia" w:ascii="仿宋" w:hAnsi="仿宋" w:eastAsia="仿宋" w:cs="仿宋"/>
                <w:color w:val="auto"/>
                <w:sz w:val="22"/>
                <w:szCs w:val="22"/>
                <w:highlight w:val="none"/>
              </w:rPr>
              <w:t xml:space="preserve">复印件或扫描件</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加盖供应商公章。</w:t>
            </w:r>
            <w:r>
              <w:rPr>
                <w:rFonts w:hint="eastAsia" w:ascii="仿宋" w:hAnsi="仿宋" w:eastAsia="仿宋" w:cs="仿宋"/>
                <w:sz w:val="22"/>
                <w:szCs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只</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专业功放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1.标准≤1U机柜式设计；采用PFC+开关电源+D类数字功放设计方案；输出功率：立体声@8Ω：≥500W×2；立体声@4Ω：≥850W×2；桥接@16Ω：≥1000W ；桥接@8Ω：≥1700W。</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2.开关电源采用LLC谐振电源短路保护电路和D类数字功放一体模块化设计，保证半桥LLC开关电源稳定性和可靠性。</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3.支持开机软启动功能，软启动过程中电源需求缓慢上升，减少对电网和其他电子设备的电流冲击。</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4.开关电源内置EMI电路，有效</w:t>
            </w:r>
            <w:r>
              <w:rPr>
                <w:rFonts w:hint="eastAsia" w:ascii="仿宋" w:hAnsi="仿宋" w:eastAsia="仿宋" w:cs="仿宋"/>
                <w:sz w:val="22"/>
                <w:szCs w:val="22"/>
                <w:highlight w:val="none"/>
                <w:lang w:eastAsia="zh-CN"/>
              </w:rPr>
              <w:t xml:space="preserve">地</w:t>
            </w:r>
            <w:r>
              <w:rPr>
                <w:rFonts w:hint="eastAsia" w:ascii="仿宋" w:hAnsi="仿宋" w:eastAsia="仿宋" w:cs="仿宋"/>
                <w:sz w:val="22"/>
                <w:szCs w:val="22"/>
                <w:highlight w:val="none"/>
              </w:rPr>
              <w:t xml:space="preserve">抑制电源谐波。</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5.数字功放核心的调制和匹配电路技术，让功放还原真实原声。</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6.整机转换效率达到85%以上。</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7.数字功放电源自适应音频调整节能功能，实现智能削峰限幅器，控制功率模块及扬声器系统在安全范围内工作。 </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8.MONO/STEREO/BRIDGE三种模式可选择切换。</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9.开机软启动，防止开机时向电网吸收大电流，干扰</w:t>
            </w:r>
            <w:r>
              <w:rPr>
                <w:rFonts w:hint="eastAsia" w:ascii="仿宋" w:hAnsi="仿宋" w:eastAsia="仿宋" w:cs="仿宋"/>
                <w:sz w:val="22"/>
                <w:szCs w:val="22"/>
                <w:highlight w:val="none"/>
                <w:lang w:eastAsia="zh-CN"/>
              </w:rPr>
              <w:t xml:space="preserve">其他用电</w:t>
            </w:r>
            <w:r>
              <w:rPr>
                <w:rFonts w:hint="eastAsia" w:ascii="仿宋" w:hAnsi="仿宋" w:eastAsia="仿宋" w:cs="仿宋"/>
                <w:sz w:val="22"/>
                <w:szCs w:val="22"/>
                <w:highlight w:val="none"/>
              </w:rPr>
              <w:t xml:space="preserve">设备。</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10.内置≥6大保护电路模块，为功放的可靠性保驾护航，具有：过压保护，欠压保护，过流保护，直流保护，输出短路保护，温控风扇功能。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专业功放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1.标准≤1U机柜式设计；采用PFC+开关电源+D类数字功放设计方案；输出功率：立体声@8Ω：≥500W×2；立体声@4Ω：≥850W×2；桥接@16Ω：≥1000W ；桥接@8Ω：≥1700W。</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2.开关电源采用LLC谐振电源短路保护电路和D类数字功放一体模块化设计，保证半桥LLC开关电源稳定性和可靠性。</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3.支持开机软启动功能，软启动过程中电源需求缓慢上升，减少对电网和其他电子设备的电流冲击。</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4.开关电源内置EMI电路，有效</w:t>
            </w:r>
            <w:r>
              <w:rPr>
                <w:rFonts w:hint="eastAsia" w:ascii="仿宋" w:hAnsi="仿宋" w:eastAsia="仿宋" w:cs="仿宋"/>
                <w:sz w:val="22"/>
                <w:szCs w:val="22"/>
                <w:highlight w:val="none"/>
                <w:lang w:eastAsia="zh-CN"/>
              </w:rPr>
              <w:t xml:space="preserve">地</w:t>
            </w:r>
            <w:r>
              <w:rPr>
                <w:rFonts w:hint="eastAsia" w:ascii="仿宋" w:hAnsi="仿宋" w:eastAsia="仿宋" w:cs="仿宋"/>
                <w:sz w:val="22"/>
                <w:szCs w:val="22"/>
                <w:highlight w:val="none"/>
              </w:rPr>
              <w:t xml:space="preserve">抑制电源谐波。</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5.数字功放核心的调制和匹配电路技术，让功放还原真实原声。</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6.整机转换效率达到85%以上。</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7.数字功放电源自适应音频调整节能功能，实现智能削峰限幅器，控制功率模块及扬声器系统在安全范围内工作。 </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8.MONO/STEREO/BRIDGE三种模式可选择切换。</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9.开机软启动，防止开机时向电网吸收大电流，干扰</w:t>
            </w:r>
            <w:r>
              <w:rPr>
                <w:rFonts w:hint="eastAsia" w:ascii="仿宋" w:hAnsi="仿宋" w:eastAsia="仿宋" w:cs="仿宋"/>
                <w:sz w:val="22"/>
                <w:szCs w:val="22"/>
                <w:highlight w:val="none"/>
                <w:lang w:eastAsia="zh-CN"/>
              </w:rPr>
              <w:t xml:space="preserve">其他用电</w:t>
            </w:r>
            <w:r>
              <w:rPr>
                <w:rFonts w:hint="eastAsia" w:ascii="仿宋" w:hAnsi="仿宋" w:eastAsia="仿宋" w:cs="仿宋"/>
                <w:sz w:val="22"/>
                <w:szCs w:val="22"/>
                <w:highlight w:val="none"/>
              </w:rPr>
              <w:t xml:space="preserve">设备。</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10.内置≥6大保护电路模块，为功放的可靠性保驾护航，具有：过压保护，欠压保护，过流保护，直流保护，输出短路保护，温控风扇功能。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支架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音箱支架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只</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调音台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1.支持≥10路MIC输入兼容8路线路输入接口，支持≥2组立体声输入接口，≥4路RCA输入，话筒接口幻象电源：+48V。</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2.具有≥2组立体声输出、≥4路编组输出、≥4路辅助输出、≥1个耳机监听输出、≥1个接口双路效果输出、≥1组控制室输出、≥1组主混音断点插入、≥8个断点插入。</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3.内置≥24位DSP效果器，提供≥100种预设效果。</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4.具备≥15个60mm行程的高精密碳膜推子。</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5.内置USB声卡模块，支持连接电脑进行音乐播放和声音录音；内置MP3播放器，支持≥1个USB接口接U盘播放音乐。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AI反馈抑制器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numPr>
                <w:ilvl w:val="0"/>
                <w:numId w:val="2"/>
              </w:num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处理器搭载高性能运算处理单元；配置≥2个完全独立的反馈抑制通道，每通道均支持自适应反馈抑制（AFC）功能，传声增益提升≥6dB，可分别处理不同声源信号（如主讲麦克风与观众席拾音），避免多麦克风场景下的交叉啸叫干扰。</w:t>
            </w:r>
            <w:r/>
          </w:p>
          <w:p>
            <w:pPr>
              <w:numPr>
                <w:ilvl w:val="0"/>
                <w:numId w:val="2"/>
              </w:num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2.支持声学校正按钮，按下可以预测声反馈回路；提供≥高/中/低三档输入电平调节。</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3.具有≥2个独立通道，每通道均支持等同或宽于0-99级数字音量调节及静音开关功能。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4.基于啸叫检测门限更新法，具有移频+陷波反馈抑制功能，可以使用≥48个可编程陷波点。</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6.设备具有编码旋钮和≥2.0英寸IPS屏幕，可用于控制和配置设备直通、场景。IPS屏幕能够显示IP地址，输入和输出通道的实时电平。</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7.具有设备定位，PC客户端具有一键定位局域网内同类设备功能，被定位到的设备会在显示屏上显示定位信息。</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8.支持多客户端数据同步，≥2个客户端以上连接混音器设备时，可实现多端数据同步。</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9.反馈抑制器软件可融入会议音频综合管理平台实现音频设备统一管理，平台可扫描数字会议主机、音频处理器、混音器、抑制器、功放类产品在线情况，支持识别多台同型号设备，并显示设备硬件名称、硬件IP地址、在线、离线状态信息；具备一键上传配置信息至云端或保存本地进行备份和一键还原配置信息功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电源管理器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2.当远程控制有效时同时控制后板ALARM（报警）端口导通以起到级联控制ALARM（报警）功能。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3.单个通道最大负载功率≥2200W，所有通道负载总功率≥6000W。输出连接器：多用途电源插座。</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4.具有≥1路USB接口。</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U段无线话筒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2.具有≥1台接收主机、≥2只手持发射机；频率范围等同或优于470MHz-510MHz、540MHz-590MHz、640MHz-690MHz、807MHz-830MHz四个频段使用。</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★3.具有自动静音功能，麦克风跌落、抛掷时，自动静音，避免冲击声；实时监测设备姿态，静置≥5秒静音，≥8分钟关机，无需手动干预。（</w:t>
            </w:r>
            <w:r>
              <w:rPr>
                <w:rFonts w:hint="eastAsia" w:ascii="仿宋" w:hAnsi="仿宋" w:eastAsia="仿宋" w:cs="仿宋"/>
                <w:sz w:val="22"/>
                <w:szCs w:val="22"/>
                <w:highlight w:val="none"/>
                <w:lang w:val="en-US" w:eastAsia="zh-CN"/>
              </w:rPr>
              <w:t xml:space="preserve">供货前</w:t>
            </w:r>
            <w:r>
              <w:rPr>
                <w:rFonts w:hint="eastAsia" w:ascii="仿宋" w:hAnsi="仿宋" w:eastAsia="仿宋" w:cs="仿宋"/>
                <w:sz w:val="22"/>
                <w:szCs w:val="22"/>
                <w:highlight w:val="none"/>
              </w:rPr>
              <w:t xml:space="preserve">提供功能截图佐证，加盖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公章）</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4.具有多频段均衡调节功能，具有高、中、低音三种调节档位，每种效果支持≥13档调节。</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5.具有长时间续航，发射机使用时长≥10小时。</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6.具有ID码防串扰功能，用于接收和发射配对，收发ID码必须相同才能对码，能够有效防止相同频率的信号相互串</w:t>
            </w:r>
            <w:r>
              <w:rPr>
                <w:rFonts w:hint="eastAsia" w:ascii="仿宋" w:hAnsi="仿宋" w:eastAsia="仿宋" w:cs="仿宋"/>
                <w:sz w:val="22"/>
                <w:szCs w:val="22"/>
                <w:highlight w:val="none"/>
                <w:lang w:eastAsia="zh-CN"/>
              </w:rPr>
              <w:t xml:space="preserve">扰</w:t>
            </w:r>
            <w:r>
              <w:rPr>
                <w:rFonts w:hint="eastAsia" w:ascii="仿宋" w:hAnsi="仿宋" w:eastAsia="仿宋" w:cs="仿宋"/>
                <w:sz w:val="22"/>
                <w:szCs w:val="22"/>
                <w:highlight w:val="none"/>
              </w:rPr>
              <w:t xml:space="preserve">。</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7.接收机具有≥2个2.2英寸的TFT-LCD显示屏；发射机具有≥0.96英寸OLED显示屏，能够显示频率信息、音频加密状态、功率挡位、静音状态、电量格数信息。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话筒呼叫控制嵌入软件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1.软件内嵌于无线话筒系统设备，话筒呼叫控制功能。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2.采用UHF超高频段双真分集接收，并采用PLL锁相环多信道频率合成技术。</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3.支持自动选讯接收方式。</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4.支持信道选择、频率可调、可设置主机与话筒配对。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U段无线话筒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2.具有≥1台接收主机、≥2只头戴腰包；频率范围等同或优于470MHz-510MHz、540MHz-590MHz、640MHz-690MHz、807MHz-830MHz四个频段使用。</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3.具有多档位混响调节功能，效果占比、回响延时、混响幅度调节，每种音效各具有≥25档调节方式。</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4.具有多频段均衡调节功能，具有高、中、低音三种调节档位，每种效果支持≥13档调节。</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5.具有长时间续航，发射机连续使用时长≥10小时。</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6.具有ID码防串扰功能，用于接收和发射配对，收发ID码必须相同才能对码，能够有效防止相同频率的信号相互串</w:t>
            </w:r>
            <w:r>
              <w:rPr>
                <w:rFonts w:hint="eastAsia" w:ascii="仿宋" w:hAnsi="仿宋" w:eastAsia="仿宋" w:cs="仿宋"/>
                <w:sz w:val="22"/>
                <w:szCs w:val="22"/>
                <w:highlight w:val="none"/>
                <w:lang w:eastAsia="zh-CN"/>
              </w:rPr>
              <w:t xml:space="preserve">扰</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7.接收机具有≥2个2.2英寸的TFT-LCD显示屏；发射机具有≥0.96英寸OLED显示屏，能够显示频率信息、音频加密状态、功率挡位、静音状态、电量格数信息。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话筒呼叫控制嵌入软件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1.软件内嵌于无线话筒系统设备，话筒呼叫控制功能。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2.采用UHF超高频段双真分集接收，并采用PLL锁相环多信道频率合成技术。</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3.支持自动选讯接收方式。</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4.支持信道选择、频率可调、可设置主机与话筒配对。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无线话筒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1.基于数字U段的传输技术，pi/4-DQPSK调制方式，采用国产主控芯片，传输距离≥80米，接收机具有≥4路平衡输出、≥1路非平衡混音输出；具有混响、均衡、智能静音、音频加密、功率调节功能。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2.具有≥1台接收主机、≥4台桌面式鹅颈咪杆发射机；频率范围等同或优于470MHz-510MHz、540MHz-590MHz、640MHz-690MHz、807MHz-830MHz四个频段使用。</w:t>
            </w:r>
            <w:r/>
          </w:p>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3.具有多频段均衡调节功能，具有高、中、低音三种调节档位，每种效果支持≥13档调节。</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4.具有ID码防串扰功能，用于接收和发射配对，收发ID码必须相同才能对码，能够有效防止相同频率的信号相互串</w:t>
            </w:r>
            <w:r>
              <w:rPr>
                <w:rFonts w:hint="eastAsia" w:ascii="仿宋" w:hAnsi="仿宋" w:eastAsia="仿宋" w:cs="仿宋"/>
                <w:sz w:val="22"/>
                <w:szCs w:val="22"/>
                <w:highlight w:val="none"/>
                <w:lang w:eastAsia="zh-CN"/>
              </w:rPr>
              <w:t xml:space="preserve">扰</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5.接收机具有≥4个2.2英寸的TFT-LCD显示屏；发射机具有≥0.96英寸LCD显示屏，能够显示频率信息、音频加密状态、功率挡位、静音状态、电量格数信息。</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★6.桌面式发射机配置≥1颗锂电池，使用时长≥15小时；设备电池孔位≥2个，支持拓展电池数量，通过拓展连续使用时长≥30小时。（</w:t>
            </w:r>
            <w:r>
              <w:rPr>
                <w:rFonts w:hint="eastAsia" w:ascii="仿宋" w:hAnsi="仿宋" w:eastAsia="仿宋" w:cs="仿宋"/>
                <w:sz w:val="22"/>
                <w:szCs w:val="22"/>
                <w:highlight w:val="none"/>
                <w:lang w:val="en-US" w:eastAsia="zh-CN"/>
              </w:rPr>
              <w:t xml:space="preserve">供货前</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val="en-US" w:eastAsia="zh-CN"/>
              </w:rPr>
              <w:t xml:space="preserve">符合国家法定资质的第三方检测机构</w:t>
            </w:r>
            <w:r>
              <w:rPr>
                <w:rFonts w:hint="eastAsia" w:ascii="仿宋" w:hAnsi="仿宋" w:eastAsia="仿宋" w:cs="仿宋"/>
                <w:sz w:val="22"/>
                <w:szCs w:val="22"/>
                <w:highlight w:val="none"/>
              </w:rPr>
              <w:t xml:space="preserve">的检测报告扫描件或复印件，加盖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公章</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话筒呼叫控制嵌入软件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1.软件内嵌于无线话筒系统设备，话筒呼叫控制功能。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2.采用UHF超高频段双真分集接收，并采用PLL锁相环多信道频率合成技术。</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3.支持自动选讯接收方式。</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4.支持信道选择、频率可调、可设置主机与话筒配对。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桌插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1.插座采用全铝结构，信息模块接口采用标准模块。</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2.弹起式桌面插座，支持45°仰角。</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3.具有≥1个功能按键，支持自定义按键的功能，搭配中控矩阵使用可实现视频切换、搭配中控系统支持扩展场景调用功能、搭配中控会议系统实现会议系统电源开启关闭功能等。</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4.配置接口：≥1个多功能电源接口、≥2个RJ45网络、≥1个3.5音频、≥1个HDMI高清视频接口、≥1个功能按键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个</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超高清视频无缝切换矩阵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1.具备≥4个HDMI输入接口、≥4个HDMI输出接口，以及≥4个3.5mm模拟音频输入接口、≥4个3.5mm模拟音频输出接口。</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2.支持音视频信号同时切换，也支持音频单独传输，模拟音频与HDMI内嵌音频选择输入。</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3.输入输出分辨率支持≥3840×2160P@60Hz。</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4.具备LCD显示屏拼接功能，可设置1×2、1×3、1×4、2×2、2×1、3×1、4×1 LCD显示屏拼接模式；以及支持视频无缝切换、无闪屏、无黑屏。</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5.控制接口：≥1×RS-232、≥1×RS-485、≥1×红外传感接收器、≥1×网口、≥1×UPDATE。</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6.面板按键：≥4×输入按键、≥4×输出按键、≥6×功能按键。</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7.支持EDID管理，可</w:t>
            </w:r>
            <w:r>
              <w:rPr>
                <w:rFonts w:hint="eastAsia" w:ascii="仿宋" w:hAnsi="仿宋" w:eastAsia="仿宋" w:cs="仿宋"/>
                <w:sz w:val="22"/>
                <w:szCs w:val="22"/>
                <w:highlight w:val="none"/>
                <w:lang w:eastAsia="zh-CN"/>
              </w:rPr>
              <w:t xml:space="preserve">选择</w:t>
            </w:r>
            <w:r>
              <w:rPr>
                <w:rFonts w:hint="eastAsia" w:ascii="仿宋" w:hAnsi="仿宋" w:eastAsia="仿宋" w:cs="仿宋"/>
                <w:sz w:val="22"/>
                <w:szCs w:val="22"/>
                <w:highlight w:val="none"/>
              </w:rPr>
              <w:t xml:space="preserve">默认EDID或者现场可学习。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智能混合矩阵切换嵌入软件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1.软件内嵌于高清矩阵系统设备，实现信号的处理、切换功能。</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2.支持分辨率≥1920×1080P@60Hz、4K的处理能力。</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3.采用创新的音频配置/切换技术，杜绝音频切换中的爆音、卡顿现象。</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4.支持音视频分离技术，音视频传输相互独立。</w:t>
            </w:r>
            <w:r>
              <w:rPr>
                <w:rFonts w:hint="eastAsia" w:ascii="仿宋" w:hAnsi="仿宋" w:eastAsia="仿宋" w:cs="仿宋"/>
                <w:sz w:val="22"/>
                <w:szCs w:val="22"/>
                <w:highlight w:val="none"/>
              </w:rPr>
              <w:br/>
            </w:r>
            <w:r>
              <w:rPr>
                <w:rFonts w:hint="eastAsia" w:ascii="仿宋" w:hAnsi="仿宋" w:eastAsia="仿宋" w:cs="仿宋"/>
                <w:sz w:val="22"/>
                <w:szCs w:val="22"/>
                <w:highlight w:val="none"/>
              </w:rPr>
              <w:t xml:space="preserve">5.支持OSD菜单，可配置输出画面参数。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套</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2762"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B</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家具及配套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铝合金阶梯椅（后写字板可折叠）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规格：中心距：520mm±5mm、座高： 440mm±5mm、椅高：928mm±5mm写字板高度：750mm±5mm、座深：430mm±5mm</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1.桌面板采用厚度 25mm±2mm，宽度 300mm±2mm 刨花板桌板长度 510mm±3mm 双面贴防火板（面板颜色为榉木色），正面边沿采用防火板包圆边处理，环保耐用。左右两边采用冷轧钢支架，坚固耐用、高档美观，无毛刺，无焊接；表面经喷涂处理，防锈蚀，经久耐用。二层采用 15mm 三胺板，大刀支架稳定牢固。</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2.椅背：极简平面直板，尺寸为 398mm±3mm</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高）</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*505mm±3mm（宽）*9mm±1mm（厚）的多层实木夹板，背框采用优质钢板经模压型，表面做防氧化处理后，高温喷涂处理，表面做优质麻绒布处理。椅座：425mm±3mm</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深）× 447mm±3mm（宽），采用不小于 15mm 多层板优质旋切木经模具热压成型并表面附高密度海绵，麻绒布包裹。座包与铝合金一体压铸成型角码采用穿透式连接，采用M8 圆柱头六角螺丝 2 个/角码。</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3.站脚为渐粗式椭圆管一体铝合金压铸成型，总高 928±3mmmm。扶手长 300±2mmmm，前端离地高 654±2mmmm，后端离地高 637±2mmmm</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椅背与地面呈 98°倾斜，参照人体工程学，舒适大方。站脚顶端宽为 29mm±2mm 导圆边，末端宽为 45mm±2mm 导圆边，站脚立柱分为三层阶梯状管，管长510mm±5mm，三层阶梯底部造型尺寸分别为：一层阶梯为70*85*455mm±2mm，二层阶梯为60*105*482mm±2mm，三层阶梯为50*150*510mm±2mm.底脚为半圆柱造型长318mm±2mm，厚度30mm±1mm，站脚2 个安装孔孔距262mm1mm。校用考虑通道过人，及使用方便不配扶手。</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4.回复机构：采用铝合金承重式重力回复机构，铝合金和受力精密车件一体压铸成型，确保</w:t>
            </w:r>
            <w:r>
              <w:rPr>
                <w:rFonts w:hint="eastAsia" w:ascii="仿宋" w:hAnsi="仿宋" w:eastAsia="仿宋" w:cs="仿宋"/>
                <w:color w:val="000000"/>
                <w:sz w:val="22"/>
                <w:szCs w:val="22"/>
                <w:highlight w:val="none"/>
                <w:lang w:eastAsia="zh-CN"/>
              </w:rPr>
              <w:t xml:space="preserve">外形</w:t>
            </w:r>
            <w:r>
              <w:rPr>
                <w:rFonts w:hint="eastAsia" w:ascii="仿宋" w:hAnsi="仿宋" w:eastAsia="仿宋" w:cs="仿宋"/>
                <w:color w:val="000000"/>
                <w:sz w:val="22"/>
                <w:szCs w:val="22"/>
                <w:highlight w:val="none"/>
              </w:rPr>
              <w:t xml:space="preserve">美观，精细，内有超静音处理，回复效果好，且永不失效。</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5.膨胀螺丝长度不低于8CM，配套膨胀管，使座椅与地面牢固紧锁。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216</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位</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前排条桌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1.</w:t>
            </w:r>
            <w:r>
              <w:rPr>
                <w:rFonts w:hint="eastAsia" w:ascii="仿宋" w:hAnsi="仿宋" w:eastAsia="仿宋" w:cs="仿宋"/>
                <w:color w:val="000000"/>
                <w:sz w:val="22"/>
                <w:szCs w:val="22"/>
                <w:highlight w:val="none"/>
              </w:rPr>
              <w:t xml:space="preserve">桌子大小为 1560mm*400mm±5mm;</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2、桌面采用环保高密度板，饰面：采用胡桃木木皮进行表面装饰。油漆采用环保木器漆。</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3、五金：优质五金配件。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张</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中控台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1.</w:t>
            </w:r>
            <w:r>
              <w:rPr>
                <w:rFonts w:hint="eastAsia" w:ascii="仿宋" w:hAnsi="仿宋" w:eastAsia="仿宋" w:cs="仿宋"/>
                <w:color w:val="000000"/>
                <w:sz w:val="22"/>
                <w:szCs w:val="22"/>
                <w:highlight w:val="none"/>
              </w:rPr>
              <w:t xml:space="preserve">中控室操作台为带灯光烤漆操作台；</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2、长宽：2400mm*800mm±10mm。下面带锁；</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3、面材：烤漆面，烤漆涂层固化后其涂层的稳定性、耐久性、耐 候性、耐摩擦性、耐腐蚀性和硬度高，经抛光 后，表面光洁度高，镜面效果好；</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4、油漆：采用水性油漆，油漆采用五层底漆五层面漆的“五底五面 ”工艺；</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5、基材：采用符合 E1  标准的优质环保型中密度纤维板，优质绿色环保产品； 6、胶水：采用进口环保胶水；</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7、桌面需留有设备穿线孔和多媒体桌面插座，具体位置与用户商量后确定；</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8、桌面颜色和灯光颜色需要与用户环境匹配，购买前需与用户商量，并能接受定制；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转椅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1.</w:t>
            </w:r>
            <w:r>
              <w:rPr>
                <w:rFonts w:hint="eastAsia" w:ascii="仿宋" w:hAnsi="仿宋" w:eastAsia="仿宋" w:cs="仿宋"/>
                <w:color w:val="000000"/>
                <w:sz w:val="22"/>
                <w:szCs w:val="22"/>
                <w:highlight w:val="none"/>
              </w:rPr>
              <w:t xml:space="preserve">面料：选用优质网布，无明显损伤、剥落质量，甲醛未检出，可萃取的重金属铅含量≤0.2mg/kg、镉含量未检出，色牢度（沾色）耐水：4-5  级、耐干摩擦：4-5级，无异常异味。</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2、海绵：采用优质高密度阻燃定型海绵，表面有防腐化和防</w:t>
            </w:r>
            <w:r>
              <w:rPr>
                <w:rFonts w:hint="eastAsia" w:ascii="仿宋" w:hAnsi="仿宋" w:eastAsia="仿宋" w:cs="仿宋"/>
                <w:color w:val="000000"/>
                <w:sz w:val="22"/>
                <w:szCs w:val="22"/>
                <w:highlight w:val="none"/>
                <w:lang w:eastAsia="zh-CN"/>
              </w:rPr>
              <w:t xml:space="preserve">变形</w:t>
            </w:r>
            <w:r>
              <w:rPr>
                <w:rFonts w:hint="eastAsia" w:ascii="仿宋" w:hAnsi="仿宋" w:eastAsia="仿宋" w:cs="仿宋"/>
                <w:color w:val="000000"/>
                <w:sz w:val="22"/>
                <w:szCs w:val="22"/>
                <w:highlight w:val="none"/>
              </w:rPr>
              <w:t xml:space="preserve">保护膜，防破碎、抗氧化，软硬适中，回弹性能好，抗变形能力强，</w:t>
            </w:r>
            <w:r>
              <w:rPr>
                <w:rFonts w:hint="eastAsia" w:ascii="仿宋" w:hAnsi="仿宋" w:eastAsia="仿宋" w:cs="仿宋"/>
                <w:color w:val="000000"/>
                <w:sz w:val="22"/>
                <w:szCs w:val="22"/>
                <w:highlight w:val="none"/>
                <w:lang w:eastAsia="zh-CN"/>
              </w:rPr>
              <w:t xml:space="preserve">根据</w:t>
            </w:r>
            <w:r>
              <w:rPr>
                <w:rFonts w:hint="eastAsia" w:ascii="仿宋" w:hAnsi="仿宋" w:eastAsia="仿宋" w:cs="仿宋"/>
                <w:color w:val="000000"/>
                <w:sz w:val="22"/>
                <w:szCs w:val="22"/>
                <w:highlight w:val="none"/>
              </w:rPr>
              <w:t xml:space="preserve">人体工程学原理设计，坐感舒适。</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3、50 管 120D 电镀气杆，高低升降不少于12cm回程距离，一次性压铸成型 330半径铝合金高脚，汽车静音轮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个</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遮光布艺窗帘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eastAsia="zh-CN"/>
              </w:rPr>
              <w:t xml:space="preserve">1.</w:t>
            </w:r>
            <w:r>
              <w:rPr>
                <w:rFonts w:hint="eastAsia" w:ascii="仿宋" w:hAnsi="仿宋" w:eastAsia="仿宋" w:cs="仿宋"/>
                <w:color w:val="000000"/>
                <w:sz w:val="22"/>
                <w:szCs w:val="22"/>
                <w:highlight w:val="none"/>
              </w:rPr>
              <w:t xml:space="preserve">规格</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遮光度不低于90%，B1级阻燃，亚麻布质感。</w:t>
            </w:r>
            <w:r>
              <w:rPr>
                <w:rFonts w:hint="eastAsia" w:ascii="仿宋" w:hAnsi="仿宋" w:eastAsia="仿宋" w:cs="仿宋"/>
                <w:color w:val="000000"/>
                <w:sz w:val="22"/>
                <w:szCs w:val="22"/>
                <w:highlight w:val="none"/>
              </w:rPr>
              <w:br/>
            </w:r>
            <w:r>
              <w:rPr>
                <w:rFonts w:hint="eastAsia" w:ascii="仿宋" w:hAnsi="仿宋" w:eastAsia="仿宋" w:cs="仿宋"/>
                <w:color w:val="000000"/>
                <w:sz w:val="22"/>
                <w:szCs w:val="22"/>
                <w:highlight w:val="none"/>
              </w:rPr>
              <w:t xml:space="preserve">2、窗帘尺寸（含控制室）</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2.75m*3.67m，4.6m*3.16m，3.15m*2.66m，3.1m*2.66m，4.55m3.17m，4.5m*2.90m</w:t>
            </w:r>
            <w:r/>
          </w:p>
          <w:p>
            <w:pPr>
              <w:ind w:left="0" w:right="0" w:firstLine="0"/>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rPr>
              <w:t xml:space="preserve">5.颜色：</w:t>
            </w:r>
            <w:r>
              <w:rPr>
                <w:rFonts w:hint="eastAsia" w:ascii="仿宋" w:hAnsi="仿宋" w:eastAsia="仿宋" w:cs="仿宋"/>
                <w:color w:val="000000"/>
                <w:sz w:val="22"/>
                <w:szCs w:val="22"/>
                <w:highlight w:val="none"/>
              </w:rPr>
              <w:t xml:space="preserve">暂定为高级灰，最终颜色须在窗帘制作前经校方确认。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145</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m²</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五金及轨道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配套精品五金、高精度轨道。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23</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米</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2762"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C</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辅材及其他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音频连接线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1.8米音频连接线：卡侬头（母）-卡侬头（公）</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18</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音频连接线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1.8米音频连接线：3.5（耳机插头）-双莲花（RCA）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音频连接线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1.8米音频连接线：3.5（耳机插头）</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双6.35话筒插头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w:t>
            </w:r>
            <w:r/>
          </w:p>
        </w:tc>
      </w:tr>
      <w:tr>
        <w:trPr>
          <w:jc w:val="center"/>
          <w:trHeight w:val="0"/>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42U，600*800*2000，钢化玻璃门</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视频线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支持1080P，60</w:t>
            </w:r>
            <w:r>
              <w:rPr>
                <w:rFonts w:hint="eastAsia" w:ascii="仿宋" w:hAnsi="仿宋" w:eastAsia="仿宋" w:cs="仿宋"/>
                <w:color w:val="000000"/>
                <w:sz w:val="22"/>
                <w:szCs w:val="22"/>
                <w:highlight w:val="none"/>
                <w:lang w:eastAsia="zh-CN"/>
              </w:rPr>
              <w:t xml:space="preserve">Hz</w:t>
            </w:r>
            <w:r>
              <w:rPr>
                <w:rFonts w:hint="eastAsia" w:ascii="仿宋" w:hAnsi="仿宋" w:eastAsia="仿宋" w:cs="仿宋"/>
                <w:color w:val="000000"/>
                <w:sz w:val="22"/>
                <w:szCs w:val="22"/>
                <w:highlight w:val="none"/>
              </w:rPr>
              <w:t xml:space="preserve"> 支持1.2版本</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长度10m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条</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视频线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支持1080P，60</w:t>
            </w:r>
            <w:r>
              <w:rPr>
                <w:rFonts w:hint="eastAsia" w:ascii="仿宋" w:hAnsi="仿宋" w:eastAsia="仿宋" w:cs="仿宋"/>
                <w:color w:val="000000"/>
                <w:sz w:val="22"/>
                <w:szCs w:val="22"/>
                <w:highlight w:val="none"/>
                <w:lang w:eastAsia="zh-CN"/>
              </w:rPr>
              <w:t xml:space="preserve">Hz</w:t>
            </w:r>
            <w:r>
              <w:rPr>
                <w:rFonts w:hint="eastAsia" w:ascii="仿宋" w:hAnsi="仿宋" w:eastAsia="仿宋" w:cs="仿宋"/>
                <w:color w:val="000000"/>
                <w:sz w:val="22"/>
                <w:szCs w:val="22"/>
                <w:highlight w:val="none"/>
              </w:rPr>
              <w:t xml:space="preserve"> 支持1.2版本</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长度20m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条</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电源线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RVV电线电缆 国标纯铜环保 RVV3*2.5 </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批</w:t>
            </w:r>
            <w:r/>
          </w:p>
        </w:tc>
      </w:tr>
      <w:tr>
        <w:trPr>
          <w:jc w:val="center"/>
          <w:trHeight w:val="0"/>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音箱线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纯铜带神经线300芯蓝色金银线</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批</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eastAsia="zh-CN"/>
              </w:rPr>
              <w:t xml:space="preserve">其他</w:t>
            </w:r>
            <w:r>
              <w:rPr>
                <w:rFonts w:hint="eastAsia" w:ascii="仿宋" w:hAnsi="仿宋" w:eastAsia="仿宋" w:cs="仿宋"/>
                <w:sz w:val="22"/>
                <w:szCs w:val="22"/>
                <w:highlight w:val="none"/>
              </w:rPr>
              <w:t xml:space="preserve">附材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接插件、专用插座、网络跳线、水晶头、线管、线槽等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批</w:t>
            </w:r>
            <w:r/>
          </w:p>
        </w:tc>
      </w:tr>
      <w:tr>
        <w:trPr>
          <w:jc w:val="center"/>
          <w:trHeight w:val="0"/>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施工及集成服务</w:t>
            </w:r>
            <w:r/>
          </w:p>
        </w:tc>
        <w:tc>
          <w:tcPr>
            <w:tcBorders>
              <w:top w:val="none" w:color="000000" w:sz="4" w:space="0"/>
              <w:left w:val="none" w:color="000000" w:sz="4" w:space="0"/>
              <w:bottom w:val="single" w:color="auto" w:sz="4" w:space="0"/>
              <w:right w:val="single" w:color="auto" w:sz="4" w:space="0"/>
            </w:tcBorders>
            <w:tcW w:w="4134" w:type="dxa"/>
            <w:vAlign w:val="center"/>
            <w:textDirection w:val="lrTb"/>
            <w:noWrap w:val="false"/>
          </w:tcPr>
          <w:p>
            <w:pPr>
              <w:ind w:left="0" w:right="0" w:firstLine="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设备安装布线、音视频集成服务</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ind w:left="0" w:right="0" w:firstLine="0"/>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ind w:left="0" w:right="0" w:firstLine="0"/>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w:t>
            </w:r>
            <w:r/>
          </w:p>
        </w:tc>
      </w:tr>
    </w:tbl>
    <w:p>
      <w:pPr>
        <w:numPr>
          <w:ilvl w:val="0"/>
          <w:numId w:val="0"/>
        </w:numPr>
        <w:keepLines w:val="0"/>
        <w:keepNext w:val="0"/>
        <w:pageBreakBefore w:val="0"/>
        <w:spacing w:line="48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仿宋" w:hAnsi="仿宋" w:eastAsia="仿宋" w:cs="仿宋"/>
          <w:b w:val="0"/>
          <w:bCs w:val="0"/>
          <w:caps/>
          <w:color w:val="auto"/>
          <w:sz w:val="24"/>
          <w:szCs w:val="24"/>
          <w:highlight w:val="none"/>
          <w:lang w:val="en-US" w:eastAsia="zh-CN" w:bidi="ar-SA"/>
        </w:rPr>
        <w:t xml:space="preserve">2.原材料环保要求：原材料及辅材产品应符合国家规定的强制性环保指标。</w:t>
      </w:r>
      <w:r/>
    </w:p>
    <w:p>
      <w:pPr>
        <w:numPr>
          <w:ilvl w:val="0"/>
          <w:numId w:val="0"/>
        </w:numPr>
        <w:keepLines w:val="0"/>
        <w:keepNext w:val="0"/>
        <w:pageBreakBefore w:val="0"/>
        <w:spacing w:line="48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仿宋" w:hAnsi="仿宋" w:eastAsia="仿宋" w:cs="仿宋"/>
          <w:b w:val="0"/>
          <w:bCs w:val="0"/>
          <w:caps/>
          <w:color w:val="auto"/>
          <w:sz w:val="24"/>
          <w:szCs w:val="24"/>
          <w:highlight w:val="none"/>
          <w:lang w:val="en-US" w:eastAsia="zh-CN" w:bidi="ar-SA"/>
        </w:rPr>
        <w:t xml:space="preserve">3.设计、制造相关问题</w:t>
      </w:r>
      <w:r/>
    </w:p>
    <w:p>
      <w:pPr>
        <w:numPr>
          <w:ilvl w:val="0"/>
          <w:numId w:val="0"/>
        </w:numPr>
        <w:keepLines w:val="0"/>
        <w:keepNext w:val="0"/>
        <w:pageBreakBefore w:val="0"/>
        <w:spacing w:line="48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仿宋" w:hAnsi="仿宋" w:eastAsia="仿宋" w:cs="仿宋"/>
          <w:b w:val="0"/>
          <w:bCs w:val="0"/>
          <w:caps/>
          <w:color w:val="auto"/>
          <w:sz w:val="24"/>
          <w:szCs w:val="24"/>
          <w:highlight w:val="none"/>
          <w:lang w:val="en-US" w:eastAsia="zh-CN" w:bidi="ar-SA"/>
        </w:rPr>
        <w:t xml:space="preserve">3.1货物内部配件（螺丝等）必须进行防腐蚀处理。</w:t>
      </w:r>
      <w:r/>
    </w:p>
    <w:p>
      <w:pPr>
        <w:numPr>
          <w:ilvl w:val="0"/>
          <w:numId w:val="0"/>
        </w:numPr>
        <w:keepLines w:val="0"/>
        <w:keepNext w:val="0"/>
        <w:pageBreakBefore w:val="0"/>
        <w:spacing w:line="48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仿宋" w:hAnsi="仿宋" w:eastAsia="仿宋" w:cs="仿宋"/>
          <w:b w:val="0"/>
          <w:bCs w:val="0"/>
          <w:caps/>
          <w:color w:val="auto"/>
          <w:sz w:val="24"/>
          <w:szCs w:val="24"/>
          <w:highlight w:val="none"/>
          <w:lang w:val="en-US" w:eastAsia="zh-CN" w:bidi="ar-SA"/>
        </w:rPr>
        <w:t xml:space="preserve">3.2所供产品的颜色与款式等最终由采购方确定后才可确定或生产。</w:t>
      </w:r>
      <w:r/>
    </w:p>
    <w:p>
      <w:pPr>
        <w:numPr>
          <w:ilvl w:val="0"/>
          <w:numId w:val="0"/>
        </w:numPr>
        <w:spacing w:line="520" w:lineRule="exact"/>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aps w:val="0"/>
          <w:color w:val="auto"/>
          <w:sz w:val="28"/>
          <w:szCs w:val="28"/>
          <w:highlight w:val="none"/>
          <w:lang w:val="en-US" w:eastAsia="zh-CN" w:bidi="ar-SA"/>
        </w:rPr>
        <w:t xml:space="preserve">（四）采购标的需满足的服务标准、期限、效率等要求</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1.成交供应商必须负责所采购产品的运输，并派有经验的技术人员到现场进行卸货、安装，经调试、检测合格后交付使用，其费用由成交供应商承担，包含在报价中。</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2.成交供应商应保证货物是全新、未使用过的原厂合格产品，并完全符合采购文件的质量、规格和参数的要求。成交供应商应保证货物在正确安装、正常使用下，在其使用寿命期内应具有满意的性能。</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3.所供产品交付使用时，成交供应商必须向学校提供产品说明书、质量保证书、保修卡、合格证等必须具备的相关资料和必备的附件。</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4.在接到供应商以书面形式提出验收申请后，相关学校在5个工作日内及时组织相关专业技术人员，按国家制造和安装的标准要求执行，必要时邀请第三方质检等部门共同参与验收，并出具验收报告，作为支付货款的依据。 </w:t>
      </w:r>
      <w:r/>
    </w:p>
    <w:p>
      <w:pPr>
        <w:numPr>
          <w:ilvl w:val="0"/>
          <w:numId w:val="3"/>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）交货时间：合同签订后，30个日历天内完成供货、安装。</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）交付地点：采购人指定位置。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本项目</w:t>
      </w:r>
      <w:r>
        <w:rPr>
          <w:rFonts w:hint="eastAsia" w:ascii="仿宋_GB2312" w:hAnsi="Times New Roman" w:eastAsia="仿宋_GB2312" w:cs="Times New Roman"/>
          <w:b/>
          <w:bCs/>
          <w:color w:val="000000" w:themeColor="text1"/>
          <w:sz w:val="24"/>
          <w:szCs w:val="24"/>
          <w:highlight w:val="none"/>
          <w:lang w:val="en-US" w:eastAsia="zh-CN"/>
          <w14:textFill>
            <w14:solidFill>
              <w14:schemeClr w14:val="tx1"/>
            </w14:solidFill>
          </w14:textFill>
        </w:rPr>
        <w:t xml:space="preserve">免费质保三年</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，时间自验收合格之日起算。</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（1）成交供应商负责标的物的现场安装指导、启动、调试、监督；</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（2）成交供应商免费提供标的物组装和一般维修所必需的工具；</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（3）成交供应商在合同规定的期限内对所提供的标的物实行现场维护，随时处理存在的故障，如现场不能维修解决的故障问题，须提供故障不能排除时的解决方案。</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（4）成交供应商接到使用方通知后1小时内响应，2小时内上门服务，24小时内解决好问题。</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（5）成交供应商须承诺质保期满后提供终身维修服务，保证零配件供应，维修费用按照材料成本收取。</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（6）成交供应商应对采购人技术人员进行维护、维修、培训，确保使用者了解维护方法和进行简单的维修操作。</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（7）成交供应商提供现场技术培训，保证采购人使用人员能够正常操作产品的各种功能。</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2）成交供应商提供的货物必须达到或优于采购文件“采购清单”技术需求中各项指标参数。采购人有权随机抽检货物原材料、成品，检验机构为通过国家计量认证的第三方检测机构。对于产品的任何技术及质量不合格，成交供应商承担检测费用，采购人有权拒收、部分拒收、退货、部分退货直至解除本合同，同时采购人有权保留使用该产品直至供应商提供合格产品替换，并要求成交供应商支付因此造成的所有损失。破拆部件由成交供应商负责补齐且采购人不支付任何补偿费用。</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80" w:lineRule="exact"/>
        <w:widowControl w:val="off"/>
        <w:rPr>
          <w:rFonts w:hint="eastAsia" w:ascii="Times New Roman" w:hAnsi="Times New Roman" w:eastAsia="仿宋" w:cs="Times New Roman"/>
          <w:b/>
          <w:sz w:val="28"/>
          <w:szCs w:val="28"/>
          <w:highlight w:val="none"/>
          <w:lang w:val="en-US" w:eastAsia="zh-CN"/>
        </w:rPr>
      </w:pPr>
      <w:r>
        <w:rPr>
          <w:rFonts w:hint="eastAsia" w:ascii="Times New Roman" w:hAnsi="Times New Roman" w:eastAsia="仿宋" w:cs="Times New Roman"/>
          <w:b w:val="0"/>
          <w:bCs/>
          <w:sz w:val="24"/>
          <w:szCs w:val="24"/>
          <w:highlight w:val="none"/>
          <w:lang w:val="en-US" w:eastAsia="zh-CN"/>
        </w:rPr>
        <w:t xml:space="preserve">按照采购人实际要求供货，货物到场、安装调试完毕，并经采购人验收合格确认签字后收到成交供应商正规发票付货款的100%。</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pStyle w:val="749"/>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1.报价实质性要求</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1.1供应商应对所投项目的全部内容进行报价，只选择其中部分内容报价者，视为无效报价。</w:t>
      </w:r>
      <w:r/>
    </w:p>
    <w:p>
      <w:pPr>
        <w:pStyle w:val="749"/>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2.技术部分实质性要求</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2.1本项目所列全部技术、商务参数均为实质性要求，供应商须完全响应，不接受任何负偏离。标注“★”的内容为重要技术功能参数要求，需在供货前提供设备配置参数要求中对应的相关证明材料（包括检测报告、功能截图、承诺书等），并加供应商公章。（响应时须提供书面承诺函，格式自拟）</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2.2铝合金阶梯椅（后写字板可折叠）部分，需在供货前提供符合以下标准的检测报告（加盖供应商公章）：GB/T3325-2024《金属家具通用技术条件》GB 28008-2024《家具结构安全技术规范》包含但不限于1.水平静载荷试验、2.主桌面垂直静载荷试验、3.结构强度试验、4.跌落试验、5.垂直加载稳定性试验、6.基本结构安全、7.放置、调节、折叠时的剪切和挤压点、8.孔及间隙。（响应时须提供书面承诺函，格式自拟）</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2.3.1铝合金阶梯椅（后写字板可折叠）部分需在供货前提供实木多层板检测报告（加盖供应商公章），包括含水率、胶合强度、表面胶合强度、表面耐划痕、表面耐磨、甲醛释放量（ ENF ） 均符合GB/T34722-2017《浸渍胶膜纸饰面胶合板和细木工板》（含国家标准第1 号修改单）以及GB18580-2017《室内装饰装修材料人造板及其制品中甲醛释放限量》合格标准要求。（响应时须提供书面承诺函，格式自拟）</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2.3.2铝合金阶梯椅（后写字板可折叠）为确保达到环保要求，中标供应商需在供货前提供中国环境标志认证证书，认证单元包含实木类家具或木制家具，且证书在有效期内、可在全国认证认可信息公共服务平台查询有效，供应商为产品生产制造商的：直接提供证书复印件并加盖供应商公章；供应商为代理商 / 经销商的：须同时提供生产厂家有效环境标志产品认证证书 + 厂家针对本项目出具的产品专项授权书（加盖生产厂家公章）。（响应时须提供书面承诺函，格式自拟）</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2.4为保障项目后续部署达到预期效果，供应商须承诺在成交后供货时</w:t>
      </w:r>
      <w:r>
        <w:rPr>
          <w:rFonts w:hint="eastAsia" w:ascii="仿宋" w:hAnsi="仿宋" w:eastAsia="仿宋" w:cs="仿宋"/>
          <w:b w:val="0"/>
          <w:bCs w:val="0"/>
          <w:i w:val="0"/>
          <w:iCs w:val="0"/>
          <w:color w:val="auto"/>
          <w:sz w:val="24"/>
          <w:szCs w:val="24"/>
          <w:highlight w:val="none"/>
          <w:u w:val="single"/>
          <w:lang w:val="en-US" w:eastAsia="zh-CN"/>
        </w:rPr>
        <w:t xml:space="preserve">提供全新未拆封货物（</w:t>
      </w:r>
      <w:r>
        <w:rPr>
          <w:rFonts w:hint="eastAsia" w:ascii="仿宋" w:hAnsi="仿宋" w:eastAsia="仿宋" w:cs="仿宋"/>
          <w:b/>
          <w:bCs/>
          <w:i w:val="0"/>
          <w:iCs w:val="0"/>
          <w:color w:val="auto"/>
          <w:sz w:val="24"/>
          <w:szCs w:val="24"/>
          <w:highlight w:val="none"/>
          <w:u w:val="single"/>
          <w:lang w:val="en-US" w:eastAsia="zh-CN"/>
        </w:rPr>
        <w:t xml:space="preserve">触控一体机、便携录播一体机、无线云台摄像机</w:t>
      </w:r>
      <w:r>
        <w:rPr>
          <w:rFonts w:hint="eastAsia" w:ascii="仿宋" w:hAnsi="仿宋" w:eastAsia="仿宋" w:cs="仿宋"/>
          <w:b w:val="0"/>
          <w:bCs w:val="0"/>
          <w:i w:val="0"/>
          <w:iCs w:val="0"/>
          <w:color w:val="auto"/>
          <w:sz w:val="24"/>
          <w:szCs w:val="24"/>
          <w:highlight w:val="none"/>
          <w:u w:val="single"/>
          <w:lang w:val="en-US" w:eastAsia="zh-CN"/>
        </w:rPr>
        <w:t xml:space="preserve">）至采购人指定地点并对技术参数、产品功能等进行逐条核查，技术指标必须完全满足相应的参数要求。后续如成交供应商未能按期提供相关产品进行核验或所提供产品与采购方需求不一致或达不到采购方要求的，采购方有权解除合同，并报本级财政部门，由财政部门依法依规进行处理</w:t>
      </w:r>
      <w:r>
        <w:rPr>
          <w:rFonts w:hint="eastAsia" w:ascii="仿宋" w:hAnsi="仿宋" w:eastAsia="仿宋" w:cs="仿宋"/>
          <w:b w:val="0"/>
          <w:bCs w:val="0"/>
          <w:i w:val="0"/>
          <w:iCs w:val="0"/>
          <w:color w:val="auto"/>
          <w:sz w:val="24"/>
          <w:szCs w:val="24"/>
          <w:highlight w:val="none"/>
          <w:u w:val="single"/>
          <w:lang w:val="en-US" w:eastAsia="zh-CN"/>
        </w:rPr>
        <w:t xml:space="preserve">。给采购单位造成损失的，依法承担法律责任。（响应时须提供书面承诺函，格式自拟）</w:t>
      </w:r>
      <w:r/>
    </w:p>
    <w:p>
      <w:pPr>
        <w:pStyle w:val="749"/>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3.商务部分实质性要求</w:t>
      </w:r>
      <w:r/>
    </w:p>
    <w:p>
      <w:pPr>
        <w:pStyle w:val="74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3.1本项目须在合同签订后30个日历天内完成全部货物的供货、安装、调试并通过验收。供应商须在响应文件中提供书面承诺函，内容应包括详细的供货方案（须列明供货安排、人员配置、应急措施等），并加盖供应商单位公章，格式自拟。</w:t>
      </w:r>
      <w:r/>
      <w:r>
        <w:rPr>
          <w:rFonts w:hint="eastAsia" w:ascii="仿宋" w:hAnsi="仿宋" w:eastAsia="仿宋" w:cs="仿宋"/>
          <w:sz w:val="24"/>
          <w:szCs w:val="24"/>
          <w:highlight w:val="none"/>
        </w:rPr>
        <w:br w:type="page" w:clear="all"/>
      </w:r>
      <w:r/>
      <w:r>
        <w:rPr>
          <w:rFonts w:hint="eastAsia" w:ascii="仿宋" w:hAnsi="仿宋" w:eastAsia="仿宋" w:cs="仿宋"/>
          <w:b w:val="0"/>
          <w:bCs w:val="0"/>
          <w:i w:val="0"/>
          <w:iCs w:val="0"/>
          <w:color w:val="auto"/>
          <w:sz w:val="24"/>
          <w:szCs w:val="24"/>
          <w:highlight w:val="none"/>
          <w:u w:val="single"/>
          <w:lang w:val="en-US" w:eastAsia="zh-CN"/>
        </w:rPr>
      </w:r>
    </w:p>
    <w:p>
      <w:pPr>
        <w:pStyle w:val="749"/>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4"/>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9"/>
        <w:ind w:left="0"/>
        <w:jc w:val="center"/>
        <w:spacing w:after="0" w:line="400" w:lineRule="exact"/>
        <w:rPr>
          <w:rFonts w:ascii="宋体" w:hAnsi="宋体"/>
          <w:szCs w:val="21"/>
          <w:highlight w:val="none"/>
        </w:rPr>
      </w:pPr>
      <w:r>
        <w:rPr>
          <w:rFonts w:ascii="宋体" w:hAnsi="宋体"/>
          <w:szCs w:val="21"/>
          <w:highlight w:val="none"/>
        </w:rPr>
      </w:r>
      <w:r/>
    </w:p>
    <w:p>
      <w:pPr>
        <w:pStyle w:val="909"/>
        <w:ind w:left="0"/>
        <w:jc w:val="center"/>
        <w:spacing w:after="0" w:line="400" w:lineRule="exact"/>
        <w:rPr>
          <w:rFonts w:ascii="宋体" w:hAnsi="宋体"/>
          <w:szCs w:val="21"/>
          <w:highlight w:val="none"/>
        </w:rPr>
      </w:pPr>
      <w:r>
        <w:rPr>
          <w:rFonts w:ascii="宋体" w:hAnsi="宋体"/>
          <w:szCs w:val="21"/>
          <w:highlight w:val="none"/>
        </w:rPr>
      </w:r>
      <w:r/>
    </w:p>
    <w:p>
      <w:pPr>
        <w:pStyle w:val="910"/>
        <w:rPr>
          <w:highlight w:val="none"/>
        </w:rPr>
      </w:pPr>
      <w:r>
        <w:rPr>
          <w:highlight w:val="none"/>
        </w:rPr>
      </w:r>
      <w:r/>
    </w:p>
    <w:p>
      <w:pPr>
        <w:pStyle w:val="909"/>
        <w:ind w:left="0"/>
        <w:jc w:val="center"/>
        <w:spacing w:after="0" w:line="400" w:lineRule="exact"/>
        <w:rPr>
          <w:rFonts w:ascii="宋体" w:hAnsi="宋体"/>
          <w:szCs w:val="21"/>
          <w:highlight w:val="none"/>
        </w:rPr>
      </w:pPr>
      <w:r>
        <w:rPr>
          <w:rFonts w:ascii="宋体" w:hAnsi="宋体"/>
          <w:szCs w:val="21"/>
          <w:highlight w:val="none"/>
        </w:rPr>
      </w:r>
      <w:r/>
    </w:p>
    <w:p>
      <w:pPr>
        <w:pStyle w:val="90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9"/>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909"/>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909"/>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90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72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9"/>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9"/>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4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90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2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4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4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4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4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4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2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943"/>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751"/>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2"/>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5"/>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6"/>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8"/>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9"/>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1"/>
    <w:basedOn w:val="710"/>
    <w:next w:val="710"/>
    <w:uiPriority w:val="39"/>
    <w:unhideWhenUsed/>
    <w:qFormat/>
    <w:pPr>
      <w:ind w:left="0" w:right="0" w:firstLine="0"/>
      <w:spacing w:after="57"/>
    </w:pPr>
  </w:style>
  <w:style w:type="paragraph" w:styleId="723">
    <w:name w:val="toc 7"/>
    <w:basedOn w:val="710"/>
    <w:next w:val="710"/>
    <w:uiPriority w:val="39"/>
    <w:unhideWhenUsed/>
    <w:qFormat/>
    <w:pPr>
      <w:ind w:left="1701" w:right="0" w:firstLine="0"/>
      <w:spacing w:after="57"/>
    </w:p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Body Text"/>
    <w:basedOn w:val="710"/>
    <w:next w:val="726"/>
    <w:uiPriority w:val="99"/>
    <w:qFormat/>
    <w:rPr>
      <w:rFonts w:ascii="楷体_GB2312" w:hAnsi="Arial" w:eastAsia="楷体_GB2312"/>
      <w:sz w:val="28"/>
      <w:szCs w:val="28"/>
    </w:rPr>
  </w:style>
  <w:style w:type="paragraph" w:styleId="726" w:customStyle="1">
    <w:name w:val="Default"/>
    <w:next w:val="710"/>
    <w:uiPriority w:val="0"/>
    <w:qFormat/>
    <w:pPr>
      <w:widowControl w:val="off"/>
    </w:pPr>
    <w:rPr>
      <w:rFonts w:hint="default" w:ascii="宋体" w:hAnsi="宋体" w:eastAsia="宋体" w:cs="宋体"/>
      <w:color w:val="000000"/>
      <w:sz w:val="24"/>
      <w:szCs w:val="24"/>
      <w:lang w:val="en-US" w:eastAsia="zh-CN" w:bidi="ar-SA"/>
    </w:rPr>
  </w:style>
  <w:style w:type="paragraph" w:styleId="727">
    <w:name w:val="Body Text Indent"/>
    <w:basedOn w:val="710"/>
    <w:next w:val="710"/>
    <w:uiPriority w:val="0"/>
    <w:qFormat/>
    <w:pPr>
      <w:ind w:firstLine="403"/>
      <w:spacing w:line="440" w:lineRule="exact"/>
    </w:pPr>
    <w:rPr>
      <w:rFonts w:ascii="宋体" w:hAnsi="宋体"/>
      <w:sz w:val="20"/>
      <w:szCs w:val="21"/>
    </w:rPr>
  </w:style>
  <w:style w:type="paragraph" w:styleId="728">
    <w:name w:val="toc 5"/>
    <w:basedOn w:val="710"/>
    <w:next w:val="710"/>
    <w:uiPriority w:val="39"/>
    <w:unhideWhenUsed/>
    <w:qFormat/>
    <w:pPr>
      <w:ind w:left="1134" w:right="0" w:firstLine="0"/>
      <w:spacing w:after="57"/>
    </w:pPr>
  </w:style>
  <w:style w:type="paragraph" w:styleId="729">
    <w:name w:val="toc 3"/>
    <w:basedOn w:val="710"/>
    <w:next w:val="710"/>
    <w:uiPriority w:val="39"/>
    <w:unhideWhenUsed/>
    <w:qFormat/>
    <w:pPr>
      <w:ind w:left="567" w:right="0" w:firstLine="0"/>
      <w:spacing w:after="57"/>
    </w:p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link w:val="897"/>
    <w:uiPriority w:val="99"/>
    <w:semiHidden/>
    <w:unhideWhenUsed/>
    <w:qFormat/>
    <w:pPr>
      <w:spacing w:after="0" w:line="240" w:lineRule="auto"/>
    </w:pPr>
    <w:rPr>
      <w:sz w:val="20"/>
    </w:rPr>
  </w:style>
  <w:style w:type="paragraph" w:styleId="732">
    <w:name w:val="Footer"/>
    <w:basedOn w:val="710"/>
    <w:link w:val="770"/>
    <w:uiPriority w:val="99"/>
    <w:unhideWhenUsed/>
    <w:qFormat/>
    <w:pPr>
      <w:spacing w:after="0" w:line="240" w:lineRule="auto"/>
      <w:tabs>
        <w:tab w:val="center" w:pos="7143" w:leader="none"/>
        <w:tab w:val="right" w:pos="14287" w:leader="none"/>
      </w:tabs>
    </w:pPr>
  </w:style>
  <w:style w:type="paragraph" w:styleId="733">
    <w:name w:val="Header"/>
    <w:basedOn w:val="710"/>
    <w:link w:val="768"/>
    <w:uiPriority w:val="99"/>
    <w:unhideWhenUsed/>
    <w:qFormat/>
    <w:pPr>
      <w:spacing w:after="0" w:line="240" w:lineRule="auto"/>
      <w:tabs>
        <w:tab w:val="center" w:pos="7143" w:leader="none"/>
        <w:tab w:val="right" w:pos="14287" w:leader="none"/>
      </w:tabs>
    </w:pPr>
  </w:style>
  <w:style w:type="paragraph" w:styleId="734">
    <w:name w:val="toc 4"/>
    <w:basedOn w:val="710"/>
    <w:next w:val="710"/>
    <w:uiPriority w:val="39"/>
    <w:unhideWhenUsed/>
    <w:qFormat/>
    <w:pPr>
      <w:ind w:left="850" w:right="0" w:firstLine="0"/>
      <w:spacing w:after="57"/>
    </w:pPr>
  </w:style>
  <w:style w:type="paragraph" w:styleId="735">
    <w:name w:val="Subtitle"/>
    <w:basedOn w:val="710"/>
    <w:next w:val="710"/>
    <w:link w:val="763"/>
    <w:uiPriority w:val="11"/>
    <w:qFormat/>
    <w:pPr>
      <w:spacing w:before="200" w:after="200"/>
    </w:pPr>
    <w:rPr>
      <w:sz w:val="24"/>
      <w:szCs w:val="24"/>
    </w:rPr>
  </w:style>
  <w:style w:type="paragraph" w:styleId="736">
    <w:name w:val="footnote text"/>
    <w:basedOn w:val="710"/>
    <w:link w:val="896"/>
    <w:uiPriority w:val="99"/>
    <w:semiHidden/>
    <w:unhideWhenUsed/>
    <w:qFormat/>
    <w:pPr>
      <w:spacing w:after="40" w:line="240" w:lineRule="auto"/>
    </w:pPr>
    <w:rPr>
      <w:sz w:val="18"/>
    </w:rPr>
  </w:style>
  <w:style w:type="paragraph" w:styleId="737">
    <w:name w:val="toc 6"/>
    <w:basedOn w:val="710"/>
    <w:next w:val="710"/>
    <w:uiPriority w:val="39"/>
    <w:unhideWhenUsed/>
    <w:qFormat/>
    <w:pPr>
      <w:ind w:left="1417" w:right="0" w:firstLine="0"/>
      <w:spacing w:after="57"/>
    </w:pPr>
  </w:style>
  <w:style w:type="paragraph" w:styleId="738">
    <w:name w:val="table of figures"/>
    <w:basedOn w:val="710"/>
    <w:next w:val="710"/>
    <w:uiPriority w:val="99"/>
    <w:unhideWhenUsed/>
    <w:qFormat/>
    <w:pPr>
      <w:spacing w:after="0" w:afterAutospacing="0"/>
    </w:pPr>
  </w:style>
  <w:style w:type="paragraph" w:styleId="739">
    <w:name w:val="toc 2"/>
    <w:basedOn w:val="710"/>
    <w:next w:val="710"/>
    <w:uiPriority w:val="39"/>
    <w:unhideWhenUsed/>
    <w:qFormat/>
    <w:pPr>
      <w:ind w:left="283" w:right="0" w:firstLine="0"/>
      <w:spacing w:after="57"/>
    </w:pPr>
  </w:style>
  <w:style w:type="paragraph" w:styleId="740">
    <w:name w:val="toc 9"/>
    <w:basedOn w:val="710"/>
    <w:next w:val="710"/>
    <w:uiPriority w:val="39"/>
    <w:unhideWhenUsed/>
    <w:qFormat/>
    <w:pPr>
      <w:ind w:left="2268" w:right="0" w:firstLine="0"/>
      <w:spacing w:after="57"/>
    </w:pPr>
  </w:style>
  <w:style w:type="paragraph" w:styleId="741">
    <w:name w:val="Normal (Web)"/>
    <w:basedOn w:val="710"/>
    <w:uiPriority w:val="0"/>
    <w:qFormat/>
    <w:pPr>
      <w:jc w:val="left"/>
      <w:spacing w:beforeAutospacing="1" w:afterAutospacing="1"/>
    </w:pPr>
    <w:rPr>
      <w:sz w:val="24"/>
    </w:rPr>
  </w:style>
  <w:style w:type="paragraph" w:styleId="742">
    <w:name w:val="Title"/>
    <w:basedOn w:val="710"/>
    <w:next w:val="710"/>
    <w:link w:val="762"/>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20"/>
    <w:uiPriority w:val="22"/>
    <w:qFormat/>
    <w:rPr>
      <w:b/>
    </w:rPr>
  </w:style>
  <w:style w:type="character" w:styleId="745">
    <w:name w:val="endnote reference"/>
    <w:uiPriority w:val="99"/>
    <w:semiHidden/>
    <w:unhideWhenUsed/>
    <w:qFormat/>
    <w:rPr>
      <w:vertAlign w:val="superscript"/>
    </w:rPr>
  </w:style>
  <w:style w:type="character" w:styleId="746">
    <w:name w:val="Emphasis"/>
    <w:uiPriority w:val="0"/>
    <w:qFormat/>
    <w:rPr>
      <w:i/>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paragraph" w:styleId="749" w:customStyle="1">
    <w:name w:val="正文首行缩进 21"/>
    <w:basedOn w:val="750"/>
    <w:uiPriority w:val="0"/>
    <w:qFormat/>
    <w:pPr>
      <w:ind w:left="0" w:firstLine="420"/>
      <w:spacing w:after="0" w:line="360" w:lineRule="auto"/>
    </w:pPr>
    <w:rPr>
      <w:rFonts w:ascii="宋体" w:hAnsi="宋体"/>
      <w:sz w:val="20"/>
      <w:szCs w:val="20"/>
      <w:lang w:val="en-US" w:eastAsia="en-US"/>
    </w:rPr>
  </w:style>
  <w:style w:type="paragraph" w:styleId="750" w:customStyle="1">
    <w:name w:val="正文文本缩进1"/>
    <w:basedOn w:val="710"/>
    <w:next w:val="749"/>
    <w:uiPriority w:val="0"/>
    <w:unhideWhenUsed/>
    <w:qFormat/>
    <w:pPr>
      <w:ind w:left="420"/>
      <w:spacing w:after="120"/>
    </w:pPr>
  </w:style>
  <w:style w:type="character" w:styleId="751" w:customStyle="1">
    <w:name w:val="Heading 1 Char"/>
    <w:link w:val="711"/>
    <w:uiPriority w:val="9"/>
    <w:qFormat/>
    <w:rPr>
      <w:rFonts w:ascii="Arial" w:hAnsi="Arial" w:eastAsia="Arial" w:cs="Arial"/>
      <w:sz w:val="40"/>
      <w:szCs w:val="40"/>
    </w:rPr>
  </w:style>
  <w:style w:type="character" w:styleId="752" w:customStyle="1">
    <w:name w:val="Heading 2 Char"/>
    <w:link w:val="712"/>
    <w:uiPriority w:val="9"/>
    <w:qFormat/>
    <w:rPr>
      <w:rFonts w:ascii="Arial" w:hAnsi="Arial" w:eastAsia="Arial" w:cs="Arial"/>
      <w:sz w:val="34"/>
    </w:rPr>
  </w:style>
  <w:style w:type="character" w:styleId="753" w:customStyle="1">
    <w:name w:val="Heading 3 Char"/>
    <w:link w:val="713"/>
    <w:uiPriority w:val="9"/>
    <w:qFormat/>
    <w:rPr>
      <w:rFonts w:ascii="Arial" w:hAnsi="Arial" w:eastAsia="Arial" w:cs="Arial"/>
      <w:sz w:val="30"/>
      <w:szCs w:val="30"/>
    </w:rPr>
  </w:style>
  <w:style w:type="character" w:styleId="754" w:customStyle="1">
    <w:name w:val="Heading 4 Char"/>
    <w:link w:val="714"/>
    <w:uiPriority w:val="9"/>
    <w:qFormat/>
    <w:rPr>
      <w:rFonts w:ascii="Arial" w:hAnsi="Arial" w:eastAsia="Arial" w:cs="Arial"/>
      <w:b/>
      <w:bCs/>
      <w:sz w:val="26"/>
      <w:szCs w:val="26"/>
    </w:rPr>
  </w:style>
  <w:style w:type="character" w:styleId="755" w:customStyle="1">
    <w:name w:val="Heading 5 Char"/>
    <w:link w:val="715"/>
    <w:uiPriority w:val="9"/>
    <w:qFormat/>
    <w:rPr>
      <w:rFonts w:ascii="Arial" w:hAnsi="Arial" w:eastAsia="Arial" w:cs="Arial"/>
      <w:b/>
      <w:bCs/>
      <w:sz w:val="24"/>
      <w:szCs w:val="24"/>
    </w:rPr>
  </w:style>
  <w:style w:type="character" w:styleId="756" w:customStyle="1">
    <w:name w:val="Heading 6 Char"/>
    <w:link w:val="716"/>
    <w:uiPriority w:val="9"/>
    <w:qFormat/>
    <w:rPr>
      <w:rFonts w:ascii="Arial" w:hAnsi="Arial" w:eastAsia="Arial" w:cs="Arial"/>
      <w:b/>
      <w:bCs/>
      <w:sz w:val="22"/>
      <w:szCs w:val="22"/>
    </w:rPr>
  </w:style>
  <w:style w:type="character" w:styleId="757" w:customStyle="1">
    <w:name w:val="Heading 7 Char"/>
    <w:link w:val="717"/>
    <w:uiPriority w:val="9"/>
    <w:qFormat/>
    <w:rPr>
      <w:rFonts w:ascii="Arial" w:hAnsi="Arial" w:eastAsia="Arial" w:cs="Arial"/>
      <w:b/>
      <w:bCs/>
      <w:i/>
      <w:iCs/>
      <w:sz w:val="22"/>
      <w:szCs w:val="22"/>
    </w:rPr>
  </w:style>
  <w:style w:type="character" w:styleId="758" w:customStyle="1">
    <w:name w:val="Heading 8 Char"/>
    <w:link w:val="718"/>
    <w:uiPriority w:val="9"/>
    <w:qFormat/>
    <w:rPr>
      <w:rFonts w:ascii="Arial" w:hAnsi="Arial" w:eastAsia="Arial" w:cs="Arial"/>
      <w:i/>
      <w:iCs/>
      <w:sz w:val="22"/>
      <w:szCs w:val="22"/>
    </w:rPr>
  </w:style>
  <w:style w:type="character" w:styleId="759" w:customStyle="1">
    <w:name w:val="Heading 9 Char"/>
    <w:link w:val="719"/>
    <w:uiPriority w:val="9"/>
    <w:qFormat/>
    <w:rPr>
      <w:rFonts w:ascii="Arial" w:hAnsi="Arial" w:eastAsia="Arial" w:cs="Arial"/>
      <w:i/>
      <w:iCs/>
      <w:sz w:val="21"/>
      <w:szCs w:val="21"/>
    </w:rPr>
  </w:style>
  <w:style w:type="paragraph" w:styleId="760">
    <w:name w:val="List Paragraph"/>
    <w:basedOn w:val="710"/>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2"/>
    <w:uiPriority w:val="10"/>
    <w:qFormat/>
    <w:rPr>
      <w:sz w:val="48"/>
      <w:szCs w:val="48"/>
    </w:rPr>
  </w:style>
  <w:style w:type="character" w:styleId="763" w:customStyle="1">
    <w:name w:val="Subtitle Char"/>
    <w:link w:val="735"/>
    <w:uiPriority w:val="11"/>
    <w:qFormat/>
    <w:rPr>
      <w:sz w:val="24"/>
      <w:szCs w:val="24"/>
    </w:rPr>
  </w:style>
  <w:style w:type="paragraph" w:styleId="764">
    <w:name w:val="Quote"/>
    <w:basedOn w:val="710"/>
    <w:next w:val="710"/>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0"/>
    <w:next w:val="710"/>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3"/>
    <w:uiPriority w:val="99"/>
    <w:qFormat/>
  </w:style>
  <w:style w:type="character" w:styleId="769" w:customStyle="1">
    <w:name w:val="Footer Char"/>
    <w:link w:val="732"/>
    <w:uiPriority w:val="99"/>
    <w:qFormat/>
  </w:style>
  <w:style w:type="character" w:styleId="770" w:customStyle="1">
    <w:name w:val="Caption Char"/>
    <w:link w:val="732"/>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6"/>
    <w:uiPriority w:val="99"/>
    <w:qFormat/>
    <w:rPr>
      <w:sz w:val="18"/>
    </w:rPr>
  </w:style>
  <w:style w:type="character" w:styleId="897" w:customStyle="1">
    <w:name w:val="Endnote Text Char"/>
    <w:link w:val="731"/>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10"/>
    <w:next w:val="710"/>
    <w:link w:val="905"/>
    <w:uiPriority w:val="0"/>
    <w:qFormat/>
    <w:pPr>
      <w:keepLines/>
      <w:keepNext/>
      <w:spacing w:before="340" w:after="330" w:line="578" w:lineRule="auto"/>
      <w:outlineLvl w:val="0"/>
    </w:pPr>
    <w:rPr>
      <w:b/>
      <w:bCs/>
      <w:sz w:val="44"/>
      <w:szCs w:val="44"/>
    </w:rPr>
  </w:style>
  <w:style w:type="paragraph" w:styleId="900" w:customStyle="1">
    <w:name w:val="标题 21"/>
    <w:basedOn w:val="710"/>
    <w:next w:val="710"/>
    <w:uiPriority w:val="0"/>
    <w:qFormat/>
    <w:pPr>
      <w:keepLines/>
      <w:keepNext/>
      <w:spacing w:line="360" w:lineRule="auto"/>
      <w:outlineLvl w:val="1"/>
    </w:pPr>
    <w:rPr>
      <w:rFonts w:ascii="Arial" w:hAnsi="Arial"/>
      <w:b/>
      <w:bCs/>
      <w:sz w:val="24"/>
      <w:szCs w:val="32"/>
    </w:rPr>
  </w:style>
  <w:style w:type="paragraph" w:styleId="901" w:customStyle="1">
    <w:name w:val="标题 41"/>
    <w:basedOn w:val="710"/>
    <w:next w:val="902"/>
    <w:uiPriority w:val="0"/>
    <w:qFormat/>
    <w:pPr>
      <w:jc w:val="center"/>
      <w:keepNext/>
      <w:outlineLvl w:val="3"/>
    </w:pPr>
    <w:rPr>
      <w:rFonts w:eastAsia="新宋体"/>
      <w:sz w:val="30"/>
      <w:szCs w:val="21"/>
    </w:rPr>
  </w:style>
  <w:style w:type="paragraph" w:styleId="902" w:customStyle="1">
    <w:name w:val="正文缩进11"/>
    <w:basedOn w:val="710"/>
    <w:uiPriority w:val="0"/>
    <w:qFormat/>
    <w:pPr>
      <w:ind w:firstLine="420"/>
    </w:pPr>
  </w:style>
  <w:style w:type="character" w:styleId="903" w:customStyle="1">
    <w:name w:val="默认段落字体1"/>
    <w:link w:val="710"/>
    <w:uiPriority w:val="1"/>
    <w:unhideWhenUsed/>
    <w:qFormat/>
  </w:style>
  <w:style w:type="table" w:styleId="904" w:customStyle="1">
    <w:name w:val="普通表格1"/>
    <w:uiPriority w:val="99"/>
    <w:unhideWhenUsed/>
    <w:qFormat/>
    <w:tblPr/>
  </w:style>
  <w:style w:type="character" w:styleId="905" w:customStyle="1">
    <w:name w:val="标题 1 字符"/>
    <w:link w:val="899"/>
    <w:uiPriority w:val="0"/>
    <w:qFormat/>
    <w:rPr>
      <w:rFonts w:ascii="Times New Roman" w:hAnsi="Times New Roman"/>
      <w:b/>
      <w:bCs/>
      <w:sz w:val="44"/>
      <w:szCs w:val="44"/>
    </w:rPr>
  </w:style>
  <w:style w:type="paragraph" w:styleId="906" w:customStyle="1">
    <w:name w:val="批注文字1"/>
    <w:basedOn w:val="710"/>
    <w:link w:val="907"/>
    <w:uiPriority w:val="0"/>
    <w:qFormat/>
    <w:pPr>
      <w:jc w:val="left"/>
    </w:pPr>
  </w:style>
  <w:style w:type="character" w:styleId="907" w:customStyle="1">
    <w:name w:val="批注文字 字符"/>
    <w:link w:val="906"/>
    <w:uiPriority w:val="0"/>
    <w:qFormat/>
    <w:rPr>
      <w:sz w:val="21"/>
    </w:rPr>
  </w:style>
  <w:style w:type="paragraph" w:styleId="908" w:customStyle="1">
    <w:name w:val="正文文本11"/>
    <w:basedOn w:val="710"/>
    <w:next w:val="710"/>
    <w:uiPriority w:val="0"/>
    <w:qFormat/>
    <w:rPr>
      <w:rFonts w:ascii="仿宋_GB2312" w:eastAsia="仿宋_GB2312"/>
      <w:sz w:val="24"/>
    </w:rPr>
  </w:style>
  <w:style w:type="paragraph" w:styleId="909" w:customStyle="1">
    <w:name w:val="正文文本缩进11"/>
    <w:basedOn w:val="710"/>
    <w:next w:val="910"/>
    <w:link w:val="911"/>
    <w:uiPriority w:val="0"/>
    <w:qFormat/>
    <w:pPr>
      <w:ind w:left="420"/>
      <w:spacing w:after="120"/>
    </w:pPr>
  </w:style>
  <w:style w:type="paragraph" w:styleId="910" w:customStyle="1">
    <w:name w:val="寄信人地址1"/>
    <w:basedOn w:val="710"/>
    <w:uiPriority w:val="0"/>
    <w:qFormat/>
    <w:rPr>
      <w:rFonts w:ascii="Arial" w:hAnsi="Arial"/>
    </w:rPr>
  </w:style>
  <w:style w:type="character" w:styleId="911" w:customStyle="1">
    <w:name w:val="正文文本缩进 字符"/>
    <w:link w:val="909"/>
    <w:uiPriority w:val="0"/>
    <w:qFormat/>
    <w:rPr>
      <w:sz w:val="21"/>
    </w:rPr>
  </w:style>
  <w:style w:type="paragraph" w:styleId="912" w:customStyle="1">
    <w:name w:val="索引 41"/>
    <w:basedOn w:val="710"/>
    <w:next w:val="710"/>
    <w:uiPriority w:val="99"/>
    <w:unhideWhenUsed/>
    <w:qFormat/>
    <w:pPr>
      <w:ind w:left="600"/>
    </w:pPr>
  </w:style>
  <w:style w:type="paragraph" w:styleId="913" w:customStyle="1">
    <w:name w:val="纯文本11"/>
    <w:basedOn w:val="710"/>
    <w:uiPriority w:val="0"/>
    <w:qFormat/>
    <w:rPr>
      <w:rFonts w:ascii="宋体" w:hAnsi="Courier New" w:cs="Courier New"/>
      <w:szCs w:val="21"/>
    </w:rPr>
  </w:style>
  <w:style w:type="paragraph" w:styleId="914" w:customStyle="1">
    <w:name w:val="批注框文本1"/>
    <w:basedOn w:val="710"/>
    <w:link w:val="915"/>
    <w:uiPriority w:val="0"/>
    <w:qFormat/>
    <w:rPr>
      <w:sz w:val="18"/>
      <w:szCs w:val="18"/>
    </w:rPr>
  </w:style>
  <w:style w:type="character" w:styleId="915" w:customStyle="1">
    <w:name w:val="批注框文本 字符"/>
    <w:link w:val="914"/>
    <w:uiPriority w:val="0"/>
    <w:qFormat/>
    <w:rPr>
      <w:sz w:val="18"/>
      <w:szCs w:val="18"/>
    </w:rPr>
  </w:style>
  <w:style w:type="paragraph" w:styleId="916" w:customStyle="1">
    <w:name w:val="页脚11"/>
    <w:basedOn w:val="710"/>
    <w:link w:val="917"/>
    <w:uiPriority w:val="99"/>
    <w:qFormat/>
    <w:pPr>
      <w:jc w:val="left"/>
      <w:tabs>
        <w:tab w:val="center" w:pos="4153" w:leader="none"/>
        <w:tab w:val="right" w:pos="8306" w:leader="none"/>
      </w:tabs>
    </w:pPr>
    <w:rPr>
      <w:sz w:val="18"/>
      <w:szCs w:val="18"/>
    </w:rPr>
  </w:style>
  <w:style w:type="character" w:styleId="917" w:customStyle="1">
    <w:name w:val="页脚 字符"/>
    <w:link w:val="916"/>
    <w:uiPriority w:val="99"/>
    <w:qFormat/>
    <w:rPr>
      <w:rFonts w:ascii="Times New Roman" w:hAnsi="Times New Roman" w:eastAsia="宋体" w:cs="Times New Roman"/>
      <w:sz w:val="18"/>
      <w:szCs w:val="18"/>
    </w:rPr>
  </w:style>
  <w:style w:type="paragraph" w:styleId="918" w:customStyle="1">
    <w:name w:val="页眉1"/>
    <w:basedOn w:val="71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9" w:customStyle="1">
    <w:name w:val="目录 11"/>
    <w:basedOn w:val="710"/>
    <w:next w:val="710"/>
    <w:uiPriority w:val="39"/>
    <w:qFormat/>
  </w:style>
  <w:style w:type="paragraph" w:styleId="920" w:customStyle="1">
    <w:name w:val="正文文本缩进 31"/>
    <w:basedOn w:val="710"/>
    <w:uiPriority w:val="0"/>
    <w:qFormat/>
    <w:pPr>
      <w:ind w:left="645" w:firstLine="645"/>
    </w:pPr>
    <w:rPr>
      <w:rFonts w:ascii="Arial" w:hAnsi="Arial" w:eastAsia="仿宋_GB2312"/>
      <w:color w:val="ffff00"/>
      <w:sz w:val="32"/>
      <w:szCs w:val="32"/>
    </w:rPr>
  </w:style>
  <w:style w:type="paragraph" w:styleId="921" w:customStyle="1">
    <w:name w:val="普通(网站)11"/>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922" w:customStyle="1">
    <w:name w:val="批注主题1"/>
    <w:basedOn w:val="906"/>
    <w:next w:val="906"/>
    <w:link w:val="923"/>
    <w:uiPriority w:val="0"/>
    <w:qFormat/>
    <w:rPr>
      <w:b/>
      <w:bCs/>
    </w:rPr>
  </w:style>
  <w:style w:type="character" w:styleId="923" w:customStyle="1">
    <w:name w:val="批注主题 字符"/>
    <w:link w:val="922"/>
    <w:uiPriority w:val="0"/>
    <w:qFormat/>
    <w:rPr>
      <w:b/>
      <w:bCs/>
      <w:sz w:val="21"/>
    </w:rPr>
  </w:style>
  <w:style w:type="paragraph" w:styleId="924" w:customStyle="1">
    <w:name w:val="正文首行缩进1"/>
    <w:basedOn w:val="908"/>
    <w:link w:val="925"/>
    <w:uiPriority w:val="0"/>
    <w:qFormat/>
    <w:pPr>
      <w:ind w:firstLine="420"/>
      <w:spacing w:after="120"/>
    </w:pPr>
    <w:rPr>
      <w:rFonts w:ascii="Times New Roman" w:eastAsia="宋体"/>
      <w:szCs w:val="24"/>
    </w:rPr>
  </w:style>
  <w:style w:type="character" w:styleId="925" w:customStyle="1">
    <w:name w:val="正文首行缩进 字符"/>
    <w:link w:val="924"/>
    <w:uiPriority w:val="0"/>
    <w:qFormat/>
    <w:rPr>
      <w:sz w:val="24"/>
      <w:szCs w:val="24"/>
    </w:rPr>
  </w:style>
  <w:style w:type="paragraph" w:styleId="926" w:customStyle="1">
    <w:name w:val="正文首行缩进 211"/>
    <w:basedOn w:val="909"/>
    <w:next w:val="920"/>
    <w:uiPriority w:val="0"/>
    <w:qFormat/>
    <w:pPr>
      <w:ind w:left="0" w:firstLine="420"/>
      <w:spacing w:after="0" w:line="360" w:lineRule="auto"/>
    </w:pPr>
    <w:rPr>
      <w:rFonts w:ascii="宋体" w:hAnsi="宋体"/>
      <w:sz w:val="20"/>
      <w:szCs w:val="20"/>
    </w:rPr>
  </w:style>
  <w:style w:type="table" w:styleId="927" w:customStyle="1">
    <w:name w:val="网格型1"/>
    <w:basedOn w:val="904"/>
    <w:uiPriority w:val="39"/>
    <w:qFormat/>
    <w:tblPr/>
  </w:style>
  <w:style w:type="character" w:styleId="928" w:customStyle="1">
    <w:name w:val="要点1"/>
    <w:link w:val="710"/>
    <w:uiPriority w:val="22"/>
    <w:qFormat/>
    <w:rPr>
      <w:b/>
      <w:bCs/>
    </w:rPr>
  </w:style>
  <w:style w:type="character" w:styleId="929" w:customStyle="1">
    <w:name w:val="已访问的超链接1"/>
    <w:link w:val="710"/>
    <w:uiPriority w:val="0"/>
    <w:qFormat/>
    <w:rPr>
      <w:rFonts w:ascii="Times New Roman" w:hAnsi="Times New Roman" w:eastAsia="宋体" w:cs="Times New Roman"/>
      <w:sz w:val="21"/>
      <w:lang w:val="en-US" w:eastAsia="zh-CN" w:bidi="ar-SA"/>
    </w:rPr>
  </w:style>
  <w:style w:type="character" w:styleId="930" w:customStyle="1">
    <w:name w:val="强调1"/>
    <w:link w:val="710"/>
    <w:uiPriority w:val="0"/>
    <w:qFormat/>
    <w:rPr>
      <w:i/>
    </w:rPr>
  </w:style>
  <w:style w:type="character" w:styleId="931" w:customStyle="1">
    <w:name w:val="超链接1"/>
    <w:link w:val="710"/>
    <w:uiPriority w:val="99"/>
    <w:unhideWhenUsed/>
    <w:qFormat/>
    <w:rPr>
      <w:color w:val="0563c1"/>
      <w:u w:val="single"/>
    </w:rPr>
  </w:style>
  <w:style w:type="character" w:styleId="932" w:customStyle="1">
    <w:name w:val="批注引用1"/>
    <w:link w:val="710"/>
    <w:uiPriority w:val="0"/>
    <w:qFormat/>
    <w:rPr>
      <w:sz w:val="21"/>
      <w:szCs w:val="21"/>
    </w:rPr>
  </w:style>
  <w:style w:type="paragraph" w:styleId="933" w:customStyle="1">
    <w:name w:val="普通文字"/>
    <w:basedOn w:val="710"/>
    <w:next w:val="710"/>
    <w:uiPriority w:val="0"/>
    <w:qFormat/>
    <w:rPr>
      <w:rFonts w:ascii="宋体"/>
      <w:sz w:val="24"/>
    </w:rPr>
  </w:style>
  <w:style w:type="paragraph" w:styleId="934" w:customStyle="1">
    <w:name w:val="正文缩进1"/>
    <w:basedOn w:val="710"/>
    <w:uiPriority w:val="0"/>
    <w:qFormat/>
    <w:pPr>
      <w:ind w:firstLine="420"/>
      <w:jc w:val="left"/>
    </w:pPr>
    <w:rPr>
      <w:rFonts w:ascii="宋体" w:hAnsi="Calibri"/>
      <w:sz w:val="24"/>
      <w:szCs w:val="22"/>
    </w:rPr>
  </w:style>
  <w:style w:type="paragraph" w:styleId="935" w:customStyle="1">
    <w:name w:val="索引 11"/>
    <w:basedOn w:val="710"/>
    <w:next w:val="710"/>
    <w:uiPriority w:val="0"/>
    <w:qFormat/>
    <w:pPr>
      <w:spacing w:line="360" w:lineRule="auto"/>
    </w:pPr>
    <w:rPr>
      <w:rFonts w:ascii="仿宋_GB2312" w:eastAsia="仿宋_GB2312"/>
      <w:sz w:val="24"/>
    </w:rPr>
  </w:style>
  <w:style w:type="paragraph" w:styleId="936" w:customStyle="1">
    <w:name w:val="纯文本1"/>
    <w:basedOn w:val="710"/>
    <w:uiPriority w:val="0"/>
    <w:qFormat/>
    <w:rPr>
      <w:rFonts w:ascii="宋体" w:hAnsi="Courier New"/>
      <w:szCs w:val="22"/>
    </w:rPr>
  </w:style>
  <w:style w:type="paragraph" w:styleId="937" w:customStyle="1">
    <w:name w:val="普通(网站)1"/>
    <w:basedOn w:val="710"/>
    <w:uiPriority w:val="99"/>
    <w:qFormat/>
    <w:pPr>
      <w:jc w:val="left"/>
      <w:spacing w:before="100" w:beforeAutospacing="1" w:after="100" w:afterAutospacing="1"/>
    </w:pPr>
    <w:rPr>
      <w:sz w:val="24"/>
    </w:rPr>
  </w:style>
  <w:style w:type="paragraph" w:styleId="938" w:customStyle="1">
    <w:name w:val="正文文本1"/>
    <w:basedOn w:val="710"/>
    <w:next w:val="710"/>
    <w:uiPriority w:val="0"/>
    <w:qFormat/>
    <w:rPr>
      <w:sz w:val="20"/>
    </w:rPr>
  </w:style>
  <w:style w:type="paragraph" w:styleId="939" w:customStyle="1">
    <w:name w:val="正文文本首行缩进"/>
    <w:basedOn w:val="938"/>
    <w:uiPriority w:val="0"/>
    <w:qFormat/>
    <w:pPr>
      <w:ind w:firstLine="420"/>
      <w:spacing w:after="120"/>
      <w:tabs>
        <w:tab w:val="left" w:pos="2020" w:leader="none"/>
        <w:tab w:val="center" w:pos="4535" w:leader="none"/>
      </w:tabs>
    </w:pPr>
    <w:rPr>
      <w:sz w:val="21"/>
    </w:rPr>
  </w:style>
  <w:style w:type="paragraph" w:styleId="940" w:customStyle="1">
    <w:name w:val="纯文本2"/>
    <w:basedOn w:val="710"/>
    <w:uiPriority w:val="0"/>
    <w:qFormat/>
    <w:rPr>
      <w:rFonts w:ascii="宋体" w:hAnsi="Courier New"/>
    </w:rPr>
  </w:style>
  <w:style w:type="paragraph" w:styleId="941" w:customStyle="1">
    <w:name w:val="正文文本 21"/>
    <w:basedOn w:val="710"/>
    <w:uiPriority w:val="0"/>
    <w:qFormat/>
    <w:pPr>
      <w:spacing w:after="120" w:line="480" w:lineRule="auto"/>
    </w:pPr>
    <w:rPr>
      <w:sz w:val="20"/>
    </w:rPr>
  </w:style>
  <w:style w:type="paragraph" w:styleId="942" w:customStyle="1">
    <w:name w:val="页脚1"/>
    <w:basedOn w:val="710"/>
    <w:uiPriority w:val="0"/>
    <w:qFormat/>
    <w:pPr>
      <w:jc w:val="left"/>
      <w:tabs>
        <w:tab w:val="center" w:pos="4153" w:leader="none"/>
        <w:tab w:val="right" w:pos="8306" w:leader="none"/>
      </w:tabs>
    </w:pPr>
    <w:rPr>
      <w:sz w:val="18"/>
    </w:rPr>
  </w:style>
  <w:style w:type="character" w:styleId="943" w:customStyle="1">
    <w:name w:val="custom-tag-placeholder-class"/>
    <w:link w:val="710"/>
    <w:uiPriority w:val="0"/>
    <w:qFormat/>
  </w:style>
  <w:style w:type="paragraph" w:styleId="94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5" w:customStyle="1">
    <w:name w:val="列出段落1"/>
    <w:basedOn w:val="710"/>
    <w:uiPriority w:val="0"/>
    <w:qFormat/>
    <w:pPr>
      <w:ind w:firstLine="420"/>
    </w:pPr>
    <w:rPr>
      <w:szCs w:val="21"/>
    </w:rPr>
  </w:style>
  <w:style w:type="paragraph" w:styleId="946" w:customStyle="1">
    <w:name w:val="标题 111"/>
    <w:basedOn w:val="710"/>
    <w:next w:val="710"/>
    <w:uiPriority w:val="0"/>
    <w:qFormat/>
    <w:pPr>
      <w:keepLines/>
      <w:keepNext/>
      <w:spacing w:before="340" w:after="330" w:line="578" w:lineRule="auto"/>
      <w:outlineLvl w:val="0"/>
    </w:pPr>
    <w:rPr>
      <w:b/>
      <w:bCs/>
      <w:sz w:val="44"/>
      <w:szCs w:val="44"/>
      <w:lang w:val="en-US" w:eastAsia="en-US"/>
    </w:rPr>
  </w:style>
  <w:style w:type="paragraph" w:styleId="947" w:customStyle="1">
    <w:name w:val="普通(网站)2"/>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948"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49" w:customStyle="1">
    <w:name w:val="正文首行缩进11"/>
    <w:basedOn w:val="938"/>
    <w:uiPriority w:val="0"/>
    <w:qFormat/>
    <w:pPr>
      <w:ind w:firstLine="200"/>
      <w:spacing w:line="360" w:lineRule="auto"/>
    </w:pPr>
    <w:rPr>
      <w:rFonts w:ascii="仿宋_GB2312" w:hAnsi="Times New Roman" w:eastAsia="仿宋_GB2312"/>
      <w:sz w:val="30"/>
      <w:szCs w:val="30"/>
    </w:rPr>
  </w:style>
  <w:style w:type="character" w:styleId="950" w:customStyle="1">
    <w:name w:val="font51"/>
    <w:basedOn w:val="720"/>
    <w:uiPriority w:val="0"/>
    <w:qFormat/>
    <w:rPr>
      <w:rFonts w:hint="eastAsia" w:ascii="宋体" w:hAnsi="宋体" w:eastAsia="宋体" w:cs="宋体"/>
      <w:color w:val="000000"/>
      <w:sz w:val="21"/>
      <w:szCs w:val="21"/>
      <w:u w:val="none"/>
    </w:rPr>
  </w:style>
  <w:style w:type="character" w:styleId="951" w:customStyle="1">
    <w:name w:val="font41"/>
    <w:basedOn w:val="720"/>
    <w:uiPriority w:val="0"/>
    <w:qFormat/>
    <w:rPr>
      <w:rFonts w:hint="eastAsia" w:ascii="宋体" w:hAnsi="宋体" w:eastAsia="宋体" w:cs="宋体"/>
      <w:color w:val="000000"/>
      <w:sz w:val="22"/>
      <w:szCs w:val="22"/>
      <w:u w:val="none"/>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7029A8-5D98-4690-8069-C1E408BD08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27</cp:revision>
  <dcterms:created xsi:type="dcterms:W3CDTF">2023-12-07T03:32:00Z</dcterms:created>
  <dcterms:modified xsi:type="dcterms:W3CDTF">2026-08-13T05:59:14Z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BD1E0C611D534F6C9782979A2ABE2814_13</vt:lpwstr>
  </property>
  <property fmtid="{D5CDD505-2E9C-101B-9397-08002B2CF9AE}" pid="4" name="KSOTemplateDocerSaveRecord">
    <vt:lpwstr>eyJoZGlkIjoiYzA5YWY4M2MwNGRhODk4ZjM0ZWM5YjZlMDk5M2I4YjQiLCJ1c2VySWQiOiIxNjU1OTQ5OTg4In0=</vt:lpwstr>
  </property>
</Properties>
</file>