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rFonts w:ascii="宋体" w:hAnsi="宋体" w:eastAsia="宋体" w:cs="宋体"/>
          <w:b/>
          <w:color w:val="auto"/>
          <w:sz w:val="7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lang w:eastAsia="zh-CN"/>
        </w:rPr>
      </w:r>
      <w:r/>
    </w:p>
    <w:p>
      <w:pPr>
        <w:pStyle w:val="704"/>
        <w:rPr>
          <w:color w:val="auto"/>
          <w:highlight w:val="none"/>
          <w:lang w:eastAsia="zh-CN"/>
        </w:rPr>
      </w:pPr>
      <w:r>
        <w:rPr>
          <w:color w:val="auto"/>
          <w:highlight w:val="none"/>
          <w:lang w:eastAsia="zh-CN"/>
        </w:rPr>
      </w:r>
      <w:r/>
    </w:p>
    <w:p>
      <w:pPr>
        <w:jc w:val="center"/>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lang w:eastAsia="zh-CN"/>
        </w:rPr>
        <w:t xml:space="preserve">  </w:t>
      </w:r>
      <w:r>
        <w:rPr>
          <w:rFonts w:ascii="宋体" w:hAnsi="宋体" w:eastAsia="宋体" w:cs="宋体"/>
          <w:b/>
          <w:color w:val="auto"/>
          <w:sz w:val="72"/>
          <w:highlight w:val="none"/>
          <w:lang w:eastAsia="zh-CN"/>
        </w:rPr>
        <w:t xml:space="preserve">太仓市政府采购</w:t>
      </w:r>
      <w:r/>
    </w:p>
    <w:p>
      <w:pPr>
        <w:jc w:val="center"/>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lang w:eastAsia="zh-CN"/>
        </w:rPr>
        <w:t xml:space="preserve"> </w:t>
      </w:r>
      <w:r/>
    </w:p>
    <w:p>
      <w:pPr>
        <w:jc w:val="center"/>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lang w:eastAsia="zh-CN"/>
        </w:rPr>
        <w:t xml:space="preserve">  </w:t>
      </w:r>
      <w:r>
        <w:rPr>
          <w:rFonts w:ascii="宋体" w:hAnsi="宋体" w:eastAsia="宋体" w:cs="宋体"/>
          <w:b/>
          <w:color w:val="auto"/>
          <w:sz w:val="72"/>
          <w:highlight w:val="none"/>
          <w:lang w:eastAsia="zh-CN"/>
        </w:rPr>
        <w:t xml:space="preserve">招 标 文 件</w:t>
      </w:r>
      <w:r/>
    </w:p>
    <w:p>
      <w:pPr>
        <w:jc w:val="center"/>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lang w:eastAsia="zh-CN"/>
        </w:rPr>
        <w:t xml:space="preserve"> </w:t>
      </w:r>
      <w:r/>
    </w:p>
    <w:p>
      <w:pPr>
        <w:ind w:firstLine="630"/>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lang w:eastAsia="zh-CN"/>
        </w:rPr>
        <w:t xml:space="preserve"> </w:t>
      </w:r>
      <w:r/>
    </w:p>
    <w:p>
      <w:pPr>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lang w:eastAsia="zh-CN"/>
        </w:rPr>
        <w:t xml:space="preserve"> </w:t>
      </w:r>
      <w:r/>
    </w:p>
    <w:p>
      <w:pPr>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lang w:eastAsia="zh-CN"/>
        </w:rPr>
        <w:t xml:space="preserve"> </w:t>
      </w:r>
      <w:r/>
    </w:p>
    <w:p>
      <w:pPr>
        <w:jc w:val="right"/>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lang w:eastAsia="zh-CN"/>
        </w:rPr>
        <w:t xml:space="preserve"> </w:t>
      </w:r>
      <w:r/>
    </w:p>
    <w:p>
      <w:pPr>
        <w:ind w:firstLine="1084"/>
        <w:spacing w:line="85" w:lineRule="atLeast"/>
        <w:rPr>
          <w:rFonts w:ascii="宋体" w:hAnsi="宋体" w:eastAsia="宋体" w:cs="宋体"/>
          <w:b/>
          <w:color w:val="auto"/>
          <w:sz w:val="36"/>
          <w:highlight w:val="none"/>
          <w:lang w:eastAsia="zh-CN"/>
        </w:rPr>
        <w:pBdr>
          <w:top w:val="none" w:color="000000" w:sz="0" w:space="0"/>
          <w:left w:val="none" w:color="000000" w:sz="0" w:space="0"/>
          <w:bottom w:val="none" w:color="000000" w:sz="0" w:space="0"/>
          <w:right w:val="none" w:color="000000" w:sz="0" w:space="0"/>
        </w:pBdr>
      </w:pPr>
      <w:r/>
      <w:bookmarkStart w:id="0" w:name="OLE_LINK1"/>
      <w:r>
        <w:rPr>
          <w:rFonts w:hint="eastAsia" w:ascii="宋体" w:hAnsi="宋体" w:eastAsia="宋体" w:cs="宋体"/>
          <w:b/>
          <w:color w:val="auto"/>
          <w:sz w:val="36"/>
          <w:highlight w:val="none"/>
          <w:lang w:eastAsia="zh-CN"/>
        </w:rPr>
        <w:t xml:space="preserve">项目编号：JSZC-320585-JZCG-G2026-0073</w:t>
      </w:r>
      <w:r/>
    </w:p>
    <w:p>
      <w:pPr>
        <w:ind w:firstLine="1084"/>
        <w:spacing w:line="85" w:lineRule="atLeast"/>
        <w:rPr>
          <w:rFonts w:ascii="宋体" w:hAnsi="宋体" w:eastAsia="宋体" w:cs="宋体"/>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eastAsia="zh-CN"/>
        </w:rPr>
        <w:t xml:space="preserve">项目名称：2026-2027年度保洁服务</w:t>
      </w:r>
      <w:r/>
    </w:p>
    <w:p>
      <w:pPr>
        <w:ind w:firstLine="1084"/>
        <w:spacing w:line="85" w:lineRule="atLeast"/>
        <w:rPr>
          <w:rFonts w:ascii="宋体" w:hAnsi="宋体" w:eastAsia="宋体" w:cs="宋体"/>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eastAsia="zh-CN"/>
        </w:rPr>
        <w:t xml:space="preserve">采购单位：</w:t>
      </w:r>
      <w:bookmarkEnd w:id="0"/>
      <w:r>
        <w:rPr>
          <w:rFonts w:hint="eastAsia" w:ascii="宋体" w:hAnsi="宋体" w:eastAsia="宋体" w:cs="宋体"/>
          <w:b/>
          <w:color w:val="auto"/>
          <w:sz w:val="36"/>
          <w:highlight w:val="none"/>
          <w:lang w:eastAsia="zh-CN"/>
        </w:rPr>
        <w:t xml:space="preserve">太仓市浏河人民医院</w:t>
      </w:r>
      <w:r/>
    </w:p>
    <w:p>
      <w:pPr>
        <w:ind w:firstLine="1084"/>
        <w:spacing w:line="85" w:lineRule="atLeast"/>
        <w:rPr>
          <w:rFonts w:ascii="宋体" w:hAnsi="宋体" w:eastAsia="宋体" w:cs="宋体"/>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eastAsia="zh-CN"/>
        </w:rPr>
        <w:t xml:space="preserve">采购项目类别：服务类</w:t>
      </w:r>
      <w:r/>
    </w:p>
    <w:p>
      <w:pPr>
        <w:ind w:firstLine="1084"/>
        <w:spacing w:line="85" w:lineRule="atLeast"/>
        <w:rPr>
          <w:rFonts w:ascii="宋体" w:hAnsi="宋体" w:eastAsia="宋体" w:cs="宋体"/>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eastAsia="zh-CN"/>
        </w:rPr>
        <w:t xml:space="preserve">标的所属行业：（十四）物业管理</w:t>
      </w:r>
      <w:r/>
    </w:p>
    <w:p>
      <w:pPr>
        <w:ind w:firstLine="1084"/>
        <w:spacing w:line="85" w:lineRule="atLeast"/>
        <w:rPr>
          <w:rFonts w:ascii="宋体" w:hAnsi="宋体" w:eastAsia="宋体" w:cs="宋体"/>
          <w:b/>
          <w:color w:val="auto"/>
          <w:sz w:val="36"/>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lang w:eastAsia="zh-CN"/>
        </w:rPr>
      </w:r>
      <w:r/>
    </w:p>
    <w:p>
      <w:pPr>
        <w:pStyle w:val="780"/>
        <w:rPr>
          <w:color w:val="auto"/>
          <w:highlight w:val="none"/>
          <w:lang w:eastAsia="zh-CN"/>
        </w:rPr>
      </w:pPr>
      <w:r>
        <w:rPr>
          <w:rFonts w:ascii="宋体" w:hAnsi="宋体" w:eastAsia="宋体" w:cs="宋体"/>
          <w:color w:val="auto"/>
          <w:sz w:val="28"/>
          <w:highlight w:val="none"/>
          <w:lang w:eastAsia="zh-CN"/>
        </w:rPr>
        <w:t xml:space="preserve"> </w:t>
      </w:r>
      <w:r/>
    </w:p>
    <w:p>
      <w:pPr>
        <w:jc w:val="center"/>
        <w:spacing w:line="85"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lang w:eastAsia="zh-CN"/>
        </w:rPr>
        <w:t xml:space="preserve">苏州市公共资源交易中心太仓分中心</w:t>
      </w:r>
      <w:r/>
    </w:p>
    <w:p>
      <w:pPr>
        <w:jc w:val="center"/>
        <w:spacing w:line="85" w:lineRule="atLeast"/>
        <w:rPr>
          <w:rFonts w:ascii="宋体" w:hAnsi="宋体" w:eastAsia="宋体" w:cs="宋体"/>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44"/>
          <w:highlight w:val="none"/>
          <w:lang w:eastAsia="zh-CN"/>
        </w:rPr>
        <w:t xml:space="preserve">2026年8</w:t>
      </w:r>
      <w:r>
        <w:rPr>
          <w:rFonts w:ascii="宋体" w:hAnsi="宋体" w:eastAsia="宋体" w:cs="宋体"/>
          <w:color w:val="auto"/>
          <w:sz w:val="44"/>
          <w:highlight w:val="none"/>
          <w:lang w:eastAsia="zh-CN"/>
        </w:rPr>
        <w:t xml:space="preserve">月</w:t>
      </w:r>
      <w:r/>
    </w:p>
    <w:p>
      <w:pPr>
        <w:jc w:val="left"/>
        <w:spacing w:after="0"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44"/>
          <w:highlight w:val="none"/>
          <w:lang w:eastAsia="zh-CN"/>
        </w:rPr>
        <w:br w:type="page" w:clear="all"/>
      </w:r>
      <w:r/>
    </w:p>
    <w:p>
      <w:pPr>
        <w:jc w:val="center"/>
        <w:spacing w:after="0" w:line="85" w:lineRule="atLeast"/>
        <w:rPr>
          <w:rFonts w:cs="宋体" w:asciiTheme="minorEastAsia" w:hAnsiTheme="minorEastAsia" w:eastAsiaTheme="minorEastAsia"/>
          <w:b/>
          <w:color w:val="auto"/>
          <w:sz w:val="36"/>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6"/>
          <w:highlight w:val="none"/>
          <w:lang w:eastAsia="zh-CN"/>
        </w:rPr>
      </w:r>
      <w:r/>
    </w:p>
    <w:p>
      <w:pPr>
        <w:jc w:val="center"/>
        <w:spacing w:after="0"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6"/>
          <w:highlight w:val="none"/>
          <w:lang w:eastAsia="zh-CN"/>
        </w:rPr>
        <w:t xml:space="preserve">目录</w:t>
      </w:r>
      <w:r/>
    </w:p>
    <w:p>
      <w:pPr>
        <w:jc w:val="both"/>
        <w:spacing w:after="0" w:line="85" w:lineRule="atLeast"/>
        <w:rPr>
          <w:rFonts w:cs="宋体" w:asciiTheme="minorEastAsia" w:hAnsiTheme="minorEastAsia" w:eastAsiaTheme="minorEastAsia"/>
          <w:color w:val="auto"/>
          <w:sz w:val="30"/>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0"/>
          <w:highlight w:val="none"/>
          <w:lang w:eastAsia="zh-CN"/>
        </w:rPr>
      </w:r>
      <w:r/>
    </w:p>
    <w:p>
      <w:pPr>
        <w:jc w:val="both"/>
        <w:spacing w:after="0" w:line="7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0"/>
          <w:highlight w:val="none"/>
          <w:lang w:eastAsia="zh-CN"/>
        </w:rPr>
        <w:t xml:space="preserve">第一部分：招标公告</w:t>
      </w:r>
      <w:r/>
    </w:p>
    <w:p>
      <w:pPr>
        <w:jc w:val="both"/>
        <w:spacing w:after="0" w:line="7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0"/>
          <w:highlight w:val="none"/>
          <w:lang w:eastAsia="zh-CN"/>
        </w:rPr>
        <w:t xml:space="preserve">第二部分：投标人须知</w:t>
      </w:r>
      <w:r/>
    </w:p>
    <w:p>
      <w:pPr>
        <w:jc w:val="both"/>
        <w:spacing w:after="0" w:line="7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0"/>
          <w:highlight w:val="none"/>
          <w:lang w:eastAsia="zh-CN"/>
        </w:rPr>
        <w:t xml:space="preserve">第三部分：项目需求</w:t>
      </w:r>
      <w:r/>
    </w:p>
    <w:p>
      <w:pPr>
        <w:jc w:val="both"/>
        <w:spacing w:after="0" w:line="7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0"/>
          <w:highlight w:val="none"/>
          <w:lang w:eastAsia="zh-CN"/>
        </w:rPr>
        <w:t xml:space="preserve">第四部分：投标文件格式</w:t>
      </w:r>
      <w:r/>
    </w:p>
    <w:p>
      <w:pPr>
        <w:jc w:val="both"/>
        <w:spacing w:after="0" w:line="7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0"/>
          <w:highlight w:val="none"/>
          <w:lang w:eastAsia="zh-CN"/>
        </w:rPr>
        <w:t xml:space="preserve">第五部分：评标方法与评标标准</w:t>
      </w:r>
      <w:r/>
    </w:p>
    <w:p>
      <w:pPr>
        <w:jc w:val="both"/>
        <w:spacing w:after="0" w:line="7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0"/>
          <w:highlight w:val="none"/>
          <w:lang w:eastAsia="zh-CN"/>
        </w:rPr>
        <w:t xml:space="preserve">第六部分：合同主要条款</w:t>
      </w:r>
      <w:r/>
    </w:p>
    <w:p>
      <w:pPr>
        <w:spacing w:before="240" w:after="240" w:line="7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spacing w:before="240" w:after="24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spacing w:before="240" w:after="24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spacing w:before="240" w:after="24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spacing w:before="240" w:after="24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spacing w:before="240" w:after="24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center"/>
        <w:spacing w:before="240" w:after="24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br w:type="page" w:clear="all"/>
      </w:r>
      <w:r/>
    </w:p>
    <w:p>
      <w:pPr>
        <w:jc w:val="center"/>
        <w:rPr>
          <w:rFonts w:cs="宋体" w:asciiTheme="minorEastAsia" w:hAnsiTheme="minorEastAsia" w:eastAsiaTheme="minorEastAsia"/>
          <w:b/>
          <w:color w:val="auto"/>
          <w:sz w:val="44"/>
          <w:highlight w:val="none"/>
        </w:rPr>
      </w:pPr>
      <w:r>
        <w:rPr>
          <w:rFonts w:cs="宋体" w:asciiTheme="minorEastAsia" w:hAnsiTheme="minorEastAsia" w:eastAsiaTheme="minorEastAsia"/>
          <w:b/>
          <w:color w:val="auto"/>
          <w:sz w:val="44"/>
          <w:highlight w:val="none"/>
        </w:rPr>
        <w:t xml:space="preserve">第一部分</w:t>
      </w:r>
      <w:r>
        <w:rPr>
          <w:rFonts w:hint="eastAsia" w:cs="宋体" w:asciiTheme="minorEastAsia" w:hAnsiTheme="minorEastAsia" w:eastAsiaTheme="minorEastAsia"/>
          <w:b/>
          <w:color w:val="auto"/>
          <w:sz w:val="44"/>
          <w:highlight w:val="none"/>
          <w:lang w:eastAsia="zh-CN"/>
        </w:rPr>
        <w:t xml:space="preserve">   </w:t>
      </w:r>
      <w:r>
        <w:rPr>
          <w:rFonts w:cs="宋体" w:asciiTheme="minorEastAsia" w:hAnsiTheme="minorEastAsia" w:eastAsiaTheme="minorEastAsia"/>
          <w:b/>
          <w:color w:val="auto"/>
          <w:sz w:val="44"/>
          <w:highlight w:val="none"/>
        </w:rPr>
        <w:t xml:space="preserve">招标公告</w:t>
      </w:r>
      <w:r/>
    </w:p>
    <w:tbl>
      <w:tblPr>
        <w:tblStyle w:val="703"/>
        <w:tblW w:w="9342"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342"/>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9342" w:type="dxa"/>
            <w:vAlign w:val="center"/>
            <w:textDirection w:val="lrTb"/>
            <w:noWrap w:val="false"/>
          </w:tcPr>
          <w:p>
            <w:pPr>
              <w:pStyle w:val="77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项目概况</w:t>
            </w:r>
            <w:r/>
          </w:p>
          <w:p>
            <w:pPr>
              <w:pStyle w:val="774"/>
              <w:spacing w:beforeAutospacing="0" w:afterAutospacing="0" w:line="360" w:lineRule="auto"/>
              <w:rPr>
                <w:rFonts w:asciiTheme="minorEastAsia" w:hAnsiTheme="minorEastAsia" w:eastAsiaTheme="minorEastAsia"/>
                <w:color w:val="auto"/>
                <w:szCs w:val="24"/>
                <w:highlight w:val="none"/>
              </w:rPr>
            </w:pPr>
            <w:r/>
            <w:bookmarkStart w:id="1" w:name="OLE_LINK49"/>
            <w:r>
              <w:rPr>
                <w:rFonts w:hint="eastAsia" w:ascii="仿宋" w:hAnsi="仿宋" w:eastAsia="仿宋" w:cs="仿宋"/>
                <w:color w:val="auto"/>
                <w:szCs w:val="24"/>
                <w:highlight w:val="none"/>
                <w:shd w:val="clear" w:color="auto" w:fill="ffffff"/>
              </w:rPr>
              <w:t xml:space="preserve">2026-2027年度保洁服务</w:t>
            </w:r>
            <w:bookmarkEnd w:id="1"/>
            <w:r>
              <w:rPr>
                <w:rFonts w:hint="eastAsia" w:ascii="仿宋" w:hAnsi="仿宋" w:eastAsia="仿宋" w:cs="仿宋"/>
                <w:color w:val="auto"/>
                <w:szCs w:val="24"/>
                <w:highlight w:val="none"/>
                <w:shd w:val="clear" w:color="auto" w:fill="ffffff"/>
              </w:rPr>
              <w:t xml:space="preserve"> </w:t>
            </w:r>
            <w:r>
              <w:rPr>
                <w:rFonts w:hint="eastAsia" w:ascii="仿宋" w:hAnsi="仿宋" w:eastAsia="仿宋" w:cs="仿宋"/>
                <w:color w:val="auto"/>
                <w:szCs w:val="24"/>
                <w:highlight w:val="none"/>
                <w:shd w:val="clear" w:color="auto" w:fill="ffffff"/>
                <w:lang w:eastAsia="zh-CN"/>
              </w:rPr>
              <w:t xml:space="preserve">JSZC-320585-JZCG-G2026-0073</w:t>
            </w:r>
            <w:r>
              <w:rPr>
                <w:rFonts w:hint="eastAsia" w:ascii="仿宋" w:hAnsi="仿宋" w:eastAsia="仿宋" w:cs="仿宋"/>
                <w:color w:val="auto"/>
                <w:szCs w:val="24"/>
                <w:highlight w:val="none"/>
                <w:shd w:val="clear" w:color="auto" w:fill="ffffff"/>
              </w:rPr>
              <w:t xml:space="preserve">招标项目的潜在投标人应在“苏采云”系统（网址：http://jszfcg.jsczt.cn/）自行下载 获取招标文件，并于</w:t>
            </w:r>
            <w:bookmarkStart w:id="60" w:name="_GoBack"/>
            <w:r/>
            <w:bookmarkEnd w:id="60"/>
            <w:r>
              <w:rPr>
                <w:rFonts w:hint="eastAsia" w:ascii="仿宋" w:hAnsi="仿宋" w:eastAsia="仿宋" w:cs="仿宋"/>
                <w:color w:val="auto"/>
                <w:szCs w:val="24"/>
                <w:highlight w:val="none"/>
                <w:shd w:val="clear" w:color="auto" w:fill="ffffff"/>
                <w:lang w:eastAsia="zh-CN"/>
              </w:rPr>
              <w:t xml:space="preserve">2026-9-2</w:t>
            </w:r>
            <w:r>
              <w:rPr>
                <w:rFonts w:hint="eastAsia" w:ascii="仿宋" w:hAnsi="仿宋" w:eastAsia="仿宋" w:cs="仿宋"/>
                <w:color w:val="auto"/>
                <w:szCs w:val="24"/>
                <w:highlight w:val="none"/>
                <w:shd w:val="clear" w:color="auto" w:fill="ffffff"/>
              </w:rPr>
              <w:t xml:space="preserve"> 09:30 （北京时间）前递交投标文件。</w:t>
            </w:r>
            <w:r/>
          </w:p>
        </w:tc>
      </w:tr>
    </w:tbl>
    <w:p>
      <w:pPr>
        <w:pStyle w:val="694"/>
        <w:keepLines w:val="0"/>
        <w:keepNext w:val="0"/>
        <w:spacing w:before="0" w:after="0" w:line="360" w:lineRule="auto"/>
        <w:shd w:val="clear" w:color="auto" w:fill="ffffff"/>
        <w:rPr>
          <w:rFonts w:ascii="仿宋" w:hAnsi="仿宋" w:eastAsia="仿宋" w:cs="仿宋"/>
          <w:color w:val="auto"/>
          <w:sz w:val="24"/>
          <w:szCs w:val="24"/>
          <w:highlight w:val="none"/>
          <w:lang w:eastAsia="zh-CN"/>
        </w:rPr>
      </w:pPr>
      <w:r>
        <w:rPr>
          <w:rStyle w:val="782"/>
          <w:rFonts w:hint="eastAsia" w:ascii="仿宋" w:hAnsi="仿宋" w:eastAsia="仿宋" w:cs="仿宋"/>
          <w:color w:val="auto"/>
          <w:sz w:val="24"/>
          <w:szCs w:val="24"/>
          <w:highlight w:val="none"/>
          <w:shd w:val="clear" w:color="auto" w:fill="ffffff"/>
          <w:lang w:eastAsia="zh-CN"/>
        </w:rPr>
        <w:t xml:space="preserve">一、项目基本情况</w:t>
      </w:r>
      <w:r/>
    </w:p>
    <w:p>
      <w:pPr>
        <w:pStyle w:val="774"/>
        <w:spacing w:beforeAutospacing="0" w:afterAutospacing="0" w:line="360" w:lineRule="auto"/>
        <w:shd w:val="clear" w:color="auto" w:fill="ffffff"/>
        <w:rPr>
          <w:rFonts w:hint="eastAsia" w:ascii="仿宋" w:hAnsi="仿宋" w:eastAsia="仿宋" w:cs="仿宋"/>
          <w:color w:val="auto"/>
          <w:szCs w:val="24"/>
          <w:highlight w:val="none"/>
          <w:shd w:val="clear" w:color="auto" w:fill="ffffff"/>
          <w:lang w:eastAsia="zh-CN"/>
        </w:rPr>
      </w:pPr>
      <w:r/>
      <w:bookmarkStart w:id="2" w:name="OLE_LINK4"/>
      <w:r/>
      <w:bookmarkStart w:id="3" w:name="OLE_LINK18"/>
      <w:r>
        <w:rPr>
          <w:rFonts w:hint="eastAsia" w:ascii="仿宋" w:hAnsi="仿宋" w:eastAsia="仿宋" w:cs="仿宋"/>
          <w:color w:val="auto"/>
          <w:szCs w:val="24"/>
          <w:highlight w:val="none"/>
          <w:shd w:val="clear" w:color="auto" w:fill="ffffff"/>
        </w:rPr>
        <w:t xml:space="preserve">项目编号：</w:t>
      </w:r>
      <w:r>
        <w:rPr>
          <w:rFonts w:hint="eastAsia" w:ascii="仿宋" w:hAnsi="仿宋" w:eastAsia="仿宋" w:cs="仿宋"/>
          <w:color w:val="auto"/>
          <w:szCs w:val="24"/>
          <w:highlight w:val="none"/>
          <w:shd w:val="clear" w:color="auto" w:fill="ffffff"/>
          <w:lang w:eastAsia="zh-CN"/>
        </w:rPr>
        <w:t xml:space="preserve">JSZC-320585-JZCG-G2026-0073</w:t>
      </w:r>
      <w:r/>
    </w:p>
    <w:p>
      <w:pPr>
        <w:pStyle w:val="774"/>
        <w:spacing w:beforeAutospacing="0" w:afterAutospacing="0" w:line="360" w:lineRule="auto"/>
        <w:shd w:val="clear" w:color="auto" w:fill="ffffff"/>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项目名称：</w:t>
      </w:r>
      <w:r>
        <w:rPr>
          <w:rFonts w:hint="eastAsia" w:ascii="仿宋" w:hAnsi="仿宋" w:eastAsia="仿宋" w:cs="仿宋"/>
          <w:color w:val="auto"/>
          <w:szCs w:val="24"/>
          <w:highlight w:val="none"/>
          <w:shd w:val="clear" w:color="auto" w:fill="ffffff"/>
          <w:lang w:eastAsia="zh-CN"/>
        </w:rPr>
        <w:t xml:space="preserve">2026-2027年度保洁服务</w:t>
      </w:r>
      <w:r/>
    </w:p>
    <w:p>
      <w:pPr>
        <w:pStyle w:val="774"/>
        <w:spacing w:beforeAutospacing="0" w:afterAutospacing="0" w:line="360" w:lineRule="auto"/>
        <w:shd w:val="clear" w:color="auto" w:fill="ffffff"/>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预算金额：</w:t>
      </w:r>
      <w:bookmarkStart w:id="4" w:name="OLE_LINK47"/>
      <w:r>
        <w:rPr>
          <w:rFonts w:hint="eastAsia" w:ascii="仿宋" w:hAnsi="仿宋" w:eastAsia="仿宋" w:cs="仿宋"/>
          <w:color w:val="auto"/>
          <w:szCs w:val="24"/>
          <w:highlight w:val="none"/>
          <w:shd w:val="clear" w:color="auto" w:fill="ffffff"/>
        </w:rPr>
        <w:t xml:space="preserve">164 万元 </w:t>
      </w:r>
      <w:bookmarkEnd w:id="4"/>
      <w:r/>
      <w:r/>
    </w:p>
    <w:p>
      <w:pPr>
        <w:pStyle w:val="774"/>
        <w:spacing w:beforeAutospacing="0" w:afterAutospacing="0" w:line="360" w:lineRule="auto"/>
        <w:shd w:val="clear" w:color="auto" w:fill="ffffff"/>
        <w:rPr>
          <w:rFonts w:hint="eastAsia" w:ascii="仿宋" w:hAnsi="仿宋" w:eastAsia="仿宋" w:cs="仿宋"/>
          <w:color w:val="auto"/>
          <w:szCs w:val="24"/>
          <w:highlight w:val="none"/>
          <w:shd w:val="clear" w:color="auto" w:fill="ffffff"/>
          <w:lang w:eastAsia="zh-CN"/>
        </w:rPr>
      </w:pPr>
      <w:r>
        <w:rPr>
          <w:rFonts w:hint="eastAsia" w:ascii="仿宋" w:hAnsi="仿宋" w:eastAsia="仿宋" w:cs="仿宋"/>
          <w:color w:val="auto"/>
          <w:szCs w:val="24"/>
          <w:highlight w:val="none"/>
          <w:shd w:val="clear" w:color="auto" w:fill="ffffff"/>
        </w:rPr>
        <w:t xml:space="preserve">最高限价（如有）：</w:t>
      </w:r>
      <w:r>
        <w:rPr>
          <w:rFonts w:hint="eastAsia" w:ascii="仿宋" w:hAnsi="仿宋" w:eastAsia="仿宋" w:cs="仿宋"/>
          <w:color w:val="auto"/>
          <w:szCs w:val="24"/>
          <w:highlight w:val="none"/>
          <w:shd w:val="clear" w:color="auto" w:fill="ffffff"/>
          <w:lang w:val="en-US" w:eastAsia="zh-CN"/>
        </w:rPr>
        <w:t xml:space="preserve">无</w:t>
      </w:r>
      <w:r/>
    </w:p>
    <w:p>
      <w:pPr>
        <w:pStyle w:val="774"/>
        <w:spacing w:beforeAutospacing="0" w:afterAutospacing="0" w:line="360" w:lineRule="auto"/>
        <w:shd w:val="clear" w:color="auto" w:fill="ffffff"/>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采购方式：公开招标 </w:t>
      </w:r>
      <w:bookmarkEnd w:id="2"/>
      <w:r/>
      <w:r/>
    </w:p>
    <w:p>
      <w:pPr>
        <w:pStyle w:val="774"/>
        <w:spacing w:beforeAutospacing="0" w:afterAutospacing="0" w:line="360" w:lineRule="auto"/>
        <w:shd w:val="clear" w:color="auto" w:fill="ffffff"/>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采购需求：</w:t>
      </w:r>
      <w:bookmarkStart w:id="5" w:name="_Hlk52266816"/>
      <w:r/>
      <w:bookmarkStart w:id="6" w:name="OLE_LINK32"/>
      <w:r/>
      <w:bookmarkStart w:id="7" w:name="_Toc299364373"/>
      <w:r>
        <w:rPr>
          <w:rFonts w:hint="eastAsia" w:ascii="仿宋" w:hAnsi="仿宋" w:eastAsia="仿宋" w:cs="仿宋"/>
          <w:color w:val="auto"/>
          <w:szCs w:val="24"/>
          <w:highlight w:val="none"/>
          <w:shd w:val="clear" w:color="auto" w:fill="ffffff"/>
        </w:rPr>
        <w:t xml:space="preserve">卫生保洁（含日常保洁和专项保洁）、垃圾清运（生活垃圾及医疗垃圾）、运送服务（病人护送、标本运送）、手术室驻守服务及五个社区服务站卫生保洁（含日常保洁和专项保洁，每周一次）</w:t>
      </w:r>
      <w:bookmarkStart w:id="8" w:name="OLE_LINK48"/>
      <w:r>
        <w:rPr>
          <w:rFonts w:hint="eastAsia" w:ascii="仿宋" w:hAnsi="仿宋" w:eastAsia="仿宋" w:cs="仿宋"/>
          <w:color w:val="auto"/>
          <w:szCs w:val="24"/>
          <w:highlight w:val="none"/>
          <w:shd w:val="clear" w:color="auto" w:fill="ffffff"/>
        </w:rPr>
        <w:t xml:space="preserve">及新塘分院。</w:t>
      </w:r>
      <w:bookmarkEnd w:id="8"/>
      <w:r>
        <w:rPr>
          <w:rFonts w:hint="eastAsia" w:ascii="仿宋" w:hAnsi="仿宋" w:eastAsia="仿宋" w:cs="仿宋"/>
          <w:color w:val="auto"/>
          <w:szCs w:val="24"/>
          <w:highlight w:val="none"/>
          <w:shd w:val="clear" w:color="auto" w:fill="ffffff"/>
        </w:rPr>
        <w:t xml:space="preserve">具体内容详见第三部分项目需求。</w:t>
      </w:r>
      <w:bookmarkEnd w:id="3"/>
      <w:r/>
      <w:bookmarkEnd w:id="5"/>
      <w:r/>
      <w:bookmarkEnd w:id="6"/>
      <w:r/>
      <w:bookmarkEnd w:id="7"/>
      <w:r/>
      <w:r/>
    </w:p>
    <w:p>
      <w:pPr>
        <w:pStyle w:val="774"/>
        <w:spacing w:beforeAutospacing="0" w:afterAutospacing="0" w:line="360" w:lineRule="auto"/>
        <w:shd w:val="clear" w:color="auto" w:fill="ffffff"/>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合同履行期限：合同签订后一年（具体起始时间以院方通知为准）。</w:t>
      </w:r>
      <w:r/>
    </w:p>
    <w:p>
      <w:pPr>
        <w:pStyle w:val="774"/>
        <w:spacing w:beforeAutospacing="0" w:afterAutospacing="0" w:line="360" w:lineRule="auto"/>
        <w:shd w:val="clear" w:color="auto" w:fill="ffffff"/>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本项目（是/否）接受联合体投标：不接受联合体</w:t>
      </w:r>
      <w:r/>
    </w:p>
    <w:p>
      <w:pPr>
        <w:pStyle w:val="694"/>
        <w:keepLines w:val="0"/>
        <w:keepNext w:val="0"/>
        <w:spacing w:before="0" w:after="0" w:line="360" w:lineRule="auto"/>
        <w:rPr>
          <w:rFonts w:ascii="仿宋" w:hAnsi="仿宋" w:eastAsia="仿宋" w:cs="仿宋"/>
          <w:color w:val="auto"/>
          <w:sz w:val="24"/>
          <w:szCs w:val="24"/>
          <w:highlight w:val="none"/>
          <w:lang w:eastAsia="zh-CN"/>
        </w:rPr>
      </w:pPr>
      <w:r>
        <w:rPr>
          <w:rStyle w:val="782"/>
          <w:rFonts w:hint="eastAsia" w:ascii="仿宋" w:hAnsi="仿宋" w:eastAsia="仿宋" w:cs="仿宋"/>
          <w:color w:val="auto"/>
          <w:sz w:val="24"/>
          <w:szCs w:val="24"/>
          <w:highlight w:val="none"/>
          <w:shd w:val="clear" w:color="auto" w:fill="ffffff"/>
          <w:lang w:eastAsia="zh-CN"/>
        </w:rPr>
        <w:t xml:space="preserve">二、申请人的资格要求</w:t>
      </w:r>
      <w:r/>
    </w:p>
    <w:p>
      <w:pPr>
        <w:pStyle w:val="774"/>
        <w:spacing w:beforeAutospacing="0" w:afterAutospacing="0"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shd w:val="clear" w:color="auto" w:fill="ffffff"/>
        </w:rPr>
        <w:t xml:space="preserve">（一）满足《中华人民共和国政府采购法》第二十二条规定；</w:t>
      </w:r>
      <w:r/>
    </w:p>
    <w:p>
      <w:pPr>
        <w:pStyle w:val="774"/>
        <w:spacing w:beforeAutospacing="0" w:afterAutospacing="0"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shd w:val="clear" w:color="auto" w:fill="ffffff"/>
        </w:rPr>
        <w:t xml:space="preserve">1.具有独立承担民事责任的能力证明。包括法人或者其他组织的营业执照等证明文件，自然人的身份证明；</w:t>
      </w:r>
      <w:r/>
    </w:p>
    <w:p>
      <w:pPr>
        <w:pStyle w:val="774"/>
        <w:spacing w:beforeAutospacing="0" w:afterAutospacing="0"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shd w:val="clear" w:color="auto" w:fill="ffffff"/>
        </w:rPr>
        <w:t xml:space="preserve">2.具有良好的商业信誉和健全的财务会计制度证明。</w:t>
      </w:r>
      <w:r/>
    </w:p>
    <w:p>
      <w:pPr>
        <w:pStyle w:val="774"/>
        <w:spacing w:beforeAutospacing="0" w:afterAutospacing="0"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shd w:val="clear" w:color="auto" w:fill="ffffff"/>
        </w:rPr>
        <w:t xml:space="preserve">3.具备履行合同所必需的设备和专业技术能力的证明材料或承诺；</w:t>
      </w:r>
      <w:r/>
    </w:p>
    <w:p>
      <w:pPr>
        <w:pStyle w:val="774"/>
        <w:spacing w:beforeAutospacing="0" w:afterAutospacing="0"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shd w:val="clear" w:color="auto" w:fill="ffffff"/>
        </w:rPr>
        <w:t xml:space="preserve">4.依法缴纳税收和社会保障资金的相关资料；</w:t>
      </w:r>
      <w:r/>
    </w:p>
    <w:p>
      <w:pPr>
        <w:pStyle w:val="774"/>
        <w:spacing w:beforeAutospacing="0" w:afterAutospacing="0" w:line="360" w:lineRule="auto"/>
        <w:rPr>
          <w:rFonts w:ascii="仿宋" w:hAnsi="仿宋" w:eastAsia="仿宋" w:cs="仿宋"/>
          <w:color w:val="auto"/>
          <w:szCs w:val="24"/>
          <w:highlight w:val="none"/>
        </w:rPr>
      </w:pPr>
      <w:r>
        <w:rPr>
          <w:rFonts w:hint="eastAsia" w:ascii="仿宋" w:hAnsi="仿宋" w:eastAsia="仿宋" w:cs="仿宋"/>
          <w:color w:val="auto"/>
          <w:szCs w:val="24"/>
          <w:highlight w:val="none"/>
          <w:shd w:val="clear" w:color="auto" w:fill="ffffff"/>
        </w:rPr>
        <w:t xml:space="preserve">5.参加政府采购活动前三年内在经营活动中没有重大违法记录的书面声明函；</w:t>
      </w:r>
      <w:r/>
    </w:p>
    <w:p>
      <w:pPr>
        <w:pStyle w:val="77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6.未被“信用中国”网站（www.creditchina.gov.cn）列入失信被执行人、重大税收违法案件当事人名单、政府采购严重失信行为记录名单。</w:t>
      </w:r>
      <w:r/>
    </w:p>
    <w:p>
      <w:pPr>
        <w:pStyle w:val="77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7.采购文件要求的其他资格证明文件</w:t>
      </w:r>
      <w:r/>
    </w:p>
    <w:p>
      <w:pPr>
        <w:pStyle w:val="77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（二）落实政府采购政策需满足的资格要求：</w:t>
      </w:r>
      <w:r/>
    </w:p>
    <w:p>
      <w:pPr>
        <w:pStyle w:val="774"/>
        <w:ind w:firstLine="482"/>
        <w:spacing w:beforeAutospacing="0" w:afterAutospacing="0" w:line="360" w:lineRule="auto"/>
        <w:rPr>
          <w:rFonts w:ascii="仿宋" w:hAnsi="仿宋" w:eastAsia="仿宋" w:cs="仿宋"/>
          <w:color w:val="auto"/>
          <w:szCs w:val="24"/>
          <w:highlight w:val="none"/>
          <w:shd w:val="clear" w:color="auto" w:fill="ffffff"/>
        </w:rPr>
      </w:pPr>
      <w:r/>
      <w:bookmarkStart w:id="9" w:name="OLE_LINK33"/>
      <w:r/>
      <w:bookmarkStart w:id="10" w:name="OLE_LINK5"/>
      <w:r>
        <w:rPr>
          <w:rFonts w:hint="eastAsia" w:ascii="仿宋" w:hAnsi="仿宋" w:eastAsia="仿宋" w:cs="仿宋"/>
          <w:b/>
          <w:bCs/>
          <w:color w:val="auto"/>
          <w:szCs w:val="24"/>
          <w:highlight w:val="none"/>
          <w:shd w:val="clear" w:color="auto" w:fill="ffffff"/>
        </w:rPr>
        <w:t xml:space="preserve">本项目专门面向中小企业采购，</w:t>
      </w:r>
      <w:r>
        <w:rPr>
          <w:rFonts w:hint="eastAsia" w:ascii="仿宋" w:hAnsi="仿宋" w:eastAsia="仿宋" w:cs="仿宋"/>
          <w:color w:val="auto"/>
          <w:szCs w:val="24"/>
          <w:highlight w:val="none"/>
          <w:shd w:val="clear" w:color="auto" w:fill="ffffff"/>
        </w:rPr>
        <w:t xml:space="preserve">根据《政府采购促进中小企业发展管理办法》（财库〔2020〕46号）有关规定，投标人应提供中小企业声明函或残疾人福利性单位声明函或省级以上监狱管理局、戒毒管理局（含新疆生产建设兵团）出具的属于监狱企业的证明文件。</w:t>
      </w:r>
      <w:bookmarkEnd w:id="9"/>
      <w:r/>
      <w:bookmarkEnd w:id="10"/>
      <w:r/>
      <w:r/>
    </w:p>
    <w:p>
      <w:pPr>
        <w:pStyle w:val="77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（三）本项目的特定资格要求： </w:t>
      </w:r>
      <w:r/>
    </w:p>
    <w:p>
      <w:pPr>
        <w:pStyle w:val="77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bookmarkStart w:id="11" w:name="OLE_LINK41"/>
      <w:r/>
      <w:bookmarkEnd w:id="11"/>
      <w:r/>
      <w:r/>
    </w:p>
    <w:p>
      <w:pPr>
        <w:pStyle w:val="774"/>
        <w:spacing w:beforeAutospacing="0" w:afterAutospacing="0" w:line="360" w:lineRule="auto"/>
        <w:rPr>
          <w:rFonts w:ascii="仿宋" w:hAnsi="仿宋" w:eastAsia="仿宋" w:cs="仿宋"/>
          <w:b/>
          <w:bCs/>
          <w:color w:val="auto"/>
          <w:szCs w:val="24"/>
          <w:highlight w:val="none"/>
          <w:shd w:val="clear" w:color="auto" w:fill="ffffff"/>
          <w:lang w:val="zh-CN"/>
        </w:rPr>
      </w:pPr>
      <w:r/>
      <w:bookmarkStart w:id="12" w:name="OLE_LINK40"/>
      <w:r/>
      <w:bookmarkStart w:id="13" w:name="OLE_LINK38"/>
      <w:r>
        <w:rPr>
          <w:rFonts w:hint="eastAsia" w:ascii="仿宋" w:hAnsi="仿宋" w:eastAsia="仿宋" w:cs="仿宋"/>
          <w:b/>
          <w:bCs/>
          <w:color w:val="auto"/>
          <w:szCs w:val="24"/>
          <w:highlight w:val="none"/>
          <w:shd w:val="clear" w:color="auto" w:fill="ffffff"/>
        </w:rPr>
        <w:t xml:space="preserve">2.拟投人员共计35人，</w:t>
      </w:r>
      <w:r>
        <w:rPr>
          <w:rFonts w:hint="eastAsia" w:ascii="仿宋" w:hAnsi="仿宋" w:eastAsia="仿宋" w:cs="仿宋"/>
          <w:b/>
          <w:bCs/>
          <w:color w:val="auto"/>
          <w:szCs w:val="24"/>
          <w:highlight w:val="none"/>
          <w:shd w:val="clear" w:color="auto" w:fill="ffffff"/>
          <w:lang w:val="zh-CN"/>
        </w:rPr>
        <w:t xml:space="preserve">为最低人员要求，</w:t>
      </w:r>
      <w:r>
        <w:rPr>
          <w:rFonts w:hint="eastAsia" w:ascii="仿宋" w:hAnsi="仿宋" w:eastAsia="仿宋" w:cs="仿宋"/>
          <w:b/>
          <w:bCs/>
          <w:color w:val="auto"/>
          <w:szCs w:val="24"/>
          <w:highlight w:val="none"/>
          <w:shd w:val="clear" w:color="auto" w:fill="ffffff"/>
        </w:rPr>
        <w:t xml:space="preserve">否则</w:t>
      </w:r>
      <w:r>
        <w:rPr>
          <w:rFonts w:hint="eastAsia" w:ascii="仿宋" w:hAnsi="仿宋" w:eastAsia="仿宋" w:cs="仿宋"/>
          <w:b/>
          <w:bCs/>
          <w:color w:val="auto"/>
          <w:szCs w:val="24"/>
          <w:highlight w:val="none"/>
          <w:shd w:val="clear" w:color="auto" w:fill="ffffff"/>
          <w:lang w:val="zh-CN"/>
        </w:rPr>
        <w:t xml:space="preserve">为非实质性响应，按无效标处理。</w:t>
      </w:r>
      <w:r/>
    </w:p>
    <w:p>
      <w:pPr>
        <w:pStyle w:val="774"/>
        <w:spacing w:beforeAutospacing="0" w:afterAutospacing="0" w:line="360" w:lineRule="auto"/>
        <w:rPr>
          <w:rFonts w:ascii="仿宋" w:hAnsi="仿宋" w:eastAsia="仿宋" w:cs="仿宋"/>
          <w:b/>
          <w:bCs/>
          <w:color w:val="auto"/>
          <w:szCs w:val="24"/>
          <w:highlight w:val="none"/>
          <w:shd w:val="clear" w:color="auto" w:fill="ffffff"/>
        </w:rPr>
      </w:pPr>
      <w:r>
        <w:rPr>
          <w:rFonts w:hint="eastAsia" w:ascii="仿宋" w:hAnsi="仿宋" w:eastAsia="仿宋" w:cs="仿宋"/>
          <w:b/>
          <w:bCs/>
          <w:color w:val="auto"/>
          <w:szCs w:val="24"/>
          <w:highlight w:val="none"/>
          <w:shd w:val="clear" w:color="auto" w:fill="ffffff"/>
        </w:rPr>
        <w:t xml:space="preserve">3.项目经理和保洁主管年龄需满足招标要求，否则</w:t>
      </w:r>
      <w:r>
        <w:rPr>
          <w:rFonts w:hint="eastAsia" w:ascii="仿宋" w:hAnsi="仿宋" w:eastAsia="仿宋" w:cs="仿宋"/>
          <w:b/>
          <w:bCs/>
          <w:color w:val="auto"/>
          <w:szCs w:val="24"/>
          <w:highlight w:val="none"/>
          <w:shd w:val="clear" w:color="auto" w:fill="ffffff"/>
          <w:lang w:val="zh-CN"/>
        </w:rPr>
        <w:t xml:space="preserve">为非实质性响应，按无效标处理。</w:t>
      </w:r>
      <w:r/>
    </w:p>
    <w:p>
      <w:pPr>
        <w:pStyle w:val="774"/>
        <w:spacing w:beforeAutospacing="0" w:afterAutospacing="0" w:line="360" w:lineRule="auto"/>
        <w:rPr>
          <w:rFonts w:ascii="仿宋" w:hAnsi="仿宋" w:eastAsia="仿宋" w:cs="仿宋"/>
          <w:b/>
          <w:bCs/>
          <w:color w:val="auto"/>
          <w:szCs w:val="24"/>
          <w:highlight w:val="none"/>
          <w:shd w:val="clear" w:color="auto" w:fill="ffffff"/>
        </w:rPr>
      </w:pPr>
      <w:r>
        <w:rPr>
          <w:rFonts w:hint="eastAsia" w:ascii="仿宋" w:hAnsi="仿宋" w:eastAsia="仿宋" w:cs="仿宋"/>
          <w:b/>
          <w:bCs/>
          <w:color w:val="auto"/>
          <w:szCs w:val="24"/>
          <w:highlight w:val="none"/>
          <w:shd w:val="clear" w:color="auto" w:fill="ffffff"/>
        </w:rPr>
        <w:t xml:space="preserve">4.本项目为专门面向中小企业采购的服务类项目，项目经理及拟投项目人员应当是具备《劳动合同》的或者供应商承诺中标后聘请签订《劳动合同》的服务人员参与本项目，请按要求提供证明材料，否则视为无效投标。</w:t>
      </w:r>
      <w:bookmarkEnd w:id="12"/>
      <w:r/>
      <w:r/>
    </w:p>
    <w:p>
      <w:pPr>
        <w:pStyle w:val="77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（四）拒绝下述供应商参加本次采购活动：</w:t>
      </w:r>
      <w:r/>
    </w:p>
    <w:p>
      <w:pPr>
        <w:pStyle w:val="77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1、供应商单位负责人为同一人或者存在直接控股、管理关系的不同供应商，不得参加同一合同项下的政府采购活动。</w:t>
      </w:r>
      <w:r/>
    </w:p>
    <w:p>
      <w:pPr>
        <w:pStyle w:val="77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2、凡为采购项目提供整体设计、规范编制或者项目管理、监理、检测等服务的供应商，不得再参加本项目的采购活动。</w:t>
      </w:r>
      <w:r/>
    </w:p>
    <w:p>
      <w:pPr>
        <w:pStyle w:val="77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3、法人的分支机构不得参加响应活动（除银行、保险、石油石化、电力、电信等行业特殊情况外）。</w:t>
      </w:r>
      <w:r/>
    </w:p>
    <w:p>
      <w:pPr>
        <w:pStyle w:val="77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bookmarkEnd w:id="13"/>
      <w:r/>
      <w:r/>
    </w:p>
    <w:p>
      <w:pPr>
        <w:pStyle w:val="694"/>
        <w:keepLines w:val="0"/>
        <w:keepNext w:val="0"/>
        <w:spacing w:before="0" w:after="0" w:line="360" w:lineRule="auto"/>
        <w:rPr>
          <w:rFonts w:ascii="仿宋" w:hAnsi="仿宋" w:eastAsia="仿宋" w:cs="仿宋"/>
          <w:color w:val="auto"/>
          <w:sz w:val="24"/>
          <w:szCs w:val="24"/>
          <w:highlight w:val="none"/>
          <w:lang w:eastAsia="zh-CN"/>
        </w:rPr>
      </w:pPr>
      <w:r>
        <w:rPr>
          <w:rStyle w:val="782"/>
          <w:rFonts w:hint="eastAsia" w:ascii="仿宋" w:hAnsi="仿宋" w:eastAsia="仿宋" w:cs="仿宋"/>
          <w:color w:val="auto"/>
          <w:sz w:val="24"/>
          <w:szCs w:val="24"/>
          <w:highlight w:val="none"/>
          <w:shd w:val="clear" w:color="auto" w:fill="ffffff"/>
          <w:lang w:eastAsia="zh-CN"/>
        </w:rPr>
        <w:t xml:space="preserve">三、获取招标文件</w:t>
      </w:r>
      <w:r/>
    </w:p>
    <w:p>
      <w:pPr>
        <w:pStyle w:val="77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时间：自招标文件公告发布之日起5个工作日</w:t>
      </w:r>
      <w:r/>
    </w:p>
    <w:p>
      <w:pPr>
        <w:pStyle w:val="77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地点：“苏采云”系统（网址：http://jszfcg.jsczt.cn/）自行下载 </w:t>
      </w:r>
      <w:r/>
    </w:p>
    <w:p>
      <w:pPr>
        <w:pStyle w:val="77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方式：自行下载 </w:t>
      </w:r>
      <w:r/>
    </w:p>
    <w:p>
      <w:pPr>
        <w:pStyle w:val="77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售价：0.00元 </w:t>
      </w:r>
      <w:r/>
    </w:p>
    <w:p>
      <w:pPr>
        <w:pStyle w:val="694"/>
        <w:keepLines w:val="0"/>
        <w:keepNext w:val="0"/>
        <w:spacing w:before="0" w:after="0" w:line="360" w:lineRule="auto"/>
        <w:rPr>
          <w:rFonts w:ascii="仿宋" w:hAnsi="仿宋" w:eastAsia="仿宋" w:cs="仿宋"/>
          <w:color w:val="auto"/>
          <w:sz w:val="24"/>
          <w:szCs w:val="24"/>
          <w:highlight w:val="none"/>
          <w:lang w:eastAsia="zh-CN"/>
        </w:rPr>
      </w:pPr>
      <w:r>
        <w:rPr>
          <w:rStyle w:val="782"/>
          <w:rFonts w:hint="eastAsia" w:ascii="仿宋" w:hAnsi="仿宋" w:eastAsia="仿宋" w:cs="仿宋"/>
          <w:color w:val="auto"/>
          <w:sz w:val="24"/>
          <w:szCs w:val="24"/>
          <w:highlight w:val="none"/>
          <w:shd w:val="clear" w:color="auto" w:fill="ffffff"/>
          <w:lang w:eastAsia="zh-CN"/>
        </w:rPr>
        <w:t xml:space="preserve">四、提交投标文件截止时间、开标时间和地点</w:t>
      </w:r>
      <w:r/>
    </w:p>
    <w:p>
      <w:pPr>
        <w:pStyle w:val="77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lang w:eastAsia="zh-CN"/>
        </w:rPr>
        <w:t xml:space="preserve">2026-9-2</w:t>
      </w:r>
      <w:r>
        <w:rPr>
          <w:rFonts w:hint="eastAsia" w:ascii="仿宋" w:hAnsi="仿宋" w:eastAsia="仿宋" w:cs="仿宋"/>
          <w:color w:val="auto"/>
          <w:szCs w:val="24"/>
          <w:highlight w:val="none"/>
          <w:shd w:val="clear" w:color="auto" w:fill="ffffff"/>
        </w:rPr>
        <w:t xml:space="preserve"> 09:30 （北京时间）</w:t>
      </w:r>
      <w:r/>
    </w:p>
    <w:p>
      <w:pPr>
        <w:pStyle w:val="77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地点：苏采云系统 </w:t>
      </w:r>
      <w:r/>
    </w:p>
    <w:p>
      <w:pPr>
        <w:pStyle w:val="694"/>
        <w:keepLines w:val="0"/>
        <w:keepNext w:val="0"/>
        <w:spacing w:before="0" w:after="0" w:line="360" w:lineRule="auto"/>
        <w:shd w:val="clear" w:color="auto" w:fill="ffffff"/>
        <w:rPr>
          <w:rFonts w:ascii="仿宋" w:hAnsi="仿宋" w:eastAsia="仿宋" w:cs="仿宋"/>
          <w:color w:val="auto"/>
          <w:sz w:val="24"/>
          <w:szCs w:val="24"/>
          <w:highlight w:val="none"/>
          <w:lang w:eastAsia="zh-CN"/>
        </w:rPr>
      </w:pPr>
      <w:r>
        <w:rPr>
          <w:rStyle w:val="782"/>
          <w:rFonts w:hint="eastAsia" w:ascii="仿宋" w:hAnsi="仿宋" w:eastAsia="仿宋" w:cs="仿宋"/>
          <w:color w:val="auto"/>
          <w:sz w:val="24"/>
          <w:szCs w:val="24"/>
          <w:highlight w:val="none"/>
          <w:shd w:val="clear" w:color="auto" w:fill="ffffff"/>
          <w:lang w:eastAsia="zh-CN"/>
        </w:rPr>
        <w:t xml:space="preserve">五、公告期限</w:t>
      </w:r>
      <w:r/>
    </w:p>
    <w:p>
      <w:pPr>
        <w:pStyle w:val="774"/>
        <w:spacing w:beforeAutospacing="0" w:afterAutospacing="0" w:line="360" w:lineRule="auto"/>
        <w:shd w:val="clear" w:color="auto" w:fill="ffffff"/>
        <w:rPr>
          <w:rFonts w:ascii="仿宋" w:hAnsi="仿宋" w:eastAsia="仿宋" w:cs="仿宋"/>
          <w:color w:val="auto"/>
          <w:szCs w:val="24"/>
          <w:highlight w:val="none"/>
        </w:rPr>
      </w:pPr>
      <w:r>
        <w:rPr>
          <w:rFonts w:hint="eastAsia" w:ascii="仿宋" w:hAnsi="仿宋" w:eastAsia="仿宋" w:cs="仿宋"/>
          <w:color w:val="auto"/>
          <w:szCs w:val="24"/>
          <w:highlight w:val="none"/>
          <w:shd w:val="clear" w:color="auto" w:fill="ffffff"/>
        </w:rPr>
        <w:t xml:space="preserve">自本公告发布之日起5个工作日。</w:t>
      </w:r>
      <w:r/>
    </w:p>
    <w:p>
      <w:pPr>
        <w:pStyle w:val="694"/>
        <w:keepLines w:val="0"/>
        <w:keepNext w:val="0"/>
        <w:spacing w:before="0" w:after="0" w:line="360" w:lineRule="auto"/>
        <w:rPr>
          <w:rFonts w:ascii="仿宋" w:hAnsi="仿宋" w:eastAsia="仿宋" w:cs="仿宋"/>
          <w:color w:val="auto"/>
          <w:sz w:val="24"/>
          <w:szCs w:val="24"/>
          <w:highlight w:val="none"/>
          <w:lang w:eastAsia="zh-CN"/>
        </w:rPr>
      </w:pPr>
      <w:r>
        <w:rPr>
          <w:rStyle w:val="782"/>
          <w:rFonts w:hint="eastAsia" w:ascii="仿宋" w:hAnsi="仿宋" w:eastAsia="仿宋" w:cs="仿宋"/>
          <w:color w:val="auto"/>
          <w:sz w:val="24"/>
          <w:szCs w:val="24"/>
          <w:highlight w:val="none"/>
          <w:shd w:val="clear" w:color="auto" w:fill="ffffff"/>
          <w:lang w:eastAsia="zh-CN"/>
        </w:rPr>
        <w:t xml:space="preserve">六、其他补充事宜</w:t>
      </w:r>
      <w:r/>
    </w:p>
    <w:p>
      <w:pPr>
        <w:spacing w:after="0" w:line="360" w:lineRule="auto"/>
        <w:rPr>
          <w:rFonts w:ascii="仿宋" w:hAnsi="仿宋" w:eastAsia="仿宋" w:cs="仿宋"/>
          <w:color w:val="auto"/>
          <w:sz w:val="24"/>
          <w:szCs w:val="24"/>
          <w:highlight w:val="none"/>
          <w:lang w:eastAsia="zh-CN"/>
        </w:rPr>
      </w:pPr>
      <w:r/>
      <w:bookmarkStart w:id="14" w:name="OLE_LINK46"/>
      <w:r>
        <w:rPr>
          <w:rFonts w:hint="eastAsia" w:ascii="仿宋" w:hAnsi="仿宋" w:eastAsia="仿宋" w:cs="仿宋"/>
          <w:color w:val="auto"/>
          <w:sz w:val="24"/>
          <w:szCs w:val="24"/>
          <w:highlight w:val="none"/>
          <w:lang w:eastAsia="zh-CN"/>
        </w:rPr>
        <w:t xml:space="preserve">1、本项目需要使用CA数字证书制作、上传电子投标文件完成电子投标，请供应商在参加投标活动前办理好CA数字证书申领及电子签章等操作。</w:t>
      </w:r>
      <w:r/>
    </w:p>
    <w:p>
      <w:pPr>
        <w:spacing w:after="0" w:line="360" w:lineRule="auto"/>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after="0" w:line="360" w:lineRule="auto"/>
        <w:rPr>
          <w:rFonts w:ascii="仿宋" w:hAnsi="仿宋" w:eastAsia="仿宋" w:cs="仿宋"/>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3、本项目采用不见面开标，投标人开标时无需到开标现场进行解密，采取网上开标大厅解密电子投标文件，投标人远程解密要求如下：</w:t>
      </w:r>
      <w:r/>
    </w:p>
    <w:p>
      <w:pPr>
        <w:spacing w:after="0"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1）投标人使用CA数字证书进行远程解密，解密的CA数字证书与生成加密电子投标文件时的CA数字证书需为同一个CA数字证书，否则无法解密，造成的后果由投标人自行负责。</w:t>
      </w:r>
      <w:r/>
    </w:p>
    <w:p>
      <w:pPr>
        <w:spacing w:after="0"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2）投标人登录苏采云系统，点击开标大厅，选择开标项目，完成不见面开标流程。</w:t>
      </w:r>
      <w:r/>
    </w:p>
    <w:p>
      <w:pPr>
        <w:spacing w:after="0"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3）投标截止时间后根据系统提示解密电子投标文件。</w:t>
      </w:r>
      <w:r>
        <w:rPr>
          <w:rFonts w:hint="eastAsia" w:ascii="仿宋" w:hAnsi="仿宋" w:eastAsia="仿宋" w:cs="仿宋"/>
          <w:b/>
          <w:color w:val="auto"/>
          <w:sz w:val="24"/>
          <w:szCs w:val="24"/>
          <w:highlight w:val="none"/>
          <w:lang w:eastAsia="zh-CN"/>
        </w:rPr>
        <w:t xml:space="preserve">解密时间为15分钟，</w:t>
      </w:r>
      <w:r>
        <w:rPr>
          <w:rFonts w:hint="eastAsia" w:ascii="仿宋" w:hAnsi="仿宋" w:eastAsia="仿宋" w:cs="仿宋"/>
          <w:color w:val="auto"/>
          <w:sz w:val="24"/>
          <w:szCs w:val="24"/>
          <w:highlight w:val="none"/>
          <w:lang w:eastAsia="zh-CN"/>
        </w:rPr>
        <w:t xml:space="preserve">未在规定时间内完成解密，其投标文件将被拒绝，不参与后续投标流程。</w:t>
      </w:r>
      <w:r/>
    </w:p>
    <w:p>
      <w:pPr>
        <w:spacing w:after="0"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spacing w:after="0"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w:t>
      </w:r>
      <w:r>
        <w:rPr>
          <w:rFonts w:hint="eastAsia" w:ascii="仿宋" w:hAnsi="仿宋" w:eastAsia="仿宋" w:cs="仿宋"/>
          <w:b/>
          <w:color w:val="auto"/>
          <w:sz w:val="24"/>
          <w:szCs w:val="24"/>
          <w:highlight w:val="none"/>
          <w:lang w:eastAsia="zh-CN"/>
        </w:rPr>
        <w:t xml:space="preserve">有关苏采云系统驱动安装，</w:t>
      </w:r>
      <w:r>
        <w:rPr>
          <w:rFonts w:hint="eastAsia" w:ascii="仿宋" w:hAnsi="仿宋" w:eastAsia="仿宋" w:cs="仿宋"/>
          <w:color w:val="auto"/>
          <w:sz w:val="24"/>
          <w:szCs w:val="24"/>
          <w:highlight w:val="none"/>
          <w:lang w:eastAsia="zh-CN"/>
        </w:rPr>
        <w:t xml:space="preserve">登录苏州政府采购网，点击页面底部苏采云图标，进入苏采云政府采购一体化平台，点击“驱动下载”，下载</w:t>
      </w:r>
      <w:r>
        <w:rPr>
          <w:rFonts w:hint="eastAsia" w:ascii="仿宋" w:hAnsi="仿宋" w:eastAsia="仿宋" w:cs="仿宋"/>
          <w:b/>
          <w:color w:val="auto"/>
          <w:sz w:val="24"/>
          <w:szCs w:val="24"/>
          <w:highlight w:val="none"/>
          <w:lang w:eastAsia="zh-CN"/>
        </w:rPr>
        <w:t xml:space="preserve">“政务CA、方正签章控件驱动安装包及安装说明”</w:t>
      </w:r>
      <w:r>
        <w:rPr>
          <w:rFonts w:hint="eastAsia" w:ascii="仿宋" w:hAnsi="仿宋" w:eastAsia="仿宋" w:cs="仿宋"/>
          <w:color w:val="auto"/>
          <w:sz w:val="24"/>
          <w:szCs w:val="24"/>
          <w:highlight w:val="none"/>
          <w:lang w:eastAsia="zh-CN"/>
        </w:rPr>
        <w:t xml:space="preserve">文件，按要求安装驱动。</w:t>
      </w:r>
      <w:r/>
    </w:p>
    <w:p>
      <w:pPr>
        <w:spacing w:after="0"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b/>
          <w:color w:val="auto"/>
          <w:sz w:val="24"/>
          <w:szCs w:val="24"/>
          <w:highlight w:val="none"/>
          <w:lang w:eastAsia="zh-CN"/>
        </w:rPr>
        <w:t xml:space="preserve">有关供应商注册、报名、下载电子招标文件、制作上传电子投标文件</w:t>
      </w:r>
      <w:r>
        <w:rPr>
          <w:rFonts w:hint="eastAsia" w:ascii="仿宋" w:hAnsi="仿宋" w:eastAsia="仿宋" w:cs="仿宋"/>
          <w:color w:val="auto"/>
          <w:sz w:val="24"/>
          <w:szCs w:val="24"/>
          <w:highlight w:val="none"/>
          <w:lang w:eastAsia="zh-CN"/>
        </w:rPr>
        <w:t xml:space="preserve">、不见面开标及其他注意事项登录苏州政府采购网，在“下载中心”栏目下载“</w:t>
      </w:r>
      <w:r>
        <w:rPr>
          <w:rFonts w:hint="eastAsia" w:ascii="仿宋" w:hAnsi="仿宋" w:eastAsia="仿宋" w:cs="仿宋"/>
          <w:b/>
          <w:color w:val="auto"/>
          <w:sz w:val="24"/>
          <w:szCs w:val="24"/>
          <w:highlight w:val="none"/>
          <w:lang w:eastAsia="zh-CN"/>
        </w:rPr>
        <w:t xml:space="preserve">苏采云系统供应商操作</w:t>
      </w:r>
      <w:r>
        <w:rPr>
          <w:rFonts w:hint="eastAsia" w:ascii="仿宋" w:hAnsi="仿宋" w:eastAsia="仿宋" w:cs="仿宋"/>
          <w:b/>
          <w:bCs/>
          <w:color w:val="auto"/>
          <w:sz w:val="24"/>
          <w:szCs w:val="24"/>
          <w:highlight w:val="none"/>
          <w:lang w:eastAsia="zh-CN"/>
        </w:rPr>
        <w:t xml:space="preserve">手册</w:t>
      </w:r>
      <w:r>
        <w:rPr>
          <w:rFonts w:hint="eastAsia" w:ascii="仿宋" w:hAnsi="仿宋" w:eastAsia="仿宋" w:cs="仿宋"/>
          <w:color w:val="auto"/>
          <w:sz w:val="24"/>
          <w:szCs w:val="24"/>
          <w:highlight w:val="none"/>
          <w:lang w:eastAsia="zh-CN"/>
        </w:rPr>
        <w:t xml:space="preserve">”查阅。</w:t>
      </w:r>
      <w:r/>
    </w:p>
    <w:p>
      <w:pPr>
        <w:spacing w:after="0"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6、有关办理CA数字申领及电子签章事项，登录苏州政府采购网，点击页面底部苏采云图标，进入苏采云政府采购一体化平台，下载“新CA办理指南”文件查阅。</w:t>
      </w:r>
      <w:r/>
    </w:p>
    <w:p>
      <w:pPr>
        <w:spacing w:after="0"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7、有关电子投标制作技术疑问，请咨询苏采云软件公司客服：18261002950、0512-69820854、0519-86722802</w:t>
      </w:r>
      <w:r/>
    </w:p>
    <w:p>
      <w:pPr>
        <w:spacing w:after="0"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8、政府采购监督电话：0512-53512539</w:t>
      </w:r>
      <w:r/>
    </w:p>
    <w:p>
      <w:pPr>
        <w:spacing w:after="0"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9、本次招标投标保证金：本项目无须缴纳投标保证金。</w:t>
      </w:r>
      <w:r/>
    </w:p>
    <w:p>
      <w:pPr>
        <w:spacing w:after="0"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10、政府采购信用融资政策：中标供应商可凭政府采购合同办理融资贷款，详情请见江苏政府采购网“政采贷”专栏。</w:t>
      </w:r>
      <w:r>
        <w:rPr>
          <w:rFonts w:hint="eastAsia" w:ascii="仿宋" w:hAnsi="仿宋" w:eastAsia="仿宋" w:cs="仿宋"/>
          <w:color w:val="auto"/>
          <w:sz w:val="24"/>
          <w:szCs w:val="24"/>
          <w:highlight w:val="none"/>
          <w:lang w:eastAsia="zh-CN"/>
        </w:rPr>
        <w:br/>
      </w:r>
      <w:r>
        <w:rPr>
          <w:rFonts w:hint="eastAsia" w:ascii="仿宋" w:hAnsi="仿宋" w:eastAsia="仿宋" w:cs="仿宋"/>
          <w:color w:val="auto"/>
          <w:sz w:val="24"/>
          <w:szCs w:val="24"/>
          <w:highlight w:val="none"/>
          <w:lang w:eastAsia="zh-CN"/>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bookmarkEnd w:id="14"/>
      <w:r/>
      <w:r/>
    </w:p>
    <w:p>
      <w:pPr>
        <w:pStyle w:val="694"/>
        <w:keepLines w:val="0"/>
        <w:keepNext w:val="0"/>
        <w:spacing w:before="0" w:after="0" w:line="360" w:lineRule="auto"/>
        <w:rPr>
          <w:rFonts w:ascii="仿宋" w:hAnsi="仿宋" w:eastAsia="仿宋" w:cs="仿宋"/>
          <w:color w:val="auto"/>
          <w:sz w:val="24"/>
          <w:szCs w:val="24"/>
          <w:highlight w:val="none"/>
          <w:lang w:eastAsia="zh-CN"/>
        </w:rPr>
      </w:pPr>
      <w:r>
        <w:rPr>
          <w:rStyle w:val="782"/>
          <w:rFonts w:hint="eastAsia" w:ascii="仿宋" w:hAnsi="仿宋" w:eastAsia="仿宋" w:cs="仿宋"/>
          <w:color w:val="auto"/>
          <w:sz w:val="24"/>
          <w:szCs w:val="24"/>
          <w:highlight w:val="none"/>
          <w:shd w:val="clear" w:color="auto" w:fill="ffffff"/>
          <w:lang w:eastAsia="zh-CN"/>
        </w:rPr>
        <w:t xml:space="preserve">七、对本次招标提出询问，请按以下方式联系</w:t>
      </w:r>
      <w:r/>
    </w:p>
    <w:p>
      <w:pPr>
        <w:pStyle w:val="774"/>
        <w:spacing w:beforeAutospacing="0" w:afterAutospacing="0" w:line="360" w:lineRule="auto"/>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1.采购人信息 </w:t>
      </w:r>
      <w:r/>
    </w:p>
    <w:p>
      <w:pPr>
        <w:pStyle w:val="774"/>
        <w:spacing w:beforeAutospacing="0" w:afterAutospacing="0" w:line="360" w:lineRule="auto"/>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单位名称：太仓市浏河人民医院</w:t>
      </w:r>
      <w:r/>
    </w:p>
    <w:p>
      <w:pPr>
        <w:pStyle w:val="774"/>
        <w:spacing w:beforeAutospacing="0" w:afterAutospacing="0" w:line="360" w:lineRule="auto"/>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单位地址:太仓市上海东路1066号</w:t>
      </w:r>
      <w:r/>
    </w:p>
    <w:p>
      <w:pPr>
        <w:pStyle w:val="774"/>
        <w:spacing w:beforeAutospacing="0" w:afterAutospacing="0" w:line="360" w:lineRule="auto"/>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联系人：蒋有军</w:t>
      </w:r>
      <w:r/>
    </w:p>
    <w:p>
      <w:pPr>
        <w:pStyle w:val="774"/>
        <w:spacing w:beforeAutospacing="0" w:afterAutospacing="0" w:line="360" w:lineRule="auto"/>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联系电话：0512-80600886</w:t>
      </w:r>
      <w:r/>
    </w:p>
    <w:p>
      <w:pPr>
        <w:pStyle w:val="774"/>
        <w:spacing w:beforeAutospacing="0" w:afterAutospacing="0" w:line="360" w:lineRule="auto"/>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 2.采购代理机构信息（如有）</w:t>
      </w:r>
      <w:r/>
    </w:p>
    <w:p>
      <w:pPr>
        <w:pStyle w:val="774"/>
        <w:spacing w:beforeAutospacing="0" w:afterAutospacing="0" w:line="360" w:lineRule="auto"/>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单位名称：苏州市公共资源交易中心太仓分中心</w:t>
      </w:r>
      <w:r/>
    </w:p>
    <w:p>
      <w:pPr>
        <w:pStyle w:val="774"/>
        <w:spacing w:beforeAutospacing="0" w:afterAutospacing="0" w:line="360" w:lineRule="auto"/>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单位地址：太仓市县府东街99号政务服务中心</w:t>
      </w:r>
      <w:r/>
    </w:p>
    <w:p>
      <w:pPr>
        <w:pStyle w:val="774"/>
        <w:spacing w:beforeAutospacing="0" w:afterAutospacing="0" w:line="360" w:lineRule="auto"/>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联系人：周萌</w:t>
      </w:r>
      <w:r/>
    </w:p>
    <w:p>
      <w:pPr>
        <w:pStyle w:val="774"/>
        <w:spacing w:beforeAutospacing="0" w:afterAutospacing="0" w:line="360" w:lineRule="auto"/>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联系电话：0512-53890581</w:t>
      </w:r>
      <w:r/>
    </w:p>
    <w:p>
      <w:pPr>
        <w:pStyle w:val="774"/>
        <w:spacing w:beforeAutospacing="0" w:afterAutospacing="0" w:line="360" w:lineRule="auto"/>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3.项目联系方式</w:t>
      </w:r>
      <w:r/>
    </w:p>
    <w:p>
      <w:pPr>
        <w:pStyle w:val="77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项目联系人：周萌</w:t>
      </w:r>
      <w:r/>
    </w:p>
    <w:p>
      <w:pPr>
        <w:pStyle w:val="774"/>
        <w:spacing w:beforeAutospacing="0" w:afterAutospacing="0" w:line="360" w:lineRule="auto"/>
        <w:rPr>
          <w:rFonts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 xml:space="preserve">电话：0512-53890581</w:t>
      </w:r>
      <w:r/>
    </w:p>
    <w:p>
      <w:pPr>
        <w:pStyle w:val="774"/>
        <w:spacing w:beforeAutospacing="0" w:afterAutospacing="0" w:line="480" w:lineRule="atLeast"/>
        <w:rPr>
          <w:rFonts w:cs="仿宋" w:asciiTheme="minorEastAsia" w:hAnsiTheme="minorEastAsia" w:eastAsiaTheme="minorEastAsia"/>
          <w:color w:val="auto"/>
          <w:szCs w:val="24"/>
          <w:highlight w:val="none"/>
          <w:shd w:val="clear" w:color="auto" w:fill="ffffff"/>
        </w:rPr>
      </w:pPr>
      <w:r>
        <w:rPr>
          <w:rFonts w:cs="仿宋" w:asciiTheme="minorEastAsia" w:hAnsiTheme="minorEastAsia" w:eastAsiaTheme="minorEastAsia"/>
          <w:color w:val="auto"/>
          <w:szCs w:val="24"/>
          <w:highlight w:val="none"/>
          <w:shd w:val="clear" w:color="auto" w:fill="ffffff"/>
        </w:rPr>
      </w:r>
      <w:r/>
    </w:p>
    <w:p>
      <w:pPr>
        <w:pStyle w:val="774"/>
        <w:spacing w:beforeAutospacing="0" w:afterAutospacing="0" w:line="480" w:lineRule="atLeast"/>
        <w:rPr>
          <w:rFonts w:cs="仿宋" w:asciiTheme="minorEastAsia" w:hAnsiTheme="minorEastAsia" w:eastAsiaTheme="minorEastAsia"/>
          <w:color w:val="auto"/>
          <w:szCs w:val="24"/>
          <w:highlight w:val="none"/>
          <w:shd w:val="clear" w:color="auto" w:fill="ffffff"/>
        </w:rPr>
      </w:pPr>
      <w:r>
        <w:rPr>
          <w:rFonts w:cs="仿宋" w:asciiTheme="minorEastAsia" w:hAnsiTheme="minorEastAsia" w:eastAsiaTheme="minorEastAsia"/>
          <w:color w:val="auto"/>
          <w:szCs w:val="24"/>
          <w:highlight w:val="none"/>
          <w:shd w:val="clear" w:color="auto" w:fill="ffffff"/>
        </w:rPr>
      </w:r>
      <w:r/>
    </w:p>
    <w:p>
      <w:pPr>
        <w:pStyle w:val="774"/>
        <w:spacing w:beforeAutospacing="0" w:afterAutospacing="0" w:line="480" w:lineRule="atLeast"/>
        <w:rPr>
          <w:rFonts w:cs="仿宋" w:asciiTheme="minorEastAsia" w:hAnsiTheme="minorEastAsia" w:eastAsiaTheme="minorEastAsia"/>
          <w:color w:val="auto"/>
          <w:szCs w:val="24"/>
          <w:highlight w:val="none"/>
          <w:shd w:val="clear" w:color="auto" w:fill="ffffff"/>
        </w:rPr>
      </w:pPr>
      <w:r>
        <w:rPr>
          <w:rFonts w:cs="仿宋" w:asciiTheme="minorEastAsia" w:hAnsiTheme="minorEastAsia" w:eastAsiaTheme="minorEastAsia"/>
          <w:color w:val="auto"/>
          <w:szCs w:val="24"/>
          <w:highlight w:val="none"/>
          <w:shd w:val="clear" w:color="auto" w:fill="ffffff"/>
        </w:rPr>
      </w:r>
      <w:r/>
    </w:p>
    <w:p>
      <w:pPr>
        <w:jc w:val="center"/>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44"/>
          <w:highlight w:val="none"/>
          <w:lang w:eastAsia="zh-CN"/>
        </w:rPr>
      </w:r>
      <w:r/>
    </w:p>
    <w:p>
      <w:pPr>
        <w:jc w:val="center"/>
        <w:spacing w:after="0" w:line="312"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44"/>
          <w:highlight w:val="none"/>
          <w:lang w:eastAsia="zh-CN"/>
        </w:rPr>
      </w:r>
      <w:r/>
    </w:p>
    <w:p>
      <w:pPr>
        <w:jc w:val="center"/>
        <w:spacing w:after="0" w:line="312"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44"/>
          <w:highlight w:val="none"/>
          <w:lang w:eastAsia="zh-CN"/>
        </w:rPr>
      </w:r>
      <w:r>
        <w:rPr>
          <w:rFonts w:cs="宋体" w:asciiTheme="minorEastAsia" w:hAnsiTheme="minorEastAsia" w:eastAsiaTheme="minorEastAsia"/>
          <w:b/>
          <w:color w:val="auto"/>
          <w:sz w:val="44"/>
          <w:highlight w:val="none"/>
          <w:lang w:eastAsia="zh-CN"/>
        </w:rPr>
      </w:r>
      <w:r/>
    </w:p>
    <w:p>
      <w:pPr>
        <w:jc w:val="center"/>
        <w:spacing w:after="0" w:line="312" w:lineRule="atLeast"/>
        <w:rPr>
          <w:rFonts w:cs="宋体" w:asciiTheme="minorEastAsia" w:hAnsiTheme="minorEastAsia" w:eastAsiaTheme="minorEastAsia"/>
          <w:b/>
          <w:bCs/>
          <w:color w:val="auto"/>
          <w:sz w:val="44"/>
          <w:szCs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44"/>
          <w:highlight w:val="none"/>
          <w:lang w:eastAsia="zh-CN"/>
        </w:rPr>
      </w:r>
      <w:r>
        <w:rPr>
          <w:rFonts w:cs="宋体" w:asciiTheme="minorEastAsia" w:hAnsiTheme="minorEastAsia" w:eastAsiaTheme="minorEastAsia"/>
          <w:b/>
          <w:color w:val="auto"/>
          <w:sz w:val="44"/>
          <w:highlight w:val="none"/>
          <w:lang w:eastAsia="zh-CN"/>
        </w:rPr>
      </w:r>
      <w:r/>
    </w:p>
    <w:p>
      <w:pPr>
        <w:jc w:val="center"/>
        <w:spacing w:after="0" w:line="312" w:lineRule="atLeast"/>
        <w:rPr>
          <w:rFonts w:cs="宋体" w:asciiTheme="minorEastAsia" w:hAnsiTheme="minorEastAsia" w:eastAsiaTheme="minorEastAsia"/>
          <w:b/>
          <w:bCs/>
          <w:color w:val="auto"/>
          <w:sz w:val="44"/>
          <w:szCs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44"/>
          <w:highlight w:val="none"/>
          <w:lang w:eastAsia="zh-CN"/>
        </w:rPr>
      </w:r>
      <w:r>
        <w:rPr>
          <w:rFonts w:cs="宋体" w:asciiTheme="minorEastAsia" w:hAnsiTheme="minorEastAsia" w:eastAsiaTheme="minorEastAsia"/>
          <w:b/>
          <w:color w:val="auto"/>
          <w:sz w:val="44"/>
          <w:highlight w:val="none"/>
          <w:lang w:eastAsia="zh-CN"/>
        </w:rPr>
      </w:r>
      <w:r/>
    </w:p>
    <w:p>
      <w:pPr>
        <w:jc w:val="center"/>
        <w:spacing w:after="0" w:line="312" w:lineRule="atLeast"/>
        <w:rPr>
          <w:rFonts w:cs="宋体" w:asciiTheme="minorEastAsia" w:hAnsiTheme="minorEastAsia" w:eastAsiaTheme="minorEastAsia"/>
          <w:b/>
          <w:bCs/>
          <w:color w:val="auto"/>
          <w:sz w:val="44"/>
          <w:szCs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44"/>
          <w:highlight w:val="none"/>
          <w:lang w:eastAsia="zh-CN"/>
        </w:rPr>
        <w:t xml:space="preserve">第二部分  投标人须知</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4"/>
          <w:highlight w:val="none"/>
          <w:lang w:eastAsia="zh-CN"/>
        </w:rPr>
        <w:t xml:space="preserve">一、说明和释义</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b/>
          <w:color w:val="auto"/>
          <w:sz w:val="24"/>
          <w:highlight w:val="none"/>
          <w:lang w:eastAsia="zh-CN"/>
        </w:rPr>
        <w:t xml:space="preserve">1. 说明</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1.1本招标文件仅适用于苏州市公共资源交易中心太仓分中心组织的招标活动。</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1.2本次招标活动及因本次招标产生的合同受中国法律制约和保护。</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1.3本招标文件的解释权属于苏州市公共资源交易中心太仓分中心。</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2"/>
      </w:pPr>
      <w:r>
        <w:rPr>
          <w:rFonts w:cs="宋体" w:asciiTheme="minorEastAsia" w:hAnsiTheme="minorEastAsia" w:eastAsiaTheme="minorEastAsia"/>
          <w:b/>
          <w:color w:val="auto"/>
          <w:sz w:val="24"/>
          <w:highlight w:val="none"/>
          <w:lang w:eastAsia="zh-CN"/>
        </w:rPr>
        <w:t xml:space="preserve">2. 词语释义</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2.1采购代理机构：具体组织实施招标活动的法人。本项目采购代理机构是苏州市公共资源交易中心太仓分中心。</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2.2投标人：经认定有资格响应招标，参加投标竞争的法人或其他组织和自然人。</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2.3响应：投标人根据采购人或采购代理机构发布的招标文件，编制投标文件并按规定投标的行为。</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2.4合同：采供双方根据招标文件和中标的投标文件及中标通知书规定的内容签署的以书面形式所达成的协议，包括所有的附件、附录和构成协议的所有文件。</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2.5甲方（采购方）：合同中明确规定的实际购买货物和服务的法人或其他组织和自然人（采购人）</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2.6乙方（供应商）：合同中规定的向采购方提供货物和服务的法人或其他组织和自然人（中标人）</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2.7货物：系指乙方按招标采购文件规定，应向甲方提供的一切设备、备品、备件、工具、手册及其它有关技术资料和材料。</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2.9知识产权：指专利权、商标权、著作权等无形财产专有权的统称。</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2.10天：日历日。</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2.11交货地点：合同中明确约定的乙方提交的货物和服务最终到达地点。</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2.12 合同价款：根据合同规定，乙方在正确地履行合同义务后甲方应支付乙方的价款。</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2.13 产地：货物开采、生长、生产、最终制造、加工或提供服务的来源地。</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2.14不可抗力：不能预见、不能避免并且不能克服的客观情况。</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2.15 实质性响应：满足有关本次采购标的、数量、质量、价款或者报酬、履行期限、履行地点和方式、违约责任和解决争议方法等要求。</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2.17进口产品：指通过中国海关报关验收进入中国境内且产自境外的产品。</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2.18书面形式：指书面文字、合同书、信件和传真等可以有形地表现所载内容的形式。</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4"/>
          <w:highlight w:val="none"/>
          <w:lang w:eastAsia="zh-CN"/>
        </w:rPr>
        <w:t xml:space="preserve">二、 投标人</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 合格投标人的基本条件</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3.1符合《中华人民共和国政府采购法》第二十二条第一款之规定；</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3.2满足本文件实质性条款的规定。</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4．合格投标人的特定条件</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3.1 按招标公告规定。</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5. 投标人代表</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5.1指全权代表投标人参加投标活动并签署投标文件的人，如果投标人代表不是法人代表，须持有《法人代表授权委托书》（详见统一格式）。</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6. </w:t>
      </w:r>
      <w:r>
        <w:rPr>
          <w:rFonts w:ascii="宋体" w:hAnsi="宋体" w:eastAsia="宋体" w:cs="宋体"/>
          <w:b/>
          <w:color w:val="auto"/>
          <w:sz w:val="24"/>
          <w:highlight w:val="none"/>
          <w:lang w:eastAsia="zh-CN"/>
        </w:rPr>
        <w:t xml:space="preserve">联合投标及转包、分包</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6.1 </w:t>
      </w:r>
      <w:r>
        <w:rPr>
          <w:rFonts w:hint="eastAsia" w:cs="宋体" w:asciiTheme="minorEastAsia" w:hAnsiTheme="minorEastAsia" w:eastAsiaTheme="minorEastAsia"/>
          <w:color w:val="auto"/>
          <w:sz w:val="24"/>
          <w:highlight w:val="none"/>
          <w:lang w:eastAsia="zh-CN"/>
        </w:rPr>
        <w:t xml:space="preserve">本项目不接受联合体投标。</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6.2</w:t>
      </w:r>
      <w:r>
        <w:rPr>
          <w:rFonts w:hint="eastAsia" w:cs="宋体" w:asciiTheme="minorEastAsia" w:hAnsiTheme="minorEastAsia" w:eastAsiaTheme="minorEastAsia"/>
          <w:color w:val="auto"/>
          <w:sz w:val="24"/>
          <w:highlight w:val="none"/>
          <w:lang w:eastAsia="zh-CN"/>
        </w:rPr>
        <w:t xml:space="preserve">本项目不接受转包。</w:t>
      </w:r>
      <w:r/>
    </w:p>
    <w:p>
      <w:pPr>
        <w:ind w:firstLine="360"/>
        <w:jc w:val="both"/>
        <w:spacing w:after="0" w:line="439" w:lineRule="atLeast"/>
        <w:rPr>
          <w:rFonts w:cs="宋体" w:asciiTheme="minorEastAsia" w:hAnsiTheme="minorEastAsia" w:eastAsiaTheme="minorEastAsia"/>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auto"/>
          <w:sz w:val="24"/>
          <w:highlight w:val="none"/>
          <w:lang w:eastAsia="zh-CN"/>
        </w:rPr>
        <w:t xml:space="preserve">6.3 </w:t>
      </w:r>
      <w:r>
        <w:rPr>
          <w:rFonts w:hint="eastAsia" w:cs="宋体" w:asciiTheme="minorEastAsia" w:hAnsiTheme="minorEastAsia" w:eastAsiaTheme="minorEastAsia"/>
          <w:b/>
          <w:bCs/>
          <w:color w:val="auto"/>
          <w:sz w:val="24"/>
          <w:highlight w:val="none"/>
          <w:lang w:eastAsia="zh-CN"/>
        </w:rPr>
        <w:t xml:space="preserve">本项目接受分包。</w:t>
      </w:r>
      <w:r/>
    </w:p>
    <w:p>
      <w:pPr>
        <w:ind w:firstLine="360"/>
        <w:jc w:val="both"/>
        <w:spacing w:after="0" w:line="439" w:lineRule="atLeast"/>
        <w:rPr>
          <w:rFonts w:cs="宋体" w:asciiTheme="minorEastAsia" w:hAnsiTheme="minorEastAsia" w:eastAsiaTheme="minorEastAsia"/>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auto"/>
          <w:sz w:val="24"/>
          <w:highlight w:val="none"/>
          <w:lang w:eastAsia="zh-CN"/>
        </w:rPr>
        <w:t xml:space="preserve">本项目属于专门面向中小企业的采购项目，投标人根据招标文件的规定和采购项目的实际情况，拟在中标后分包的，应当在投标文件中载明分包承担主体，分包承担主体应当具备相应资质条件且不得再次分包。</w:t>
      </w:r>
      <w:r/>
    </w:p>
    <w:p>
      <w:pPr>
        <w:ind w:firstLine="360"/>
        <w:jc w:val="both"/>
        <w:spacing w:after="0" w:line="439" w:lineRule="atLeast"/>
        <w:rPr>
          <w:rFonts w:cs="宋体" w:asciiTheme="minorEastAsia" w:hAnsiTheme="minorEastAsia" w:eastAsiaTheme="minorEastAsia"/>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auto"/>
          <w:sz w:val="24"/>
          <w:highlight w:val="none"/>
          <w:lang w:eastAsia="zh-CN"/>
        </w:rPr>
        <w:t xml:space="preserve">小微企业不得将合同分包给大中型企业，中型企业不得将合同分包给大型企业。</w:t>
      </w:r>
      <w:r/>
    </w:p>
    <w:p>
      <w:pPr>
        <w:ind w:firstLine="360"/>
        <w:jc w:val="both"/>
        <w:spacing w:after="0" w:line="439" w:lineRule="atLeast"/>
        <w:rPr>
          <w:rFonts w:asciiTheme="minorEastAsia" w:hAnsiTheme="minorEastAsia" w:eastAsiaTheme="minorEastAsia"/>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auto"/>
          <w:sz w:val="24"/>
          <w:highlight w:val="none"/>
          <w:lang w:eastAsia="zh-CN"/>
        </w:rPr>
        <w:t xml:space="preserve">若投标单位采取分包，在投标文件中提供明确的分包方案</w:t>
      </w:r>
      <w:r>
        <w:rPr>
          <w:rFonts w:cs="宋体" w:asciiTheme="minorEastAsia" w:hAnsiTheme="minorEastAsia" w:eastAsiaTheme="minorEastAsia"/>
          <w:b/>
          <w:bCs/>
          <w:color w:val="auto"/>
          <w:sz w:val="24"/>
          <w:highlight w:val="none"/>
          <w:lang w:eastAsia="zh-CN"/>
        </w:rPr>
        <w:t xml:space="preserve">。</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7. 投标费用 </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7.1投标人应自行承担所有准备及参加投标的相关费用。不论投标结果如何，采购代理机构在任何情况下均无义务也无责任承担这些费用。</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7.2 本次招标项目不收取标书费及中标服务费，请投标人在投标时充分考虑这一因素。</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4"/>
          <w:highlight w:val="none"/>
          <w:lang w:eastAsia="zh-CN"/>
        </w:rPr>
        <w:t xml:space="preserve">三、招标文件说明</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8. 招标文件</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8.2招标文件及其更正文件不是直接从采购代理机构或指定媒体获得的，采购代理机构对招标文件及其补遗的真实性、完整性不承担任何责任。</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9. 招标文件的澄清</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9.1投标人在获取招标文件后，若有疑问，应于投标截止时间之前，向采购代理机构提出，采购代理机构将予以解答。</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9.2如有必要，问题答复将以“变更公告”形式由采购代理机构按照本须知第10条的规定发出。</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10.招标文件的修改</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10.1采购代理机构无论出于自己的考虑，还是出于对投标人提问的澄清，均可对已发出的招标文件用补充文件的方式进行必要澄清或者修改。</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10.3招标文件的更正（含澄清、修改等）内容与原招标文件在同一内容上表述不一致时，以发出日期最接近开标时间的公告为准。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10.5招标文件若有最新的答疑文件，投标供应商必须下载并使用该文件制作新的电子投标文件，否则将无法完成电子投标文件的上传及投标。</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11.质疑</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11.2 提出质疑的供应商应当是参与所质疑项目采购活动的供应商，未参加投标活动的供应商或在投标活动中自身权益未受到损害的供应商所提出的质疑不予受理。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11.3上述应知其权益受到损害之日是指：</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11.3.1对采购文件提出质疑的，为获取采购文件或者采购文件公告期限届满之日起计算；</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11.3.2对采购过程提出质疑的，自采购程序环节结束之日起计算；</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11.3.3对中标结果提出质疑的，自中标结果公告期限届满之日起计算。</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11.4 供应商提出质疑应当提交质疑函和必要的证明材料。质疑函应当包括下列内容：</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11.3.1 供应商的姓名或者名称、地址、邮编、联系人及联系电话；</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11.3.2 质疑项目的名称、编号；</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11.3.3 具体、明确的质疑事项和与质疑事项相关的请求；</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11.3.4 事实依据；</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11.3.5 必要的法律依据；</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11.3.6 提出质疑的日期。</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11.5质疑函的格式和内容应当符合财政部《政府采购供应商质疑函范本》要求，质疑函范本在财政部官网上提供下载。</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11.6 提交质疑函同时应当附如下证明材料：</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11.6.1对采购文件提出质疑的供应商提供参加本项目的“</w:t>
      </w:r>
      <w:r>
        <w:rPr>
          <w:rFonts w:hint="eastAsia" w:cs="宋体" w:asciiTheme="minorEastAsia" w:hAnsiTheme="minorEastAsia" w:eastAsiaTheme="minorEastAsia"/>
          <w:color w:val="auto"/>
          <w:sz w:val="24"/>
          <w:highlight w:val="none"/>
          <w:lang w:val="en-US" w:eastAsia="zh-CN"/>
        </w:rPr>
        <w:t xml:space="preserve">投标供应商确认函</w:t>
      </w:r>
      <w:r>
        <w:rPr>
          <w:rFonts w:cs="宋体" w:asciiTheme="minorEastAsia" w:hAnsiTheme="minorEastAsia" w:eastAsiaTheme="minorEastAsia"/>
          <w:color w:val="auto"/>
          <w:sz w:val="24"/>
          <w:highlight w:val="none"/>
          <w:lang w:eastAsia="zh-CN"/>
        </w:rPr>
        <w:t xml:space="preserve">”；</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11.6.2质疑供应商的营业执照复印件加盖单位公章；</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11.6.3质疑供应商法定代表人身份证复印件加盖单位公章；</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11.7 供应商为自然人的，应当由本人签字；供应商为法人或者其他组织的，应当由法定代表人、主要负责人，或者其授权代表签字或者盖章，并加盖公章。 </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11.8供应商对招标项目技术、商务及其他要求，以及评审细则、标准提出询问或质疑的，应向采购人提出；供应商对采购过程及中标结果提出询问或质疑的，应向采购代理</w:t>
      </w:r>
      <w:r>
        <w:rPr>
          <w:rFonts w:hint="eastAsia" w:cs="宋体" w:asciiTheme="minorEastAsia" w:hAnsiTheme="minorEastAsia" w:eastAsiaTheme="minorEastAsia"/>
          <w:color w:val="auto"/>
          <w:sz w:val="24"/>
          <w:highlight w:val="none"/>
          <w:lang w:eastAsia="zh-CN"/>
        </w:rPr>
        <w:t xml:space="preserve">机</w:t>
      </w:r>
      <w:r>
        <w:rPr>
          <w:rFonts w:cs="宋体" w:asciiTheme="minorEastAsia" w:hAnsiTheme="minorEastAsia" w:eastAsiaTheme="minorEastAsia"/>
          <w:color w:val="auto"/>
          <w:sz w:val="24"/>
          <w:highlight w:val="none"/>
          <w:lang w:eastAsia="zh-CN"/>
        </w:rPr>
        <w:t xml:space="preserve">构提出；</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11.9 供应商如对本项目提出质疑须在法定质疑期内一次性提出针对同一采购程序环节的质疑。</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11.10接受质疑函联系方式见采购公告联系事项。</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4"/>
          <w:highlight w:val="none"/>
          <w:lang w:eastAsia="zh-CN"/>
        </w:rPr>
        <w:t xml:space="preserve">四、 投标文件说明</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12、提示与要求</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12.2无论是否递交投标文件，投标人都应将招标文件及以后的所有通知、文件等视为保密文件。</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13. 投标文件计量单位和使用文字</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13.1投标文件中所使用的计量单位，除招标文件中有特殊要求外，均应使用中华人民共和国法定计量单位。</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13. 知识产权</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15. 投标文件的组成</w:t>
      </w:r>
      <w:r/>
    </w:p>
    <w:p>
      <w:pPr>
        <w:ind w:firstLine="12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15.1报价部分（详见投标文件格式）：</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15.1.1封面</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15.1.2《开标一览表》(统一格式)；</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15.1.3公开分项报价表；</w:t>
      </w:r>
      <w:r/>
    </w:p>
    <w:p>
      <w:pPr>
        <w:ind w:firstLine="12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15.2 投标正文部分（包含资质证明和技术部分）</w:t>
      </w:r>
      <w:r/>
    </w:p>
    <w:p>
      <w:pPr>
        <w:ind w:firstLine="361"/>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15.2.1资质证明文件部分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15.2.1.1关于资格文件的声明函（详见投标文件格式）；</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15.2.1.2投标承诺函（详见投标文件格式）；</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15.2.1.3投标人基本情况表（详见投标文件格式）；</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15.2.1.4投标人法定代表人身份证复印件；</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15.2.1.5投标人法定代表人授权委托书原件（如有授权）（详见投标文件格式）</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15.2.1.6投标人授权代理人身份证复印件（如有授权）</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15.2.1.7投标单位营业执照副本或三证合一营业执照复印件；</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15.2.1.8投标人参加本次政府采购活动前的财务状况报告或者银行出具的资信证明；</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15.2.1.9投标人根据项目需求提供履行合同所必需的设备和专业技术能力的证明材料；</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15.2.1.10投标人参加本次政府采购活动前半年（至少一个月）依法缴纳税收和社会保障资金的证明材料；</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15.2.1.11投标人参加政府采购活动前三年在经营活动中没有重大违法记录的书面申明（详见投标文件格式）；</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15.2.1.12投标人证明其符合招标文件规定的投标人特定资格条件的证书、证明和文件材料；（如有）</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15.2.1.13中小企业声明函</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15.2.1.14残疾人福利性单位声明函（如有）；</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15.2.1.1</w:t>
      </w:r>
      <w:r>
        <w:rPr>
          <w:rFonts w:hint="eastAsia" w:cs="宋体" w:asciiTheme="minorEastAsia" w:hAnsiTheme="minorEastAsia" w:eastAsiaTheme="minorEastAsia"/>
          <w:color w:val="auto"/>
          <w:sz w:val="24"/>
          <w:highlight w:val="none"/>
          <w:lang w:eastAsia="zh-CN"/>
        </w:rPr>
        <w:t xml:space="preserve">5</w:t>
      </w:r>
      <w:r>
        <w:rPr>
          <w:rFonts w:cs="宋体" w:asciiTheme="minorEastAsia" w:hAnsiTheme="minorEastAsia" w:eastAsiaTheme="minorEastAsia"/>
          <w:color w:val="auto"/>
          <w:sz w:val="24"/>
          <w:highlight w:val="none"/>
          <w:lang w:eastAsia="zh-CN"/>
        </w:rPr>
        <w:t xml:space="preserve">监狱企业证明文件（如有）</w:t>
      </w:r>
      <w:r>
        <w:rPr>
          <w:rFonts w:hint="eastAsia" w:cs="宋体" w:asciiTheme="minorEastAsia" w:hAnsiTheme="minorEastAsia" w:eastAsiaTheme="minorEastAsia"/>
          <w:color w:val="auto"/>
          <w:sz w:val="24"/>
          <w:highlight w:val="none"/>
          <w:lang w:eastAsia="zh-CN"/>
        </w:rPr>
        <w:t xml:space="preserve">；</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auto"/>
          <w:sz w:val="24"/>
          <w:highlight w:val="none"/>
          <w:lang w:eastAsia="zh-CN"/>
        </w:rPr>
        <w:t xml:space="preserve">15.2</w:t>
      </w:r>
      <w:r>
        <w:rPr>
          <w:rFonts w:cs="宋体" w:asciiTheme="minorEastAsia" w:hAnsiTheme="minorEastAsia" w:eastAsiaTheme="minorEastAsia"/>
          <w:b/>
          <w:color w:val="auto"/>
          <w:sz w:val="24"/>
          <w:highlight w:val="none"/>
          <w:lang w:eastAsia="zh-CN"/>
        </w:rPr>
        <w:t xml:space="preserve">.2技术部分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15.2.2.1服务要求偏离表（详见投标文件格式）；</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15.2.2.2商务要求偏离表（详见投标文件格式）；</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15.2.2.3项目的技术及服务方案；</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15.2.2.4项目实施方案和进度方案；</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15.2.2.5质量保证措施和承诺；</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15.2.2.6售后服务内容；</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15.2.2.7投入本项目技术（服务）人员一览表及相关证明材料；</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w:t>
      </w:r>
      <w:r>
        <w:rPr>
          <w:rFonts w:hint="eastAsia" w:cs="宋体" w:asciiTheme="minorEastAsia" w:hAnsiTheme="minorEastAsia" w:eastAsiaTheme="minorEastAsia"/>
          <w:color w:val="auto"/>
          <w:sz w:val="24"/>
          <w:highlight w:val="none"/>
          <w:lang w:eastAsia="zh-CN"/>
        </w:rPr>
        <w:t xml:space="preserve">8类似业绩一览表</w:t>
      </w:r>
      <w:r>
        <w:rPr>
          <w:rFonts w:cs="宋体" w:asciiTheme="minorEastAsia" w:hAnsiTheme="minorEastAsia" w:eastAsiaTheme="minorEastAsia"/>
          <w:color w:val="auto"/>
          <w:sz w:val="24"/>
          <w:highlight w:val="none"/>
          <w:lang w:eastAsia="zh-CN"/>
        </w:rPr>
        <w:t xml:space="preserve">；</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w:t>
      </w:r>
      <w:r>
        <w:rPr>
          <w:rFonts w:hint="eastAsia" w:cs="宋体" w:asciiTheme="minorEastAsia" w:hAnsiTheme="minorEastAsia" w:eastAsiaTheme="minorEastAsia"/>
          <w:color w:val="auto"/>
          <w:sz w:val="24"/>
          <w:highlight w:val="none"/>
          <w:lang w:eastAsia="zh-CN"/>
        </w:rPr>
        <w:t xml:space="preserve">9分包协议（如有）</w:t>
      </w:r>
      <w:r>
        <w:rPr>
          <w:rFonts w:cs="宋体" w:asciiTheme="minorEastAsia" w:hAnsiTheme="minorEastAsia" w:eastAsiaTheme="minorEastAsia"/>
          <w:color w:val="auto"/>
          <w:sz w:val="24"/>
          <w:highlight w:val="none"/>
          <w:lang w:eastAsia="zh-CN"/>
        </w:rPr>
        <w:t xml:space="preserve">；</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15.2.2.</w:t>
      </w:r>
      <w:r>
        <w:rPr>
          <w:rFonts w:hint="eastAsia" w:cs="宋体" w:asciiTheme="minorEastAsia" w:hAnsiTheme="minorEastAsia" w:eastAsiaTheme="minorEastAsia"/>
          <w:color w:val="auto"/>
          <w:sz w:val="24"/>
          <w:highlight w:val="none"/>
          <w:lang w:eastAsia="zh-CN"/>
        </w:rPr>
        <w:t xml:space="preserve">10</w:t>
      </w:r>
      <w:r>
        <w:rPr>
          <w:rFonts w:cs="宋体" w:asciiTheme="minorEastAsia" w:hAnsiTheme="minorEastAsia" w:eastAsiaTheme="minorEastAsia"/>
          <w:color w:val="auto"/>
          <w:sz w:val="24"/>
          <w:highlight w:val="none"/>
          <w:lang w:eastAsia="zh-CN"/>
        </w:rPr>
        <w:t xml:space="preserve">其他投标人认为需要提供的材料；</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15.3投标文件由15.1、15.2款规定的内容共同组成。</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16. 投标文件编制要求   </w:t>
      </w:r>
      <w:r/>
    </w:p>
    <w:p>
      <w:pPr>
        <w:ind w:firstLine="424"/>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16.1</w:t>
      </w:r>
      <w:r>
        <w:rPr>
          <w:rFonts w:cs="宋体" w:asciiTheme="minorEastAsia" w:hAnsiTheme="minorEastAsia" w:eastAsiaTheme="minorEastAsia"/>
          <w:b/>
          <w:color w:val="auto"/>
          <w:sz w:val="24"/>
          <w:highlight w:val="none"/>
          <w:lang w:eastAsia="zh-CN"/>
        </w:rPr>
        <w:t xml:space="preserve">电子投标文件编制要求：</w:t>
      </w:r>
      <w:r>
        <w:rPr>
          <w:rFonts w:cs="宋体" w:asciiTheme="minorEastAsia" w:hAnsiTheme="minorEastAsia" w:eastAsiaTheme="minorEastAsia"/>
          <w:color w:val="auto"/>
          <w:sz w:val="24"/>
          <w:highlight w:val="none"/>
          <w:lang w:eastAsia="zh-CN"/>
        </w:rPr>
        <w:t xml:space="preserve">投标人应使用</w:t>
      </w:r>
      <w:r>
        <w:rPr>
          <w:rFonts w:cs="宋体" w:asciiTheme="minorEastAsia" w:hAnsiTheme="minorEastAsia" w:eastAsiaTheme="minorEastAsia"/>
          <w:b/>
          <w:color w:val="auto"/>
          <w:sz w:val="24"/>
          <w:highlight w:val="none"/>
          <w:lang w:eastAsia="zh-CN"/>
        </w:rPr>
        <w:t xml:space="preserve">招标文件要求的投标文件制作软件制作电子投标文件</w:t>
      </w:r>
      <w:r>
        <w:rPr>
          <w:rFonts w:cs="宋体" w:asciiTheme="minorEastAsia" w:hAnsiTheme="minorEastAsia" w:eastAsiaTheme="minorEastAsia"/>
          <w:color w:val="auto"/>
          <w:sz w:val="24"/>
          <w:highlight w:val="none"/>
          <w:lang w:eastAsia="zh-CN"/>
        </w:rPr>
        <w:t xml:space="preserve">，电子投标文件按招标文件规定的格式制作，如果未按要求制作上传，可能导致投标无效。</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17. 投标报价（编制）要求的说明</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17.3一项投标内容只允许一个报价，采购代理机构不接受任何有选择性的投标报价。</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17.4投标文件报价中的单价和总价全部采用人民币表示，除非合同的特殊条款另有规定。</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17.5最低的投标报价或最高的折扣比例是中标的重要条件，但不是中标的唯一条件。</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18. 投标保证金</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本项目无须缴纳投标保证金</w:t>
      </w:r>
      <w:r>
        <w:rPr>
          <w:rFonts w:cs="宋体" w:asciiTheme="minorEastAsia" w:hAnsiTheme="minorEastAsia" w:eastAsiaTheme="minorEastAsia"/>
          <w:b/>
          <w:color w:val="auto"/>
          <w:sz w:val="24"/>
          <w:highlight w:val="none"/>
          <w:lang w:eastAsia="zh-CN"/>
        </w:rPr>
        <w:t xml:space="preserve">。</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19. 投标文件的有效期</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19.1在本招标文件规定的开标之日起九十（90）天内，投标人所提交的投标文件应保持有效。</w:t>
      </w:r>
      <w:r>
        <w:rPr>
          <w:rFonts w:cs="宋体" w:asciiTheme="minorEastAsia" w:hAnsiTheme="minorEastAsia" w:eastAsiaTheme="minorEastAsia"/>
          <w:b/>
          <w:color w:val="auto"/>
          <w:sz w:val="24"/>
          <w:highlight w:val="none"/>
          <w:lang w:eastAsia="zh-CN"/>
        </w:rPr>
        <w:t xml:space="preserve">有效期短于这个规定期限的投标文件，将被认定为未实质性响应招标文件要求。</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19.2在特殊情况下，采购代理机构可与投标人协商延长投标书的有效期。这种要求和答复都应以书面形式进行。同意延长有效期的投标人不能修改投标文件。拒绝接受延期要求的投标人的投标将被拒绝。</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4"/>
          <w:highlight w:val="none"/>
          <w:lang w:eastAsia="zh-CN"/>
        </w:rPr>
        <w:t xml:space="preserve">五、 投标文件的提交、撤回和修改</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20. 投标文件的上传、提交</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20.</w:t>
      </w:r>
      <w:r>
        <w:rPr>
          <w:rFonts w:cs="宋体" w:asciiTheme="minorEastAsia" w:hAnsiTheme="minorEastAsia" w:eastAsiaTheme="minorEastAsia"/>
          <w:b/>
          <w:color w:val="auto"/>
          <w:sz w:val="24"/>
          <w:highlight w:val="none"/>
          <w:lang w:eastAsia="zh-CN"/>
        </w:rPr>
        <w:t xml:space="preserve">1投标人应将制作好的加密电子投标文件按要求在投标截止时间前上传到交易系统平台中。</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21. 投标截止时间</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21.1</w:t>
      </w:r>
      <w:r>
        <w:rPr>
          <w:rFonts w:cs="宋体" w:asciiTheme="minorEastAsia" w:hAnsiTheme="minorEastAsia" w:eastAsiaTheme="minorEastAsia"/>
          <w:b/>
          <w:color w:val="auto"/>
          <w:sz w:val="24"/>
          <w:highlight w:val="none"/>
          <w:lang w:eastAsia="zh-CN"/>
        </w:rPr>
        <w:t xml:space="preserve">电子投标文件必须按招标公告中规定的网上投标截止时间前提交</w:t>
      </w:r>
      <w:r>
        <w:rPr>
          <w:rFonts w:cs="宋体" w:asciiTheme="minorEastAsia" w:hAnsiTheme="minorEastAsia" w:eastAsiaTheme="minorEastAsia"/>
          <w:color w:val="auto"/>
          <w:sz w:val="24"/>
          <w:highlight w:val="none"/>
          <w:lang w:eastAsia="zh-CN"/>
        </w:rPr>
        <w:t xml:space="preserve">，</w:t>
      </w:r>
      <w:r>
        <w:rPr>
          <w:rFonts w:cs="宋体" w:asciiTheme="minorEastAsia" w:hAnsiTheme="minorEastAsia" w:eastAsiaTheme="minorEastAsia"/>
          <w:b/>
          <w:color w:val="auto"/>
          <w:sz w:val="24"/>
          <w:highlight w:val="none"/>
          <w:lang w:eastAsia="zh-CN"/>
        </w:rPr>
        <w:t xml:space="preserve">否则投标无效</w:t>
      </w:r>
      <w:r>
        <w:rPr>
          <w:rFonts w:cs="宋体" w:asciiTheme="minorEastAsia" w:hAnsiTheme="minorEastAsia" w:eastAsiaTheme="minorEastAsia"/>
          <w:color w:val="auto"/>
          <w:sz w:val="24"/>
          <w:highlight w:val="none"/>
          <w:lang w:eastAsia="zh-CN"/>
        </w:rPr>
        <w:t xml:space="preserve">。</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21.2采购代理机构推迟投标截止时间时，应以更正公告的形式，通知所有投标人。在这种情况下，采购代理机构和投标人的权利和义务将受到新的截止期的约束。</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21.3在投标截止时间止，采购代理机构于本项目（或标段）收到的电子投标文件少于三份的，采购代理机构有权宣布本项目（或标段）招标失败。</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22. 投标文件的修改和撤回</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22.1投标人在提交投标文件截止时间前，可对其投标文件进行撤回或修改。</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23.2开标后投标人不得撤回投标。</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4"/>
          <w:highlight w:val="none"/>
          <w:lang w:eastAsia="zh-CN"/>
        </w:rPr>
        <w:t xml:space="preserve">六、开标和评标</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23. 开标</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23.1采购代理机构按采购公告规定的时间、地点主持不见面开标活动。开标仪式由采购代理机构、采购人等主持。</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23.2</w:t>
      </w:r>
      <w:r>
        <w:rPr>
          <w:rFonts w:cs="宋体" w:asciiTheme="minorEastAsia" w:hAnsiTheme="minorEastAsia" w:eastAsiaTheme="minorEastAsia"/>
          <w:b/>
          <w:color w:val="auto"/>
          <w:sz w:val="24"/>
          <w:highlight w:val="none"/>
          <w:lang w:eastAsia="zh-CN"/>
        </w:rPr>
        <w:t xml:space="preserve">参加开标的投标法定代表人或授权代理人须在项目开标前登录苏采云不见面开标系统，进入网上不见面开标大厅，做好相关准备工作。</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23.3</w:t>
      </w:r>
      <w:r>
        <w:rPr>
          <w:rFonts w:cs="宋体" w:asciiTheme="minorEastAsia" w:hAnsiTheme="minorEastAsia" w:eastAsiaTheme="minorEastAsia"/>
          <w:b/>
          <w:color w:val="auto"/>
          <w:sz w:val="24"/>
          <w:highlight w:val="none"/>
          <w:lang w:eastAsia="zh-CN"/>
        </w:rPr>
        <w:t xml:space="preserve">本项目开标后在规定的解密时间内，投标人须自行登录网上开标大厅解密投标文件，解密时间为</w:t>
      </w:r>
      <w:r>
        <w:rPr>
          <w:rFonts w:hint="eastAsia" w:cs="宋体" w:asciiTheme="minorEastAsia" w:hAnsiTheme="minorEastAsia" w:eastAsiaTheme="minorEastAsia"/>
          <w:b/>
          <w:color w:val="auto"/>
          <w:sz w:val="24"/>
          <w:highlight w:val="none"/>
          <w:lang w:eastAsia="zh-CN"/>
        </w:rPr>
        <w:t xml:space="preserve">15</w:t>
      </w:r>
      <w:r>
        <w:rPr>
          <w:rFonts w:cs="宋体" w:asciiTheme="minorEastAsia" w:hAnsiTheme="minorEastAsia" w:eastAsiaTheme="minorEastAsia"/>
          <w:b/>
          <w:color w:val="auto"/>
          <w:sz w:val="24"/>
          <w:highlight w:val="none"/>
          <w:lang w:eastAsia="zh-CN"/>
        </w:rPr>
        <w:t xml:space="preserve">分钟，因自身原因导致解密失败的，由投标人自行承担相关责任。</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23.4采购代理机构在开标仪式上，将公布投标人的名称、投标价格，并将作唱标记录。</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23.5投标人代表对开标过程和开标记录有疑义，以及认为采购人、采购代理机构相关工作人员有需要回避的情形的，</w:t>
      </w:r>
      <w:r>
        <w:rPr>
          <w:rFonts w:cs="宋体" w:asciiTheme="minorEastAsia" w:hAnsiTheme="minorEastAsia" w:eastAsiaTheme="minorEastAsia"/>
          <w:b/>
          <w:color w:val="auto"/>
          <w:sz w:val="24"/>
          <w:highlight w:val="none"/>
          <w:lang w:eastAsia="zh-CN"/>
        </w:rPr>
        <w:t xml:space="preserve">应通过不见面开标大厅提出</w:t>
      </w:r>
      <w:r>
        <w:rPr>
          <w:rFonts w:cs="宋体" w:asciiTheme="minorEastAsia" w:hAnsiTheme="minorEastAsia" w:eastAsiaTheme="minorEastAsia"/>
          <w:color w:val="auto"/>
          <w:sz w:val="24"/>
          <w:highlight w:val="none"/>
          <w:lang w:eastAsia="zh-CN"/>
        </w:rPr>
        <w:t xml:space="preserve">询问或者回避申请。采购人、采购代理机构对投标人代表提出的询问或者回避申请应当及时处理。</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23. 评标委员会</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23.1评标委员会由采购人或委托采购代理机构依法组建，负责本项目的评标事务。</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23.2评标委员会独立履行下列职责：</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23.2.1审查投标文件是否符合招标文件的要求，并作出评价；</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23.2.2可以要求投标供应商对投标文件有关事项作出解释或澄清；</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23.2.3推荐中标候选供应商名单，或者受采购人委托按照事先确定的办法直接确定中标供应商；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23.2.4向采购代理机构或者有关部门报告非法干预评标工作的行为；</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23.3评标委员会成员应当履行下列义务：</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23.3.1遵纪守法，客观、公正、廉洁地履行职责；</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23.3.2按照招标文件规定的评标办法和评标标准进行评标，对评审意见承担个人责任；</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23.3.3对评标过程和结果，以及投标人的商业秘密保密；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23.3.4参与评标报告的起草；</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23.3.5配合采购代理机构答复投标供应商提出的质疑；</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23.3.6配合相关部门的投诉处理工作；</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25. 评标内容的保密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25.2 在投标文件的审查、澄清、评价和比较以及授予合同的过程中，投标人对采购代理机构和评标委员会成员施加影响的任何行为，都将取消其投标资格。</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25.3在评标期间，采购代理机构将通过指定联络人与投标人进行联系。</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26.对投标文件初审</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26.1投标文件初审分为资格性检查和符合性检查。</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26.1.2 关于信用记录查询：</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26.1.2.1查询时间：评标</w:t>
      </w:r>
      <w:r>
        <w:rPr>
          <w:rFonts w:hint="eastAsia" w:cs="宋体" w:asciiTheme="minorEastAsia" w:hAnsiTheme="minorEastAsia" w:eastAsiaTheme="minorEastAsia"/>
          <w:color w:val="auto"/>
          <w:sz w:val="24"/>
          <w:highlight w:val="none"/>
          <w:lang w:eastAsia="zh-CN"/>
        </w:rPr>
        <w:t xml:space="preserve">阶段</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26.1.2.2查询渠道：通过“信用中国”网站、中国政府采购网等渠道查询相关主体信用记录。</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26.1.2.4信用记录使用规则：评审小组在对供应商进行资格性审查时，应根据查询结果对供应商的不良信用记录逐项甄别确认。</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26.1.3符合性检查。依据招标文件的规定，从投标文件的有效性、完整性和对招标文件的响应程度进行审查，以确定是否对招标文件的实质性要求作出响应。</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26.2.1 不同投标人的投标文件由同一单位或者个人编制；</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26.2.2不同投标人委托同一单位或者个人办理投标事宜；</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26.2.3不同投标人的投标文件载明的项目管理成员或者联系人员为同一人；</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26.2.4不同投标人的投标文件异常一致或者投标报价呈规律性差异；</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26.2.5不同投标人的投标文件相互混装；</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26.6评标委员会将对确定为实质性响应的投标进行审核，看其是否有计算上或累加上的算术错误，修正错误的原则如下：</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26.6.1投标文件中开标一览表（报价表）内容与投标文件中相应内容不一致的，以开标一览表（报价表）为准；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26.6.2大写金额和小写金额不一致的，以大写金额为准；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26.6.3单价金额小数点或者百分比有明显错位的，以开标一览表的总价为准，并修改单价；</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26.6.4总价金额与按单价汇总金额不一致的，以单价金额计算结果为准。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同时出现两种以上不一致的，按照前款规定的顺序修正。修正后的报价按照本须知26.6条规定经投标人确认后产生约束力，投标人不确认的，其投标无效。</w:t>
      </w:r>
      <w:r/>
    </w:p>
    <w:p>
      <w:pPr>
        <w:pStyle w:val="938"/>
        <w:ind w:firstLine="482"/>
        <w:spacing w:line="48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26</w:t>
      </w:r>
      <w:r>
        <w:rPr>
          <w:rFonts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lang w:eastAsia="zh-CN"/>
        </w:rPr>
        <w:t xml:space="preserve">7</w:t>
      </w:r>
      <w:r>
        <w:rPr>
          <w:rFonts w:hint="eastAsia" w:cs="微软雅黑" w:asciiTheme="minorEastAsia" w:hAnsiTheme="minorEastAsia" w:eastAsiaTheme="minorEastAsia"/>
          <w:b/>
          <w:color w:val="auto"/>
          <w:sz w:val="24"/>
          <w:szCs w:val="24"/>
          <w:highlight w:val="none"/>
          <w:lang w:eastAsia="zh-CN"/>
        </w:rPr>
        <w:t xml:space="preserve">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color w:val="auto"/>
          <w:sz w:val="24"/>
          <w:szCs w:val="24"/>
          <w:highlight w:val="none"/>
          <w:lang w:eastAsia="zh-CN"/>
        </w:rPr>
        <w:t xml:space="preserve">2026</w:t>
      </w:r>
      <w:r>
        <w:rPr>
          <w:rFonts w:hint="eastAsia" w:cs="微软雅黑"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lang w:eastAsia="zh-CN"/>
        </w:rPr>
        <w:t xml:space="preserve">2号</w:t>
      </w:r>
      <w:r>
        <w:rPr>
          <w:rFonts w:hint="eastAsia" w:cs="微软雅黑" w:asciiTheme="minorEastAsia" w:hAnsiTheme="minorEastAsia" w:eastAsiaTheme="minorEastAsia"/>
          <w:b/>
          <w:color w:val="auto"/>
          <w:sz w:val="24"/>
          <w:szCs w:val="24"/>
          <w:highlight w:val="none"/>
          <w:lang w:eastAsia="zh-CN"/>
        </w:rPr>
        <w:t xml:space="preserve">），应当要求其在不见面开标大厅内合理的时间内提供说明，必要时提交相关证明材料：投标人不能证明其报价合理性的，评标委员会应当将其作为无效投标处理。</w:t>
      </w:r>
      <w:r/>
    </w:p>
    <w:p>
      <w:pPr>
        <w:pStyle w:val="938"/>
        <w:ind w:firstLine="482"/>
        <w:spacing w:line="480" w:lineRule="exact"/>
        <w:rPr>
          <w:rFonts w:asciiTheme="minorEastAsia" w:hAnsiTheme="minorEastAsia" w:eastAsiaTheme="minorEastAsia"/>
          <w:b/>
          <w:color w:val="auto"/>
          <w:sz w:val="24"/>
          <w:szCs w:val="24"/>
          <w:highlight w:val="none"/>
          <w:lang w:eastAsia="zh-CN"/>
        </w:rPr>
      </w:pPr>
      <w:r>
        <w:rPr>
          <w:rFonts w:hint="eastAsia" w:cs="微软雅黑" w:asciiTheme="minorEastAsia" w:hAnsiTheme="minorEastAsia" w:eastAsiaTheme="minorEastAsia"/>
          <w:b/>
          <w:color w:val="auto"/>
          <w:sz w:val="24"/>
          <w:szCs w:val="24"/>
          <w:highlight w:val="none"/>
          <w:lang w:eastAsia="zh-CN"/>
        </w:rPr>
        <w:t xml:space="preserve">异常低价投标（响应）审查的情形和具体要求如下：</w:t>
      </w:r>
      <w:r/>
    </w:p>
    <w:p>
      <w:pPr>
        <w:pStyle w:val="938"/>
        <w:ind w:firstLine="482"/>
        <w:spacing w:line="480" w:lineRule="exact"/>
        <w:rPr>
          <w:rFonts w:cs="微软雅黑"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26</w:t>
      </w:r>
      <w:r>
        <w:rPr>
          <w:rFonts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lang w:eastAsia="zh-CN"/>
        </w:rPr>
        <w:t xml:space="preserve">7.1</w:t>
      </w:r>
      <w:r>
        <w:rPr>
          <w:rFonts w:asciiTheme="minorEastAsia" w:hAnsiTheme="minorEastAsia" w:eastAsiaTheme="minorEastAsia"/>
          <w:b/>
          <w:color w:val="auto"/>
          <w:sz w:val="24"/>
          <w:szCs w:val="24"/>
          <w:highlight w:val="none"/>
          <w:lang w:eastAsia="zh-CN"/>
        </w:rPr>
        <w:t xml:space="preserve"> </w:t>
      </w:r>
      <w:r>
        <w:rPr>
          <w:rFonts w:hint="eastAsia" w:cs="微软雅黑" w:asciiTheme="minorEastAsia" w:hAnsiTheme="minorEastAsia" w:eastAsiaTheme="minorEastAsia"/>
          <w:b/>
          <w:color w:val="auto"/>
          <w:sz w:val="24"/>
          <w:szCs w:val="24"/>
          <w:highlight w:val="none"/>
          <w:lang w:eastAsia="zh-CN"/>
        </w:rPr>
        <w:t xml:space="preserve">投标（响应）报价低于全部通过符合性审查供应商投标（响应）报价平均值</w:t>
      </w:r>
      <w:r>
        <w:rPr>
          <w:rFonts w:asciiTheme="minorEastAsia" w:hAnsiTheme="minorEastAsia" w:eastAsiaTheme="minorEastAsia"/>
          <w:b/>
          <w:color w:val="auto"/>
          <w:sz w:val="24"/>
          <w:szCs w:val="24"/>
          <w:highlight w:val="none"/>
          <w:lang w:eastAsia="zh-CN"/>
        </w:rPr>
        <w:t xml:space="preserve">50%</w:t>
      </w:r>
      <w:r>
        <w:rPr>
          <w:rFonts w:hint="eastAsia" w:cs="微软雅黑" w:asciiTheme="minorEastAsia" w:hAnsiTheme="minorEastAsia" w:eastAsiaTheme="minorEastAsia"/>
          <w:b/>
          <w:color w:val="auto"/>
          <w:sz w:val="24"/>
          <w:szCs w:val="24"/>
          <w:highlight w:val="none"/>
          <w:lang w:eastAsia="zh-CN"/>
        </w:rPr>
        <w:t xml:space="preserve">的，即投标（响应）报价</w:t>
      </w:r>
      <w:r>
        <w:rPr>
          <w:rFonts w:asciiTheme="minorEastAsia" w:hAnsiTheme="minorEastAsia" w:eastAsiaTheme="minorEastAsia"/>
          <w:b/>
          <w:color w:val="auto"/>
          <w:sz w:val="24"/>
          <w:szCs w:val="24"/>
          <w:highlight w:val="none"/>
          <w:lang w:eastAsia="zh-CN"/>
        </w:rPr>
        <w:t xml:space="preserve">&lt;</w:t>
      </w:r>
      <w:r>
        <w:rPr>
          <w:rFonts w:hint="eastAsia" w:cs="微软雅黑" w:asciiTheme="minorEastAsia" w:hAnsiTheme="minorEastAsia" w:eastAsiaTheme="minorEastAsia"/>
          <w:b/>
          <w:color w:val="auto"/>
          <w:sz w:val="24"/>
          <w:szCs w:val="24"/>
          <w:highlight w:val="none"/>
          <w:lang w:eastAsia="zh-CN"/>
        </w:rPr>
        <w:t xml:space="preserve">全部通过符合性审查供应商投标（响应）报价平均值</w:t>
      </w:r>
      <w:r>
        <w:rPr>
          <w:rFonts w:asciiTheme="minorEastAsia" w:hAnsiTheme="minorEastAsia" w:eastAsiaTheme="minorEastAsia"/>
          <w:b/>
          <w:color w:val="auto"/>
          <w:sz w:val="24"/>
          <w:szCs w:val="24"/>
          <w:highlight w:val="none"/>
          <w:lang w:eastAsia="zh-CN"/>
        </w:rPr>
        <w:t xml:space="preserve">×50%</w:t>
      </w:r>
      <w:r>
        <w:rPr>
          <w:rFonts w:hint="eastAsia" w:cs="微软雅黑" w:asciiTheme="minorEastAsia" w:hAnsiTheme="minorEastAsia" w:eastAsiaTheme="minorEastAsia"/>
          <w:b/>
          <w:color w:val="auto"/>
          <w:sz w:val="24"/>
          <w:szCs w:val="24"/>
          <w:highlight w:val="none"/>
          <w:lang w:eastAsia="zh-CN"/>
        </w:rPr>
        <w:t xml:space="preserve">；</w:t>
      </w:r>
      <w:r/>
    </w:p>
    <w:p>
      <w:pPr>
        <w:pStyle w:val="938"/>
        <w:ind w:firstLine="482"/>
        <w:spacing w:line="480" w:lineRule="exact"/>
        <w:rPr>
          <w:rFonts w:cs="微软雅黑"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26</w:t>
      </w:r>
      <w:r>
        <w:rPr>
          <w:rFonts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lang w:eastAsia="zh-CN"/>
        </w:rPr>
        <w:t xml:space="preserve">7</w:t>
      </w:r>
      <w:r>
        <w:rPr>
          <w:rFonts w:asciiTheme="minorEastAsia" w:hAnsiTheme="minorEastAsia" w:eastAsiaTheme="minorEastAsia"/>
          <w:b/>
          <w:color w:val="auto"/>
          <w:sz w:val="24"/>
          <w:szCs w:val="24"/>
          <w:highlight w:val="none"/>
          <w:lang w:eastAsia="zh-CN"/>
        </w:rPr>
        <w:t xml:space="preserve">.2 </w:t>
      </w:r>
      <w:r>
        <w:rPr>
          <w:rFonts w:hint="eastAsia" w:cs="微软雅黑" w:asciiTheme="minorEastAsia" w:hAnsiTheme="minorEastAsia" w:eastAsiaTheme="minorEastAsia"/>
          <w:b/>
          <w:color w:val="auto"/>
          <w:sz w:val="24"/>
          <w:szCs w:val="24"/>
          <w:highlight w:val="none"/>
          <w:lang w:eastAsia="zh-CN"/>
        </w:rPr>
        <w:t xml:space="preserve">投标（响应）报价低于通过符合性审查的次低报价供应商投标（响应）报价</w:t>
      </w:r>
      <w:r>
        <w:rPr>
          <w:rFonts w:asciiTheme="minorEastAsia" w:hAnsiTheme="minorEastAsia" w:eastAsiaTheme="minorEastAsia"/>
          <w:b/>
          <w:color w:val="auto"/>
          <w:sz w:val="24"/>
          <w:szCs w:val="24"/>
          <w:highlight w:val="none"/>
          <w:lang w:eastAsia="zh-CN"/>
        </w:rPr>
        <w:t xml:space="preserve">50%</w:t>
      </w:r>
      <w:r>
        <w:rPr>
          <w:rFonts w:hint="eastAsia" w:cs="微软雅黑" w:asciiTheme="minorEastAsia" w:hAnsiTheme="minorEastAsia" w:eastAsiaTheme="minorEastAsia"/>
          <w:b/>
          <w:color w:val="auto"/>
          <w:sz w:val="24"/>
          <w:szCs w:val="24"/>
          <w:highlight w:val="none"/>
          <w:lang w:eastAsia="zh-CN"/>
        </w:rPr>
        <w:t xml:space="preserve">的，即投标（响应）报价</w:t>
      </w:r>
      <w:r>
        <w:rPr>
          <w:rFonts w:asciiTheme="minorEastAsia" w:hAnsiTheme="minorEastAsia" w:eastAsiaTheme="minorEastAsia"/>
          <w:b/>
          <w:color w:val="auto"/>
          <w:sz w:val="24"/>
          <w:szCs w:val="24"/>
          <w:highlight w:val="none"/>
          <w:lang w:eastAsia="zh-CN"/>
        </w:rPr>
        <w:t xml:space="preserve">&lt;</w:t>
      </w:r>
      <w:r>
        <w:rPr>
          <w:rFonts w:hint="eastAsia" w:cs="微软雅黑" w:asciiTheme="minorEastAsia" w:hAnsiTheme="minorEastAsia" w:eastAsiaTheme="minorEastAsia"/>
          <w:b/>
          <w:color w:val="auto"/>
          <w:sz w:val="24"/>
          <w:szCs w:val="24"/>
          <w:highlight w:val="none"/>
          <w:lang w:eastAsia="zh-CN"/>
        </w:rPr>
        <w:t xml:space="preserve">通过符合性审查的次低报价供应商投标（响应）报价</w:t>
      </w:r>
      <w:r>
        <w:rPr>
          <w:rFonts w:asciiTheme="minorEastAsia" w:hAnsiTheme="minorEastAsia" w:eastAsiaTheme="minorEastAsia"/>
          <w:b/>
          <w:color w:val="auto"/>
          <w:sz w:val="24"/>
          <w:szCs w:val="24"/>
          <w:highlight w:val="none"/>
          <w:lang w:eastAsia="zh-CN"/>
        </w:rPr>
        <w:t xml:space="preserve">×50%</w:t>
      </w:r>
      <w:r>
        <w:rPr>
          <w:rFonts w:hint="eastAsia" w:cs="微软雅黑" w:asciiTheme="minorEastAsia" w:hAnsiTheme="minorEastAsia" w:eastAsiaTheme="minorEastAsia"/>
          <w:b/>
          <w:color w:val="auto"/>
          <w:sz w:val="24"/>
          <w:szCs w:val="24"/>
          <w:highlight w:val="none"/>
          <w:lang w:eastAsia="zh-CN"/>
        </w:rPr>
        <w:t xml:space="preserve">；</w:t>
      </w:r>
      <w:r/>
    </w:p>
    <w:p>
      <w:pPr>
        <w:pStyle w:val="938"/>
        <w:ind w:firstLine="482"/>
        <w:spacing w:line="480" w:lineRule="exact"/>
        <w:rPr>
          <w:rFonts w:cs="微软雅黑"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26</w:t>
      </w:r>
      <w:r>
        <w:rPr>
          <w:rFonts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lang w:eastAsia="zh-CN"/>
        </w:rPr>
        <w:t xml:space="preserve">7</w:t>
      </w:r>
      <w:r>
        <w:rPr>
          <w:rFonts w:asciiTheme="minorEastAsia" w:hAnsiTheme="minorEastAsia" w:eastAsiaTheme="minorEastAsia"/>
          <w:b/>
          <w:color w:val="auto"/>
          <w:sz w:val="24"/>
          <w:szCs w:val="24"/>
          <w:highlight w:val="none"/>
          <w:lang w:eastAsia="zh-CN"/>
        </w:rPr>
        <w:t xml:space="preserve">.3 </w:t>
      </w:r>
      <w:r>
        <w:rPr>
          <w:rFonts w:hint="eastAsia" w:cs="微软雅黑" w:asciiTheme="minorEastAsia" w:hAnsiTheme="minorEastAsia" w:eastAsiaTheme="minorEastAsia"/>
          <w:b/>
          <w:color w:val="auto"/>
          <w:sz w:val="24"/>
          <w:szCs w:val="24"/>
          <w:highlight w:val="none"/>
          <w:lang w:eastAsia="zh-CN"/>
        </w:rPr>
        <w:t xml:space="preserve">投标（响应）报价低于采购项目最高限价</w:t>
      </w:r>
      <w:r>
        <w:rPr>
          <w:rFonts w:asciiTheme="minorEastAsia" w:hAnsiTheme="minorEastAsia" w:eastAsiaTheme="minorEastAsia"/>
          <w:b/>
          <w:color w:val="auto"/>
          <w:sz w:val="24"/>
          <w:szCs w:val="24"/>
          <w:highlight w:val="none"/>
          <w:lang w:eastAsia="zh-CN"/>
        </w:rPr>
        <w:t xml:space="preserve">45%</w:t>
      </w:r>
      <w:r>
        <w:rPr>
          <w:rFonts w:hint="eastAsia" w:cs="微软雅黑" w:asciiTheme="minorEastAsia" w:hAnsiTheme="minorEastAsia" w:eastAsiaTheme="minorEastAsia"/>
          <w:b/>
          <w:color w:val="auto"/>
          <w:sz w:val="24"/>
          <w:szCs w:val="24"/>
          <w:highlight w:val="none"/>
          <w:lang w:eastAsia="zh-CN"/>
        </w:rPr>
        <w:t xml:space="preserve">的，即投标（响应）报价</w:t>
      </w:r>
      <w:r>
        <w:rPr>
          <w:rFonts w:asciiTheme="minorEastAsia" w:hAnsiTheme="minorEastAsia" w:eastAsiaTheme="minorEastAsia"/>
          <w:b/>
          <w:color w:val="auto"/>
          <w:sz w:val="24"/>
          <w:szCs w:val="24"/>
          <w:highlight w:val="none"/>
          <w:lang w:eastAsia="zh-CN"/>
        </w:rPr>
        <w:t xml:space="preserve">&lt;</w:t>
      </w:r>
      <w:r>
        <w:rPr>
          <w:rFonts w:hint="eastAsia" w:cs="微软雅黑" w:asciiTheme="minorEastAsia" w:hAnsiTheme="minorEastAsia" w:eastAsiaTheme="minorEastAsia"/>
          <w:b/>
          <w:color w:val="auto"/>
          <w:sz w:val="24"/>
          <w:szCs w:val="24"/>
          <w:highlight w:val="none"/>
          <w:lang w:eastAsia="zh-CN"/>
        </w:rPr>
        <w:t xml:space="preserve">采购项目最高限价</w:t>
      </w:r>
      <w:r>
        <w:rPr>
          <w:rFonts w:asciiTheme="minorEastAsia" w:hAnsiTheme="minorEastAsia" w:eastAsiaTheme="minorEastAsia"/>
          <w:b/>
          <w:color w:val="auto"/>
          <w:sz w:val="24"/>
          <w:szCs w:val="24"/>
          <w:highlight w:val="none"/>
          <w:lang w:eastAsia="zh-CN"/>
        </w:rPr>
        <w:t xml:space="preserve">×45%</w:t>
      </w:r>
      <w:r>
        <w:rPr>
          <w:rFonts w:hint="eastAsia" w:cs="微软雅黑" w:asciiTheme="minorEastAsia" w:hAnsiTheme="minorEastAsia" w:eastAsiaTheme="minorEastAsia"/>
          <w:b/>
          <w:color w:val="auto"/>
          <w:sz w:val="24"/>
          <w:szCs w:val="24"/>
          <w:highlight w:val="none"/>
          <w:lang w:eastAsia="zh-CN"/>
        </w:rPr>
        <w:t xml:space="preserve">；</w:t>
      </w:r>
      <w:r/>
    </w:p>
    <w:p>
      <w:pPr>
        <w:pStyle w:val="938"/>
        <w:ind w:firstLine="482"/>
        <w:spacing w:line="480" w:lineRule="exact"/>
        <w:rPr>
          <w:rFonts w:cs="微软雅黑"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26</w:t>
      </w:r>
      <w:r>
        <w:rPr>
          <w:rFonts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lang w:eastAsia="zh-CN"/>
        </w:rPr>
        <w:t xml:space="preserve">7</w:t>
      </w:r>
      <w:r>
        <w:rPr>
          <w:rFonts w:asciiTheme="minorEastAsia" w:hAnsiTheme="minorEastAsia" w:eastAsiaTheme="minorEastAsia"/>
          <w:b/>
          <w:color w:val="auto"/>
          <w:sz w:val="24"/>
          <w:szCs w:val="24"/>
          <w:highlight w:val="none"/>
          <w:lang w:eastAsia="zh-CN"/>
        </w:rPr>
        <w:t xml:space="preserve">.4 </w:t>
      </w:r>
      <w:r>
        <w:rPr>
          <w:rFonts w:hint="eastAsia" w:cs="微软雅黑" w:asciiTheme="minorEastAsia" w:hAnsiTheme="minorEastAsia" w:eastAsiaTheme="minorEastAsia"/>
          <w:b/>
          <w:color w:val="auto"/>
          <w:sz w:val="24"/>
          <w:szCs w:val="24"/>
          <w:highlight w:val="none"/>
          <w:lang w:eastAsia="zh-CN"/>
        </w:rPr>
        <w:t xml:space="preserve">评审委员会基于专业判断，认为供应商报价过低，有可能影响产品质量或者不能诚信履约的其他情形。</w:t>
      </w:r>
      <w:r/>
    </w:p>
    <w:p>
      <w:pPr>
        <w:pStyle w:val="938"/>
        <w:ind w:firstLine="482"/>
        <w:spacing w:line="48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26.8</w:t>
      </w:r>
      <w:r>
        <w:rPr>
          <w:rFonts w:asciiTheme="minorEastAsia" w:hAnsiTheme="minorEastAsia" w:eastAsiaTheme="minorEastAsia"/>
          <w:b/>
          <w:color w:val="auto"/>
          <w:sz w:val="24"/>
          <w:szCs w:val="24"/>
          <w:highlight w:val="none"/>
          <w:lang w:eastAsia="zh-CN"/>
        </w:rPr>
        <w:t xml:space="preserve"> </w:t>
      </w:r>
      <w:r>
        <w:rPr>
          <w:rFonts w:hint="eastAsia" w:cs="宋体" w:asciiTheme="minorEastAsia" w:hAnsiTheme="minorEastAsia" w:eastAsiaTheme="minorEastAsia"/>
          <w:b/>
          <w:bCs/>
          <w:color w:val="auto"/>
          <w:sz w:val="24"/>
          <w:highlight w:val="none"/>
          <w:lang w:eastAsia="zh-CN"/>
        </w:rPr>
        <w:t xml:space="preserve">评审委员会启动异常低价投标（响应）审查后，属于前述第</w:t>
      </w:r>
      <w:r>
        <w:rPr>
          <w:rFonts w:cs="宋体" w:asciiTheme="minorEastAsia" w:hAnsiTheme="minorEastAsia" w:eastAsiaTheme="minorEastAsia"/>
          <w:b/>
          <w:bCs/>
          <w:color w:val="auto"/>
          <w:sz w:val="24"/>
          <w:highlight w:val="none"/>
          <w:lang w:eastAsia="zh-CN"/>
        </w:rPr>
        <w:t xml:space="preserve">1</w:t>
      </w:r>
      <w:r>
        <w:rPr>
          <w:rFonts w:hint="eastAsia" w:cs="宋体" w:asciiTheme="minorEastAsia" w:hAnsiTheme="minorEastAsia" w:eastAsiaTheme="minorEastAsia"/>
          <w:b/>
          <w:bCs/>
          <w:color w:val="auto"/>
          <w:sz w:val="24"/>
          <w:highlight w:val="none"/>
          <w:lang w:eastAsia="zh-CN"/>
        </w:rPr>
        <w:t xml:space="preserve">项至第</w:t>
      </w:r>
      <w:r>
        <w:rPr>
          <w:rFonts w:cs="宋体" w:asciiTheme="minorEastAsia" w:hAnsiTheme="minorEastAsia" w:eastAsiaTheme="minorEastAsia"/>
          <w:b/>
          <w:bCs/>
          <w:color w:val="auto"/>
          <w:sz w:val="24"/>
          <w:highlight w:val="none"/>
          <w:lang w:eastAsia="zh-CN"/>
        </w:rPr>
        <w:t xml:space="preserve">4</w:t>
      </w:r>
      <w:r>
        <w:rPr>
          <w:rFonts w:hint="eastAsia" w:cs="宋体" w:asciiTheme="minorEastAsia" w:hAnsiTheme="minorEastAsia" w:eastAsiaTheme="minorEastAsia"/>
          <w:b/>
          <w:bCs/>
          <w:color w:val="auto"/>
          <w:sz w:val="24"/>
          <w:highlight w:val="none"/>
          <w:lang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cs="宋体" w:asciiTheme="minorEastAsia" w:hAnsiTheme="minorEastAsia" w:eastAsiaTheme="minorEastAsia"/>
          <w:b/>
          <w:bCs/>
          <w:color w:val="auto"/>
          <w:sz w:val="24"/>
          <w:highlight w:val="none"/>
          <w:lang w:eastAsia="zh-CN"/>
        </w:rPr>
        <w:t xml:space="preserve">30</w:t>
      </w:r>
      <w:r>
        <w:rPr>
          <w:rFonts w:hint="eastAsia" w:cs="宋体" w:asciiTheme="minorEastAsia" w:hAnsiTheme="minorEastAsia" w:eastAsiaTheme="minorEastAsia"/>
          <w:b/>
          <w:bCs/>
          <w:color w:val="auto"/>
          <w:sz w:val="24"/>
          <w:highlight w:val="none"/>
          <w:lang w:eastAsia="zh-CN"/>
        </w:rPr>
        <w:t xml:space="preserve">分钟。其中，属于第</w:t>
      </w:r>
      <w:r>
        <w:rPr>
          <w:rFonts w:cs="宋体" w:asciiTheme="minorEastAsia" w:hAnsiTheme="minorEastAsia" w:eastAsiaTheme="minorEastAsia"/>
          <w:b/>
          <w:bCs/>
          <w:color w:val="auto"/>
          <w:sz w:val="24"/>
          <w:highlight w:val="none"/>
          <w:lang w:eastAsia="zh-CN"/>
        </w:rPr>
        <w:t xml:space="preserve">3</w:t>
      </w:r>
      <w:r>
        <w:rPr>
          <w:rFonts w:hint="eastAsia" w:cs="宋体" w:asciiTheme="minorEastAsia" w:hAnsiTheme="minorEastAsia" w:eastAsiaTheme="minorEastAsia"/>
          <w:b/>
          <w:bCs/>
          <w:color w:val="auto"/>
          <w:sz w:val="24"/>
          <w:highlight w:val="none"/>
          <w:lang w:eastAsia="zh-CN"/>
        </w:rPr>
        <w:t xml:space="preserve">项情形，供应商已随投标（响应）文件一并提交相关书面说明及必要的证明材料的，在评审现场可不再重复提交。</w:t>
      </w:r>
      <w:r>
        <w:rPr>
          <w:rFonts w:asciiTheme="minorEastAsia" w:hAnsiTheme="minorEastAsia" w:eastAsiaTheme="minorEastAsia"/>
          <w:b/>
          <w:color w:val="auto"/>
          <w:sz w:val="24"/>
          <w:szCs w:val="24"/>
          <w:highlight w:val="none"/>
          <w:lang w:eastAsia="zh-CN"/>
        </w:rPr>
        <w:br/>
      </w:r>
      <w:r>
        <w:rPr>
          <w:rFonts w:hint="eastAsia" w:asciiTheme="minorEastAsia" w:hAnsiTheme="minorEastAsia" w:eastAsiaTheme="minorEastAsia"/>
          <w:b/>
          <w:color w:val="auto"/>
          <w:sz w:val="24"/>
          <w:szCs w:val="24"/>
          <w:highlight w:val="none"/>
          <w:lang w:eastAsia="zh-CN"/>
        </w:rPr>
        <w:t xml:space="preserve">    26.</w:t>
      </w:r>
      <w:r>
        <w:rPr>
          <w:rFonts w:asciiTheme="minorEastAsia" w:hAnsiTheme="minorEastAsia" w:eastAsiaTheme="minorEastAsia"/>
          <w:b/>
          <w:color w:val="auto"/>
          <w:sz w:val="24"/>
          <w:szCs w:val="24"/>
          <w:highlight w:val="none"/>
          <w:lang w:eastAsia="zh-CN"/>
        </w:rPr>
        <w:t xml:space="preserve">9 </w:t>
      </w:r>
      <w:r>
        <w:rPr>
          <w:rFonts w:hint="eastAsia" w:cs="宋体" w:asciiTheme="minorEastAsia" w:hAnsiTheme="minorEastAsia" w:eastAsiaTheme="minorEastAsia"/>
          <w:b/>
          <w:bCs/>
          <w:color w:val="auto"/>
          <w:sz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38"/>
        <w:ind w:firstLine="480"/>
        <w:spacing w:line="48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26.1</w:t>
      </w:r>
      <w:r>
        <w:rPr>
          <w:rFonts w:asciiTheme="minorEastAsia" w:hAnsiTheme="minorEastAsia" w:eastAsiaTheme="minorEastAsia"/>
          <w:color w:val="auto"/>
          <w:sz w:val="24"/>
          <w:szCs w:val="24"/>
          <w:highlight w:val="none"/>
          <w:lang w:eastAsia="zh-CN"/>
        </w:rPr>
        <w:t xml:space="preserve">0 </w:t>
      </w:r>
      <w:r>
        <w:rPr>
          <w:rFonts w:hint="eastAsia" w:cs="微软雅黑" w:asciiTheme="minorEastAsia" w:hAnsiTheme="minorEastAsia" w:eastAsiaTheme="minorEastAsia"/>
          <w:color w:val="auto"/>
          <w:sz w:val="24"/>
          <w:szCs w:val="24"/>
          <w:highlight w:val="none"/>
          <w:lang w:eastAsia="zh-CN"/>
        </w:rPr>
        <w:t xml:space="preserve">评标委员会对投标文件的判定，只依据投标内容本身，不依靠开标后的任何外来证明。</w:t>
      </w:r>
      <w:r/>
    </w:p>
    <w:p>
      <w:pPr>
        <w:pStyle w:val="938"/>
        <w:ind w:firstLine="480"/>
        <w:spacing w:line="480" w:lineRule="exact"/>
        <w:rPr>
          <w:rFonts w:asciiTheme="minorEastAsia" w:hAnsiTheme="minorEastAsia" w:eastAsiaTheme="minorEastAsia"/>
          <w:b/>
          <w:bCs/>
          <w:color w:val="auto"/>
          <w:highlight w:val="none"/>
          <w:lang w:eastAsia="zh-CN"/>
        </w:rPr>
      </w:pPr>
      <w:r>
        <w:rPr>
          <w:rFonts w:hint="eastAsia" w:asciiTheme="minorEastAsia" w:hAnsiTheme="minorEastAsia" w:eastAsiaTheme="minorEastAsia"/>
          <w:color w:val="auto"/>
          <w:sz w:val="24"/>
          <w:szCs w:val="24"/>
          <w:highlight w:val="none"/>
          <w:lang w:eastAsia="zh-CN"/>
        </w:rPr>
        <w:t xml:space="preserve">26.1</w:t>
      </w:r>
      <w:r>
        <w:rPr>
          <w:rFonts w:asciiTheme="minorEastAsia" w:hAnsiTheme="minorEastAsia" w:eastAsiaTheme="minorEastAsia"/>
          <w:color w:val="auto"/>
          <w:sz w:val="24"/>
          <w:szCs w:val="24"/>
          <w:highlight w:val="none"/>
          <w:lang w:eastAsia="zh-CN"/>
        </w:rPr>
        <w:t xml:space="preserve">1 </w:t>
      </w:r>
      <w:r>
        <w:rPr>
          <w:rFonts w:hint="eastAsia" w:cs="微软雅黑" w:asciiTheme="minorEastAsia" w:hAnsiTheme="minorEastAsia" w:eastAsiaTheme="minorEastAsia"/>
          <w:color w:val="auto"/>
          <w:sz w:val="24"/>
          <w:szCs w:val="24"/>
          <w:highlight w:val="none"/>
          <w:lang w:eastAsia="zh-CN"/>
        </w:rPr>
        <w:t xml:space="preserve">评标委员会将拒绝被确定为非实质性响应的投标，投标人不能通过修正或撤销不符之处而使其投标成为实质性响应的投标。</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27.投标的澄清</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28.无效投标和废标</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28.1无效投标的具体情形有：  </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28.1.1投标文件未按招标文件要求签署、盖章或电子签章的；</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28.1.2不具备招标文件中规定的资格要求的；</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28.1.3报价超过招标文件中规定的预算金额或者最高限价的；</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28.1.4</w:t>
      </w:r>
      <w:r>
        <w:rPr>
          <w:rFonts w:cs="宋体" w:asciiTheme="minorEastAsia" w:hAnsiTheme="minorEastAsia" w:eastAsiaTheme="minorEastAsia"/>
          <w:b/>
          <w:color w:val="auto"/>
          <w:sz w:val="24"/>
          <w:highlight w:val="none"/>
          <w:lang w:eastAsia="zh-CN"/>
        </w:rPr>
        <w:t xml:space="preserve">不同投标人的投标文件使用同一台电脑编制的；</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28.1.5投标文件含有采购人不能接受的附加条件的；</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28.1.6法律、法规和招标文件规定的其他无效情形。</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28.2 在招标采购中，出现下列情形之一的，应予废标：</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28.2.1符合专业条件的供应商或者对招标文件作实质响应的供应商不足三家的；</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28.2.2出现影响采购公正的违法、违规行为的；</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28.2.3投标人的报价均超过了采购预算，采购人不能支付的；</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28.2.4因重大变故，采购任务取消的。</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28.3 废标后，采购人应当将废标理由通知所有投标人。</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29. 投标文件的评价和比较</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29.1评标委员会按招标文件规定的评标方法和标准，仅对资格性检查和符合性检查合格的投标文件进行商务和技术评估，综合比较与评价。</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29.2.1服务的质量保证（保障）内容；</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29.2.2服务配备的人员；</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29.2.3投标者的资信情况和履约能力；</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29.2.4投标者提供的其他优惠条件；</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29.2.5参与本项目政府采购工作的态度及信誉；</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29.2.6最低的投标报价或最高的折扣比例是中标的重要条件，但不是唯一条件。</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4"/>
          <w:highlight w:val="none"/>
          <w:lang w:eastAsia="zh-CN"/>
        </w:rPr>
        <w:t xml:space="preserve">七、授予合同</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30. 中标供应商的确认          </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30.1评标委员会按招标文件规定的评标方法和标准进行详细评审后，按采购人的委托向采购人推荐中标候选单位或根据采购人授权直接确定中标供应商。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30.2经评标委员会评审并确定中标供应商后，采购人或授权采购代理机构将在规定的时间内将中标结果在相关媒体上予以公告。</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30.4质疑函递交地点及联系方式详见公告内容</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31. 合同授予标准</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31.1采购人将把合同授予其投标文件在实质上响应招标文件要求和按本须知规定评选出的投标人。确定为中标的投标人必须具有实施本合同的能力和资源。</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32. 中标通知书</w:t>
      </w:r>
      <w:r/>
    </w:p>
    <w:p>
      <w:pPr>
        <w:ind w:firstLine="480"/>
        <w:jc w:val="left"/>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cs="宋体" w:asciiTheme="minorEastAsia" w:hAnsiTheme="minorEastAsia" w:eastAsiaTheme="minorEastAsia"/>
          <w:color w:val="auto"/>
          <w:sz w:val="24"/>
          <w:szCs w:val="24"/>
          <w:highlight w:val="none"/>
          <w:lang w:eastAsia="zh-CN"/>
        </w:rPr>
        <w:br/>
      </w:r>
      <w:r>
        <w:rPr>
          <w:rFonts w:hint="eastAsia" w:cs="宋体" w:asciiTheme="minorEastAsia" w:hAnsiTheme="minorEastAsia" w:eastAsiaTheme="minorEastAsia"/>
          <w:color w:val="auto"/>
          <w:sz w:val="24"/>
          <w:szCs w:val="24"/>
          <w:highlight w:val="none"/>
          <w:lang w:eastAsia="zh-CN"/>
        </w:rPr>
        <w:t xml:space="preserve">   </w:t>
      </w:r>
      <w:r>
        <w:rPr>
          <w:rFonts w:hint="eastAsia" w:cs="宋体" w:asciiTheme="minorEastAsia" w:hAnsiTheme="minorEastAsia" w:eastAsiaTheme="minorEastAsia"/>
          <w:b/>
          <w:bCs/>
          <w:color w:val="auto"/>
          <w:sz w:val="24"/>
          <w:szCs w:val="24"/>
          <w:highlight w:val="none"/>
          <w:lang w:eastAsia="zh-CN"/>
        </w:rPr>
        <w:t xml:space="preserve"> </w:t>
      </w:r>
      <w:r>
        <w:rPr>
          <w:rFonts w:cs="宋体" w:asciiTheme="minorEastAsia" w:hAnsiTheme="minorEastAsia" w:eastAsiaTheme="minorEastAsia"/>
          <w:b/>
          <w:bCs/>
          <w:color w:val="auto"/>
          <w:sz w:val="24"/>
          <w:szCs w:val="24"/>
          <w:highlight w:val="none"/>
          <w:lang w:eastAsia="zh-CN"/>
        </w:rPr>
        <w:t xml:space="preserve">32.2中标通知书在中标公告发布后将发布在苏采云系统中，中标通知书发布之日视为中标供应商领取之日，中标供应商在中标结果公告届满之日起30日内自行在苏采云系统中下载打印。</w:t>
      </w:r>
      <w:r>
        <w:rPr>
          <w:rFonts w:cs="宋体" w:asciiTheme="minorEastAsia" w:hAnsiTheme="minorEastAsia" w:eastAsiaTheme="minorEastAsia"/>
          <w:b/>
          <w:bCs/>
          <w:color w:val="auto"/>
          <w:sz w:val="24"/>
          <w:szCs w:val="24"/>
          <w:highlight w:val="none"/>
          <w:lang w:eastAsia="zh-CN"/>
        </w:rPr>
        <w:br/>
      </w:r>
      <w:r>
        <w:rPr>
          <w:rFonts w:hint="eastAsia" w:cs="宋体" w:asciiTheme="minorEastAsia" w:hAnsiTheme="minorEastAsia" w:eastAsiaTheme="minorEastAsia"/>
          <w:color w:val="auto"/>
          <w:sz w:val="24"/>
          <w:szCs w:val="24"/>
          <w:highlight w:val="none"/>
          <w:lang w:eastAsia="zh-CN"/>
        </w:rPr>
        <w:t xml:space="preserve">   </w:t>
      </w:r>
      <w:r>
        <w:rPr>
          <w:rFonts w:cs="宋体" w:asciiTheme="minorEastAsia" w:hAnsiTheme="minorEastAsia" w:eastAsiaTheme="minorEastAsia"/>
          <w:color w:val="auto"/>
          <w:sz w:val="24"/>
          <w:szCs w:val="24"/>
          <w:highlight w:val="none"/>
          <w:lang w:eastAsia="zh-CN"/>
        </w:rPr>
        <w:t xml:space="preserve">32.3因系统存储空间有限，自中标结果公告届满之日起30日后，“苏采云”系统不再保证提供下载中标通知书服务,因未及时下载而造成的不利后果由中标供应商自行承担。</w:t>
      </w:r>
      <w:r>
        <w:rPr>
          <w:rFonts w:cs="宋体" w:asciiTheme="minorEastAsia" w:hAnsiTheme="minorEastAsia" w:eastAsiaTheme="minorEastAsia"/>
          <w:color w:val="auto"/>
          <w:sz w:val="24"/>
          <w:szCs w:val="24"/>
          <w:highlight w:val="none"/>
          <w:lang w:eastAsia="zh-CN"/>
        </w:rPr>
        <w:br/>
      </w:r>
      <w:r>
        <w:rPr>
          <w:rFonts w:hint="eastAsia" w:cs="宋体" w:asciiTheme="minorEastAsia" w:hAnsiTheme="minorEastAsia" w:eastAsiaTheme="minorEastAsia"/>
          <w:color w:val="auto"/>
          <w:sz w:val="24"/>
          <w:szCs w:val="24"/>
          <w:highlight w:val="none"/>
          <w:lang w:eastAsia="zh-CN"/>
        </w:rPr>
        <w:t xml:space="preserve">   </w:t>
      </w:r>
      <w:r>
        <w:rPr>
          <w:rFonts w:cs="宋体" w:asciiTheme="minorEastAsia" w:hAnsiTheme="minorEastAsia" w:eastAsiaTheme="minorEastAsia"/>
          <w:color w:val="auto"/>
          <w:sz w:val="24"/>
          <w:szCs w:val="24"/>
          <w:highlight w:val="none"/>
          <w:lang w:eastAsia="zh-CN"/>
        </w:rPr>
        <w:t xml:space="preserve">32.4中标通知书将成为合同的组成部分。</w:t>
      </w:r>
      <w:r>
        <w:rPr>
          <w:rFonts w:cs="宋体" w:asciiTheme="minorEastAsia" w:hAnsiTheme="minorEastAsia" w:eastAsiaTheme="minorEastAsia"/>
          <w:color w:val="auto"/>
          <w:sz w:val="24"/>
          <w:szCs w:val="24"/>
          <w:highlight w:val="none"/>
          <w:lang w:eastAsia="zh-CN"/>
        </w:rPr>
        <w:br/>
      </w:r>
      <w:r>
        <w:rPr>
          <w:rFonts w:hint="eastAsia" w:cs="宋体" w:asciiTheme="minorEastAsia" w:hAnsiTheme="minorEastAsia" w:eastAsiaTheme="minorEastAsia"/>
          <w:color w:val="auto"/>
          <w:sz w:val="24"/>
          <w:szCs w:val="24"/>
          <w:highlight w:val="none"/>
          <w:lang w:eastAsia="zh-CN"/>
        </w:rPr>
        <w:t xml:space="preserve">   </w:t>
      </w:r>
      <w:r>
        <w:rPr>
          <w:rFonts w:cs="宋体" w:asciiTheme="minorEastAsia" w:hAnsiTheme="minorEastAsia" w:eastAsiaTheme="minorEastAsia"/>
          <w:color w:val="auto"/>
          <w:sz w:val="24"/>
          <w:szCs w:val="24"/>
          <w:highlight w:val="none"/>
          <w:lang w:eastAsia="zh-CN"/>
        </w:rPr>
        <w:t xml:space="preserve">32.5采购代理机构对未中标供应商不承担解释未中标原因的义务。</w:t>
      </w:r>
      <w:r/>
    </w:p>
    <w:p>
      <w:pPr>
        <w:jc w:val="left"/>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33.履约保证金</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33.1中标供应商按合同约定要求提交履约保证金。</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33.2履约保证金用以约束供应商在合同履行中的行为，弥补合同执行中由于自身行为可能给采购人带来的各种损失。</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33.3履约保证金（无息）将在中标供应商合同履行完毕且质保期满后，采购人在五个工作日内退返中标供应商。</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33. 合同的签订</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33.1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33.2中标供应商应按中标通知书中</w:t>
      </w:r>
      <w:r>
        <w:rPr>
          <w:rFonts w:hint="eastAsia" w:cs="宋体" w:asciiTheme="minorEastAsia" w:hAnsiTheme="minorEastAsia" w:eastAsiaTheme="minorEastAsia"/>
          <w:color w:val="auto"/>
          <w:sz w:val="24"/>
          <w:highlight w:val="none"/>
          <w:lang w:val="en-US" w:eastAsia="zh-CN"/>
        </w:rPr>
        <w:t xml:space="preserve">的</w:t>
      </w:r>
      <w:r>
        <w:rPr>
          <w:rFonts w:cs="宋体" w:asciiTheme="minorEastAsia" w:hAnsiTheme="minorEastAsia" w:eastAsiaTheme="minorEastAsia"/>
          <w:color w:val="auto"/>
          <w:sz w:val="24"/>
          <w:highlight w:val="none"/>
          <w:lang w:eastAsia="zh-CN"/>
        </w:rPr>
        <w:t xml:space="preserve">规定，由法定代表人或授权代理人与采购人代表签订合同，否则按放弃中标权处理。</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33.3签订合同及合同条款应以招标文件和中标供应商的投标文件及其澄清文件为依据。</w:t>
      </w:r>
      <w:r/>
    </w:p>
    <w:p>
      <w:pPr>
        <w:ind w:firstLine="360"/>
        <w:jc w:val="both"/>
        <w:spacing w:after="0" w:line="43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33.4中标人无正当理由拒签合同的，或在签订合同时向采购人提出附加条件或者更改合同实质性内容的，采购人可取消其中标资格，同时由中标人承担相应的法律责任。</w:t>
      </w:r>
      <w:r/>
    </w:p>
    <w:p>
      <w:pPr>
        <w:ind w:firstLine="36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33.5签订合同后，中标人不得将货物及其他相关服务进行转包。未经采购人同意，中标人也不得采用分包的形式履行合同，否则采购人有权终止合同。转包或分包造成采购人损失的，中标人应承担相应赔偿责任。</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outlineLvl w:val="1"/>
      </w:pPr>
      <w:r>
        <w:rPr>
          <w:rFonts w:cs="宋体" w:asciiTheme="minorEastAsia" w:hAnsiTheme="minorEastAsia" w:eastAsiaTheme="minorEastAsia"/>
          <w:b/>
          <w:color w:val="auto"/>
          <w:sz w:val="24"/>
          <w:highlight w:val="none"/>
          <w:lang w:eastAsia="zh-CN"/>
        </w:rPr>
        <w:t xml:space="preserve">八、政府采购相关政策</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35.节能产品和环境标志产品</w:t>
      </w:r>
      <w:r/>
    </w:p>
    <w:p>
      <w:pPr>
        <w:ind w:firstLine="360"/>
        <w:spacing w:after="0" w:line="48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cs="宋体" w:asciiTheme="minorEastAsia" w:hAnsiTheme="minorEastAsia" w:eastAsiaTheme="minorEastAsia"/>
          <w:b/>
          <w:color w:val="auto"/>
          <w:sz w:val="24"/>
          <w:highlight w:val="none"/>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spacing w:after="0" w:line="48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36.中小企业相关政策：</w:t>
      </w:r>
      <w:r/>
    </w:p>
    <w:p>
      <w:pPr>
        <w:ind w:firstLine="482"/>
        <w:spacing w:after="0" w:line="480" w:lineRule="exact"/>
        <w:rPr>
          <w:rFonts w:asciiTheme="minorEastAsia" w:hAnsiTheme="minorEastAsia" w:eastAsiaTheme="minorEastAsia"/>
          <w:bCs/>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color w:val="auto"/>
          <w:sz w:val="24"/>
          <w:highlight w:val="none"/>
          <w:lang w:eastAsia="zh-CN"/>
        </w:rPr>
        <w:t xml:space="preserve">36.1 执行以下相关政策：</w:t>
      </w:r>
      <w:r/>
    </w:p>
    <w:p>
      <w:pPr>
        <w:ind w:firstLine="482"/>
        <w:spacing w:after="0" w:line="480" w:lineRule="exact"/>
        <w:rPr>
          <w:rFonts w:cs="仿宋" w:asciiTheme="minorEastAsia" w:hAnsiTheme="minorEastAsia" w:eastAsiaTheme="minorEastAsia"/>
          <w:bCs/>
          <w:color w:val="auto"/>
          <w:sz w:val="24"/>
          <w:szCs w:val="24"/>
          <w:highlight w:val="none"/>
          <w:shd w:val="clear" w:color="auto" w:fill="ffffff"/>
          <w:lang w:eastAsia="zh-CN"/>
        </w:rPr>
      </w:pPr>
      <w:r>
        <w:rPr>
          <w:rFonts w:hint="eastAsia" w:cs="仿宋" w:asciiTheme="minorEastAsia" w:hAnsiTheme="minorEastAsia" w:eastAsiaTheme="minorEastAsia"/>
          <w:bCs/>
          <w:color w:val="auto"/>
          <w:sz w:val="24"/>
          <w:szCs w:val="24"/>
          <w:highlight w:val="none"/>
          <w:shd w:val="clear" w:color="auto" w:fill="ffffff"/>
          <w:lang w:eastAsia="zh-CN"/>
        </w:rPr>
        <w:t xml:space="preserve">3</w:t>
      </w:r>
      <w:r>
        <w:rPr>
          <w:rFonts w:cs="仿宋" w:asciiTheme="minorEastAsia" w:hAnsiTheme="minorEastAsia" w:eastAsiaTheme="minorEastAsia"/>
          <w:bCs/>
          <w:color w:val="auto"/>
          <w:sz w:val="24"/>
          <w:szCs w:val="24"/>
          <w:highlight w:val="none"/>
          <w:shd w:val="clear" w:color="auto" w:fill="ffffff"/>
          <w:lang w:eastAsia="zh-CN"/>
        </w:rPr>
        <w:t xml:space="preserve">6.1.1、</w:t>
      </w:r>
      <w:r>
        <w:rPr>
          <w:rFonts w:hint="eastAsia" w:cs="仿宋" w:asciiTheme="minorEastAsia" w:hAnsiTheme="minorEastAsia" w:eastAsiaTheme="minorEastAsia"/>
          <w:bCs/>
          <w:color w:val="auto"/>
          <w:sz w:val="24"/>
          <w:szCs w:val="24"/>
          <w:highlight w:val="none"/>
          <w:shd w:val="clear" w:color="auto" w:fill="ffffff"/>
          <w:lang w:eastAsia="zh-CN"/>
        </w:rPr>
        <w:t xml:space="preserve">根据《政府采购促进中小企业发展管理办法》（财库﹝2020﹞46号）《关于贯彻执行绿色采购、促进残疾人就业和支持监狱企业发展有关政策的通知》（苏财购〔2019〕10号）及《关于印发《苏州市政府采购促进中小企业 发展实施意见》的通知》（苏财购〔</w:t>
      </w:r>
      <w:r>
        <w:rPr>
          <w:rFonts w:cs="仿宋" w:asciiTheme="minorEastAsia" w:hAnsiTheme="minorEastAsia" w:eastAsiaTheme="minorEastAsia"/>
          <w:bCs/>
          <w:color w:val="auto"/>
          <w:sz w:val="24"/>
          <w:szCs w:val="24"/>
          <w:highlight w:val="none"/>
          <w:shd w:val="clear" w:color="auto" w:fill="ffffff"/>
          <w:lang w:eastAsia="zh-CN"/>
        </w:rPr>
        <w:t xml:space="preserve">2022</w:t>
      </w:r>
      <w:r>
        <w:rPr>
          <w:rFonts w:hint="eastAsia" w:cs="仿宋" w:asciiTheme="minorEastAsia" w:hAnsiTheme="minorEastAsia" w:eastAsiaTheme="minorEastAsia"/>
          <w:bCs/>
          <w:color w:val="auto"/>
          <w:sz w:val="24"/>
          <w:szCs w:val="24"/>
          <w:highlight w:val="none"/>
          <w:shd w:val="clear" w:color="auto" w:fill="ffffff"/>
          <w:lang w:eastAsia="zh-CN"/>
        </w:rPr>
        <w:t xml:space="preserve">〕</w:t>
      </w:r>
      <w:r>
        <w:rPr>
          <w:rFonts w:cs="仿宋" w:asciiTheme="minorEastAsia" w:hAnsiTheme="minorEastAsia" w:eastAsiaTheme="minorEastAsia"/>
          <w:bCs/>
          <w:color w:val="auto"/>
          <w:sz w:val="24"/>
          <w:szCs w:val="24"/>
          <w:highlight w:val="none"/>
          <w:shd w:val="clear" w:color="auto" w:fill="ffffff"/>
          <w:lang w:eastAsia="zh-CN"/>
        </w:rPr>
        <w:t xml:space="preserve">16号</w:t>
      </w:r>
      <w:r>
        <w:rPr>
          <w:rFonts w:hint="eastAsia" w:cs="仿宋" w:asciiTheme="minorEastAsia" w:hAnsiTheme="minorEastAsia" w:eastAsiaTheme="minorEastAsia"/>
          <w:bCs/>
          <w:color w:val="auto"/>
          <w:sz w:val="24"/>
          <w:szCs w:val="24"/>
          <w:highlight w:val="none"/>
          <w:shd w:val="clear" w:color="auto" w:fill="ffffff"/>
          <w:lang w:eastAsia="zh-CN"/>
        </w:rPr>
        <w:t xml:space="preserve">）文件规定：</w:t>
      </w:r>
      <w:r/>
    </w:p>
    <w:p>
      <w:pPr>
        <w:ind w:firstLine="482"/>
        <w:spacing w:after="0" w:line="480" w:lineRule="exact"/>
        <w:rPr>
          <w:rFonts w:cs="仿宋" w:asciiTheme="minorEastAsia" w:hAnsiTheme="minorEastAsia" w:eastAsiaTheme="minorEastAsia"/>
          <w:b/>
          <w:color w:val="auto"/>
          <w:sz w:val="24"/>
          <w:szCs w:val="24"/>
          <w:highlight w:val="none"/>
          <w:shd w:val="clear" w:color="auto" w:fill="ffffff"/>
          <w:lang w:eastAsia="zh-CN"/>
        </w:rPr>
      </w:pPr>
      <w:r>
        <w:rPr>
          <w:rFonts w:hint="eastAsia" w:cs="仿宋" w:asciiTheme="minorEastAsia" w:hAnsiTheme="minorEastAsia" w:eastAsiaTheme="minorEastAsia"/>
          <w:b/>
          <w:color w:val="auto"/>
          <w:sz w:val="24"/>
          <w:szCs w:val="24"/>
          <w:highlight w:val="none"/>
          <w:shd w:val="clear" w:color="auto" w:fill="ffffff"/>
          <w:lang w:eastAsia="zh-CN"/>
        </w:rPr>
        <w:t xml:space="preserve">中小企业参加投标的，必须提供《中小企业声明函》或《残疾人福利性单位声明函》或由省级以上监狱管理局、戒毒管理局（含新疆生产建设兵团）出具的属于监狱企业的证明文件。</w:t>
      </w:r>
      <w:r/>
    </w:p>
    <w:p>
      <w:pPr>
        <w:ind w:firstLine="482"/>
        <w:spacing w:after="0" w:line="480" w:lineRule="exact"/>
        <w:rPr>
          <w:rFonts w:cs="仿宋" w:asciiTheme="minorEastAsia" w:hAnsiTheme="minorEastAsia" w:eastAsiaTheme="minorEastAsia"/>
          <w:b/>
          <w:color w:val="auto"/>
          <w:sz w:val="24"/>
          <w:szCs w:val="24"/>
          <w:highlight w:val="none"/>
          <w:shd w:val="clear" w:color="auto" w:fill="ffffff"/>
          <w:lang w:eastAsia="zh-CN"/>
        </w:rPr>
      </w:pPr>
      <w:r>
        <w:rPr>
          <w:rFonts w:hint="eastAsia" w:cs="仿宋" w:asciiTheme="minorEastAsia" w:hAnsiTheme="minorEastAsia" w:eastAsiaTheme="minorEastAsia"/>
          <w:b/>
          <w:color w:val="auto"/>
          <w:sz w:val="24"/>
          <w:szCs w:val="24"/>
          <w:highlight w:val="none"/>
          <w:shd w:val="clear" w:color="auto" w:fill="ffffff"/>
          <w:lang w:eastAsia="zh-CN"/>
        </w:rPr>
        <w:t xml:space="preserve">小微企业不得将合同分包给大中型企业，中型企业不得将合同分包给大型企业。</w:t>
      </w:r>
      <w:r/>
    </w:p>
    <w:p>
      <w:pPr>
        <w:ind w:firstLine="480"/>
        <w:spacing w:after="0" w:line="480" w:lineRule="exact"/>
        <w:rPr>
          <w:rFonts w:cs="仿宋" w:asciiTheme="minorEastAsia" w:hAnsiTheme="minorEastAsia" w:eastAsiaTheme="minorEastAsia"/>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color w:val="auto"/>
          <w:sz w:val="24"/>
          <w:szCs w:val="24"/>
          <w:highlight w:val="none"/>
          <w:shd w:val="clear" w:color="auto" w:fill="ffffff"/>
          <w:lang w:eastAsia="zh-CN"/>
        </w:rPr>
        <w:t xml:space="preserve">36.1.2、中小企业划分：</w:t>
      </w:r>
      <w:r/>
    </w:p>
    <w:p>
      <w:pPr>
        <w:ind w:firstLine="480"/>
        <w:spacing w:after="0" w:line="480" w:lineRule="exact"/>
        <w:rPr>
          <w:rFonts w:cs="仿宋" w:asciiTheme="minorEastAsia" w:hAnsiTheme="minorEastAsia" w:eastAsiaTheme="minorEastAsia"/>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color w:val="auto"/>
          <w:sz w:val="24"/>
          <w:szCs w:val="24"/>
          <w:highlight w:val="none"/>
          <w:shd w:val="clear" w:color="auto" w:fill="ffffff"/>
          <w:lang w:eastAsia="zh-CN"/>
        </w:rPr>
        <w:t xml:space="preserve">（1）符合中小企业划分标准的个体工商户，在政府采购活动中视同中小企业。</w:t>
      </w:r>
      <w:r/>
    </w:p>
    <w:p>
      <w:pPr>
        <w:ind w:firstLine="480"/>
        <w:spacing w:after="0" w:line="480" w:lineRule="exact"/>
        <w:rPr>
          <w:rFonts w:cs="仿宋" w:asciiTheme="minorEastAsia" w:hAnsiTheme="minorEastAsia" w:eastAsiaTheme="minorEastAsia"/>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color w:val="auto"/>
          <w:sz w:val="24"/>
          <w:szCs w:val="24"/>
          <w:highlight w:val="none"/>
          <w:shd w:val="clear" w:color="auto" w:fill="ffffff"/>
          <w:lang w:eastAsia="zh-CN"/>
        </w:rPr>
        <w:t xml:space="preserve">（2）中小企业划分标准详见“工信部联企业〔2011〕300号通知”</w:t>
      </w:r>
      <w:r/>
    </w:p>
    <w:p>
      <w:pPr>
        <w:ind w:firstLine="480"/>
        <w:spacing w:after="0" w:line="480" w:lineRule="exact"/>
        <w:rPr>
          <w:rFonts w:cs="仿宋" w:asciiTheme="minorEastAsia" w:hAnsiTheme="minorEastAsia" w:eastAsiaTheme="minorEastAsia"/>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color w:val="auto"/>
          <w:sz w:val="24"/>
          <w:szCs w:val="24"/>
          <w:highlight w:val="none"/>
          <w:shd w:val="clear" w:color="auto" w:fill="ffffff"/>
          <w:lang w:eastAsia="zh-CN"/>
        </w:rPr>
        <w:t xml:space="preserve">36.1.3残疾人福利性单位政策：</w:t>
      </w:r>
      <w:r/>
    </w:p>
    <w:p>
      <w:pPr>
        <w:ind w:firstLine="480"/>
        <w:spacing w:after="0" w:line="480" w:lineRule="exact"/>
        <w:rPr>
          <w:rFonts w:cs="仿宋" w:asciiTheme="minorEastAsia" w:hAnsiTheme="minorEastAsia" w:eastAsiaTheme="minorEastAsia"/>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color w:val="auto"/>
          <w:sz w:val="24"/>
          <w:szCs w:val="24"/>
          <w:highlight w:val="none"/>
          <w:shd w:val="clear" w:color="auto" w:fill="ffffff"/>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spacing w:after="0" w:line="480" w:lineRule="exact"/>
        <w:rPr>
          <w:rFonts w:cs="仿宋" w:asciiTheme="minorEastAsia" w:hAnsiTheme="minorEastAsia" w:eastAsiaTheme="minorEastAsia"/>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color w:val="auto"/>
          <w:sz w:val="24"/>
          <w:szCs w:val="24"/>
          <w:highlight w:val="none"/>
          <w:shd w:val="clear" w:color="auto" w:fill="ffffff"/>
          <w:lang w:eastAsia="zh-CN"/>
        </w:rPr>
        <w:t xml:space="preserve">36.1.4监狱企业发展政策：</w:t>
      </w:r>
      <w:r/>
    </w:p>
    <w:p>
      <w:pPr>
        <w:ind w:firstLine="480"/>
        <w:spacing w:after="0" w:line="480" w:lineRule="exact"/>
        <w:rPr>
          <w:rFonts w:cs="仿宋" w:asciiTheme="minorEastAsia" w:hAnsiTheme="minorEastAsia" w:eastAsiaTheme="minorEastAsia"/>
          <w:bCs/>
          <w:color w:val="auto"/>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Cs/>
          <w:color w:val="auto"/>
          <w:sz w:val="24"/>
          <w:szCs w:val="24"/>
          <w:highlight w:val="none"/>
          <w:shd w:val="clear" w:color="auto" w:fill="ffffff"/>
          <w:lang w:eastAsia="zh-CN"/>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2"/>
        <w:spacing w:after="0" w:line="480" w:lineRule="exact"/>
        <w:rPr>
          <w:rFonts w:cs="仿宋" w:asciiTheme="minorEastAsia" w:hAnsiTheme="minorEastAsia" w:eastAsiaTheme="minorEastAsia"/>
          <w:bCs/>
          <w:color w:val="auto"/>
          <w:sz w:val="24"/>
          <w:szCs w:val="24"/>
          <w:highlight w:val="none"/>
          <w:shd w:val="clear" w:color="auto" w:fill="ffffff"/>
          <w:lang w:eastAsia="zh-CN"/>
        </w:rPr>
      </w:pPr>
      <w:r>
        <w:rPr>
          <w:rFonts w:cs="仿宋" w:asciiTheme="minorEastAsia" w:hAnsiTheme="minorEastAsia" w:eastAsiaTheme="minorEastAsia"/>
          <w:bCs/>
          <w:color w:val="auto"/>
          <w:sz w:val="24"/>
          <w:szCs w:val="24"/>
          <w:highlight w:val="none"/>
          <w:shd w:val="clear" w:color="auto" w:fill="ffffff"/>
          <w:lang w:eastAsia="zh-CN"/>
        </w:rPr>
        <w:t xml:space="preserve">36.1.5、中标、成交供应商享受规定的中小企业扶持政策的，其声明函及相关证明材料应当随中标、成交结果同时公告，接受社会监督。</w:t>
      </w:r>
      <w:r/>
    </w:p>
    <w:p>
      <w:pPr>
        <w:spacing w:after="0" w:line="480" w:lineRule="exact"/>
        <w:rPr>
          <w:rFonts w:cs="宋体" w:asciiTheme="minorEastAsia" w:hAnsiTheme="minorEastAsia" w:eastAsiaTheme="minorEastAsia"/>
          <w:b/>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37.绿色数据中心政策</w:t>
      </w:r>
      <w:r/>
    </w:p>
    <w:p>
      <w:pPr>
        <w:ind w:firstLine="480"/>
        <w:spacing w:after="0" w:line="440" w:lineRule="exact"/>
        <w:rPr>
          <w:rFonts w:cs="宋体" w:asciiTheme="minorEastAsia" w:hAnsiTheme="minorEastAsia" w:eastAsiaTheme="minorEastAsia"/>
          <w:b/>
          <w:color w:val="auto"/>
          <w:sz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sz w:val="24"/>
          <w:highlight w:val="none"/>
          <w:lang w:eastAsia="zh-CN"/>
        </w:rPr>
        <w:t xml:space="preserve">37.1 </w:t>
      </w:r>
      <w:r>
        <w:rPr>
          <w:rFonts w:hint="eastAsia" w:asciiTheme="minorEastAsia" w:hAnsiTheme="minorEastAsia" w:eastAsiaTheme="minorEastAsia"/>
          <w:color w:val="auto"/>
          <w:sz w:val="24"/>
          <w:highlight w:val="none"/>
          <w:lang w:eastAsia="zh-CN"/>
        </w:rPr>
        <w:t xml:space="preserve">依据《绿色数据中心政府采购需求标准（试行）》（财办库〔2023〕7 号）文件精神，采购</w:t>
      </w:r>
      <w:r>
        <w:rPr>
          <w:rFonts w:hint="eastAsia" w:asciiTheme="minorEastAsia" w:hAnsiTheme="minorEastAsia" w:eastAsiaTheme="minorEastAsia"/>
          <w:color w:val="auto"/>
          <w:sz w:val="24"/>
          <w:highlight w:val="none"/>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after="0" w:line="440" w:lineRule="exact"/>
        <w:rPr>
          <w:rFonts w:cs="宋体" w:asciiTheme="minorEastAsia" w:hAnsiTheme="minorEastAsia" w:eastAsiaTheme="minorEastAsia"/>
          <w:b/>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38.商品包装、快递包装政策</w:t>
      </w:r>
      <w:r/>
    </w:p>
    <w:p>
      <w:pPr>
        <w:ind w:firstLine="480"/>
        <w:spacing w:after="0" w:line="440" w:lineRule="exact"/>
        <w:rPr>
          <w:rFonts w:cs="宋体" w:asciiTheme="minorEastAsia" w:hAnsiTheme="minorEastAsia" w:eastAsiaTheme="minorEastAsia"/>
          <w:b/>
          <w:color w:val="auto"/>
          <w:sz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sz w:val="24"/>
          <w:highlight w:val="none"/>
          <w:lang w:eastAsia="zh-CN"/>
        </w:rPr>
        <w:t xml:space="preserve">38.1 </w:t>
      </w:r>
      <w:r>
        <w:rPr>
          <w:rFonts w:hint="eastAsia" w:asciiTheme="minorEastAsia" w:hAnsiTheme="minorEastAsia" w:eastAsiaTheme="minorEastAsia"/>
          <w:color w:val="auto"/>
          <w:sz w:val="24"/>
          <w:highlight w:val="none"/>
          <w:lang w:eastAsia="zh-CN"/>
        </w:rPr>
        <w:t xml:space="preserve">依据</w:t>
      </w:r>
      <w:r>
        <w:rPr>
          <w:rFonts w:asciiTheme="minorEastAsia" w:hAnsiTheme="minorEastAsia" w:eastAsiaTheme="minorEastAsia"/>
          <w:color w:val="auto"/>
          <w:sz w:val="24"/>
          <w:highlight w:val="none"/>
          <w:lang w:eastAsia="zh-CN"/>
        </w:rPr>
        <w:t xml:space="preserve">《关于印发〈商品包装政府采购需求标准（试行）〉、〈快递包装政府采购需求标准（试行）〉的通知》（财办库〔2020〕123号）</w:t>
      </w:r>
      <w:r>
        <w:rPr>
          <w:rFonts w:hint="eastAsia" w:asciiTheme="minorEastAsia" w:hAnsiTheme="minorEastAsia" w:eastAsiaTheme="minorEastAsia"/>
          <w:color w:val="auto"/>
          <w:sz w:val="24"/>
          <w:highlight w:val="none"/>
          <w:lang w:eastAsia="zh-CN"/>
        </w:rPr>
        <w:t xml:space="preserve">文件</w:t>
      </w:r>
      <w:r>
        <w:rPr>
          <w:rFonts w:asciiTheme="minorEastAsia" w:hAnsiTheme="minorEastAsia" w:eastAsiaTheme="minorEastAsia"/>
          <w:color w:val="auto"/>
          <w:sz w:val="24"/>
          <w:highlight w:val="none"/>
          <w:lang w:eastAsia="zh-CN"/>
        </w:rPr>
        <w:t xml:space="preserve">精神</w:t>
      </w:r>
      <w:r>
        <w:rPr>
          <w:rFonts w:hint="eastAsia" w:asciiTheme="minorEastAsia" w:hAnsiTheme="minorEastAsia" w:eastAsiaTheme="minorEastAsia"/>
          <w:color w:val="auto"/>
          <w:sz w:val="24"/>
          <w:highlight w:val="none"/>
          <w:lang w:eastAsia="zh-CN"/>
        </w:rPr>
        <w:t xml:space="preserve">，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after="0" w:line="440" w:lineRule="exact"/>
        <w:rPr>
          <w:rFonts w:asciiTheme="minorEastAsia" w:hAnsiTheme="minorEastAsia" w:eastAsiaTheme="minorEastAsia"/>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color w:val="auto"/>
          <w:sz w:val="24"/>
          <w:highlight w:val="none"/>
          <w:lang w:eastAsia="zh-CN"/>
        </w:rPr>
        <w:t xml:space="preserve">39.采购本国产品的支持政策</w:t>
      </w:r>
      <w:r/>
    </w:p>
    <w:p>
      <w:pPr>
        <w:ind w:firstLine="480"/>
        <w:spacing w:after="0" w:line="440" w:lineRule="exact"/>
        <w:rPr>
          <w:rFonts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lang w:eastAsia="zh-CN"/>
        </w:rPr>
        <w:t xml:space="preserve">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after="0" w:line="440" w:lineRule="exact"/>
        <w:rPr>
          <w:rFonts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lang w:eastAsia="zh-CN"/>
        </w:rPr>
        <w:t xml:space="preserve">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after="0" w:line="440" w:lineRule="exact"/>
        <w:rPr>
          <w:rFonts w:asciiTheme="minorEastAsia" w:hAnsiTheme="minorEastAsia" w:eastAsiaTheme="minorEastAsia"/>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lang w:eastAsia="zh-CN"/>
        </w:rPr>
        <w:t xml:space="preserve">39.3 本项目政府采购活动中既有本国产品又有非本国产品参与竞争的，依法对本国产品给予价格评审优惠，</w:t>
      </w:r>
      <w:r>
        <w:rPr>
          <w:rFonts w:hint="eastAsia" w:asciiTheme="minorEastAsia" w:hAnsiTheme="minorEastAsia" w:eastAsiaTheme="minorEastAsia"/>
          <w:b/>
          <w:bCs/>
          <w:color w:val="auto"/>
          <w:sz w:val="24"/>
          <w:highlight w:val="none"/>
          <w:lang w:eastAsia="zh-CN"/>
        </w:rPr>
        <w:t xml:space="preserve">对本国产品的报价给予20%的价格扣除，用扣除后的价格参与评审。</w:t>
      </w:r>
      <w:r/>
    </w:p>
    <w:p>
      <w:pPr>
        <w:ind w:firstLine="480"/>
        <w:spacing w:after="0" w:line="440" w:lineRule="exact"/>
        <w:rPr>
          <w:rFonts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lang w:eastAsia="zh-CN"/>
        </w:rPr>
        <w:t xml:space="preserve">39.4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spacing w:after="0" w:line="440" w:lineRule="exact"/>
        <w:rPr>
          <w:rFonts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lang w:eastAsia="zh-CN"/>
        </w:rPr>
        <w:t xml:space="preserve">39.5 供应商需按照招标文件的要求提供《关于符合本国产品标准的声明函》（以下简称《声明函》），</w:t>
      </w:r>
      <w:r>
        <w:rPr>
          <w:rFonts w:hint="eastAsia" w:asciiTheme="minorEastAsia" w:hAnsiTheme="minorEastAsia" w:eastAsiaTheme="minorEastAsia"/>
          <w:b/>
          <w:bCs/>
          <w:color w:val="auto"/>
          <w:sz w:val="24"/>
          <w:highlight w:val="none"/>
          <w:lang w:eastAsia="zh-CN"/>
        </w:rPr>
        <w:t xml:space="preserve">如不提供将不享受本国产品价格评审优惠。</w:t>
      </w:r>
      <w:r/>
    </w:p>
    <w:p>
      <w:pPr>
        <w:ind w:firstLine="480"/>
        <w:spacing w:after="0" w:line="440" w:lineRule="exact"/>
        <w:rPr>
          <w:rFonts w:asciiTheme="minorEastAsia" w:hAnsiTheme="minorEastAsia" w:eastAsiaTheme="minorEastAsia"/>
          <w:b w:val="0"/>
          <w:bCs w:val="0"/>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val="0"/>
          <w:bCs w:val="0"/>
          <w:color w:val="auto"/>
          <w:sz w:val="24"/>
          <w:highlight w:val="none"/>
          <w:lang w:eastAsia="zh-CN"/>
        </w:rPr>
        <w:t xml:space="preserve">39.6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spacing w:after="0" w:line="440" w:lineRule="exact"/>
        <w:rPr>
          <w:rFonts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val="0"/>
          <w:bCs w:val="0"/>
          <w:color w:val="auto"/>
          <w:sz w:val="24"/>
          <w:highlight w:val="none"/>
          <w:lang w:eastAsia="zh-CN"/>
        </w:rPr>
        <w:t xml:space="preserve">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w:t>
      </w:r>
      <w:r>
        <w:rPr>
          <w:rFonts w:hint="eastAsia" w:asciiTheme="minorEastAsia" w:hAnsiTheme="minorEastAsia" w:eastAsiaTheme="minorEastAsia"/>
          <w:color w:val="auto"/>
          <w:sz w:val="24"/>
          <w:highlight w:val="none"/>
          <w:lang w:eastAsia="zh-CN"/>
        </w:rPr>
        <w:t xml:space="preserve">符合《国务院办公厅关于在政府采购中实施本国产品标准及相关政策的通知》（国办发〔2025〕34号）和招标文件规定的，供应商提供的相关产品视为不符合本国产品标准。</w:t>
      </w:r>
      <w:r/>
    </w:p>
    <w:p>
      <w:pPr>
        <w:spacing w:after="0" w:line="440" w:lineRule="exact"/>
        <w:rPr>
          <w:rFonts w:asciiTheme="minorEastAsia" w:hAnsiTheme="minorEastAsia" w:eastAsiaTheme="minorEastAsia"/>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color w:val="auto"/>
          <w:sz w:val="24"/>
          <w:highlight w:val="none"/>
          <w:lang w:eastAsia="zh-CN"/>
        </w:rPr>
        <w:t xml:space="preserve">九、其他事项</w:t>
      </w:r>
      <w:r/>
    </w:p>
    <w:p>
      <w:pPr>
        <w:spacing w:after="0" w:line="440" w:lineRule="exact"/>
        <w:rPr>
          <w:rFonts w:asciiTheme="minorEastAsia" w:hAnsiTheme="minorEastAsia" w:eastAsiaTheme="minorEastAsia"/>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color w:val="auto"/>
          <w:sz w:val="24"/>
          <w:highlight w:val="none"/>
          <w:lang w:eastAsia="zh-CN"/>
        </w:rPr>
        <w:t xml:space="preserve">40. 监督和公证</w:t>
      </w:r>
      <w:r/>
    </w:p>
    <w:p>
      <w:pPr>
        <w:ind w:firstLine="480"/>
        <w:spacing w:after="0" w:line="440" w:lineRule="exact"/>
        <w:rPr>
          <w:rFonts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lang w:eastAsia="zh-CN"/>
        </w:rPr>
        <w:t xml:space="preserve">40.1政府有关监督部门将对招投标全过程进行监督。</w:t>
      </w:r>
      <w:r/>
    </w:p>
    <w:p>
      <w:pPr>
        <w:ind w:firstLine="480"/>
        <w:spacing w:after="0" w:line="440" w:lineRule="exact"/>
        <w:rPr>
          <w:rFonts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lang w:eastAsia="zh-CN"/>
        </w:rPr>
        <w:t xml:space="preserve">40.2采购代理机构的招标过程将依采购人申请，通过公证机关进行公证。</w:t>
      </w:r>
      <w:r/>
    </w:p>
    <w:p>
      <w:pPr>
        <w:spacing w:after="0" w:line="440" w:lineRule="exact"/>
        <w:rPr>
          <w:rFonts w:asciiTheme="minorEastAsia" w:hAnsiTheme="minorEastAsia" w:eastAsiaTheme="minorEastAsia"/>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bCs/>
          <w:color w:val="auto"/>
          <w:sz w:val="24"/>
          <w:highlight w:val="none"/>
          <w:lang w:eastAsia="zh-CN"/>
        </w:rPr>
        <w:t xml:space="preserve">41.未尽事宜</w:t>
      </w:r>
      <w:r/>
    </w:p>
    <w:p>
      <w:pPr>
        <w:ind w:firstLine="480"/>
        <w:spacing w:after="0" w:line="440" w:lineRule="exact"/>
        <w:rPr>
          <w:rFonts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auto"/>
          <w:sz w:val="24"/>
          <w:highlight w:val="none"/>
          <w:lang w:eastAsia="zh-CN"/>
        </w:rPr>
        <w:t xml:space="preserve">按《中华人民共和国政府采购法》及其他有关法律法规的规定执行。</w:t>
      </w:r>
      <w:r/>
    </w:p>
    <w:p>
      <w:pP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br w:type="page" w:clear="all"/>
      </w:r>
      <w:r/>
    </w:p>
    <w:p>
      <w:pPr>
        <w:jc w:val="center"/>
        <w:spacing w:before="240" w:after="240"/>
        <w:rPr>
          <w:rFonts w:asciiTheme="minorEastAsia" w:hAnsiTheme="minorEastAsia" w:eastAsiaTheme="minorEastAsia"/>
          <w:color w:val="auto"/>
          <w:szCs w:val="21"/>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44"/>
          <w:highlight w:val="none"/>
          <w:lang w:eastAsia="zh-CN"/>
        </w:rPr>
        <w:t xml:space="preserve">第三部分</w:t>
      </w:r>
      <w:r>
        <w:rPr>
          <w:rFonts w:hint="eastAsia" w:cs="宋体" w:asciiTheme="minorEastAsia" w:hAnsiTheme="minorEastAsia" w:eastAsiaTheme="minorEastAsia"/>
          <w:b/>
          <w:color w:val="auto"/>
          <w:sz w:val="44"/>
          <w:highlight w:val="none"/>
          <w:lang w:eastAsia="zh-CN"/>
        </w:rPr>
        <w:t xml:space="preserve">    </w:t>
      </w:r>
      <w:r>
        <w:rPr>
          <w:rFonts w:cs="宋体" w:asciiTheme="minorEastAsia" w:hAnsiTheme="minorEastAsia" w:eastAsiaTheme="minorEastAsia"/>
          <w:b/>
          <w:color w:val="auto"/>
          <w:sz w:val="44"/>
          <w:highlight w:val="none"/>
          <w:lang w:eastAsia="zh-CN"/>
        </w:rPr>
        <w:t xml:space="preserve">项目需求</w:t>
      </w:r>
      <w:r/>
    </w:p>
    <w:p>
      <w:pPr>
        <w:pStyle w:val="938"/>
        <w:spacing w:line="480" w:lineRule="exact"/>
        <w:rPr>
          <w:rFonts w:asciiTheme="minorEastAsia" w:hAnsiTheme="minorEastAsia" w:eastAsiaTheme="minorEastAsia"/>
          <w:b/>
          <w:color w:val="auto"/>
          <w:sz w:val="24"/>
          <w:szCs w:val="24"/>
          <w:highlight w:val="none"/>
          <w:lang w:eastAsia="zh-CN"/>
        </w:rPr>
      </w:pPr>
      <w:r/>
      <w:bookmarkStart w:id="15" w:name="_Toc13642117"/>
      <w:r/>
      <w:bookmarkStart w:id="16" w:name="_Toc13889377"/>
      <w:r>
        <w:rPr>
          <w:rFonts w:hint="eastAsia" w:asciiTheme="minorEastAsia" w:hAnsiTheme="minorEastAsia" w:eastAsiaTheme="minorEastAsia"/>
          <w:b/>
          <w:color w:val="auto"/>
          <w:sz w:val="24"/>
          <w:szCs w:val="24"/>
          <w:highlight w:val="none"/>
          <w:lang w:eastAsia="zh-CN"/>
        </w:rPr>
        <w:t xml:space="preserve">一、项目基本情况：</w:t>
      </w:r>
      <w:r/>
    </w:p>
    <w:p>
      <w:pPr>
        <w:pStyle w:val="938"/>
        <w:spacing w:line="48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（一）物业情况：</w:t>
      </w:r>
      <w:r/>
    </w:p>
    <w:p>
      <w:pPr>
        <w:pStyle w:val="938"/>
        <w:ind w:firstLine="240"/>
        <w:spacing w:line="480" w:lineRule="exact"/>
        <w:rPr>
          <w:rFonts w:hint="eastAsia"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bCs/>
          <w:color w:val="auto"/>
          <w:sz w:val="24"/>
          <w:szCs w:val="24"/>
          <w:highlight w:val="none"/>
          <w:lang w:eastAsia="zh-CN"/>
        </w:rPr>
        <w:t xml:space="preserve">1.项目总建筑面积：约 46064 平方米。（其中浏河人民医院建筑面积约 39964 平方米，地下室面积约 1400 平方米，地上建筑面积约38264平方米；新塘分院建筑面积约6100平方米，地下室面积约 200 平方米，地上建筑面积约5900平方米）</w:t>
      </w:r>
      <w:r/>
    </w:p>
    <w:p>
      <w:pPr>
        <w:pStyle w:val="938"/>
        <w:ind w:firstLine="240"/>
        <w:spacing w:line="480" w:lineRule="exact"/>
        <w:rPr>
          <w:rFonts w:hint="eastAsia"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bCs/>
          <w:color w:val="auto"/>
          <w:sz w:val="24"/>
          <w:szCs w:val="24"/>
          <w:highlight w:val="none"/>
          <w:lang w:eastAsia="zh-CN"/>
        </w:rPr>
        <w:t xml:space="preserve">2.项目服务区域：地下层为设备用房及机动车停车库；门急诊楼；病房楼（病床总数288 张）；医技楼；健康管理中心；后勤楼；</w:t>
      </w:r>
      <w:r>
        <w:rPr>
          <w:rFonts w:hint="eastAsia" w:asciiTheme="minorEastAsia" w:hAnsiTheme="minorEastAsia" w:eastAsiaTheme="minorEastAsia"/>
          <w:bCs/>
          <w:color w:val="auto"/>
          <w:sz w:val="24"/>
          <w:szCs w:val="24"/>
          <w:highlight w:val="none"/>
          <w:lang w:val="en-US" w:eastAsia="zh-CN"/>
        </w:rPr>
        <w:t xml:space="preserve">公共区域；</w:t>
      </w:r>
      <w:r>
        <w:rPr>
          <w:rFonts w:hint="eastAsia" w:asciiTheme="minorEastAsia" w:hAnsiTheme="minorEastAsia" w:eastAsiaTheme="minorEastAsia"/>
          <w:bCs/>
          <w:color w:val="auto"/>
          <w:sz w:val="24"/>
          <w:szCs w:val="24"/>
          <w:highlight w:val="none"/>
          <w:lang w:eastAsia="zh-CN"/>
        </w:rPr>
        <w:t xml:space="preserve">新塘分院及公共区域（具体请投标人自行前往现场踏勘）。</w:t>
      </w:r>
      <w:r/>
    </w:p>
    <w:p>
      <w:pPr>
        <w:pStyle w:val="938"/>
        <w:spacing w:line="480" w:lineRule="exact"/>
        <w:rPr>
          <w:rFonts w:asciiTheme="minorEastAsia" w:hAnsiTheme="minorEastAsia" w:eastAsiaTheme="minorEastAsia"/>
          <w:b/>
          <w:color w:val="auto"/>
          <w:sz w:val="24"/>
          <w:szCs w:val="24"/>
          <w:highlight w:val="none"/>
          <w:lang w:eastAsia="zh-CN"/>
        </w:rPr>
      </w:pPr>
      <w:r/>
      <w:bookmarkStart w:id="17" w:name="OLE_LINK43"/>
      <w:r/>
      <w:bookmarkStart w:id="18" w:name="OLE_LINK44"/>
      <w:r>
        <w:rPr>
          <w:rFonts w:asciiTheme="minorEastAsia" w:hAnsiTheme="minorEastAsia" w:eastAsiaTheme="minorEastAsia"/>
          <w:b/>
          <w:color w:val="auto"/>
          <w:sz w:val="24"/>
          <w:szCs w:val="24"/>
          <w:highlight w:val="none"/>
          <w:lang w:eastAsia="zh-CN"/>
        </w:rPr>
        <w:t xml:space="preserve">（二）</w:t>
      </w:r>
      <w:bookmarkStart w:id="19" w:name="OLE_LINK58"/>
      <w:r>
        <w:rPr>
          <w:rFonts w:asciiTheme="minorEastAsia" w:hAnsiTheme="minorEastAsia" w:eastAsiaTheme="minorEastAsia"/>
          <w:b/>
          <w:color w:val="auto"/>
          <w:sz w:val="24"/>
          <w:szCs w:val="24"/>
          <w:highlight w:val="none"/>
          <w:lang w:eastAsia="zh-CN"/>
        </w:rPr>
        <w:t xml:space="preserve">采购人提供供应商使用的场地、设施、设备、材料等</w:t>
      </w:r>
      <w:bookmarkEnd w:id="17"/>
      <w:r/>
      <w:bookmarkEnd w:id="18"/>
      <w:r/>
      <w:bookmarkEnd w:id="19"/>
      <w:r>
        <w:rPr>
          <w:rFonts w:asciiTheme="minorEastAsia" w:hAnsiTheme="minorEastAsia" w:eastAsiaTheme="minorEastAsia"/>
          <w:b/>
          <w:color w:val="auto"/>
          <w:sz w:val="24"/>
          <w:szCs w:val="24"/>
          <w:highlight w:val="none"/>
          <w:lang w:eastAsia="zh-CN"/>
        </w:rPr>
        <w:t xml:space="preserve">：</w:t>
      </w:r>
      <w:r/>
    </w:p>
    <w:p>
      <w:pPr>
        <w:pStyle w:val="938"/>
        <w:ind w:firstLine="240"/>
        <w:spacing w:line="480" w:lineRule="exact"/>
        <w:rPr>
          <w:rFonts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bCs/>
          <w:color w:val="auto"/>
          <w:sz w:val="24"/>
          <w:szCs w:val="24"/>
          <w:highlight w:val="none"/>
          <w:lang w:eastAsia="zh-CN"/>
        </w:rPr>
        <w:t xml:space="preserve">1.采购人在门诊楼免费提供两间管理人员办公室及库房，安装有空调，在服务期限内给中标人免费使用，免费提供水电。办公用品由供应商自行解决。</w:t>
      </w:r>
      <w:r/>
    </w:p>
    <w:p>
      <w:pPr>
        <w:pStyle w:val="938"/>
        <w:ind w:firstLine="240"/>
        <w:spacing w:line="480" w:lineRule="exact"/>
        <w:rPr>
          <w:rFonts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bCs/>
          <w:color w:val="auto"/>
          <w:sz w:val="24"/>
          <w:szCs w:val="24"/>
          <w:highlight w:val="none"/>
          <w:lang w:eastAsia="zh-CN"/>
        </w:rPr>
        <w:t xml:space="preserve">2.提供各病区的后勤服务用房场地；医疗废物存放处理室一间。</w:t>
      </w:r>
      <w:r/>
    </w:p>
    <w:p>
      <w:pPr>
        <w:pStyle w:val="938"/>
        <w:ind w:firstLine="240"/>
        <w:spacing w:line="480" w:lineRule="exact"/>
        <w:rPr>
          <w:rFonts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bCs/>
          <w:color w:val="auto"/>
          <w:sz w:val="24"/>
          <w:szCs w:val="24"/>
          <w:highlight w:val="none"/>
          <w:lang w:eastAsia="zh-CN"/>
        </w:rPr>
        <w:t xml:space="preserve">3.采购人可提供管理人员食堂就餐，餐费由供应商自理。</w:t>
      </w:r>
      <w:r/>
    </w:p>
    <w:p>
      <w:pPr>
        <w:pStyle w:val="938"/>
        <w:ind w:firstLine="240"/>
        <w:spacing w:line="480" w:lineRule="exact"/>
        <w:rPr>
          <w:rFonts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bCs/>
          <w:color w:val="auto"/>
          <w:sz w:val="24"/>
          <w:szCs w:val="24"/>
          <w:highlight w:val="none"/>
          <w:lang w:eastAsia="zh-CN"/>
        </w:rPr>
        <w:t xml:space="preserve">4.采购人可提供的低值易耗品，包括医疗废品收集包装的废物桶、利器盒、黄色医疗垃圾收集袋、樟脑丸等。</w:t>
      </w:r>
      <w:r/>
    </w:p>
    <w:p>
      <w:pPr>
        <w:pStyle w:val="938"/>
        <w:ind w:firstLine="240"/>
        <w:spacing w:line="480" w:lineRule="exact"/>
        <w:rPr>
          <w:rFonts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bCs/>
          <w:color w:val="auto"/>
          <w:sz w:val="24"/>
          <w:szCs w:val="24"/>
          <w:highlight w:val="none"/>
          <w:lang w:eastAsia="zh-CN"/>
        </w:rPr>
        <w:t xml:space="preserve">5.采购人负责提供锐器盒、消毒剂、医疗垃圾的外运费和垃圾处理费用。</w:t>
      </w:r>
      <w:r/>
    </w:p>
    <w:p>
      <w:pPr>
        <w:pStyle w:val="938"/>
        <w:ind w:firstLine="240"/>
        <w:spacing w:line="480" w:lineRule="exact"/>
        <w:rPr>
          <w:rFonts w:asciiTheme="minorEastAsia" w:hAnsiTheme="minorEastAsia" w:eastAsiaTheme="minorEastAsia"/>
          <w:bCs/>
          <w:color w:val="auto"/>
          <w:sz w:val="24"/>
          <w:szCs w:val="24"/>
          <w:highlight w:val="none"/>
          <w:lang w:eastAsia="zh-CN"/>
        </w:rPr>
      </w:pPr>
      <w:r>
        <w:rPr>
          <w:rFonts w:hint="eastAsia" w:asciiTheme="minorEastAsia" w:hAnsiTheme="minorEastAsia" w:eastAsiaTheme="minorEastAsia"/>
          <w:bCs/>
          <w:color w:val="auto"/>
          <w:sz w:val="24"/>
          <w:szCs w:val="24"/>
          <w:highlight w:val="none"/>
          <w:lang w:eastAsia="zh-CN"/>
        </w:rPr>
        <w:t xml:space="preserve">6.采购人负责提供中标单位办公、保洁等设备正常使用情况下所产生的水电费用，设备及材料由中标单位承担；医院提供所有的消毒剂、医疗垃圾袋、医疗垃圾桶；中标单位提供垃圾篓、桶等垃圾存放设施及门急诊、公共区域、病区等生活垃圾袋。</w:t>
      </w:r>
      <w:r/>
    </w:p>
    <w:p>
      <w:pPr>
        <w:pStyle w:val="938"/>
        <w:spacing w:line="48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二、物业服务范围：</w:t>
      </w:r>
      <w:r/>
    </w:p>
    <w:p>
      <w:pPr>
        <w:pStyle w:val="938"/>
        <w:ind w:firstLine="480"/>
        <w:spacing w:line="480" w:lineRule="exact"/>
        <w:rPr>
          <w:rFonts w:asciiTheme="minorEastAsia" w:hAnsiTheme="minorEastAsia" w:eastAsiaTheme="minorEastAsia"/>
          <w:color w:val="auto"/>
          <w:sz w:val="24"/>
          <w:szCs w:val="24"/>
          <w:highlight w:val="none"/>
          <w:lang w:eastAsia="zh-CN"/>
        </w:rPr>
      </w:pPr>
      <w:r/>
      <w:bookmarkStart w:id="20" w:name="OLE_LINK12"/>
      <w:r/>
      <w:bookmarkStart w:id="21" w:name="OLE_LINK13"/>
      <w:r>
        <w:rPr>
          <w:rFonts w:asciiTheme="minorEastAsia" w:hAnsiTheme="minorEastAsia" w:eastAsiaTheme="minorEastAsia"/>
          <w:color w:val="auto"/>
          <w:sz w:val="24"/>
          <w:szCs w:val="24"/>
          <w:highlight w:val="none"/>
          <w:lang w:eastAsia="zh-CN"/>
        </w:rPr>
        <w:t xml:space="preserve">物业管理（物业管理范围内的大楼）</w:t>
      </w:r>
      <w:bookmarkEnd w:id="20"/>
      <w:r/>
      <w:bookmarkEnd w:id="21"/>
      <w:r/>
      <w:r/>
    </w:p>
    <w:tbl>
      <w:tblPr>
        <w:tblStyle w:val="781"/>
        <w:tblW w:w="92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6"/>
        <w:gridCol w:w="1448"/>
        <w:gridCol w:w="6522"/>
        <w:gridCol w:w="18"/>
      </w:tblGrid>
      <w:tr>
        <w:trPr>
          <w:gridAfter w:val="1"/>
          <w:jc w:val="center"/>
          <w:trHeight w:val="409"/>
        </w:trPr>
        <w:tc>
          <w:tcPr>
            <w:tcW w:w="1296" w:type="dxa"/>
            <w:vAlign w:val="center"/>
            <w:textDirection w:val="lrTb"/>
            <w:noWrap w:val="false"/>
          </w:tcPr>
          <w:p>
            <w:pPr>
              <w:pStyle w:val="1002"/>
              <w:jc w:val="center"/>
              <w:spacing w:after="0" w:line="240" w:lineRule="auto"/>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名称</w:t>
            </w:r>
            <w:r/>
          </w:p>
        </w:tc>
        <w:tc>
          <w:tcPr>
            <w:gridSpan w:val="2"/>
            <w:tcW w:w="7970" w:type="dxa"/>
            <w:vAlign w:val="center"/>
            <w:textDirection w:val="lrTb"/>
            <w:noWrap w:val="false"/>
          </w:tcPr>
          <w:p>
            <w:pPr>
              <w:pStyle w:val="1002"/>
              <w:jc w:val="center"/>
              <w:spacing w:after="0" w:line="240" w:lineRule="auto"/>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明细</w:t>
            </w:r>
            <w:r/>
          </w:p>
        </w:tc>
      </w:tr>
      <w:tr>
        <w:trPr>
          <w:gridAfter w:val="1"/>
          <w:jc w:val="center"/>
          <w:trHeight w:val="825"/>
        </w:trPr>
        <w:tc>
          <w:tcPr>
            <w:tcW w:w="1296" w:type="dxa"/>
            <w:vAlign w:val="center"/>
            <w:textDirection w:val="lrTb"/>
            <w:noWrap w:val="false"/>
          </w:tcPr>
          <w:p>
            <w:pPr>
              <w:pStyle w:val="1002"/>
              <w:jc w:val="both"/>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目前在用大楼</w:t>
            </w:r>
            <w:r/>
          </w:p>
        </w:tc>
        <w:tc>
          <w:tcPr>
            <w:gridSpan w:val="2"/>
            <w:tcW w:w="7970" w:type="dxa"/>
            <w:vAlign w:val="center"/>
            <w:textDirection w:val="lrTb"/>
            <w:noWrap w:val="false"/>
          </w:tcPr>
          <w:p>
            <w:pPr>
              <w:pStyle w:val="1002"/>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住院楼（9层）、门诊楼（4层）、医技楼（3层），健康管理中心楼（4层）、后勤楼（3层）、新塘分院（4层）及五个社区卫生服务站等</w:t>
            </w:r>
            <w:r/>
          </w:p>
        </w:tc>
      </w:tr>
      <w:tr>
        <w:trPr>
          <w:gridAfter w:val="1"/>
          <w:jc w:val="center"/>
          <w:trHeight w:val="496"/>
        </w:trPr>
        <w:tc>
          <w:tcPr>
            <w:tcW w:w="1296" w:type="dxa"/>
            <w:vAlign w:val="center"/>
            <w:textDirection w:val="lrTb"/>
            <w:noWrap w:val="false"/>
          </w:tcPr>
          <w:p>
            <w:pPr>
              <w:pStyle w:val="1002"/>
              <w:jc w:val="both"/>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服务内容</w:t>
            </w:r>
            <w:r/>
          </w:p>
          <w:p>
            <w:pPr>
              <w:pStyle w:val="1002"/>
              <w:jc w:val="both"/>
              <w:spacing w:after="0" w:line="240" w:lineRule="auto"/>
              <w:rPr>
                <w:rFonts w:ascii="宋体" w:hAnsi="宋体" w:eastAsia="宋体" w:cs="宋体"/>
                <w:bCs/>
                <w:color w:val="auto"/>
                <w:sz w:val="24"/>
                <w:szCs w:val="24"/>
                <w:highlight w:val="none"/>
                <w:lang w:eastAsia="zh-CN"/>
              </w:rPr>
            </w:pPr>
            <w:r>
              <w:rPr>
                <w:rFonts w:ascii="宋体" w:hAnsi="宋体" w:eastAsia="宋体" w:cs="宋体"/>
                <w:bCs/>
                <w:color w:val="auto"/>
                <w:sz w:val="24"/>
                <w:szCs w:val="24"/>
                <w:highlight w:val="none"/>
                <w:lang w:eastAsia="zh-CN"/>
              </w:rPr>
            </w:r>
            <w:r/>
          </w:p>
        </w:tc>
        <w:tc>
          <w:tcPr>
            <w:gridSpan w:val="2"/>
            <w:tcW w:w="7970" w:type="dxa"/>
            <w:vAlign w:val="center"/>
            <w:textDirection w:val="lrTb"/>
            <w:noWrap w:val="false"/>
          </w:tcPr>
          <w:p>
            <w:pPr>
              <w:pStyle w:val="1002"/>
              <w:jc w:val="both"/>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卫生保洁（含日常保洁和专项保洁）、垃圾清运（生活垃圾及医疗垃圾）、运送服务（病人护送、标本运送）、手术室驻守服务及五个社区服务站卫生保洁（含日常保洁和专项保洁，每周一次）。</w:t>
            </w:r>
            <w:r/>
          </w:p>
        </w:tc>
      </w:tr>
      <w:tr>
        <w:trPr>
          <w:jc w:val="center"/>
          <w:trHeight w:val="496"/>
        </w:trPr>
        <w:tc>
          <w:tcPr>
            <w:tcW w:w="1296" w:type="dxa"/>
            <w:vAlign w:val="center"/>
            <w:vMerge w:val="restart"/>
            <w:textDirection w:val="lrTb"/>
            <w:noWrap w:val="false"/>
          </w:tcPr>
          <w:p>
            <w:pPr>
              <w:pStyle w:val="1002"/>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服务区域和范围</w:t>
            </w:r>
            <w:r/>
          </w:p>
        </w:tc>
        <w:tc>
          <w:tcPr>
            <w:tcW w:w="1448" w:type="dxa"/>
            <w:vAlign w:val="center"/>
            <w:textDirection w:val="lrTb"/>
            <w:noWrap w:val="false"/>
          </w:tcPr>
          <w:p>
            <w:pPr>
              <w:pStyle w:val="1002"/>
              <w:spacing w:after="0" w:line="24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日常卫生保洁</w:t>
            </w:r>
            <w:r/>
          </w:p>
        </w:tc>
        <w:tc>
          <w:tcPr>
            <w:gridSpan w:val="2"/>
            <w:tcW w:w="6540" w:type="dxa"/>
            <w:vAlign w:val="center"/>
            <w:textDirection w:val="lrTb"/>
            <w:noWrap w:val="false"/>
          </w:tcPr>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病区保洁：病房(地面、设备带、各种挂件、输液架、门窗台、玻璃、橱门、天花墙面、空调出回风口、灯具等）及配套卫生间全部设施；辅助用房（治疗室、处置室、医护办公室、护士站、更衣室、休息室、开水间、配餐间、库房、医护卫生间等内全部设施）；公共区域（走廊、通道、大卫间全部设施、消防设施等)；床单元终末处理；</w:t>
            </w:r>
            <w:r/>
          </w:p>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2.门急诊保洁（地面、设施、隔板、水池、自助设备等）；</w:t>
            </w:r>
            <w:r/>
          </w:p>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3.健康管理中心保洁（地面、设备带、各种挂件、门窗台、玻璃、橱门、天花墙面、空调出回风口、灯具等，以及配套卫生间等全部设施）</w:t>
            </w:r>
            <w:r/>
          </w:p>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4.后勤楼保洁（地面、设备带、各种挂件、门窗台、玻璃、橱门、天花墙面、空调出回风口、灯具等，以及配套卫生间等全部设施）</w:t>
            </w:r>
            <w:r/>
          </w:p>
          <w:p>
            <w:pPr>
              <w:spacing w:after="0"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5.医技楼保洁（地面、设备带、各种挂件、门窗台、玻璃、橱门、天花墙面、空调出回风口、灯具等，以及配套卫生间等全部设施）</w:t>
            </w:r>
            <w:r/>
          </w:p>
          <w:p>
            <w:pPr>
              <w:spacing w:after="0" w:line="240" w:lineRule="auto"/>
              <w:rPr>
                <w:color w:val="auto"/>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.新塘分院</w:t>
            </w:r>
            <w:r>
              <w:rPr>
                <w:rFonts w:hint="eastAsia" w:ascii="宋体" w:hAnsi="宋体" w:eastAsia="宋体" w:cs="宋体"/>
                <w:color w:val="auto"/>
                <w:sz w:val="24"/>
                <w:szCs w:val="24"/>
                <w:highlight w:val="none"/>
                <w:lang w:val="en-US" w:eastAsia="zh-CN"/>
              </w:rPr>
              <w:t xml:space="preserve">保洁</w:t>
            </w:r>
            <w:r>
              <w:rPr>
                <w:rFonts w:hint="eastAsia" w:ascii="宋体" w:hAnsi="宋体" w:eastAsia="宋体" w:cs="宋体"/>
                <w:color w:val="auto"/>
                <w:sz w:val="24"/>
                <w:szCs w:val="24"/>
                <w:highlight w:val="none"/>
                <w:lang w:eastAsia="zh-CN"/>
              </w:rPr>
              <w:t xml:space="preserve">（地面、内墙面、办公桌、门窗</w:t>
            </w:r>
            <w:r>
              <w:rPr>
                <w:rFonts w:hint="eastAsia" w:ascii="宋体" w:hAnsi="宋体" w:eastAsia="宋体" w:cs="宋体"/>
                <w:color w:val="auto"/>
                <w:sz w:val="24"/>
                <w:szCs w:val="24"/>
                <w:highlight w:val="none"/>
                <w:lang w:val="en-US" w:eastAsia="zh-CN"/>
              </w:rPr>
              <w:t xml:space="preserve">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玻璃、水池、</w:t>
            </w:r>
            <w:r>
              <w:rPr>
                <w:rFonts w:hint="eastAsia" w:ascii="宋体" w:hAnsi="宋体" w:eastAsia="宋体" w:cs="宋体"/>
                <w:color w:val="auto"/>
                <w:sz w:val="24"/>
                <w:szCs w:val="24"/>
                <w:highlight w:val="none"/>
                <w:lang w:eastAsia="zh-CN"/>
              </w:rPr>
              <w:t xml:space="preserve">其他固定设施、</w:t>
            </w:r>
            <w:r>
              <w:rPr>
                <w:rFonts w:hint="eastAsia" w:ascii="宋体" w:hAnsi="宋体" w:eastAsia="宋体" w:cs="宋体"/>
                <w:color w:val="auto"/>
                <w:sz w:val="24"/>
                <w:szCs w:val="24"/>
                <w:highlight w:val="none"/>
                <w:lang w:val="en-US" w:eastAsia="zh-CN"/>
              </w:rPr>
              <w:t xml:space="preserve">自助机、</w:t>
            </w:r>
            <w:r>
              <w:rPr>
                <w:rFonts w:hint="eastAsia" w:ascii="宋体" w:hAnsi="宋体" w:eastAsia="宋体" w:cs="宋体"/>
                <w:color w:val="auto"/>
                <w:sz w:val="24"/>
                <w:szCs w:val="24"/>
                <w:highlight w:val="none"/>
                <w:lang w:eastAsia="zh-CN"/>
              </w:rPr>
              <w:t xml:space="preserve">业务区域内地面台面</w:t>
            </w:r>
            <w:r>
              <w:rPr>
                <w:rFonts w:hint="eastAsia" w:ascii="宋体" w:hAnsi="宋体" w:eastAsia="宋体" w:cs="宋体"/>
                <w:color w:val="auto"/>
                <w:sz w:val="24"/>
                <w:szCs w:val="24"/>
                <w:highlight w:val="none"/>
                <w:lang w:val="en-US" w:eastAsia="zh-CN"/>
              </w:rPr>
              <w:t xml:space="preserve">、天花墙面、空调出回风口、灯具等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以及配套卫生间</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lang w:val="en-US" w:eastAsia="zh-CN"/>
              </w:rPr>
              <w:t xml:space="preserve">全部设施</w:t>
            </w:r>
            <w:r>
              <w:rPr>
                <w:rFonts w:hint="eastAsia" w:ascii="宋体" w:hAnsi="宋体" w:eastAsia="宋体" w:cs="宋体"/>
                <w:color w:val="auto"/>
                <w:sz w:val="24"/>
                <w:szCs w:val="24"/>
                <w:highlight w:val="none"/>
                <w:lang w:eastAsia="zh-CN"/>
              </w:rPr>
              <w:t xml:space="preserve">）</w:t>
            </w:r>
            <w:r/>
          </w:p>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.公共区域保洁（</w:t>
            </w:r>
            <w:r>
              <w:rPr>
                <w:rFonts w:hint="eastAsia" w:ascii="宋体" w:hAnsi="宋体" w:eastAsia="宋体" w:cs="宋体"/>
                <w:color w:val="auto"/>
                <w:sz w:val="24"/>
                <w:szCs w:val="24"/>
                <w:highlight w:val="none"/>
                <w:lang w:val="en-US" w:eastAsia="zh-CN"/>
              </w:rPr>
              <w:t xml:space="preserve">含新塘分院）（</w:t>
            </w:r>
            <w:r>
              <w:rPr>
                <w:rFonts w:hint="eastAsia" w:ascii="宋体" w:hAnsi="宋体" w:eastAsia="宋体" w:cs="宋体"/>
                <w:color w:val="auto"/>
                <w:sz w:val="24"/>
                <w:szCs w:val="24"/>
                <w:highlight w:val="none"/>
                <w:lang w:eastAsia="zh-CN"/>
              </w:rPr>
              <w:t xml:space="preserve">大厅、楼梯、电梯厅、通道、卫生间、不锈钢保养、消防设施、台阶等）；</w:t>
            </w:r>
            <w:r/>
          </w:p>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.电梯保洁（</w:t>
            </w:r>
            <w:r>
              <w:rPr>
                <w:rFonts w:hint="eastAsia" w:ascii="宋体" w:hAnsi="宋体" w:eastAsia="宋体" w:cs="宋体"/>
                <w:color w:val="auto"/>
                <w:sz w:val="24"/>
                <w:szCs w:val="24"/>
                <w:highlight w:val="none"/>
                <w:lang w:val="en-US" w:eastAsia="zh-CN"/>
              </w:rPr>
              <w:t xml:space="preserve">含新塘分院）（</w:t>
            </w:r>
            <w:r>
              <w:rPr>
                <w:rFonts w:hint="eastAsia" w:ascii="宋体" w:hAnsi="宋体" w:eastAsia="宋体" w:cs="宋体"/>
                <w:color w:val="auto"/>
                <w:sz w:val="24"/>
                <w:szCs w:val="24"/>
                <w:highlight w:val="none"/>
                <w:lang w:eastAsia="zh-CN"/>
              </w:rPr>
              <w:t xml:space="preserve">顶、地面、壁保洁)；</w:t>
            </w:r>
            <w:r/>
          </w:p>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.会议室保洁（</w:t>
            </w:r>
            <w:r>
              <w:rPr>
                <w:rFonts w:hint="eastAsia" w:ascii="宋体" w:hAnsi="宋体" w:eastAsia="宋体" w:cs="宋体"/>
                <w:color w:val="auto"/>
                <w:sz w:val="24"/>
                <w:szCs w:val="24"/>
                <w:highlight w:val="none"/>
                <w:lang w:val="en-US" w:eastAsia="zh-CN"/>
              </w:rPr>
              <w:t xml:space="preserve">含新塘分院）</w:t>
            </w:r>
            <w:r>
              <w:rPr>
                <w:rFonts w:hint="eastAsia" w:ascii="宋体" w:hAnsi="宋体" w:eastAsia="宋体" w:cs="宋体"/>
                <w:color w:val="auto"/>
                <w:sz w:val="24"/>
                <w:szCs w:val="24"/>
                <w:highlight w:val="none"/>
                <w:lang w:eastAsia="zh-CN"/>
              </w:rPr>
              <w:t xml:space="preserve">;</w:t>
            </w:r>
            <w:r/>
          </w:p>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.外环境保洁（</w:t>
            </w:r>
            <w:r>
              <w:rPr>
                <w:rFonts w:hint="eastAsia" w:ascii="宋体" w:hAnsi="宋体" w:eastAsia="宋体" w:cs="宋体"/>
                <w:color w:val="auto"/>
                <w:sz w:val="24"/>
                <w:szCs w:val="24"/>
                <w:highlight w:val="none"/>
                <w:lang w:val="en-US" w:eastAsia="zh-CN"/>
              </w:rPr>
              <w:t xml:space="preserve">含新塘分院）</w:t>
            </w:r>
            <w:r>
              <w:rPr>
                <w:rFonts w:hint="eastAsia" w:ascii="宋体" w:hAnsi="宋体" w:eastAsia="宋体" w:cs="宋体"/>
                <w:color w:val="auto"/>
                <w:sz w:val="24"/>
                <w:szCs w:val="24"/>
                <w:highlight w:val="none"/>
                <w:lang w:eastAsia="zh-CN"/>
              </w:rPr>
              <w:t xml:space="preserve">（外停车场、路面、绿化带）；</w:t>
            </w:r>
            <w:r/>
          </w:p>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地下室保洁（</w:t>
            </w:r>
            <w:r>
              <w:rPr>
                <w:rFonts w:hint="eastAsia" w:ascii="宋体" w:hAnsi="宋体" w:eastAsia="宋体" w:cs="宋体"/>
                <w:color w:val="auto"/>
                <w:sz w:val="24"/>
                <w:szCs w:val="24"/>
                <w:highlight w:val="none"/>
                <w:lang w:val="en-US" w:eastAsia="zh-CN"/>
              </w:rPr>
              <w:t xml:space="preserve">含新塘分院）；</w:t>
            </w:r>
            <w:r/>
          </w:p>
          <w:p>
            <w:pPr>
              <w:spacing w:after="0" w:line="240" w:lineRule="auto"/>
              <w:rPr>
                <w:color w:val="auto"/>
                <w:highlight w:val="none"/>
                <w:lang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.五个社区服务站保洁（每周一次，内容同门急诊）</w:t>
            </w:r>
            <w:r/>
          </w:p>
        </w:tc>
      </w:tr>
      <w:tr>
        <w:trPr>
          <w:jc w:val="center"/>
          <w:trHeight w:val="496"/>
        </w:trPr>
        <w:tc>
          <w:tcPr>
            <w:tcW w:w="1296" w:type="dxa"/>
            <w:vAlign w:val="center"/>
            <w:vMerge w:val="continue"/>
            <w:textDirection w:val="lrTb"/>
            <w:noWrap w:val="false"/>
          </w:tcPr>
          <w:p>
            <w:pPr>
              <w:ind w:firstLine="424"/>
              <w:spacing w:after="0" w:line="24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1448" w:type="dxa"/>
            <w:vAlign w:val="center"/>
            <w:textDirection w:val="lrTb"/>
            <w:noWrap w:val="false"/>
          </w:tcPr>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专项保洁（</w:t>
            </w:r>
            <w:r>
              <w:rPr>
                <w:rFonts w:hint="eastAsia" w:ascii="宋体" w:hAnsi="宋体" w:eastAsia="宋体" w:cs="宋体"/>
                <w:color w:val="auto"/>
                <w:sz w:val="24"/>
                <w:szCs w:val="24"/>
                <w:highlight w:val="none"/>
                <w:lang w:val="en-US" w:eastAsia="zh-CN"/>
              </w:rPr>
              <w:t xml:space="preserve">含新塘分院）</w:t>
            </w:r>
            <w:r/>
          </w:p>
        </w:tc>
        <w:tc>
          <w:tcPr>
            <w:gridSpan w:val="2"/>
            <w:tcW w:w="6540" w:type="dxa"/>
            <w:vAlign w:val="center"/>
            <w:textDirection w:val="lrTb"/>
            <w:noWrap w:val="false"/>
          </w:tcPr>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1.全院玻璃的擦拭及高空除尘（楼宇1层）；</w:t>
            </w:r>
            <w:r/>
          </w:p>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2.灯罩擦拭；</w:t>
            </w:r>
            <w:r/>
          </w:p>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3.不锈钢擦拭保养，包括电梯及驻守科室内的不锈钢；</w:t>
            </w:r>
            <w:r/>
          </w:p>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4.全院公共部位的地面清洗。</w:t>
            </w:r>
            <w:r/>
          </w:p>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5.空调口擦拭，不包括滤网清洗。</w:t>
            </w:r>
            <w:r/>
          </w:p>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6.五个社区服务站保洁（每周一次，内容同上）</w:t>
            </w:r>
            <w:r/>
          </w:p>
        </w:tc>
      </w:tr>
      <w:tr>
        <w:trPr>
          <w:jc w:val="center"/>
          <w:trHeight w:val="496"/>
        </w:trPr>
        <w:tc>
          <w:tcPr>
            <w:tcW w:w="1296" w:type="dxa"/>
            <w:vAlign w:val="center"/>
            <w:vMerge w:val="continue"/>
            <w:textDirection w:val="lrTb"/>
            <w:noWrap w:val="false"/>
          </w:tcPr>
          <w:p>
            <w:pPr>
              <w:pStyle w:val="1002"/>
              <w:spacing w:after="0" w:line="24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1448" w:type="dxa"/>
            <w:vAlign w:val="center"/>
            <w:textDirection w:val="lrTb"/>
            <w:noWrap w:val="false"/>
          </w:tcPr>
          <w:p>
            <w:pPr>
              <w:pStyle w:val="1002"/>
              <w:spacing w:after="0" w:line="24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垃圾清运（</w:t>
            </w:r>
            <w:r>
              <w:rPr>
                <w:rFonts w:hint="eastAsia" w:ascii="宋体" w:hAnsi="宋体" w:eastAsia="宋体" w:cs="宋体"/>
                <w:color w:val="auto"/>
                <w:sz w:val="24"/>
                <w:szCs w:val="24"/>
                <w:highlight w:val="none"/>
                <w:lang w:val="en-US" w:eastAsia="zh-CN"/>
              </w:rPr>
              <w:t xml:space="preserve">含新塘分院）</w:t>
            </w:r>
            <w:r/>
          </w:p>
        </w:tc>
        <w:tc>
          <w:tcPr>
            <w:gridSpan w:val="2"/>
            <w:tcW w:w="6540" w:type="dxa"/>
            <w:vAlign w:val="center"/>
            <w:textDirection w:val="lrTb"/>
            <w:noWrap w:val="false"/>
          </w:tcPr>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1.生活垃圾的收集、清运及运送工具的清洁消毒</w:t>
            </w:r>
            <w:r/>
          </w:p>
          <w:p>
            <w:pPr>
              <w:pStyle w:val="1002"/>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2.医疗垃圾的分类收集、清运及运送工具的清洁消毒。</w:t>
            </w:r>
            <w:r/>
          </w:p>
        </w:tc>
      </w:tr>
      <w:tr>
        <w:trPr>
          <w:jc w:val="center"/>
          <w:trHeight w:val="496"/>
        </w:trPr>
        <w:tc>
          <w:tcPr>
            <w:tcW w:w="1296" w:type="dxa"/>
            <w:vAlign w:val="center"/>
            <w:vMerge w:val="continue"/>
            <w:textDirection w:val="lrTb"/>
            <w:noWrap w:val="false"/>
          </w:tcPr>
          <w:p>
            <w:pPr>
              <w:pStyle w:val="1002"/>
              <w:spacing w:after="0" w:line="24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1448" w:type="dxa"/>
            <w:vAlign w:val="center"/>
            <w:textDirection w:val="lrTb"/>
            <w:noWrap w:val="false"/>
          </w:tcPr>
          <w:p>
            <w:pPr>
              <w:pStyle w:val="1002"/>
              <w:spacing w:after="0" w:line="24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运送服务</w:t>
            </w:r>
            <w:r/>
          </w:p>
        </w:tc>
        <w:tc>
          <w:tcPr>
            <w:gridSpan w:val="2"/>
            <w:tcW w:w="6540" w:type="dxa"/>
            <w:vAlign w:val="center"/>
            <w:textDirection w:val="lrTb"/>
            <w:noWrap w:val="false"/>
          </w:tcPr>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1.运送标本：送各类标本（体液、血液等）、会诊单、手术通知单、取报告单及检查申请单的预约；</w:t>
            </w:r>
            <w:r/>
          </w:p>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2.运送病人做各项检查，协助病人院内转科等。</w:t>
            </w:r>
            <w:r/>
          </w:p>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3.绿色通道：负责协助医护人员急救病人的搬运工作；接到急救指令后携带平车或轮椅及时到位；必须树立全心全意为人民服务的思想，在工作中要做到不怕脏、不怕累，视病人如亲人。</w:t>
            </w:r>
            <w:r/>
          </w:p>
        </w:tc>
      </w:tr>
      <w:tr>
        <w:trPr>
          <w:jc w:val="center"/>
          <w:trHeight w:val="496"/>
        </w:trPr>
        <w:tc>
          <w:tcPr>
            <w:tcW w:w="1296" w:type="dxa"/>
            <w:vAlign w:val="center"/>
            <w:vMerge w:val="continue"/>
            <w:textDirection w:val="lrTb"/>
            <w:noWrap w:val="false"/>
          </w:tcPr>
          <w:p>
            <w:pPr>
              <w:pStyle w:val="1002"/>
              <w:spacing w:after="0" w:line="24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1448" w:type="dxa"/>
            <w:vAlign w:val="center"/>
            <w:textDirection w:val="lrTb"/>
            <w:noWrap w:val="false"/>
          </w:tcPr>
          <w:p>
            <w:pPr>
              <w:pStyle w:val="1002"/>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手术室驻守服务</w:t>
            </w:r>
            <w:r/>
          </w:p>
        </w:tc>
        <w:tc>
          <w:tcPr>
            <w:gridSpan w:val="2"/>
            <w:tcW w:w="6540" w:type="dxa"/>
            <w:vAlign w:val="center"/>
            <w:textDirection w:val="lrTb"/>
            <w:noWrap w:val="false"/>
          </w:tcPr>
          <w:p>
            <w:pPr>
              <w:pStyle w:val="1002"/>
              <w:spacing w:after="0" w:line="240" w:lineRule="auto"/>
              <w:rPr>
                <w:rFonts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接送手术病人，做好手术后的终末消毒处理等。</w:t>
            </w:r>
            <w:r/>
          </w:p>
        </w:tc>
      </w:tr>
    </w:tbl>
    <w:p>
      <w:pPr>
        <w:pStyle w:val="938"/>
        <w:spacing w:line="500" w:lineRule="exact"/>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p>
      <w:pPr>
        <w:pStyle w:val="938"/>
        <w:spacing w:line="48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三、服务标准及要求：</w:t>
      </w:r>
      <w:r/>
    </w:p>
    <w:p>
      <w:pPr>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（一）总体要求：</w:t>
      </w:r>
      <w:r>
        <w:rPr>
          <w:rFonts w:hint="eastAsia" w:ascii="宋体" w:hAnsi="宋体" w:eastAsia="宋体" w:cs="宋体"/>
          <w:color w:val="auto"/>
          <w:sz w:val="24"/>
          <w:szCs w:val="24"/>
          <w:highlight w:val="none"/>
          <w:lang w:eastAsia="zh-CN"/>
        </w:rPr>
        <w:t xml:space="preserve">服务人员要严格遵守院内的各项规章制度，认真履行各岗位职责，每月服务区域的有效投诉总次数不超过2次；医院物业管理员每月检查考核得分&gt;90分；每季度所服务区域满意度测评满意率不低于90%；全年无环境作业等重大安全事故的发生。严格按照医院管理的要求，认真遵守各项操作流程，做到保洁工具分区使用，熟悉消毒液的配比和使用方法，严防交叉感染。保洁、运送服务需提供24小时值守服务。</w:t>
      </w:r>
      <w:r/>
    </w:p>
    <w:p>
      <w:pPr>
        <w:pStyle w:val="938"/>
        <w:spacing w:line="48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（二）保洁具体要求：</w:t>
      </w:r>
      <w:r/>
    </w:p>
    <w:p>
      <w:pPr>
        <w:spacing w:after="0" w:line="48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表一：门急诊楼保洁</w:t>
      </w:r>
      <w:r/>
    </w:p>
    <w:tbl>
      <w:tblPr>
        <w:tblStyle w:val="703"/>
        <w:tblpPr w:horzAnchor="page" w:tblpX="1808" w:vertAnchor="text" w:tblpY="89" w:leftFromText="180" w:topFromText="0" w:rightFromText="180" w:bottomFromText="0"/>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2644"/>
        <w:gridCol w:w="2700"/>
        <w:gridCol w:w="2600"/>
      </w:tblGrid>
      <w:tr>
        <w:trPr>
          <w:trHeight w:val="562"/>
        </w:trPr>
        <w:tc>
          <w:tcPr>
            <w:tcW w:w="1236"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服务区域</w:t>
            </w:r>
            <w:r/>
          </w:p>
        </w:tc>
        <w:tc>
          <w:tcPr>
            <w:tcW w:w="2644"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保洁内容</w:t>
            </w:r>
            <w:r/>
          </w:p>
        </w:tc>
        <w:tc>
          <w:tcPr>
            <w:tcW w:w="2700"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保洁标准</w:t>
            </w:r>
            <w:r/>
          </w:p>
        </w:tc>
        <w:tc>
          <w:tcPr>
            <w:tcW w:w="2600"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保洁频次</w:t>
            </w:r>
            <w:r/>
          </w:p>
        </w:tc>
      </w:tr>
      <w:tr>
        <w:trPr>
          <w:trHeight w:val="20"/>
        </w:trPr>
        <w:tc>
          <w:tcPr>
            <w:tcW w:w="1236" w:type="dxa"/>
            <w:vAlign w:val="center"/>
            <w:vMerge w:val="restart"/>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门急诊</w:t>
            </w:r>
            <w:r/>
          </w:p>
        </w:tc>
        <w:tc>
          <w:tcPr>
            <w:tcW w:w="2644"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地面、窗台、检查用器材、各种自助设备</w:t>
            </w:r>
            <w:r/>
          </w:p>
        </w:tc>
        <w:tc>
          <w:tcPr>
            <w:tcW w:w="2700"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地面无积水、垃圾、污迹、踢脚无灰尘；窗台、桌椅无污渍</w:t>
            </w:r>
            <w:r/>
          </w:p>
        </w:tc>
        <w:tc>
          <w:tcPr>
            <w:tcW w:w="2600"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2次/天清拖地面</w:t>
            </w:r>
            <w:r/>
          </w:p>
          <w:p>
            <w:pPr>
              <w:jc w:val="cente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1次/天擦拭</w:t>
            </w:r>
            <w:r/>
          </w:p>
          <w:p>
            <w:pPr>
              <w:jc w:val="cente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并及时巡视</w:t>
            </w:r>
            <w:r/>
          </w:p>
        </w:tc>
      </w:tr>
      <w:tr>
        <w:trPr>
          <w:trHeight w:val="20"/>
        </w:trPr>
        <w:tc>
          <w:tcPr>
            <w:tcW w:w="1236" w:type="dxa"/>
            <w:vAlign w:val="center"/>
            <w:vMerge w:val="continue"/>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2644"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水池、台面、水龙头、皂盒</w:t>
            </w:r>
            <w:r/>
          </w:p>
        </w:tc>
        <w:tc>
          <w:tcPr>
            <w:tcW w:w="2700"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均无污迹、台面无水迹、龙头光亮如新</w:t>
            </w:r>
            <w:r/>
          </w:p>
        </w:tc>
        <w:tc>
          <w:tcPr>
            <w:tcW w:w="2600"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1次/天擦拭消毒并及时巡视</w:t>
            </w:r>
            <w:r/>
          </w:p>
        </w:tc>
      </w:tr>
      <w:tr>
        <w:trPr>
          <w:trHeight w:val="20"/>
        </w:trPr>
        <w:tc>
          <w:tcPr>
            <w:tcW w:w="1236" w:type="dxa"/>
            <w:vAlign w:val="center"/>
            <w:vMerge w:val="continue"/>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2644"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垃圾篓、桶</w:t>
            </w:r>
            <w:r/>
          </w:p>
        </w:tc>
        <w:tc>
          <w:tcPr>
            <w:tcW w:w="2700"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无异味；及时倾倒、不得过半；外部无污渍、周围地面无洒落垃圾</w:t>
            </w:r>
            <w:r/>
          </w:p>
        </w:tc>
        <w:tc>
          <w:tcPr>
            <w:tcW w:w="2600"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2次/天换垃圾袋</w:t>
            </w:r>
            <w:r/>
          </w:p>
          <w:p>
            <w:pPr>
              <w:jc w:val="cente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1次/天擦垃圾桶</w:t>
            </w:r>
            <w:r/>
          </w:p>
          <w:p>
            <w:pPr>
              <w:ind w:firstLine="480"/>
              <w:jc w:val="both"/>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2次/周清洗</w:t>
            </w:r>
            <w:r/>
          </w:p>
        </w:tc>
      </w:tr>
      <w:tr>
        <w:trPr>
          <w:trHeight w:val="20"/>
        </w:trPr>
        <w:tc>
          <w:tcPr>
            <w:tcW w:w="1236" w:type="dxa"/>
            <w:vAlign w:val="center"/>
            <w:vMerge w:val="continue"/>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644"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门、间隔板、指示牌、消防设施、电视机、挂件、空调的出回风口、灯具</w:t>
            </w:r>
            <w:r/>
          </w:p>
        </w:tc>
        <w:tc>
          <w:tcPr>
            <w:tcW w:w="2700"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手摸无灰尘、表面无污渍</w:t>
            </w:r>
            <w:r/>
          </w:p>
        </w:tc>
        <w:tc>
          <w:tcPr>
            <w:tcW w:w="2600"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1次/周擦拭</w:t>
            </w:r>
            <w:r/>
          </w:p>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1次/月出回风口、灯具除尘擦拭</w:t>
            </w:r>
            <w:r/>
          </w:p>
        </w:tc>
      </w:tr>
      <w:tr>
        <w:trPr>
          <w:trHeight w:val="592"/>
        </w:trPr>
        <w:tc>
          <w:tcPr>
            <w:tcW w:w="1236" w:type="dxa"/>
            <w:vAlign w:val="center"/>
            <w:vMerge w:val="continue"/>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2644"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墙面、天花板、窗户</w:t>
            </w:r>
            <w:r/>
          </w:p>
        </w:tc>
        <w:tc>
          <w:tcPr>
            <w:tcW w:w="2700"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目视无蜘蛛网、灰尘</w:t>
            </w:r>
            <w:r/>
          </w:p>
        </w:tc>
        <w:tc>
          <w:tcPr>
            <w:tcW w:w="2600"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1次/月除尘擦拭</w:t>
            </w:r>
            <w:r/>
          </w:p>
        </w:tc>
      </w:tr>
      <w:tr>
        <w:trPr>
          <w:trHeight w:val="503"/>
        </w:trPr>
        <w:tc>
          <w:tcPr>
            <w:tcW w:w="1236" w:type="dxa"/>
            <w:vAlign w:val="center"/>
            <w:textDirection w:val="lrTb"/>
            <w:noWrap w:val="false"/>
          </w:tcPr>
          <w:p>
            <w:pPr>
              <w:jc w:val="center"/>
              <w:keepLines w:val="0"/>
              <w:keepNext w:val="0"/>
              <w:pageBreakBefore w:val="0"/>
              <w:spacing w:after="0" w:line="24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c>
          <w:tcPr>
            <w:gridSpan w:val="3"/>
            <w:tcW w:w="7944"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地面不间断巡视，特殊情况能及时清理，反应时间不超过15分钟。</w:t>
            </w:r>
            <w:r/>
          </w:p>
        </w:tc>
      </w:tr>
    </w:tbl>
    <w:p>
      <w:pPr>
        <w:spacing w:line="240" w:lineRule="atLeast"/>
        <w:rPr>
          <w:rFonts w:ascii="宋体" w:hAnsi="宋体"/>
          <w:b/>
          <w:bCs/>
          <w:color w:val="auto"/>
          <w:sz w:val="24"/>
          <w:highlight w:val="none"/>
          <w:lang w:eastAsia="zh-CN"/>
        </w:rPr>
      </w:pPr>
      <w:r>
        <w:rPr>
          <w:rFonts w:ascii="宋体" w:hAnsi="宋体"/>
          <w:b/>
          <w:bCs/>
          <w:color w:val="auto"/>
          <w:sz w:val="24"/>
          <w:highlight w:val="none"/>
          <w:lang w:eastAsia="zh-CN"/>
        </w:rPr>
      </w:r>
      <w:r/>
    </w:p>
    <w:p>
      <w:pPr>
        <w:spacing w:line="240" w:lineRule="atLeast"/>
        <w:rPr>
          <w:rFonts w:ascii="宋体" w:hAnsi="宋体"/>
          <w:b/>
          <w:bCs/>
          <w:color w:val="auto"/>
          <w:sz w:val="24"/>
          <w:highlight w:val="none"/>
        </w:rPr>
      </w:pPr>
      <w:r>
        <w:rPr>
          <w:rFonts w:hint="eastAsia" w:ascii="宋体" w:hAnsi="宋体"/>
          <w:b/>
          <w:bCs/>
          <w:color w:val="auto"/>
          <w:sz w:val="24"/>
          <w:highlight w:val="none"/>
        </w:rPr>
        <w:t xml:space="preserve">表二：住院楼保洁</w:t>
      </w:r>
      <w:r/>
    </w:p>
    <w:tbl>
      <w:tblPr>
        <w:tblStyle w:val="703"/>
        <w:tblW w:w="0" w:type="auto"/>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1"/>
        <w:gridCol w:w="2643"/>
        <w:gridCol w:w="2613"/>
        <w:gridCol w:w="2691"/>
      </w:tblGrid>
      <w:tr>
        <w:trPr>
          <w:trHeight w:val="512"/>
        </w:trPr>
        <w:tc>
          <w:tcPr>
            <w:tcW w:w="1221" w:type="dxa"/>
            <w:vAlign w:val="center"/>
            <w:textDirection w:val="lrTb"/>
            <w:noWrap w:val="false"/>
          </w:tcPr>
          <w:p>
            <w:pPr>
              <w:jc w:val="center"/>
              <w:keepLines w:val="0"/>
              <w:keepNext w:val="0"/>
              <w:pageBreakBefore w:val="0"/>
              <w:spacing w:after="0" w:line="240" w:lineRule="auto"/>
              <w:widowControl/>
              <w:rPr>
                <w:rFonts w:ascii="宋体" w:hAnsi="宋体"/>
                <w:b/>
                <w:bCs/>
                <w:color w:val="auto"/>
                <w:sz w:val="24"/>
                <w:highlight w:val="none"/>
              </w:rPr>
            </w:pPr>
            <w:r>
              <w:rPr>
                <w:rFonts w:hint="eastAsia" w:ascii="宋体" w:hAnsi="宋体"/>
                <w:b/>
                <w:bCs/>
                <w:color w:val="auto"/>
                <w:sz w:val="24"/>
                <w:highlight w:val="none"/>
              </w:rPr>
              <w:t xml:space="preserve">服务区域</w:t>
            </w:r>
            <w:r/>
          </w:p>
        </w:tc>
        <w:tc>
          <w:tcPr>
            <w:tcW w:w="2643" w:type="dxa"/>
            <w:vAlign w:val="center"/>
            <w:textDirection w:val="lrTb"/>
            <w:noWrap w:val="false"/>
          </w:tcPr>
          <w:p>
            <w:pPr>
              <w:jc w:val="center"/>
              <w:keepLines w:val="0"/>
              <w:keepNext w:val="0"/>
              <w:pageBreakBefore w:val="0"/>
              <w:spacing w:after="0" w:line="240" w:lineRule="auto"/>
              <w:widowControl/>
              <w:rPr>
                <w:rFonts w:ascii="宋体" w:hAnsi="宋体"/>
                <w:b/>
                <w:bCs/>
                <w:color w:val="auto"/>
                <w:sz w:val="24"/>
                <w:highlight w:val="none"/>
              </w:rPr>
            </w:pPr>
            <w:r>
              <w:rPr>
                <w:rFonts w:hint="eastAsia" w:ascii="宋体" w:hAnsi="宋体"/>
                <w:b/>
                <w:bCs/>
                <w:color w:val="auto"/>
                <w:sz w:val="24"/>
                <w:highlight w:val="none"/>
              </w:rPr>
              <w:t xml:space="preserve">保洁内容</w:t>
            </w:r>
            <w:r/>
          </w:p>
        </w:tc>
        <w:tc>
          <w:tcPr>
            <w:tcW w:w="2613" w:type="dxa"/>
            <w:vAlign w:val="center"/>
            <w:textDirection w:val="lrTb"/>
            <w:noWrap w:val="false"/>
          </w:tcPr>
          <w:p>
            <w:pPr>
              <w:jc w:val="center"/>
              <w:keepLines w:val="0"/>
              <w:keepNext w:val="0"/>
              <w:pageBreakBefore w:val="0"/>
              <w:spacing w:after="0" w:line="240" w:lineRule="auto"/>
              <w:widowControl/>
              <w:rPr>
                <w:rFonts w:ascii="宋体" w:hAnsi="宋体"/>
                <w:b/>
                <w:bCs/>
                <w:color w:val="auto"/>
                <w:sz w:val="24"/>
                <w:highlight w:val="none"/>
              </w:rPr>
            </w:pPr>
            <w:r>
              <w:rPr>
                <w:rFonts w:hint="eastAsia" w:ascii="宋体" w:hAnsi="宋体"/>
                <w:b/>
                <w:bCs/>
                <w:color w:val="auto"/>
                <w:sz w:val="24"/>
                <w:highlight w:val="none"/>
              </w:rPr>
              <w:t xml:space="preserve">保洁标准</w:t>
            </w:r>
            <w:r/>
          </w:p>
        </w:tc>
        <w:tc>
          <w:tcPr>
            <w:tcW w:w="2691" w:type="dxa"/>
            <w:vAlign w:val="center"/>
            <w:textDirection w:val="lrTb"/>
            <w:noWrap w:val="false"/>
          </w:tcPr>
          <w:p>
            <w:pPr>
              <w:jc w:val="center"/>
              <w:keepLines w:val="0"/>
              <w:keepNext w:val="0"/>
              <w:pageBreakBefore w:val="0"/>
              <w:spacing w:after="0" w:line="240" w:lineRule="auto"/>
              <w:widowControl/>
              <w:rPr>
                <w:rFonts w:ascii="宋体" w:hAnsi="宋体"/>
                <w:b/>
                <w:bCs/>
                <w:color w:val="auto"/>
                <w:sz w:val="24"/>
                <w:highlight w:val="none"/>
              </w:rPr>
            </w:pPr>
            <w:r>
              <w:rPr>
                <w:rFonts w:hint="eastAsia" w:ascii="宋体" w:hAnsi="宋体"/>
                <w:b/>
                <w:bCs/>
                <w:color w:val="auto"/>
                <w:sz w:val="24"/>
                <w:highlight w:val="none"/>
              </w:rPr>
              <w:t xml:space="preserve">保洁频次</w:t>
            </w:r>
            <w:r/>
          </w:p>
        </w:tc>
      </w:tr>
      <w:tr>
        <w:trPr>
          <w:trHeight w:val="727"/>
        </w:trPr>
        <w:tc>
          <w:tcPr>
            <w:tcW w:w="1221" w:type="dxa"/>
            <w:vAlign w:val="center"/>
            <w:vMerge w:val="restart"/>
            <w:textDirection w:val="lrTb"/>
            <w:noWrap w:val="false"/>
          </w:tcPr>
          <w:p>
            <w:pPr>
              <w:jc w:val="center"/>
              <w:keepLines w:val="0"/>
              <w:keepNext w:val="0"/>
              <w:pageBreakBefore w:val="0"/>
              <w:spacing w:after="0" w:line="240" w:lineRule="auto"/>
              <w:widowControl/>
              <w:rPr>
                <w:rFonts w:ascii="宋体" w:hAnsi="宋体"/>
                <w:b/>
                <w:bCs/>
                <w:color w:val="auto"/>
                <w:sz w:val="24"/>
                <w:highlight w:val="none"/>
              </w:rPr>
            </w:pPr>
            <w:r>
              <w:rPr>
                <w:rFonts w:ascii="宋体" w:hAnsi="宋体"/>
                <w:b/>
                <w:bCs/>
                <w:color w:val="auto"/>
                <w:sz w:val="24"/>
                <w:highlight w:val="none"/>
              </w:rPr>
            </w:r>
            <w:r/>
          </w:p>
          <w:p>
            <w:pPr>
              <w:jc w:val="center"/>
              <w:keepLines w:val="0"/>
              <w:keepNext w:val="0"/>
              <w:pageBreakBefore w:val="0"/>
              <w:spacing w:after="0" w:line="240" w:lineRule="auto"/>
              <w:widowControl/>
              <w:rPr>
                <w:rFonts w:ascii="宋体" w:hAnsi="宋体"/>
                <w:b/>
                <w:bCs/>
                <w:color w:val="auto"/>
                <w:sz w:val="24"/>
                <w:highlight w:val="none"/>
              </w:rPr>
            </w:pPr>
            <w:r>
              <w:rPr>
                <w:rFonts w:ascii="宋体" w:hAnsi="宋体"/>
                <w:b/>
                <w:bCs/>
                <w:color w:val="auto"/>
                <w:sz w:val="24"/>
                <w:highlight w:val="none"/>
              </w:rPr>
            </w:r>
            <w:r/>
          </w:p>
          <w:p>
            <w:pPr>
              <w:jc w:val="center"/>
              <w:keepLines w:val="0"/>
              <w:keepNext w:val="0"/>
              <w:pageBreakBefore w:val="0"/>
              <w:spacing w:after="0" w:line="240" w:lineRule="auto"/>
              <w:widowControl/>
              <w:rPr>
                <w:rFonts w:ascii="宋体" w:hAnsi="宋体"/>
                <w:b/>
                <w:bCs/>
                <w:color w:val="auto"/>
                <w:sz w:val="24"/>
                <w:highlight w:val="none"/>
              </w:rPr>
            </w:pPr>
            <w:r>
              <w:rPr>
                <w:rFonts w:ascii="宋体" w:hAnsi="宋体"/>
                <w:b/>
                <w:bCs/>
                <w:color w:val="auto"/>
                <w:sz w:val="24"/>
                <w:highlight w:val="none"/>
              </w:rPr>
            </w:r>
            <w:r/>
          </w:p>
          <w:p>
            <w:pPr>
              <w:jc w:val="center"/>
              <w:keepLines w:val="0"/>
              <w:keepNext w:val="0"/>
              <w:pageBreakBefore w:val="0"/>
              <w:spacing w:after="0" w:line="240" w:lineRule="auto"/>
              <w:widowControl/>
              <w:rPr>
                <w:rFonts w:ascii="宋体" w:hAnsi="宋体"/>
                <w:b/>
                <w:bCs/>
                <w:color w:val="auto"/>
                <w:sz w:val="24"/>
                <w:highlight w:val="none"/>
              </w:rPr>
            </w:pPr>
            <w:r>
              <w:rPr>
                <w:rFonts w:ascii="宋体" w:hAnsi="宋体"/>
                <w:b/>
                <w:bCs/>
                <w:color w:val="auto"/>
                <w:sz w:val="24"/>
                <w:highlight w:val="none"/>
              </w:rPr>
            </w:r>
            <w:r/>
          </w:p>
          <w:p>
            <w:pPr>
              <w:jc w:val="center"/>
              <w:keepLines w:val="0"/>
              <w:keepNext w:val="0"/>
              <w:pageBreakBefore w:val="0"/>
              <w:spacing w:after="0" w:line="240" w:lineRule="auto"/>
              <w:widowControl/>
              <w:rPr>
                <w:rFonts w:ascii="宋体" w:hAnsi="宋体"/>
                <w:b/>
                <w:bCs/>
                <w:color w:val="auto"/>
                <w:sz w:val="24"/>
                <w:highlight w:val="none"/>
              </w:rPr>
            </w:pPr>
            <w:r>
              <w:rPr>
                <w:rFonts w:ascii="宋体" w:hAnsi="宋体"/>
                <w:b/>
                <w:bCs/>
                <w:color w:val="auto"/>
                <w:sz w:val="24"/>
                <w:highlight w:val="none"/>
              </w:rPr>
            </w:r>
            <w:r/>
          </w:p>
          <w:p>
            <w:pPr>
              <w:jc w:val="center"/>
              <w:keepLines w:val="0"/>
              <w:keepNext w:val="0"/>
              <w:pageBreakBefore w:val="0"/>
              <w:spacing w:after="0" w:line="240" w:lineRule="auto"/>
              <w:widowControl/>
              <w:rPr>
                <w:rFonts w:ascii="宋体" w:hAnsi="宋体"/>
                <w:b/>
                <w:bCs/>
                <w:color w:val="auto"/>
                <w:sz w:val="24"/>
                <w:highlight w:val="none"/>
              </w:rPr>
            </w:pPr>
            <w:r>
              <w:rPr>
                <w:rFonts w:ascii="宋体" w:hAnsi="宋体"/>
                <w:b/>
                <w:bCs/>
                <w:color w:val="auto"/>
                <w:sz w:val="24"/>
                <w:highlight w:val="none"/>
              </w:rPr>
            </w:r>
            <w:r/>
          </w:p>
          <w:p>
            <w:pPr>
              <w:jc w:val="center"/>
              <w:keepLines w:val="0"/>
              <w:keepNext w:val="0"/>
              <w:pageBreakBefore w:val="0"/>
              <w:spacing w:after="0" w:line="240" w:lineRule="auto"/>
              <w:widowControl/>
              <w:rPr>
                <w:rFonts w:ascii="宋体" w:hAnsi="宋体"/>
                <w:b/>
                <w:bCs/>
                <w:color w:val="auto"/>
                <w:sz w:val="24"/>
                <w:highlight w:val="none"/>
              </w:rPr>
            </w:pPr>
            <w:r>
              <w:rPr>
                <w:rFonts w:ascii="宋体" w:hAnsi="宋体"/>
                <w:b/>
                <w:bCs/>
                <w:color w:val="auto"/>
                <w:sz w:val="24"/>
                <w:highlight w:val="none"/>
              </w:rPr>
            </w:r>
            <w:r/>
          </w:p>
          <w:p>
            <w:pPr>
              <w:jc w:val="center"/>
              <w:keepLines w:val="0"/>
              <w:keepNext w:val="0"/>
              <w:pageBreakBefore w:val="0"/>
              <w:spacing w:after="0" w:line="240" w:lineRule="auto"/>
              <w:widowControl/>
              <w:rPr>
                <w:rFonts w:ascii="宋体" w:hAnsi="宋体"/>
                <w:b/>
                <w:bCs/>
                <w:color w:val="auto"/>
                <w:sz w:val="24"/>
                <w:highlight w:val="none"/>
              </w:rPr>
            </w:pPr>
            <w:r>
              <w:rPr>
                <w:rFonts w:hint="eastAsia" w:ascii="宋体" w:hAnsi="宋体"/>
                <w:b/>
                <w:bCs/>
                <w:color w:val="auto"/>
                <w:sz w:val="24"/>
                <w:highlight w:val="none"/>
              </w:rPr>
              <w:t xml:space="preserve">病区保洁</w:t>
            </w:r>
            <w:r/>
          </w:p>
        </w:tc>
        <w:tc>
          <w:tcPr>
            <w:tcW w:w="2643" w:type="dxa"/>
            <w:vAlign w:val="center"/>
            <w:textDirection w:val="lrTb"/>
            <w:noWrap w:val="false"/>
          </w:tcPr>
          <w:p>
            <w:pPr>
              <w:jc w:val="center"/>
              <w:keepLines w:val="0"/>
              <w:keepNext w:val="0"/>
              <w:pageBreakBefore w:val="0"/>
              <w:spacing w:after="0" w:line="240" w:lineRule="auto"/>
              <w:widowControl/>
              <w:rPr>
                <w:rFonts w:ascii="宋体" w:hAnsi="宋体"/>
                <w:b/>
                <w:bCs/>
                <w:color w:val="auto"/>
                <w:sz w:val="24"/>
                <w:highlight w:val="none"/>
              </w:rPr>
            </w:pPr>
            <w:r>
              <w:rPr>
                <w:rFonts w:hint="eastAsia" w:ascii="宋体" w:hAnsi="宋体"/>
                <w:color w:val="auto"/>
                <w:sz w:val="24"/>
                <w:highlight w:val="none"/>
              </w:rPr>
              <w:t xml:space="preserve">地面</w:t>
            </w:r>
            <w:r/>
          </w:p>
        </w:tc>
        <w:tc>
          <w:tcPr>
            <w:tcW w:w="2613" w:type="dxa"/>
            <w:vAlign w:val="center"/>
            <w:textDirection w:val="lrTb"/>
            <w:noWrap w:val="false"/>
          </w:tcPr>
          <w:p>
            <w:pPr>
              <w:keepLines w:val="0"/>
              <w:keepNext w:val="0"/>
              <w:pageBreakBefore w:val="0"/>
              <w:spacing w:after="0" w:line="240" w:lineRule="auto"/>
              <w:widowControl/>
              <w:rPr>
                <w:rFonts w:ascii="宋体" w:hAnsi="宋体"/>
                <w:b/>
                <w:bCs/>
                <w:color w:val="auto"/>
                <w:sz w:val="24"/>
                <w:highlight w:val="none"/>
                <w:lang w:eastAsia="zh-CN"/>
              </w:rPr>
            </w:pPr>
            <w:r>
              <w:rPr>
                <w:rFonts w:hint="eastAsia" w:ascii="宋体" w:hAnsi="宋体"/>
                <w:color w:val="auto"/>
                <w:sz w:val="24"/>
                <w:highlight w:val="none"/>
                <w:lang w:eastAsia="zh-CN"/>
              </w:rPr>
              <w:t xml:space="preserve">无垃圾、积水、污渍、无死角</w:t>
            </w:r>
            <w:r/>
          </w:p>
        </w:tc>
        <w:tc>
          <w:tcPr>
            <w:tcW w:w="2691" w:type="dxa"/>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w:t>
            </w:r>
            <w:r>
              <w:rPr>
                <w:rFonts w:ascii="宋体" w:hAnsi="宋体"/>
                <w:color w:val="auto"/>
                <w:sz w:val="24"/>
                <w:highlight w:val="none"/>
                <w:lang w:eastAsia="zh-CN"/>
              </w:rPr>
              <w:t xml:space="preserve">2</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天清拖</w:t>
            </w:r>
            <w:r/>
          </w:p>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w:t>
            </w:r>
            <w:r>
              <w:rPr>
                <w:rFonts w:ascii="宋体" w:hAnsi="宋体"/>
                <w:color w:val="auto"/>
                <w:sz w:val="24"/>
                <w:highlight w:val="none"/>
                <w:lang w:eastAsia="zh-CN"/>
              </w:rPr>
              <w:t xml:space="preserve">2</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周移开清拖</w:t>
            </w:r>
            <w:r/>
          </w:p>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能移动的设备</w:t>
            </w:r>
            <w:r>
              <w:rPr>
                <w:rFonts w:ascii="宋体" w:hAnsi="宋体"/>
                <w:color w:val="auto"/>
                <w:sz w:val="24"/>
                <w:highlight w:val="none"/>
                <w:lang w:eastAsia="zh-CN"/>
              </w:rPr>
              <w:t xml:space="preserve">)</w:t>
            </w:r>
            <w:r/>
          </w:p>
        </w:tc>
      </w:tr>
      <w:tr>
        <w:trPr>
          <w:trHeight w:val="20"/>
        </w:trPr>
        <w:tc>
          <w:tcPr>
            <w:tcW w:w="1221" w:type="dxa"/>
            <w:vMerge w:val="continue"/>
            <w:textDirection w:val="lrTb"/>
            <w:noWrap w:val="false"/>
          </w:tcPr>
          <w:p>
            <w:pPr>
              <w:keepLines w:val="0"/>
              <w:keepNext w:val="0"/>
              <w:pageBreakBefore w:val="0"/>
              <w:spacing w:after="0" w:line="240" w:lineRule="auto"/>
              <w:widowControl/>
              <w:rPr>
                <w:rFonts w:ascii="宋体" w:hAnsi="宋体"/>
                <w:b/>
                <w:bCs/>
                <w:color w:val="auto"/>
                <w:sz w:val="24"/>
                <w:highlight w:val="none"/>
                <w:lang w:eastAsia="zh-CN"/>
              </w:rPr>
            </w:pPr>
            <w:r>
              <w:rPr>
                <w:rFonts w:ascii="宋体" w:hAnsi="宋体"/>
                <w:b/>
                <w:bCs/>
                <w:color w:val="auto"/>
                <w:sz w:val="24"/>
                <w:highlight w:val="none"/>
                <w:lang w:eastAsia="zh-CN"/>
              </w:rPr>
            </w:r>
            <w:r/>
          </w:p>
        </w:tc>
        <w:tc>
          <w:tcPr>
            <w:tcW w:w="2643" w:type="dxa"/>
            <w:vAlign w:val="center"/>
            <w:textDirection w:val="lrTb"/>
            <w:noWrap w:val="false"/>
          </w:tcPr>
          <w:p>
            <w:pPr>
              <w:keepLines w:val="0"/>
              <w:keepNext w:val="0"/>
              <w:pageBreakBefore w:val="0"/>
              <w:spacing w:after="0" w:line="240" w:lineRule="auto"/>
              <w:widowControl/>
              <w:rPr>
                <w:rFonts w:ascii="宋体" w:hAnsi="宋体"/>
                <w:b/>
                <w:bCs/>
                <w:color w:val="auto"/>
                <w:sz w:val="24"/>
                <w:highlight w:val="none"/>
                <w:lang w:eastAsia="zh-CN"/>
              </w:rPr>
            </w:pPr>
            <w:r>
              <w:rPr>
                <w:rFonts w:hint="eastAsia" w:ascii="宋体" w:hAnsi="宋体"/>
                <w:color w:val="auto"/>
                <w:sz w:val="24"/>
                <w:highlight w:val="none"/>
                <w:lang w:eastAsia="zh-CN"/>
              </w:rPr>
              <w:t xml:space="preserve">挂件、设备带、输液架、护墙板</w:t>
            </w:r>
            <w:r/>
          </w:p>
        </w:tc>
        <w:tc>
          <w:tcPr>
            <w:tcW w:w="2613"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color w:val="auto"/>
                <w:sz w:val="24"/>
                <w:highlight w:val="none"/>
              </w:rPr>
              <w:t xml:space="preserve">手摸无灰尘</w:t>
            </w:r>
            <w:r/>
          </w:p>
        </w:tc>
        <w:tc>
          <w:tcPr>
            <w:tcW w:w="2691"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1次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周擦拭（其中设备带1次/天）</w:t>
            </w:r>
            <w:r/>
          </w:p>
        </w:tc>
      </w:tr>
      <w:tr>
        <w:trPr>
          <w:trHeight w:val="90"/>
        </w:trPr>
        <w:tc>
          <w:tcPr>
            <w:tcW w:w="1221" w:type="dxa"/>
            <w:vMerge w:val="continue"/>
            <w:textDirection w:val="lrTb"/>
            <w:noWrap w:val="false"/>
          </w:tcPr>
          <w:p>
            <w:pPr>
              <w:keepLines w:val="0"/>
              <w:keepNext w:val="0"/>
              <w:pageBreakBefore w:val="0"/>
              <w:spacing w:after="0" w:line="240" w:lineRule="auto"/>
              <w:widowControl/>
              <w:rPr>
                <w:rFonts w:ascii="宋体" w:hAnsi="宋体"/>
                <w:b/>
                <w:bCs/>
                <w:color w:val="auto"/>
                <w:sz w:val="24"/>
                <w:highlight w:val="none"/>
                <w:lang w:eastAsia="zh-CN"/>
              </w:rPr>
            </w:pPr>
            <w:r>
              <w:rPr>
                <w:rFonts w:ascii="宋体" w:hAnsi="宋体"/>
                <w:b/>
                <w:bCs/>
                <w:color w:val="auto"/>
                <w:sz w:val="24"/>
                <w:highlight w:val="none"/>
                <w:lang w:eastAsia="zh-CN"/>
              </w:rPr>
            </w:r>
            <w:r/>
          </w:p>
        </w:tc>
        <w:tc>
          <w:tcPr>
            <w:tcW w:w="2643" w:type="dxa"/>
            <w:vAlign w:val="center"/>
            <w:textDirection w:val="lrTb"/>
            <w:noWrap w:val="false"/>
          </w:tcPr>
          <w:p>
            <w:pPr>
              <w:jc w:val="center"/>
              <w:keepLines w:val="0"/>
              <w:keepNext w:val="0"/>
              <w:pageBreakBefore w:val="0"/>
              <w:spacing w:after="0" w:line="240" w:lineRule="auto"/>
              <w:widowControl/>
              <w:rPr>
                <w:rFonts w:ascii="宋体" w:hAnsi="宋体"/>
                <w:b/>
                <w:bCs/>
                <w:color w:val="auto"/>
                <w:sz w:val="24"/>
                <w:highlight w:val="none"/>
              </w:rPr>
            </w:pPr>
            <w:r>
              <w:rPr>
                <w:rFonts w:hint="eastAsia" w:ascii="宋体" w:hAnsi="宋体"/>
                <w:color w:val="auto"/>
                <w:sz w:val="24"/>
                <w:highlight w:val="none"/>
              </w:rPr>
              <w:t xml:space="preserve">卫生间</w:t>
            </w:r>
            <w:r/>
          </w:p>
        </w:tc>
        <w:tc>
          <w:tcPr>
            <w:tcW w:w="2613"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室内无异味；地面无积水；淋浴房、墙面无污渍；台面镜面龙头光亮无水迹；马桶内无尿垢、外围底盘无积垢；垃圾袋无满溢</w:t>
            </w:r>
            <w:r/>
          </w:p>
        </w:tc>
        <w:tc>
          <w:tcPr>
            <w:tcW w:w="2691"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lang w:eastAsia="zh-CN"/>
              </w:rPr>
            </w:pP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天擦拭消毒</w:t>
            </w:r>
            <w:r/>
          </w:p>
          <w:p>
            <w:pPr>
              <w:jc w:val="cente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2次/天刷消马桶</w:t>
            </w:r>
            <w:r/>
          </w:p>
          <w:p>
            <w:pPr>
              <w:jc w:val="cente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2次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天换垃圾袋</w:t>
            </w:r>
            <w:r/>
          </w:p>
          <w:p>
            <w:pPr>
              <w:jc w:val="cente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随时倾倒垃圾</w:t>
            </w:r>
            <w:r/>
          </w:p>
          <w:p>
            <w:pPr>
              <w:jc w:val="center"/>
              <w:keepLines w:val="0"/>
              <w:keepNext w:val="0"/>
              <w:pageBreakBefore w:val="0"/>
              <w:spacing w:after="0" w:line="240" w:lineRule="auto"/>
              <w:widowControl/>
              <w:rPr>
                <w:rFonts w:ascii="宋体" w:hAnsi="宋体"/>
                <w:color w:val="auto"/>
                <w:sz w:val="24"/>
                <w:highlight w:val="none"/>
                <w:lang w:eastAsia="zh-CN"/>
              </w:rPr>
            </w:pPr>
            <w:r>
              <w:rPr>
                <w:rFonts w:ascii="宋体" w:hAnsi="宋体"/>
                <w:color w:val="auto"/>
                <w:sz w:val="24"/>
                <w:highlight w:val="none"/>
                <w:lang w:eastAsia="zh-CN"/>
              </w:rPr>
              <w:t xml:space="preserve">2</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周洗垃圾桶</w:t>
            </w:r>
            <w:r/>
          </w:p>
        </w:tc>
      </w:tr>
      <w:tr>
        <w:trPr>
          <w:trHeight w:val="90"/>
        </w:trPr>
        <w:tc>
          <w:tcPr>
            <w:tcW w:w="1221" w:type="dxa"/>
            <w:vMerge w:val="continue"/>
            <w:textDirection w:val="lrTb"/>
            <w:noWrap w:val="false"/>
          </w:tcPr>
          <w:p>
            <w:pPr>
              <w:keepLines w:val="0"/>
              <w:keepNext w:val="0"/>
              <w:pageBreakBefore w:val="0"/>
              <w:spacing w:after="0" w:line="240" w:lineRule="auto"/>
              <w:widowControl/>
              <w:rPr>
                <w:rFonts w:ascii="宋体" w:hAnsi="宋体"/>
                <w:b/>
                <w:bCs/>
                <w:color w:val="auto"/>
                <w:sz w:val="24"/>
                <w:highlight w:val="none"/>
                <w:lang w:eastAsia="zh-CN"/>
              </w:rPr>
            </w:pPr>
            <w:r>
              <w:rPr>
                <w:rFonts w:ascii="宋体" w:hAnsi="宋体"/>
                <w:b/>
                <w:bCs/>
                <w:color w:val="auto"/>
                <w:sz w:val="24"/>
                <w:highlight w:val="none"/>
                <w:lang w:eastAsia="zh-CN"/>
              </w:rPr>
            </w:r>
            <w:r/>
          </w:p>
        </w:tc>
        <w:tc>
          <w:tcPr>
            <w:tcW w:w="2643" w:type="dxa"/>
            <w:vAlign w:val="center"/>
            <w:textDirection w:val="lrTb"/>
            <w:noWrap w:val="false"/>
          </w:tcPr>
          <w:p>
            <w:pPr>
              <w:keepLines w:val="0"/>
              <w:keepNext w:val="0"/>
              <w:pageBreakBefore w:val="0"/>
              <w:spacing w:after="0" w:line="240" w:lineRule="auto"/>
              <w:widowControl/>
              <w:rPr>
                <w:rFonts w:ascii="宋体" w:hAnsi="宋体"/>
                <w:b/>
                <w:bCs/>
                <w:color w:val="auto"/>
                <w:sz w:val="24"/>
                <w:highlight w:val="none"/>
                <w:lang w:eastAsia="zh-CN"/>
              </w:rPr>
            </w:pPr>
            <w:r>
              <w:rPr>
                <w:rFonts w:hint="eastAsia" w:ascii="宋体" w:hAnsi="宋体"/>
                <w:color w:val="auto"/>
                <w:sz w:val="24"/>
                <w:highlight w:val="none"/>
                <w:lang w:eastAsia="zh-CN"/>
              </w:rPr>
              <w:t xml:space="preserve">  门、把手、橱门、窗台、玻璃、空调出回风口、高处灯具</w:t>
            </w:r>
            <w:r/>
          </w:p>
        </w:tc>
        <w:tc>
          <w:tcPr>
            <w:tcW w:w="2613"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无污渍、灰尘、周围无污染</w:t>
            </w:r>
            <w:r/>
          </w:p>
        </w:tc>
        <w:tc>
          <w:tcPr>
            <w:tcW w:w="2691" w:type="dxa"/>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2次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周擦拭橱、门</w:t>
            </w:r>
            <w:r/>
          </w:p>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1次/天擦拭消毒门把手、窗台</w:t>
            </w:r>
            <w:r/>
          </w:p>
          <w:p>
            <w:pPr>
              <w:keepLines w:val="0"/>
              <w:keepNext w:val="0"/>
              <w:pageBreakBefore w:val="0"/>
              <w:spacing w:after="0" w:line="240" w:lineRule="auto"/>
              <w:widowControl/>
              <w:rPr>
                <w:rFonts w:ascii="宋体" w:hAnsi="宋体"/>
                <w:color w:val="auto"/>
                <w:sz w:val="24"/>
                <w:highlight w:val="none"/>
                <w:lang w:eastAsia="zh-CN"/>
              </w:rPr>
            </w:pP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月擦拭玻璃、空调风口、灯具</w:t>
            </w:r>
            <w:r/>
          </w:p>
        </w:tc>
      </w:tr>
      <w:tr>
        <w:trPr>
          <w:trHeight w:val="953"/>
        </w:trPr>
        <w:tc>
          <w:tcPr>
            <w:tcW w:w="1221" w:type="dxa"/>
            <w:vAlign w:val="center"/>
            <w:vMerge w:val="restart"/>
            <w:textDirection w:val="lrTb"/>
            <w:noWrap w:val="false"/>
          </w:tcPr>
          <w:p>
            <w:pPr>
              <w:jc w:val="center"/>
              <w:keepLines w:val="0"/>
              <w:keepNext w:val="0"/>
              <w:pageBreakBefore w:val="0"/>
              <w:spacing w:after="0" w:line="240" w:lineRule="auto"/>
              <w:widowControl/>
              <w:rPr>
                <w:rFonts w:ascii="宋体" w:hAnsi="宋体"/>
                <w:b/>
                <w:bCs/>
                <w:color w:val="auto"/>
                <w:sz w:val="24"/>
                <w:highlight w:val="none"/>
              </w:rPr>
            </w:pPr>
            <w:r>
              <w:rPr>
                <w:rFonts w:hint="eastAsia" w:ascii="宋体" w:hAnsi="宋体"/>
                <w:b/>
                <w:bCs/>
                <w:color w:val="auto"/>
                <w:sz w:val="24"/>
                <w:highlight w:val="none"/>
              </w:rPr>
              <w:t xml:space="preserve">辅助用房</w:t>
            </w:r>
            <w:r/>
          </w:p>
        </w:tc>
        <w:tc>
          <w:tcPr>
            <w:tcW w:w="2643"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ascii="宋体" w:hAnsi="宋体"/>
                <w:color w:val="auto"/>
                <w:sz w:val="24"/>
                <w:highlight w:val="none"/>
              </w:rPr>
            </w:r>
            <w:r/>
          </w:p>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color w:val="auto"/>
                <w:sz w:val="24"/>
                <w:highlight w:val="none"/>
              </w:rPr>
              <w:t xml:space="preserve">地面、水池</w:t>
            </w:r>
            <w:r/>
          </w:p>
          <w:p>
            <w:pPr>
              <w:jc w:val="center"/>
              <w:keepLines w:val="0"/>
              <w:keepNext w:val="0"/>
              <w:pageBreakBefore w:val="0"/>
              <w:spacing w:after="0" w:line="240" w:lineRule="auto"/>
              <w:widowControl/>
              <w:rPr>
                <w:rFonts w:ascii="宋体" w:hAnsi="宋体"/>
                <w:color w:val="auto"/>
                <w:sz w:val="24"/>
                <w:highlight w:val="none"/>
              </w:rPr>
            </w:pPr>
            <w:r>
              <w:rPr>
                <w:rFonts w:ascii="宋体" w:hAnsi="宋体"/>
                <w:color w:val="auto"/>
                <w:sz w:val="24"/>
                <w:highlight w:val="none"/>
              </w:rPr>
            </w:r>
            <w:r/>
          </w:p>
        </w:tc>
        <w:tc>
          <w:tcPr>
            <w:tcW w:w="2613"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无垃圾污渍、踢脚无灰尘</w:t>
            </w:r>
            <w:r/>
          </w:p>
        </w:tc>
        <w:tc>
          <w:tcPr>
            <w:tcW w:w="2691"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lang w:eastAsia="zh-CN"/>
              </w:rPr>
            </w:pP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天清拖擦拭</w:t>
            </w:r>
            <w:r/>
          </w:p>
          <w:p>
            <w:pPr>
              <w:jc w:val="cente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2次/天处置室、治疗室、换药室</w:t>
            </w:r>
            <w:r/>
          </w:p>
        </w:tc>
      </w:tr>
      <w:tr>
        <w:trPr>
          <w:trHeight w:val="20"/>
        </w:trPr>
        <w:tc>
          <w:tcPr>
            <w:tcW w:w="1221" w:type="dxa"/>
            <w:vAlign w:val="center"/>
            <w:vMerge w:val="continue"/>
            <w:textDirection w:val="lrTb"/>
            <w:noWrap w:val="false"/>
          </w:tcPr>
          <w:p>
            <w:pPr>
              <w:keepLines w:val="0"/>
              <w:keepNext w:val="0"/>
              <w:pageBreakBefore w:val="0"/>
              <w:spacing w:after="0" w:line="240" w:lineRule="auto"/>
              <w:widowControl/>
              <w:rPr>
                <w:rFonts w:ascii="宋体" w:hAnsi="宋体"/>
                <w:b/>
                <w:bCs/>
                <w:color w:val="auto"/>
                <w:sz w:val="24"/>
                <w:highlight w:val="none"/>
                <w:lang w:eastAsia="zh-CN"/>
              </w:rPr>
            </w:pPr>
            <w:r>
              <w:rPr>
                <w:rFonts w:ascii="宋体" w:hAnsi="宋体"/>
                <w:b/>
                <w:bCs/>
                <w:color w:val="auto"/>
                <w:sz w:val="24"/>
                <w:highlight w:val="none"/>
                <w:lang w:eastAsia="zh-CN"/>
              </w:rPr>
            </w:r>
            <w:r/>
          </w:p>
        </w:tc>
        <w:tc>
          <w:tcPr>
            <w:tcW w:w="2643"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门、窗、窗台、橱门、挂件及办公用具等</w:t>
            </w:r>
            <w:r/>
          </w:p>
        </w:tc>
        <w:tc>
          <w:tcPr>
            <w:tcW w:w="2613"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color w:val="auto"/>
                <w:sz w:val="24"/>
                <w:highlight w:val="none"/>
              </w:rPr>
              <w:t xml:space="preserve">无灰尘、污迹</w:t>
            </w:r>
            <w:r/>
          </w:p>
        </w:tc>
        <w:tc>
          <w:tcPr>
            <w:tcW w:w="2691"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color w:val="auto"/>
                <w:sz w:val="24"/>
                <w:highlight w:val="none"/>
              </w:rPr>
              <w:t xml:space="preserve">2次/周擦窗台</w:t>
            </w:r>
            <w:r/>
          </w:p>
          <w:p>
            <w:pPr>
              <w:jc w:val="center"/>
              <w:keepLines w:val="0"/>
              <w:keepNext w:val="0"/>
              <w:pageBreakBefore w:val="0"/>
              <w:spacing w:after="0" w:line="240" w:lineRule="auto"/>
              <w:widowControl/>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次</w:t>
            </w:r>
            <w:r>
              <w:rPr>
                <w:rFonts w:ascii="宋体" w:hAnsi="宋体"/>
                <w:color w:val="auto"/>
                <w:sz w:val="24"/>
                <w:highlight w:val="none"/>
              </w:rPr>
              <w:t xml:space="preserve">/</w:t>
            </w:r>
            <w:r>
              <w:rPr>
                <w:rFonts w:hint="eastAsia" w:ascii="宋体" w:hAnsi="宋体"/>
                <w:color w:val="auto"/>
                <w:sz w:val="24"/>
                <w:highlight w:val="none"/>
              </w:rPr>
              <w:t xml:space="preserve">周擦拭、上油</w:t>
            </w:r>
            <w:r/>
          </w:p>
        </w:tc>
      </w:tr>
      <w:tr>
        <w:trPr>
          <w:trHeight w:val="731"/>
        </w:trPr>
        <w:tc>
          <w:tcPr>
            <w:tcW w:w="1221" w:type="dxa"/>
            <w:vAlign w:val="center"/>
            <w:vMerge w:val="continue"/>
            <w:textDirection w:val="lrTb"/>
            <w:noWrap w:val="false"/>
          </w:tcPr>
          <w:p>
            <w:pPr>
              <w:keepLines w:val="0"/>
              <w:keepNext w:val="0"/>
              <w:pageBreakBefore w:val="0"/>
              <w:spacing w:after="0" w:line="240" w:lineRule="auto"/>
              <w:widowControl/>
              <w:rPr>
                <w:rFonts w:ascii="宋体" w:hAnsi="宋体"/>
                <w:b/>
                <w:bCs/>
                <w:color w:val="auto"/>
                <w:sz w:val="24"/>
                <w:highlight w:val="none"/>
              </w:rPr>
            </w:pPr>
            <w:r>
              <w:rPr>
                <w:rFonts w:ascii="宋体" w:hAnsi="宋体"/>
                <w:b/>
                <w:bCs/>
                <w:color w:val="auto"/>
                <w:sz w:val="24"/>
                <w:highlight w:val="none"/>
              </w:rPr>
            </w:r>
            <w:r/>
          </w:p>
        </w:tc>
        <w:tc>
          <w:tcPr>
            <w:tcW w:w="2643"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rPr>
              <w:t xml:space="preserve"> </w:t>
            </w:r>
            <w:r>
              <w:rPr>
                <w:rFonts w:hint="eastAsia" w:ascii="宋体" w:hAnsi="宋体"/>
                <w:color w:val="auto"/>
                <w:sz w:val="24"/>
                <w:highlight w:val="none"/>
                <w:lang w:eastAsia="zh-CN"/>
              </w:rPr>
              <w:t xml:space="preserve">天花、墙面、玻璃、出回风口、灯具</w:t>
            </w:r>
            <w:r/>
          </w:p>
        </w:tc>
        <w:tc>
          <w:tcPr>
            <w:tcW w:w="2613"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手摸无灰尘、目视无蜘蛛网</w:t>
            </w:r>
            <w:r/>
          </w:p>
        </w:tc>
        <w:tc>
          <w:tcPr>
            <w:tcW w:w="2691"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lang w:eastAsia="zh-CN"/>
              </w:rPr>
            </w:pPr>
            <w:r>
              <w:rPr>
                <w:rFonts w:ascii="宋体" w:hAnsi="宋体"/>
                <w:color w:val="auto"/>
                <w:sz w:val="24"/>
                <w:highlight w:val="none"/>
                <w:lang w:eastAsia="zh-CN"/>
              </w:rPr>
            </w:r>
            <w:r/>
          </w:p>
          <w:p>
            <w:pPr>
              <w:jc w:val="center"/>
              <w:keepLines w:val="0"/>
              <w:keepNext w:val="0"/>
              <w:pageBreakBefore w:val="0"/>
              <w:spacing w:after="0" w:line="240" w:lineRule="auto"/>
              <w:widowControl/>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次</w:t>
            </w:r>
            <w:r>
              <w:rPr>
                <w:rFonts w:ascii="宋体" w:hAnsi="宋体"/>
                <w:color w:val="auto"/>
                <w:sz w:val="24"/>
                <w:highlight w:val="none"/>
              </w:rPr>
              <w:t xml:space="preserve">/</w:t>
            </w:r>
            <w:r>
              <w:rPr>
                <w:rFonts w:hint="eastAsia" w:ascii="宋体" w:hAnsi="宋体"/>
                <w:color w:val="auto"/>
                <w:sz w:val="24"/>
                <w:highlight w:val="none"/>
              </w:rPr>
              <w:t xml:space="preserve">月除尘</w:t>
            </w:r>
            <w:r/>
          </w:p>
          <w:p>
            <w:pPr>
              <w:jc w:val="center"/>
              <w:keepLines w:val="0"/>
              <w:keepNext w:val="0"/>
              <w:pageBreakBefore w:val="0"/>
              <w:spacing w:after="0" w:line="240" w:lineRule="auto"/>
              <w:widowControl/>
              <w:rPr>
                <w:rFonts w:ascii="宋体" w:hAnsi="宋体"/>
                <w:color w:val="auto"/>
                <w:sz w:val="24"/>
                <w:highlight w:val="none"/>
              </w:rPr>
            </w:pPr>
            <w:r>
              <w:rPr>
                <w:rFonts w:ascii="宋体" w:hAnsi="宋体"/>
                <w:color w:val="auto"/>
                <w:sz w:val="24"/>
                <w:highlight w:val="none"/>
              </w:rPr>
            </w:r>
            <w:r/>
          </w:p>
        </w:tc>
      </w:tr>
      <w:tr>
        <w:trPr>
          <w:trHeight w:val="20"/>
        </w:trPr>
        <w:tc>
          <w:tcPr>
            <w:tcW w:w="1221" w:type="dxa"/>
            <w:vAlign w:val="center"/>
            <w:vMerge w:val="continue"/>
            <w:textDirection w:val="lrTb"/>
            <w:noWrap w:val="false"/>
          </w:tcPr>
          <w:p>
            <w:pPr>
              <w:keepLines w:val="0"/>
              <w:keepNext w:val="0"/>
              <w:pageBreakBefore w:val="0"/>
              <w:spacing w:after="0" w:line="240" w:lineRule="auto"/>
              <w:widowControl/>
              <w:rPr>
                <w:rFonts w:ascii="宋体" w:hAnsi="宋体"/>
                <w:b/>
                <w:bCs/>
                <w:color w:val="auto"/>
                <w:sz w:val="24"/>
                <w:highlight w:val="none"/>
              </w:rPr>
            </w:pPr>
            <w:r>
              <w:rPr>
                <w:rFonts w:ascii="宋体" w:hAnsi="宋体"/>
                <w:b/>
                <w:bCs/>
                <w:color w:val="auto"/>
                <w:sz w:val="24"/>
                <w:highlight w:val="none"/>
              </w:rPr>
            </w:r>
            <w:r/>
          </w:p>
        </w:tc>
        <w:tc>
          <w:tcPr>
            <w:tcW w:w="2643"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color w:val="auto"/>
                <w:sz w:val="24"/>
                <w:highlight w:val="none"/>
              </w:rPr>
              <w:t xml:space="preserve">垃圾桶</w:t>
            </w:r>
            <w:r/>
          </w:p>
        </w:tc>
        <w:tc>
          <w:tcPr>
            <w:tcW w:w="2613"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rPr>
            </w:pPr>
            <w:r>
              <w:rPr>
                <w:rFonts w:hint="eastAsia" w:ascii="宋体" w:hAnsi="宋体"/>
                <w:color w:val="auto"/>
                <w:sz w:val="24"/>
                <w:highlight w:val="none"/>
              </w:rPr>
              <w:t xml:space="preserve"> 无满溢、外围无污迹</w:t>
            </w:r>
            <w:r/>
          </w:p>
        </w:tc>
        <w:tc>
          <w:tcPr>
            <w:tcW w:w="2691"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1次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天换垃圾袋</w:t>
            </w:r>
            <w:r/>
          </w:p>
          <w:p>
            <w:pPr>
              <w:jc w:val="cente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1次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周洗垃圾桶   及时倾倒</w:t>
            </w:r>
            <w:r/>
          </w:p>
        </w:tc>
      </w:tr>
      <w:tr>
        <w:trPr>
          <w:trHeight w:val="20"/>
        </w:trPr>
        <w:tc>
          <w:tcPr>
            <w:tcW w:w="1221" w:type="dxa"/>
            <w:vAlign w:val="center"/>
            <w:vMerge w:val="restart"/>
            <w:textDirection w:val="lrTb"/>
            <w:noWrap w:val="false"/>
          </w:tcPr>
          <w:p>
            <w:pPr>
              <w:jc w:val="center"/>
              <w:keepLines w:val="0"/>
              <w:keepNext w:val="0"/>
              <w:pageBreakBefore w:val="0"/>
              <w:spacing w:after="0" w:line="240" w:lineRule="auto"/>
              <w:widowControl/>
              <w:rPr>
                <w:rFonts w:ascii="宋体" w:hAnsi="宋体"/>
                <w:b/>
                <w:bCs/>
                <w:color w:val="auto"/>
                <w:sz w:val="24"/>
                <w:highlight w:val="none"/>
              </w:rPr>
            </w:pPr>
            <w:r>
              <w:rPr>
                <w:rFonts w:hint="eastAsia" w:ascii="宋体" w:hAnsi="宋体"/>
                <w:b/>
                <w:bCs/>
                <w:color w:val="auto"/>
                <w:sz w:val="24"/>
                <w:highlight w:val="none"/>
              </w:rPr>
              <w:t xml:space="preserve">走廊通道</w:t>
            </w:r>
            <w:r/>
          </w:p>
        </w:tc>
        <w:tc>
          <w:tcPr>
            <w:tcW w:w="2643"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color w:val="auto"/>
                <w:sz w:val="24"/>
                <w:highlight w:val="none"/>
              </w:rPr>
              <w:t xml:space="preserve">地面</w:t>
            </w:r>
            <w:r/>
          </w:p>
        </w:tc>
        <w:tc>
          <w:tcPr>
            <w:tcW w:w="2613"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无积水污迹、踢脚无灰尘</w:t>
            </w:r>
            <w:r/>
          </w:p>
        </w:tc>
        <w:tc>
          <w:tcPr>
            <w:tcW w:w="2691"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次</w:t>
            </w:r>
            <w:r>
              <w:rPr>
                <w:rFonts w:ascii="宋体" w:hAnsi="宋体"/>
                <w:color w:val="auto"/>
                <w:sz w:val="24"/>
                <w:highlight w:val="none"/>
              </w:rPr>
              <w:t xml:space="preserve">/</w:t>
            </w:r>
            <w:r>
              <w:rPr>
                <w:rFonts w:hint="eastAsia" w:ascii="宋体" w:hAnsi="宋体"/>
                <w:color w:val="auto"/>
                <w:sz w:val="24"/>
                <w:highlight w:val="none"/>
              </w:rPr>
              <w:t xml:space="preserve">天清拖</w:t>
            </w:r>
            <w:r/>
          </w:p>
        </w:tc>
      </w:tr>
      <w:tr>
        <w:trPr>
          <w:trHeight w:val="392"/>
        </w:trPr>
        <w:tc>
          <w:tcPr>
            <w:tcW w:w="1221" w:type="dxa"/>
            <w:vAlign w:val="center"/>
            <w:vMerge w:val="continue"/>
            <w:textDirection w:val="lrTb"/>
            <w:noWrap w:val="false"/>
          </w:tcPr>
          <w:p>
            <w:pPr>
              <w:keepLines w:val="0"/>
              <w:keepNext w:val="0"/>
              <w:pageBreakBefore w:val="0"/>
              <w:spacing w:after="0" w:line="240" w:lineRule="auto"/>
              <w:widowControl/>
              <w:rPr>
                <w:rFonts w:ascii="宋体" w:hAnsi="宋体"/>
                <w:b/>
                <w:bCs/>
                <w:color w:val="auto"/>
                <w:sz w:val="24"/>
                <w:highlight w:val="none"/>
              </w:rPr>
            </w:pPr>
            <w:r>
              <w:rPr>
                <w:rFonts w:ascii="宋体" w:hAnsi="宋体"/>
                <w:b/>
                <w:bCs/>
                <w:color w:val="auto"/>
                <w:sz w:val="24"/>
                <w:highlight w:val="none"/>
              </w:rPr>
            </w:r>
            <w:r/>
          </w:p>
        </w:tc>
        <w:tc>
          <w:tcPr>
            <w:tcW w:w="2643"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color w:val="auto"/>
                <w:sz w:val="24"/>
                <w:highlight w:val="none"/>
              </w:rPr>
              <w:t xml:space="preserve">扶手</w:t>
            </w:r>
            <w:r/>
          </w:p>
        </w:tc>
        <w:tc>
          <w:tcPr>
            <w:tcW w:w="2613"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color w:val="auto"/>
                <w:sz w:val="24"/>
                <w:highlight w:val="none"/>
              </w:rPr>
              <w:t xml:space="preserve">手摸无灰尘、污渍</w:t>
            </w:r>
            <w:r/>
          </w:p>
        </w:tc>
        <w:tc>
          <w:tcPr>
            <w:tcW w:w="2691"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color w:val="auto"/>
                <w:sz w:val="24"/>
                <w:highlight w:val="none"/>
              </w:rPr>
              <w:t xml:space="preserve">1次/天擦拭</w:t>
            </w:r>
            <w:r/>
          </w:p>
        </w:tc>
      </w:tr>
      <w:tr>
        <w:trPr>
          <w:trHeight w:val="90"/>
        </w:trPr>
        <w:tc>
          <w:tcPr>
            <w:tcW w:w="1221" w:type="dxa"/>
            <w:vAlign w:val="center"/>
            <w:vMerge w:val="continue"/>
            <w:textDirection w:val="lrTb"/>
            <w:noWrap w:val="false"/>
          </w:tcPr>
          <w:p>
            <w:pPr>
              <w:keepLines w:val="0"/>
              <w:keepNext w:val="0"/>
              <w:pageBreakBefore w:val="0"/>
              <w:spacing w:after="0" w:line="240" w:lineRule="auto"/>
              <w:widowControl/>
              <w:rPr>
                <w:rFonts w:ascii="宋体" w:hAnsi="宋体"/>
                <w:b/>
                <w:bCs/>
                <w:color w:val="auto"/>
                <w:sz w:val="24"/>
                <w:highlight w:val="none"/>
              </w:rPr>
            </w:pPr>
            <w:r>
              <w:rPr>
                <w:rFonts w:ascii="宋体" w:hAnsi="宋体"/>
                <w:b/>
                <w:bCs/>
                <w:color w:val="auto"/>
                <w:sz w:val="24"/>
                <w:highlight w:val="none"/>
              </w:rPr>
            </w:r>
            <w:r/>
          </w:p>
        </w:tc>
        <w:tc>
          <w:tcPr>
            <w:tcW w:w="2643"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天花、墙面、电梯厅墙面、风口、灯具、消防设施</w:t>
            </w:r>
            <w:r/>
          </w:p>
        </w:tc>
        <w:tc>
          <w:tcPr>
            <w:tcW w:w="2613"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目视无灰尘、蜘蛛网、不锈钢光亮无手印</w:t>
            </w:r>
            <w:r/>
          </w:p>
        </w:tc>
        <w:tc>
          <w:tcPr>
            <w:tcW w:w="2691"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1次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月擦拭除尘1次/周擦消防设施</w:t>
            </w:r>
            <w:r/>
          </w:p>
        </w:tc>
      </w:tr>
      <w:tr>
        <w:trPr>
          <w:trHeight w:val="487"/>
        </w:trPr>
        <w:tc>
          <w:tcPr>
            <w:tcW w:w="1221" w:type="dxa"/>
            <w:vAlign w:val="center"/>
            <w:vMerge w:val="restart"/>
            <w:textDirection w:val="lrTb"/>
            <w:noWrap w:val="false"/>
          </w:tcPr>
          <w:p>
            <w:pPr>
              <w:jc w:val="center"/>
              <w:keepLines w:val="0"/>
              <w:keepNext w:val="0"/>
              <w:pageBreakBefore w:val="0"/>
              <w:spacing w:after="0" w:line="240" w:lineRule="auto"/>
              <w:widowControl/>
              <w:rPr>
                <w:rFonts w:ascii="宋体" w:hAnsi="宋体"/>
                <w:b/>
                <w:bCs/>
                <w:color w:val="auto"/>
                <w:sz w:val="24"/>
                <w:highlight w:val="none"/>
              </w:rPr>
            </w:pPr>
            <w:r>
              <w:rPr>
                <w:rFonts w:hint="eastAsia" w:ascii="宋体" w:hAnsi="宋体"/>
                <w:b/>
                <w:bCs/>
                <w:color w:val="auto"/>
                <w:sz w:val="24"/>
                <w:highlight w:val="none"/>
              </w:rPr>
              <w:t xml:space="preserve">开水间</w:t>
            </w:r>
            <w:r/>
          </w:p>
          <w:p>
            <w:pPr>
              <w:jc w:val="center"/>
              <w:keepLines w:val="0"/>
              <w:keepNext w:val="0"/>
              <w:pageBreakBefore w:val="0"/>
              <w:spacing w:after="0" w:line="240" w:lineRule="auto"/>
              <w:widowControl/>
              <w:rPr>
                <w:rFonts w:ascii="宋体" w:hAnsi="宋体"/>
                <w:b/>
                <w:bCs/>
                <w:color w:val="auto"/>
                <w:sz w:val="24"/>
                <w:highlight w:val="none"/>
              </w:rPr>
            </w:pPr>
            <w:r>
              <w:rPr>
                <w:rFonts w:hint="eastAsia" w:ascii="宋体" w:hAnsi="宋体"/>
                <w:b/>
                <w:bCs/>
                <w:color w:val="auto"/>
                <w:sz w:val="24"/>
                <w:highlight w:val="none"/>
              </w:rPr>
              <w:t xml:space="preserve">配餐间</w:t>
            </w:r>
            <w:r/>
          </w:p>
        </w:tc>
        <w:tc>
          <w:tcPr>
            <w:tcW w:w="2643"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color w:val="auto"/>
                <w:sz w:val="24"/>
                <w:highlight w:val="none"/>
              </w:rPr>
              <w:t xml:space="preserve">地面、设施</w:t>
            </w:r>
            <w:r/>
          </w:p>
        </w:tc>
        <w:tc>
          <w:tcPr>
            <w:tcW w:w="2613"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color w:val="auto"/>
                <w:sz w:val="24"/>
                <w:highlight w:val="none"/>
              </w:rPr>
              <w:t xml:space="preserve">无积水、无污渍</w:t>
            </w:r>
            <w:r/>
          </w:p>
        </w:tc>
        <w:tc>
          <w:tcPr>
            <w:tcW w:w="2691"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次</w:t>
            </w:r>
            <w:r>
              <w:rPr>
                <w:rFonts w:ascii="宋体" w:hAnsi="宋体"/>
                <w:color w:val="auto"/>
                <w:sz w:val="24"/>
                <w:highlight w:val="none"/>
              </w:rPr>
              <w:t xml:space="preserve">/</w:t>
            </w:r>
            <w:r>
              <w:rPr>
                <w:rFonts w:hint="eastAsia" w:ascii="宋体" w:hAnsi="宋体"/>
                <w:color w:val="auto"/>
                <w:sz w:val="24"/>
                <w:highlight w:val="none"/>
              </w:rPr>
              <w:t xml:space="preserve">天清拖擦拭</w:t>
            </w:r>
            <w:r/>
          </w:p>
        </w:tc>
      </w:tr>
      <w:tr>
        <w:trPr>
          <w:trHeight w:val="362"/>
        </w:trPr>
        <w:tc>
          <w:tcPr>
            <w:tcW w:w="1221" w:type="dxa"/>
            <w:vMerge w:val="continue"/>
            <w:textDirection w:val="lrTb"/>
            <w:noWrap w:val="false"/>
          </w:tcPr>
          <w:p>
            <w:pPr>
              <w:keepLines w:val="0"/>
              <w:keepNext w:val="0"/>
              <w:pageBreakBefore w:val="0"/>
              <w:spacing w:after="0" w:line="240" w:lineRule="auto"/>
              <w:widowControl/>
              <w:rPr>
                <w:rFonts w:ascii="宋体" w:hAnsi="宋体"/>
                <w:b/>
                <w:bCs/>
                <w:color w:val="auto"/>
                <w:sz w:val="24"/>
                <w:highlight w:val="none"/>
              </w:rPr>
            </w:pPr>
            <w:r>
              <w:rPr>
                <w:rFonts w:ascii="宋体" w:hAnsi="宋体"/>
                <w:b/>
                <w:bCs/>
                <w:color w:val="auto"/>
                <w:sz w:val="24"/>
                <w:highlight w:val="none"/>
              </w:rPr>
            </w:r>
            <w:r/>
          </w:p>
        </w:tc>
        <w:tc>
          <w:tcPr>
            <w:tcW w:w="2643"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水池、龙头、微波炉、墙面、消毒柜、开水炉、灯具</w:t>
            </w:r>
            <w:r/>
          </w:p>
        </w:tc>
        <w:tc>
          <w:tcPr>
            <w:tcW w:w="2613"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color w:val="auto"/>
                <w:sz w:val="24"/>
                <w:highlight w:val="none"/>
              </w:rPr>
              <w:t xml:space="preserve">无积垢、灰尘</w:t>
            </w:r>
            <w:r/>
          </w:p>
        </w:tc>
        <w:tc>
          <w:tcPr>
            <w:tcW w:w="2691"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w:t>
            </w: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天擦拭</w:t>
            </w:r>
            <w:r/>
          </w:p>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1次/月擦拭墙面、 灯具</w:t>
            </w:r>
            <w:r/>
          </w:p>
        </w:tc>
      </w:tr>
      <w:tr>
        <w:trPr>
          <w:trHeight w:val="562"/>
        </w:trPr>
        <w:tc>
          <w:tcPr>
            <w:tcW w:w="1221" w:type="dxa"/>
            <w:vAlign w:val="center"/>
            <w:textDirection w:val="lrTb"/>
            <w:noWrap w:val="false"/>
          </w:tcPr>
          <w:p>
            <w:pPr>
              <w:jc w:val="center"/>
              <w:keepLines w:val="0"/>
              <w:keepNext w:val="0"/>
              <w:pageBreakBefore w:val="0"/>
              <w:spacing w:after="0" w:line="240" w:lineRule="auto"/>
              <w:widowControl/>
              <w:rPr>
                <w:rFonts w:ascii="宋体" w:hAnsi="宋体"/>
                <w:b/>
                <w:bCs/>
                <w:color w:val="auto"/>
                <w:sz w:val="24"/>
                <w:highlight w:val="none"/>
                <w:lang w:eastAsia="zh-CN"/>
              </w:rPr>
            </w:pPr>
            <w:r>
              <w:rPr>
                <w:rFonts w:hint="eastAsia" w:ascii="宋体" w:hAnsi="宋体"/>
                <w:b/>
                <w:bCs/>
                <w:color w:val="auto"/>
                <w:sz w:val="24"/>
                <w:highlight w:val="none"/>
                <w:lang w:eastAsia="zh-CN"/>
              </w:rPr>
              <w:t xml:space="preserve">医护及病区公用卫生间</w:t>
            </w:r>
            <w:r/>
          </w:p>
        </w:tc>
        <w:tc>
          <w:tcPr>
            <w:gridSpan w:val="3"/>
            <w:tcW w:w="7947" w:type="dxa"/>
            <w:vAlign w:val="center"/>
            <w:textDirection w:val="lrTb"/>
            <w:noWrap w:val="false"/>
          </w:tcPr>
          <w:p>
            <w:pPr>
              <w:jc w:val="center"/>
              <w:keepLines w:val="0"/>
              <w:keepNext w:val="0"/>
              <w:pageBreakBefore w:val="0"/>
              <w:spacing w:after="0" w:line="240" w:lineRule="auto"/>
              <w:widowControl/>
              <w:rPr>
                <w:rFonts w:ascii="宋体" w:hAnsi="宋体"/>
                <w:b/>
                <w:bCs/>
                <w:color w:val="auto"/>
                <w:sz w:val="24"/>
                <w:highlight w:val="none"/>
                <w:lang w:eastAsia="zh-CN"/>
              </w:rPr>
            </w:pPr>
            <w:r>
              <w:rPr>
                <w:rFonts w:hint="eastAsia" w:ascii="宋体" w:hAnsi="宋体"/>
                <w:color w:val="auto"/>
                <w:sz w:val="24"/>
                <w:highlight w:val="none"/>
                <w:lang w:eastAsia="zh-CN"/>
              </w:rPr>
              <w:t xml:space="preserve">保洁范围、标准、要求同表八公共区卫生间</w:t>
            </w:r>
            <w:r/>
          </w:p>
        </w:tc>
      </w:tr>
      <w:tr>
        <w:trPr>
          <w:trHeight w:val="691"/>
        </w:trPr>
        <w:tc>
          <w:tcPr>
            <w:tcW w:w="1221" w:type="dxa"/>
            <w:vAlign w:val="center"/>
            <w:textDirection w:val="lrTb"/>
            <w:noWrap w:val="false"/>
          </w:tcPr>
          <w:p>
            <w:pPr>
              <w:jc w:val="center"/>
              <w:keepLines w:val="0"/>
              <w:keepNext w:val="0"/>
              <w:pageBreakBefore w:val="0"/>
              <w:spacing w:after="0" w:line="240" w:lineRule="auto"/>
              <w:widowControl/>
              <w:rPr>
                <w:rFonts w:ascii="宋体" w:hAnsi="宋体"/>
                <w:b/>
                <w:bCs/>
                <w:color w:val="auto"/>
                <w:sz w:val="24"/>
                <w:highlight w:val="none"/>
              </w:rPr>
            </w:pPr>
            <w:r>
              <w:rPr>
                <w:rFonts w:hint="eastAsia" w:ascii="宋体" w:hAnsi="宋体"/>
                <w:b/>
                <w:bCs/>
                <w:color w:val="auto"/>
                <w:sz w:val="24"/>
                <w:highlight w:val="none"/>
              </w:rPr>
              <w:t xml:space="preserve">备注</w:t>
            </w:r>
            <w:r/>
          </w:p>
        </w:tc>
        <w:tc>
          <w:tcPr>
            <w:gridSpan w:val="3"/>
            <w:tcW w:w="7947"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ascii="宋体" w:hAnsi="宋体"/>
                <w:color w:val="auto"/>
                <w:sz w:val="24"/>
                <w:highlight w:val="none"/>
                <w:lang w:eastAsia="zh-CN"/>
              </w:rPr>
              <w:t xml:space="preserve">  </w:t>
            </w:r>
            <w:r>
              <w:rPr>
                <w:rFonts w:hint="eastAsia" w:ascii="宋体" w:hAnsi="宋体"/>
                <w:color w:val="auto"/>
                <w:sz w:val="24"/>
                <w:highlight w:val="none"/>
                <w:lang w:eastAsia="zh-CN"/>
              </w:rPr>
              <w:t xml:space="preserve">所有区域工作要及时跟踪快速处理并每周安排周重点细做一次。</w:t>
            </w:r>
            <w:r/>
          </w:p>
        </w:tc>
      </w:tr>
    </w:tbl>
    <w:p>
      <w:pPr>
        <w:spacing w:line="240" w:lineRule="atLeast"/>
        <w:rPr>
          <w:rFonts w:ascii="宋体" w:hAnsi="宋体"/>
          <w:b/>
          <w:bCs/>
          <w:color w:val="auto"/>
          <w:sz w:val="24"/>
          <w:highlight w:val="none"/>
          <w:lang w:eastAsia="zh-CN"/>
        </w:rPr>
      </w:pPr>
      <w:r>
        <w:rPr>
          <w:rFonts w:ascii="宋体" w:hAnsi="宋体"/>
          <w:b/>
          <w:bCs/>
          <w:color w:val="auto"/>
          <w:sz w:val="24"/>
          <w:highlight w:val="none"/>
          <w:lang w:eastAsia="zh-CN"/>
        </w:rPr>
      </w:r>
      <w:r/>
    </w:p>
    <w:p>
      <w:pPr>
        <w:spacing w:line="240" w:lineRule="atLeast"/>
        <w:rPr>
          <w:rFonts w:ascii="宋体" w:hAnsi="宋体"/>
          <w:b/>
          <w:bCs/>
          <w:color w:val="auto"/>
          <w:sz w:val="24"/>
          <w:highlight w:val="none"/>
        </w:rPr>
      </w:pPr>
      <w:r>
        <w:rPr>
          <w:rFonts w:hint="eastAsia" w:ascii="宋体" w:hAnsi="宋体"/>
          <w:b/>
          <w:bCs/>
          <w:color w:val="auto"/>
          <w:sz w:val="24"/>
          <w:highlight w:val="none"/>
        </w:rPr>
        <w:t xml:space="preserve">表三：后勤楼保洁</w:t>
      </w:r>
      <w:r/>
    </w:p>
    <w:tbl>
      <w:tblPr>
        <w:tblStyle w:val="703"/>
        <w:tblpPr w:horzAnchor="page" w:tblpX="1808" w:vertAnchor="text" w:tblpY="89" w:leftFromText="180" w:topFromText="0" w:rightFromText="180" w:bottomFromText="0"/>
        <w:tblW w:w="91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2848"/>
        <w:gridCol w:w="2472"/>
        <w:gridCol w:w="2636"/>
      </w:tblGrid>
      <w:tr>
        <w:trPr>
          <w:trHeight w:val="562"/>
        </w:trPr>
        <w:tc>
          <w:tcPr>
            <w:tcW w:w="1236"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b/>
                <w:bCs/>
                <w:color w:val="auto"/>
                <w:sz w:val="24"/>
                <w:highlight w:val="none"/>
              </w:rPr>
              <w:t xml:space="preserve">服务区域</w:t>
            </w:r>
            <w:r/>
          </w:p>
        </w:tc>
        <w:tc>
          <w:tcPr>
            <w:tcW w:w="2848"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b/>
                <w:bCs/>
                <w:color w:val="auto"/>
                <w:sz w:val="24"/>
                <w:highlight w:val="none"/>
              </w:rPr>
              <w:t xml:space="preserve">保洁内容</w:t>
            </w:r>
            <w:r/>
          </w:p>
        </w:tc>
        <w:tc>
          <w:tcPr>
            <w:tcW w:w="2472"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b/>
                <w:bCs/>
                <w:color w:val="auto"/>
                <w:sz w:val="24"/>
                <w:highlight w:val="none"/>
              </w:rPr>
              <w:t xml:space="preserve">保洁标准</w:t>
            </w:r>
            <w:r/>
          </w:p>
        </w:tc>
        <w:tc>
          <w:tcPr>
            <w:tcW w:w="2636"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b/>
                <w:bCs/>
                <w:color w:val="auto"/>
                <w:sz w:val="24"/>
                <w:highlight w:val="none"/>
              </w:rPr>
              <w:t xml:space="preserve">保洁频次</w:t>
            </w:r>
            <w:r/>
          </w:p>
        </w:tc>
      </w:tr>
      <w:tr>
        <w:trPr>
          <w:trHeight w:val="20"/>
        </w:trPr>
        <w:tc>
          <w:tcPr>
            <w:tcW w:w="1236" w:type="dxa"/>
            <w:vAlign w:val="center"/>
            <w:vMerge w:val="restart"/>
            <w:textDirection w:val="lrTb"/>
            <w:noWrap w:val="false"/>
          </w:tcPr>
          <w:p>
            <w:pPr>
              <w:keepLines w:val="0"/>
              <w:keepNext w:val="0"/>
              <w:pageBreakBefore w:val="0"/>
              <w:spacing w:after="0" w:line="240" w:lineRule="auto"/>
              <w:widowControl/>
              <w:rPr>
                <w:rFonts w:ascii="宋体" w:hAnsi="宋体"/>
                <w:color w:val="auto"/>
                <w:sz w:val="24"/>
                <w:highlight w:val="none"/>
              </w:rPr>
            </w:pPr>
            <w:r>
              <w:rPr>
                <w:rFonts w:hint="eastAsia" w:ascii="宋体" w:hAnsi="宋体"/>
                <w:b/>
                <w:bCs/>
                <w:color w:val="auto"/>
                <w:sz w:val="24"/>
                <w:highlight w:val="none"/>
              </w:rPr>
              <w:t xml:space="preserve">后勤楼</w:t>
            </w:r>
            <w:r/>
          </w:p>
        </w:tc>
        <w:tc>
          <w:tcPr>
            <w:tcW w:w="2848"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地面、窗台、检查用器材、各种自助设备</w:t>
            </w:r>
            <w:r/>
          </w:p>
        </w:tc>
        <w:tc>
          <w:tcPr>
            <w:tcW w:w="2472"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地面无积水、垃圾、污迹、踢脚无灰尘；窗台、桌椅无污渍</w:t>
            </w:r>
            <w:r/>
          </w:p>
        </w:tc>
        <w:tc>
          <w:tcPr>
            <w:tcW w:w="2636"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lang w:eastAsia="zh-CN"/>
              </w:rPr>
            </w:pPr>
            <w:r>
              <w:rPr>
                <w:rFonts w:ascii="宋体" w:hAnsi="宋体"/>
                <w:color w:val="auto"/>
                <w:sz w:val="24"/>
                <w:highlight w:val="none"/>
                <w:lang w:eastAsia="zh-CN"/>
              </w:rPr>
              <w:t xml:space="preserve">2</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天清拖地面</w:t>
            </w:r>
            <w:r/>
          </w:p>
          <w:p>
            <w:pPr>
              <w:jc w:val="center"/>
              <w:keepLines w:val="0"/>
              <w:keepNext w:val="0"/>
              <w:pageBreakBefore w:val="0"/>
              <w:spacing w:after="0" w:line="240" w:lineRule="auto"/>
              <w:widowControl/>
              <w:rPr>
                <w:rFonts w:ascii="宋体" w:hAnsi="宋体"/>
                <w:color w:val="auto"/>
                <w:sz w:val="24"/>
                <w:highlight w:val="none"/>
                <w:lang w:eastAsia="zh-CN"/>
              </w:rPr>
            </w:pP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天擦拭</w:t>
            </w:r>
            <w:r/>
          </w:p>
          <w:p>
            <w:pPr>
              <w:jc w:val="cente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并及时巡视</w:t>
            </w:r>
            <w:r/>
          </w:p>
        </w:tc>
      </w:tr>
      <w:tr>
        <w:trPr>
          <w:trHeight w:val="20"/>
        </w:trPr>
        <w:tc>
          <w:tcPr>
            <w:tcW w:w="1236" w:type="dxa"/>
            <w:vAlign w:val="center"/>
            <w:vMerge w:val="continue"/>
            <w:textDirection w:val="lrTb"/>
            <w:noWrap w:val="false"/>
          </w:tcPr>
          <w:p>
            <w:pPr>
              <w:jc w:val="center"/>
              <w:keepLines w:val="0"/>
              <w:keepNext w:val="0"/>
              <w:pageBreakBefore w:val="0"/>
              <w:spacing w:after="0" w:line="240" w:lineRule="auto"/>
              <w:widowControl/>
              <w:rPr>
                <w:rFonts w:ascii="宋体" w:hAnsi="宋体"/>
                <w:color w:val="auto"/>
                <w:sz w:val="24"/>
                <w:highlight w:val="none"/>
                <w:lang w:eastAsia="zh-CN"/>
              </w:rPr>
            </w:pPr>
            <w:r>
              <w:rPr>
                <w:rFonts w:ascii="宋体" w:hAnsi="宋体"/>
                <w:color w:val="auto"/>
                <w:sz w:val="24"/>
                <w:highlight w:val="none"/>
                <w:lang w:eastAsia="zh-CN"/>
              </w:rPr>
            </w:r>
            <w:r/>
          </w:p>
        </w:tc>
        <w:tc>
          <w:tcPr>
            <w:tcW w:w="2848"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水池、台面、水龙头、皂盒</w:t>
            </w:r>
            <w:r/>
          </w:p>
        </w:tc>
        <w:tc>
          <w:tcPr>
            <w:tcW w:w="2472"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均无污迹、台面无水迹、龙头光亮如新</w:t>
            </w:r>
            <w:r/>
          </w:p>
        </w:tc>
        <w:tc>
          <w:tcPr>
            <w:tcW w:w="2636"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lang w:eastAsia="zh-CN"/>
              </w:rPr>
            </w:pP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天擦拭消毒并及时巡视</w:t>
            </w:r>
            <w:r/>
          </w:p>
        </w:tc>
      </w:tr>
      <w:tr>
        <w:trPr>
          <w:trHeight w:val="20"/>
        </w:trPr>
        <w:tc>
          <w:tcPr>
            <w:tcW w:w="1236" w:type="dxa"/>
            <w:vAlign w:val="center"/>
            <w:vMerge w:val="continue"/>
            <w:textDirection w:val="lrTb"/>
            <w:noWrap w:val="false"/>
          </w:tcPr>
          <w:p>
            <w:pPr>
              <w:jc w:val="center"/>
              <w:keepLines w:val="0"/>
              <w:keepNext w:val="0"/>
              <w:pageBreakBefore w:val="0"/>
              <w:spacing w:after="0" w:line="240" w:lineRule="auto"/>
              <w:widowControl/>
              <w:rPr>
                <w:rFonts w:ascii="宋体" w:hAnsi="宋体"/>
                <w:color w:val="auto"/>
                <w:sz w:val="24"/>
                <w:highlight w:val="none"/>
                <w:lang w:eastAsia="zh-CN"/>
              </w:rPr>
            </w:pPr>
            <w:r>
              <w:rPr>
                <w:rFonts w:ascii="宋体" w:hAnsi="宋体"/>
                <w:color w:val="auto"/>
                <w:sz w:val="24"/>
                <w:highlight w:val="none"/>
                <w:lang w:eastAsia="zh-CN"/>
              </w:rPr>
            </w:r>
            <w:r/>
          </w:p>
        </w:tc>
        <w:tc>
          <w:tcPr>
            <w:tcW w:w="2848"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color w:val="auto"/>
                <w:sz w:val="24"/>
                <w:highlight w:val="none"/>
              </w:rPr>
              <w:t xml:space="preserve">垃圾篓、桶</w:t>
            </w:r>
            <w:r/>
          </w:p>
        </w:tc>
        <w:tc>
          <w:tcPr>
            <w:tcW w:w="2472"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无异味；及时倾倒、不得过半；外部无污渍、周围地面无洒落垃圾</w:t>
            </w:r>
            <w:r/>
          </w:p>
        </w:tc>
        <w:tc>
          <w:tcPr>
            <w:tcW w:w="2636"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2次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天换垃圾袋</w:t>
            </w:r>
            <w:r/>
          </w:p>
          <w:p>
            <w:pPr>
              <w:jc w:val="cente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1次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天擦垃圾桶</w:t>
            </w:r>
            <w:r/>
          </w:p>
          <w:p>
            <w:pPr>
              <w:jc w:val="center"/>
              <w:keepLines w:val="0"/>
              <w:keepNext w:val="0"/>
              <w:pageBreakBefore w:val="0"/>
              <w:spacing w:after="0" w:line="240" w:lineRule="auto"/>
              <w:widowControl/>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次</w:t>
            </w:r>
            <w:r>
              <w:rPr>
                <w:rFonts w:ascii="宋体" w:hAnsi="宋体"/>
                <w:color w:val="auto"/>
                <w:sz w:val="24"/>
                <w:highlight w:val="none"/>
              </w:rPr>
              <w:t xml:space="preserve">/</w:t>
            </w:r>
            <w:r>
              <w:rPr>
                <w:rFonts w:hint="eastAsia" w:ascii="宋体" w:hAnsi="宋体"/>
                <w:color w:val="auto"/>
                <w:sz w:val="24"/>
                <w:highlight w:val="none"/>
              </w:rPr>
              <w:t xml:space="preserve">周清洗</w:t>
            </w:r>
            <w:r/>
          </w:p>
        </w:tc>
      </w:tr>
      <w:tr>
        <w:trPr>
          <w:trHeight w:val="20"/>
        </w:trPr>
        <w:tc>
          <w:tcPr>
            <w:tcW w:w="1236" w:type="dxa"/>
            <w:vAlign w:val="center"/>
            <w:vMerge w:val="continue"/>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ascii="宋体" w:hAnsi="宋体"/>
                <w:color w:val="auto"/>
                <w:sz w:val="24"/>
                <w:highlight w:val="none"/>
              </w:rPr>
            </w:r>
            <w:r/>
          </w:p>
        </w:tc>
        <w:tc>
          <w:tcPr>
            <w:tcW w:w="2848"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门、间隔板、指示牌、消防设施、电视机、挂件、空调的出回风口、灯具</w:t>
            </w:r>
            <w:r/>
          </w:p>
        </w:tc>
        <w:tc>
          <w:tcPr>
            <w:tcW w:w="2472"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手摸无灰尘、表面无污渍</w:t>
            </w:r>
            <w:r/>
          </w:p>
        </w:tc>
        <w:tc>
          <w:tcPr>
            <w:tcW w:w="2636"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1次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周擦拭</w:t>
            </w:r>
            <w:r/>
          </w:p>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1次/月出回风口、灯具除尘擦拭</w:t>
            </w:r>
            <w:r/>
          </w:p>
        </w:tc>
      </w:tr>
      <w:tr>
        <w:trPr>
          <w:trHeight w:val="592"/>
        </w:trPr>
        <w:tc>
          <w:tcPr>
            <w:tcW w:w="1236" w:type="dxa"/>
            <w:vAlign w:val="center"/>
            <w:vMerge w:val="continue"/>
            <w:textDirection w:val="lrTb"/>
            <w:noWrap w:val="false"/>
          </w:tcPr>
          <w:p>
            <w:pPr>
              <w:jc w:val="center"/>
              <w:keepLines w:val="0"/>
              <w:keepNext w:val="0"/>
              <w:pageBreakBefore w:val="0"/>
              <w:spacing w:after="0" w:line="240" w:lineRule="auto"/>
              <w:widowControl/>
              <w:rPr>
                <w:rFonts w:ascii="宋体" w:hAnsi="宋体"/>
                <w:color w:val="auto"/>
                <w:sz w:val="24"/>
                <w:highlight w:val="none"/>
                <w:lang w:eastAsia="zh-CN"/>
              </w:rPr>
            </w:pPr>
            <w:r>
              <w:rPr>
                <w:rFonts w:ascii="宋体" w:hAnsi="宋体"/>
                <w:color w:val="auto"/>
                <w:sz w:val="24"/>
                <w:highlight w:val="none"/>
                <w:lang w:eastAsia="zh-CN"/>
              </w:rPr>
            </w:r>
            <w:r/>
          </w:p>
        </w:tc>
        <w:tc>
          <w:tcPr>
            <w:tcW w:w="2848"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rPr>
            </w:pPr>
            <w:r>
              <w:rPr>
                <w:rFonts w:hint="eastAsia" w:ascii="宋体" w:hAnsi="宋体"/>
                <w:color w:val="auto"/>
                <w:sz w:val="24"/>
                <w:highlight w:val="none"/>
              </w:rPr>
              <w:t xml:space="preserve">墙面、天花板、窗户</w:t>
            </w:r>
            <w:r/>
          </w:p>
        </w:tc>
        <w:tc>
          <w:tcPr>
            <w:tcW w:w="2472"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color w:val="auto"/>
                <w:sz w:val="24"/>
                <w:highlight w:val="none"/>
              </w:rPr>
              <w:t xml:space="preserve">目视无蜘蛛网、灰尘</w:t>
            </w:r>
            <w:r/>
          </w:p>
        </w:tc>
        <w:tc>
          <w:tcPr>
            <w:tcW w:w="2636" w:type="dxa"/>
            <w:vAlign w:val="center"/>
            <w:textDirection w:val="lrTb"/>
            <w:noWrap w:val="false"/>
          </w:tcPr>
          <w:p>
            <w:pPr>
              <w:jc w:val="center"/>
              <w:keepLines w:val="0"/>
              <w:keepNext w:val="0"/>
              <w:pageBreakBefore w:val="0"/>
              <w:spacing w:after="0" w:line="240" w:lineRule="auto"/>
              <w:widowControl/>
              <w:rPr>
                <w:rFonts w:ascii="宋体" w:hAnsi="宋体"/>
                <w:color w:val="auto"/>
                <w:sz w:val="24"/>
                <w:highlight w:val="none"/>
              </w:rPr>
            </w:pPr>
            <w:r>
              <w:rPr>
                <w:rFonts w:hint="eastAsia" w:ascii="宋体" w:hAnsi="宋体"/>
                <w:color w:val="auto"/>
                <w:sz w:val="24"/>
                <w:highlight w:val="none"/>
              </w:rPr>
              <w:t xml:space="preserve">1次</w:t>
            </w:r>
            <w:r>
              <w:rPr>
                <w:rFonts w:ascii="宋体" w:hAnsi="宋体"/>
                <w:color w:val="auto"/>
                <w:sz w:val="24"/>
                <w:highlight w:val="none"/>
              </w:rPr>
              <w:t xml:space="preserve">/</w:t>
            </w:r>
            <w:r>
              <w:rPr>
                <w:rFonts w:hint="eastAsia" w:ascii="宋体" w:hAnsi="宋体"/>
                <w:color w:val="auto"/>
                <w:sz w:val="24"/>
                <w:highlight w:val="none"/>
              </w:rPr>
              <w:t xml:space="preserve">月除尘擦拭</w:t>
            </w:r>
            <w:r/>
          </w:p>
        </w:tc>
      </w:tr>
      <w:tr>
        <w:trPr>
          <w:trHeight w:val="864"/>
        </w:trPr>
        <w:tc>
          <w:tcPr>
            <w:tcW w:w="1236" w:type="dxa"/>
            <w:vAlign w:val="center"/>
            <w:textDirection w:val="lrTb"/>
            <w:noWrap w:val="false"/>
          </w:tcPr>
          <w:p>
            <w:pPr>
              <w:jc w:val="center"/>
              <w:keepLines w:val="0"/>
              <w:keepNext w:val="0"/>
              <w:pageBreakBefore w:val="0"/>
              <w:spacing w:after="0" w:line="240" w:lineRule="auto"/>
              <w:widowControl/>
              <w:rPr>
                <w:rFonts w:ascii="宋体" w:hAnsi="宋体"/>
                <w:b/>
                <w:bCs/>
                <w:color w:val="auto"/>
                <w:sz w:val="24"/>
                <w:highlight w:val="none"/>
              </w:rPr>
            </w:pPr>
            <w:r>
              <w:rPr>
                <w:rFonts w:hint="eastAsia" w:ascii="宋体" w:hAnsi="宋体"/>
                <w:b/>
                <w:bCs/>
                <w:color w:val="auto"/>
                <w:sz w:val="24"/>
                <w:highlight w:val="none"/>
              </w:rPr>
              <w:t xml:space="preserve">备注</w:t>
            </w:r>
            <w:r/>
          </w:p>
        </w:tc>
        <w:tc>
          <w:tcPr>
            <w:gridSpan w:val="3"/>
            <w:tcW w:w="7956" w:type="dxa"/>
            <w:vAlign w:val="center"/>
            <w:textDirection w:val="lrTb"/>
            <w:noWrap w:val="false"/>
          </w:tcPr>
          <w:p>
            <w:pPr>
              <w:keepLines w:val="0"/>
              <w:keepNext w:val="0"/>
              <w:pageBreakBefore w:val="0"/>
              <w:spacing w:after="0" w:line="240" w:lineRule="auto"/>
              <w:widowControl/>
              <w:rPr>
                <w:rFonts w:ascii="宋体" w:hAnsi="宋体"/>
                <w:color w:val="auto"/>
                <w:sz w:val="24"/>
                <w:highlight w:val="none"/>
                <w:lang w:eastAsia="zh-CN"/>
              </w:rPr>
            </w:pPr>
            <w:r>
              <w:rPr>
                <w:rFonts w:hint="eastAsia" w:ascii="宋体" w:hAnsi="宋体"/>
                <w:color w:val="auto"/>
                <w:sz w:val="24"/>
                <w:highlight w:val="none"/>
                <w:lang w:eastAsia="zh-CN"/>
              </w:rPr>
              <w:t xml:space="preserve">    地面不间断巡视，特殊情况能及时清理，反应时间不超过</w:t>
            </w: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5分钟。</w:t>
            </w:r>
            <w:r/>
          </w:p>
        </w:tc>
      </w:tr>
    </w:tbl>
    <w:p>
      <w:pPr>
        <w:spacing w:line="240" w:lineRule="atLeast"/>
        <w:rPr>
          <w:rFonts w:ascii="宋体" w:hAnsi="宋体"/>
          <w:b/>
          <w:bCs/>
          <w:color w:val="auto"/>
          <w:sz w:val="24"/>
          <w:highlight w:val="none"/>
          <w:lang w:eastAsia="zh-CN"/>
        </w:rPr>
      </w:pPr>
      <w:r>
        <w:rPr>
          <w:rFonts w:ascii="宋体" w:hAnsi="宋体"/>
          <w:b/>
          <w:bCs/>
          <w:color w:val="auto"/>
          <w:sz w:val="24"/>
          <w:highlight w:val="none"/>
          <w:lang w:eastAsia="zh-CN"/>
        </w:rPr>
      </w:r>
      <w:r/>
    </w:p>
    <w:p>
      <w:pPr>
        <w:spacing w:line="240" w:lineRule="atLeast"/>
        <w:rPr>
          <w:rFonts w:ascii="宋体" w:hAnsi="宋体"/>
          <w:b/>
          <w:bCs/>
          <w:color w:val="auto"/>
          <w:sz w:val="24"/>
          <w:highlight w:val="none"/>
        </w:rPr>
      </w:pPr>
      <w:r>
        <w:rPr>
          <w:rFonts w:hint="eastAsia" w:ascii="宋体" w:hAnsi="宋体"/>
          <w:b/>
          <w:bCs/>
          <w:color w:val="auto"/>
          <w:sz w:val="24"/>
          <w:highlight w:val="none"/>
        </w:rPr>
        <w:t xml:space="preserve">表四：健康管理中心保洁</w:t>
      </w:r>
      <w:r/>
    </w:p>
    <w:tbl>
      <w:tblPr>
        <w:tblStyle w:val="703"/>
        <w:tblpPr w:horzAnchor="page" w:tblpX="1796" w:vertAnchor="text" w:tblpY="89" w:leftFromText="180" w:topFromText="0" w:rightFromText="180" w:bottomFromText="0"/>
        <w:tblW w:w="92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8"/>
        <w:gridCol w:w="2836"/>
        <w:gridCol w:w="2484"/>
        <w:gridCol w:w="2636"/>
      </w:tblGrid>
      <w:tr>
        <w:trPr>
          <w:trHeight w:val="562"/>
        </w:trPr>
        <w:tc>
          <w:tcPr>
            <w:tcW w:w="1248"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b/>
                <w:bCs/>
                <w:color w:val="auto"/>
                <w:sz w:val="24"/>
                <w:highlight w:val="none"/>
              </w:rPr>
              <w:t xml:space="preserve">服务区域</w:t>
            </w:r>
            <w:r/>
          </w:p>
        </w:tc>
        <w:tc>
          <w:tcPr>
            <w:tcW w:w="2836"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b/>
                <w:bCs/>
                <w:color w:val="auto"/>
                <w:sz w:val="24"/>
                <w:highlight w:val="none"/>
              </w:rPr>
              <w:t xml:space="preserve">保洁内容</w:t>
            </w:r>
            <w:r/>
          </w:p>
        </w:tc>
        <w:tc>
          <w:tcPr>
            <w:tcW w:w="2484"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b/>
                <w:bCs/>
                <w:color w:val="auto"/>
                <w:sz w:val="24"/>
                <w:highlight w:val="none"/>
              </w:rPr>
              <w:t xml:space="preserve">保洁标准</w:t>
            </w:r>
            <w:r/>
          </w:p>
        </w:tc>
        <w:tc>
          <w:tcPr>
            <w:tcW w:w="2636"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b/>
                <w:bCs/>
                <w:color w:val="auto"/>
                <w:sz w:val="24"/>
                <w:highlight w:val="none"/>
              </w:rPr>
              <w:t xml:space="preserve">保洁频次</w:t>
            </w:r>
            <w:r/>
          </w:p>
        </w:tc>
      </w:tr>
      <w:tr>
        <w:trPr>
          <w:trHeight w:val="20"/>
        </w:trPr>
        <w:tc>
          <w:tcPr>
            <w:tcW w:w="1248" w:type="dxa"/>
            <w:vAlign w:val="center"/>
            <w:vMerge w:val="restart"/>
            <w:textDirection w:val="lrTb"/>
            <w:noWrap w:val="false"/>
          </w:tcPr>
          <w:p>
            <w:pPr>
              <w:keepLines w:val="0"/>
              <w:keepNext w:val="0"/>
              <w:pageBreakBefore w:val="0"/>
              <w:spacing w:after="0" w:line="240" w:lineRule="atLeast"/>
              <w:widowControl/>
              <w:rPr>
                <w:rFonts w:ascii="宋体" w:hAnsi="宋体"/>
                <w:color w:val="auto"/>
                <w:sz w:val="24"/>
                <w:highlight w:val="none"/>
              </w:rPr>
            </w:pPr>
            <w:r>
              <w:rPr>
                <w:rFonts w:hint="eastAsia" w:ascii="宋体" w:hAnsi="宋体"/>
                <w:b/>
                <w:bCs/>
                <w:color w:val="auto"/>
                <w:sz w:val="24"/>
                <w:highlight w:val="none"/>
              </w:rPr>
              <w:t xml:space="preserve">健康管理中心</w:t>
            </w:r>
            <w:r/>
          </w:p>
        </w:tc>
        <w:tc>
          <w:tcPr>
            <w:tcW w:w="2836"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地面、窗台、检查用器材、各种自助设备</w:t>
            </w:r>
            <w:r/>
          </w:p>
        </w:tc>
        <w:tc>
          <w:tcPr>
            <w:tcW w:w="2484"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地面无积水、垃圾、污迹、踢脚无灰尘；窗台、桌椅无污渍</w:t>
            </w:r>
            <w:r/>
          </w:p>
        </w:tc>
        <w:tc>
          <w:tcPr>
            <w:tcW w:w="2636"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lang w:eastAsia="zh-CN"/>
              </w:rPr>
            </w:pPr>
            <w:r>
              <w:rPr>
                <w:rFonts w:ascii="宋体" w:hAnsi="宋体"/>
                <w:color w:val="auto"/>
                <w:sz w:val="24"/>
                <w:highlight w:val="none"/>
                <w:lang w:eastAsia="zh-CN"/>
              </w:rPr>
              <w:t xml:space="preserve">2</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天清拖地面</w:t>
            </w:r>
            <w:r/>
          </w:p>
          <w:p>
            <w:pPr>
              <w:jc w:val="center"/>
              <w:keepLines w:val="0"/>
              <w:keepNext w:val="0"/>
              <w:pageBreakBefore w:val="0"/>
              <w:spacing w:after="0" w:line="240" w:lineRule="atLeast"/>
              <w:widowControl/>
              <w:rPr>
                <w:rFonts w:ascii="宋体" w:hAnsi="宋体"/>
                <w:color w:val="auto"/>
                <w:sz w:val="24"/>
                <w:highlight w:val="none"/>
                <w:lang w:eastAsia="zh-CN"/>
              </w:rPr>
            </w:pP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天擦拭</w:t>
            </w:r>
            <w:r/>
          </w:p>
          <w:p>
            <w:pPr>
              <w:jc w:val="cente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并及时巡视</w:t>
            </w:r>
            <w:r/>
          </w:p>
        </w:tc>
      </w:tr>
      <w:tr>
        <w:trPr>
          <w:trHeight w:val="20"/>
        </w:trPr>
        <w:tc>
          <w:tcPr>
            <w:tcW w:w="1248" w:type="dxa"/>
            <w:vAlign w:val="center"/>
            <w:vMerge w:val="continue"/>
            <w:textDirection w:val="lrTb"/>
            <w:noWrap w:val="false"/>
          </w:tcPr>
          <w:p>
            <w:pPr>
              <w:jc w:val="center"/>
              <w:keepLines w:val="0"/>
              <w:keepNext w:val="0"/>
              <w:pageBreakBefore w:val="0"/>
              <w:spacing w:after="0" w:line="240" w:lineRule="atLeast"/>
              <w:widowControl/>
              <w:rPr>
                <w:rFonts w:ascii="宋体" w:hAnsi="宋体"/>
                <w:color w:val="auto"/>
                <w:sz w:val="24"/>
                <w:highlight w:val="none"/>
                <w:lang w:eastAsia="zh-CN"/>
              </w:rPr>
            </w:pPr>
            <w:r>
              <w:rPr>
                <w:rFonts w:ascii="宋体" w:hAnsi="宋体"/>
                <w:color w:val="auto"/>
                <w:sz w:val="24"/>
                <w:highlight w:val="none"/>
                <w:lang w:eastAsia="zh-CN"/>
              </w:rPr>
            </w:r>
            <w:r/>
          </w:p>
        </w:tc>
        <w:tc>
          <w:tcPr>
            <w:tcW w:w="2836"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水池、台面、水龙头、皂盒</w:t>
            </w:r>
            <w:r/>
          </w:p>
        </w:tc>
        <w:tc>
          <w:tcPr>
            <w:tcW w:w="2484"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均无污迹、台面无水迹、龙头光亮如新</w:t>
            </w:r>
            <w:r/>
          </w:p>
        </w:tc>
        <w:tc>
          <w:tcPr>
            <w:tcW w:w="2636"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lang w:eastAsia="zh-CN"/>
              </w:rPr>
            </w:pP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天擦拭消毒并及时巡视</w:t>
            </w:r>
            <w:r/>
          </w:p>
        </w:tc>
      </w:tr>
      <w:tr>
        <w:trPr>
          <w:trHeight w:val="20"/>
        </w:trPr>
        <w:tc>
          <w:tcPr>
            <w:tcW w:w="1248" w:type="dxa"/>
            <w:vAlign w:val="center"/>
            <w:vMerge w:val="continue"/>
            <w:textDirection w:val="lrTb"/>
            <w:noWrap w:val="false"/>
          </w:tcPr>
          <w:p>
            <w:pPr>
              <w:jc w:val="center"/>
              <w:keepLines w:val="0"/>
              <w:keepNext w:val="0"/>
              <w:pageBreakBefore w:val="0"/>
              <w:spacing w:after="0" w:line="240" w:lineRule="atLeast"/>
              <w:widowControl/>
              <w:rPr>
                <w:rFonts w:ascii="宋体" w:hAnsi="宋体"/>
                <w:color w:val="auto"/>
                <w:sz w:val="24"/>
                <w:highlight w:val="none"/>
                <w:lang w:eastAsia="zh-CN"/>
              </w:rPr>
            </w:pPr>
            <w:r>
              <w:rPr>
                <w:rFonts w:ascii="宋体" w:hAnsi="宋体"/>
                <w:color w:val="auto"/>
                <w:sz w:val="24"/>
                <w:highlight w:val="none"/>
                <w:lang w:eastAsia="zh-CN"/>
              </w:rPr>
            </w:r>
            <w:r/>
          </w:p>
        </w:tc>
        <w:tc>
          <w:tcPr>
            <w:tcW w:w="2836"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垃圾篓、桶</w:t>
            </w:r>
            <w:r/>
          </w:p>
        </w:tc>
        <w:tc>
          <w:tcPr>
            <w:tcW w:w="2484"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无异味；及时倾倒、不得过半；外部无污渍、周围地面无洒落垃圾</w:t>
            </w:r>
            <w:r/>
          </w:p>
        </w:tc>
        <w:tc>
          <w:tcPr>
            <w:tcW w:w="2636"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2次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天换垃圾袋</w:t>
            </w:r>
            <w:r/>
          </w:p>
          <w:p>
            <w:pPr>
              <w:jc w:val="cente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1次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天擦垃圾桶</w:t>
            </w:r>
            <w:r/>
          </w:p>
          <w:p>
            <w:pPr>
              <w:jc w:val="center"/>
              <w:keepLines w:val="0"/>
              <w:keepNext w:val="0"/>
              <w:pageBreakBefore w:val="0"/>
              <w:spacing w:after="0" w:line="240" w:lineRule="atLeast"/>
              <w:widowControl/>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次</w:t>
            </w:r>
            <w:r>
              <w:rPr>
                <w:rFonts w:ascii="宋体" w:hAnsi="宋体"/>
                <w:color w:val="auto"/>
                <w:sz w:val="24"/>
                <w:highlight w:val="none"/>
              </w:rPr>
              <w:t xml:space="preserve">/</w:t>
            </w:r>
            <w:r>
              <w:rPr>
                <w:rFonts w:hint="eastAsia" w:ascii="宋体" w:hAnsi="宋体"/>
                <w:color w:val="auto"/>
                <w:sz w:val="24"/>
                <w:highlight w:val="none"/>
              </w:rPr>
              <w:t xml:space="preserve">周清洗</w:t>
            </w:r>
            <w:r/>
          </w:p>
        </w:tc>
      </w:tr>
      <w:tr>
        <w:trPr>
          <w:trHeight w:val="20"/>
        </w:trPr>
        <w:tc>
          <w:tcPr>
            <w:tcW w:w="1248" w:type="dxa"/>
            <w:vAlign w:val="center"/>
            <w:vMerge w:val="continue"/>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ascii="宋体" w:hAnsi="宋体"/>
                <w:color w:val="auto"/>
                <w:sz w:val="24"/>
                <w:highlight w:val="none"/>
              </w:rPr>
            </w:r>
            <w:r/>
          </w:p>
        </w:tc>
        <w:tc>
          <w:tcPr>
            <w:tcW w:w="2836"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门、间隔板、指示牌、消防设施、电视机、挂件、空调的出回风口、灯具</w:t>
            </w:r>
            <w:r/>
          </w:p>
        </w:tc>
        <w:tc>
          <w:tcPr>
            <w:tcW w:w="2484"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手摸无灰尘、表面无污渍</w:t>
            </w:r>
            <w:r/>
          </w:p>
        </w:tc>
        <w:tc>
          <w:tcPr>
            <w:tcW w:w="2636"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1次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周擦拭</w:t>
            </w:r>
            <w:r/>
          </w:p>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1次/月出回风口、灯具除尘擦拭</w:t>
            </w:r>
            <w:r/>
          </w:p>
        </w:tc>
      </w:tr>
      <w:tr>
        <w:trPr>
          <w:trHeight w:val="592"/>
        </w:trPr>
        <w:tc>
          <w:tcPr>
            <w:tcW w:w="1248" w:type="dxa"/>
            <w:vAlign w:val="center"/>
            <w:vMerge w:val="continue"/>
            <w:textDirection w:val="lrTb"/>
            <w:noWrap w:val="false"/>
          </w:tcPr>
          <w:p>
            <w:pPr>
              <w:jc w:val="center"/>
              <w:keepLines w:val="0"/>
              <w:keepNext w:val="0"/>
              <w:pageBreakBefore w:val="0"/>
              <w:spacing w:after="0" w:line="240" w:lineRule="atLeast"/>
              <w:widowControl/>
              <w:rPr>
                <w:rFonts w:ascii="宋体" w:hAnsi="宋体"/>
                <w:color w:val="auto"/>
                <w:sz w:val="24"/>
                <w:highlight w:val="none"/>
                <w:lang w:eastAsia="zh-CN"/>
              </w:rPr>
            </w:pPr>
            <w:r>
              <w:rPr>
                <w:rFonts w:ascii="宋体" w:hAnsi="宋体"/>
                <w:color w:val="auto"/>
                <w:sz w:val="24"/>
                <w:highlight w:val="none"/>
                <w:lang w:eastAsia="zh-CN"/>
              </w:rPr>
            </w:r>
            <w:r/>
          </w:p>
        </w:tc>
        <w:tc>
          <w:tcPr>
            <w:tcW w:w="2836"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墙面、天花板、窗户</w:t>
            </w:r>
            <w:r/>
          </w:p>
        </w:tc>
        <w:tc>
          <w:tcPr>
            <w:tcW w:w="2484"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目视无蜘蛛网、灰尘</w:t>
            </w:r>
            <w:r/>
          </w:p>
        </w:tc>
        <w:tc>
          <w:tcPr>
            <w:tcW w:w="2636"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1次</w:t>
            </w:r>
            <w:r>
              <w:rPr>
                <w:rFonts w:ascii="宋体" w:hAnsi="宋体"/>
                <w:color w:val="auto"/>
                <w:sz w:val="24"/>
                <w:highlight w:val="none"/>
              </w:rPr>
              <w:t xml:space="preserve">/</w:t>
            </w:r>
            <w:r>
              <w:rPr>
                <w:rFonts w:hint="eastAsia" w:ascii="宋体" w:hAnsi="宋体"/>
                <w:color w:val="auto"/>
                <w:sz w:val="24"/>
                <w:highlight w:val="none"/>
              </w:rPr>
              <w:t xml:space="preserve">月除尘擦拭</w:t>
            </w:r>
            <w:r/>
          </w:p>
        </w:tc>
      </w:tr>
      <w:tr>
        <w:trPr>
          <w:trHeight w:val="864"/>
        </w:trPr>
        <w:tc>
          <w:tcPr>
            <w:tcW w:w="1248"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备注</w:t>
            </w:r>
            <w:r/>
          </w:p>
        </w:tc>
        <w:tc>
          <w:tcPr>
            <w:gridSpan w:val="3"/>
            <w:tcW w:w="7956"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地面不间断巡视，特殊情况能及时清理，反应时间不超过</w:t>
            </w: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5分钟。</w:t>
            </w:r>
            <w:r/>
          </w:p>
        </w:tc>
      </w:tr>
    </w:tbl>
    <w:p>
      <w:pPr>
        <w:spacing w:line="240" w:lineRule="atLeast"/>
        <w:rPr>
          <w:rFonts w:ascii="宋体" w:hAnsi="宋体"/>
          <w:b/>
          <w:bCs/>
          <w:color w:val="auto"/>
          <w:sz w:val="24"/>
          <w:highlight w:val="none"/>
          <w:lang w:eastAsia="zh-CN"/>
        </w:rPr>
      </w:pPr>
      <w:r>
        <w:rPr>
          <w:rFonts w:ascii="宋体" w:hAnsi="宋体"/>
          <w:b/>
          <w:bCs/>
          <w:color w:val="auto"/>
          <w:sz w:val="24"/>
          <w:highlight w:val="none"/>
          <w:lang w:eastAsia="zh-CN"/>
        </w:rPr>
      </w:r>
      <w:r/>
    </w:p>
    <w:p>
      <w:pPr>
        <w:spacing w:line="240" w:lineRule="atLeast"/>
        <w:rPr>
          <w:rFonts w:ascii="宋体" w:hAnsi="宋体"/>
          <w:b/>
          <w:bCs/>
          <w:color w:val="auto"/>
          <w:sz w:val="24"/>
          <w:szCs w:val="30"/>
          <w:highlight w:val="none"/>
        </w:rPr>
      </w:pPr>
      <w:r>
        <w:rPr>
          <w:rFonts w:hint="eastAsia" w:ascii="宋体" w:hAnsi="宋体"/>
          <w:b/>
          <w:bCs/>
          <w:color w:val="auto"/>
          <w:sz w:val="24"/>
          <w:szCs w:val="30"/>
          <w:highlight w:val="none"/>
        </w:rPr>
        <w:t xml:space="preserve">表五：医技楼保洁</w:t>
      </w:r>
      <w:r/>
    </w:p>
    <w:tbl>
      <w:tblPr>
        <w:tblStyle w:val="703"/>
        <w:tblpPr w:horzAnchor="page" w:tblpX="1856" w:vertAnchor="text" w:tblpY="89" w:leftFromText="180" w:topFromText="0" w:rightFromText="180" w:bottomFromText="0"/>
        <w:tblW w:w="91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0"/>
        <w:gridCol w:w="2188"/>
        <w:gridCol w:w="2975"/>
        <w:gridCol w:w="2769"/>
      </w:tblGrid>
      <w:tr>
        <w:trPr>
          <w:trHeight w:val="562"/>
        </w:trPr>
        <w:tc>
          <w:tcPr>
            <w:tcW w:w="1200"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szCs w:val="30"/>
                <w:highlight w:val="none"/>
              </w:rPr>
            </w:pPr>
            <w:r>
              <w:rPr>
                <w:rFonts w:hint="eastAsia" w:ascii="宋体" w:hAnsi="宋体"/>
                <w:b/>
                <w:bCs/>
                <w:color w:val="auto"/>
                <w:sz w:val="24"/>
                <w:szCs w:val="30"/>
                <w:highlight w:val="none"/>
              </w:rPr>
              <w:t xml:space="preserve">服务区域</w:t>
            </w:r>
            <w:r/>
          </w:p>
        </w:tc>
        <w:tc>
          <w:tcPr>
            <w:tcW w:w="2188"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szCs w:val="30"/>
                <w:highlight w:val="none"/>
              </w:rPr>
            </w:pPr>
            <w:r>
              <w:rPr>
                <w:rFonts w:hint="eastAsia" w:ascii="宋体" w:hAnsi="宋体"/>
                <w:b/>
                <w:bCs/>
                <w:color w:val="auto"/>
                <w:sz w:val="24"/>
                <w:szCs w:val="30"/>
                <w:highlight w:val="none"/>
              </w:rPr>
              <w:t xml:space="preserve">保洁内容</w:t>
            </w:r>
            <w:r/>
          </w:p>
        </w:tc>
        <w:tc>
          <w:tcPr>
            <w:tcW w:w="2975"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szCs w:val="30"/>
                <w:highlight w:val="none"/>
              </w:rPr>
            </w:pPr>
            <w:r>
              <w:rPr>
                <w:rFonts w:hint="eastAsia" w:ascii="宋体" w:hAnsi="宋体"/>
                <w:b/>
                <w:bCs/>
                <w:color w:val="auto"/>
                <w:sz w:val="24"/>
                <w:szCs w:val="30"/>
                <w:highlight w:val="none"/>
              </w:rPr>
              <w:t xml:space="preserve">保洁标准</w:t>
            </w:r>
            <w:r/>
          </w:p>
        </w:tc>
        <w:tc>
          <w:tcPr>
            <w:tcW w:w="2769"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szCs w:val="30"/>
                <w:highlight w:val="none"/>
              </w:rPr>
            </w:pPr>
            <w:r>
              <w:rPr>
                <w:rFonts w:hint="eastAsia" w:ascii="宋体" w:hAnsi="宋体"/>
                <w:b/>
                <w:bCs/>
                <w:color w:val="auto"/>
                <w:sz w:val="24"/>
                <w:szCs w:val="30"/>
                <w:highlight w:val="none"/>
              </w:rPr>
              <w:t xml:space="preserve">保洁频次</w:t>
            </w:r>
            <w:r/>
          </w:p>
        </w:tc>
      </w:tr>
      <w:tr>
        <w:trPr>
          <w:trHeight w:val="20"/>
        </w:trPr>
        <w:tc>
          <w:tcPr>
            <w:tcW w:w="1200" w:type="dxa"/>
            <w:vAlign w:val="center"/>
            <w:vMerge w:val="restart"/>
            <w:textDirection w:val="lrTb"/>
            <w:noWrap w:val="false"/>
          </w:tcPr>
          <w:p>
            <w:pPr>
              <w:jc w:val="center"/>
              <w:keepLines w:val="0"/>
              <w:keepNext w:val="0"/>
              <w:pageBreakBefore w:val="0"/>
              <w:spacing w:after="0" w:line="240" w:lineRule="atLeast"/>
              <w:widowControl/>
              <w:rPr>
                <w:rFonts w:ascii="宋体" w:hAnsi="宋体"/>
                <w:b/>
                <w:bCs/>
                <w:color w:val="auto"/>
                <w:sz w:val="24"/>
                <w:szCs w:val="30"/>
                <w:highlight w:val="none"/>
              </w:rPr>
            </w:pPr>
            <w:r>
              <w:rPr>
                <w:rFonts w:ascii="宋体" w:hAnsi="宋体"/>
                <w:b/>
                <w:bCs/>
                <w:color w:val="auto"/>
                <w:sz w:val="24"/>
                <w:szCs w:val="30"/>
                <w:highlight w:val="none"/>
              </w:rPr>
            </w:r>
            <w:r/>
          </w:p>
          <w:p>
            <w:pPr>
              <w:jc w:val="center"/>
              <w:keepLines w:val="0"/>
              <w:keepNext w:val="0"/>
              <w:pageBreakBefore w:val="0"/>
              <w:spacing w:after="0" w:line="240" w:lineRule="atLeast"/>
              <w:widowControl/>
              <w:rPr>
                <w:rFonts w:ascii="宋体" w:hAnsi="宋体"/>
                <w:b/>
                <w:bCs/>
                <w:color w:val="auto"/>
                <w:sz w:val="24"/>
                <w:szCs w:val="30"/>
                <w:highlight w:val="none"/>
              </w:rPr>
            </w:pPr>
            <w:r>
              <w:rPr>
                <w:rFonts w:ascii="宋体" w:hAnsi="宋体"/>
                <w:b/>
                <w:bCs/>
                <w:color w:val="auto"/>
                <w:sz w:val="24"/>
                <w:szCs w:val="30"/>
                <w:highlight w:val="none"/>
              </w:rPr>
            </w:r>
            <w:r/>
          </w:p>
          <w:p>
            <w:pPr>
              <w:jc w:val="center"/>
              <w:keepLines w:val="0"/>
              <w:keepNext w:val="0"/>
              <w:pageBreakBefore w:val="0"/>
              <w:spacing w:after="0" w:line="240" w:lineRule="atLeast"/>
              <w:widowControl/>
              <w:rPr>
                <w:rFonts w:ascii="宋体" w:hAnsi="宋体"/>
                <w:b/>
                <w:bCs/>
                <w:color w:val="auto"/>
                <w:sz w:val="24"/>
                <w:szCs w:val="30"/>
                <w:highlight w:val="none"/>
              </w:rPr>
            </w:pPr>
            <w:r>
              <w:rPr>
                <w:rFonts w:ascii="宋体" w:hAnsi="宋体"/>
                <w:b/>
                <w:bCs/>
                <w:color w:val="auto"/>
                <w:sz w:val="24"/>
                <w:szCs w:val="30"/>
                <w:highlight w:val="none"/>
              </w:rPr>
            </w:r>
            <w:r/>
          </w:p>
          <w:p>
            <w:pPr>
              <w:jc w:val="center"/>
              <w:keepLines w:val="0"/>
              <w:keepNext w:val="0"/>
              <w:pageBreakBefore w:val="0"/>
              <w:spacing w:after="0" w:line="240" w:lineRule="atLeast"/>
              <w:widowControl/>
              <w:rPr>
                <w:rFonts w:ascii="宋体" w:hAnsi="宋体"/>
                <w:b/>
                <w:bCs/>
                <w:color w:val="auto"/>
                <w:sz w:val="24"/>
                <w:szCs w:val="30"/>
                <w:highlight w:val="none"/>
              </w:rPr>
            </w:pPr>
            <w:r>
              <w:rPr>
                <w:rFonts w:ascii="宋体" w:hAnsi="宋体"/>
                <w:b/>
                <w:bCs/>
                <w:color w:val="auto"/>
                <w:sz w:val="24"/>
                <w:szCs w:val="30"/>
                <w:highlight w:val="none"/>
              </w:rPr>
            </w:r>
            <w:r/>
          </w:p>
          <w:p>
            <w:pPr>
              <w:jc w:val="center"/>
              <w:keepLines w:val="0"/>
              <w:keepNext w:val="0"/>
              <w:pageBreakBefore w:val="0"/>
              <w:spacing w:after="0" w:line="240" w:lineRule="atLeast"/>
              <w:widowControl/>
              <w:rPr>
                <w:rFonts w:ascii="宋体" w:hAnsi="宋体"/>
                <w:b/>
                <w:bCs/>
                <w:color w:val="auto"/>
                <w:sz w:val="24"/>
                <w:szCs w:val="30"/>
                <w:highlight w:val="none"/>
              </w:rPr>
            </w:pPr>
            <w:r>
              <w:rPr>
                <w:rFonts w:ascii="宋体" w:hAnsi="宋体"/>
                <w:b/>
                <w:bCs/>
                <w:color w:val="auto"/>
                <w:sz w:val="24"/>
                <w:szCs w:val="30"/>
                <w:highlight w:val="none"/>
              </w:rPr>
            </w:r>
            <w:r/>
          </w:p>
          <w:p>
            <w:pPr>
              <w:jc w:val="center"/>
              <w:keepLines w:val="0"/>
              <w:keepNext w:val="0"/>
              <w:pageBreakBefore w:val="0"/>
              <w:spacing w:after="0" w:line="240" w:lineRule="atLeast"/>
              <w:widowControl/>
              <w:rPr>
                <w:rFonts w:ascii="宋体" w:hAnsi="宋体"/>
                <w:b/>
                <w:bCs/>
                <w:color w:val="auto"/>
                <w:sz w:val="24"/>
                <w:szCs w:val="30"/>
                <w:highlight w:val="none"/>
              </w:rPr>
            </w:pPr>
            <w:r>
              <w:rPr>
                <w:rFonts w:ascii="宋体" w:hAnsi="宋体"/>
                <w:b/>
                <w:bCs/>
                <w:color w:val="auto"/>
                <w:sz w:val="24"/>
                <w:szCs w:val="30"/>
                <w:highlight w:val="none"/>
              </w:rPr>
            </w:r>
            <w:r/>
          </w:p>
          <w:p>
            <w:pPr>
              <w:jc w:val="center"/>
              <w:keepLines w:val="0"/>
              <w:keepNext w:val="0"/>
              <w:pageBreakBefore w:val="0"/>
              <w:spacing w:after="0" w:line="240" w:lineRule="atLeast"/>
              <w:widowControl/>
              <w:rPr>
                <w:rFonts w:ascii="宋体" w:hAnsi="宋体"/>
                <w:b/>
                <w:bCs/>
                <w:color w:val="auto"/>
                <w:sz w:val="24"/>
                <w:szCs w:val="30"/>
                <w:highlight w:val="none"/>
              </w:rPr>
            </w:pPr>
            <w:r>
              <w:rPr>
                <w:rFonts w:ascii="宋体" w:hAnsi="宋体"/>
                <w:b/>
                <w:bCs/>
                <w:color w:val="auto"/>
                <w:sz w:val="24"/>
                <w:szCs w:val="30"/>
                <w:highlight w:val="none"/>
              </w:rPr>
            </w:r>
            <w:r/>
          </w:p>
          <w:p>
            <w:pPr>
              <w:jc w:val="center"/>
              <w:keepLines w:val="0"/>
              <w:keepNext w:val="0"/>
              <w:pageBreakBefore w:val="0"/>
              <w:spacing w:after="0" w:line="240" w:lineRule="atLeast"/>
              <w:widowControl/>
              <w:rPr>
                <w:rFonts w:ascii="宋体" w:hAnsi="宋体"/>
                <w:color w:val="auto"/>
                <w:sz w:val="24"/>
                <w:szCs w:val="30"/>
                <w:highlight w:val="none"/>
              </w:rPr>
            </w:pPr>
            <w:r>
              <w:rPr>
                <w:rFonts w:hint="eastAsia" w:ascii="宋体" w:hAnsi="宋体"/>
                <w:b/>
                <w:bCs/>
                <w:color w:val="auto"/>
                <w:sz w:val="24"/>
                <w:szCs w:val="30"/>
                <w:highlight w:val="none"/>
              </w:rPr>
              <w:t xml:space="preserve">医技楼</w:t>
            </w:r>
            <w:r/>
          </w:p>
        </w:tc>
        <w:tc>
          <w:tcPr>
            <w:tcW w:w="2188" w:type="dxa"/>
            <w:vAlign w:val="center"/>
            <w:textDirection w:val="lrTb"/>
            <w:noWrap w:val="false"/>
          </w:tcPr>
          <w:p>
            <w:pPr>
              <w:keepLines w:val="0"/>
              <w:keepNext w:val="0"/>
              <w:pageBreakBefore w:val="0"/>
              <w:spacing w:after="0" w:line="240" w:lineRule="atLeast"/>
              <w:widowControl/>
              <w:rPr>
                <w:rFonts w:ascii="宋体" w:hAnsi="宋体"/>
                <w:color w:val="auto"/>
                <w:sz w:val="24"/>
                <w:szCs w:val="30"/>
                <w:highlight w:val="none"/>
                <w:lang w:eastAsia="zh-CN"/>
              </w:rPr>
            </w:pPr>
            <w:r>
              <w:rPr>
                <w:rFonts w:hint="eastAsia" w:ascii="宋体" w:hAnsi="宋体"/>
                <w:color w:val="auto"/>
                <w:sz w:val="24"/>
                <w:szCs w:val="30"/>
                <w:highlight w:val="none"/>
                <w:lang w:eastAsia="zh-CN"/>
              </w:rPr>
              <w:t xml:space="preserve"> 大厅、办公室、会议室、 检查室、地面、窗台、检查用器材、各种自助设备</w:t>
            </w:r>
            <w:r/>
          </w:p>
        </w:tc>
        <w:tc>
          <w:tcPr>
            <w:tcW w:w="2975" w:type="dxa"/>
            <w:vAlign w:val="center"/>
            <w:textDirection w:val="lrTb"/>
            <w:noWrap w:val="false"/>
          </w:tcPr>
          <w:p>
            <w:pPr>
              <w:keepLines w:val="0"/>
              <w:keepNext w:val="0"/>
              <w:pageBreakBefore w:val="0"/>
              <w:spacing w:after="0" w:line="240" w:lineRule="atLeast"/>
              <w:widowControl/>
              <w:rPr>
                <w:rFonts w:ascii="宋体" w:hAnsi="宋体"/>
                <w:color w:val="auto"/>
                <w:sz w:val="24"/>
                <w:szCs w:val="30"/>
                <w:highlight w:val="none"/>
                <w:lang w:eastAsia="zh-CN"/>
              </w:rPr>
            </w:pPr>
            <w:r>
              <w:rPr>
                <w:rFonts w:hint="eastAsia" w:ascii="宋体" w:hAnsi="宋体"/>
                <w:color w:val="auto"/>
                <w:sz w:val="24"/>
                <w:szCs w:val="30"/>
                <w:highlight w:val="none"/>
                <w:lang w:eastAsia="zh-CN"/>
              </w:rPr>
              <w:t xml:space="preserve">  地面无积水、垃圾、污迹、踢脚无灰尘；窗台、桌椅无污渍</w:t>
            </w:r>
            <w:r/>
          </w:p>
        </w:tc>
        <w:tc>
          <w:tcPr>
            <w:tcW w:w="2769"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szCs w:val="30"/>
                <w:highlight w:val="none"/>
                <w:lang w:eastAsia="zh-CN"/>
              </w:rPr>
            </w:pPr>
            <w:r>
              <w:rPr>
                <w:rFonts w:ascii="宋体" w:hAnsi="宋体"/>
                <w:color w:val="auto"/>
                <w:sz w:val="24"/>
                <w:szCs w:val="30"/>
                <w:highlight w:val="none"/>
                <w:lang w:eastAsia="zh-CN"/>
              </w:rPr>
              <w:t xml:space="preserve">2</w:t>
            </w:r>
            <w:r>
              <w:rPr>
                <w:rFonts w:hint="eastAsia" w:ascii="宋体" w:hAnsi="宋体"/>
                <w:color w:val="auto"/>
                <w:sz w:val="24"/>
                <w:szCs w:val="30"/>
                <w:highlight w:val="none"/>
                <w:lang w:eastAsia="zh-CN"/>
              </w:rPr>
              <w:t xml:space="preserve">次</w:t>
            </w:r>
            <w:r>
              <w:rPr>
                <w:rFonts w:ascii="宋体" w:hAnsi="宋体"/>
                <w:color w:val="auto"/>
                <w:sz w:val="24"/>
                <w:szCs w:val="30"/>
                <w:highlight w:val="none"/>
                <w:lang w:eastAsia="zh-CN"/>
              </w:rPr>
              <w:t xml:space="preserve">/</w:t>
            </w:r>
            <w:r>
              <w:rPr>
                <w:rFonts w:hint="eastAsia" w:ascii="宋体" w:hAnsi="宋体"/>
                <w:color w:val="auto"/>
                <w:sz w:val="24"/>
                <w:szCs w:val="30"/>
                <w:highlight w:val="none"/>
                <w:lang w:eastAsia="zh-CN"/>
              </w:rPr>
              <w:t xml:space="preserve">天清拖地面</w:t>
            </w:r>
            <w:r/>
          </w:p>
          <w:p>
            <w:pPr>
              <w:jc w:val="center"/>
              <w:keepLines w:val="0"/>
              <w:keepNext w:val="0"/>
              <w:pageBreakBefore w:val="0"/>
              <w:spacing w:after="0" w:line="240" w:lineRule="atLeast"/>
              <w:widowControl/>
              <w:rPr>
                <w:rFonts w:ascii="宋体" w:hAnsi="宋体"/>
                <w:color w:val="auto"/>
                <w:sz w:val="24"/>
                <w:szCs w:val="30"/>
                <w:highlight w:val="none"/>
                <w:lang w:eastAsia="zh-CN"/>
              </w:rPr>
            </w:pPr>
            <w:r>
              <w:rPr>
                <w:rFonts w:ascii="宋体" w:hAnsi="宋体"/>
                <w:color w:val="auto"/>
                <w:sz w:val="24"/>
                <w:szCs w:val="30"/>
                <w:highlight w:val="none"/>
                <w:lang w:eastAsia="zh-CN"/>
              </w:rPr>
              <w:t xml:space="preserve">1</w:t>
            </w:r>
            <w:r>
              <w:rPr>
                <w:rFonts w:hint="eastAsia" w:ascii="宋体" w:hAnsi="宋体"/>
                <w:color w:val="auto"/>
                <w:sz w:val="24"/>
                <w:szCs w:val="30"/>
                <w:highlight w:val="none"/>
                <w:lang w:eastAsia="zh-CN"/>
              </w:rPr>
              <w:t xml:space="preserve">次</w:t>
            </w:r>
            <w:r>
              <w:rPr>
                <w:rFonts w:ascii="宋体" w:hAnsi="宋体"/>
                <w:color w:val="auto"/>
                <w:sz w:val="24"/>
                <w:szCs w:val="30"/>
                <w:highlight w:val="none"/>
                <w:lang w:eastAsia="zh-CN"/>
              </w:rPr>
              <w:t xml:space="preserve">/</w:t>
            </w:r>
            <w:r>
              <w:rPr>
                <w:rFonts w:hint="eastAsia" w:ascii="宋体" w:hAnsi="宋体"/>
                <w:color w:val="auto"/>
                <w:sz w:val="24"/>
                <w:szCs w:val="30"/>
                <w:highlight w:val="none"/>
                <w:lang w:eastAsia="zh-CN"/>
              </w:rPr>
              <w:t xml:space="preserve">天擦拭</w:t>
            </w:r>
            <w:r/>
          </w:p>
          <w:p>
            <w:pPr>
              <w:jc w:val="center"/>
              <w:keepLines w:val="0"/>
              <w:keepNext w:val="0"/>
              <w:pageBreakBefore w:val="0"/>
              <w:spacing w:after="0" w:line="240" w:lineRule="atLeast"/>
              <w:widowControl/>
              <w:rPr>
                <w:rFonts w:ascii="宋体" w:hAnsi="宋体"/>
                <w:color w:val="auto"/>
                <w:sz w:val="24"/>
                <w:szCs w:val="30"/>
                <w:highlight w:val="none"/>
                <w:lang w:eastAsia="zh-CN"/>
              </w:rPr>
            </w:pPr>
            <w:r>
              <w:rPr>
                <w:rFonts w:hint="eastAsia" w:ascii="宋体" w:hAnsi="宋体"/>
                <w:color w:val="auto"/>
                <w:sz w:val="24"/>
                <w:szCs w:val="30"/>
                <w:highlight w:val="none"/>
                <w:lang w:eastAsia="zh-CN"/>
              </w:rPr>
              <w:t xml:space="preserve">并及时巡视</w:t>
            </w:r>
            <w:r/>
          </w:p>
        </w:tc>
      </w:tr>
      <w:tr>
        <w:trPr>
          <w:trHeight w:val="20"/>
        </w:trPr>
        <w:tc>
          <w:tcPr>
            <w:tcW w:w="1200" w:type="dxa"/>
            <w:vAlign w:val="center"/>
            <w:vMerge w:val="continue"/>
            <w:textDirection w:val="lrTb"/>
            <w:noWrap w:val="false"/>
          </w:tcPr>
          <w:p>
            <w:pPr>
              <w:jc w:val="center"/>
              <w:keepLines w:val="0"/>
              <w:keepNext w:val="0"/>
              <w:pageBreakBefore w:val="0"/>
              <w:spacing w:after="0" w:line="240" w:lineRule="atLeast"/>
              <w:widowControl/>
              <w:rPr>
                <w:rFonts w:ascii="宋体" w:hAnsi="宋体"/>
                <w:color w:val="auto"/>
                <w:sz w:val="24"/>
                <w:szCs w:val="30"/>
                <w:highlight w:val="none"/>
                <w:lang w:eastAsia="zh-CN"/>
              </w:rPr>
            </w:pPr>
            <w:r>
              <w:rPr>
                <w:rFonts w:ascii="宋体" w:hAnsi="宋体"/>
                <w:color w:val="auto"/>
                <w:sz w:val="24"/>
                <w:szCs w:val="30"/>
                <w:highlight w:val="none"/>
                <w:lang w:eastAsia="zh-CN"/>
              </w:rPr>
            </w:r>
            <w:r/>
          </w:p>
        </w:tc>
        <w:tc>
          <w:tcPr>
            <w:tcW w:w="2188" w:type="dxa"/>
            <w:vAlign w:val="center"/>
            <w:textDirection w:val="lrTb"/>
            <w:noWrap w:val="false"/>
          </w:tcPr>
          <w:p>
            <w:pPr>
              <w:keepLines w:val="0"/>
              <w:keepNext w:val="0"/>
              <w:pageBreakBefore w:val="0"/>
              <w:spacing w:after="0" w:line="240" w:lineRule="atLeast"/>
              <w:widowControl/>
              <w:rPr>
                <w:rFonts w:ascii="宋体" w:hAnsi="宋体"/>
                <w:color w:val="auto"/>
                <w:sz w:val="24"/>
                <w:szCs w:val="30"/>
                <w:highlight w:val="none"/>
                <w:lang w:eastAsia="zh-CN"/>
              </w:rPr>
            </w:pPr>
            <w:r>
              <w:rPr>
                <w:rFonts w:hint="eastAsia" w:ascii="宋体" w:hAnsi="宋体"/>
                <w:color w:val="auto"/>
                <w:sz w:val="24"/>
                <w:szCs w:val="30"/>
                <w:highlight w:val="none"/>
                <w:lang w:eastAsia="zh-CN"/>
              </w:rPr>
              <w:t xml:space="preserve"> 更衣室、淋浴室、卫生间等水池、台面、水龙头、皂盒</w:t>
            </w:r>
            <w:r/>
          </w:p>
        </w:tc>
        <w:tc>
          <w:tcPr>
            <w:tcW w:w="2975" w:type="dxa"/>
            <w:vAlign w:val="center"/>
            <w:textDirection w:val="lrTb"/>
            <w:noWrap w:val="false"/>
          </w:tcPr>
          <w:p>
            <w:pPr>
              <w:keepLines w:val="0"/>
              <w:keepNext w:val="0"/>
              <w:pageBreakBefore w:val="0"/>
              <w:spacing w:after="0" w:line="240" w:lineRule="atLeast"/>
              <w:widowControl/>
              <w:rPr>
                <w:rFonts w:ascii="宋体" w:hAnsi="宋体"/>
                <w:color w:val="auto"/>
                <w:sz w:val="24"/>
                <w:szCs w:val="30"/>
                <w:highlight w:val="none"/>
                <w:lang w:eastAsia="zh-CN"/>
              </w:rPr>
            </w:pPr>
            <w:r>
              <w:rPr>
                <w:rFonts w:hint="eastAsia" w:ascii="宋体" w:hAnsi="宋体"/>
                <w:color w:val="auto"/>
                <w:sz w:val="24"/>
                <w:szCs w:val="30"/>
                <w:highlight w:val="none"/>
                <w:lang w:eastAsia="zh-CN"/>
              </w:rPr>
              <w:t xml:space="preserve">  均无污迹、台面无水迹、龙头光亮如新</w:t>
            </w:r>
            <w:r/>
          </w:p>
        </w:tc>
        <w:tc>
          <w:tcPr>
            <w:tcW w:w="2769"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szCs w:val="30"/>
                <w:highlight w:val="none"/>
              </w:rPr>
            </w:pPr>
            <w:r>
              <w:rPr>
                <w:rFonts w:ascii="宋体" w:hAnsi="宋体"/>
                <w:color w:val="auto"/>
                <w:sz w:val="24"/>
                <w:szCs w:val="30"/>
                <w:highlight w:val="none"/>
              </w:rPr>
              <w:t xml:space="preserve">1</w:t>
            </w:r>
            <w:r>
              <w:rPr>
                <w:rFonts w:hint="eastAsia" w:ascii="宋体" w:hAnsi="宋体"/>
                <w:color w:val="auto"/>
                <w:sz w:val="24"/>
                <w:szCs w:val="30"/>
                <w:highlight w:val="none"/>
              </w:rPr>
              <w:t xml:space="preserve">次</w:t>
            </w:r>
            <w:r>
              <w:rPr>
                <w:rFonts w:ascii="宋体" w:hAnsi="宋体"/>
                <w:color w:val="auto"/>
                <w:sz w:val="24"/>
                <w:szCs w:val="30"/>
                <w:highlight w:val="none"/>
              </w:rPr>
              <w:t xml:space="preserve">/</w:t>
            </w:r>
            <w:r>
              <w:rPr>
                <w:rFonts w:hint="eastAsia" w:ascii="宋体" w:hAnsi="宋体"/>
                <w:color w:val="auto"/>
                <w:sz w:val="24"/>
                <w:szCs w:val="30"/>
                <w:highlight w:val="none"/>
              </w:rPr>
              <w:t xml:space="preserve">天擦拭消毒</w:t>
            </w:r>
            <w:r/>
          </w:p>
        </w:tc>
      </w:tr>
      <w:tr>
        <w:trPr>
          <w:trHeight w:val="20"/>
        </w:trPr>
        <w:tc>
          <w:tcPr>
            <w:tcW w:w="1200" w:type="dxa"/>
            <w:vAlign w:val="center"/>
            <w:vMerge w:val="continue"/>
            <w:textDirection w:val="lrTb"/>
            <w:noWrap w:val="false"/>
          </w:tcPr>
          <w:p>
            <w:pPr>
              <w:jc w:val="center"/>
              <w:keepLines w:val="0"/>
              <w:keepNext w:val="0"/>
              <w:pageBreakBefore w:val="0"/>
              <w:spacing w:after="0" w:line="240" w:lineRule="atLeast"/>
              <w:widowControl/>
              <w:rPr>
                <w:rFonts w:ascii="宋体" w:hAnsi="宋体"/>
                <w:color w:val="auto"/>
                <w:sz w:val="24"/>
                <w:szCs w:val="30"/>
                <w:highlight w:val="none"/>
              </w:rPr>
            </w:pPr>
            <w:r>
              <w:rPr>
                <w:rFonts w:ascii="宋体" w:hAnsi="宋体"/>
                <w:color w:val="auto"/>
                <w:sz w:val="24"/>
                <w:szCs w:val="30"/>
                <w:highlight w:val="none"/>
              </w:rPr>
            </w:r>
            <w:r/>
          </w:p>
        </w:tc>
        <w:tc>
          <w:tcPr>
            <w:tcW w:w="2188"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szCs w:val="30"/>
                <w:highlight w:val="none"/>
              </w:rPr>
            </w:pPr>
            <w:r>
              <w:rPr>
                <w:rFonts w:hint="eastAsia" w:ascii="宋体" w:hAnsi="宋体"/>
                <w:color w:val="auto"/>
                <w:sz w:val="24"/>
                <w:szCs w:val="30"/>
                <w:highlight w:val="none"/>
              </w:rPr>
              <w:t xml:space="preserve">垃圾篓、桶</w:t>
            </w:r>
            <w:r/>
          </w:p>
        </w:tc>
        <w:tc>
          <w:tcPr>
            <w:tcW w:w="2975" w:type="dxa"/>
            <w:vAlign w:val="center"/>
            <w:textDirection w:val="lrTb"/>
            <w:noWrap w:val="false"/>
          </w:tcPr>
          <w:p>
            <w:pPr>
              <w:keepLines w:val="0"/>
              <w:keepNext w:val="0"/>
              <w:pageBreakBefore w:val="0"/>
              <w:spacing w:after="0" w:line="240" w:lineRule="atLeast"/>
              <w:widowControl/>
              <w:rPr>
                <w:rFonts w:ascii="宋体" w:hAnsi="宋体"/>
                <w:color w:val="auto"/>
                <w:sz w:val="24"/>
                <w:szCs w:val="30"/>
                <w:highlight w:val="none"/>
                <w:lang w:eastAsia="zh-CN"/>
              </w:rPr>
            </w:pPr>
            <w:r>
              <w:rPr>
                <w:rFonts w:hint="eastAsia" w:ascii="宋体" w:hAnsi="宋体"/>
                <w:color w:val="auto"/>
                <w:sz w:val="24"/>
                <w:szCs w:val="30"/>
                <w:highlight w:val="none"/>
                <w:lang w:eastAsia="zh-CN"/>
              </w:rPr>
              <w:t xml:space="preserve">  无异味；及时倾倒、不得过半；外部无污渍、周围地面无洒落垃圾</w:t>
            </w:r>
            <w:r/>
          </w:p>
        </w:tc>
        <w:tc>
          <w:tcPr>
            <w:tcW w:w="2769"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szCs w:val="30"/>
                <w:highlight w:val="none"/>
                <w:lang w:eastAsia="zh-CN"/>
              </w:rPr>
            </w:pPr>
            <w:r>
              <w:rPr>
                <w:rFonts w:hint="eastAsia" w:ascii="宋体" w:hAnsi="宋体"/>
                <w:color w:val="auto"/>
                <w:sz w:val="24"/>
                <w:szCs w:val="30"/>
                <w:highlight w:val="none"/>
                <w:lang w:eastAsia="zh-CN"/>
              </w:rPr>
              <w:t xml:space="preserve">2次</w:t>
            </w:r>
            <w:r>
              <w:rPr>
                <w:rFonts w:ascii="宋体" w:hAnsi="宋体"/>
                <w:color w:val="auto"/>
                <w:sz w:val="24"/>
                <w:szCs w:val="30"/>
                <w:highlight w:val="none"/>
                <w:lang w:eastAsia="zh-CN"/>
              </w:rPr>
              <w:t xml:space="preserve">/</w:t>
            </w:r>
            <w:r>
              <w:rPr>
                <w:rFonts w:hint="eastAsia" w:ascii="宋体" w:hAnsi="宋体"/>
                <w:color w:val="auto"/>
                <w:sz w:val="24"/>
                <w:szCs w:val="30"/>
                <w:highlight w:val="none"/>
                <w:lang w:eastAsia="zh-CN"/>
              </w:rPr>
              <w:t xml:space="preserve">天换垃圾袋</w:t>
            </w:r>
            <w:r/>
          </w:p>
          <w:p>
            <w:pPr>
              <w:jc w:val="center"/>
              <w:keepLines w:val="0"/>
              <w:keepNext w:val="0"/>
              <w:pageBreakBefore w:val="0"/>
              <w:spacing w:after="0" w:line="240" w:lineRule="atLeast"/>
              <w:widowControl/>
              <w:rPr>
                <w:rFonts w:ascii="宋体" w:hAnsi="宋体"/>
                <w:color w:val="auto"/>
                <w:sz w:val="24"/>
                <w:szCs w:val="30"/>
                <w:highlight w:val="none"/>
                <w:lang w:eastAsia="zh-CN"/>
              </w:rPr>
            </w:pPr>
            <w:r>
              <w:rPr>
                <w:rFonts w:hint="eastAsia" w:ascii="宋体" w:hAnsi="宋体"/>
                <w:color w:val="auto"/>
                <w:sz w:val="24"/>
                <w:szCs w:val="30"/>
                <w:highlight w:val="none"/>
                <w:lang w:eastAsia="zh-CN"/>
              </w:rPr>
              <w:t xml:space="preserve">1次</w:t>
            </w:r>
            <w:r>
              <w:rPr>
                <w:rFonts w:ascii="宋体" w:hAnsi="宋体"/>
                <w:color w:val="auto"/>
                <w:sz w:val="24"/>
                <w:szCs w:val="30"/>
                <w:highlight w:val="none"/>
                <w:lang w:eastAsia="zh-CN"/>
              </w:rPr>
              <w:t xml:space="preserve">/</w:t>
            </w:r>
            <w:r>
              <w:rPr>
                <w:rFonts w:hint="eastAsia" w:ascii="宋体" w:hAnsi="宋体"/>
                <w:color w:val="auto"/>
                <w:sz w:val="24"/>
                <w:szCs w:val="30"/>
                <w:highlight w:val="none"/>
                <w:lang w:eastAsia="zh-CN"/>
              </w:rPr>
              <w:t xml:space="preserve">天擦垃圾桶</w:t>
            </w:r>
            <w:r/>
          </w:p>
          <w:p>
            <w:pPr>
              <w:jc w:val="center"/>
              <w:keepLines w:val="0"/>
              <w:keepNext w:val="0"/>
              <w:pageBreakBefore w:val="0"/>
              <w:spacing w:after="0" w:line="240" w:lineRule="atLeast"/>
              <w:widowControl/>
              <w:rPr>
                <w:rFonts w:ascii="宋体" w:hAnsi="宋体"/>
                <w:color w:val="auto"/>
                <w:sz w:val="24"/>
                <w:szCs w:val="30"/>
                <w:highlight w:val="none"/>
              </w:rPr>
            </w:pPr>
            <w:r>
              <w:rPr>
                <w:rFonts w:ascii="宋体" w:hAnsi="宋体"/>
                <w:color w:val="auto"/>
                <w:sz w:val="24"/>
                <w:szCs w:val="30"/>
                <w:highlight w:val="none"/>
              </w:rPr>
              <w:t xml:space="preserve">2</w:t>
            </w:r>
            <w:r>
              <w:rPr>
                <w:rFonts w:hint="eastAsia" w:ascii="宋体" w:hAnsi="宋体"/>
                <w:color w:val="auto"/>
                <w:sz w:val="24"/>
                <w:szCs w:val="30"/>
                <w:highlight w:val="none"/>
              </w:rPr>
              <w:t xml:space="preserve">次</w:t>
            </w:r>
            <w:r>
              <w:rPr>
                <w:rFonts w:ascii="宋体" w:hAnsi="宋体"/>
                <w:color w:val="auto"/>
                <w:sz w:val="24"/>
                <w:szCs w:val="30"/>
                <w:highlight w:val="none"/>
              </w:rPr>
              <w:t xml:space="preserve">/</w:t>
            </w:r>
            <w:r>
              <w:rPr>
                <w:rFonts w:hint="eastAsia" w:ascii="宋体" w:hAnsi="宋体"/>
                <w:color w:val="auto"/>
                <w:sz w:val="24"/>
                <w:szCs w:val="30"/>
                <w:highlight w:val="none"/>
              </w:rPr>
              <w:t xml:space="preserve">周清洗</w:t>
            </w:r>
            <w:r/>
          </w:p>
        </w:tc>
      </w:tr>
      <w:tr>
        <w:trPr>
          <w:trHeight w:val="20"/>
        </w:trPr>
        <w:tc>
          <w:tcPr>
            <w:tcW w:w="1200" w:type="dxa"/>
            <w:vAlign w:val="center"/>
            <w:vMerge w:val="continue"/>
            <w:textDirection w:val="lrTb"/>
            <w:noWrap w:val="false"/>
          </w:tcPr>
          <w:p>
            <w:pPr>
              <w:jc w:val="center"/>
              <w:keepLines w:val="0"/>
              <w:keepNext w:val="0"/>
              <w:pageBreakBefore w:val="0"/>
              <w:spacing w:after="0" w:line="240" w:lineRule="atLeast"/>
              <w:widowControl/>
              <w:rPr>
                <w:rFonts w:ascii="宋体" w:hAnsi="宋体"/>
                <w:color w:val="auto"/>
                <w:sz w:val="24"/>
                <w:szCs w:val="30"/>
                <w:highlight w:val="none"/>
              </w:rPr>
            </w:pPr>
            <w:r>
              <w:rPr>
                <w:rFonts w:ascii="宋体" w:hAnsi="宋体"/>
                <w:color w:val="auto"/>
                <w:sz w:val="24"/>
                <w:szCs w:val="30"/>
                <w:highlight w:val="none"/>
              </w:rPr>
            </w:r>
            <w:r/>
          </w:p>
        </w:tc>
        <w:tc>
          <w:tcPr>
            <w:tcW w:w="2188" w:type="dxa"/>
            <w:vAlign w:val="center"/>
            <w:textDirection w:val="lrTb"/>
            <w:noWrap w:val="false"/>
          </w:tcPr>
          <w:p>
            <w:pPr>
              <w:keepLines w:val="0"/>
              <w:keepNext w:val="0"/>
              <w:pageBreakBefore w:val="0"/>
              <w:spacing w:after="0" w:line="240" w:lineRule="atLeast"/>
              <w:widowControl/>
              <w:rPr>
                <w:rFonts w:ascii="宋体" w:hAnsi="宋体"/>
                <w:color w:val="auto"/>
                <w:sz w:val="24"/>
                <w:szCs w:val="30"/>
                <w:highlight w:val="none"/>
                <w:lang w:eastAsia="zh-CN"/>
              </w:rPr>
            </w:pPr>
            <w:r>
              <w:rPr>
                <w:rFonts w:hint="eastAsia" w:ascii="宋体" w:hAnsi="宋体"/>
                <w:color w:val="auto"/>
                <w:sz w:val="24"/>
                <w:szCs w:val="30"/>
                <w:highlight w:val="none"/>
                <w:lang w:eastAsia="zh-CN"/>
              </w:rPr>
              <w:t xml:space="preserve">  门、间隔板、指示牌、消防设施、电视机、挂件、空调的出回风口、灯具</w:t>
            </w:r>
            <w:r/>
          </w:p>
        </w:tc>
        <w:tc>
          <w:tcPr>
            <w:tcW w:w="2975" w:type="dxa"/>
            <w:vAlign w:val="center"/>
            <w:textDirection w:val="lrTb"/>
            <w:noWrap w:val="false"/>
          </w:tcPr>
          <w:p>
            <w:pPr>
              <w:keepLines w:val="0"/>
              <w:keepNext w:val="0"/>
              <w:pageBreakBefore w:val="0"/>
              <w:spacing w:after="0" w:line="240" w:lineRule="atLeast"/>
              <w:widowControl/>
              <w:rPr>
                <w:rFonts w:ascii="宋体" w:hAnsi="宋体"/>
                <w:color w:val="auto"/>
                <w:sz w:val="24"/>
                <w:szCs w:val="30"/>
                <w:highlight w:val="none"/>
                <w:lang w:eastAsia="zh-CN"/>
              </w:rPr>
            </w:pPr>
            <w:r>
              <w:rPr>
                <w:rFonts w:hint="eastAsia" w:ascii="宋体" w:hAnsi="宋体"/>
                <w:color w:val="auto"/>
                <w:sz w:val="24"/>
                <w:szCs w:val="30"/>
                <w:highlight w:val="none"/>
                <w:lang w:eastAsia="zh-CN"/>
              </w:rPr>
              <w:t xml:space="preserve">  手摸无灰尘、表面无污渍</w:t>
            </w:r>
            <w:r/>
          </w:p>
        </w:tc>
        <w:tc>
          <w:tcPr>
            <w:tcW w:w="2769" w:type="dxa"/>
            <w:vAlign w:val="center"/>
            <w:textDirection w:val="lrTb"/>
            <w:noWrap w:val="false"/>
          </w:tcPr>
          <w:p>
            <w:pPr>
              <w:keepLines w:val="0"/>
              <w:keepNext w:val="0"/>
              <w:pageBreakBefore w:val="0"/>
              <w:spacing w:after="0" w:line="240" w:lineRule="atLeast"/>
              <w:widowControl/>
              <w:rPr>
                <w:rFonts w:ascii="宋体" w:hAnsi="宋体"/>
                <w:color w:val="auto"/>
                <w:sz w:val="24"/>
                <w:szCs w:val="30"/>
                <w:highlight w:val="none"/>
                <w:lang w:eastAsia="zh-CN"/>
              </w:rPr>
            </w:pPr>
            <w:r>
              <w:rPr>
                <w:rFonts w:hint="eastAsia" w:ascii="宋体" w:hAnsi="宋体"/>
                <w:color w:val="auto"/>
                <w:sz w:val="24"/>
                <w:szCs w:val="30"/>
                <w:highlight w:val="none"/>
                <w:lang w:eastAsia="zh-CN"/>
              </w:rPr>
              <w:t xml:space="preserve">  1次</w:t>
            </w:r>
            <w:r>
              <w:rPr>
                <w:rFonts w:ascii="宋体" w:hAnsi="宋体"/>
                <w:color w:val="auto"/>
                <w:sz w:val="24"/>
                <w:szCs w:val="30"/>
                <w:highlight w:val="none"/>
                <w:lang w:eastAsia="zh-CN"/>
              </w:rPr>
              <w:t xml:space="preserve">/</w:t>
            </w:r>
            <w:r>
              <w:rPr>
                <w:rFonts w:hint="eastAsia" w:ascii="宋体" w:hAnsi="宋体"/>
                <w:color w:val="auto"/>
                <w:sz w:val="24"/>
                <w:szCs w:val="30"/>
                <w:highlight w:val="none"/>
                <w:lang w:eastAsia="zh-CN"/>
              </w:rPr>
              <w:t xml:space="preserve">周擦拭</w:t>
            </w:r>
            <w:r/>
          </w:p>
          <w:p>
            <w:pPr>
              <w:keepLines w:val="0"/>
              <w:keepNext w:val="0"/>
              <w:pageBreakBefore w:val="0"/>
              <w:spacing w:after="0" w:line="240" w:lineRule="atLeast"/>
              <w:widowControl/>
              <w:rPr>
                <w:rFonts w:ascii="宋体" w:hAnsi="宋体"/>
                <w:color w:val="auto"/>
                <w:sz w:val="24"/>
                <w:szCs w:val="30"/>
                <w:highlight w:val="none"/>
                <w:lang w:eastAsia="zh-CN"/>
              </w:rPr>
            </w:pPr>
            <w:r>
              <w:rPr>
                <w:rFonts w:hint="eastAsia" w:ascii="宋体" w:hAnsi="宋体"/>
                <w:color w:val="auto"/>
                <w:sz w:val="24"/>
                <w:szCs w:val="30"/>
                <w:highlight w:val="none"/>
                <w:lang w:eastAsia="zh-CN"/>
              </w:rPr>
              <w:t xml:space="preserve">1次/月出回风口、灯具除尘擦拭</w:t>
            </w:r>
            <w:r/>
          </w:p>
        </w:tc>
      </w:tr>
      <w:tr>
        <w:trPr>
          <w:trHeight w:val="592"/>
        </w:trPr>
        <w:tc>
          <w:tcPr>
            <w:tcW w:w="1200" w:type="dxa"/>
            <w:vAlign w:val="center"/>
            <w:vMerge w:val="continue"/>
            <w:textDirection w:val="lrTb"/>
            <w:noWrap w:val="false"/>
          </w:tcPr>
          <w:p>
            <w:pPr>
              <w:jc w:val="center"/>
              <w:keepLines w:val="0"/>
              <w:keepNext w:val="0"/>
              <w:pageBreakBefore w:val="0"/>
              <w:spacing w:after="0" w:line="240" w:lineRule="atLeast"/>
              <w:widowControl/>
              <w:rPr>
                <w:rFonts w:ascii="宋体" w:hAnsi="宋体"/>
                <w:color w:val="auto"/>
                <w:sz w:val="24"/>
                <w:szCs w:val="30"/>
                <w:highlight w:val="none"/>
                <w:lang w:eastAsia="zh-CN"/>
              </w:rPr>
            </w:pPr>
            <w:r>
              <w:rPr>
                <w:rFonts w:ascii="宋体" w:hAnsi="宋体"/>
                <w:color w:val="auto"/>
                <w:sz w:val="24"/>
                <w:szCs w:val="30"/>
                <w:highlight w:val="none"/>
                <w:lang w:eastAsia="zh-CN"/>
              </w:rPr>
            </w:r>
            <w:r/>
          </w:p>
        </w:tc>
        <w:tc>
          <w:tcPr>
            <w:tcW w:w="2188" w:type="dxa"/>
            <w:vAlign w:val="center"/>
            <w:textDirection w:val="lrTb"/>
            <w:noWrap w:val="false"/>
          </w:tcPr>
          <w:p>
            <w:pPr>
              <w:keepLines w:val="0"/>
              <w:keepNext w:val="0"/>
              <w:pageBreakBefore w:val="0"/>
              <w:spacing w:after="0" w:line="240" w:lineRule="atLeast"/>
              <w:widowControl/>
              <w:rPr>
                <w:rFonts w:ascii="宋体" w:hAnsi="宋体"/>
                <w:color w:val="auto"/>
                <w:sz w:val="24"/>
                <w:szCs w:val="30"/>
                <w:highlight w:val="none"/>
              </w:rPr>
            </w:pPr>
            <w:r>
              <w:rPr>
                <w:rFonts w:hint="eastAsia" w:ascii="宋体" w:hAnsi="宋体"/>
                <w:color w:val="auto"/>
                <w:sz w:val="24"/>
                <w:szCs w:val="30"/>
                <w:highlight w:val="none"/>
              </w:rPr>
              <w:t xml:space="preserve">墙面、天花板、窗户</w:t>
            </w:r>
            <w:r/>
          </w:p>
        </w:tc>
        <w:tc>
          <w:tcPr>
            <w:tcW w:w="2975"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szCs w:val="30"/>
                <w:highlight w:val="none"/>
              </w:rPr>
            </w:pPr>
            <w:r>
              <w:rPr>
                <w:rFonts w:hint="eastAsia" w:ascii="宋体" w:hAnsi="宋体"/>
                <w:color w:val="auto"/>
                <w:sz w:val="24"/>
                <w:szCs w:val="30"/>
                <w:highlight w:val="none"/>
              </w:rPr>
              <w:t xml:space="preserve">目视无蜘蛛网、灰尘</w:t>
            </w:r>
            <w:r/>
          </w:p>
        </w:tc>
        <w:tc>
          <w:tcPr>
            <w:tcW w:w="2769"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szCs w:val="30"/>
                <w:highlight w:val="none"/>
              </w:rPr>
            </w:pPr>
            <w:r>
              <w:rPr>
                <w:rFonts w:hint="eastAsia" w:ascii="宋体" w:hAnsi="宋体"/>
                <w:color w:val="auto"/>
                <w:sz w:val="24"/>
                <w:szCs w:val="30"/>
                <w:highlight w:val="none"/>
              </w:rPr>
              <w:t xml:space="preserve">1次</w:t>
            </w:r>
            <w:r>
              <w:rPr>
                <w:rFonts w:ascii="宋体" w:hAnsi="宋体"/>
                <w:color w:val="auto"/>
                <w:sz w:val="24"/>
                <w:szCs w:val="30"/>
                <w:highlight w:val="none"/>
              </w:rPr>
              <w:t xml:space="preserve">/</w:t>
            </w:r>
            <w:r>
              <w:rPr>
                <w:rFonts w:hint="eastAsia" w:ascii="宋体" w:hAnsi="宋体"/>
                <w:color w:val="auto"/>
                <w:sz w:val="24"/>
                <w:szCs w:val="30"/>
                <w:highlight w:val="none"/>
              </w:rPr>
              <w:t xml:space="preserve">月除尘擦拭</w:t>
            </w:r>
            <w:r/>
          </w:p>
        </w:tc>
      </w:tr>
      <w:tr>
        <w:trPr>
          <w:trHeight w:val="864"/>
        </w:trPr>
        <w:tc>
          <w:tcPr>
            <w:tcW w:w="1200"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szCs w:val="30"/>
                <w:highlight w:val="none"/>
              </w:rPr>
            </w:pPr>
            <w:r>
              <w:rPr>
                <w:rFonts w:hint="eastAsia" w:ascii="宋体" w:hAnsi="宋体"/>
                <w:b/>
                <w:bCs/>
                <w:color w:val="auto"/>
                <w:sz w:val="24"/>
                <w:szCs w:val="30"/>
                <w:highlight w:val="none"/>
              </w:rPr>
              <w:t xml:space="preserve">备注</w:t>
            </w:r>
            <w:r/>
          </w:p>
        </w:tc>
        <w:tc>
          <w:tcPr>
            <w:gridSpan w:val="3"/>
            <w:tcW w:w="7932" w:type="dxa"/>
            <w:vAlign w:val="center"/>
            <w:textDirection w:val="lrTb"/>
            <w:noWrap w:val="false"/>
          </w:tcPr>
          <w:p>
            <w:pPr>
              <w:keepLines w:val="0"/>
              <w:keepNext w:val="0"/>
              <w:pageBreakBefore w:val="0"/>
              <w:spacing w:after="0" w:line="240" w:lineRule="atLeast"/>
              <w:widowControl/>
              <w:rPr>
                <w:rFonts w:ascii="宋体" w:hAnsi="宋体"/>
                <w:color w:val="auto"/>
                <w:sz w:val="24"/>
                <w:szCs w:val="30"/>
                <w:highlight w:val="none"/>
                <w:lang w:eastAsia="zh-CN"/>
              </w:rPr>
            </w:pPr>
            <w:r>
              <w:rPr>
                <w:rFonts w:hint="eastAsia" w:ascii="宋体" w:hAnsi="宋体"/>
                <w:color w:val="auto"/>
                <w:sz w:val="24"/>
                <w:szCs w:val="30"/>
                <w:highlight w:val="none"/>
                <w:lang w:eastAsia="zh-CN"/>
              </w:rPr>
              <w:t xml:space="preserve">    地面不间断巡视，特殊情况能及时清理，反应时间不超过</w:t>
            </w:r>
            <w:r>
              <w:rPr>
                <w:rFonts w:ascii="宋体" w:hAnsi="宋体"/>
                <w:color w:val="auto"/>
                <w:sz w:val="24"/>
                <w:szCs w:val="30"/>
                <w:highlight w:val="none"/>
                <w:lang w:eastAsia="zh-CN"/>
              </w:rPr>
              <w:t xml:space="preserve">1</w:t>
            </w:r>
            <w:r>
              <w:rPr>
                <w:rFonts w:hint="eastAsia" w:ascii="宋体" w:hAnsi="宋体"/>
                <w:color w:val="auto"/>
                <w:sz w:val="24"/>
                <w:szCs w:val="30"/>
                <w:highlight w:val="none"/>
                <w:lang w:eastAsia="zh-CN"/>
              </w:rPr>
              <w:t xml:space="preserve">5分钟。</w:t>
            </w:r>
            <w:r/>
          </w:p>
        </w:tc>
      </w:tr>
    </w:tbl>
    <w:p>
      <w:pPr>
        <w:spacing w:line="240" w:lineRule="atLeast"/>
        <w:rPr>
          <w:rFonts w:ascii="宋体" w:hAnsi="宋体"/>
          <w:b/>
          <w:bCs/>
          <w:color w:val="auto"/>
          <w:sz w:val="24"/>
          <w:highlight w:val="none"/>
          <w:lang w:eastAsia="zh-CN"/>
        </w:rPr>
      </w:pPr>
      <w:r>
        <w:rPr>
          <w:rFonts w:ascii="宋体" w:hAnsi="宋体"/>
          <w:b/>
          <w:bCs/>
          <w:color w:val="auto"/>
          <w:sz w:val="24"/>
          <w:highlight w:val="none"/>
          <w:lang w:eastAsia="zh-CN"/>
        </w:rPr>
      </w:r>
      <w:r/>
    </w:p>
    <w:p>
      <w:pPr>
        <w:spacing w:line="240" w:lineRule="atLeast"/>
        <w:rPr>
          <w:rFonts w:hint="default" w:ascii="宋体" w:hAnsi="宋体" w:eastAsia="宋体"/>
          <w:b/>
          <w:bCs/>
          <w:color w:val="auto"/>
          <w:sz w:val="24"/>
          <w:highlight w:val="none"/>
          <w:lang w:val="en-US" w:eastAsia="zh-CN"/>
        </w:rPr>
      </w:pPr>
      <w:r>
        <w:rPr>
          <w:rFonts w:hint="eastAsia" w:ascii="宋体" w:hAnsi="宋体" w:eastAsia="宋体"/>
          <w:b/>
          <w:bCs/>
          <w:color w:val="auto"/>
          <w:sz w:val="24"/>
          <w:highlight w:val="none"/>
          <w:lang w:val="en-US" w:eastAsia="zh-CN"/>
        </w:rPr>
        <w:t xml:space="preserve">表六：新塘分院保洁</w:t>
      </w:r>
      <w:r/>
    </w:p>
    <w:tbl>
      <w:tblPr>
        <w:tblStyle w:val="703"/>
        <w:tblpPr w:horzAnchor="page" w:tblpX="1868" w:vertAnchor="text" w:tblpY="89" w:leftFromText="180" w:topFromText="0" w:rightFromText="180" w:bottomFromText="0"/>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2632"/>
        <w:gridCol w:w="2700"/>
        <w:gridCol w:w="2588"/>
      </w:tblGrid>
      <w:tr>
        <w:trPr>
          <w:trHeight w:val="562"/>
        </w:trPr>
        <w:tc>
          <w:tcPr>
            <w:tcW w:w="1188"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服务区域</w:t>
            </w:r>
            <w:r/>
          </w:p>
        </w:tc>
        <w:tc>
          <w:tcPr>
            <w:tcW w:w="2632"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保洁内容</w:t>
            </w:r>
            <w:r/>
          </w:p>
        </w:tc>
        <w:tc>
          <w:tcPr>
            <w:tcW w:w="2700"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保洁标准</w:t>
            </w:r>
            <w:r/>
          </w:p>
        </w:tc>
        <w:tc>
          <w:tcPr>
            <w:tcW w:w="2588"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保洁频次</w:t>
            </w:r>
            <w:r/>
          </w:p>
        </w:tc>
      </w:tr>
      <w:tr>
        <w:trPr>
          <w:trHeight w:val="20"/>
        </w:trPr>
        <w:tc>
          <w:tcPr>
            <w:tcW w:w="1188" w:type="dxa"/>
            <w:vAlign w:val="center"/>
            <w:vMerge w:val="restart"/>
            <w:textDirection w:val="lrTb"/>
            <w:noWrap w:val="false"/>
          </w:tcPr>
          <w:p>
            <w:pPr>
              <w:jc w:val="center"/>
              <w:keepLines w:val="0"/>
              <w:keepNext w:val="0"/>
              <w:pageBreakBefore w:val="0"/>
              <w:spacing w:after="0" w:line="24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新塘分院</w:t>
            </w:r>
            <w:r/>
          </w:p>
        </w:tc>
        <w:tc>
          <w:tcPr>
            <w:tcW w:w="2632"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 xml:space="preserve">大厅、办公室、会议室、检查室、</w:t>
            </w:r>
            <w:r>
              <w:rPr>
                <w:rFonts w:hint="eastAsia" w:ascii="宋体" w:hAnsi="宋体" w:eastAsia="宋体" w:cs="宋体"/>
                <w:color w:val="auto"/>
                <w:sz w:val="24"/>
                <w:szCs w:val="24"/>
                <w:highlight w:val="none"/>
                <w:lang w:eastAsia="zh-CN"/>
              </w:rPr>
              <w:t xml:space="preserve">地面、窗台、检查用器材、各种自助设备</w:t>
            </w:r>
            <w:r/>
          </w:p>
        </w:tc>
        <w:tc>
          <w:tcPr>
            <w:tcW w:w="2700"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地面无积水、垃圾、污迹、踢脚无灰尘；窗台、桌椅无污渍</w:t>
            </w:r>
            <w:r/>
          </w:p>
        </w:tc>
        <w:tc>
          <w:tcPr>
            <w:tcW w:w="2588"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2次/天清拖地面</w:t>
            </w:r>
            <w:r/>
          </w:p>
          <w:p>
            <w:pPr>
              <w:jc w:val="cente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1次/天擦拭</w:t>
            </w:r>
            <w:r/>
          </w:p>
          <w:p>
            <w:pPr>
              <w:jc w:val="cente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并及时巡视</w:t>
            </w:r>
            <w:r/>
          </w:p>
        </w:tc>
      </w:tr>
      <w:tr>
        <w:trPr>
          <w:trHeight w:val="20"/>
        </w:trPr>
        <w:tc>
          <w:tcPr>
            <w:tcW w:w="1188" w:type="dxa"/>
            <w:vAlign w:val="center"/>
            <w:vMerge w:val="continue"/>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2632"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水池、台面、水龙头、皂盒</w:t>
            </w:r>
            <w:r/>
          </w:p>
        </w:tc>
        <w:tc>
          <w:tcPr>
            <w:tcW w:w="2700"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均无污迹、台面无水迹、龙头光亮如新</w:t>
            </w:r>
            <w:r/>
          </w:p>
        </w:tc>
        <w:tc>
          <w:tcPr>
            <w:tcW w:w="2588"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1次/天擦拭消毒并及时巡视</w:t>
            </w:r>
            <w:r/>
          </w:p>
        </w:tc>
      </w:tr>
      <w:tr>
        <w:trPr>
          <w:trHeight w:val="20"/>
        </w:trPr>
        <w:tc>
          <w:tcPr>
            <w:tcW w:w="1188" w:type="dxa"/>
            <w:vAlign w:val="center"/>
            <w:vMerge w:val="continue"/>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2632"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垃圾篓、桶</w:t>
            </w:r>
            <w:r/>
          </w:p>
        </w:tc>
        <w:tc>
          <w:tcPr>
            <w:tcW w:w="2700"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无异味；及时倾倒、不得过半；外部无污渍、周围地面无洒落垃圾</w:t>
            </w:r>
            <w:r/>
          </w:p>
        </w:tc>
        <w:tc>
          <w:tcPr>
            <w:tcW w:w="2588"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2次/天换垃圾袋</w:t>
            </w:r>
            <w:r/>
          </w:p>
          <w:p>
            <w:pPr>
              <w:jc w:val="cente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1次/天擦垃圾桶</w:t>
            </w:r>
            <w:r/>
          </w:p>
          <w:p>
            <w:pPr>
              <w:jc w:val="center"/>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2次/周清洗</w:t>
            </w:r>
            <w:r/>
          </w:p>
        </w:tc>
      </w:tr>
      <w:tr>
        <w:trPr>
          <w:trHeight w:val="20"/>
        </w:trPr>
        <w:tc>
          <w:tcPr>
            <w:tcW w:w="1188" w:type="dxa"/>
            <w:vAlign w:val="center"/>
            <w:vMerge w:val="continue"/>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632"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门、间隔板、指示牌、消防设施、电视机、挂件、空调的出回风口、灯具</w:t>
            </w:r>
            <w:r/>
          </w:p>
        </w:tc>
        <w:tc>
          <w:tcPr>
            <w:tcW w:w="2700"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手摸无灰尘、表面无污渍</w:t>
            </w:r>
            <w:r/>
          </w:p>
        </w:tc>
        <w:tc>
          <w:tcPr>
            <w:tcW w:w="2588"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1次/周擦拭</w:t>
            </w:r>
            <w:r/>
          </w:p>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1次/月出回风口、灯具除尘擦拭</w:t>
            </w:r>
            <w:r/>
          </w:p>
        </w:tc>
      </w:tr>
      <w:tr>
        <w:trPr>
          <w:trHeight w:val="592"/>
        </w:trPr>
        <w:tc>
          <w:tcPr>
            <w:tcW w:w="1188" w:type="dxa"/>
            <w:vAlign w:val="center"/>
            <w:vMerge w:val="continue"/>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2632"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墙面、天花板、窗户</w:t>
            </w:r>
            <w:r/>
          </w:p>
        </w:tc>
        <w:tc>
          <w:tcPr>
            <w:tcW w:w="2700"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目视无蜘蛛网、灰尘</w:t>
            </w:r>
            <w:r/>
          </w:p>
        </w:tc>
        <w:tc>
          <w:tcPr>
            <w:tcW w:w="2588"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1次/月除尘擦拭</w:t>
            </w:r>
            <w:r/>
          </w:p>
        </w:tc>
      </w:tr>
      <w:tr>
        <w:trPr>
          <w:trHeight w:val="864"/>
        </w:trPr>
        <w:tc>
          <w:tcPr>
            <w:tcW w:w="1188" w:type="dxa"/>
            <w:vAlign w:val="center"/>
            <w:textDirection w:val="lrTb"/>
            <w:noWrap w:val="false"/>
          </w:tcPr>
          <w:p>
            <w:pPr>
              <w:jc w:val="center"/>
              <w:keepLines w:val="0"/>
              <w:keepNext w:val="0"/>
              <w:pageBreakBefore w:val="0"/>
              <w:spacing w:after="0" w:line="240" w:lineRule="auto"/>
              <w:widowControl/>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c>
          <w:tcPr>
            <w:gridSpan w:val="3"/>
            <w:tcW w:w="7920" w:type="dxa"/>
            <w:vAlign w:val="center"/>
            <w:textDirection w:val="lrTb"/>
            <w:noWrap w:val="false"/>
          </w:tcPr>
          <w:p>
            <w:pPr>
              <w:keepLines w:val="0"/>
              <w:keepNext w:val="0"/>
              <w:pageBreakBefore w:val="0"/>
              <w:spacing w:after="0"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地面不间断巡视，特殊情况能及时清理，反应时间不超过15分钟。</w:t>
            </w:r>
            <w:r/>
          </w:p>
        </w:tc>
      </w:tr>
    </w:tbl>
    <w:p>
      <w:pPr>
        <w:spacing w:line="240" w:lineRule="atLeast"/>
        <w:rPr>
          <w:rFonts w:hint="eastAsia" w:ascii="宋体" w:hAnsi="宋体"/>
          <w:b/>
          <w:bCs/>
          <w:color w:val="auto"/>
          <w:sz w:val="24"/>
          <w:highlight w:val="none"/>
        </w:rPr>
      </w:pPr>
      <w:r>
        <w:rPr>
          <w:rFonts w:hint="eastAsia" w:ascii="宋体" w:hAnsi="宋体"/>
          <w:b/>
          <w:bCs/>
          <w:color w:val="auto"/>
          <w:sz w:val="24"/>
          <w:highlight w:val="none"/>
        </w:rPr>
      </w:r>
      <w:r/>
    </w:p>
    <w:p>
      <w:pPr>
        <w:spacing w:line="240" w:lineRule="atLeast"/>
        <w:rPr>
          <w:rFonts w:ascii="宋体" w:hAnsi="宋体"/>
          <w:b/>
          <w:bCs/>
          <w:color w:val="auto"/>
          <w:sz w:val="24"/>
          <w:highlight w:val="none"/>
        </w:rPr>
      </w:pPr>
      <w:r>
        <w:rPr>
          <w:rFonts w:hint="eastAsia" w:ascii="宋体" w:hAnsi="宋体"/>
          <w:b/>
          <w:bCs/>
          <w:color w:val="auto"/>
          <w:sz w:val="24"/>
          <w:highlight w:val="none"/>
        </w:rPr>
        <w:t xml:space="preserve">表</w:t>
      </w:r>
      <w:r>
        <w:rPr>
          <w:rFonts w:hint="eastAsia" w:ascii="宋体" w:hAnsi="宋体" w:eastAsia="宋体"/>
          <w:b/>
          <w:bCs/>
          <w:color w:val="auto"/>
          <w:sz w:val="24"/>
          <w:highlight w:val="none"/>
          <w:lang w:val="en-US" w:eastAsia="zh-CN"/>
        </w:rPr>
        <w:t xml:space="preserve">七</w:t>
      </w:r>
      <w:r>
        <w:rPr>
          <w:rFonts w:hint="eastAsia" w:ascii="宋体" w:hAnsi="宋体"/>
          <w:b/>
          <w:bCs/>
          <w:color w:val="auto"/>
          <w:sz w:val="24"/>
          <w:highlight w:val="none"/>
        </w:rPr>
        <w:t xml:space="preserve">：电梯保洁</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含新塘分院）</w:t>
      </w:r>
      <w:r/>
    </w:p>
    <w:tbl>
      <w:tblPr>
        <w:tblStyle w:val="703"/>
        <w:tblpPr w:horzAnchor="page" w:tblpX="1868" w:vertAnchor="text" w:tblpY="14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4"/>
        <w:gridCol w:w="2309"/>
        <w:gridCol w:w="2580"/>
        <w:gridCol w:w="2937"/>
      </w:tblGrid>
      <w:tr>
        <w:trPr>
          <w:trHeight w:val="562"/>
        </w:trPr>
        <w:tc>
          <w:tcPr>
            <w:tcW w:w="1294"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服务区域</w:t>
            </w:r>
            <w:r/>
          </w:p>
        </w:tc>
        <w:tc>
          <w:tcPr>
            <w:tcW w:w="2309"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保洁内容</w:t>
            </w:r>
            <w:r/>
          </w:p>
        </w:tc>
        <w:tc>
          <w:tcPr>
            <w:tcW w:w="2580"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保洁标准</w:t>
            </w:r>
            <w:r/>
          </w:p>
        </w:tc>
        <w:tc>
          <w:tcPr>
            <w:tcW w:w="2937"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保洁频次</w:t>
            </w:r>
            <w:r/>
          </w:p>
        </w:tc>
      </w:tr>
      <w:tr>
        <w:trPr>
          <w:trHeight w:val="1012"/>
        </w:trPr>
        <w:tc>
          <w:tcPr>
            <w:tcW w:w="1294" w:type="dxa"/>
            <w:vAlign w:val="center"/>
            <w:vMerge w:val="restart"/>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电梯</w:t>
            </w:r>
            <w:r/>
          </w:p>
        </w:tc>
        <w:tc>
          <w:tcPr>
            <w:tcW w:w="2309"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轿厢地面、壁、按键、顶、门、槽、照明</w:t>
            </w:r>
            <w:r/>
          </w:p>
        </w:tc>
        <w:tc>
          <w:tcPr>
            <w:tcW w:w="2580"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无杂物、污渍、灰尘、手印、纹路清晰</w:t>
            </w:r>
            <w:r/>
          </w:p>
        </w:tc>
        <w:tc>
          <w:tcPr>
            <w:tcW w:w="2937"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2次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天清拖地面</w:t>
            </w:r>
            <w:r/>
          </w:p>
          <w:p>
            <w:pPr>
              <w:jc w:val="cente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并及时巡视</w:t>
            </w:r>
            <w:r/>
          </w:p>
          <w:p>
            <w:pPr>
              <w:jc w:val="center"/>
              <w:keepLines w:val="0"/>
              <w:keepNext w:val="0"/>
              <w:pageBreakBefore w:val="0"/>
              <w:spacing w:after="0" w:line="240" w:lineRule="atLeast"/>
              <w:widowControl/>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次</w:t>
            </w:r>
            <w:r>
              <w:rPr>
                <w:rFonts w:ascii="宋体" w:hAnsi="宋体"/>
                <w:color w:val="auto"/>
                <w:sz w:val="24"/>
                <w:highlight w:val="none"/>
              </w:rPr>
              <w:t xml:space="preserve">/</w:t>
            </w:r>
            <w:r>
              <w:rPr>
                <w:rFonts w:hint="eastAsia" w:ascii="宋体" w:hAnsi="宋体"/>
                <w:color w:val="auto"/>
                <w:sz w:val="24"/>
                <w:highlight w:val="none"/>
              </w:rPr>
              <w:t xml:space="preserve">周擦拭</w:t>
            </w:r>
            <w:r/>
          </w:p>
        </w:tc>
      </w:tr>
      <w:tr>
        <w:trPr>
          <w:trHeight w:val="595"/>
        </w:trPr>
        <w:tc>
          <w:tcPr>
            <w:tcW w:w="1294" w:type="dxa"/>
            <w:vAlign w:val="center"/>
            <w:vMerge w:val="continue"/>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ascii="宋体" w:hAnsi="宋体"/>
                <w:b/>
                <w:bCs/>
                <w:color w:val="auto"/>
                <w:sz w:val="24"/>
                <w:highlight w:val="none"/>
              </w:rPr>
            </w:r>
            <w:r/>
          </w:p>
        </w:tc>
        <w:tc>
          <w:tcPr>
            <w:tcW w:w="2309"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不锈钢保养</w:t>
            </w:r>
            <w:r/>
          </w:p>
        </w:tc>
        <w:tc>
          <w:tcPr>
            <w:tcW w:w="2580"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无手印、积灰、光亮</w:t>
            </w:r>
            <w:r/>
          </w:p>
        </w:tc>
        <w:tc>
          <w:tcPr>
            <w:tcW w:w="2937"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1次</w:t>
            </w:r>
            <w:r>
              <w:rPr>
                <w:rFonts w:ascii="宋体" w:hAnsi="宋体"/>
                <w:color w:val="auto"/>
                <w:sz w:val="24"/>
                <w:highlight w:val="none"/>
              </w:rPr>
              <w:t xml:space="preserve">/</w:t>
            </w:r>
            <w:r>
              <w:rPr>
                <w:rFonts w:hint="eastAsia" w:ascii="宋体" w:hAnsi="宋体"/>
                <w:color w:val="auto"/>
                <w:sz w:val="24"/>
                <w:highlight w:val="none"/>
              </w:rPr>
              <w:t xml:space="preserve">月保养</w:t>
            </w:r>
            <w:r/>
          </w:p>
        </w:tc>
      </w:tr>
    </w:tbl>
    <w:p>
      <w:pPr>
        <w:spacing w:line="240" w:lineRule="atLeast"/>
        <w:rPr>
          <w:rFonts w:ascii="宋体" w:hAnsi="宋体"/>
          <w:b/>
          <w:bCs/>
          <w:color w:val="auto"/>
          <w:sz w:val="24"/>
          <w:highlight w:val="none"/>
        </w:rPr>
      </w:pPr>
      <w:r>
        <w:rPr>
          <w:rFonts w:ascii="宋体" w:hAnsi="宋体"/>
          <w:b/>
          <w:bCs/>
          <w:color w:val="auto"/>
          <w:sz w:val="24"/>
          <w:highlight w:val="none"/>
        </w:rPr>
      </w:r>
      <w:r/>
    </w:p>
    <w:p>
      <w:pPr>
        <w:spacing w:line="240" w:lineRule="atLeast"/>
        <w:rPr>
          <w:rFonts w:ascii="宋体" w:hAnsi="宋体"/>
          <w:b/>
          <w:bCs/>
          <w:color w:val="auto"/>
          <w:sz w:val="24"/>
          <w:highlight w:val="none"/>
        </w:rPr>
      </w:pPr>
      <w:r>
        <w:rPr>
          <w:rFonts w:hint="eastAsia" w:ascii="宋体" w:hAnsi="宋体"/>
          <w:b/>
          <w:bCs/>
          <w:color w:val="auto"/>
          <w:sz w:val="24"/>
          <w:highlight w:val="none"/>
        </w:rPr>
        <w:t xml:space="preserve">表</w:t>
      </w:r>
      <w:r>
        <w:rPr>
          <w:rFonts w:hint="eastAsia" w:ascii="宋体" w:hAnsi="宋体" w:eastAsia="宋体"/>
          <w:b/>
          <w:bCs/>
          <w:color w:val="auto"/>
          <w:sz w:val="24"/>
          <w:highlight w:val="none"/>
          <w:lang w:val="en-US" w:eastAsia="zh-CN"/>
        </w:rPr>
        <w:t xml:space="preserve">八</w:t>
      </w:r>
      <w:r>
        <w:rPr>
          <w:rFonts w:hint="eastAsia" w:ascii="宋体" w:hAnsi="宋体"/>
          <w:b/>
          <w:bCs/>
          <w:color w:val="auto"/>
          <w:sz w:val="24"/>
          <w:highlight w:val="none"/>
        </w:rPr>
        <w:t xml:space="preserve">：会议室保洁</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含新塘分院）</w:t>
      </w:r>
      <w:r/>
    </w:p>
    <w:tbl>
      <w:tblPr>
        <w:tblStyle w:val="703"/>
        <w:tblW w:w="0" w:type="auto"/>
        <w:tblInd w:w="1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0"/>
        <w:gridCol w:w="2774"/>
        <w:gridCol w:w="2131"/>
        <w:gridCol w:w="2907"/>
      </w:tblGrid>
      <w:tr>
        <w:trPr>
          <w:trHeight w:val="562"/>
        </w:trPr>
        <w:tc>
          <w:tcPr>
            <w:tcW w:w="1320"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服务区域</w:t>
            </w:r>
            <w:r/>
          </w:p>
        </w:tc>
        <w:tc>
          <w:tcPr>
            <w:tcW w:w="2774"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保洁内容</w:t>
            </w:r>
            <w:r/>
          </w:p>
        </w:tc>
        <w:tc>
          <w:tcPr>
            <w:tcW w:w="2131"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保洁标准</w:t>
            </w:r>
            <w:r/>
          </w:p>
        </w:tc>
        <w:tc>
          <w:tcPr>
            <w:tcW w:w="2907"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保洁频次</w:t>
            </w:r>
            <w:r/>
          </w:p>
        </w:tc>
      </w:tr>
      <w:tr>
        <w:trPr>
          <w:trHeight w:val="20"/>
        </w:trPr>
        <w:tc>
          <w:tcPr>
            <w:tcW w:w="1320" w:type="dxa"/>
            <w:vAlign w:val="center"/>
            <w:vMerge w:val="restart"/>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会议室</w:t>
            </w:r>
            <w:r/>
          </w:p>
        </w:tc>
        <w:tc>
          <w:tcPr>
            <w:tcW w:w="2774"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地面、桌面</w:t>
            </w:r>
            <w:r/>
          </w:p>
        </w:tc>
        <w:tc>
          <w:tcPr>
            <w:tcW w:w="2131"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地面、桌面无灰尘、污迹</w:t>
            </w:r>
            <w:r/>
          </w:p>
        </w:tc>
        <w:tc>
          <w:tcPr>
            <w:tcW w:w="2907"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lang w:eastAsia="zh-CN"/>
              </w:rPr>
              <w:t xml:space="preserve"> </w:t>
            </w:r>
            <w:r>
              <w:rPr>
                <w:rFonts w:hint="eastAsia" w:ascii="宋体" w:hAnsi="宋体"/>
                <w:color w:val="auto"/>
                <w:sz w:val="24"/>
                <w:highlight w:val="none"/>
              </w:rPr>
              <w:t xml:space="preserve">会前、会后打扫一次</w:t>
            </w:r>
            <w:r/>
          </w:p>
        </w:tc>
      </w:tr>
      <w:tr>
        <w:trPr>
          <w:trHeight w:val="20"/>
        </w:trPr>
        <w:tc>
          <w:tcPr>
            <w:tcW w:w="1320" w:type="dxa"/>
            <w:vAlign w:val="center"/>
            <w:vMerge w:val="continue"/>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ascii="宋体" w:hAnsi="宋体"/>
                <w:b/>
                <w:bCs/>
                <w:color w:val="auto"/>
                <w:sz w:val="24"/>
                <w:highlight w:val="none"/>
              </w:rPr>
            </w:r>
            <w:r/>
          </w:p>
        </w:tc>
        <w:tc>
          <w:tcPr>
            <w:tcW w:w="2774"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门窗、挂件、玻璃、空调出回风口、灯具</w:t>
            </w:r>
            <w:r/>
          </w:p>
        </w:tc>
        <w:tc>
          <w:tcPr>
            <w:tcW w:w="2131"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手摸无灰尘、玻璃洁净</w:t>
            </w:r>
            <w:r/>
          </w:p>
        </w:tc>
        <w:tc>
          <w:tcPr>
            <w:tcW w:w="2907"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w:t>
            </w: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周擦拭</w:t>
            </w:r>
            <w:r/>
          </w:p>
          <w:p>
            <w:pPr>
              <w:keepLines w:val="0"/>
              <w:keepNext w:val="0"/>
              <w:pageBreakBefore w:val="0"/>
              <w:spacing w:after="0" w:line="240" w:lineRule="atLeast"/>
              <w:widowControl/>
              <w:rPr>
                <w:rFonts w:ascii="宋体" w:hAnsi="宋体"/>
                <w:color w:val="auto"/>
                <w:sz w:val="24"/>
                <w:highlight w:val="none"/>
                <w:lang w:eastAsia="zh-CN"/>
              </w:rPr>
            </w:pP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月擦拭玻璃、出回风口、灯具</w:t>
            </w:r>
            <w:r/>
          </w:p>
        </w:tc>
      </w:tr>
    </w:tbl>
    <w:p>
      <w:pPr>
        <w:spacing w:line="240" w:lineRule="atLeast"/>
        <w:rPr>
          <w:rFonts w:ascii="宋体" w:hAnsi="宋体"/>
          <w:b/>
          <w:bCs/>
          <w:color w:val="auto"/>
          <w:sz w:val="24"/>
          <w:highlight w:val="none"/>
          <w:lang w:eastAsia="zh-CN"/>
        </w:rPr>
      </w:pPr>
      <w:r>
        <w:rPr>
          <w:rFonts w:ascii="宋体" w:hAnsi="宋体"/>
          <w:b/>
          <w:bCs/>
          <w:color w:val="auto"/>
          <w:sz w:val="24"/>
          <w:highlight w:val="none"/>
          <w:lang w:eastAsia="zh-CN"/>
        </w:rPr>
      </w:r>
      <w:r/>
    </w:p>
    <w:p>
      <w:pPr>
        <w:spacing w:line="240" w:lineRule="atLeast"/>
        <w:rPr>
          <w:rFonts w:ascii="宋体" w:hAnsi="宋体"/>
          <w:b/>
          <w:bCs/>
          <w:color w:val="auto"/>
          <w:sz w:val="24"/>
          <w:highlight w:val="none"/>
        </w:rPr>
      </w:pPr>
      <w:r>
        <w:rPr>
          <w:rFonts w:hint="eastAsia" w:ascii="宋体" w:hAnsi="宋体"/>
          <w:b/>
          <w:bCs/>
          <w:color w:val="auto"/>
          <w:sz w:val="24"/>
          <w:highlight w:val="none"/>
        </w:rPr>
        <w:t xml:space="preserve">表</w:t>
      </w:r>
      <w:r>
        <w:rPr>
          <w:rFonts w:hint="eastAsia" w:ascii="宋体" w:hAnsi="宋体" w:eastAsia="宋体"/>
          <w:b/>
          <w:bCs/>
          <w:color w:val="auto"/>
          <w:sz w:val="24"/>
          <w:highlight w:val="none"/>
          <w:lang w:val="en-US" w:eastAsia="zh-CN"/>
        </w:rPr>
        <w:t xml:space="preserve">九</w:t>
      </w:r>
      <w:r>
        <w:rPr>
          <w:rFonts w:hint="eastAsia" w:ascii="宋体" w:hAnsi="宋体"/>
          <w:b/>
          <w:bCs/>
          <w:color w:val="auto"/>
          <w:sz w:val="24"/>
          <w:highlight w:val="none"/>
        </w:rPr>
        <w:t xml:space="preserve">：</w:t>
      </w:r>
      <w:r>
        <w:rPr>
          <w:rFonts w:ascii="宋体" w:hAnsi="宋体"/>
          <w:b/>
          <w:bCs/>
          <w:color w:val="auto"/>
          <w:sz w:val="24"/>
          <w:highlight w:val="none"/>
        </w:rPr>
        <w:t xml:space="preserve"> </w:t>
      </w:r>
      <w:r>
        <w:rPr>
          <w:rFonts w:hint="eastAsia" w:ascii="宋体" w:hAnsi="宋体"/>
          <w:b/>
          <w:bCs/>
          <w:color w:val="auto"/>
          <w:sz w:val="24"/>
          <w:highlight w:val="none"/>
        </w:rPr>
        <w:t xml:space="preserve">地下室保洁</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含新塘分院）</w:t>
      </w:r>
      <w:r/>
    </w:p>
    <w:tbl>
      <w:tblPr>
        <w:tblStyle w:val="703"/>
        <w:tblW w:w="0" w:type="auto"/>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5"/>
        <w:gridCol w:w="2734"/>
        <w:gridCol w:w="2652"/>
        <w:gridCol w:w="2362"/>
      </w:tblGrid>
      <w:tr>
        <w:trPr>
          <w:trHeight w:val="602"/>
        </w:trPr>
        <w:tc>
          <w:tcPr>
            <w:tcW w:w="1435"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服务区域</w:t>
            </w:r>
            <w:r/>
          </w:p>
        </w:tc>
        <w:tc>
          <w:tcPr>
            <w:tcW w:w="2734"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保洁内容</w:t>
            </w:r>
            <w:r/>
          </w:p>
        </w:tc>
        <w:tc>
          <w:tcPr>
            <w:tcW w:w="2652"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保洁标准</w:t>
            </w:r>
            <w:r/>
          </w:p>
        </w:tc>
        <w:tc>
          <w:tcPr>
            <w:tcW w:w="2362"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保洁频次</w:t>
            </w:r>
            <w:r/>
          </w:p>
        </w:tc>
      </w:tr>
      <w:tr>
        <w:trPr>
          <w:trHeight w:val="334"/>
        </w:trPr>
        <w:tc>
          <w:tcPr>
            <w:tcW w:w="1435" w:type="dxa"/>
            <w:vAlign w:val="center"/>
            <w:vMerge w:val="restart"/>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地下室</w:t>
            </w:r>
            <w:r/>
          </w:p>
        </w:tc>
        <w:tc>
          <w:tcPr>
            <w:tcW w:w="2734"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地面、挂件、消防设施</w:t>
            </w:r>
            <w:r/>
          </w:p>
        </w:tc>
        <w:tc>
          <w:tcPr>
            <w:tcW w:w="2652"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lang w:eastAsia="zh-CN"/>
              </w:rPr>
              <w:t xml:space="preserve">  </w:t>
            </w:r>
            <w:r>
              <w:rPr>
                <w:rFonts w:hint="eastAsia" w:ascii="宋体" w:hAnsi="宋体"/>
                <w:color w:val="auto"/>
                <w:sz w:val="24"/>
                <w:highlight w:val="none"/>
              </w:rPr>
              <w:t xml:space="preserve">无垃圾、烟头、杂物</w:t>
            </w:r>
            <w:r/>
          </w:p>
        </w:tc>
        <w:tc>
          <w:tcPr>
            <w:tcW w:w="2362"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地面</w:t>
            </w: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天清扫 定时巡视</w:t>
            </w:r>
            <w:r/>
          </w:p>
          <w:p>
            <w:pPr>
              <w:jc w:val="cente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挂件、消防设施</w:t>
            </w: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周擦拭</w:t>
            </w:r>
            <w:r/>
          </w:p>
        </w:tc>
      </w:tr>
      <w:tr>
        <w:trPr>
          <w:trHeight w:val="20"/>
        </w:trPr>
        <w:tc>
          <w:tcPr>
            <w:tcW w:w="1435" w:type="dxa"/>
            <w:vMerge w:val="continue"/>
            <w:textDirection w:val="lrTb"/>
            <w:noWrap w:val="false"/>
          </w:tcPr>
          <w:p>
            <w:pPr>
              <w:ind w:firstLine="480"/>
              <w:keepLines w:val="0"/>
              <w:keepNext w:val="0"/>
              <w:pageBreakBefore w:val="0"/>
              <w:spacing w:after="0" w:line="240" w:lineRule="atLeast"/>
              <w:widowControl/>
              <w:rPr>
                <w:rFonts w:ascii="宋体" w:hAnsi="宋体"/>
                <w:b/>
                <w:bCs/>
                <w:color w:val="auto"/>
                <w:sz w:val="24"/>
                <w:highlight w:val="none"/>
                <w:lang w:eastAsia="zh-CN"/>
              </w:rPr>
            </w:pPr>
            <w:r>
              <w:rPr>
                <w:rFonts w:ascii="宋体" w:hAnsi="宋体"/>
                <w:b/>
                <w:bCs/>
                <w:color w:val="auto"/>
                <w:sz w:val="24"/>
                <w:highlight w:val="none"/>
                <w:lang w:eastAsia="zh-CN"/>
              </w:rPr>
            </w:r>
            <w:r/>
          </w:p>
        </w:tc>
        <w:tc>
          <w:tcPr>
            <w:tcW w:w="2734"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天花、墙面、风口、灯具</w:t>
            </w:r>
            <w:r/>
          </w:p>
        </w:tc>
        <w:tc>
          <w:tcPr>
            <w:tcW w:w="2652" w:type="dxa"/>
            <w:textDirection w:val="lrTb"/>
            <w:noWrap w:val="false"/>
          </w:tcPr>
          <w:p>
            <w:pP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lang w:eastAsia="zh-CN"/>
              </w:rPr>
              <w:t xml:space="preserve">  </w:t>
            </w:r>
            <w:r>
              <w:rPr>
                <w:rFonts w:hint="eastAsia" w:ascii="宋体" w:hAnsi="宋体"/>
                <w:color w:val="auto"/>
                <w:sz w:val="24"/>
                <w:highlight w:val="none"/>
              </w:rPr>
              <w:t xml:space="preserve">目视无灰尘、蜘蛛网</w:t>
            </w:r>
            <w:r/>
          </w:p>
        </w:tc>
        <w:tc>
          <w:tcPr>
            <w:tcW w:w="2362"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次</w:t>
            </w:r>
            <w:r>
              <w:rPr>
                <w:rFonts w:ascii="宋体" w:hAnsi="宋体"/>
                <w:color w:val="auto"/>
                <w:sz w:val="24"/>
                <w:highlight w:val="none"/>
              </w:rPr>
              <w:t xml:space="preserve">/</w:t>
            </w:r>
            <w:r>
              <w:rPr>
                <w:rFonts w:hint="eastAsia" w:ascii="宋体" w:hAnsi="宋体"/>
                <w:color w:val="auto"/>
                <w:sz w:val="24"/>
                <w:highlight w:val="none"/>
              </w:rPr>
              <w:t xml:space="preserve">月除尘</w:t>
            </w:r>
            <w:r/>
          </w:p>
        </w:tc>
      </w:tr>
    </w:tbl>
    <w:p>
      <w:pPr>
        <w:spacing w:line="360" w:lineRule="auto"/>
        <w:rPr>
          <w:rFonts w:ascii="宋体" w:hAnsi="宋体"/>
          <w:b/>
          <w:bCs/>
          <w:color w:val="auto"/>
          <w:sz w:val="24"/>
          <w:highlight w:val="none"/>
        </w:rPr>
      </w:pPr>
      <w:r>
        <w:rPr>
          <w:rFonts w:ascii="宋体" w:hAnsi="宋体"/>
          <w:b/>
          <w:bCs/>
          <w:color w:val="auto"/>
          <w:sz w:val="24"/>
          <w:highlight w:val="none"/>
        </w:rPr>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表</w:t>
      </w:r>
      <w:r>
        <w:rPr>
          <w:rFonts w:hint="eastAsia" w:ascii="宋体" w:hAnsi="宋体" w:eastAsia="宋体"/>
          <w:b/>
          <w:bCs/>
          <w:color w:val="auto"/>
          <w:sz w:val="24"/>
          <w:highlight w:val="none"/>
          <w:lang w:val="en-US" w:eastAsia="zh-CN"/>
        </w:rPr>
        <w:t xml:space="preserve">十</w:t>
      </w:r>
      <w:r>
        <w:rPr>
          <w:rFonts w:hint="eastAsia" w:ascii="宋体" w:hAnsi="宋体"/>
          <w:b/>
          <w:bCs/>
          <w:color w:val="auto"/>
          <w:sz w:val="24"/>
          <w:highlight w:val="none"/>
        </w:rPr>
        <w:t xml:space="preserve">：公共区域保洁</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含新塘分院）</w:t>
      </w:r>
      <w:r/>
    </w:p>
    <w:tbl>
      <w:tblPr>
        <w:tblStyle w:val="703"/>
        <w:tblW w:w="91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49"/>
        <w:gridCol w:w="2120"/>
        <w:gridCol w:w="2976"/>
        <w:gridCol w:w="2123"/>
      </w:tblGrid>
      <w:tr>
        <w:trPr>
          <w:jc w:val="center"/>
          <w:trHeight w:val="727"/>
        </w:trPr>
        <w:tc>
          <w:tcPr>
            <w:tcW w:w="1949"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服务区域</w:t>
            </w:r>
            <w:r/>
          </w:p>
        </w:tc>
        <w:tc>
          <w:tcPr>
            <w:tcW w:w="2120"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保洁内容</w:t>
            </w:r>
            <w:r/>
          </w:p>
        </w:tc>
        <w:tc>
          <w:tcPr>
            <w:tcW w:w="2976"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保洁标准</w:t>
            </w:r>
            <w:r/>
          </w:p>
        </w:tc>
        <w:tc>
          <w:tcPr>
            <w:tcW w:w="2123"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保洁频次</w:t>
            </w:r>
            <w:r/>
          </w:p>
        </w:tc>
      </w:tr>
      <w:tr>
        <w:trPr>
          <w:jc w:val="center"/>
          <w:trHeight w:val="20"/>
        </w:trPr>
        <w:tc>
          <w:tcPr>
            <w:tcW w:w="1949" w:type="dxa"/>
            <w:vAlign w:val="center"/>
            <w:vMerge w:val="restart"/>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大厅</w:t>
            </w:r>
            <w:r/>
          </w:p>
        </w:tc>
        <w:tc>
          <w:tcPr>
            <w:tcW w:w="2120"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color w:val="auto"/>
                <w:sz w:val="24"/>
                <w:highlight w:val="none"/>
              </w:rPr>
              <w:t xml:space="preserve">地面、垃圾桶</w:t>
            </w:r>
            <w:r/>
          </w:p>
        </w:tc>
        <w:tc>
          <w:tcPr>
            <w:tcW w:w="2976" w:type="dxa"/>
            <w:vAlign w:val="center"/>
            <w:textDirection w:val="lrTb"/>
            <w:noWrap w:val="false"/>
          </w:tcPr>
          <w:p>
            <w:pPr>
              <w:keepLines w:val="0"/>
              <w:keepNext w:val="0"/>
              <w:pageBreakBefore w:val="0"/>
              <w:spacing w:after="0" w:line="240" w:lineRule="atLeast"/>
              <w:widowControl/>
              <w:rPr>
                <w:rFonts w:ascii="宋体" w:hAnsi="宋体"/>
                <w:b/>
                <w:bCs/>
                <w:color w:val="auto"/>
                <w:sz w:val="24"/>
                <w:highlight w:val="none"/>
                <w:lang w:eastAsia="zh-CN"/>
              </w:rPr>
            </w:pPr>
            <w:r>
              <w:rPr>
                <w:rFonts w:hint="eastAsia" w:ascii="宋体" w:hAnsi="宋体"/>
                <w:color w:val="auto"/>
                <w:sz w:val="24"/>
                <w:highlight w:val="none"/>
                <w:lang w:eastAsia="zh-CN"/>
              </w:rPr>
              <w:t xml:space="preserve">   地面无垃圾、烟头、积水；垃圾桶无异味、外部无污迹、周围无洒落垃圾</w:t>
            </w:r>
            <w:r/>
          </w:p>
        </w:tc>
        <w:tc>
          <w:tcPr>
            <w:tcW w:w="2123"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lang w:eastAsia="zh-CN"/>
              </w:rPr>
            </w:pPr>
            <w:r>
              <w:rPr>
                <w:rFonts w:ascii="宋体" w:hAnsi="宋体"/>
                <w:color w:val="auto"/>
                <w:sz w:val="24"/>
                <w:highlight w:val="none"/>
                <w:lang w:eastAsia="zh-CN"/>
              </w:rPr>
              <w:t xml:space="preserve">2</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天清拖地面</w:t>
            </w:r>
            <w:r/>
          </w:p>
          <w:p>
            <w:pPr>
              <w:jc w:val="cente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2次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天换垃圾袋</w:t>
            </w:r>
            <w:r/>
          </w:p>
          <w:p>
            <w:pPr>
              <w:jc w:val="center"/>
              <w:keepLines w:val="0"/>
              <w:keepNext w:val="0"/>
              <w:pageBreakBefore w:val="0"/>
              <w:spacing w:after="0" w:line="240" w:lineRule="atLeast"/>
              <w:widowControl/>
              <w:rPr>
                <w:rFonts w:ascii="宋体" w:hAnsi="宋体"/>
                <w:color w:val="auto"/>
                <w:sz w:val="24"/>
                <w:highlight w:val="none"/>
                <w:lang w:eastAsia="zh-CN"/>
              </w:rPr>
            </w:pP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天擦垃圾桶</w:t>
            </w:r>
            <w:r/>
          </w:p>
          <w:p>
            <w:pPr>
              <w:jc w:val="center"/>
              <w:keepLines w:val="0"/>
              <w:keepNext w:val="0"/>
              <w:pageBreakBefore w:val="0"/>
              <w:spacing w:after="0" w:line="240" w:lineRule="atLeast"/>
              <w:widowControl/>
              <w:rPr>
                <w:rFonts w:ascii="宋体" w:hAnsi="宋体"/>
                <w:color w:val="auto"/>
                <w:sz w:val="24"/>
                <w:highlight w:val="none"/>
                <w:lang w:eastAsia="zh-CN"/>
              </w:rPr>
            </w:pPr>
            <w:r>
              <w:rPr>
                <w:rFonts w:ascii="宋体" w:hAnsi="宋体"/>
                <w:color w:val="auto"/>
                <w:sz w:val="24"/>
                <w:highlight w:val="none"/>
                <w:lang w:eastAsia="zh-CN"/>
              </w:rPr>
              <w:t xml:space="preserve">2</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周洗垃圾桶</w:t>
            </w:r>
            <w:r/>
          </w:p>
          <w:p>
            <w:pPr>
              <w:jc w:val="cente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及时巡视并处理</w:t>
            </w:r>
            <w:r/>
          </w:p>
        </w:tc>
      </w:tr>
      <w:tr>
        <w:trPr>
          <w:jc w:val="center"/>
          <w:trHeight w:val="20"/>
        </w:trPr>
        <w:tc>
          <w:tcPr>
            <w:tcW w:w="1949" w:type="dxa"/>
            <w:vAlign w:val="center"/>
            <w:vMerge w:val="continue"/>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lang w:eastAsia="zh-CN"/>
              </w:rPr>
            </w:pPr>
            <w:r>
              <w:rPr>
                <w:rFonts w:ascii="宋体" w:hAnsi="宋体"/>
                <w:b/>
                <w:bCs/>
                <w:color w:val="auto"/>
                <w:sz w:val="24"/>
                <w:highlight w:val="none"/>
                <w:lang w:eastAsia="zh-CN"/>
              </w:rPr>
            </w:r>
            <w:r/>
          </w:p>
        </w:tc>
        <w:tc>
          <w:tcPr>
            <w:tcW w:w="2120" w:type="dxa"/>
            <w:vAlign w:val="center"/>
            <w:textDirection w:val="lrTb"/>
            <w:noWrap w:val="false"/>
          </w:tcPr>
          <w:p>
            <w:pPr>
              <w:keepLines w:val="0"/>
              <w:keepNext w:val="0"/>
              <w:pageBreakBefore w:val="0"/>
              <w:spacing w:after="0" w:line="240" w:lineRule="atLeast"/>
              <w:widowControl/>
              <w:rPr>
                <w:rFonts w:ascii="宋体" w:hAnsi="宋体"/>
                <w:b/>
                <w:bCs/>
                <w:color w:val="auto"/>
                <w:sz w:val="24"/>
                <w:highlight w:val="none"/>
                <w:lang w:eastAsia="zh-CN"/>
              </w:rPr>
            </w:pPr>
            <w:r>
              <w:rPr>
                <w:rFonts w:hint="eastAsia" w:ascii="宋体" w:hAnsi="宋体"/>
                <w:color w:val="auto"/>
                <w:sz w:val="24"/>
                <w:highlight w:val="none"/>
                <w:lang w:eastAsia="zh-CN"/>
              </w:rPr>
              <w:t xml:space="preserve">  门窗、挂件、墙面张贴、等候椅、消防设施、空调的出回风口、灯具</w:t>
            </w:r>
            <w:r/>
          </w:p>
        </w:tc>
        <w:tc>
          <w:tcPr>
            <w:tcW w:w="2976" w:type="dxa"/>
            <w:vAlign w:val="center"/>
            <w:textDirection w:val="lrTb"/>
            <w:noWrap w:val="false"/>
          </w:tcPr>
          <w:p>
            <w:pPr>
              <w:keepLines w:val="0"/>
              <w:keepNext w:val="0"/>
              <w:pageBreakBefore w:val="0"/>
              <w:spacing w:after="0" w:line="240" w:lineRule="atLeast"/>
              <w:widowControl/>
              <w:rPr>
                <w:rFonts w:ascii="宋体" w:hAnsi="宋体"/>
                <w:b/>
                <w:bCs/>
                <w:color w:val="auto"/>
                <w:sz w:val="24"/>
                <w:highlight w:val="none"/>
                <w:lang w:eastAsia="zh-CN"/>
              </w:rPr>
            </w:pPr>
            <w:r>
              <w:rPr>
                <w:rFonts w:hint="eastAsia" w:ascii="宋体" w:hAnsi="宋体"/>
                <w:color w:val="auto"/>
                <w:sz w:val="24"/>
                <w:highlight w:val="none"/>
                <w:lang w:eastAsia="zh-CN"/>
              </w:rPr>
              <w:t xml:space="preserve">  手摸无灰尘、污渍；无过期、破损张贴</w:t>
            </w:r>
            <w:r/>
          </w:p>
        </w:tc>
        <w:tc>
          <w:tcPr>
            <w:tcW w:w="2123"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lang w:eastAsia="zh-CN"/>
              </w:rPr>
            </w:pP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周擦拭清除</w:t>
            </w:r>
            <w:r/>
          </w:p>
          <w:p>
            <w:pPr>
              <w:jc w:val="cente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1次/月擦拭墙面、风口、灯具</w:t>
            </w:r>
            <w:r/>
          </w:p>
        </w:tc>
      </w:tr>
      <w:tr>
        <w:trPr>
          <w:jc w:val="center"/>
          <w:trHeight w:val="20"/>
        </w:trPr>
        <w:tc>
          <w:tcPr>
            <w:tcW w:w="1949" w:type="dxa"/>
            <w:vAlign w:val="center"/>
            <w:vMerge w:val="continue"/>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lang w:eastAsia="zh-CN"/>
              </w:rPr>
            </w:pPr>
            <w:r>
              <w:rPr>
                <w:rFonts w:ascii="宋体" w:hAnsi="宋体"/>
                <w:b/>
                <w:bCs/>
                <w:color w:val="auto"/>
                <w:sz w:val="24"/>
                <w:highlight w:val="none"/>
                <w:lang w:eastAsia="zh-CN"/>
              </w:rPr>
            </w:r>
            <w:r/>
          </w:p>
        </w:tc>
        <w:tc>
          <w:tcPr>
            <w:tcW w:w="2120"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color w:val="auto"/>
                <w:sz w:val="24"/>
                <w:highlight w:val="none"/>
              </w:rPr>
              <w:t xml:space="preserve">不锈钢保养</w:t>
            </w:r>
            <w:r/>
          </w:p>
        </w:tc>
        <w:tc>
          <w:tcPr>
            <w:tcW w:w="2976"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color w:val="auto"/>
                <w:sz w:val="24"/>
                <w:highlight w:val="none"/>
              </w:rPr>
              <w:t xml:space="preserve">无污迹、光亮如新</w:t>
            </w:r>
            <w:r/>
          </w:p>
        </w:tc>
        <w:tc>
          <w:tcPr>
            <w:tcW w:w="2123"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1次</w:t>
            </w:r>
            <w:r>
              <w:rPr>
                <w:rFonts w:ascii="宋体" w:hAnsi="宋体"/>
                <w:color w:val="auto"/>
                <w:sz w:val="24"/>
                <w:highlight w:val="none"/>
              </w:rPr>
              <w:t xml:space="preserve">/</w:t>
            </w:r>
            <w:r>
              <w:rPr>
                <w:rFonts w:hint="eastAsia" w:ascii="宋体" w:hAnsi="宋体"/>
                <w:color w:val="auto"/>
                <w:sz w:val="24"/>
                <w:highlight w:val="none"/>
              </w:rPr>
              <w:t xml:space="preserve">周擦拭</w:t>
            </w:r>
            <w:r/>
          </w:p>
          <w:p>
            <w:pPr>
              <w:jc w:val="center"/>
              <w:keepLines w:val="0"/>
              <w:keepNext w:val="0"/>
              <w:pageBreakBefore w:val="0"/>
              <w:spacing w:after="0" w:line="240" w:lineRule="atLeast"/>
              <w:widowControl/>
              <w:rPr>
                <w:rFonts w:ascii="宋体" w:hAnsi="宋体"/>
                <w:b/>
                <w:bCs/>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次</w:t>
            </w:r>
            <w:r>
              <w:rPr>
                <w:rFonts w:ascii="宋体" w:hAnsi="宋体"/>
                <w:color w:val="auto"/>
                <w:sz w:val="24"/>
                <w:highlight w:val="none"/>
              </w:rPr>
              <w:t xml:space="preserve">/</w:t>
            </w:r>
            <w:r>
              <w:rPr>
                <w:rFonts w:hint="eastAsia" w:ascii="宋体" w:hAnsi="宋体"/>
                <w:color w:val="auto"/>
                <w:sz w:val="24"/>
                <w:highlight w:val="none"/>
              </w:rPr>
              <w:t xml:space="preserve">月保养</w:t>
            </w:r>
            <w:r/>
          </w:p>
        </w:tc>
      </w:tr>
      <w:tr>
        <w:trPr>
          <w:jc w:val="center"/>
          <w:trHeight w:val="20"/>
        </w:trPr>
        <w:tc>
          <w:tcPr>
            <w:tcW w:w="1949" w:type="dxa"/>
            <w:vAlign w:val="center"/>
            <w:vMerge w:val="restart"/>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楼梯</w:t>
            </w:r>
            <w:r/>
          </w:p>
        </w:tc>
        <w:tc>
          <w:tcPr>
            <w:tcW w:w="2120"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台阶</w:t>
            </w:r>
            <w:r/>
          </w:p>
        </w:tc>
        <w:tc>
          <w:tcPr>
            <w:tcW w:w="2976"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无杂物、烟头、痰迹、积水、踢脚无灰尘</w:t>
            </w:r>
            <w:r/>
          </w:p>
        </w:tc>
        <w:tc>
          <w:tcPr>
            <w:tcW w:w="2123"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2次</w:t>
            </w:r>
            <w:r>
              <w:rPr>
                <w:rFonts w:ascii="宋体" w:hAnsi="宋体"/>
                <w:color w:val="auto"/>
                <w:sz w:val="24"/>
                <w:highlight w:val="none"/>
              </w:rPr>
              <w:t xml:space="preserve">/</w:t>
            </w:r>
            <w:r>
              <w:rPr>
                <w:rFonts w:hint="eastAsia" w:ascii="宋体" w:hAnsi="宋体"/>
                <w:color w:val="auto"/>
                <w:sz w:val="24"/>
                <w:highlight w:val="none"/>
              </w:rPr>
              <w:t xml:space="preserve">天清拖</w:t>
            </w:r>
            <w:r/>
          </w:p>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1次</w:t>
            </w:r>
            <w:r>
              <w:rPr>
                <w:rFonts w:ascii="宋体" w:hAnsi="宋体"/>
                <w:color w:val="auto"/>
                <w:sz w:val="24"/>
                <w:highlight w:val="none"/>
              </w:rPr>
              <w:t xml:space="preserve">/</w:t>
            </w:r>
            <w:r>
              <w:rPr>
                <w:rFonts w:hint="eastAsia" w:ascii="宋体" w:hAnsi="宋体"/>
                <w:color w:val="auto"/>
                <w:sz w:val="24"/>
                <w:highlight w:val="none"/>
              </w:rPr>
              <w:t xml:space="preserve">周刷洗</w:t>
            </w:r>
            <w:r/>
          </w:p>
        </w:tc>
      </w:tr>
      <w:tr>
        <w:trPr>
          <w:jc w:val="center"/>
          <w:trHeight w:val="20"/>
        </w:trPr>
        <w:tc>
          <w:tcPr>
            <w:tcW w:w="1949" w:type="dxa"/>
            <w:vAlign w:val="center"/>
            <w:vMerge w:val="continue"/>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ascii="宋体" w:hAnsi="宋体"/>
                <w:b/>
                <w:bCs/>
                <w:color w:val="auto"/>
                <w:sz w:val="24"/>
                <w:highlight w:val="none"/>
              </w:rPr>
            </w:r>
            <w:r/>
          </w:p>
        </w:tc>
        <w:tc>
          <w:tcPr>
            <w:tcW w:w="2120"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扶手、玻璃、窗台、灯具、通风口</w:t>
            </w:r>
            <w:r/>
          </w:p>
        </w:tc>
        <w:tc>
          <w:tcPr>
            <w:tcW w:w="2976"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手摸无灰尘、窗台无污渍</w:t>
            </w:r>
            <w:r/>
          </w:p>
        </w:tc>
        <w:tc>
          <w:tcPr>
            <w:tcW w:w="2123"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1次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天擦拭扶  手、窗台</w:t>
            </w:r>
            <w:r/>
          </w:p>
          <w:p>
            <w:pPr>
              <w:jc w:val="center"/>
              <w:keepLines w:val="0"/>
              <w:keepNext w:val="0"/>
              <w:pageBreakBefore w:val="0"/>
              <w:spacing w:after="0" w:line="240" w:lineRule="atLeast"/>
              <w:widowControl/>
              <w:rPr>
                <w:rFonts w:ascii="宋体" w:hAnsi="宋体"/>
                <w:color w:val="auto"/>
                <w:sz w:val="24"/>
                <w:highlight w:val="none"/>
                <w:lang w:eastAsia="zh-CN"/>
              </w:rPr>
            </w:pP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月擦拭玻璃、通风口、灯具</w:t>
            </w:r>
            <w:r/>
          </w:p>
        </w:tc>
      </w:tr>
      <w:tr>
        <w:trPr>
          <w:jc w:val="center"/>
          <w:trHeight w:val="20"/>
        </w:trPr>
        <w:tc>
          <w:tcPr>
            <w:tcW w:w="1949" w:type="dxa"/>
            <w:vAlign w:val="center"/>
            <w:vMerge w:val="restart"/>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公共卫生间</w:t>
            </w:r>
            <w:r/>
          </w:p>
        </w:tc>
        <w:tc>
          <w:tcPr>
            <w:tcW w:w="2120"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地面、便池斗</w:t>
            </w:r>
            <w:r/>
          </w:p>
        </w:tc>
        <w:tc>
          <w:tcPr>
            <w:tcW w:w="2976"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室内无异味；地面无杂物、积水；便池斗内无污迹、尿垢；卫生球随时更换</w:t>
            </w:r>
            <w:r/>
          </w:p>
        </w:tc>
        <w:tc>
          <w:tcPr>
            <w:tcW w:w="2123"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ascii="宋体" w:hAnsi="宋体"/>
                <w:color w:val="auto"/>
                <w:sz w:val="24"/>
                <w:highlight w:val="none"/>
                <w:lang w:eastAsia="zh-CN"/>
              </w:rPr>
              <w:t xml:space="preserve">2</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天拖洗地面</w:t>
            </w:r>
            <w:r/>
          </w:p>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2次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天刷洗消毒便池</w:t>
            </w:r>
            <w:r/>
          </w:p>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及时巡视并处理</w:t>
            </w:r>
            <w:r/>
          </w:p>
        </w:tc>
      </w:tr>
      <w:tr>
        <w:trPr>
          <w:jc w:val="center"/>
          <w:trHeight w:val="631"/>
        </w:trPr>
        <w:tc>
          <w:tcPr>
            <w:tcW w:w="1949" w:type="dxa"/>
            <w:vAlign w:val="center"/>
            <w:vMerge w:val="continue"/>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lang w:eastAsia="zh-CN"/>
              </w:rPr>
            </w:pPr>
            <w:r>
              <w:rPr>
                <w:rFonts w:ascii="宋体" w:hAnsi="宋体"/>
                <w:b/>
                <w:bCs/>
                <w:color w:val="auto"/>
                <w:sz w:val="24"/>
                <w:highlight w:val="none"/>
                <w:lang w:eastAsia="zh-CN"/>
              </w:rPr>
            </w:r>
            <w:r/>
          </w:p>
        </w:tc>
        <w:tc>
          <w:tcPr>
            <w:tcW w:w="2120"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洗手池、拖把池、台面、水龙头、镜面</w:t>
            </w:r>
            <w:r/>
          </w:p>
        </w:tc>
        <w:tc>
          <w:tcPr>
            <w:tcW w:w="2976"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无污迹、附着物；台面、镜面无水迹、洁净</w:t>
            </w:r>
            <w:r/>
          </w:p>
        </w:tc>
        <w:tc>
          <w:tcPr>
            <w:tcW w:w="2123"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lang w:eastAsia="zh-CN"/>
              </w:rPr>
            </w:pP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天擦拭</w:t>
            </w:r>
            <w:r/>
          </w:p>
          <w:p>
            <w:pPr>
              <w:jc w:val="cente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及时巡视并处理</w:t>
            </w:r>
            <w:r/>
          </w:p>
        </w:tc>
      </w:tr>
      <w:tr>
        <w:trPr>
          <w:jc w:val="center"/>
          <w:trHeight w:val="20"/>
        </w:trPr>
        <w:tc>
          <w:tcPr>
            <w:tcW w:w="1949" w:type="dxa"/>
            <w:vAlign w:val="center"/>
            <w:vMerge w:val="continue"/>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lang w:eastAsia="zh-CN"/>
              </w:rPr>
            </w:pPr>
            <w:r>
              <w:rPr>
                <w:rFonts w:ascii="宋体" w:hAnsi="宋体"/>
                <w:b/>
                <w:bCs/>
                <w:color w:val="auto"/>
                <w:sz w:val="24"/>
                <w:highlight w:val="none"/>
                <w:lang w:eastAsia="zh-CN"/>
              </w:rPr>
            </w:r>
            <w:r/>
          </w:p>
        </w:tc>
        <w:tc>
          <w:tcPr>
            <w:tcW w:w="2120"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门、隔板、墙面</w:t>
            </w:r>
            <w:r/>
          </w:p>
        </w:tc>
        <w:tc>
          <w:tcPr>
            <w:tcW w:w="2976"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无污渍、无张贴、无涂画</w:t>
            </w:r>
            <w:r/>
          </w:p>
        </w:tc>
        <w:tc>
          <w:tcPr>
            <w:tcW w:w="2123"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lang w:eastAsia="zh-CN"/>
              </w:rPr>
            </w:pPr>
            <w:r>
              <w:rPr>
                <w:rFonts w:ascii="宋体" w:hAnsi="宋体"/>
                <w:color w:val="auto"/>
                <w:sz w:val="24"/>
                <w:highlight w:val="none"/>
                <w:lang w:eastAsia="zh-CN"/>
              </w:rPr>
            </w:r>
            <w:r/>
          </w:p>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2次</w:t>
            </w:r>
            <w:r>
              <w:rPr>
                <w:rFonts w:ascii="宋体" w:hAnsi="宋体"/>
                <w:color w:val="auto"/>
                <w:sz w:val="24"/>
                <w:highlight w:val="none"/>
              </w:rPr>
              <w:t xml:space="preserve">/</w:t>
            </w:r>
            <w:r>
              <w:rPr>
                <w:rFonts w:hint="eastAsia" w:ascii="宋体" w:hAnsi="宋体"/>
                <w:color w:val="auto"/>
                <w:sz w:val="24"/>
                <w:highlight w:val="none"/>
              </w:rPr>
              <w:t xml:space="preserve">周擦拭</w:t>
            </w:r>
            <w:r/>
          </w:p>
          <w:p>
            <w:pPr>
              <w:jc w:val="center"/>
              <w:keepLines w:val="0"/>
              <w:keepNext w:val="0"/>
              <w:pageBreakBefore w:val="0"/>
              <w:spacing w:after="0" w:line="240" w:lineRule="atLeast"/>
              <w:widowControl/>
              <w:rPr>
                <w:rFonts w:ascii="宋体" w:hAnsi="宋体"/>
                <w:color w:val="auto"/>
                <w:sz w:val="24"/>
                <w:highlight w:val="none"/>
              </w:rPr>
            </w:pPr>
            <w:r>
              <w:rPr>
                <w:rFonts w:ascii="宋体" w:hAnsi="宋体"/>
                <w:color w:val="auto"/>
                <w:sz w:val="24"/>
                <w:highlight w:val="none"/>
              </w:rPr>
            </w:r>
            <w:r/>
          </w:p>
        </w:tc>
      </w:tr>
      <w:tr>
        <w:trPr>
          <w:jc w:val="center"/>
          <w:trHeight w:val="20"/>
        </w:trPr>
        <w:tc>
          <w:tcPr>
            <w:tcW w:w="1949" w:type="dxa"/>
            <w:vAlign w:val="center"/>
            <w:vMerge w:val="continue"/>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ascii="宋体" w:hAnsi="宋体"/>
                <w:b/>
                <w:bCs/>
                <w:color w:val="auto"/>
                <w:sz w:val="24"/>
                <w:highlight w:val="none"/>
              </w:rPr>
            </w:r>
            <w:r/>
          </w:p>
        </w:tc>
        <w:tc>
          <w:tcPr>
            <w:tcW w:w="2120"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天花、玻璃、灯具、风口</w:t>
            </w:r>
            <w:r/>
          </w:p>
        </w:tc>
        <w:tc>
          <w:tcPr>
            <w:tcW w:w="2976"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目视无灰尘、蜘蛛网、玻璃光洁</w:t>
            </w:r>
            <w:r/>
          </w:p>
        </w:tc>
        <w:tc>
          <w:tcPr>
            <w:tcW w:w="2123" w:type="dxa"/>
            <w:vAlign w:val="center"/>
            <w:textDirection w:val="lrTb"/>
            <w:noWrap w:val="false"/>
          </w:tcPr>
          <w:p>
            <w:pPr>
              <w:ind w:firstLine="360"/>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1次/月擦拭除尘</w:t>
            </w:r>
            <w:r/>
          </w:p>
        </w:tc>
      </w:tr>
      <w:tr>
        <w:trPr>
          <w:jc w:val="center"/>
          <w:trHeight w:val="20"/>
        </w:trPr>
        <w:tc>
          <w:tcPr>
            <w:tcW w:w="1949" w:type="dxa"/>
            <w:vAlign w:val="center"/>
            <w:vMerge w:val="continue"/>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ascii="宋体" w:hAnsi="宋体"/>
                <w:b/>
                <w:bCs/>
                <w:color w:val="auto"/>
                <w:sz w:val="24"/>
                <w:highlight w:val="none"/>
              </w:rPr>
            </w:r>
            <w:r/>
          </w:p>
        </w:tc>
        <w:tc>
          <w:tcPr>
            <w:tcW w:w="2120"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垃圾篓、桶</w:t>
            </w:r>
            <w:r/>
          </w:p>
        </w:tc>
        <w:tc>
          <w:tcPr>
            <w:tcW w:w="2976"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无满溢、无散落垃圾；内外洁净</w:t>
            </w:r>
            <w:r/>
          </w:p>
        </w:tc>
        <w:tc>
          <w:tcPr>
            <w:tcW w:w="2123"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   随时倾倒</w:t>
            </w:r>
            <w:r/>
          </w:p>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2次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天换垃圾袋</w:t>
            </w:r>
            <w:r/>
          </w:p>
          <w:p>
            <w:pPr>
              <w:keepLines w:val="0"/>
              <w:keepNext w:val="0"/>
              <w:pageBreakBefore w:val="0"/>
              <w:spacing w:after="0" w:line="240" w:lineRule="atLeast"/>
              <w:widowControl/>
              <w:rPr>
                <w:rFonts w:ascii="宋体" w:hAnsi="宋体"/>
                <w:color w:val="auto"/>
                <w:sz w:val="24"/>
                <w:highlight w:val="none"/>
                <w:lang w:eastAsia="zh-CN"/>
              </w:rPr>
            </w:pPr>
            <w:r>
              <w:rPr>
                <w:rFonts w:ascii="宋体" w:hAnsi="宋体"/>
                <w:color w:val="auto"/>
                <w:sz w:val="24"/>
                <w:highlight w:val="none"/>
                <w:lang w:eastAsia="zh-CN"/>
              </w:rPr>
              <w:t xml:space="preserve">1</w:t>
            </w:r>
            <w:r>
              <w:rPr>
                <w:rFonts w:hint="eastAsia" w:ascii="宋体" w:hAnsi="宋体"/>
                <w:color w:val="auto"/>
                <w:sz w:val="24"/>
                <w:highlight w:val="none"/>
                <w:lang w:eastAsia="zh-CN"/>
              </w:rPr>
              <w:t xml:space="preserve">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天擦垃圾桶</w:t>
            </w:r>
            <w:r>
              <w:rPr>
                <w:rFonts w:ascii="宋体" w:hAnsi="宋体"/>
                <w:color w:val="auto"/>
                <w:sz w:val="24"/>
                <w:highlight w:val="none"/>
                <w:lang w:eastAsia="zh-CN"/>
              </w:rPr>
              <w:t xml:space="preserve">              </w:t>
            </w:r>
            <w:r/>
          </w:p>
          <w:p>
            <w:pP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2次</w:t>
            </w:r>
            <w:r>
              <w:rPr>
                <w:rFonts w:ascii="宋体" w:hAnsi="宋体"/>
                <w:color w:val="auto"/>
                <w:sz w:val="24"/>
                <w:highlight w:val="none"/>
              </w:rPr>
              <w:t xml:space="preserve">/</w:t>
            </w:r>
            <w:r>
              <w:rPr>
                <w:rFonts w:hint="eastAsia" w:ascii="宋体" w:hAnsi="宋体"/>
                <w:color w:val="auto"/>
                <w:sz w:val="24"/>
                <w:highlight w:val="none"/>
              </w:rPr>
              <w:t xml:space="preserve">周洗垃圾篓</w:t>
            </w:r>
            <w:r/>
          </w:p>
        </w:tc>
      </w:tr>
      <w:tr>
        <w:trPr>
          <w:jc w:val="center"/>
          <w:trHeight w:val="20"/>
        </w:trPr>
        <w:tc>
          <w:tcPr>
            <w:tcW w:w="1949" w:type="dxa"/>
            <w:vAlign w:val="center"/>
            <w:vMerge w:val="continue"/>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ascii="宋体" w:hAnsi="宋体"/>
                <w:b/>
                <w:bCs/>
                <w:color w:val="auto"/>
                <w:sz w:val="24"/>
                <w:highlight w:val="none"/>
              </w:rPr>
            </w:r>
            <w:r/>
          </w:p>
        </w:tc>
        <w:tc>
          <w:tcPr>
            <w:tcW w:w="2120"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门、窗台、墙面</w:t>
            </w:r>
            <w:r/>
          </w:p>
        </w:tc>
        <w:tc>
          <w:tcPr>
            <w:tcW w:w="2976"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无污渍、无张贴、涂画</w:t>
            </w:r>
            <w:r/>
          </w:p>
        </w:tc>
        <w:tc>
          <w:tcPr>
            <w:tcW w:w="2123"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1次</w:t>
            </w:r>
            <w:r>
              <w:rPr>
                <w:rFonts w:ascii="宋体" w:hAnsi="宋体"/>
                <w:color w:val="auto"/>
                <w:sz w:val="24"/>
                <w:highlight w:val="none"/>
                <w:lang w:eastAsia="zh-CN"/>
              </w:rPr>
              <w:t xml:space="preserve">/</w:t>
            </w:r>
            <w:r>
              <w:rPr>
                <w:rFonts w:hint="eastAsia" w:ascii="宋体" w:hAnsi="宋体"/>
                <w:color w:val="auto"/>
                <w:sz w:val="24"/>
                <w:highlight w:val="none"/>
                <w:lang w:eastAsia="zh-CN"/>
              </w:rPr>
              <w:t xml:space="preserve">天擦拭窗台</w:t>
            </w:r>
            <w:r/>
          </w:p>
          <w:p>
            <w:pP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1次/周擦拭墙面、门</w:t>
            </w:r>
            <w:r/>
          </w:p>
        </w:tc>
      </w:tr>
      <w:tr>
        <w:trPr>
          <w:jc w:val="center"/>
          <w:trHeight w:val="774"/>
        </w:trPr>
        <w:tc>
          <w:tcPr>
            <w:tcW w:w="1949"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外场</w:t>
            </w:r>
            <w:r/>
          </w:p>
        </w:tc>
        <w:tc>
          <w:tcPr>
            <w:tcW w:w="2120" w:type="dxa"/>
            <w:vAlign w:val="center"/>
            <w:textDirection w:val="lrTb"/>
            <w:noWrap w:val="false"/>
          </w:tcPr>
          <w:p>
            <w:pPr>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  屋顶、遮阳棚、台阶</w:t>
            </w:r>
            <w:r/>
          </w:p>
        </w:tc>
        <w:tc>
          <w:tcPr>
            <w:tcW w:w="2976" w:type="dxa"/>
            <w:vAlign w:val="center"/>
            <w:textDirection w:val="lrTb"/>
            <w:noWrap w:val="false"/>
          </w:tcPr>
          <w:p>
            <w:pPr>
              <w:ind w:firstLine="480"/>
              <w:keepLines w:val="0"/>
              <w:keepNext w:val="0"/>
              <w:pageBreakBefore w:val="0"/>
              <w:spacing w:after="0" w:line="240" w:lineRule="atLeast"/>
              <w:widowControl/>
              <w:rPr>
                <w:rFonts w:ascii="宋体" w:hAnsi="宋体"/>
                <w:color w:val="auto"/>
                <w:sz w:val="24"/>
                <w:highlight w:val="none"/>
              </w:rPr>
            </w:pPr>
            <w:r>
              <w:rPr>
                <w:rFonts w:hint="eastAsia" w:ascii="宋体" w:hAnsi="宋体"/>
                <w:color w:val="auto"/>
                <w:sz w:val="24"/>
                <w:highlight w:val="none"/>
              </w:rPr>
              <w:t xml:space="preserve">无散落垃圾</w:t>
            </w:r>
            <w:r/>
          </w:p>
        </w:tc>
        <w:tc>
          <w:tcPr>
            <w:tcW w:w="2123" w:type="dxa"/>
            <w:vAlign w:val="center"/>
            <w:textDirection w:val="lrTb"/>
            <w:noWrap w:val="false"/>
          </w:tcPr>
          <w:p>
            <w:pPr>
              <w:jc w:val="cente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1次/月清扫</w:t>
            </w:r>
            <w:r/>
          </w:p>
          <w:p>
            <w:pPr>
              <w:jc w:val="center"/>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1次/周刷洗台阶</w:t>
            </w:r>
            <w:r/>
          </w:p>
        </w:tc>
      </w:tr>
      <w:tr>
        <w:trPr>
          <w:jc w:val="center"/>
          <w:trHeight w:val="774"/>
        </w:trPr>
        <w:tc>
          <w:tcPr>
            <w:tcW w:w="1949" w:type="dxa"/>
            <w:vAlign w:val="center"/>
            <w:textDirection w:val="lrTb"/>
            <w:noWrap w:val="false"/>
          </w:tcPr>
          <w:p>
            <w:pPr>
              <w:jc w:val="center"/>
              <w:keepLines w:val="0"/>
              <w:keepNext w:val="0"/>
              <w:pageBreakBefore w:val="0"/>
              <w:spacing w:after="0" w:line="240" w:lineRule="atLeast"/>
              <w:widowControl/>
              <w:rPr>
                <w:rFonts w:ascii="宋体" w:hAnsi="宋体"/>
                <w:b/>
                <w:bCs/>
                <w:color w:val="auto"/>
                <w:sz w:val="24"/>
                <w:highlight w:val="none"/>
              </w:rPr>
            </w:pPr>
            <w:r>
              <w:rPr>
                <w:rFonts w:hint="eastAsia" w:ascii="宋体" w:hAnsi="宋体"/>
                <w:b/>
                <w:bCs/>
                <w:color w:val="auto"/>
                <w:sz w:val="24"/>
                <w:highlight w:val="none"/>
              </w:rPr>
              <w:t xml:space="preserve">备注</w:t>
            </w:r>
            <w:r/>
          </w:p>
        </w:tc>
        <w:tc>
          <w:tcPr>
            <w:gridSpan w:val="3"/>
            <w:tcW w:w="7219" w:type="dxa"/>
            <w:vAlign w:val="center"/>
            <w:textDirection w:val="lrTb"/>
            <w:noWrap w:val="false"/>
          </w:tcPr>
          <w:p>
            <w:pPr>
              <w:ind w:firstLine="480"/>
              <w:keepLines w:val="0"/>
              <w:keepNext w:val="0"/>
              <w:pageBreakBefore w:val="0"/>
              <w:spacing w:after="0" w:line="240" w:lineRule="atLeast"/>
              <w:widowControl/>
              <w:rPr>
                <w:rFonts w:ascii="宋体" w:hAnsi="宋体"/>
                <w:color w:val="auto"/>
                <w:sz w:val="24"/>
                <w:highlight w:val="none"/>
                <w:lang w:eastAsia="zh-CN"/>
              </w:rPr>
            </w:pPr>
            <w:r>
              <w:rPr>
                <w:rFonts w:hint="eastAsia" w:ascii="宋体" w:hAnsi="宋体"/>
                <w:color w:val="auto"/>
                <w:sz w:val="24"/>
                <w:highlight w:val="none"/>
                <w:lang w:eastAsia="zh-CN"/>
              </w:rPr>
              <w:t xml:space="preserve">所有区域不间断巡视，遇突发情况能及时处理，反应时间不超过15分钟。服务内容每周安排周重点细做一次。</w:t>
            </w:r>
            <w:r/>
          </w:p>
        </w:tc>
      </w:tr>
    </w:tbl>
    <w:p>
      <w:pPr>
        <w:ind w:firstLine="426"/>
        <w:spacing w:after="0" w:line="480" w:lineRule="exact"/>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（三）专项保洁要求</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1.玻璃</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1.1玻璃光亮、无污点、无划伤、无尘土。 </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1.2边框干净、无污渍。 </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1.3地面（地毯）无水迹、无污点。 </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2.排风口</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2.1清擦干净，内外圈无尘、无油污。</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2.2中间小孔无尘土。 </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2.3附近天花板无污染。 </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2.4地板、地毯上无污染灰尘。 </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3.灯罩</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3.1清洁无污、无灰尘、无手印。</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3.2整体统一，格格相同，光亮无划痕。 </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3.3灯管无灰尘、无损伤。 </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3.4天花板无污染，地面无尘土。 </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4.连廊</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4.1天花板、灯罩、排风口清洁干净，无尘、无污、无网状物。</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4.2墙壁及踢脚板无尘土、无手印、无污渍；墙面悬挂物干净、无尘土。 </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4.3地面（地毯）及边角干净无杂物、无污渍、无尘土，地板光亮，地毯清洁。 </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4.4连廊内摆放物品、文件柜、花盆等物体干净、无尘土，花盆通体干净，盆内无杂物。 </w:t>
      </w:r>
      <w:r/>
    </w:p>
    <w:p>
      <w:pPr>
        <w:spacing w:after="0" w:line="480" w:lineRule="exact"/>
        <w:rPr>
          <w:rFonts w:ascii="宋体" w:hAnsi="宋体" w:eastAsia="宋体" w:cs="宋体"/>
          <w:b/>
          <w:bCs/>
          <w:color w:val="auto"/>
          <w:sz w:val="24"/>
          <w:szCs w:val="24"/>
          <w:highlight w:val="none"/>
          <w:lang w:eastAsia="zh-CN"/>
        </w:rPr>
      </w:pPr>
      <w:r/>
      <w:bookmarkStart w:id="22" w:name="OLE_LINK6"/>
      <w:r>
        <w:rPr>
          <w:rFonts w:hint="eastAsia" w:ascii="宋体" w:hAnsi="宋体" w:eastAsia="宋体" w:cs="宋体"/>
          <w:b/>
          <w:bCs/>
          <w:color w:val="auto"/>
          <w:sz w:val="24"/>
          <w:szCs w:val="24"/>
          <w:highlight w:val="none"/>
          <w:lang w:eastAsia="zh-CN"/>
        </w:rPr>
        <w:t xml:space="preserve">（四）</w:t>
      </w:r>
      <w:bookmarkEnd w:id="22"/>
      <w:r>
        <w:rPr>
          <w:rFonts w:hint="eastAsia" w:ascii="宋体" w:hAnsi="宋体" w:eastAsia="宋体" w:cs="宋体"/>
          <w:b/>
          <w:bCs/>
          <w:color w:val="auto"/>
          <w:sz w:val="24"/>
          <w:szCs w:val="24"/>
          <w:highlight w:val="none"/>
          <w:lang w:eastAsia="zh-CN"/>
        </w:rPr>
        <w:t xml:space="preserve">运送服务要求</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1.运送标本要求：</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1.1快速：接到病区送检电话，一般情况下10分钟内到达病区将标本送验，遇到紧急情况必须在5分钟内到达病区。</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1.2核对：在取标本时和护士核对，取报告时与化验室及检查科室核对；取回后再与护士站核对；每个阶段的核对必须确保准确无误。</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2.运送病人要求：</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2.1快速：接到病区护送电话后，根据病人的情况选择合适的运送工具在10分钟内到达现场，遇特殊情况5分钟内到达护送检查。</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2.2安全：危重病人需在护士的指导下搬运。在护送途中要注意保暖，平车和轮椅运送时要固定牢固，各管道应妥善安置，遇拐弯、斜坡等需减速慢行，防止发生意外。</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2.3准确：在护送前、后及检查前、后跟相关科室核对正确无误，按要求护送到指定的地点，陪同完成检查后再护送回病区。</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2.4文明：礼貌用语，态度亲切。</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2.5认真：使用护送工具前需认真检查其性能，护送过程时让病人的头部靠近自己，注意观察情况，遇特殊情况认真记录及时汇报。</w:t>
      </w:r>
      <w:r/>
    </w:p>
    <w:p>
      <w:pPr>
        <w:spacing w:after="0" w:line="480" w:lineRule="exact"/>
        <w:rPr>
          <w:rFonts w:ascii="宋体" w:hAnsi="宋体" w:eastAsia="宋体" w:cs="宋体"/>
          <w:b/>
          <w:bCs/>
          <w:color w:val="auto"/>
          <w:sz w:val="24"/>
          <w:szCs w:val="24"/>
          <w:highlight w:val="none"/>
          <w:lang w:eastAsia="zh-CN"/>
        </w:rPr>
      </w:pPr>
      <w:r/>
      <w:bookmarkStart w:id="23" w:name="OLE_LINK57"/>
      <w:r>
        <w:rPr>
          <w:rFonts w:hint="eastAsia" w:ascii="宋体" w:hAnsi="宋体" w:eastAsia="宋体" w:cs="宋体"/>
          <w:b/>
          <w:bCs/>
          <w:color w:val="auto"/>
          <w:sz w:val="24"/>
          <w:szCs w:val="24"/>
          <w:highlight w:val="none"/>
          <w:lang w:eastAsia="zh-CN"/>
        </w:rPr>
        <w:t xml:space="preserve">（五）垃圾清运要求</w:t>
      </w:r>
      <w:bookmarkEnd w:id="23"/>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1.熟悉：首先了解医疗废弃物的管理制度；熟练掌握医疗废物的分类、包装、计量、运送路线等相关要求。</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规范：严格按照《医疗卫生机构医疗废物管理办法》的规定对医疗废物进行处置。为了防止生活垃圾混入医疗垃圾增加处置成本，更防医疗垃圾放入生活垃圾造成社会危害，应严格分类放置，医疗垃圾装满3/4需打包封口；并按类派专人下收、就地称重，集中装箱运送。运送医疗垃圾时工作人员需穿戴个人防护用品，使用专用推车通过污梯运送；运送中严防泄漏；运送工具在使用后应及时清洗消毒，并建立台账。</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3.及时：按照医院垃圾车运送时间每天两次准时将垃圾运送至中转站，防止垃圾在病区滞留。发现医疗垃圾流失、泄漏、扩散等意外事故，应按紧急预案进行处理并及时汇报医院相关职能部门。</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4.生活垃圾清运要求：生活垃圾采用袋装，每日由专人及时收集并转运至指定的地点，按照规定的路线及时清理运送。</w:t>
      </w:r>
      <w:r/>
    </w:p>
    <w:p>
      <w:pPr>
        <w:spacing w:after="0" w:line="480" w:lineRule="exact"/>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（六）服务方案</w:t>
      </w:r>
      <w:r/>
    </w:p>
    <w:p>
      <w:pPr>
        <w:pStyle w:val="938"/>
        <w:ind w:firstLine="482"/>
        <w:spacing w:line="480" w:lineRule="exac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物业管理服务综合方案，方案内容包括但不限于：①整体设想、策划：需要从核心理念、目标体系等方面详细描述；②管理模式、起点、定位：需要依据本项目具体服务要求贴合实际出发；③本项目重点、难点把控、合理化建议：包括但不限于环境、院感防护、员工健康安全保护等；④项目管理质量保障等内容。</w:t>
      </w:r>
      <w:r/>
    </w:p>
    <w:p>
      <w:pPr>
        <w:pStyle w:val="938"/>
        <w:ind w:firstLine="480"/>
        <w:spacing w:line="480" w:lineRule="exac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保洁管理方案，方案内容包括但不限于:提出针对性的①组织结构建立、人员岗位配置合理；②具体的保洁工作流程、工作职责、清洁作业规范③消毒工作实施方案；④专项保洁管理等内容；该方案需要体现所有岗位的具体保洁方案，包括但不限于保洁、运送等；⑤管理制度及服务计划等内容。</w:t>
      </w:r>
      <w:r/>
    </w:p>
    <w:p>
      <w:pPr>
        <w:pStyle w:val="938"/>
        <w:ind w:firstLine="480"/>
        <w:spacing w:line="480" w:lineRule="exac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3.防止交叉感染措施方案，方案内容包括但不限于:①人员管控②严格的消毒隔离制度；③医疗废物、保洁工具交叉感染管理；④完整的监测与反馈机制管理；⑤区域划分与清洁消毒管理。</w:t>
      </w:r>
      <w:r/>
    </w:p>
    <w:p>
      <w:pPr>
        <w:pStyle w:val="938"/>
        <w:ind w:firstLine="480"/>
        <w:spacing w:line="480" w:lineRule="exac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4.乙类以上传染病应对方案，方案内容包括但不限于:①人员防护、清洁、消毒应对方案；②医疗废物管理应对方案；③传染病防控期间应对方案；需要从人员安全、环境及物品清洁出发确保有效详细应对；④沟通与协作机制。</w:t>
      </w:r>
      <w:r/>
    </w:p>
    <w:p>
      <w:pPr>
        <w:pStyle w:val="938"/>
        <w:ind w:firstLine="480"/>
        <w:spacing w:line="480" w:lineRule="exac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5.人员培训、质量控制及支持方案，方案内容包括但不限于:①具体的人员培训内容、方式、目标等方案：包括但不限于行为规范、培训计划、培训考核；②加强保洁员防护培训：防多重耐药菌职业暴露与防护；③建立完善的巡检程序、培训制度；</w:t>
      </w:r>
      <w:r>
        <w:rPr>
          <w:rFonts w:hint="eastAsia" w:ascii="宋体" w:hAnsi="宋体" w:eastAsia="宋体" w:cs="宋体"/>
          <w:color w:val="auto"/>
          <w:sz w:val="24"/>
          <w:szCs w:val="24"/>
          <w:highlight w:val="none"/>
          <w:lang w:eastAsia="zh-CN"/>
        </w:rPr>
        <w:t xml:space="preserve">④完善的质量控制方案</w:t>
      </w:r>
      <w:r>
        <w:rPr>
          <w:rFonts w:hint="eastAsia" w:ascii="宋体" w:hAnsi="宋体" w:eastAsia="宋体" w:cs="宋体"/>
          <w:bCs/>
          <w:color w:val="auto"/>
          <w:sz w:val="24"/>
          <w:szCs w:val="24"/>
          <w:highlight w:val="none"/>
          <w:lang w:eastAsia="zh-CN"/>
        </w:rPr>
        <w:t xml:space="preserve">。</w:t>
      </w:r>
      <w:r/>
    </w:p>
    <w:p>
      <w:pPr>
        <w:pStyle w:val="938"/>
        <w:ind w:firstLine="480"/>
        <w:spacing w:line="480" w:lineRule="exac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6.服务保障及突发事件的应急措施，方案内容包括但不限于:①节假日、重大活动、公共安全类突发事件应急处理预案；②自然灾害类突发事件应急处理预案；③医疗废物泄露应急处理预案。</w:t>
      </w:r>
      <w:r/>
    </w:p>
    <w:p>
      <w:pPr>
        <w:pStyle w:val="938"/>
        <w:ind w:firstLine="480"/>
        <w:spacing w:line="480" w:lineRule="exact"/>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7.交接过渡工作方案，方案内容包括但不限于:①管理规章制度：严格的管理规章制度；②原有人员的安置及处理方案：完善的人员安置方案及进退场方案；③交接内容及计划方案：包括但不限于钥匙、图纸、工具等设备物料管理方案；④交接验收方案：完善的交接验收方案，需要展开描述；</w:t>
      </w:r>
      <w:r/>
    </w:p>
    <w:p>
      <w:pPr>
        <w:pStyle w:val="93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8.人员</w:t>
      </w:r>
      <w:r>
        <w:rPr>
          <w:rFonts w:hint="eastAsia" w:ascii="宋体" w:hAnsi="宋体" w:eastAsia="宋体" w:cs="宋体"/>
          <w:color w:val="auto"/>
          <w:sz w:val="24"/>
          <w:szCs w:val="24"/>
          <w:highlight w:val="none"/>
          <w:lang w:eastAsia="zh-CN"/>
        </w:rPr>
        <w:t xml:space="preserve">流失率控制、补充方案，方案内容包括但不限于:①员工入职培训方案：包括但不限于招聘、入职培训、岗位培训、专业的院感培训等；②激励管理机制：包括但不限于惩处机制、奖励机制及晋升机制；③员工流动反馈机制：包括但不限于预防人员流动方案；④详细的人员流失控制、补充方案：包括人员稳定方案确保项目正常运行。</w:t>
      </w:r>
      <w:r/>
    </w:p>
    <w:p>
      <w:pPr>
        <w:pStyle w:val="704"/>
        <w:spacing w:line="480" w:lineRule="exact"/>
        <w:rPr>
          <w:color w:val="auto"/>
          <w:highlight w:val="none"/>
          <w:lang w:eastAsia="zh-CN"/>
        </w:rPr>
      </w:pPr>
      <w:r>
        <w:rPr>
          <w:color w:val="auto"/>
          <w:highlight w:val="none"/>
          <w:lang w:eastAsia="zh-CN"/>
        </w:rPr>
      </w:r>
      <w:r/>
    </w:p>
    <w:p>
      <w:pPr>
        <w:pStyle w:val="938"/>
        <w:spacing w:line="48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四、供应商履行合同所需的设备</w:t>
      </w:r>
      <w:r/>
    </w:p>
    <w:tbl>
      <w:tblPr>
        <w:tblStyle w:val="703"/>
        <w:tblW w:w="9028" w:type="dxa"/>
        <w:tblInd w:w="0" w:type="dxa"/>
        <w:tblLayout w:type="fixed"/>
        <w:tblCellMar>
          <w:left w:w="108" w:type="dxa"/>
          <w:top w:w="0" w:type="dxa"/>
          <w:right w:w="108" w:type="dxa"/>
          <w:bottom w:w="0" w:type="dxa"/>
        </w:tblCellMar>
        <w:tblLook w:val="04A0" w:firstRow="1" w:lastRow="0" w:firstColumn="1" w:lastColumn="0" w:noHBand="0" w:noVBand="1"/>
      </w:tblPr>
      <w:tblGrid>
        <w:gridCol w:w="650"/>
        <w:gridCol w:w="1612"/>
        <w:gridCol w:w="5425"/>
        <w:gridCol w:w="670"/>
        <w:gridCol w:w="671"/>
      </w:tblGrid>
      <w:tr>
        <w:trPr>
          <w:trHeight w:val="535"/>
        </w:trPr>
        <w:tc>
          <w:tcPr>
            <w:tcBorders>
              <w:top w:val="single" w:color="auto" w:sz="4" w:space="0"/>
              <w:left w:val="single" w:color="auto" w:sz="4" w:space="0"/>
              <w:bottom w:val="single" w:color="auto" w:sz="4" w:space="0"/>
              <w:right w:val="single" w:color="auto" w:sz="4" w:space="0"/>
            </w:tcBorders>
            <w:tcW w:w="650" w:type="dxa"/>
            <w:vAlign w:val="center"/>
            <w:textDirection w:val="lrTb"/>
            <w:noWrap/>
          </w:tcPr>
          <w:p>
            <w:pPr>
              <w:jc w:val="center"/>
              <w:spacing w:after="0" w:line="24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tcPr>
          <w:p>
            <w:pPr>
              <w:jc w:val="center"/>
              <w:spacing w:after="0" w:line="24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设备名称</w:t>
            </w:r>
            <w:r/>
          </w:p>
        </w:tc>
        <w:tc>
          <w:tcPr>
            <w:tcBorders>
              <w:top w:val="single" w:color="auto" w:sz="4" w:space="0"/>
              <w:left w:val="single" w:color="auto" w:sz="4" w:space="0"/>
              <w:bottom w:val="single" w:color="auto" w:sz="4" w:space="0"/>
              <w:right w:val="single" w:color="auto" w:sz="4" w:space="0"/>
            </w:tcBorders>
            <w:tcW w:w="5425" w:type="dxa"/>
            <w:vAlign w:val="center"/>
            <w:textDirection w:val="lrTb"/>
            <w:noWrap/>
          </w:tcPr>
          <w:p>
            <w:pPr>
              <w:jc w:val="center"/>
              <w:spacing w:after="0" w:line="24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设备参数要求</w:t>
            </w:r>
            <w:r/>
          </w:p>
        </w:tc>
        <w:tc>
          <w:tcPr>
            <w:tcBorders>
              <w:top w:val="single" w:color="auto" w:sz="4" w:space="0"/>
              <w:left w:val="single" w:color="auto" w:sz="4" w:space="0"/>
              <w:bottom w:val="single" w:color="auto" w:sz="4" w:space="0"/>
              <w:right w:val="single" w:color="auto" w:sz="4" w:space="0"/>
            </w:tcBorders>
            <w:tcW w:w="670" w:type="dxa"/>
            <w:vAlign w:val="center"/>
            <w:textDirection w:val="lrTb"/>
            <w:noWrap/>
          </w:tcPr>
          <w:p>
            <w:pPr>
              <w:jc w:val="center"/>
              <w:spacing w:after="0" w:line="24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spacing w:after="0" w:line="24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r>
      <w:tr>
        <w:trPr>
          <w:trHeight w:val="568"/>
        </w:trPr>
        <w:tc>
          <w:tcPr>
            <w:tcBorders>
              <w:top w:val="single" w:color="auto" w:sz="4" w:space="0"/>
              <w:left w:val="single" w:color="auto" w:sz="4" w:space="0"/>
              <w:bottom w:val="single" w:color="auto" w:sz="4" w:space="0"/>
              <w:right w:val="single" w:color="auto" w:sz="4" w:space="0"/>
            </w:tcBorders>
            <w:tcW w:w="650" w:type="dxa"/>
            <w:vAlign w:val="center"/>
            <w:textDirection w:val="lrTb"/>
            <w:noWrap/>
          </w:tcPr>
          <w:p>
            <w:pPr>
              <w:jc w:val="center"/>
              <w:spacing w:after="0" w:line="24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tcPr>
          <w:p>
            <w:pPr>
              <w:jc w:val="cente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自动洗地机</w:t>
            </w:r>
            <w:r/>
          </w:p>
        </w:tc>
        <w:tc>
          <w:tcPr>
            <w:tcBorders>
              <w:top w:val="single" w:color="auto" w:sz="4" w:space="0"/>
              <w:left w:val="single" w:color="auto" w:sz="4" w:space="0"/>
              <w:bottom w:val="single" w:color="auto" w:sz="4" w:space="0"/>
              <w:right w:val="single" w:color="auto" w:sz="4" w:space="0"/>
            </w:tcBorders>
            <w:tcW w:w="5425" w:type="dxa"/>
            <w:vAlign w:val="center"/>
            <w:textDirection w:val="lrTb"/>
            <w:noWrap/>
          </w:tcPr>
          <w:p>
            <w:pP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电压/电瓶 24V/100AH;清洁宽度≥500mm</w:t>
            </w:r>
            <w:r/>
          </w:p>
        </w:tc>
        <w:tc>
          <w:tcPr>
            <w:tcBorders>
              <w:top w:val="single" w:color="auto" w:sz="4" w:space="0"/>
              <w:left w:val="single" w:color="auto" w:sz="4" w:space="0"/>
              <w:bottom w:val="single" w:color="auto" w:sz="4" w:space="0"/>
              <w:right w:val="single" w:color="auto" w:sz="4" w:space="0"/>
            </w:tcBorders>
            <w:tcW w:w="670" w:type="dxa"/>
            <w:vAlign w:val="center"/>
            <w:textDirection w:val="lrTb"/>
            <w:noWrap/>
          </w:tcPr>
          <w:p>
            <w:pPr>
              <w:jc w:val="cente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台</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w:t>
            </w:r>
            <w:r/>
          </w:p>
        </w:tc>
      </w:tr>
      <w:tr>
        <w:trPr>
          <w:trHeight w:val="568"/>
        </w:trPr>
        <w:tc>
          <w:tcPr>
            <w:tcBorders>
              <w:top w:val="single" w:color="auto" w:sz="4" w:space="0"/>
              <w:left w:val="single" w:color="auto" w:sz="4" w:space="0"/>
              <w:bottom w:val="single" w:color="auto" w:sz="4" w:space="0"/>
              <w:right w:val="single" w:color="auto" w:sz="4" w:space="0"/>
            </w:tcBorders>
            <w:tcW w:w="650" w:type="dxa"/>
            <w:vAlign w:val="center"/>
            <w:textDirection w:val="lrTb"/>
            <w:noWrap/>
          </w:tcPr>
          <w:p>
            <w:pPr>
              <w:jc w:val="cente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tcPr>
          <w:p>
            <w:pPr>
              <w:jc w:val="cente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高压冲水枪</w:t>
            </w:r>
            <w:r/>
          </w:p>
        </w:tc>
        <w:tc>
          <w:tcPr>
            <w:tcBorders>
              <w:top w:val="single" w:color="auto" w:sz="4" w:space="0"/>
              <w:left w:val="single" w:color="auto" w:sz="4" w:space="0"/>
              <w:bottom w:val="single" w:color="auto" w:sz="4" w:space="0"/>
              <w:right w:val="single" w:color="auto" w:sz="4" w:space="0"/>
            </w:tcBorders>
            <w:tcW w:w="5425" w:type="dxa"/>
            <w:vAlign w:val="center"/>
            <w:textDirection w:val="lrTb"/>
            <w:noWrap/>
          </w:tcPr>
          <w:p>
            <w:pP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电压：220V;毛重≤35kg</w:t>
            </w:r>
            <w:r/>
          </w:p>
        </w:tc>
        <w:tc>
          <w:tcPr>
            <w:tcBorders>
              <w:top w:val="single" w:color="auto" w:sz="4" w:space="0"/>
              <w:left w:val="single" w:color="auto" w:sz="4" w:space="0"/>
              <w:bottom w:val="single" w:color="auto" w:sz="4" w:space="0"/>
              <w:right w:val="single" w:color="auto" w:sz="4" w:space="0"/>
            </w:tcBorders>
            <w:tcW w:w="670" w:type="dxa"/>
            <w:vAlign w:val="center"/>
            <w:textDirection w:val="lrTb"/>
            <w:noWrap/>
          </w:tcPr>
          <w:p>
            <w:pPr>
              <w:jc w:val="cente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台</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w:t>
            </w:r>
            <w:r/>
          </w:p>
        </w:tc>
      </w:tr>
      <w:tr>
        <w:trPr>
          <w:trHeight w:val="568"/>
        </w:trPr>
        <w:tc>
          <w:tcPr>
            <w:tcBorders>
              <w:top w:val="single" w:color="auto" w:sz="4" w:space="0"/>
              <w:left w:val="single" w:color="auto" w:sz="4" w:space="0"/>
              <w:bottom w:val="single" w:color="auto" w:sz="4" w:space="0"/>
              <w:right w:val="single" w:color="auto" w:sz="4" w:space="0"/>
            </w:tcBorders>
            <w:tcW w:w="650" w:type="dxa"/>
            <w:vAlign w:val="center"/>
            <w:textDirection w:val="lrTb"/>
            <w:noWrap/>
          </w:tcPr>
          <w:p>
            <w:pPr>
              <w:jc w:val="cente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tcPr>
          <w:p>
            <w:pPr>
              <w:jc w:val="cente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地面吹风机</w:t>
            </w:r>
            <w:r/>
          </w:p>
        </w:tc>
        <w:tc>
          <w:tcPr>
            <w:tcBorders>
              <w:top w:val="single" w:color="auto" w:sz="4" w:space="0"/>
              <w:left w:val="single" w:color="auto" w:sz="4" w:space="0"/>
              <w:bottom w:val="single" w:color="auto" w:sz="4" w:space="0"/>
              <w:right w:val="single" w:color="auto" w:sz="4" w:space="0"/>
            </w:tcBorders>
            <w:tcW w:w="5425" w:type="dxa"/>
            <w:vAlign w:val="center"/>
            <w:textDirection w:val="lrTb"/>
            <w:noWrap/>
          </w:tcPr>
          <w:p>
            <w:pP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电压：220V；电线长≥5m；重点≤20kg</w:t>
            </w:r>
            <w:r/>
          </w:p>
        </w:tc>
        <w:tc>
          <w:tcPr>
            <w:tcBorders>
              <w:top w:val="single" w:color="auto" w:sz="4" w:space="0"/>
              <w:left w:val="single" w:color="auto" w:sz="4" w:space="0"/>
              <w:bottom w:val="single" w:color="auto" w:sz="4" w:space="0"/>
              <w:right w:val="single" w:color="auto" w:sz="4" w:space="0"/>
            </w:tcBorders>
            <w:tcW w:w="670" w:type="dxa"/>
            <w:vAlign w:val="center"/>
            <w:textDirection w:val="lrTb"/>
            <w:noWrap/>
          </w:tcPr>
          <w:p>
            <w:pPr>
              <w:jc w:val="cente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台</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w:t>
            </w:r>
            <w:r/>
          </w:p>
        </w:tc>
      </w:tr>
      <w:tr>
        <w:trPr>
          <w:trHeight w:val="568"/>
        </w:trPr>
        <w:tc>
          <w:tcPr>
            <w:tcBorders>
              <w:top w:val="single" w:color="auto" w:sz="4" w:space="0"/>
              <w:left w:val="single" w:color="auto" w:sz="4" w:space="0"/>
              <w:bottom w:val="single" w:color="auto" w:sz="4" w:space="0"/>
              <w:right w:val="single" w:color="auto" w:sz="4" w:space="0"/>
            </w:tcBorders>
            <w:tcW w:w="650" w:type="dxa"/>
            <w:vAlign w:val="center"/>
            <w:textDirection w:val="lrTb"/>
            <w:noWrap/>
          </w:tcPr>
          <w:p>
            <w:pPr>
              <w:jc w:val="cente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4</w:t>
            </w:r>
            <w:r/>
          </w:p>
        </w:tc>
        <w:tc>
          <w:tcPr>
            <w:tcBorders>
              <w:top w:val="single" w:color="auto" w:sz="4" w:space="0"/>
              <w:left w:val="single" w:color="auto" w:sz="4" w:space="0"/>
              <w:bottom w:val="single" w:color="auto" w:sz="4" w:space="0"/>
              <w:right w:val="single" w:color="auto" w:sz="4" w:space="0"/>
            </w:tcBorders>
            <w:tcW w:w="1612" w:type="dxa"/>
            <w:vAlign w:val="center"/>
            <w:textDirection w:val="lrTb"/>
            <w:noWrap/>
          </w:tcPr>
          <w:p>
            <w:pPr>
              <w:jc w:val="cente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驾驶式扫地机</w:t>
            </w:r>
            <w:r/>
          </w:p>
        </w:tc>
        <w:tc>
          <w:tcPr>
            <w:tcBorders>
              <w:top w:val="single" w:color="auto" w:sz="4" w:space="0"/>
              <w:left w:val="single" w:color="auto" w:sz="4" w:space="0"/>
              <w:bottom w:val="single" w:color="auto" w:sz="4" w:space="0"/>
              <w:right w:val="single" w:color="auto" w:sz="4" w:space="0"/>
            </w:tcBorders>
            <w:tcW w:w="5425" w:type="dxa"/>
            <w:vAlign w:val="center"/>
            <w:textDirection w:val="lrTb"/>
            <w:noWrap/>
          </w:tcPr>
          <w:p>
            <w:pP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电压/电瓶 48V/52AH;机器重量≤400kg；双刷设计</w:t>
            </w:r>
            <w:r/>
          </w:p>
        </w:tc>
        <w:tc>
          <w:tcPr>
            <w:tcBorders>
              <w:top w:val="single" w:color="auto" w:sz="4" w:space="0"/>
              <w:left w:val="single" w:color="auto" w:sz="4" w:space="0"/>
              <w:bottom w:val="single" w:color="auto" w:sz="4" w:space="0"/>
              <w:right w:val="single" w:color="auto" w:sz="4" w:space="0"/>
            </w:tcBorders>
            <w:tcW w:w="670" w:type="dxa"/>
            <w:vAlign w:val="center"/>
            <w:textDirection w:val="lrTb"/>
            <w:noWrap/>
          </w:tcPr>
          <w:p>
            <w:pPr>
              <w:jc w:val="cente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台</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tcPr>
          <w:p>
            <w:pPr>
              <w:jc w:val="cente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w:t>
            </w:r>
            <w:r/>
          </w:p>
        </w:tc>
      </w:tr>
    </w:tbl>
    <w:p>
      <w:pPr>
        <w:spacing w:after="0" w:line="480" w:lineRule="exact"/>
        <w:rPr>
          <w:rFonts w:ascii="宋体" w:hAnsi="宋体" w:eastAsia="宋体" w:cs="Times New Roman"/>
          <w:b/>
          <w:bCs/>
          <w:color w:val="auto"/>
          <w:sz w:val="24"/>
          <w:szCs w:val="24"/>
          <w:highlight w:val="none"/>
          <w:lang w:eastAsia="zh-CN"/>
        </w:rPr>
      </w:pPr>
      <w:r>
        <w:rPr>
          <w:rFonts w:ascii="宋体" w:hAnsi="宋体" w:eastAsia="宋体" w:cs="Times New Roman"/>
          <w:b/>
          <w:bCs/>
          <w:color w:val="auto"/>
          <w:sz w:val="24"/>
          <w:szCs w:val="24"/>
          <w:highlight w:val="none"/>
          <w:lang w:eastAsia="zh-CN"/>
        </w:rPr>
      </w:r>
      <w:r/>
    </w:p>
    <w:p>
      <w:pPr>
        <w:spacing w:after="0" w:line="480" w:lineRule="exact"/>
        <w:rPr>
          <w:rFonts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注：</w:t>
      </w:r>
      <w:r>
        <w:rPr>
          <w:rFonts w:ascii="宋体" w:hAnsi="宋体" w:eastAsia="宋体" w:cs="Times New Roman"/>
          <w:b/>
          <w:bCs/>
          <w:color w:val="auto"/>
          <w:sz w:val="24"/>
          <w:szCs w:val="24"/>
          <w:highlight w:val="none"/>
          <w:lang w:eastAsia="zh-CN"/>
        </w:rPr>
        <w:t xml:space="preserve">1、</w:t>
      </w:r>
      <w:r>
        <w:rPr>
          <w:rFonts w:hint="eastAsia" w:ascii="宋体" w:hAnsi="宋体" w:eastAsia="宋体" w:cs="宋体"/>
          <w:b/>
          <w:bCs/>
          <w:color w:val="auto"/>
          <w:sz w:val="24"/>
          <w:szCs w:val="24"/>
          <w:highlight w:val="none"/>
          <w:lang w:val="zh-CN" w:eastAsia="zh-CN"/>
        </w:rPr>
        <w:t xml:space="preserve">以上为</w:t>
      </w:r>
      <w:r>
        <w:rPr>
          <w:rFonts w:hint="eastAsia" w:ascii="宋体" w:hAnsi="宋体" w:eastAsia="宋体" w:cs="宋体"/>
          <w:b/>
          <w:bCs/>
          <w:color w:val="auto"/>
          <w:sz w:val="24"/>
          <w:szCs w:val="24"/>
          <w:highlight w:val="none"/>
          <w:lang w:eastAsia="zh-CN"/>
        </w:rPr>
        <w:t xml:space="preserve">履行合同的</w:t>
      </w:r>
      <w:r>
        <w:rPr>
          <w:rFonts w:hint="eastAsia" w:ascii="宋体" w:hAnsi="宋体" w:eastAsia="宋体" w:cs="宋体"/>
          <w:b/>
          <w:bCs/>
          <w:color w:val="auto"/>
          <w:sz w:val="24"/>
          <w:szCs w:val="24"/>
          <w:highlight w:val="none"/>
          <w:lang w:val="zh-CN" w:eastAsia="zh-CN"/>
        </w:rPr>
        <w:t xml:space="preserve">最低</w:t>
      </w:r>
      <w:r>
        <w:rPr>
          <w:rFonts w:hint="eastAsia" w:ascii="宋体" w:hAnsi="宋体" w:eastAsia="宋体" w:cs="宋体"/>
          <w:b/>
          <w:bCs/>
          <w:color w:val="auto"/>
          <w:sz w:val="24"/>
          <w:szCs w:val="24"/>
          <w:highlight w:val="none"/>
          <w:lang w:eastAsia="zh-CN"/>
        </w:rPr>
        <w:t xml:space="preserve">设备</w:t>
      </w:r>
      <w:r>
        <w:rPr>
          <w:rFonts w:hint="eastAsia" w:ascii="宋体" w:hAnsi="宋体" w:eastAsia="宋体" w:cs="宋体"/>
          <w:b/>
          <w:bCs/>
          <w:color w:val="auto"/>
          <w:sz w:val="24"/>
          <w:szCs w:val="24"/>
          <w:highlight w:val="none"/>
          <w:lang w:val="zh-CN" w:eastAsia="zh-CN"/>
        </w:rPr>
        <w:t xml:space="preserve">要求，低于此要求为非实质性响应，按无效标处理</w:t>
      </w:r>
      <w:r>
        <w:rPr>
          <w:rFonts w:ascii="宋体" w:hAnsi="宋体" w:eastAsia="宋体" w:cs="Times New Roman"/>
          <w:b/>
          <w:bCs/>
          <w:color w:val="auto"/>
          <w:sz w:val="24"/>
          <w:szCs w:val="24"/>
          <w:highlight w:val="none"/>
          <w:lang w:eastAsia="zh-CN"/>
        </w:rPr>
        <w:t xml:space="preserve">；</w:t>
      </w:r>
      <w:r/>
    </w:p>
    <w:p>
      <w:pPr>
        <w:ind w:firstLine="482"/>
        <w:spacing w:after="0" w:line="480" w:lineRule="exact"/>
        <w:rPr>
          <w:rFonts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2、投标单位提供投入设备清单的，设备清单内容应包含：设备名称、设备品牌规格、生产厂家、设备数量，提供设备照片，以及提供设备发票复印件</w:t>
      </w:r>
      <w:r>
        <w:rPr>
          <w:rFonts w:hint="eastAsia" w:ascii="Calibri" w:hAnsi="Calibri" w:eastAsia="宋体" w:cs="Times New Roman"/>
          <w:b/>
          <w:bCs/>
          <w:color w:val="auto"/>
          <w:sz w:val="24"/>
          <w:szCs w:val="24"/>
          <w:highlight w:val="none"/>
          <w:lang w:eastAsia="zh-CN"/>
        </w:rPr>
        <w:t xml:space="preserve">，租赁的还须提供租赁合同</w:t>
      </w:r>
      <w:r>
        <w:rPr>
          <w:rFonts w:hint="eastAsia" w:ascii="宋体" w:hAnsi="宋体" w:eastAsia="宋体" w:cs="Times New Roman"/>
          <w:b/>
          <w:bCs/>
          <w:color w:val="auto"/>
          <w:sz w:val="24"/>
          <w:szCs w:val="24"/>
          <w:highlight w:val="none"/>
          <w:lang w:eastAsia="zh-CN"/>
        </w:rPr>
        <w:t xml:space="preserve">；</w:t>
      </w:r>
      <w:r/>
    </w:p>
    <w:p>
      <w:pPr>
        <w:ind w:firstLine="482"/>
        <w:spacing w:after="0" w:line="480" w:lineRule="exact"/>
        <w:rPr>
          <w:rFonts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3</w:t>
      </w:r>
      <w:r>
        <w:rPr>
          <w:rFonts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lang w:eastAsia="zh-CN"/>
        </w:rPr>
        <w:t xml:space="preserve">投标单位可以</w:t>
      </w:r>
      <w:r>
        <w:rPr>
          <w:rFonts w:ascii="宋体" w:hAnsi="宋体" w:eastAsia="宋体" w:cs="Times New Roman"/>
          <w:b/>
          <w:bCs/>
          <w:color w:val="auto"/>
          <w:sz w:val="24"/>
          <w:szCs w:val="24"/>
          <w:highlight w:val="none"/>
          <w:lang w:eastAsia="zh-CN"/>
        </w:rPr>
        <w:t xml:space="preserve">提供</w:t>
      </w:r>
      <w:r>
        <w:rPr>
          <w:rFonts w:hint="eastAsia" w:ascii="宋体" w:hAnsi="宋体" w:eastAsia="宋体" w:cs="Times New Roman"/>
          <w:b/>
          <w:bCs/>
          <w:color w:val="auto"/>
          <w:sz w:val="24"/>
          <w:szCs w:val="24"/>
          <w:highlight w:val="none"/>
          <w:lang w:eastAsia="zh-CN"/>
        </w:rPr>
        <w:t xml:space="preserve">设备</w:t>
      </w:r>
      <w:r>
        <w:rPr>
          <w:rFonts w:ascii="宋体" w:hAnsi="宋体" w:eastAsia="宋体" w:cs="Times New Roman"/>
          <w:b/>
          <w:bCs/>
          <w:color w:val="auto"/>
          <w:sz w:val="24"/>
          <w:szCs w:val="24"/>
          <w:highlight w:val="none"/>
          <w:lang w:eastAsia="zh-CN"/>
        </w:rPr>
        <w:t xml:space="preserve">承诺函</w:t>
      </w:r>
      <w:r>
        <w:rPr>
          <w:rFonts w:hint="eastAsia" w:ascii="宋体" w:hAnsi="宋体" w:eastAsia="宋体" w:cs="Times New Roman"/>
          <w:b/>
          <w:bCs/>
          <w:color w:val="auto"/>
          <w:sz w:val="24"/>
          <w:szCs w:val="24"/>
          <w:highlight w:val="none"/>
          <w:lang w:eastAsia="zh-CN"/>
        </w:rPr>
        <w:t xml:space="preserve">，</w:t>
      </w:r>
      <w:r>
        <w:rPr>
          <w:rFonts w:ascii="宋体" w:hAnsi="宋体" w:eastAsia="宋体" w:cs="Times New Roman"/>
          <w:b/>
          <w:bCs/>
          <w:color w:val="auto"/>
          <w:sz w:val="24"/>
          <w:szCs w:val="24"/>
          <w:highlight w:val="none"/>
          <w:lang w:eastAsia="zh-CN"/>
        </w:rPr>
        <w:t xml:space="preserve">承诺</w:t>
      </w:r>
      <w:r>
        <w:rPr>
          <w:rFonts w:hint="eastAsia" w:ascii="宋体" w:hAnsi="宋体" w:eastAsia="宋体" w:cs="Times New Roman"/>
          <w:b/>
          <w:bCs/>
          <w:color w:val="auto"/>
          <w:sz w:val="24"/>
          <w:szCs w:val="24"/>
          <w:highlight w:val="none"/>
          <w:lang w:eastAsia="zh-CN"/>
        </w:rPr>
        <w:t xml:space="preserve">设备要求不低于以上清单，并在中标合同签订前设备必须到位，设备承诺函格式自拟并加盖投标单位公章。</w:t>
      </w:r>
      <w:r/>
    </w:p>
    <w:p>
      <w:pPr>
        <w:pStyle w:val="938"/>
        <w:spacing w:line="500" w:lineRule="exact"/>
        <w:rPr>
          <w:rFonts w:cs="宋体" w:asciiTheme="minorEastAsia" w:hAnsiTheme="minorEastAsia" w:eastAsiaTheme="minorEastAsia"/>
          <w:b/>
          <w:bCs/>
          <w:color w:val="auto"/>
          <w:sz w:val="24"/>
          <w:szCs w:val="24"/>
          <w:highlight w:val="none"/>
          <w:lang w:eastAsia="zh-CN"/>
        </w:rPr>
      </w:pPr>
      <w:r>
        <w:rPr>
          <w:rFonts w:cs="宋体" w:asciiTheme="minorEastAsia" w:hAnsiTheme="minorEastAsia" w:eastAsiaTheme="minorEastAsia"/>
          <w:b/>
          <w:bCs/>
          <w:color w:val="auto"/>
          <w:sz w:val="24"/>
          <w:szCs w:val="24"/>
          <w:highlight w:val="none"/>
          <w:lang w:eastAsia="zh-CN"/>
        </w:rPr>
      </w:r>
      <w:r/>
    </w:p>
    <w:p>
      <w:pPr>
        <w:pStyle w:val="938"/>
        <w:spacing w:line="500" w:lineRule="exact"/>
        <w:rPr>
          <w:rFonts w:asciiTheme="minorEastAsia" w:hAnsiTheme="minorEastAsia" w:eastAsiaTheme="minorEastAsia"/>
          <w:b/>
          <w:bCs/>
          <w:color w:val="auto"/>
          <w:sz w:val="24"/>
          <w:szCs w:val="24"/>
          <w:highlight w:val="none"/>
          <w:lang w:eastAsia="zh-CN"/>
        </w:rPr>
      </w:pPr>
      <w:r>
        <w:rPr>
          <w:rFonts w:hint="eastAsia" w:cs="宋体" w:asciiTheme="minorEastAsia" w:hAnsiTheme="minorEastAsia" w:eastAsiaTheme="minorEastAsia"/>
          <w:b/>
          <w:bCs/>
          <w:color w:val="auto"/>
          <w:sz w:val="24"/>
          <w:szCs w:val="24"/>
          <w:highlight w:val="none"/>
          <w:lang w:eastAsia="zh-CN"/>
        </w:rPr>
        <w:t xml:space="preserve">五、物业管理服务人员需求</w:t>
      </w:r>
      <w:r/>
    </w:p>
    <w:p>
      <w:pPr>
        <w:pStyle w:val="938"/>
        <w:spacing w:line="500" w:lineRule="exact"/>
        <w:rPr>
          <w:rFonts w:cs="宋体" w:asciiTheme="minorEastAsia" w:hAnsiTheme="minorEastAsia" w:eastAsiaTheme="minorEastAsia"/>
          <w:b/>
          <w:color w:val="auto"/>
          <w:sz w:val="24"/>
          <w:szCs w:val="24"/>
          <w:highlight w:val="none"/>
          <w:lang w:eastAsia="zh-CN"/>
        </w:rPr>
      </w:pPr>
      <w:r>
        <w:rPr>
          <w:rFonts w:hint="eastAsia" w:cs="宋体" w:asciiTheme="minorEastAsia" w:hAnsiTheme="minorEastAsia" w:eastAsiaTheme="minorEastAsia"/>
          <w:b/>
          <w:color w:val="auto"/>
          <w:sz w:val="24"/>
          <w:szCs w:val="24"/>
          <w:highlight w:val="none"/>
          <w:lang w:eastAsia="zh-CN"/>
        </w:rPr>
        <w:t xml:space="preserve">（一）人员配置及要求</w:t>
      </w:r>
      <w:r/>
    </w:p>
    <w:tbl>
      <w:tblPr>
        <w:tblStyle w:val="703"/>
        <w:tblW w:w="4880" w:type="pct"/>
        <w:tblInd w:w="0" w:type="dxa"/>
        <w:tblLayout w:type="autofit"/>
        <w:tblCellMar>
          <w:left w:w="108" w:type="dxa"/>
          <w:top w:w="0" w:type="dxa"/>
          <w:right w:w="108" w:type="dxa"/>
          <w:bottom w:w="0" w:type="dxa"/>
        </w:tblCellMar>
        <w:tblLook w:val="04A0" w:firstRow="1" w:lastRow="0" w:firstColumn="1" w:lastColumn="0" w:noHBand="0" w:noVBand="1"/>
      </w:tblPr>
      <w:tblGrid>
        <w:gridCol w:w="1326"/>
        <w:gridCol w:w="921"/>
        <w:gridCol w:w="4941"/>
        <w:gridCol w:w="2153"/>
      </w:tblGrid>
      <w:tr>
        <w:trPr>
          <w:trHeight w:val="423"/>
        </w:trPr>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spacing w:line="24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岗位</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spacing w:line="24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人数</w:t>
            </w:r>
            <w:r/>
          </w:p>
        </w:tc>
        <w:tc>
          <w:tcPr>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jc w:val="center"/>
              <w:spacing w:line="24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工作内容及要求</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val="false"/>
          </w:tcPr>
          <w:p>
            <w:pPr>
              <w:jc w:val="center"/>
              <w:spacing w:line="24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工作时间</w:t>
            </w:r>
            <w:r/>
          </w:p>
        </w:tc>
      </w:tr>
      <w:tr>
        <w:trPr>
          <w:trHeight w:val="1032"/>
        </w:trPr>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both"/>
              <w:spacing w:line="240" w:lineRule="auto"/>
              <w:rPr>
                <w:rFonts w:ascii="宋体" w:hAnsi="宋体" w:eastAsia="宋体" w:cs="宋体"/>
                <w:b/>
                <w:color w:val="auto"/>
                <w:sz w:val="24"/>
                <w:szCs w:val="24"/>
                <w:highlight w:val="none"/>
                <w:lang w:eastAsia="zh-CN"/>
              </w:rPr>
            </w:pPr>
            <w:r/>
            <w:bookmarkStart w:id="24" w:name="OLE_LINK21"/>
            <w:r>
              <w:rPr>
                <w:rFonts w:hint="eastAsia" w:ascii="宋体" w:hAnsi="宋体" w:eastAsia="宋体" w:cs="宋体"/>
                <w:b/>
                <w:color w:val="auto"/>
                <w:sz w:val="24"/>
                <w:szCs w:val="24"/>
                <w:highlight w:val="none"/>
              </w:rPr>
              <w:t xml:space="preserve">项目</w:t>
            </w:r>
            <w:r>
              <w:rPr>
                <w:rFonts w:hint="eastAsia" w:ascii="宋体" w:hAnsi="宋体" w:eastAsia="宋体" w:cs="宋体"/>
                <w:b/>
                <w:color w:val="auto"/>
                <w:sz w:val="24"/>
                <w:szCs w:val="24"/>
                <w:highlight w:val="none"/>
                <w:lang w:eastAsia="zh-CN"/>
              </w:rPr>
              <w:t xml:space="preserve">经理</w:t>
            </w:r>
            <w:bookmarkEnd w:id="24"/>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spacing w:line="24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1人</w:t>
            </w:r>
            <w:r/>
          </w:p>
        </w:tc>
        <w:tc>
          <w:tcPr>
            <w:tcBorders>
              <w:top w:val="single" w:color="000000" w:sz="4" w:space="0"/>
              <w:left w:val="single" w:color="000000" w:sz="4" w:space="0"/>
              <w:bottom w:val="single" w:color="000000" w:sz="4" w:space="0"/>
              <w:right w:val="single" w:color="000000" w:sz="4" w:space="0"/>
            </w:tcBorders>
            <w:tcW w:w="2645" w:type="pct"/>
            <w:vAlign w:val="center"/>
            <w:textDirection w:val="lrTb"/>
            <w:noWrap w:val="false"/>
          </w:tcPr>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年龄在50周岁及以下；</w:t>
            </w:r>
            <w:r/>
          </w:p>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身体健康，有从事相关岗位的能力，遵纪守法；</w:t>
            </w:r>
            <w:r/>
          </w:p>
          <w:p>
            <w:pP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持有全国物业项目经理证书；全面负责整体项目的运营、人员安排及突发事件的处理，有较强的紧急救护保障能力。</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val="false"/>
          </w:tcPr>
          <w:p>
            <w:pPr>
              <w:spacing w:line="24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全方面监督</w:t>
            </w:r>
            <w:r/>
          </w:p>
        </w:tc>
      </w:tr>
      <w:tr>
        <w:trPr>
          <w:trHeight w:val="1337"/>
        </w:trPr>
        <w:tc>
          <w:tcPr>
            <w:tcBorders>
              <w:top w:val="single" w:color="000000" w:sz="4" w:space="0"/>
              <w:left w:val="single" w:color="000000" w:sz="4" w:space="0"/>
              <w:bottom w:val="single" w:color="auto" w:sz="4" w:space="0"/>
              <w:right w:val="single" w:color="000000" w:sz="4" w:space="0"/>
            </w:tcBorders>
            <w:tcW w:w="710" w:type="pct"/>
            <w:vAlign w:val="center"/>
            <w:textDirection w:val="lrTb"/>
            <w:noWrap w:val="false"/>
          </w:tcPr>
          <w:p>
            <w:pPr>
              <w:jc w:val="both"/>
              <w:spacing w:line="240" w:lineRule="auto"/>
              <w:rPr>
                <w:rFonts w:ascii="宋体" w:hAnsi="宋体" w:eastAsia="宋体" w:cs="宋体"/>
                <w:b/>
                <w:color w:val="auto"/>
                <w:sz w:val="24"/>
                <w:szCs w:val="24"/>
                <w:highlight w:val="none"/>
              </w:rPr>
            </w:pPr>
            <w:r/>
            <w:bookmarkStart w:id="25" w:name="OLE_LINK34"/>
            <w:r>
              <w:rPr>
                <w:rFonts w:hint="eastAsia" w:ascii="宋体" w:hAnsi="宋体" w:eastAsia="宋体" w:cs="宋体"/>
                <w:b/>
                <w:color w:val="auto"/>
                <w:sz w:val="24"/>
                <w:szCs w:val="24"/>
                <w:highlight w:val="none"/>
                <w:lang w:eastAsia="zh-CN"/>
              </w:rPr>
              <w:t xml:space="preserve">保洁主管</w:t>
            </w:r>
            <w:bookmarkEnd w:id="25"/>
            <w:r/>
            <w:r/>
          </w:p>
        </w:tc>
        <w:tc>
          <w:tcPr>
            <w:tcBorders>
              <w:top w:val="single" w:color="000000" w:sz="4" w:space="0"/>
              <w:left w:val="single" w:color="000000" w:sz="4" w:space="0"/>
              <w:bottom w:val="single" w:color="auto" w:sz="4" w:space="0"/>
              <w:right w:val="single" w:color="000000" w:sz="4" w:space="0"/>
            </w:tcBorders>
            <w:tcW w:w="493" w:type="pct"/>
            <w:vAlign w:val="center"/>
            <w:textDirection w:val="lrTb"/>
            <w:noWrap w:val="false"/>
          </w:tcPr>
          <w:p>
            <w:pPr>
              <w:jc w:val="center"/>
              <w:spacing w:line="24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人</w:t>
            </w:r>
            <w:r/>
          </w:p>
        </w:tc>
        <w:tc>
          <w:tcPr>
            <w:tcBorders>
              <w:top w:val="single" w:color="000000" w:sz="4" w:space="0"/>
              <w:left w:val="single" w:color="000000" w:sz="4" w:space="0"/>
              <w:bottom w:val="single" w:color="auto" w:sz="4" w:space="0"/>
              <w:right w:val="single" w:color="000000" w:sz="4" w:space="0"/>
            </w:tcBorders>
            <w:tcW w:w="2645" w:type="pct"/>
            <w:vAlign w:val="center"/>
            <w:textDirection w:val="lrTb"/>
            <w:noWrap w:val="false"/>
          </w:tcPr>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年龄在45周岁及以下；</w:t>
            </w:r>
            <w:r/>
          </w:p>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具备应急救护相关知识和技能；</w:t>
            </w:r>
            <w:r/>
          </w:p>
          <w:p>
            <w:pPr>
              <w:spacing w:after="0" w:line="240" w:lineRule="auto"/>
              <w:rPr>
                <w:color w:val="auto"/>
                <w:highlight w:val="none"/>
                <w:lang w:eastAsia="zh-CN"/>
              </w:rPr>
            </w:pPr>
            <w:r>
              <w:rPr>
                <w:rFonts w:hint="eastAsia" w:ascii="宋体" w:hAnsi="宋体" w:eastAsia="宋体" w:cs="宋体"/>
                <w:color w:val="auto"/>
                <w:sz w:val="24"/>
                <w:szCs w:val="24"/>
                <w:highlight w:val="none"/>
                <w:lang w:eastAsia="zh-CN"/>
              </w:rPr>
              <w:t xml:space="preserve">具有2年以上相关工作经验；</w:t>
            </w:r>
            <w:r/>
          </w:p>
          <w:p>
            <w:pPr>
              <w:spacing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全面负责项目整个项目的院感防控、</w:t>
            </w:r>
            <w:r>
              <w:rPr>
                <w:rFonts w:ascii="宋体" w:hAnsi="宋体" w:eastAsia="宋体" w:cs="宋体"/>
                <w:color w:val="auto"/>
                <w:sz w:val="24"/>
                <w:szCs w:val="24"/>
                <w:highlight w:val="none"/>
                <w:lang w:eastAsia="zh-CN"/>
              </w:rPr>
              <w:t xml:space="preserve">医疗废物处置</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lang w:eastAsia="zh-CN"/>
              </w:rPr>
              <w:t xml:space="preserve">专业清洁管理的</w:t>
            </w:r>
            <w:r>
              <w:rPr>
                <w:rFonts w:hint="eastAsia" w:ascii="宋体" w:hAnsi="宋体" w:eastAsia="宋体" w:cs="宋体"/>
                <w:color w:val="auto"/>
                <w:sz w:val="24"/>
                <w:szCs w:val="24"/>
                <w:highlight w:val="none"/>
                <w:lang w:eastAsia="zh-CN"/>
              </w:rPr>
              <w:t xml:space="preserve">培训和管理；</w:t>
            </w:r>
            <w:r/>
          </w:p>
        </w:tc>
        <w:tc>
          <w:tcPr>
            <w:tcBorders>
              <w:top w:val="single" w:color="000000" w:sz="4" w:space="0"/>
              <w:left w:val="single" w:color="000000" w:sz="4" w:space="0"/>
              <w:bottom w:val="single" w:color="auto" w:sz="4" w:space="0"/>
              <w:right w:val="single" w:color="000000" w:sz="4" w:space="0"/>
            </w:tcBorders>
            <w:tcW w:w="1150" w:type="pct"/>
            <w:vAlign w:val="center"/>
            <w:textDirection w:val="lrTb"/>
            <w:noWrap w:val="false"/>
          </w:tcPr>
          <w:p>
            <w:pPr>
              <w:spacing w:line="240" w:lineRule="auto"/>
              <w:rPr>
                <w:rFonts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每周5天</w:t>
            </w:r>
            <w:r>
              <w:rPr>
                <w:rFonts w:hint="eastAsia"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eastAsia="zh-CN"/>
              </w:rPr>
              <w:t xml:space="preserve">7：30-17：00，如有特殊情况，需服从安排</w:t>
            </w:r>
            <w:r/>
          </w:p>
        </w:tc>
      </w:tr>
      <w:tr>
        <w:trPr>
          <w:trHeight w:val="90"/>
        </w:trPr>
        <w:tc>
          <w:tcPr>
            <w:tcBorders>
              <w:top w:val="single" w:color="000000" w:sz="4" w:space="0"/>
              <w:left w:val="single" w:color="000000" w:sz="4" w:space="0"/>
              <w:bottom w:val="single" w:color="auto" w:sz="4" w:space="0"/>
              <w:right w:val="single" w:color="000000" w:sz="4" w:space="0"/>
            </w:tcBorders>
            <w:tcW w:w="710" w:type="pct"/>
            <w:vAlign w:val="center"/>
            <w:textDirection w:val="lrTb"/>
            <w:noWrap w:val="false"/>
          </w:tcPr>
          <w:p>
            <w:pPr>
              <w:jc w:val="both"/>
              <w:spacing w:line="240" w:lineRule="auto"/>
              <w:rPr>
                <w:rFonts w:ascii="宋体" w:hAnsi="宋体" w:eastAsia="宋体" w:cs="宋体"/>
                <w:b/>
                <w:color w:val="auto"/>
                <w:sz w:val="24"/>
                <w:szCs w:val="24"/>
                <w:highlight w:val="none"/>
                <w:lang w:eastAsia="zh-CN"/>
              </w:rPr>
            </w:pPr>
            <w:r/>
            <w:bookmarkStart w:id="26" w:name="OLE_LINK37"/>
            <w:r>
              <w:rPr>
                <w:rFonts w:hint="eastAsia" w:ascii="宋体" w:hAnsi="宋体" w:eastAsia="宋体"/>
                <w:b/>
                <w:color w:val="auto"/>
                <w:sz w:val="24"/>
                <w:szCs w:val="24"/>
                <w:highlight w:val="none"/>
                <w:lang w:eastAsia="zh-CN"/>
              </w:rPr>
              <w:t xml:space="preserve">保洁人员</w:t>
            </w:r>
            <w:bookmarkEnd w:id="26"/>
            <w:r/>
            <w:r/>
          </w:p>
        </w:tc>
        <w:tc>
          <w:tcPr>
            <w:tcBorders>
              <w:top w:val="single" w:color="000000" w:sz="4" w:space="0"/>
              <w:left w:val="single" w:color="000000" w:sz="4" w:space="0"/>
              <w:bottom w:val="single" w:color="auto" w:sz="4" w:space="0"/>
              <w:right w:val="single" w:color="000000" w:sz="4" w:space="0"/>
            </w:tcBorders>
            <w:tcW w:w="493" w:type="pct"/>
            <w:vAlign w:val="center"/>
            <w:textDirection w:val="lrTb"/>
            <w:noWrap w:val="false"/>
          </w:tcPr>
          <w:p>
            <w:pPr>
              <w:jc w:val="center"/>
              <w:spacing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31人</w:t>
            </w:r>
            <w:r/>
          </w:p>
        </w:tc>
        <w:tc>
          <w:tcPr>
            <w:tcBorders>
              <w:top w:val="single" w:color="000000" w:sz="4" w:space="0"/>
              <w:left w:val="single" w:color="000000" w:sz="4" w:space="0"/>
              <w:bottom w:val="single" w:color="auto" w:sz="4" w:space="0"/>
              <w:right w:val="single" w:color="000000" w:sz="4" w:space="0"/>
            </w:tcBorders>
            <w:tcW w:w="2645" w:type="pct"/>
            <w:vAlign w:val="center"/>
            <w:textDirection w:val="lrTb"/>
            <w:noWrap w:val="false"/>
          </w:tcPr>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服务人员身体健康；职业道德良好，无不良劣迹。熟悉本岗位职责，规范操作，用语文明，微笑服务。统一着装（衣服的款式、颜色、质地等须得到院方的认可），仪表整洁，挂牌服务。服从医院管理，遵守劳动纪律，上班时间不得吸烟、串岗聊天，不得私自收集废品买卖。</w:t>
            </w:r>
            <w:r/>
          </w:p>
          <w:p>
            <w:pPr>
              <w:spacing w:after="0"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具备应急救护相关知识和技能；</w:t>
            </w:r>
            <w:r/>
          </w:p>
          <w:p>
            <w:pPr>
              <w:spacing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工作内容：</w:t>
            </w:r>
            <w:r>
              <w:rPr>
                <w:rFonts w:hint="eastAsia" w:ascii="宋体" w:hAnsi="宋体" w:eastAsia="宋体" w:cs="宋体"/>
                <w:bCs/>
                <w:color w:val="auto"/>
                <w:sz w:val="24"/>
                <w:szCs w:val="24"/>
                <w:highlight w:val="none"/>
                <w:lang w:eastAsia="zh-CN" w:bidi="ar"/>
              </w:rPr>
              <w:t xml:space="preserve">包括住院部、后勤保障楼的保洁，行政办公区的保洁工作，室外场地及所属道路、绿化带、地面及地下停车场、地下室的保洁服务等，男女卫生间的清理及日常清扫工作；</w:t>
            </w:r>
            <w:r/>
          </w:p>
        </w:tc>
        <w:tc>
          <w:tcPr>
            <w:tcBorders>
              <w:top w:val="single" w:color="000000" w:sz="4" w:space="0"/>
              <w:left w:val="single" w:color="000000" w:sz="4" w:space="0"/>
              <w:bottom w:val="single" w:color="auto" w:sz="4" w:space="0"/>
              <w:right w:val="single" w:color="000000" w:sz="4" w:space="0"/>
            </w:tcBorders>
            <w:tcW w:w="1150" w:type="pct"/>
            <w:vAlign w:val="center"/>
            <w:textDirection w:val="lrTb"/>
            <w:noWrap w:val="false"/>
          </w:tcPr>
          <w:p>
            <w:pPr>
              <w:spacing w:line="24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r>
      <w:tr>
        <w:trPr>
          <w:trHeight w:val="90"/>
        </w:trPr>
        <w:tc>
          <w:tcPr>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both"/>
              <w:spacing w:line="24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病人运送</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24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1人</w:t>
            </w:r>
            <w:r/>
          </w:p>
        </w:tc>
        <w:tc>
          <w:tcPr>
            <w:tcBorders>
              <w:top w:val="single" w:color="auto" w:sz="4" w:space="0"/>
              <w:left w:val="single" w:color="auto" w:sz="4" w:space="0"/>
              <w:bottom w:val="single" w:color="auto" w:sz="4" w:space="0"/>
              <w:right w:val="single" w:color="auto" w:sz="4" w:space="0"/>
            </w:tcBorders>
            <w:tcW w:w="2645" w:type="pct"/>
            <w:vAlign w:val="center"/>
            <w:textDirection w:val="lrTb"/>
            <w:noWrap w:val="false"/>
          </w:tcPr>
          <w:p>
            <w:pP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以上人员均必须经培训合格后方可正式上岗。制定规范合理的运送流程，配备运送所必须的对讲机、各种登记簿和运送工具（运送病人的平车、轮椅等均由医院提供）。运送要做到手续齐全，交接清楚，记录完整，在规定或约定的时间内及时送达。运送人员着装统一，服务要规范、热情、礼貌，在班时间，不得串岗脱岗；</w:t>
            </w:r>
            <w:r/>
          </w:p>
        </w:tc>
        <w:tc>
          <w:tcPr>
            <w:tcBorders>
              <w:top w:val="single" w:color="auto" w:sz="4" w:space="0"/>
              <w:left w:val="single" w:color="auto" w:sz="4" w:space="0"/>
              <w:bottom w:val="single" w:color="000000" w:sz="4" w:space="0"/>
              <w:right w:val="single" w:color="000000" w:sz="4" w:space="0"/>
            </w:tcBorders>
            <w:tcW w:w="1150" w:type="pct"/>
            <w:vAlign w:val="center"/>
            <w:textDirection w:val="lrTb"/>
            <w:noWrap w:val="false"/>
          </w:tcPr>
          <w:p>
            <w:pPr>
              <w:spacing w:line="240" w:lineRule="auto"/>
              <w:rPr>
                <w:rFonts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每周5天</w:t>
            </w:r>
            <w:r>
              <w:rPr>
                <w:rFonts w:hint="eastAsia"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eastAsia="zh-CN"/>
              </w:rPr>
              <w:t xml:space="preserve">8：30-17：30，如有特殊情况，需服从安排</w:t>
            </w:r>
            <w:r/>
          </w:p>
        </w:tc>
      </w:tr>
      <w:tr>
        <w:trPr>
          <w:trHeight w:val="397"/>
        </w:trPr>
        <w:tc>
          <w:tcPr>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both"/>
              <w:spacing w:line="240" w:lineRule="auto"/>
              <w:rPr>
                <w:rFonts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eastAsia="zh-CN"/>
              </w:rPr>
              <w:t xml:space="preserve">标本运送</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240" w:lineRule="auto"/>
              <w:rPr>
                <w:rFonts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2645" w:type="pct"/>
            <w:vAlign w:val="center"/>
            <w:textDirection w:val="lrTb"/>
            <w:noWrap w:val="false"/>
          </w:tcPr>
          <w:p>
            <w:pPr>
              <w:spacing w:after="0" w:line="240" w:lineRule="auto"/>
              <w:rPr>
                <w:rFonts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制定规范合理的运送流程，配备运送所必须的对讲机、各种登记簿和运送工具（运送病人的平车、轮椅等均由医院提供）。运送要做到手续齐全，交接清楚，记录完整，在规定或约定的时间内及时送达。运送人员着装统一，服务要规范、热情、礼貌，在班时间，不得串岗脱岗。</w:t>
            </w:r>
            <w:r/>
          </w:p>
        </w:tc>
        <w:tc>
          <w:tcPr>
            <w:tcBorders>
              <w:top w:val="single" w:color="auto" w:sz="4" w:space="0"/>
              <w:left w:val="single" w:color="auto" w:sz="4" w:space="0"/>
              <w:bottom w:val="single" w:color="000000" w:sz="4" w:space="0"/>
              <w:right w:val="single" w:color="000000" w:sz="4" w:space="0"/>
            </w:tcBorders>
            <w:tcW w:w="1150" w:type="pct"/>
            <w:vAlign w:val="center"/>
            <w:textDirection w:val="lrTb"/>
            <w:noWrap w:val="false"/>
          </w:tcPr>
          <w:p>
            <w:pPr>
              <w:spacing w:line="24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每周5天</w:t>
            </w:r>
            <w:r>
              <w:rPr>
                <w:rFonts w:hint="eastAsia"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eastAsia="zh-CN"/>
              </w:rPr>
              <w:t xml:space="preserve">7：30-16：30，如有特殊情况，需服从安排</w:t>
            </w:r>
            <w:r/>
          </w:p>
        </w:tc>
      </w:tr>
      <w:tr>
        <w:trPr>
          <w:trHeight w:val="558"/>
        </w:trPr>
        <w:tc>
          <w:tcPr>
            <w:gridSpan w:val="4"/>
            <w:tcBorders>
              <w:top w:val="single" w:color="auto" w:sz="4" w:space="0"/>
              <w:left w:val="single" w:color="000000" w:sz="4" w:space="0"/>
              <w:bottom w:val="single" w:color="auto" w:sz="4" w:space="0"/>
              <w:right w:val="single" w:color="000000" w:sz="4" w:space="0"/>
            </w:tcBorders>
            <w:tcW w:w="5000" w:type="pct"/>
            <w:vAlign w:val="center"/>
            <w:textDirection w:val="lrTb"/>
            <w:noWrap w:val="false"/>
          </w:tcPr>
          <w:p>
            <w:pPr>
              <w:spacing w:line="240" w:lineRule="auto"/>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合计人数：</w:t>
            </w:r>
            <w:r>
              <w:rPr>
                <w:rFonts w:hint="eastAsia" w:ascii="宋体" w:hAnsi="宋体" w:eastAsia="宋体" w:cs="宋体"/>
                <w:color w:val="auto"/>
                <w:sz w:val="24"/>
                <w:szCs w:val="24"/>
                <w:highlight w:val="none"/>
                <w:lang w:eastAsia="zh-CN" w:bidi="ar"/>
              </w:rPr>
              <w:t xml:space="preserve">35</w:t>
            </w:r>
            <w:r>
              <w:rPr>
                <w:rFonts w:hint="eastAsia" w:ascii="宋体" w:hAnsi="宋体" w:eastAsia="宋体" w:cs="宋体"/>
                <w:color w:val="auto"/>
                <w:sz w:val="24"/>
                <w:szCs w:val="24"/>
                <w:highlight w:val="none"/>
                <w:lang w:bidi="ar"/>
              </w:rPr>
              <w:t xml:space="preserve">人</w:t>
            </w:r>
            <w:r/>
          </w:p>
        </w:tc>
      </w:tr>
    </w:tbl>
    <w:p>
      <w:pPr>
        <w:spacing w:after="0" w:line="48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spacing w:after="0" w:line="480" w:lineRule="exact"/>
        <w:rPr>
          <w:rFonts w:ascii="宋体" w:hAnsi="宋体" w:eastAsia="宋体" w:cs="宋体"/>
          <w:b/>
          <w:bCs/>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zh-CN" w:eastAsia="zh-CN"/>
        </w:rPr>
        <w:t xml:space="preserve">注：</w:t>
      </w:r>
      <w:bookmarkStart w:id="27" w:name="OLE_LINK65"/>
      <w:r>
        <w:rPr>
          <w:rFonts w:hint="eastAsia" w:ascii="宋体" w:hAnsi="宋体" w:eastAsia="宋体" w:cs="宋体"/>
          <w:b/>
          <w:bCs/>
          <w:color w:val="auto"/>
          <w:sz w:val="24"/>
          <w:szCs w:val="24"/>
          <w:highlight w:val="none"/>
          <w:lang w:eastAsia="zh-CN"/>
        </w:rPr>
        <w:t xml:space="preserve">1.拟投人员共计35人，</w:t>
      </w:r>
      <w:r>
        <w:rPr>
          <w:rFonts w:hint="eastAsia" w:ascii="宋体" w:hAnsi="宋体" w:eastAsia="宋体" w:cs="宋体"/>
          <w:b/>
          <w:bCs/>
          <w:color w:val="auto"/>
          <w:sz w:val="24"/>
          <w:szCs w:val="24"/>
          <w:highlight w:val="none"/>
          <w:lang w:val="zh-CN" w:eastAsia="zh-CN"/>
        </w:rPr>
        <w:t xml:space="preserve">为最低人员要求，</w:t>
      </w:r>
      <w:r>
        <w:rPr>
          <w:rFonts w:hint="eastAsia" w:ascii="宋体" w:hAnsi="宋体" w:eastAsia="宋体" w:cs="宋体"/>
          <w:b/>
          <w:bCs/>
          <w:color w:val="auto"/>
          <w:sz w:val="24"/>
          <w:szCs w:val="24"/>
          <w:highlight w:val="none"/>
          <w:lang w:eastAsia="zh-CN"/>
        </w:rPr>
        <w:t xml:space="preserve">否则</w:t>
      </w:r>
      <w:r>
        <w:rPr>
          <w:rFonts w:hint="eastAsia" w:ascii="宋体" w:hAnsi="宋体" w:eastAsia="宋体" w:cs="宋体"/>
          <w:b/>
          <w:bCs/>
          <w:color w:val="auto"/>
          <w:sz w:val="24"/>
          <w:szCs w:val="24"/>
          <w:highlight w:val="none"/>
          <w:lang w:val="zh-CN" w:eastAsia="zh-CN"/>
        </w:rPr>
        <w:t xml:space="preserve">为非实质性响应，按无效标处理。</w:t>
      </w:r>
      <w:r/>
    </w:p>
    <w:p>
      <w:pPr>
        <w:ind w:firstLine="723"/>
        <w:spacing w:after="0" w:line="480" w:lineRule="exact"/>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2.项目经理和保洁主管年龄需满足招标要求，否则</w:t>
      </w:r>
      <w:r>
        <w:rPr>
          <w:rFonts w:hint="eastAsia" w:ascii="宋体" w:hAnsi="宋体" w:eastAsia="宋体" w:cs="宋体"/>
          <w:b/>
          <w:bCs/>
          <w:color w:val="auto"/>
          <w:sz w:val="24"/>
          <w:szCs w:val="24"/>
          <w:highlight w:val="none"/>
          <w:lang w:val="zh-CN" w:eastAsia="zh-CN"/>
        </w:rPr>
        <w:t xml:space="preserve">为非实质性响应，按无效标处理。</w:t>
      </w:r>
      <w:r/>
    </w:p>
    <w:p>
      <w:pPr>
        <w:ind w:firstLine="723"/>
        <w:spacing w:after="0" w:line="480" w:lineRule="exact"/>
        <w:rPr>
          <w:rFonts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eastAsia="zh-CN"/>
        </w:rPr>
        <w:t xml:space="preserve">3.本项目为专门面向中小企业采购的服务类项目，项目负责人及拟投项目人员应当是具备《劳动合同》的或者供应商承诺中标后聘请签订《劳动合同》的服务人员参与本项目，请按要求提供证明材料，否则视为无效投标。</w:t>
      </w:r>
      <w:bookmarkEnd w:id="27"/>
      <w:r/>
      <w:r/>
    </w:p>
    <w:p>
      <w:pPr>
        <w:pStyle w:val="938"/>
        <w:spacing w:line="480" w:lineRule="exact"/>
        <w:tabs>
          <w:tab w:val="left" w:pos="7560" w:leader="none"/>
        </w:tabs>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六、商务要求：</w:t>
      </w:r>
      <w:r>
        <w:rPr>
          <w:rFonts w:asciiTheme="minorEastAsia" w:hAnsiTheme="minorEastAsia" w:eastAsiaTheme="minorEastAsia"/>
          <w:b/>
          <w:color w:val="auto"/>
          <w:sz w:val="24"/>
          <w:szCs w:val="24"/>
          <w:highlight w:val="none"/>
          <w:lang w:eastAsia="zh-CN"/>
        </w:rPr>
        <w:tab/>
      </w:r>
      <w:r/>
    </w:p>
    <w:p>
      <w:pPr>
        <w:pStyle w:val="938"/>
        <w:spacing w:line="48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（一）服务期限：</w:t>
      </w:r>
      <w:r/>
    </w:p>
    <w:p>
      <w:pPr>
        <w:pStyle w:val="938"/>
        <w:ind w:firstLine="480"/>
        <w:spacing w:line="480" w:lineRule="exact"/>
        <w:rPr>
          <w:rFonts w:asciiTheme="minorEastAsia" w:hAnsiTheme="minorEastAsia" w:eastAsiaTheme="minorEastAsia"/>
          <w:color w:val="auto"/>
          <w:sz w:val="24"/>
          <w:szCs w:val="24"/>
          <w:highlight w:val="none"/>
          <w:lang w:eastAsia="zh-CN"/>
        </w:rPr>
      </w:pPr>
      <w:r>
        <w:rPr>
          <w:rFonts w:hint="eastAsia" w:ascii="宋体" w:hAnsi="宋体" w:eastAsia="宋体"/>
          <w:color w:val="auto"/>
          <w:sz w:val="24"/>
          <w:szCs w:val="24"/>
          <w:highlight w:val="none"/>
          <w:lang w:eastAsia="zh-CN"/>
        </w:rPr>
        <w:t xml:space="preserve">合同签订后一年（具体起始时间以院方通知为准）</w:t>
      </w:r>
      <w:r>
        <w:rPr>
          <w:rFonts w:hint="eastAsia" w:asciiTheme="minorEastAsia" w:hAnsiTheme="minorEastAsia" w:eastAsiaTheme="minorEastAsia"/>
          <w:color w:val="auto"/>
          <w:sz w:val="24"/>
          <w:szCs w:val="24"/>
          <w:highlight w:val="none"/>
          <w:lang w:eastAsia="zh-CN"/>
        </w:rPr>
        <w:t xml:space="preserve">。</w:t>
      </w:r>
      <w:r/>
    </w:p>
    <w:p>
      <w:pPr>
        <w:pStyle w:val="938"/>
        <w:spacing w:line="480" w:lineRule="exact"/>
        <w:rPr>
          <w:rFonts w:asciiTheme="minorEastAsia" w:hAnsiTheme="minorEastAsia" w:eastAsiaTheme="minorEastAsia"/>
          <w:b/>
          <w:color w:val="auto"/>
          <w:sz w:val="24"/>
          <w:szCs w:val="24"/>
          <w:highlight w:val="none"/>
          <w:lang w:eastAsia="zh-CN"/>
        </w:rPr>
      </w:pPr>
      <w:r/>
      <w:bookmarkStart w:id="28" w:name="OLE_LINK39"/>
      <w:r/>
      <w:bookmarkStart w:id="29" w:name="OLE_LINK17"/>
      <w:r/>
      <w:bookmarkStart w:id="30" w:name="OLE_LINK16"/>
      <w:r>
        <w:rPr>
          <w:rFonts w:asciiTheme="minorEastAsia" w:hAnsiTheme="minorEastAsia" w:eastAsiaTheme="minorEastAsia"/>
          <w:b/>
          <w:color w:val="auto"/>
          <w:sz w:val="24"/>
          <w:szCs w:val="24"/>
          <w:highlight w:val="none"/>
          <w:lang w:eastAsia="zh-CN"/>
        </w:rPr>
        <w:t xml:space="preserve">（二）</w:t>
      </w:r>
      <w:bookmarkEnd w:id="28"/>
      <w:r>
        <w:rPr>
          <w:rFonts w:hint="eastAsia" w:asciiTheme="minorEastAsia" w:hAnsiTheme="minorEastAsia" w:eastAsiaTheme="minorEastAsia"/>
          <w:b/>
          <w:color w:val="auto"/>
          <w:sz w:val="24"/>
          <w:szCs w:val="24"/>
          <w:highlight w:val="none"/>
          <w:lang w:eastAsia="zh-CN"/>
        </w:rPr>
        <w:t xml:space="preserve">付款方式：</w:t>
      </w:r>
      <w:bookmarkEnd w:id="29"/>
      <w:r/>
      <w:bookmarkEnd w:id="30"/>
      <w:r/>
      <w:r/>
    </w:p>
    <w:p>
      <w:pPr>
        <w:pStyle w:val="93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olor w:val="auto"/>
          <w:sz w:val="24"/>
          <w:szCs w:val="24"/>
          <w:highlight w:val="none"/>
          <w:lang w:eastAsia="zh-CN"/>
        </w:rPr>
        <w:t xml:space="preserve">签订合同后，14个工作日预付合同金额10%。甲方对乙方的服务工作进行考核，每季度考核结果与服务费用挂钩（考核细则见采购项目需求），此次合同金额分为基本费用和考核费。基本费为合同金额的90%，考核费为合同金额的10%，甲方每月支付一次费用，基本费为合同金额*90%/4，考核费为合同金额*10%/4*考核系数。考核系数=季度考核成绩/100*100%，考核系数高于95%视为满分，低于70%为考核不合格，不予支付考核</w:t>
      </w:r>
      <w:r>
        <w:rPr>
          <w:rFonts w:hint="eastAsia" w:ascii="宋体" w:hAnsi="宋体" w:eastAsia="宋体" w:cs="宋体"/>
          <w:color w:val="auto"/>
          <w:sz w:val="24"/>
          <w:szCs w:val="24"/>
          <w:highlight w:val="none"/>
          <w:lang w:eastAsia="zh-CN"/>
        </w:rPr>
        <w:t xml:space="preserve">费，连续2次考核不合格，委托方有权取消合同。</w:t>
      </w:r>
      <w:r/>
    </w:p>
    <w:p>
      <w:pPr>
        <w:pStyle w:val="694"/>
        <w:spacing w:before="0" w:after="0" w:line="480" w:lineRule="exact"/>
        <w:rPr>
          <w:rFonts w:ascii="宋体" w:hAnsi="宋体" w:eastAsia="宋体" w:cs="宋体"/>
          <w:b/>
          <w:bCs/>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（三）</w:t>
      </w:r>
      <w:r>
        <w:rPr>
          <w:rFonts w:hint="eastAsia" w:ascii="宋体" w:hAnsi="宋体" w:eastAsia="宋体" w:cs="宋体"/>
          <w:b/>
          <w:bCs/>
          <w:color w:val="auto"/>
          <w:sz w:val="24"/>
          <w:szCs w:val="24"/>
          <w:highlight w:val="none"/>
          <w:lang w:eastAsia="zh-CN"/>
        </w:rPr>
        <w:t xml:space="preserve">物业公司考评管理办法</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为加强对驻院物业公司的监督管理，提高物业管理服务水平，以适应卫生改革与发展需要，特制订浏河人民医院物业公司考评管理办法。</w:t>
      </w:r>
      <w:r/>
    </w:p>
    <w:p>
      <w:pPr>
        <w:ind w:firstLine="482"/>
        <w:spacing w:after="0" w:line="48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目标和范围</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目标：</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1、有效解决医院实施物业管理工作中的缺陷，对存在问题及时整改。</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2、提高对驻院物业公司综合服务质量监管水平，淘汰不合格物业管理企业。</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3、强化对物业公司的监管及相关从业人员的培训，提高物业公司管理人员综合素质。</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4、加强物业公司自治和自律行为。</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范围：</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医院物业服务内容主要包括保洁（日常保洁、专项保洁）、垃圾清运（生活垃圾、医疗垃圾）、运送服务、手术室驻守服务四个方面。医院对相应的驻院物业公司实施动态监管，规范其管理行为和服务行为。</w:t>
      </w:r>
      <w:r/>
    </w:p>
    <w:p>
      <w:pPr>
        <w:ind w:firstLine="482"/>
        <w:spacing w:after="0" w:line="48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考评指标</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考评指标分为三项：基础管理、质量管理、满意度，分别占比例分如下：</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1、基础管理：30%</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2、质量管理：40%</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3、满意度：30%</w:t>
      </w:r>
      <w:r/>
    </w:p>
    <w:p>
      <w:pPr>
        <w:ind w:firstLine="482"/>
        <w:spacing w:after="0" w:line="48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考评形式</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1、现场工作质量检查、实际服务人数统计、工作人员访谈、查看台帐资料、住院病人满意度、测评临床科室医护人员满意度。</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2、确定考评周期：每月定期考评，年终评价一次，签约期满进行一次物业管理品质全面评价。</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3、每月考核的结果以书面函的形式发送到相应物业服务公司，内容包括常规工作完成情况、满意度调查结果、工作中存在的问题、考评总分等。</w:t>
      </w:r>
      <w:r/>
    </w:p>
    <w:p>
      <w:pPr>
        <w:ind w:firstLine="482"/>
        <w:spacing w:after="0" w:line="48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考评效用</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将考核结果与医院支付服务费用挂钩：</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1、每月综合考评分数在90分及以上的，医院按照合同方案全额支付给物业服务公司相应的服务费用。</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2、每月综合考评分为85-89分，扣除乙方当月服务费500元。</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3、每月综合考评分为80-84分，扣除乙方当月服务费1000元。</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4、每月综合考评分为75-79分，扣除乙方当月服务费2000元。</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5、每月综合考评分为70-74分，扣除乙方当月服务费3000元。</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6、每月综合考评分为65-69分，扣除乙方当月服务费4000元。</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7、每月综合考评分低于60-64分，扣除乙方当月服务费的5000元。</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8、每月综合考评分低于60分，扣除乙方当月服务费的50%。</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9、年度综合考评平均分低于80分，扣除乙方5000元服务费用。</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10、公司的年度考评分值与相关物业服务项目下一周期的招标或续约挂钩。</w:t>
      </w:r>
      <w:r/>
    </w:p>
    <w:p>
      <w:pPr>
        <w:spacing w:after="0" w:line="480" w:lineRule="exact"/>
        <w:shd w:val="clear" w:color="auto" w:fill="ffffff"/>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   服务人员要求</w:t>
      </w:r>
      <w:r/>
    </w:p>
    <w:p>
      <w:pPr>
        <w:ind w:firstLine="480"/>
        <w:spacing w:after="0" w:line="480" w:lineRule="exact"/>
        <w:shd w:val="clear" w:color="auto" w:fill="ffffff"/>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物业服务工作人员应身体健康，有从事相关岗位的能力，遵纪守法，原则上缴纳社保人数比例不低于总人数的50%。如果缴纳社保人数比例低于总人数的45%，扣除乙方当月服务费3%，如果缴纳社保人数比例低于总人数的40%，扣除乙方当月服务费6%，如果缴纳社保人数比例低于总人数的30%，在三个月内未能整改到位，甲方有权要求终止合同。</w:t>
      </w:r>
      <w:r/>
    </w:p>
    <w:p>
      <w:pPr>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注：每月综合考评得分=基础管理得分（30%）+质量管理得分（40%）+满意度得分（30%）</w:t>
      </w:r>
      <w:r/>
    </w:p>
    <w:p>
      <w:pPr>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基础管理得分=30*基础管理得分/100</w:t>
      </w:r>
      <w:r/>
    </w:p>
    <w:p>
      <w:pPr>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质量管理得分=40*质量管理七张表格总得分/700 </w:t>
      </w:r>
      <w:r/>
    </w:p>
    <w:p>
      <w:pPr>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满意度得分=住院病人打分（满分5分）+测评临床科室医护人员打分（满分5分）+院方办公室打分（满分5分）+保洁员工作考核标准（15分）</w:t>
      </w:r>
      <w:r/>
    </w:p>
    <w:p>
      <w:pPr>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rPr>
          <w:rFonts w:hint="eastAsia" w:ascii="宋体" w:hAnsi="宋体" w:eastAsia="宋体" w:cs="宋体"/>
          <w:b/>
          <w:color w:val="auto"/>
          <w:sz w:val="24"/>
          <w:szCs w:val="24"/>
          <w:highlight w:val="none"/>
          <w:lang w:eastAsia="zh-CN"/>
        </w:rPr>
        <w:t xml:space="preserve">物业公司基础管理评价体系及考核标准（基础管理考核占比30%）</w:t>
      </w:r>
      <w:r/>
    </w:p>
    <w:tbl>
      <w:tblPr>
        <w:tblStyle w:val="703"/>
        <w:tblW w:w="9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653"/>
        <w:gridCol w:w="2128"/>
        <w:gridCol w:w="1460"/>
        <w:gridCol w:w="1183"/>
        <w:gridCol w:w="2411"/>
        <w:gridCol w:w="552"/>
        <w:gridCol w:w="443"/>
      </w:tblGrid>
      <w:tr>
        <w:trPr>
          <w:jc w:val="center"/>
          <w:trHeight w:val="586"/>
        </w:trPr>
        <w:tc>
          <w:tcPr>
            <w:tcW w:w="623" w:type="dxa"/>
            <w:vAlign w:val="center"/>
            <w:textDirection w:val="lrTb"/>
            <w:noWrap w:val="false"/>
          </w:tcPr>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w:t>
            </w:r>
            <w:r/>
          </w:p>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目</w:t>
            </w:r>
            <w:r/>
          </w:p>
        </w:tc>
        <w:tc>
          <w:tcPr>
            <w:tcW w:w="653" w:type="dxa"/>
            <w:vAlign w:val="center"/>
            <w:textDirection w:val="lrTb"/>
            <w:noWrap w:val="false"/>
          </w:tcPr>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W w:w="2128" w:type="dxa"/>
            <w:vAlign w:val="center"/>
            <w:textDirection w:val="lrTb"/>
            <w:noWrap w:val="false"/>
          </w:tcPr>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考评内容</w:t>
            </w:r>
            <w:r/>
          </w:p>
        </w:tc>
        <w:tc>
          <w:tcPr>
            <w:gridSpan w:val="2"/>
            <w:tcW w:w="2643" w:type="dxa"/>
            <w:vAlign w:val="center"/>
            <w:textDirection w:val="lrTb"/>
            <w:noWrap w:val="false"/>
          </w:tcPr>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要求与说明</w:t>
            </w:r>
            <w:r/>
          </w:p>
        </w:tc>
        <w:tc>
          <w:tcPr>
            <w:tcW w:w="2411" w:type="dxa"/>
            <w:vAlign w:val="center"/>
            <w:textDirection w:val="lrTb"/>
            <w:noWrap w:val="false"/>
          </w:tcPr>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W w:w="552" w:type="dxa"/>
            <w:vAlign w:val="center"/>
            <w:textDirection w:val="lrTb"/>
            <w:noWrap w:val="false"/>
          </w:tcPr>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扣分</w:t>
            </w:r>
            <w:r/>
          </w:p>
        </w:tc>
        <w:tc>
          <w:tcPr>
            <w:tcW w:w="443" w:type="dxa"/>
            <w:vAlign w:val="center"/>
            <w:textDirection w:val="lrTb"/>
            <w:noWrap w:val="false"/>
          </w:tcPr>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得分</w:t>
            </w:r>
            <w:r/>
          </w:p>
        </w:tc>
      </w:tr>
      <w:tr>
        <w:trPr>
          <w:jc w:val="center"/>
          <w:trHeight w:val="90"/>
        </w:trPr>
        <w:tc>
          <w:tcPr>
            <w:tcW w:w="623" w:type="dxa"/>
            <w:vAlign w:val="center"/>
            <w:textDirection w:val="lrTb"/>
            <w:noWrap w:val="false"/>
          </w:tcPr>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否定指标</w:t>
            </w:r>
            <w:r/>
          </w:p>
        </w:tc>
        <w:tc>
          <w:tcPr>
            <w:tcW w:w="653" w:type="dxa"/>
            <w:textDirection w:val="lrTb"/>
            <w:noWrap w:val="false"/>
          </w:tcPr>
          <w:p>
            <w:pPr>
              <w:spacing w:line="2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128" w:type="dxa"/>
            <w:vAlign w:val="center"/>
            <w:textDirection w:val="lrTb"/>
            <w:noWrap w:val="false"/>
          </w:tcPr>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1、利用职务之便谋取非法利益。出现盗窃事件。</w:t>
            </w:r>
            <w:r/>
          </w:p>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2、贪污受贿。</w:t>
            </w:r>
            <w:r/>
          </w:p>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3、使用伪劣产品导致火灾等不良事件，造成医院重大经济损失。</w:t>
            </w:r>
            <w:r/>
          </w:p>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4、玩忽职守造成医院重大人员、财产损失。</w:t>
            </w:r>
            <w:r/>
          </w:p>
        </w:tc>
        <w:tc>
          <w:tcPr>
            <w:gridSpan w:val="2"/>
            <w:tcW w:w="2643" w:type="dxa"/>
            <w:vAlign w:val="center"/>
            <w:textDirection w:val="lrTb"/>
            <w:noWrap w:val="false"/>
          </w:tcPr>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1、被医院认定或被投诉。</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2、被医院查处、被投诉或新闻媒体曝光。</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3、总价值在1万元以上。</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4、直接经济损失在1万元以上。</w:t>
            </w:r>
            <w:r/>
          </w:p>
        </w:tc>
        <w:tc>
          <w:tcPr>
            <w:tcW w:w="2411" w:type="dxa"/>
            <w:vAlign w:val="center"/>
            <w:textDirection w:val="lrTb"/>
            <w:noWrap w:val="false"/>
          </w:tcPr>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凡出现4项中任意一项，则该公司当月基础管理部分考核为0分。</w:t>
            </w:r>
            <w:r/>
          </w:p>
        </w:tc>
        <w:tc>
          <w:tcPr>
            <w:tcW w:w="552" w:type="dxa"/>
            <w:textDirection w:val="lrTb"/>
            <w:noWrap w:val="false"/>
          </w:tcPr>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443" w:type="dxa"/>
            <w:textDirection w:val="lrTb"/>
            <w:noWrap w:val="false"/>
          </w:tcPr>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r>
      <w:tr>
        <w:trPr>
          <w:jc w:val="center"/>
          <w:trHeight w:val="1741"/>
        </w:trPr>
        <w:tc>
          <w:tcPr>
            <w:tcW w:w="623" w:type="dxa"/>
            <w:vAlign w:val="center"/>
            <w:textDirection w:val="lrTb"/>
            <w:noWrap w:val="false"/>
          </w:tcPr>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日常工作</w:t>
            </w:r>
            <w:r/>
          </w:p>
        </w:tc>
        <w:tc>
          <w:tcPr>
            <w:tcW w:w="653" w:type="dxa"/>
            <w:textDirection w:val="lrTb"/>
            <w:noWrap w:val="false"/>
          </w:tcPr>
          <w:p>
            <w:pPr>
              <w:spacing w:line="2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spacing w:line="2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spacing w:line="2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w:t>
            </w:r>
            <w:r/>
          </w:p>
          <w:p>
            <w:pPr>
              <w:jc w:val="center"/>
              <w:spacing w:line="40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分</w:t>
            </w:r>
            <w:r/>
          </w:p>
        </w:tc>
        <w:tc>
          <w:tcPr>
            <w:tcW w:w="2128" w:type="dxa"/>
            <w:vAlign w:val="center"/>
            <w:textDirection w:val="lrTb"/>
            <w:noWrap w:val="false"/>
          </w:tcPr>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1、每周要有会议记录。</w:t>
            </w:r>
            <w:r/>
          </w:p>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2、每月不少于一次业务学习。</w:t>
            </w:r>
            <w:r/>
          </w:p>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3、管理人员和员工在岗情况。</w:t>
            </w:r>
            <w:r/>
          </w:p>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4、水、电能源节约情况。</w:t>
            </w:r>
            <w:r/>
          </w:p>
        </w:tc>
        <w:tc>
          <w:tcPr>
            <w:gridSpan w:val="2"/>
            <w:tcW w:w="2643" w:type="dxa"/>
            <w:vAlign w:val="center"/>
            <w:textDirection w:val="lrTb"/>
            <w:noWrap w:val="false"/>
          </w:tcPr>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1、查看工作会议记录本。</w:t>
            </w:r>
            <w:r/>
          </w:p>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2、查看业务学习记录本。</w:t>
            </w:r>
            <w:r/>
          </w:p>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3、抽查人员在岗情况。</w:t>
            </w:r>
            <w:r/>
          </w:p>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4、抽查节能管理工作。</w:t>
            </w:r>
            <w:r/>
          </w:p>
          <w:p>
            <w:pPr>
              <w:spacing w:line="180" w:lineRule="atLeas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2411" w:type="dxa"/>
            <w:vAlign w:val="center"/>
            <w:textDirection w:val="lrTb"/>
            <w:noWrap w:val="false"/>
          </w:tcPr>
          <w:p>
            <w:pPr>
              <w:spacing w:line="1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1、每缺1次扣0.5分。</w:t>
            </w:r>
            <w:r/>
          </w:p>
          <w:p>
            <w:pPr>
              <w:spacing w:line="180" w:lineRule="atLeas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2、每缺1次扣0.5分。</w:t>
            </w:r>
            <w:r/>
          </w:p>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3、发现迟到早退1人次扣0.2分，脱岗1人次扣0.2分。</w:t>
            </w:r>
            <w:r/>
          </w:p>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 浪费水电资源，发现一次扣0.5分</w:t>
            </w:r>
            <w:r/>
          </w:p>
        </w:tc>
        <w:tc>
          <w:tcPr>
            <w:tcW w:w="552" w:type="dxa"/>
            <w:textDirection w:val="lrTb"/>
            <w:noWrap w:val="false"/>
          </w:tcPr>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443" w:type="dxa"/>
            <w:textDirection w:val="lrTb"/>
            <w:noWrap w:val="false"/>
          </w:tcPr>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r>
      <w:tr>
        <w:trPr>
          <w:jc w:val="center"/>
          <w:trHeight w:val="1152"/>
        </w:trPr>
        <w:tc>
          <w:tcPr>
            <w:tcW w:w="623" w:type="dxa"/>
            <w:vAlign w:val="center"/>
            <w:textDirection w:val="lrTb"/>
            <w:noWrap w:val="false"/>
          </w:tcPr>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制度培训</w:t>
            </w:r>
            <w:r/>
          </w:p>
        </w:tc>
        <w:tc>
          <w:tcPr>
            <w:tcW w:w="653" w:type="dxa"/>
            <w:textDirection w:val="lrTb"/>
            <w:noWrap w:val="false"/>
          </w:tcPr>
          <w:p>
            <w:pPr>
              <w:spacing w:line="2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0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15分</w:t>
            </w:r>
            <w:r/>
          </w:p>
        </w:tc>
        <w:tc>
          <w:tcPr>
            <w:tcW w:w="2128" w:type="dxa"/>
            <w:vAlign w:val="center"/>
            <w:textDirection w:val="lrTb"/>
            <w:noWrap w:val="false"/>
          </w:tcPr>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1、制定制度、职责、流程。</w:t>
            </w:r>
            <w:r/>
          </w:p>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2、业务学习培训计划、培训记录。</w:t>
            </w:r>
            <w:r/>
          </w:p>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3、特殊岗位取得上岗证或培训证。             </w:t>
            </w:r>
            <w:r/>
          </w:p>
        </w:tc>
        <w:tc>
          <w:tcPr>
            <w:gridSpan w:val="2"/>
            <w:tcW w:w="2643" w:type="dxa"/>
            <w:vAlign w:val="center"/>
            <w:textDirection w:val="lrTb"/>
            <w:noWrap w:val="false"/>
          </w:tcPr>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1、制度、职责、流程有可行性。</w:t>
            </w:r>
            <w:r/>
          </w:p>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2、有培训计划、培训记录。</w:t>
            </w:r>
            <w:r/>
          </w:p>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3、特殊岗位上岗证与培训证在有效期内。</w:t>
            </w:r>
            <w:r/>
          </w:p>
          <w:p>
            <w:pPr>
              <w:spacing w:line="180" w:lineRule="atLeas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2411" w:type="dxa"/>
            <w:vAlign w:val="center"/>
            <w:textDirection w:val="lrTb"/>
            <w:noWrap w:val="false"/>
          </w:tcPr>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1、未建立规章制度扣2分。    </w:t>
            </w:r>
            <w:r/>
          </w:p>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2、未进行业务培训扣2分。</w:t>
            </w:r>
            <w:r/>
          </w:p>
          <w:p>
            <w:pPr>
              <w:spacing w:line="180" w:lineRule="atLeas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3、特殊岗位无培训证或上岗证扣发现一次扣0.5分。          </w:t>
            </w:r>
            <w:r/>
          </w:p>
        </w:tc>
        <w:tc>
          <w:tcPr>
            <w:tcW w:w="552" w:type="dxa"/>
            <w:textDirection w:val="lrTb"/>
            <w:noWrap w:val="false"/>
          </w:tcPr>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443" w:type="dxa"/>
            <w:textDirection w:val="lrTb"/>
            <w:noWrap w:val="false"/>
          </w:tcPr>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r>
      <w:tr>
        <w:trPr>
          <w:jc w:val="center"/>
          <w:trHeight w:val="982"/>
        </w:trPr>
        <w:tc>
          <w:tcPr>
            <w:tcW w:w="623" w:type="dxa"/>
            <w:vAlign w:val="center"/>
            <w:textDirection w:val="lrTb"/>
            <w:noWrap w:val="false"/>
          </w:tcPr>
          <w:p>
            <w:pPr>
              <w:jc w:val="center"/>
              <w:spacing w:line="200" w:lineRule="exact"/>
              <w:rPr>
                <w:rFonts w:ascii="宋体" w:hAnsi="宋体" w:eastAsia="宋体" w:cs="宋体"/>
                <w:b/>
                <w:color w:val="auto"/>
                <w:sz w:val="24"/>
                <w:szCs w:val="24"/>
                <w:highlight w:val="none"/>
                <w:lang w:eastAsia="zh-CN"/>
              </w:rPr>
            </w:pPr>
            <w:r>
              <w:rPr>
                <w:rFonts w:ascii="宋体" w:hAnsi="宋体" w:eastAsia="宋体" w:cs="宋体"/>
                <w:b/>
                <w:color w:val="auto"/>
                <w:sz w:val="24"/>
                <w:szCs w:val="24"/>
                <w:highlight w:val="none"/>
                <w:lang w:eastAsia="zh-CN"/>
              </w:rPr>
            </w:r>
            <w:r/>
          </w:p>
          <w:p>
            <w:pPr>
              <w:jc w:val="center"/>
              <w:spacing w:line="200" w:lineRule="exact"/>
              <w:rPr>
                <w:rFonts w:ascii="宋体" w:hAnsi="宋体" w:eastAsia="宋体" w:cs="宋体"/>
                <w:b/>
                <w:color w:val="auto"/>
                <w:sz w:val="24"/>
                <w:szCs w:val="24"/>
                <w:highlight w:val="none"/>
                <w:lang w:eastAsia="zh-CN"/>
              </w:rPr>
            </w:pPr>
            <w:r>
              <w:rPr>
                <w:rFonts w:ascii="宋体" w:hAnsi="宋体" w:eastAsia="宋体" w:cs="宋体"/>
                <w:b/>
                <w:color w:val="auto"/>
                <w:sz w:val="24"/>
                <w:szCs w:val="24"/>
                <w:highlight w:val="none"/>
                <w:lang w:eastAsia="zh-CN"/>
              </w:rPr>
            </w:r>
            <w:r/>
          </w:p>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执</w:t>
            </w:r>
            <w:r/>
          </w:p>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行</w:t>
            </w:r>
            <w:r/>
          </w:p>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力</w:t>
            </w:r>
            <w:r/>
          </w:p>
          <w:p>
            <w:pPr>
              <w:jc w:val="center"/>
              <w:spacing w:line="2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2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2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2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tc>
        <w:tc>
          <w:tcPr>
            <w:tcW w:w="653" w:type="dxa"/>
            <w:textDirection w:val="lrTb"/>
            <w:noWrap w:val="false"/>
          </w:tcPr>
          <w:p>
            <w:pPr>
              <w:jc w:val="center"/>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40分</w:t>
            </w:r>
            <w:r/>
          </w:p>
          <w:p>
            <w:pPr>
              <w:jc w:val="center"/>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tc>
        <w:tc>
          <w:tcPr>
            <w:tcW w:w="2128" w:type="dxa"/>
            <w:vAlign w:val="center"/>
            <w:textDirection w:val="lrTb"/>
            <w:noWrap w:val="false"/>
          </w:tcPr>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1、有月、季、年工作计划和工作总结并及时上报。</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2、合同人数和实际工作人数相符。</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3、有处理应急突发事件措施。</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4、及时完成医院临时指令性任务。</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5、工作质量巡检质控记录，对存在问题及时分析及整改。</w:t>
            </w:r>
            <w:r/>
          </w:p>
        </w:tc>
        <w:tc>
          <w:tcPr>
            <w:gridSpan w:val="2"/>
            <w:tcW w:w="2643" w:type="dxa"/>
            <w:vAlign w:val="center"/>
            <w:textDirection w:val="lrTb"/>
            <w:noWrap w:val="false"/>
          </w:tcPr>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1、查看计划和总结，查看上报及时性。</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2、不定期抽查人力资源调配情况。</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3、有突发事件应急预案，每半年培训演练一次并有记录。查看员工对突发事件的应急预案掌握情况。</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4、对院方指令性任务配合程度和完成情况。</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5、抽查巡检质控记录本、检查整改落实措施。</w:t>
            </w:r>
            <w:r/>
          </w:p>
          <w:p>
            <w:pP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2411" w:type="dxa"/>
            <w:vAlign w:val="center"/>
            <w:textDirection w:val="lrTb"/>
            <w:noWrap w:val="false"/>
          </w:tcPr>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1、缺计划和总结扣1分，上报不及时扣1分。</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2、出现合同人数和实际工作人数不符，不能说明原因，发现一次扣5分。</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3、公司未制定应急预案扣0.5分，未培训扣0.5分。</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4、拒绝完成医院临时指令性任务扣2分。</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5、无质控记录，对存在问题未分析、整改、上报扣1分。</w:t>
            </w:r>
            <w:r/>
          </w:p>
        </w:tc>
        <w:tc>
          <w:tcPr>
            <w:tcW w:w="552" w:type="dxa"/>
            <w:textDirection w:val="lrTb"/>
            <w:noWrap w:val="false"/>
          </w:tcPr>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443" w:type="dxa"/>
            <w:textDirection w:val="lrTb"/>
            <w:noWrap w:val="false"/>
          </w:tcPr>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r>
      <w:tr>
        <w:trPr>
          <w:jc w:val="center"/>
          <w:trHeight w:val="90"/>
        </w:trPr>
        <w:tc>
          <w:tcPr>
            <w:tcW w:w="623" w:type="dxa"/>
            <w:vAlign w:val="center"/>
            <w:textDirection w:val="lrTb"/>
            <w:noWrap w:val="false"/>
          </w:tcPr>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管理手段</w:t>
            </w:r>
            <w:r/>
          </w:p>
        </w:tc>
        <w:tc>
          <w:tcPr>
            <w:tcW w:w="653" w:type="dxa"/>
            <w:textDirection w:val="lrTb"/>
            <w:noWrap w:val="false"/>
          </w:tcPr>
          <w:p>
            <w:pPr>
              <w:jc w:val="center"/>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20分</w:t>
            </w:r>
            <w:r/>
          </w:p>
        </w:tc>
        <w:tc>
          <w:tcPr>
            <w:tcW w:w="2128" w:type="dxa"/>
            <w:vAlign w:val="center"/>
            <w:textDirection w:val="lrTb"/>
            <w:noWrap w:val="false"/>
          </w:tcPr>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1、物业公司应用计算机等现代化管理手段。</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2、进驻医院公司配备计算机不少于1台。</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3、物业公司管理人员熟悉掌握计算机基础应用。</w:t>
            </w:r>
            <w:r/>
          </w:p>
        </w:tc>
        <w:tc>
          <w:tcPr>
            <w:gridSpan w:val="2"/>
            <w:tcW w:w="2643" w:type="dxa"/>
            <w:vAlign w:val="center"/>
            <w:textDirection w:val="lrTb"/>
            <w:noWrap w:val="false"/>
          </w:tcPr>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1、现场查看公司信息化设施配备情况。</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2、查看物业公司管理人员取得计算机等级证书。</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3、查看物业公司工作人员使用计算机能力。</w:t>
            </w:r>
            <w:r/>
          </w:p>
          <w:p>
            <w:pP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2411" w:type="dxa"/>
            <w:vAlign w:val="center"/>
            <w:textDirection w:val="lrTb"/>
            <w:noWrap w:val="false"/>
          </w:tcPr>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1、物业公司未配备电脑等信息化设施扣1分。</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2、物业公司管理人员无信息化相关证书扣1分。</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3、物业公司管理工作人员不会使用计算机扣1分。</w:t>
            </w:r>
            <w:r/>
          </w:p>
        </w:tc>
        <w:tc>
          <w:tcPr>
            <w:tcW w:w="552" w:type="dxa"/>
            <w:textDirection w:val="lrTb"/>
            <w:noWrap w:val="false"/>
          </w:tcPr>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443" w:type="dxa"/>
            <w:textDirection w:val="lrTb"/>
            <w:noWrap w:val="false"/>
          </w:tcPr>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r>
      <w:tr>
        <w:trPr>
          <w:jc w:val="center"/>
          <w:trHeight w:val="267"/>
        </w:trPr>
        <w:tc>
          <w:tcPr>
            <w:tcW w:w="623" w:type="dxa"/>
            <w:vAlign w:val="center"/>
            <w:textDirection w:val="lrTb"/>
            <w:noWrap w:val="false"/>
          </w:tcPr>
          <w:p>
            <w:pPr>
              <w:jc w:val="cente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缺陷管理</w:t>
            </w:r>
            <w:r/>
          </w:p>
        </w:tc>
        <w:tc>
          <w:tcPr>
            <w:tcW w:w="653" w:type="dxa"/>
            <w:textDirection w:val="lrTb"/>
            <w:noWrap w:val="false"/>
          </w:tcPr>
          <w:p>
            <w:pPr>
              <w:spacing w:line="2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0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00" w:lineRule="exact"/>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10分</w:t>
            </w:r>
            <w:r/>
          </w:p>
        </w:tc>
        <w:tc>
          <w:tcPr>
            <w:tcW w:w="2128" w:type="dxa"/>
            <w:vAlign w:val="center"/>
            <w:textDirection w:val="lrTb"/>
            <w:noWrap w:val="false"/>
          </w:tcPr>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1、医院方集中考核、专项检查、总值班夜查房存在缺陷。</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2、工作敷衍。</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3、服务态度差。</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4、违反院纪院规。</w:t>
            </w:r>
            <w:r/>
          </w:p>
        </w:tc>
        <w:tc>
          <w:tcPr>
            <w:gridSpan w:val="2"/>
            <w:tcW w:w="2643" w:type="dxa"/>
            <w:vAlign w:val="center"/>
            <w:textDirection w:val="lrTb"/>
            <w:noWrap w:val="false"/>
          </w:tcPr>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1、在医院各种检查中认定。</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2、遭致患者或医护人员投诉。</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3、遭致患者或医护人员投诉。</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4、被发现，被投诉。</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411" w:type="dxa"/>
            <w:vAlign w:val="center"/>
            <w:textDirection w:val="lrTb"/>
            <w:noWrap w:val="false"/>
          </w:tcPr>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1、违规者扣1分。</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2、违规者扣1分。</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3、违规者扣1分。</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4、违规者扣1分。</w:t>
            </w:r>
            <w:r/>
          </w:p>
        </w:tc>
        <w:tc>
          <w:tcPr>
            <w:tcW w:w="552" w:type="dxa"/>
            <w:textDirection w:val="lrTb"/>
            <w:noWrap w:val="false"/>
          </w:tcPr>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c>
          <w:tcPr>
            <w:tcW w:w="443" w:type="dxa"/>
            <w:textDirection w:val="lrTb"/>
            <w:noWrap w:val="false"/>
          </w:tcPr>
          <w:p>
            <w:pPr>
              <w:spacing w:line="200" w:lineRule="exact"/>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r>
      <w:tr>
        <w:trPr>
          <w:jc w:val="center"/>
          <w:trHeight w:val="540"/>
        </w:trPr>
        <w:tc>
          <w:tcPr>
            <w:gridSpan w:val="4"/>
            <w:tcW w:w="4864" w:type="dxa"/>
            <w:textDirection w:val="lrTb"/>
            <w:noWrap w:val="false"/>
          </w:tcPr>
          <w:p>
            <w:pP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物业公司名称：</w:t>
            </w:r>
            <w:r/>
          </w:p>
        </w:tc>
        <w:tc>
          <w:tcPr>
            <w:gridSpan w:val="4"/>
            <w:tcW w:w="4589" w:type="dxa"/>
            <w:textDirection w:val="lrTb"/>
            <w:noWrap w:val="false"/>
          </w:tcPr>
          <w:p>
            <w:pPr>
              <w:spacing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监管部门：</w:t>
            </w:r>
            <w:r/>
          </w:p>
        </w:tc>
      </w:tr>
    </w:tbl>
    <w:p>
      <w:pPr>
        <w:spacing w:after="0" w:line="480" w:lineRule="exact"/>
        <w:rPr>
          <w:rFonts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 xml:space="preserve">检查时间：                检查者：           得分：</w:t>
      </w:r>
      <w:r/>
    </w:p>
    <w:p>
      <w:pPr>
        <w:spacing w:after="0" w:line="480" w:lineRule="exact"/>
        <w:rPr>
          <w:rFonts w:ascii="宋体" w:hAnsi="宋体" w:eastAsia="宋体" w:cs="宋体"/>
          <w:b/>
          <w:color w:val="auto"/>
          <w:sz w:val="24"/>
          <w:highlight w:val="none"/>
          <w:lang w:eastAsia="zh-CN"/>
        </w:rPr>
      </w:pPr>
      <w:r>
        <w:rPr>
          <w:rFonts w:ascii="宋体" w:hAnsi="宋体" w:eastAsia="宋体" w:cs="宋体"/>
          <w:b/>
          <w:color w:val="auto"/>
          <w:sz w:val="24"/>
          <w:highlight w:val="none"/>
          <w:lang w:eastAsia="zh-CN"/>
        </w:rPr>
      </w:r>
      <w:r/>
    </w:p>
    <w:p>
      <w:pPr>
        <w:ind w:firstLine="482"/>
        <w:jc w:val="center"/>
        <w:spacing w:after="0" w:line="480" w:lineRule="exact"/>
        <w:rPr>
          <w:rFonts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 xml:space="preserve">物业公司质量管理评价体系及考核标准（质量考核占比40%）</w:t>
      </w:r>
      <w:r/>
    </w:p>
    <w:p>
      <w:pPr>
        <w:jc w:val="center"/>
        <w:spacing w:after="0" w:line="480" w:lineRule="exact"/>
        <w:rPr>
          <w:rFonts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 xml:space="preserve">2026-2027年度医院保洁服务质量检查标准</w:t>
      </w:r>
      <w:r/>
    </w:p>
    <w:p>
      <w:pPr>
        <w:spacing w:after="0" w:line="480" w:lineRule="exact"/>
        <w:rPr>
          <w:rFonts w:ascii="宋体" w:hAnsi="宋体" w:eastAsia="宋体" w:cs="宋体"/>
          <w:b/>
          <w:color w:val="auto"/>
          <w:sz w:val="24"/>
          <w:highlight w:val="none"/>
          <w:lang w:eastAsia="zh-CN"/>
        </w:rPr>
      </w:pPr>
      <w:r>
        <w:rPr>
          <w:rFonts w:ascii="宋体" w:hAnsi="宋体" w:eastAsia="宋体" w:cs="宋体"/>
          <w:b/>
          <w:color w:val="auto"/>
          <w:sz w:val="24"/>
          <w:highlight w:val="none"/>
          <w:lang w:eastAsia="zh-CN"/>
        </w:rPr>
      </w:r>
      <w:r/>
    </w:p>
    <w:tbl>
      <w:tblPr>
        <w:tblStyle w:val="703"/>
        <w:tblW w:w="0" w:type="auto"/>
        <w:jc w:val="center"/>
        <w:tblLayout w:type="fixed"/>
        <w:tblCellMar>
          <w:left w:w="108" w:type="dxa"/>
          <w:top w:w="0" w:type="dxa"/>
          <w:right w:w="108" w:type="dxa"/>
          <w:bottom w:w="0" w:type="dxa"/>
        </w:tblCellMar>
        <w:tblLook w:val="04A0" w:firstRow="1" w:lastRow="0" w:firstColumn="1" w:lastColumn="0" w:noHBand="0" w:noVBand="1"/>
      </w:tblPr>
      <w:tblGrid>
        <w:gridCol w:w="2178"/>
        <w:gridCol w:w="3938"/>
        <w:gridCol w:w="3381"/>
      </w:tblGrid>
      <w:tr>
        <w:trPr>
          <w:jc w:val="center"/>
          <w:trHeight w:val="617"/>
        </w:trPr>
        <w:tc>
          <w:tcPr>
            <w:tcBorders>
              <w:top w:val="single" w:color="auto" w:sz="4" w:space="0"/>
              <w:left w:val="single" w:color="auto" w:sz="4" w:space="0"/>
              <w:bottom w:val="single" w:color="auto" w:sz="4" w:space="0"/>
              <w:right w:val="single" w:color="auto" w:sz="4" w:space="0"/>
            </w:tcBorders>
            <w:tcW w:w="2178" w:type="dxa"/>
            <w:textDirection w:val="lrTb"/>
            <w:noWrap w:val="false"/>
          </w:tcPr>
          <w:p>
            <w:pPr>
              <w:ind w:right="119"/>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 洁 项 目</w:t>
            </w:r>
            <w:r/>
          </w:p>
        </w:tc>
        <w:tc>
          <w:tcPr>
            <w:tcBorders>
              <w:top w:val="single" w:color="auto" w:sz="4" w:space="0"/>
              <w:left w:val="none" w:color="000000" w:sz="4" w:space="0"/>
              <w:bottom w:val="single" w:color="auto" w:sz="4" w:space="0"/>
              <w:right w:val="single" w:color="auto" w:sz="4" w:space="0"/>
            </w:tcBorders>
            <w:tcW w:w="393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 洁 质 量 标 准</w:t>
            </w:r>
            <w:r/>
          </w:p>
        </w:tc>
        <w:tc>
          <w:tcPr>
            <w:tcBorders>
              <w:top w:val="single" w:color="auto" w:sz="4" w:space="0"/>
              <w:left w:val="none" w:color="000000" w:sz="4" w:space="0"/>
              <w:bottom w:val="single" w:color="auto" w:sz="4" w:space="0"/>
              <w:right w:val="single" w:color="auto" w:sz="4" w:space="0"/>
            </w:tcBorders>
            <w:tcW w:w="3381" w:type="dxa"/>
            <w:textDirection w:val="lrTb"/>
            <w:noWrap w:val="false"/>
          </w:tcPr>
          <w:p>
            <w:pPr>
              <w:ind w:firstLine="460"/>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 测 方 法</w:t>
            </w:r>
            <w:r/>
          </w:p>
        </w:tc>
      </w:tr>
      <w:tr>
        <w:trPr>
          <w:jc w:val="center"/>
          <w:trHeight w:val="672"/>
        </w:trPr>
        <w:tc>
          <w:tcPr>
            <w:tcBorders>
              <w:top w:val="none" w:color="000000" w:sz="4" w:space="0"/>
              <w:left w:val="single" w:color="auto" w:sz="4" w:space="0"/>
              <w:bottom w:val="single" w:color="auto" w:sz="4" w:space="0"/>
              <w:right w:val="single" w:color="auto" w:sz="4" w:space="0"/>
            </w:tcBorders>
            <w:tcW w:w="2178" w:type="dxa"/>
            <w:vAlign w:val="center"/>
            <w:textDirection w:val="lrTb"/>
            <w:noWrap w:val="false"/>
          </w:tcPr>
          <w:p>
            <w:pPr>
              <w:jc w:val="center"/>
              <w:spacing w:before="100" w:beforeAutospacing="1" w:after="100" w:afterAutospacing="1" w:line="3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w:t>
            </w:r>
            <w:r/>
          </w:p>
        </w:tc>
        <w:tc>
          <w:tcPr>
            <w:tcBorders>
              <w:top w:val="none" w:color="000000" w:sz="4" w:space="0"/>
              <w:left w:val="none" w:color="000000" w:sz="4" w:space="0"/>
              <w:bottom w:val="single" w:color="auto" w:sz="4" w:space="0"/>
              <w:right w:val="single" w:color="auto" w:sz="4" w:space="0"/>
            </w:tcBorders>
            <w:tcW w:w="3938" w:type="dxa"/>
            <w:vAlign w:val="center"/>
            <w:textDirection w:val="lrTb"/>
            <w:noWrap w:val="false"/>
          </w:tcPr>
          <w:p>
            <w:pPr>
              <w:spacing w:before="100" w:beforeAutospacing="1" w:after="100" w:afterAutospacing="1" w:line="32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保持干净，无污渍、水渍、尘渍、痰渍、杂物、纸屑、烟蒂，保持光洁</w:t>
            </w:r>
            <w:r/>
          </w:p>
        </w:tc>
        <w:tc>
          <w:tcPr>
            <w:tcBorders>
              <w:top w:val="none" w:color="000000" w:sz="4" w:space="0"/>
              <w:left w:val="none" w:color="000000" w:sz="4" w:space="0"/>
              <w:bottom w:val="single" w:color="auto" w:sz="4" w:space="0"/>
              <w:right w:val="single" w:color="auto" w:sz="4" w:space="0"/>
            </w:tcBorders>
            <w:tcW w:w="3381" w:type="dxa"/>
            <w:vAlign w:val="center"/>
            <w:textDirection w:val="lrTb"/>
            <w:noWrap w:val="false"/>
          </w:tcPr>
          <w:p>
            <w:pPr>
              <w:ind w:firstLine="460"/>
              <w:jc w:val="center"/>
              <w:spacing w:before="100" w:beforeAutospacing="1" w:after="100" w:afterAutospacing="1" w:line="3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w:t>
            </w:r>
            <w:r/>
          </w:p>
        </w:tc>
      </w:tr>
      <w:tr>
        <w:trPr>
          <w:jc w:val="center"/>
          <w:trHeight w:val="266"/>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玻璃</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无手印、污渍</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纸巾擦拭60公分无脏污</w:t>
            </w:r>
            <w:r/>
          </w:p>
        </w:tc>
      </w:tr>
      <w:tr>
        <w:trPr>
          <w:jc w:val="center"/>
          <w:trHeight w:val="266"/>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不锈钢</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无手印、污渍</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以纸巾擦拭</w:t>
            </w:r>
            <w:r/>
          </w:p>
        </w:tc>
      </w:tr>
      <w:tr>
        <w:trPr>
          <w:jc w:val="center"/>
          <w:trHeight w:val="580"/>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铝合金、木饰板</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无尘、无渍</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以纸巾擦拭</w:t>
            </w:r>
            <w:r/>
          </w:p>
        </w:tc>
      </w:tr>
      <w:tr>
        <w:trPr>
          <w:jc w:val="center"/>
          <w:trHeight w:val="266"/>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拉手</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无尘、无渍</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以纸巾擦拭</w:t>
            </w:r>
            <w:r/>
          </w:p>
        </w:tc>
      </w:tr>
      <w:tr>
        <w:trPr>
          <w:jc w:val="center"/>
          <w:trHeight w:val="266"/>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防火门</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无尘、无渍</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纸巾擦拭60公分无脏污</w:t>
            </w:r>
            <w:r/>
          </w:p>
        </w:tc>
      </w:tr>
      <w:tr>
        <w:trPr>
          <w:jc w:val="center"/>
          <w:trHeight w:val="266"/>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信报箱</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无尘、无渍</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目视及以纸巾擦拭</w:t>
            </w:r>
            <w:r/>
          </w:p>
        </w:tc>
      </w:tr>
      <w:tr>
        <w:trPr>
          <w:jc w:val="center"/>
          <w:trHeight w:val="266"/>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防盗门</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无尘、无渍</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目视及以纸巾擦拭</w:t>
            </w:r>
            <w:r/>
          </w:p>
        </w:tc>
      </w:tr>
      <w:tr>
        <w:trPr>
          <w:jc w:val="center"/>
          <w:trHeight w:val="546"/>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指示牌、悬挂牌</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无尘、无蜘蛛网</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以纸巾擦拭</w:t>
            </w:r>
            <w:r/>
          </w:p>
        </w:tc>
      </w:tr>
      <w:tr>
        <w:trPr>
          <w:jc w:val="center"/>
          <w:trHeight w:val="546"/>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花盆、花槽</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无污渍、无杂物</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目视及手摸</w:t>
            </w:r>
            <w:r/>
          </w:p>
        </w:tc>
      </w:tr>
      <w:tr>
        <w:trPr>
          <w:jc w:val="center"/>
          <w:trHeight w:val="546"/>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烟灰筒、废纸筒</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无污渍、无杂物</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目视及以纸巾擦拭</w:t>
            </w:r>
            <w:r/>
          </w:p>
        </w:tc>
      </w:tr>
      <w:tr>
        <w:trPr>
          <w:jc w:val="center"/>
          <w:trHeight w:val="280"/>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天花吊顶</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无污渍、无尘、无蜘蛛网</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目视及以纸巾擦拭</w:t>
            </w:r>
            <w:r/>
          </w:p>
        </w:tc>
      </w:tr>
      <w:tr>
        <w:trPr>
          <w:jc w:val="center"/>
          <w:trHeight w:val="280"/>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不锈钢</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保持干净无污渍</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目视及以纸巾擦拭</w:t>
            </w:r>
            <w:r/>
          </w:p>
        </w:tc>
      </w:tr>
      <w:tr>
        <w:trPr>
          <w:jc w:val="center"/>
          <w:trHeight w:val="280"/>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送排风口</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无污渍、无尘、无蜘蛛网</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手摸及以纸巾擦拭</w:t>
            </w:r>
            <w:r/>
          </w:p>
        </w:tc>
      </w:tr>
      <w:tr>
        <w:trPr>
          <w:jc w:val="center"/>
          <w:trHeight w:val="280"/>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防尘地毯</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无水渍、无灰尘、无污渍</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目视及以纸巾擦拭</w:t>
            </w:r>
            <w:r/>
          </w:p>
        </w:tc>
      </w:tr>
      <w:tr>
        <w:trPr>
          <w:jc w:val="center"/>
          <w:trHeight w:val="280"/>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镜子</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无手印、无尘、无水渍</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目视及以纸巾擦拭</w:t>
            </w:r>
            <w:r/>
          </w:p>
        </w:tc>
      </w:tr>
      <w:tr>
        <w:trPr>
          <w:jc w:val="center"/>
          <w:trHeight w:val="280"/>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饰柱</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无尘无污渍无痰渍</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目视及以纸巾擦拭</w:t>
            </w:r>
            <w:r/>
          </w:p>
        </w:tc>
      </w:tr>
      <w:tr>
        <w:trPr>
          <w:jc w:val="center"/>
          <w:trHeight w:val="546"/>
        </w:trPr>
        <w:tc>
          <w:tcPr>
            <w:tcBorders>
              <w:top w:val="none" w:color="000000" w:sz="4" w:space="0"/>
              <w:left w:val="single" w:color="auto" w:sz="4" w:space="0"/>
              <w:bottom w:val="single" w:color="auto" w:sz="4" w:space="0"/>
              <w:right w:val="single" w:color="auto" w:sz="4" w:space="0"/>
            </w:tcBorders>
            <w:tcW w:w="2178" w:type="dxa"/>
            <w:vAlign w:val="center"/>
            <w:textDirection w:val="lrTb"/>
            <w:noWrap w:val="false"/>
          </w:tcPr>
          <w:p>
            <w:pPr>
              <w:jc w:val="center"/>
              <w:spacing w:before="100" w:beforeAutospacing="1" w:after="100" w:afterAutospacing="1" w:line="3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地面保</w:t>
            </w:r>
            <w:r/>
          </w:p>
        </w:tc>
        <w:tc>
          <w:tcPr>
            <w:tcBorders>
              <w:top w:val="none" w:color="000000" w:sz="4" w:space="0"/>
              <w:left w:val="none" w:color="000000" w:sz="4" w:space="0"/>
              <w:bottom w:val="single" w:color="auto" w:sz="4" w:space="0"/>
              <w:right w:val="single" w:color="auto" w:sz="4" w:space="0"/>
            </w:tcBorders>
            <w:tcW w:w="3938" w:type="dxa"/>
            <w:vAlign w:val="center"/>
            <w:textDirection w:val="lrTb"/>
            <w:noWrap w:val="false"/>
          </w:tcPr>
          <w:p>
            <w:pPr>
              <w:jc w:val="center"/>
              <w:spacing w:before="100" w:beforeAutospacing="1" w:after="100" w:afterAutospacing="1" w:line="32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保持干净、无污渍、水渍、尘渍、痰渍、杂物</w:t>
            </w:r>
            <w:r/>
          </w:p>
        </w:tc>
        <w:tc>
          <w:tcPr>
            <w:tcBorders>
              <w:top w:val="none" w:color="000000" w:sz="4" w:space="0"/>
              <w:left w:val="none" w:color="000000" w:sz="4" w:space="0"/>
              <w:bottom w:val="single" w:color="auto" w:sz="4" w:space="0"/>
              <w:right w:val="single" w:color="auto" w:sz="4" w:space="0"/>
            </w:tcBorders>
            <w:tcW w:w="3381" w:type="dxa"/>
            <w:vAlign w:val="center"/>
            <w:textDirection w:val="lrTb"/>
            <w:noWrap w:val="false"/>
          </w:tcPr>
          <w:p>
            <w:pPr>
              <w:jc w:val="center"/>
              <w:spacing w:before="100" w:beforeAutospacing="1" w:after="100" w:afterAutospacing="1" w:line="3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w:t>
            </w:r>
            <w:r/>
          </w:p>
        </w:tc>
      </w:tr>
      <w:tr>
        <w:trPr>
          <w:jc w:val="center"/>
          <w:trHeight w:val="280"/>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墙面</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无尘、无污渍</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目视及以纸巾擦拭</w:t>
            </w:r>
            <w:r/>
          </w:p>
        </w:tc>
      </w:tr>
      <w:tr>
        <w:trPr>
          <w:jc w:val="center"/>
          <w:trHeight w:val="280"/>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消防器材</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无尘、无污渍</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手摸及以纸巾擦拭</w:t>
            </w:r>
            <w:r/>
          </w:p>
        </w:tc>
      </w:tr>
      <w:tr>
        <w:trPr>
          <w:jc w:val="center"/>
          <w:trHeight w:val="266"/>
        </w:trPr>
        <w:tc>
          <w:tcPr>
            <w:tcBorders>
              <w:top w:val="single" w:color="auto"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地面、楼级</w:t>
            </w:r>
            <w:r/>
          </w:p>
        </w:tc>
        <w:tc>
          <w:tcPr>
            <w:tcBorders>
              <w:top w:val="single" w:color="auto" w:sz="4" w:space="0"/>
              <w:left w:val="single" w:color="auto"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保持干净，无污渍、尘渍、痰渍</w:t>
            </w:r>
            <w:r/>
          </w:p>
        </w:tc>
        <w:tc>
          <w:tcPr>
            <w:tcBorders>
              <w:top w:val="single" w:color="auto" w:sz="4" w:space="0"/>
              <w:left w:val="single" w:color="auto"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目视及手摸</w:t>
            </w:r>
            <w:r/>
          </w:p>
        </w:tc>
      </w:tr>
      <w:tr>
        <w:trPr>
          <w:jc w:val="center"/>
          <w:trHeight w:val="266"/>
        </w:trPr>
        <w:tc>
          <w:tcPr>
            <w:tcBorders>
              <w:top w:val="single" w:color="auto"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墙身</w:t>
            </w:r>
            <w:r/>
          </w:p>
        </w:tc>
        <w:tc>
          <w:tcPr>
            <w:tcBorders>
              <w:top w:val="single" w:color="auto" w:sz="4" w:space="0"/>
              <w:left w:val="single" w:color="auto"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保持无尘、无污渍</w:t>
            </w:r>
            <w:r/>
          </w:p>
        </w:tc>
        <w:tc>
          <w:tcPr>
            <w:tcBorders>
              <w:top w:val="single" w:color="auto" w:sz="4" w:space="0"/>
              <w:left w:val="single" w:color="auto"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以纸擦拭６０公分</w:t>
            </w:r>
            <w:r/>
          </w:p>
        </w:tc>
      </w:tr>
      <w:tr>
        <w:trPr>
          <w:jc w:val="center"/>
          <w:trHeight w:val="613"/>
        </w:trPr>
        <w:tc>
          <w:tcPr>
            <w:tcBorders>
              <w:top w:val="single" w:color="auto"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天花</w:t>
            </w:r>
            <w:r/>
          </w:p>
        </w:tc>
        <w:tc>
          <w:tcPr>
            <w:tcBorders>
              <w:top w:val="single" w:color="auto"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无蜘蛛网、无灰尘</w:t>
            </w:r>
            <w:r/>
          </w:p>
        </w:tc>
        <w:tc>
          <w:tcPr>
            <w:tcBorders>
              <w:top w:val="single" w:color="auto"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目视及手摸</w:t>
            </w:r>
            <w:r/>
          </w:p>
        </w:tc>
      </w:tr>
      <w:tr>
        <w:trPr>
          <w:jc w:val="center"/>
          <w:trHeight w:val="266"/>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防火门</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无尘、无污渍、无痰渍</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以纸巾擦拭</w:t>
            </w:r>
            <w:r/>
          </w:p>
        </w:tc>
      </w:tr>
      <w:tr>
        <w:trPr>
          <w:jc w:val="center"/>
          <w:trHeight w:val="266"/>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扶手</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无手印、无灰尘</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以纸巾擦拭</w:t>
            </w:r>
            <w:r/>
          </w:p>
        </w:tc>
      </w:tr>
      <w:tr>
        <w:trPr>
          <w:jc w:val="center"/>
          <w:trHeight w:val="266"/>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玻璃窗、百叶窗</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无尘、无污渍</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以纸巾擦拭</w:t>
            </w:r>
            <w:r/>
          </w:p>
        </w:tc>
      </w:tr>
      <w:tr>
        <w:trPr>
          <w:jc w:val="center"/>
          <w:trHeight w:val="266"/>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墙身</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无尘、无污渍、保持瓷砖洁如新</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目视及手摸</w:t>
            </w:r>
            <w:r/>
          </w:p>
        </w:tc>
      </w:tr>
      <w:tr>
        <w:trPr>
          <w:jc w:val="center"/>
          <w:trHeight w:val="532"/>
        </w:trPr>
        <w:tc>
          <w:tcPr>
            <w:tcBorders>
              <w:top w:val="none" w:color="000000" w:sz="4" w:space="0"/>
              <w:left w:val="single" w:color="auto" w:sz="4" w:space="0"/>
              <w:bottom w:val="single" w:color="auto" w:sz="4" w:space="0"/>
              <w:right w:val="single" w:color="auto" w:sz="4" w:space="0"/>
            </w:tcBorders>
            <w:tcW w:w="2178" w:type="dxa"/>
            <w:vAlign w:val="center"/>
            <w:textDirection w:val="lrTb"/>
            <w:noWrap w:val="false"/>
          </w:tcPr>
          <w:p>
            <w:pPr>
              <w:jc w:val="center"/>
              <w:spacing w:before="100" w:beforeAutospacing="1" w:after="100" w:afterAutospacing="1" w:line="3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防滑瓷砖地面</w:t>
            </w:r>
            <w:r/>
          </w:p>
        </w:tc>
        <w:tc>
          <w:tcPr>
            <w:tcBorders>
              <w:top w:val="none" w:color="000000" w:sz="4" w:space="0"/>
              <w:left w:val="none" w:color="000000" w:sz="4" w:space="0"/>
              <w:bottom w:val="single" w:color="auto" w:sz="4" w:space="0"/>
              <w:right w:val="single" w:color="auto" w:sz="4" w:space="0"/>
            </w:tcBorders>
            <w:tcW w:w="3938" w:type="dxa"/>
            <w:vAlign w:val="center"/>
            <w:textDirection w:val="lrTb"/>
            <w:noWrap w:val="false"/>
          </w:tcPr>
          <w:p>
            <w:pPr>
              <w:spacing w:before="100" w:beforeAutospacing="1" w:after="100" w:afterAutospacing="1" w:line="32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无尘、无污渍、无纸屑、无水渍、保持瓷砖光亮清洁干净</w:t>
            </w:r>
            <w:r/>
          </w:p>
        </w:tc>
        <w:tc>
          <w:tcPr>
            <w:tcBorders>
              <w:top w:val="none" w:color="000000" w:sz="4" w:space="0"/>
              <w:left w:val="none" w:color="000000" w:sz="4" w:space="0"/>
              <w:bottom w:val="single" w:color="auto" w:sz="4" w:space="0"/>
              <w:right w:val="single" w:color="auto" w:sz="4" w:space="0"/>
            </w:tcBorders>
            <w:tcW w:w="3381" w:type="dxa"/>
            <w:vAlign w:val="center"/>
            <w:textDirection w:val="lrTb"/>
            <w:noWrap w:val="false"/>
          </w:tcPr>
          <w:p>
            <w:pPr>
              <w:jc w:val="center"/>
              <w:spacing w:before="100" w:beforeAutospacing="1" w:after="100" w:afterAutospacing="1" w:line="3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目视及手摸</w:t>
            </w:r>
            <w:r/>
          </w:p>
        </w:tc>
      </w:tr>
      <w:tr>
        <w:trPr>
          <w:jc w:val="center"/>
          <w:trHeight w:val="266"/>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洗手间大门</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无手印、无污渍</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以纸巾擦拭</w:t>
            </w:r>
            <w:r/>
          </w:p>
        </w:tc>
      </w:tr>
      <w:tr>
        <w:trPr>
          <w:jc w:val="center"/>
          <w:trHeight w:val="532"/>
        </w:trPr>
        <w:tc>
          <w:tcPr>
            <w:tcBorders>
              <w:top w:val="none" w:color="000000" w:sz="4" w:space="0"/>
              <w:left w:val="single" w:color="auto" w:sz="4" w:space="0"/>
              <w:bottom w:val="single" w:color="auto" w:sz="4" w:space="0"/>
              <w:right w:val="single" w:color="auto" w:sz="4" w:space="0"/>
            </w:tcBorders>
            <w:tcW w:w="2178" w:type="dxa"/>
            <w:vAlign w:val="center"/>
            <w:textDirection w:val="lrTb"/>
            <w:noWrap w:val="false"/>
          </w:tcPr>
          <w:p>
            <w:pPr>
              <w:jc w:val="center"/>
              <w:spacing w:before="100" w:beforeAutospacing="1" w:after="100" w:afterAutospacing="1" w:line="3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洗手间内玻璃镜面</w:t>
            </w:r>
            <w:r/>
          </w:p>
        </w:tc>
        <w:tc>
          <w:tcPr>
            <w:tcBorders>
              <w:top w:val="none" w:color="000000" w:sz="4" w:space="0"/>
              <w:left w:val="none" w:color="000000" w:sz="4" w:space="0"/>
              <w:bottom w:val="single" w:color="auto" w:sz="4" w:space="0"/>
              <w:right w:val="single" w:color="auto" w:sz="4" w:space="0"/>
            </w:tcBorders>
            <w:tcW w:w="3938" w:type="dxa"/>
            <w:vAlign w:val="center"/>
            <w:textDirection w:val="lrTb"/>
            <w:noWrap w:val="false"/>
          </w:tcPr>
          <w:p>
            <w:pPr>
              <w:jc w:val="center"/>
              <w:spacing w:before="100" w:beforeAutospacing="1" w:after="100" w:afterAutospacing="1" w:line="32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无尘、无污渍、无水渍、无手印、无皂液，保持镜面明净</w:t>
            </w:r>
            <w:r/>
          </w:p>
        </w:tc>
        <w:tc>
          <w:tcPr>
            <w:tcBorders>
              <w:top w:val="none" w:color="000000" w:sz="4" w:space="0"/>
              <w:left w:val="none" w:color="000000" w:sz="4" w:space="0"/>
              <w:bottom w:val="single" w:color="auto" w:sz="4" w:space="0"/>
              <w:right w:val="single" w:color="auto" w:sz="4" w:space="0"/>
            </w:tcBorders>
            <w:tcW w:w="3381" w:type="dxa"/>
            <w:vAlign w:val="center"/>
            <w:textDirection w:val="lrTb"/>
            <w:noWrap w:val="false"/>
          </w:tcPr>
          <w:p>
            <w:pPr>
              <w:jc w:val="center"/>
              <w:spacing w:before="100" w:beforeAutospacing="1" w:after="100" w:afterAutospacing="1" w:line="3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以纸巾擦拭</w:t>
            </w:r>
            <w:r/>
          </w:p>
        </w:tc>
      </w:tr>
      <w:tr>
        <w:trPr>
          <w:jc w:val="center"/>
          <w:trHeight w:val="532"/>
        </w:trPr>
        <w:tc>
          <w:tcPr>
            <w:tcBorders>
              <w:top w:val="none" w:color="000000" w:sz="4" w:space="0"/>
              <w:left w:val="single" w:color="auto" w:sz="4" w:space="0"/>
              <w:bottom w:val="single" w:color="auto" w:sz="4" w:space="0"/>
              <w:right w:val="single" w:color="auto" w:sz="4" w:space="0"/>
            </w:tcBorders>
            <w:tcW w:w="2178" w:type="dxa"/>
            <w:vAlign w:val="center"/>
            <w:textDirection w:val="lrTb"/>
            <w:noWrap w:val="false"/>
          </w:tcPr>
          <w:p>
            <w:pPr>
              <w:jc w:val="center"/>
              <w:spacing w:before="100" w:beforeAutospacing="1" w:after="100" w:afterAutospacing="1" w:line="32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小便器、坐厕、洗手盆</w:t>
            </w:r>
            <w:r/>
          </w:p>
        </w:tc>
        <w:tc>
          <w:tcPr>
            <w:tcBorders>
              <w:top w:val="none" w:color="000000" w:sz="4" w:space="0"/>
              <w:left w:val="none" w:color="000000" w:sz="4" w:space="0"/>
              <w:bottom w:val="single" w:color="auto" w:sz="4" w:space="0"/>
              <w:right w:val="single" w:color="auto" w:sz="4" w:space="0"/>
            </w:tcBorders>
            <w:tcW w:w="3938" w:type="dxa"/>
            <w:vAlign w:val="center"/>
            <w:textDirection w:val="lrTb"/>
            <w:noWrap w:val="false"/>
          </w:tcPr>
          <w:p>
            <w:pPr>
              <w:spacing w:before="100" w:beforeAutospacing="1" w:after="100" w:afterAutospacing="1" w:line="32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保持无渍、无垢、无臭，并保持水流畅通无阻，瓷器明洁如新</w:t>
            </w:r>
            <w:r/>
          </w:p>
        </w:tc>
        <w:tc>
          <w:tcPr>
            <w:tcBorders>
              <w:top w:val="none" w:color="000000" w:sz="4" w:space="0"/>
              <w:left w:val="none" w:color="000000" w:sz="4" w:space="0"/>
              <w:bottom w:val="single" w:color="auto" w:sz="4" w:space="0"/>
              <w:right w:val="single" w:color="auto" w:sz="4" w:space="0"/>
            </w:tcBorders>
            <w:tcW w:w="3381" w:type="dxa"/>
            <w:vAlign w:val="center"/>
            <w:textDirection w:val="lrTb"/>
            <w:noWrap w:val="false"/>
          </w:tcPr>
          <w:p>
            <w:pPr>
              <w:jc w:val="center"/>
              <w:spacing w:before="100" w:beforeAutospacing="1" w:after="100" w:afterAutospacing="1" w:line="3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目视及以纸巾擦拭</w:t>
            </w:r>
            <w:r/>
          </w:p>
        </w:tc>
      </w:tr>
      <w:tr>
        <w:trPr>
          <w:jc w:val="center"/>
          <w:trHeight w:val="266"/>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洗手间隔板</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无污渍、痰渍，保持洁净</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目视及以纸巾擦拭</w:t>
            </w:r>
            <w:r/>
          </w:p>
        </w:tc>
      </w:tr>
      <w:tr>
        <w:trPr>
          <w:jc w:val="center"/>
          <w:trHeight w:val="266"/>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洗手间灯饰</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无蜘蛛网、无污渍、无手印</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目视及以纸巾擦拭</w:t>
            </w:r>
            <w:r/>
          </w:p>
        </w:tc>
      </w:tr>
      <w:tr>
        <w:trPr>
          <w:jc w:val="center"/>
          <w:trHeight w:val="532"/>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洗手间天花、风口</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无污渍、无蜘蛛网</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目视及以纸巾擦拭</w:t>
            </w:r>
            <w:r/>
          </w:p>
        </w:tc>
      </w:tr>
      <w:tr>
        <w:trPr>
          <w:jc w:val="center"/>
          <w:trHeight w:val="266"/>
        </w:trPr>
        <w:tc>
          <w:tcPr>
            <w:tcBorders>
              <w:top w:val="none" w:color="000000" w:sz="4" w:space="0"/>
              <w:left w:val="single" w:color="auto" w:sz="4" w:space="0"/>
              <w:bottom w:val="single" w:color="auto" w:sz="4" w:space="0"/>
              <w:right w:val="single" w:color="auto" w:sz="4" w:space="0"/>
            </w:tcBorders>
            <w:tcW w:w="2178" w:type="dxa"/>
            <w:textDirection w:val="lrTb"/>
            <w:noWrap w:val="false"/>
          </w:tcPr>
          <w:p>
            <w:pPr>
              <w:jc w:val="cente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洗手间下水管道</w:t>
            </w:r>
            <w:r/>
          </w:p>
        </w:tc>
        <w:tc>
          <w:tcPr>
            <w:tcBorders>
              <w:top w:val="none" w:color="000000" w:sz="4" w:space="0"/>
              <w:left w:val="none" w:color="000000" w:sz="4" w:space="0"/>
              <w:bottom w:val="single" w:color="auto" w:sz="4" w:space="0"/>
              <w:right w:val="single" w:color="auto" w:sz="4" w:space="0"/>
            </w:tcBorders>
            <w:tcW w:w="3938" w:type="dxa"/>
            <w:textDirection w:val="lrTb"/>
            <w:noWrap w:val="false"/>
          </w:tcPr>
          <w:p>
            <w:pPr>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保持水流畅通无阻</w:t>
            </w:r>
            <w:r/>
          </w:p>
        </w:tc>
        <w:tc>
          <w:tcPr>
            <w:tcBorders>
              <w:top w:val="none" w:color="000000" w:sz="4" w:space="0"/>
              <w:left w:val="none" w:color="000000" w:sz="4" w:space="0"/>
              <w:bottom w:val="single" w:color="auto" w:sz="4" w:space="0"/>
              <w:right w:val="single" w:color="auto" w:sz="4" w:space="0"/>
            </w:tcBorders>
            <w:tcW w:w="3381" w:type="dxa"/>
            <w:textDirection w:val="lrTb"/>
            <w:noWrap w:val="false"/>
          </w:tcPr>
          <w:p>
            <w:pPr>
              <w:ind w:firstLine="460"/>
              <w:spacing w:before="100" w:beforeAutospacing="1" w:after="100" w:afterAutospacing="1"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冲水数次检测</w:t>
            </w:r>
            <w:r/>
          </w:p>
        </w:tc>
      </w:tr>
    </w:tbl>
    <w:p>
      <w:pPr>
        <w:spacing w:before="120"/>
        <w:rPr>
          <w:rFonts w:ascii="宋体" w:hAnsi="宋体" w:cs="宋体"/>
          <w:b/>
          <w:color w:val="auto"/>
          <w:sz w:val="24"/>
          <w:highlight w:val="none"/>
        </w:rPr>
      </w:pPr>
      <w:r>
        <w:rPr>
          <w:rFonts w:ascii="宋体" w:hAnsi="宋体" w:cs="宋体"/>
          <w:b/>
          <w:color w:val="auto"/>
          <w:sz w:val="24"/>
          <w:highlight w:val="none"/>
        </w:rPr>
      </w:r>
      <w:r/>
    </w:p>
    <w:p>
      <w:pPr>
        <w:spacing w:before="120"/>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1、门急诊区域环境卫生考核标准</w:t>
      </w:r>
      <w:r/>
    </w:p>
    <w:p>
      <w:pPr>
        <w:rPr>
          <w:rFonts w:ascii="宋体" w:hAnsi="宋体" w:cs="宋体"/>
          <w:color w:val="auto"/>
          <w:sz w:val="24"/>
          <w:highlight w:val="none"/>
        </w:rPr>
      </w:pPr>
      <w:r>
        <w:rPr>
          <w:rFonts w:hint="eastAsia" w:ascii="宋体" w:hAnsi="宋体" w:cs="宋体"/>
          <w:color w:val="auto"/>
          <w:sz w:val="24"/>
          <w:highlight w:val="none"/>
        </w:rPr>
        <w:t xml:space="preserve">科室：                                    年  月  日                                                                                                        </w:t>
      </w:r>
      <w:r/>
    </w:p>
    <w:tbl>
      <w:tblPr>
        <w:tblStyle w:val="703"/>
        <w:tblW w:w="9264" w:type="dxa"/>
        <w:tblInd w:w="2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600"/>
        <w:gridCol w:w="3479"/>
        <w:gridCol w:w="567"/>
        <w:gridCol w:w="3850"/>
      </w:tblGrid>
      <w:tr>
        <w:trPr>
          <w:trHeight w:val="1015"/>
        </w:trPr>
        <w:tc>
          <w:tcPr>
            <w:tcW w:w="768"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考核项目</w:t>
            </w:r>
            <w:r/>
          </w:p>
        </w:tc>
        <w:tc>
          <w:tcPr>
            <w:tcW w:w="600"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编号</w:t>
            </w:r>
            <w:r/>
          </w:p>
        </w:tc>
        <w:tc>
          <w:tcPr>
            <w:tcW w:w="3479"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质量考核标准</w:t>
            </w:r>
            <w:r/>
          </w:p>
        </w:tc>
        <w:tc>
          <w:tcPr>
            <w:tcW w:w="567"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标准分</w:t>
            </w:r>
            <w:r/>
          </w:p>
        </w:tc>
        <w:tc>
          <w:tcPr>
            <w:tcW w:w="3850"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扣分理由</w:t>
            </w:r>
            <w:r/>
          </w:p>
        </w:tc>
      </w:tr>
      <w:tr>
        <w:trPr>
          <w:trHeight w:val="624"/>
        </w:trPr>
        <w:tc>
          <w:tcPr>
            <w:tcW w:w="768" w:type="dxa"/>
            <w:vAlign w:val="center"/>
            <w:vMerge w:val="restart"/>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公共环境</w:t>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大厅、诊室、走廊各类垃圾桶经常保持清洁，无臭味、桶内、外经常保持清洁，加盖。</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3850"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lang w:eastAsia="zh-CN"/>
              </w:rPr>
              <w:t xml:space="preserve">发现一次一物不清洁扣2分，有臭味扣2分。</w:t>
            </w:r>
            <w:r>
              <w:rPr>
                <w:rFonts w:hint="eastAsia" w:ascii="宋体" w:hAnsi="宋体" w:cs="宋体"/>
                <w:color w:val="auto"/>
                <w:szCs w:val="21"/>
                <w:highlight w:val="none"/>
              </w:rPr>
              <w:t xml:space="preserve">垃圾桶未加盖扣1分。</w:t>
            </w:r>
            <w:r/>
          </w:p>
        </w:tc>
      </w:tr>
      <w:tr>
        <w:trPr>
          <w:trHeight w:val="780"/>
        </w:trPr>
        <w:tc>
          <w:tcPr>
            <w:tcW w:w="768" w:type="dxa"/>
            <w:vMerge w:val="continue"/>
            <w:textDirection w:val="lrTb"/>
            <w:noWrap w:val="false"/>
          </w:tcPr>
          <w:p>
            <w:pPr>
              <w:tabs>
                <w:tab w:val="left" w:pos="288" w:leader="none"/>
              </w:tabs>
              <w:rPr>
                <w:rFonts w:ascii="宋体" w:hAnsi="宋体" w:cs="宋体"/>
                <w:color w:val="auto"/>
                <w:sz w:val="24"/>
                <w:highlight w:val="none"/>
              </w:rPr>
            </w:pPr>
            <w:r>
              <w:rPr>
                <w:rFonts w:ascii="宋体" w:hAnsi="宋体" w:cs="宋体"/>
                <w:color w:val="auto"/>
                <w:sz w:val="24"/>
                <w:highlight w:val="none"/>
              </w:rPr>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地面、墙面、家具、物品应清洁无积灰、无垃圾、无污垢。地面危险处有防滑标识。</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地面有成堆垃圾，发现一次扣1分，纸屑不及时扫清发现一次扣1分。</w:t>
            </w:r>
            <w:r/>
          </w:p>
        </w:tc>
      </w:tr>
      <w:tr>
        <w:trPr>
          <w:trHeight w:val="612"/>
        </w:trPr>
        <w:tc>
          <w:tcPr>
            <w:tcW w:w="768"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公共厕所无臭味，便池清洁，无漏水，无尿垢，地面无积水，水道无堵塞。</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厕所有臭味扣2分，不清洁扣1分，不通畅或有积水各扣1分。</w:t>
            </w:r>
            <w:r/>
          </w:p>
        </w:tc>
      </w:tr>
      <w:tr>
        <w:trPr>
          <w:trHeight w:val="612"/>
        </w:trPr>
        <w:tc>
          <w:tcPr>
            <w:tcW w:w="768"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门框干净，门缝无积垢，窗台无积灰，窗帘干净，及时送洗。</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发现一次一物不清洁扣1分，整块窗台有污垢扣1分，发现一块窗帘不清洁扣1分。</w:t>
            </w:r>
            <w:r/>
          </w:p>
        </w:tc>
      </w:tr>
      <w:tr>
        <w:trPr>
          <w:trHeight w:val="612"/>
        </w:trPr>
        <w:tc>
          <w:tcPr>
            <w:tcW w:w="768"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候诊椅清洁无损坏，摆放整齐、宣传栏清洁，无积灰。</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发现一处有灰尘扣1分。</w:t>
            </w:r>
            <w:r/>
          </w:p>
        </w:tc>
      </w:tr>
      <w:tr>
        <w:trPr>
          <w:trHeight w:val="734"/>
        </w:trPr>
        <w:tc>
          <w:tcPr>
            <w:tcW w:w="768" w:type="dxa"/>
            <w:vMerge w:val="restart"/>
            <w:textDirection w:val="lrTb"/>
            <w:noWrap w:val="false"/>
          </w:tcPr>
          <w:p>
            <w:pP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医务人员工作环境</w:t>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医疗仪器、设备、各类器具无灰尘、无污渍。</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发现一次一物不清洁扣1分，积灰或血渍扣1分。</w:t>
            </w:r>
            <w:r/>
          </w:p>
        </w:tc>
      </w:tr>
      <w:tr>
        <w:trPr>
          <w:trHeight w:val="756"/>
        </w:trPr>
        <w:tc>
          <w:tcPr>
            <w:tcW w:w="768"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值班室、护士站、医生办公室环境整洁，桌面、地面干净。</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发现一次不清洁扣1分。</w:t>
            </w:r>
            <w:r/>
          </w:p>
        </w:tc>
      </w:tr>
      <w:tr>
        <w:trPr>
          <w:trHeight w:val="637"/>
        </w:trPr>
        <w:tc>
          <w:tcPr>
            <w:tcW w:w="768"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服务台清洁无积灰，物品摆放整齐有序。</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发现一次不整齐扣2分。</w:t>
            </w:r>
            <w:r/>
          </w:p>
        </w:tc>
      </w:tr>
      <w:tr>
        <w:trPr>
          <w:trHeight w:val="1143"/>
        </w:trPr>
        <w:tc>
          <w:tcPr>
            <w:tcW w:w="768" w:type="dxa"/>
            <w:vMerge w:val="restart"/>
            <w:textDirection w:val="lrTb"/>
            <w:noWrap w:val="false"/>
          </w:tcPr>
          <w:p>
            <w:pP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诊病室环境</w:t>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诊察床、病床、候诊椅无积灰，室内干净，五死角，有终末消毒设施，终末消毒到位。</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发现一床不清洁扣0.5分发现一床未终末处理扣1.5分，发现一次死角扣1分。</w:t>
            </w:r>
            <w:r/>
          </w:p>
        </w:tc>
      </w:tr>
      <w:tr>
        <w:trPr>
          <w:trHeight w:val="832"/>
        </w:trPr>
        <w:tc>
          <w:tcPr>
            <w:tcW w:w="768"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地面危险处，应有防滑标记，</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地面湿、滑无标记发现一次扣1分，病人发生意外不得分。</w:t>
            </w:r>
            <w:r/>
          </w:p>
        </w:tc>
      </w:tr>
      <w:tr>
        <w:trPr>
          <w:trHeight w:val="1604"/>
        </w:trPr>
        <w:tc>
          <w:tcPr>
            <w:tcW w:w="768" w:type="dxa"/>
            <w:textDirection w:val="lrTb"/>
            <w:noWrap w:val="false"/>
          </w:tcPr>
          <w:p>
            <w:pP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控烟环境</w:t>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大厅、各诊室、观察室、走廊、楼梯清洁、整齐，无吸烟、无烟头。</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楼梯不清洁根据面积扣分，每一轮楼梯发现一只烟头扣1分，走廊或观察室有成堆烟头超过三只扣5分，有垃圾或积水扣1分。</w:t>
            </w:r>
            <w:r/>
          </w:p>
        </w:tc>
      </w:tr>
    </w:tbl>
    <w:p>
      <w:pPr>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                  </w:t>
      </w:r>
      <w:r/>
    </w:p>
    <w:p>
      <w:pPr>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2、健康管理中心区域环境卫生考核标准</w:t>
      </w:r>
      <w:r/>
    </w:p>
    <w:p>
      <w:pPr>
        <w:rPr>
          <w:rFonts w:ascii="宋体" w:hAnsi="宋体" w:cs="宋体"/>
          <w:color w:val="auto"/>
          <w:sz w:val="24"/>
          <w:highlight w:val="none"/>
        </w:rPr>
      </w:pPr>
      <w:r>
        <w:rPr>
          <w:rFonts w:hint="eastAsia" w:ascii="宋体" w:hAnsi="宋体" w:cs="宋体"/>
          <w:color w:val="auto"/>
          <w:sz w:val="24"/>
          <w:highlight w:val="none"/>
        </w:rPr>
        <w:t xml:space="preserve">科室：                                    年  月  日                                                                                                        </w:t>
      </w:r>
      <w:r/>
    </w:p>
    <w:tbl>
      <w:tblPr>
        <w:tblStyle w:val="703"/>
        <w:tblW w:w="9396" w:type="dxa"/>
        <w:tblInd w:w="1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492"/>
        <w:gridCol w:w="3827"/>
        <w:gridCol w:w="567"/>
        <w:gridCol w:w="3910"/>
      </w:tblGrid>
      <w:tr>
        <w:trPr>
          <w:trHeight w:val="1015"/>
        </w:trPr>
        <w:tc>
          <w:tcPr>
            <w:tcW w:w="600"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考核项目</w:t>
            </w:r>
            <w:r/>
          </w:p>
        </w:tc>
        <w:tc>
          <w:tcPr>
            <w:tcW w:w="492"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编号</w:t>
            </w:r>
            <w:r/>
          </w:p>
        </w:tc>
        <w:tc>
          <w:tcPr>
            <w:tcW w:w="3827"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质量考核标准</w:t>
            </w:r>
            <w:r/>
          </w:p>
        </w:tc>
        <w:tc>
          <w:tcPr>
            <w:tcW w:w="567"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标准分</w:t>
            </w:r>
            <w:r/>
          </w:p>
        </w:tc>
        <w:tc>
          <w:tcPr>
            <w:tcW w:w="3910"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扣分理由</w:t>
            </w:r>
            <w:r/>
          </w:p>
        </w:tc>
      </w:tr>
      <w:tr>
        <w:trPr>
          <w:trHeight w:val="624"/>
        </w:trPr>
        <w:tc>
          <w:tcPr>
            <w:tcW w:w="600" w:type="dxa"/>
            <w:vAlign w:val="center"/>
            <w:vMerge w:val="restart"/>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公共环境</w:t>
            </w:r>
            <w:r/>
          </w:p>
        </w:tc>
        <w:tc>
          <w:tcPr>
            <w:tcW w:w="49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82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大厅、诊室、走廊各类垃圾桶经常保持清洁，无臭味、桶内、外经常保持清洁，加盖。</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3910"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lang w:eastAsia="zh-CN"/>
              </w:rPr>
              <w:t xml:space="preserve">发现一次一物不清洁扣2分，有臭味扣2分。</w:t>
            </w:r>
            <w:r>
              <w:rPr>
                <w:rFonts w:hint="eastAsia" w:ascii="宋体" w:hAnsi="宋体" w:cs="宋体"/>
                <w:color w:val="auto"/>
                <w:szCs w:val="21"/>
                <w:highlight w:val="none"/>
              </w:rPr>
              <w:t xml:space="preserve">垃圾桶未加盖扣1分。</w:t>
            </w:r>
            <w:r/>
          </w:p>
        </w:tc>
      </w:tr>
      <w:tr>
        <w:trPr>
          <w:trHeight w:val="780"/>
        </w:trPr>
        <w:tc>
          <w:tcPr>
            <w:tcW w:w="600" w:type="dxa"/>
            <w:vMerge w:val="continue"/>
            <w:textDirection w:val="lrTb"/>
            <w:noWrap w:val="false"/>
          </w:tcPr>
          <w:p>
            <w:pPr>
              <w:tabs>
                <w:tab w:val="left" w:pos="288" w:leader="none"/>
              </w:tabs>
              <w:rPr>
                <w:rFonts w:ascii="宋体" w:hAnsi="宋体" w:cs="宋体"/>
                <w:color w:val="auto"/>
                <w:sz w:val="24"/>
                <w:highlight w:val="none"/>
              </w:rPr>
            </w:pPr>
            <w:r>
              <w:rPr>
                <w:rFonts w:ascii="宋体" w:hAnsi="宋体" w:cs="宋体"/>
                <w:color w:val="auto"/>
                <w:sz w:val="24"/>
                <w:highlight w:val="none"/>
              </w:rPr>
            </w:r>
            <w:r/>
          </w:p>
        </w:tc>
        <w:tc>
          <w:tcPr>
            <w:tcW w:w="49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82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地面、墙面、家具、物品应清洁无积灰、无垃圾、无污垢。地面危险处有防滑标识。</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91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地面有成堆垃圾，发现一次扣1分，纸屑不及时扫清发现一次扣1分。</w:t>
            </w:r>
            <w:r/>
          </w:p>
        </w:tc>
      </w:tr>
      <w:tr>
        <w:trPr>
          <w:trHeight w:val="612"/>
        </w:trPr>
        <w:tc>
          <w:tcPr>
            <w:tcW w:w="600"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9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82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公共厕所无臭味，便池清洁，无漏水，无尿垢，地面无积水，水道无堵塞。</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391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厕所有臭味扣2分，不清洁扣1分，不通畅或有积水各扣1分。</w:t>
            </w:r>
            <w:r/>
          </w:p>
        </w:tc>
      </w:tr>
      <w:tr>
        <w:trPr>
          <w:trHeight w:val="612"/>
        </w:trPr>
        <w:tc>
          <w:tcPr>
            <w:tcW w:w="600"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9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82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门框干净，门缝无积垢，窗台无积灰，窗帘干净，及时送洗。</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391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发现一次一物不清洁扣1分，整块窗台有污垢扣1分，发现一块窗帘不清洁扣1分。</w:t>
            </w:r>
            <w:r/>
          </w:p>
        </w:tc>
      </w:tr>
      <w:tr>
        <w:trPr>
          <w:trHeight w:val="612"/>
        </w:trPr>
        <w:tc>
          <w:tcPr>
            <w:tcW w:w="600"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9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382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候诊椅清洁无损坏，摆放整齐、宣传栏清洁，无积灰。</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391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发现一处有灰尘扣1分。</w:t>
            </w:r>
            <w:r/>
          </w:p>
        </w:tc>
      </w:tr>
      <w:tr>
        <w:trPr>
          <w:trHeight w:val="734"/>
        </w:trPr>
        <w:tc>
          <w:tcPr>
            <w:tcW w:w="600" w:type="dxa"/>
            <w:vMerge w:val="restart"/>
            <w:textDirection w:val="lrTb"/>
            <w:noWrap w:val="false"/>
          </w:tcPr>
          <w:p>
            <w:pP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医务人员工作环境</w:t>
            </w:r>
            <w:r/>
          </w:p>
        </w:tc>
        <w:tc>
          <w:tcPr>
            <w:tcW w:w="49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382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医疗仪器、设备、各类器具无灰尘、无污渍。</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91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发现一次一物不清洁扣1分，积灰或血渍扣1分。</w:t>
            </w:r>
            <w:r/>
          </w:p>
        </w:tc>
      </w:tr>
      <w:tr>
        <w:trPr>
          <w:trHeight w:val="928"/>
        </w:trPr>
        <w:tc>
          <w:tcPr>
            <w:tcW w:w="600"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9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382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计免接种处、计划生育妇科手术室、医生办公室等环境整洁，桌面、地面干净。</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91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发现一次不清洁扣1分。</w:t>
            </w:r>
            <w:r/>
          </w:p>
        </w:tc>
      </w:tr>
      <w:tr>
        <w:trPr>
          <w:trHeight w:val="1048"/>
        </w:trPr>
        <w:tc>
          <w:tcPr>
            <w:tcW w:w="600"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9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382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服务台清洁无积灰，物品摆放整齐有序。</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391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发现一次不整齐扣2分。</w:t>
            </w:r>
            <w:r/>
          </w:p>
        </w:tc>
      </w:tr>
      <w:tr>
        <w:trPr>
          <w:trHeight w:val="1143"/>
        </w:trPr>
        <w:tc>
          <w:tcPr>
            <w:tcW w:w="600" w:type="dxa"/>
            <w:vMerge w:val="restart"/>
            <w:textDirection w:val="lrTb"/>
            <w:noWrap w:val="false"/>
          </w:tcPr>
          <w:p>
            <w:pP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诊病室环境</w:t>
            </w:r>
            <w:r/>
          </w:p>
        </w:tc>
        <w:tc>
          <w:tcPr>
            <w:tcW w:w="49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382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诊察床、病床、候诊椅无积灰，室内干净，五死角，有终末消毒设施，终末消毒到位。</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91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发现一床不清洁扣0.5分发现一床未终末处理扣1.5分，发现一次死角扣1分。</w:t>
            </w:r>
            <w:r/>
          </w:p>
        </w:tc>
      </w:tr>
      <w:tr>
        <w:trPr>
          <w:trHeight w:val="1128"/>
        </w:trPr>
        <w:tc>
          <w:tcPr>
            <w:tcW w:w="600"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9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82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地面危险处，应有防滑标记，</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391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地面湿、滑无标记发现一次扣1分，病人发生意外不得分。</w:t>
            </w:r>
            <w:r/>
          </w:p>
        </w:tc>
      </w:tr>
      <w:tr>
        <w:trPr>
          <w:trHeight w:val="1604"/>
        </w:trPr>
        <w:tc>
          <w:tcPr>
            <w:tcW w:w="600" w:type="dxa"/>
            <w:textDirection w:val="lrTb"/>
            <w:noWrap w:val="false"/>
          </w:tcPr>
          <w:p>
            <w:pP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控烟环境</w:t>
            </w:r>
            <w:r/>
          </w:p>
        </w:tc>
        <w:tc>
          <w:tcPr>
            <w:tcW w:w="49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382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大厅、各诊室、观察室、走廊、楼梯清洁、整齐，无吸烟、无烟头。</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391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楼梯不清洁根据面积扣分，每一轮楼梯发现一只烟头扣1分，走廊或观察室有成堆烟头超过三只扣5分，有垃圾或积水扣1分。</w:t>
            </w:r>
            <w:r/>
          </w:p>
        </w:tc>
      </w:tr>
    </w:tbl>
    <w:p>
      <w:pPr>
        <w:jc w:val="center"/>
        <w:rPr>
          <w:rFonts w:ascii="宋体" w:hAnsi="宋体" w:cs="宋体"/>
          <w:b/>
          <w:color w:val="auto"/>
          <w:sz w:val="24"/>
          <w:highlight w:val="none"/>
          <w:lang w:eastAsia="zh-CN"/>
        </w:rPr>
      </w:pPr>
      <w:r>
        <w:rPr>
          <w:rFonts w:ascii="宋体" w:hAnsi="宋体" w:cs="宋体"/>
          <w:b/>
          <w:color w:val="auto"/>
          <w:sz w:val="24"/>
          <w:highlight w:val="none"/>
          <w:lang w:eastAsia="zh-CN"/>
        </w:rPr>
      </w:r>
      <w:r/>
    </w:p>
    <w:p>
      <w:pPr>
        <w:rPr>
          <w:rFonts w:ascii="宋体" w:hAnsi="宋体" w:cs="宋体"/>
          <w:b/>
          <w:color w:val="auto"/>
          <w:sz w:val="24"/>
          <w:highlight w:val="none"/>
          <w:lang w:eastAsia="zh-CN"/>
        </w:rPr>
      </w:pPr>
      <w:r>
        <w:rPr>
          <w:rFonts w:ascii="宋体" w:hAnsi="宋体" w:cs="宋体"/>
          <w:b/>
          <w:color w:val="auto"/>
          <w:sz w:val="24"/>
          <w:highlight w:val="none"/>
          <w:lang w:eastAsia="zh-CN"/>
        </w:rPr>
      </w:r>
      <w:r/>
    </w:p>
    <w:p>
      <w:pPr>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3、住院区域环境卫生考核标准</w:t>
      </w:r>
      <w:r/>
    </w:p>
    <w:p>
      <w:pPr>
        <w:rPr>
          <w:rFonts w:ascii="宋体" w:hAnsi="宋体" w:cs="宋体"/>
          <w:color w:val="auto"/>
          <w:sz w:val="24"/>
          <w:highlight w:val="none"/>
        </w:rPr>
      </w:pPr>
      <w:r>
        <w:rPr>
          <w:rFonts w:hint="eastAsia" w:ascii="宋体" w:hAnsi="宋体" w:cs="宋体"/>
          <w:color w:val="auto"/>
          <w:sz w:val="24"/>
          <w:highlight w:val="none"/>
        </w:rPr>
        <w:t xml:space="preserve">科室：                                    年  月  日</w:t>
      </w:r>
      <w:r/>
    </w:p>
    <w:tbl>
      <w:tblPr>
        <w:tblStyle w:val="703"/>
        <w:tblW w:w="0" w:type="auto"/>
        <w:tblInd w:w="1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4"/>
        <w:gridCol w:w="456"/>
        <w:gridCol w:w="3473"/>
        <w:gridCol w:w="540"/>
        <w:gridCol w:w="4399"/>
      </w:tblGrid>
      <w:tr>
        <w:trPr>
          <w:trHeight w:val="780"/>
        </w:trPr>
        <w:tc>
          <w:tcPr>
            <w:tcW w:w="50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考核项目</w:t>
            </w:r>
            <w:r/>
          </w:p>
        </w:tc>
        <w:tc>
          <w:tcPr>
            <w:tcW w:w="45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编号</w:t>
            </w:r>
            <w:r/>
          </w:p>
        </w:tc>
        <w:tc>
          <w:tcPr>
            <w:tcW w:w="347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质量考核标准</w:t>
            </w:r>
            <w:r/>
          </w:p>
        </w:tc>
        <w:tc>
          <w:tcPr>
            <w:tcW w:w="54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标准分</w:t>
            </w:r>
            <w:r/>
          </w:p>
        </w:tc>
        <w:tc>
          <w:tcPr>
            <w:tcW w:w="439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扣分理由</w:t>
            </w:r>
            <w:r/>
          </w:p>
        </w:tc>
      </w:tr>
      <w:tr>
        <w:trPr>
          <w:trHeight w:val="748"/>
        </w:trPr>
        <w:tc>
          <w:tcPr>
            <w:tcW w:w="504" w:type="dxa"/>
            <w:vAlign w:val="center"/>
            <w:vMerge w:val="restart"/>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公共环境</w:t>
            </w:r>
            <w:r/>
          </w:p>
        </w:tc>
        <w:tc>
          <w:tcPr>
            <w:tcW w:w="45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473"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病房各类垃圾桶经常保持清洁，无臭味、桶内外经常保持清洁，加盖，按规定地点放置。</w:t>
            </w:r>
            <w:r/>
          </w:p>
        </w:tc>
        <w:tc>
          <w:tcPr>
            <w:tcW w:w="54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4399"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发现一物一次不清洁扣2分，有臭味扣2分，垃圾桶未加盖扣1分。</w:t>
            </w:r>
            <w:r/>
          </w:p>
        </w:tc>
      </w:tr>
      <w:tr>
        <w:trPr>
          <w:trHeight w:val="614"/>
        </w:trPr>
        <w:tc>
          <w:tcPr>
            <w:tcW w:w="504" w:type="dxa"/>
            <w:vAlign w:val="center"/>
            <w:vMerge w:val="continue"/>
            <w:textDirection w:val="lrTb"/>
            <w:noWrap w:val="false"/>
          </w:tcPr>
          <w:p>
            <w:pPr>
              <w:jc w:val="center"/>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5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473"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走廊地面、墙面、天面应清洁、无垃圾，无积灰积垢。</w:t>
            </w:r>
            <w:r/>
          </w:p>
        </w:tc>
        <w:tc>
          <w:tcPr>
            <w:tcW w:w="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4399"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地面有成堆垃圾不及时清扫扣1分，有纸屑扣1分。</w:t>
            </w:r>
            <w:r/>
          </w:p>
        </w:tc>
      </w:tr>
      <w:tr>
        <w:trPr>
          <w:trHeight w:val="778"/>
        </w:trPr>
        <w:tc>
          <w:tcPr>
            <w:tcW w:w="504" w:type="dxa"/>
            <w:vAlign w:val="center"/>
            <w:vMerge w:val="continue"/>
            <w:textDirection w:val="lrTb"/>
            <w:noWrap w:val="false"/>
          </w:tcPr>
          <w:p>
            <w:pPr>
              <w:jc w:val="center"/>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5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473"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公共厕所无臭味、便池清洁，无漏水，无尿垢，地面清洁无积水。</w:t>
            </w:r>
            <w:r/>
          </w:p>
        </w:tc>
        <w:tc>
          <w:tcPr>
            <w:tcW w:w="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4399"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厕所有臭味扣2分，发现一次不清洁扣1分，发现一次积水扣1分。</w:t>
            </w:r>
            <w:r/>
          </w:p>
        </w:tc>
      </w:tr>
      <w:tr>
        <w:trPr>
          <w:trHeight w:val="768"/>
        </w:trPr>
        <w:tc>
          <w:tcPr>
            <w:tcW w:w="504" w:type="dxa"/>
            <w:vAlign w:val="center"/>
            <w:vMerge w:val="continue"/>
            <w:textDirection w:val="lrTb"/>
            <w:noWrap w:val="false"/>
          </w:tcPr>
          <w:p>
            <w:pPr>
              <w:jc w:val="center"/>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5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473" w:type="dxa"/>
            <w:vAlign w:val="center"/>
            <w:textDirection w:val="lrTb"/>
            <w:noWrap w:val="false"/>
          </w:tcPr>
          <w:p>
            <w:pPr>
              <w:jc w:val="cente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配餐间（开水房）清洁、整齐无杂物堆放。厕所内标本存放处清洁无污垢。</w:t>
            </w:r>
            <w:r/>
          </w:p>
        </w:tc>
        <w:tc>
          <w:tcPr>
            <w:tcW w:w="54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4399" w:type="dxa"/>
            <w:vAlign w:val="center"/>
            <w:textDirection w:val="lrTb"/>
            <w:noWrap w:val="false"/>
          </w:tcPr>
          <w:p>
            <w:pPr>
              <w:jc w:val="cente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开水房不清洁扣1分，发现一次不清洁扣1分，存放标本处不清洁扣1分。</w:t>
            </w:r>
            <w:r/>
          </w:p>
        </w:tc>
      </w:tr>
      <w:tr>
        <w:trPr>
          <w:trHeight w:val="768"/>
        </w:trPr>
        <w:tc>
          <w:tcPr>
            <w:tcW w:w="504" w:type="dxa"/>
            <w:vAlign w:val="center"/>
            <w:vMerge w:val="restart"/>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医务人员工作环境</w:t>
            </w:r>
            <w:r/>
          </w:p>
        </w:tc>
        <w:tc>
          <w:tcPr>
            <w:tcW w:w="45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3473"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科室物品摆放整齐有序。医疗仪器、设备、各类器具无灰尘、无污渍。</w:t>
            </w:r>
            <w:r/>
          </w:p>
        </w:tc>
        <w:tc>
          <w:tcPr>
            <w:tcW w:w="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4399"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发现一次不整齐扣1分，发现一处有灰尘扣1分。</w:t>
            </w:r>
            <w:r/>
          </w:p>
        </w:tc>
      </w:tr>
      <w:tr>
        <w:trPr>
          <w:trHeight w:val="768"/>
        </w:trPr>
        <w:tc>
          <w:tcPr>
            <w:tcW w:w="504" w:type="dxa"/>
            <w:vAlign w:val="center"/>
            <w:vMerge w:val="continue"/>
            <w:textDirection w:val="lrTb"/>
            <w:noWrap w:val="false"/>
          </w:tcPr>
          <w:p>
            <w:pPr>
              <w:jc w:val="center"/>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5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3473"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值班室、护士站、医生办公室环境整洁，桌面、地面干净。值班室整洁、厕所干净无异味。</w:t>
            </w:r>
            <w:r/>
          </w:p>
        </w:tc>
        <w:tc>
          <w:tcPr>
            <w:tcW w:w="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4399"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发现一次不整齐扣1分，发现值班厕所不干净扣1分。</w:t>
            </w:r>
            <w:r/>
          </w:p>
        </w:tc>
      </w:tr>
      <w:tr>
        <w:trPr>
          <w:trHeight w:val="768"/>
        </w:trPr>
        <w:tc>
          <w:tcPr>
            <w:tcW w:w="504" w:type="dxa"/>
            <w:vAlign w:val="center"/>
            <w:vMerge w:val="continue"/>
            <w:textDirection w:val="lrTb"/>
            <w:noWrap w:val="false"/>
          </w:tcPr>
          <w:p>
            <w:pPr>
              <w:jc w:val="center"/>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5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3473"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病区各室的地面、墙面清洁、无积灰、垃圾及卫生死角。</w:t>
            </w:r>
            <w:r/>
          </w:p>
        </w:tc>
        <w:tc>
          <w:tcPr>
            <w:tcW w:w="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4399"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地面有垃圾不及时清扫发现一次扣1分，床头柜物品摆放凌乱扣1分，不清洁扣2分。</w:t>
            </w:r>
            <w:r/>
          </w:p>
        </w:tc>
      </w:tr>
      <w:tr>
        <w:trPr>
          <w:trHeight w:val="780"/>
        </w:trPr>
        <w:tc>
          <w:tcPr>
            <w:tcW w:w="504" w:type="dxa"/>
            <w:vAlign w:val="center"/>
            <w:vMerge w:val="restart"/>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病房环境</w:t>
            </w:r>
            <w:r/>
          </w:p>
        </w:tc>
        <w:tc>
          <w:tcPr>
            <w:tcW w:w="45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3473"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病室门框、设备带干净，窗台无积灰，窗帘、床帘干净，及时送洗。</w:t>
            </w:r>
            <w:r/>
          </w:p>
        </w:tc>
        <w:tc>
          <w:tcPr>
            <w:tcW w:w="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4399"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发现一次一物不清洁扣1分，整块窗台有污垢扣1分，发现一块窗帘布不清洁扣1分。</w:t>
            </w:r>
            <w:r/>
          </w:p>
        </w:tc>
      </w:tr>
      <w:tr>
        <w:trPr>
          <w:trHeight w:val="768"/>
        </w:trPr>
        <w:tc>
          <w:tcPr>
            <w:tcW w:w="504" w:type="dxa"/>
            <w:vAlign w:val="center"/>
            <w:vMerge w:val="continue"/>
            <w:textDirection w:val="lrTb"/>
            <w:noWrap w:val="false"/>
          </w:tcPr>
          <w:p>
            <w:pPr>
              <w:jc w:val="center"/>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5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3473"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病室厕所、水池无漏水，洗手池干净无油垢，镜面干净无水纹，水道无堵塞，地面干净整洁。</w:t>
            </w:r>
            <w:r/>
          </w:p>
        </w:tc>
        <w:tc>
          <w:tcPr>
            <w:tcW w:w="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4399"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一项一次达不到要求扣1分。</w:t>
            </w:r>
            <w:r/>
          </w:p>
        </w:tc>
      </w:tr>
      <w:tr>
        <w:trPr>
          <w:trHeight w:val="768"/>
        </w:trPr>
        <w:tc>
          <w:tcPr>
            <w:tcW w:w="504" w:type="dxa"/>
            <w:vAlign w:val="center"/>
            <w:vMerge w:val="continue"/>
            <w:textDirection w:val="lrTb"/>
            <w:noWrap w:val="false"/>
          </w:tcPr>
          <w:p>
            <w:pPr>
              <w:jc w:val="center"/>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5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473"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病床无积灰，病人出院后终末消毒处理到位，无卫生死角，床头柜清洁无污垢，床头柜上物品整齐。</w:t>
            </w:r>
            <w:r/>
          </w:p>
        </w:tc>
        <w:tc>
          <w:tcPr>
            <w:tcW w:w="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4399"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发现一床有积灰扣1分，发现一床未终末处理扣2分，发现一次死角扣1分。</w:t>
            </w:r>
            <w:r/>
          </w:p>
        </w:tc>
      </w:tr>
      <w:tr>
        <w:trPr>
          <w:trHeight w:val="768"/>
        </w:trPr>
        <w:tc>
          <w:tcPr>
            <w:tcW w:w="504" w:type="dxa"/>
            <w:vAlign w:val="center"/>
            <w:vMerge w:val="restart"/>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公共设施通道</w:t>
            </w:r>
            <w:r/>
          </w:p>
        </w:tc>
        <w:tc>
          <w:tcPr>
            <w:tcW w:w="45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3473"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消防楼梯清洁无烟蒂，保持畅通，配电房无杂物堆放，保持清洁。</w:t>
            </w:r>
            <w:r/>
          </w:p>
        </w:tc>
        <w:tc>
          <w:tcPr>
            <w:tcW w:w="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4399"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有杂物堆放扣1分，影响消防通道扣2分。</w:t>
            </w:r>
            <w:r/>
          </w:p>
        </w:tc>
      </w:tr>
      <w:tr>
        <w:trPr>
          <w:trHeight w:val="768"/>
        </w:trPr>
        <w:tc>
          <w:tcPr>
            <w:tcW w:w="504" w:type="dxa"/>
            <w:vAlign w:val="center"/>
            <w:vMerge w:val="continue"/>
            <w:textDirection w:val="lrTb"/>
            <w:noWrap w:val="false"/>
          </w:tcPr>
          <w:p>
            <w:pPr>
              <w:jc w:val="center"/>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5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3473"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病房、走廊、楼梯、扶手经常保持干净无积灰，大厅就楼道无烟头，病区衣服不乱挂。</w:t>
            </w:r>
            <w:r/>
          </w:p>
        </w:tc>
        <w:tc>
          <w:tcPr>
            <w:tcW w:w="540"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4399"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发现一只烟头扣1分，每一轮楼梯发现二只烟头扣1分，病员衣服挂于交通要道扣2分。</w:t>
            </w:r>
            <w:r/>
          </w:p>
        </w:tc>
      </w:tr>
    </w:tbl>
    <w:p>
      <w:pPr>
        <w:rPr>
          <w:rFonts w:ascii="宋体" w:hAnsi="宋体" w:cs="宋体"/>
          <w:b/>
          <w:color w:val="auto"/>
          <w:sz w:val="24"/>
          <w:highlight w:val="none"/>
          <w:lang w:eastAsia="zh-CN"/>
        </w:rPr>
      </w:pPr>
      <w:r>
        <w:rPr>
          <w:rFonts w:ascii="宋体" w:hAnsi="宋体" w:cs="宋体"/>
          <w:b/>
          <w:color w:val="auto"/>
          <w:sz w:val="24"/>
          <w:highlight w:val="none"/>
          <w:lang w:eastAsia="zh-CN"/>
        </w:rPr>
      </w:r>
      <w:r/>
    </w:p>
    <w:p>
      <w:pPr>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                     </w:t>
      </w:r>
      <w:r/>
    </w:p>
    <w:p>
      <w:pPr>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4、医技科室区域环境卫生考核标准</w:t>
      </w:r>
      <w:r/>
    </w:p>
    <w:p>
      <w:pPr>
        <w:jc w:val="center"/>
        <w:rPr>
          <w:rFonts w:ascii="宋体" w:hAnsi="宋体" w:cs="宋体"/>
          <w:color w:val="auto"/>
          <w:sz w:val="24"/>
          <w:highlight w:val="none"/>
        </w:rPr>
      </w:pPr>
      <w:r>
        <w:rPr>
          <w:rFonts w:hint="eastAsia" w:ascii="宋体" w:hAnsi="宋体" w:cs="宋体"/>
          <w:color w:val="auto"/>
          <w:sz w:val="24"/>
          <w:highlight w:val="none"/>
        </w:rPr>
        <w:t xml:space="preserve">科室                                          年      月    日</w:t>
      </w:r>
      <w:r/>
    </w:p>
    <w:tbl>
      <w:tblPr>
        <w:tblStyle w:val="703"/>
        <w:tblW w:w="9372" w:type="dxa"/>
        <w:tblInd w:w="1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6"/>
        <w:gridCol w:w="432"/>
        <w:gridCol w:w="3521"/>
        <w:gridCol w:w="567"/>
        <w:gridCol w:w="4336"/>
      </w:tblGrid>
      <w:tr>
        <w:trPr>
          <w:cantSplit/>
          <w:trHeight w:val="1610"/>
        </w:trPr>
        <w:tc>
          <w:tcPr>
            <w:tcW w:w="51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考核项目</w:t>
            </w:r>
            <w:r/>
          </w:p>
        </w:tc>
        <w:tc>
          <w:tcPr>
            <w:tcW w:w="432" w:type="dxa"/>
            <w:vAlign w:val="center"/>
            <w:textDirection w:val="tbRlV"/>
            <w:noWrap w:val="false"/>
          </w:tcPr>
          <w:p>
            <w:pPr>
              <w:ind w:left="113" w:right="113"/>
              <w:jc w:val="center"/>
              <w:spacing w:before="120" w:line="360" w:lineRule="auto"/>
              <w:rPr>
                <w:rFonts w:ascii="宋体" w:hAnsi="宋体" w:cs="宋体"/>
                <w:color w:val="auto"/>
                <w:sz w:val="24"/>
                <w:highlight w:val="none"/>
              </w:rPr>
            </w:pPr>
            <w:r>
              <w:rPr>
                <w:rFonts w:hint="eastAsia" w:ascii="宋体" w:hAnsi="宋体" w:cs="宋体"/>
                <w:color w:val="auto"/>
                <w:sz w:val="24"/>
                <w:highlight w:val="none"/>
              </w:rPr>
              <w:t xml:space="preserve">编 号</w:t>
            </w:r>
            <w:r/>
          </w:p>
        </w:tc>
        <w:tc>
          <w:tcPr>
            <w:tcW w:w="352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质量考核标准</w:t>
            </w:r>
            <w:r/>
          </w:p>
        </w:tc>
        <w:tc>
          <w:tcPr>
            <w:tcW w:w="567"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标准分</w:t>
            </w:r>
            <w:r/>
          </w:p>
        </w:tc>
        <w:tc>
          <w:tcPr>
            <w:tcW w:w="433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扣分标准</w:t>
            </w:r>
            <w:r/>
          </w:p>
        </w:tc>
      </w:tr>
      <w:tr>
        <w:trPr>
          <w:trHeight w:val="904"/>
        </w:trPr>
        <w:tc>
          <w:tcPr>
            <w:tcW w:w="516" w:type="dxa"/>
            <w:vAlign w:val="center"/>
            <w:vMerge w:val="restart"/>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医务人员工作环境</w:t>
            </w:r>
            <w:r/>
          </w:p>
        </w:tc>
        <w:tc>
          <w:tcPr>
            <w:tcW w:w="4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521"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医疗仪器、设备、各类器具无灰尘、无污渍</w:t>
            </w:r>
            <w:r/>
          </w:p>
        </w:tc>
        <w:tc>
          <w:tcPr>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433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发现一处未做到扣2分积灰或血渍扣1分</w:t>
            </w:r>
            <w:r/>
          </w:p>
        </w:tc>
      </w:tr>
      <w:tr>
        <w:trPr>
          <w:trHeight w:val="1060"/>
        </w:trPr>
        <w:tc>
          <w:tcPr>
            <w:tcW w:w="516" w:type="dxa"/>
            <w:vMerge w:val="continue"/>
            <w:textDirection w:val="lrTb"/>
            <w:noWrap w:val="false"/>
          </w:tcPr>
          <w:p>
            <w:pPr>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521"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值班室、医务办公室环境整洁，桌面、地面干净。值班室厕所干净无异味。</w:t>
            </w:r>
            <w:r/>
          </w:p>
        </w:tc>
        <w:tc>
          <w:tcPr>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433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发现一次不清洁扣1分，发现值班厕所不干净扣1分。</w:t>
            </w:r>
            <w:r/>
          </w:p>
        </w:tc>
      </w:tr>
      <w:tr>
        <w:trPr>
          <w:trHeight w:val="960"/>
        </w:trPr>
        <w:tc>
          <w:tcPr>
            <w:tcW w:w="516" w:type="dxa"/>
            <w:vMerge w:val="continue"/>
            <w:textDirection w:val="lrTb"/>
            <w:noWrap w:val="false"/>
          </w:tcPr>
          <w:p>
            <w:pPr>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521"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科室物品摆放整齐有序</w:t>
            </w:r>
            <w:r/>
          </w:p>
        </w:tc>
        <w:tc>
          <w:tcPr>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4336"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发现一次不整齐扣1分</w:t>
            </w:r>
            <w:r/>
          </w:p>
        </w:tc>
      </w:tr>
      <w:tr>
        <w:trPr>
          <w:trHeight w:val="1068"/>
        </w:trPr>
        <w:tc>
          <w:tcPr>
            <w:tcW w:w="516" w:type="dxa"/>
            <w:vAlign w:val="center"/>
            <w:vMerge w:val="restart"/>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公共环境</w:t>
            </w:r>
            <w:r/>
          </w:p>
        </w:tc>
        <w:tc>
          <w:tcPr>
            <w:tcW w:w="4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521"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各类垃圾桶经常保持清洁，无臭味、桶内、外体经常保持清洁，加盖，按规定地点放置。</w:t>
            </w:r>
            <w:r/>
          </w:p>
        </w:tc>
        <w:tc>
          <w:tcPr>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433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发现一物一次不清洁扣2分，有臭味扣2分，垃圾桶未加盖扣1分。</w:t>
            </w:r>
            <w:r/>
          </w:p>
        </w:tc>
      </w:tr>
      <w:tr>
        <w:trPr>
          <w:trHeight w:val="770"/>
        </w:trPr>
        <w:tc>
          <w:tcPr>
            <w:tcW w:w="516" w:type="dxa"/>
            <w:vMerge w:val="continue"/>
            <w:textDirection w:val="lrTb"/>
            <w:noWrap w:val="false"/>
          </w:tcPr>
          <w:p>
            <w:pPr>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3521"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公共厕所无长流水，无池内积水。</w:t>
            </w:r>
            <w:r/>
          </w:p>
        </w:tc>
        <w:tc>
          <w:tcPr>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433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发现一项不符合扣1分。</w:t>
            </w:r>
            <w:r/>
          </w:p>
        </w:tc>
      </w:tr>
      <w:tr>
        <w:trPr>
          <w:trHeight w:val="960"/>
        </w:trPr>
        <w:tc>
          <w:tcPr>
            <w:tcW w:w="516" w:type="dxa"/>
            <w:vMerge w:val="continue"/>
            <w:textDirection w:val="lrTb"/>
            <w:noWrap w:val="false"/>
          </w:tcPr>
          <w:p>
            <w:pPr>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3521"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走廊、各诊室、楼梯等地面清洁，无垃圾。无积水、无积灰、无烟蒂。</w:t>
            </w:r>
            <w:r/>
          </w:p>
        </w:tc>
        <w:tc>
          <w:tcPr>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433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发现地面有成堆垃圾扣2分纸屑扣1分发现一只烟头扣2分。</w:t>
            </w:r>
            <w:r/>
          </w:p>
        </w:tc>
      </w:tr>
      <w:tr>
        <w:trPr>
          <w:trHeight w:val="768"/>
        </w:trPr>
        <w:tc>
          <w:tcPr>
            <w:tcW w:w="516" w:type="dxa"/>
            <w:vMerge w:val="continue"/>
            <w:textDirection w:val="lrTb"/>
            <w:noWrap w:val="false"/>
          </w:tcPr>
          <w:p>
            <w:pPr>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3521"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地面危险处，应有防滑标记。</w:t>
            </w:r>
            <w:r/>
          </w:p>
        </w:tc>
        <w:tc>
          <w:tcPr>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433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地面湿滑无防滑标识，发现一次扣2分，病人发生意外不得分。</w:t>
            </w:r>
            <w:r/>
          </w:p>
        </w:tc>
      </w:tr>
      <w:tr>
        <w:trPr>
          <w:trHeight w:val="804"/>
        </w:trPr>
        <w:tc>
          <w:tcPr>
            <w:tcW w:w="516" w:type="dxa"/>
            <w:vMerge w:val="continue"/>
            <w:textDirection w:val="lrTb"/>
            <w:noWrap w:val="false"/>
          </w:tcPr>
          <w:p>
            <w:pPr>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3521"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玻璃窗明亮，窗台等无积灰</w:t>
            </w:r>
            <w:r/>
          </w:p>
        </w:tc>
        <w:tc>
          <w:tcPr>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433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候诊区不干净扣2分，整块窗台积灰有污垢扣1分</w:t>
            </w:r>
            <w:r/>
          </w:p>
        </w:tc>
      </w:tr>
      <w:tr>
        <w:trPr>
          <w:trHeight w:val="936"/>
        </w:trPr>
        <w:tc>
          <w:tcPr>
            <w:tcW w:w="516" w:type="dxa"/>
            <w:vMerge w:val="continue"/>
            <w:textDirection w:val="lrTb"/>
            <w:noWrap w:val="false"/>
          </w:tcPr>
          <w:p>
            <w:pPr>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3521"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清洗室、辅助间配电房等整齐、清洁无杂物。</w:t>
            </w:r>
            <w:r/>
          </w:p>
        </w:tc>
        <w:tc>
          <w:tcPr>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433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不整齐扣1分，有杂物成堆扣2分。</w:t>
            </w:r>
            <w:r/>
          </w:p>
        </w:tc>
      </w:tr>
      <w:tr>
        <w:trPr>
          <w:trHeight w:val="924"/>
        </w:trPr>
        <w:tc>
          <w:tcPr>
            <w:tcW w:w="516" w:type="dxa"/>
            <w:vMerge w:val="continue"/>
            <w:textDirection w:val="lrTb"/>
            <w:noWrap w:val="false"/>
          </w:tcPr>
          <w:p>
            <w:pPr>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3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521"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候诊区清洁干净，井然有序。</w:t>
            </w:r>
            <w:r/>
          </w:p>
        </w:tc>
        <w:tc>
          <w:tcPr>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433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不清洁扣1分，无序扣2分。</w:t>
            </w:r>
            <w:r/>
          </w:p>
        </w:tc>
      </w:tr>
    </w:tbl>
    <w:p>
      <w:pPr>
        <w:spacing w:line="520" w:lineRule="exact"/>
        <w:rPr>
          <w:rFonts w:ascii="宋体" w:hAnsi="宋体" w:cs="宋体"/>
          <w:color w:val="auto"/>
          <w:sz w:val="24"/>
          <w:highlight w:val="none"/>
          <w:lang w:eastAsia="zh-CN"/>
        </w:rPr>
      </w:pPr>
      <w:r>
        <w:rPr>
          <w:rFonts w:ascii="宋体" w:hAnsi="宋体" w:cs="宋体"/>
          <w:color w:val="auto"/>
          <w:sz w:val="24"/>
          <w:highlight w:val="none"/>
          <w:lang w:eastAsia="zh-CN"/>
        </w:rPr>
      </w:r>
      <w:r/>
    </w:p>
    <w:p>
      <w:pPr>
        <w:rPr>
          <w:rFonts w:ascii="宋体" w:hAnsi="宋体" w:cs="宋体"/>
          <w:b/>
          <w:color w:val="auto"/>
          <w:sz w:val="24"/>
          <w:highlight w:val="none"/>
          <w:lang w:eastAsia="zh-CN"/>
        </w:rPr>
      </w:pPr>
      <w:r>
        <w:rPr>
          <w:rFonts w:hint="eastAsia" w:ascii="宋体" w:hAnsi="宋体" w:cs="宋体"/>
          <w:b/>
          <w:bCs/>
          <w:color w:val="auto"/>
          <w:sz w:val="24"/>
          <w:highlight w:val="none"/>
          <w:lang w:eastAsia="zh-CN"/>
        </w:rPr>
        <w:t xml:space="preserve">5、后勤保障区域</w:t>
      </w:r>
      <w:r>
        <w:rPr>
          <w:rFonts w:hint="eastAsia" w:ascii="宋体" w:hAnsi="宋体" w:cs="宋体"/>
          <w:b/>
          <w:color w:val="auto"/>
          <w:sz w:val="24"/>
          <w:highlight w:val="none"/>
          <w:lang w:eastAsia="zh-CN"/>
        </w:rPr>
        <w:t xml:space="preserve">环境卫生考核标准</w:t>
      </w:r>
      <w:r/>
    </w:p>
    <w:p>
      <w:pPr>
        <w:jc w:val="center"/>
        <w:rPr>
          <w:rFonts w:ascii="宋体" w:hAnsi="宋体" w:cs="宋体"/>
          <w:b/>
          <w:color w:val="auto"/>
          <w:sz w:val="24"/>
          <w:highlight w:val="none"/>
          <w:lang w:eastAsia="zh-CN"/>
        </w:rPr>
      </w:pPr>
      <w:r>
        <w:rPr>
          <w:rFonts w:ascii="宋体" w:hAnsi="宋体" w:cs="宋体"/>
          <w:b/>
          <w:color w:val="auto"/>
          <w:sz w:val="24"/>
          <w:highlight w:val="none"/>
          <w:lang w:eastAsia="zh-CN"/>
        </w:rPr>
      </w:r>
      <w:r/>
    </w:p>
    <w:p>
      <w:pPr>
        <w:rPr>
          <w:rFonts w:ascii="宋体" w:hAnsi="宋体" w:cs="宋体"/>
          <w:color w:val="auto"/>
          <w:sz w:val="24"/>
          <w:highlight w:val="none"/>
        </w:rPr>
      </w:pPr>
      <w:r>
        <w:rPr>
          <w:rFonts w:hint="eastAsia" w:ascii="宋体" w:hAnsi="宋体" w:cs="宋体"/>
          <w:color w:val="auto"/>
          <w:sz w:val="24"/>
          <w:highlight w:val="none"/>
        </w:rPr>
        <w:t xml:space="preserve">科室：                                    年  月  日                                                                                                        </w:t>
      </w:r>
      <w:r/>
    </w:p>
    <w:tbl>
      <w:tblPr>
        <w:tblStyle w:val="703"/>
        <w:tblW w:w="9336" w:type="dxa"/>
        <w:tblInd w:w="1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4"/>
        <w:gridCol w:w="432"/>
        <w:gridCol w:w="4088"/>
        <w:gridCol w:w="567"/>
        <w:gridCol w:w="3745"/>
      </w:tblGrid>
      <w:tr>
        <w:trPr>
          <w:trHeight w:val="1464"/>
        </w:trPr>
        <w:tc>
          <w:tcPr>
            <w:tcW w:w="504"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考核项目</w:t>
            </w:r>
            <w:r/>
          </w:p>
        </w:tc>
        <w:tc>
          <w:tcPr>
            <w:tcW w:w="432"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编</w:t>
            </w:r>
            <w:r/>
          </w:p>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号</w:t>
            </w:r>
            <w:r/>
          </w:p>
        </w:tc>
        <w:tc>
          <w:tcPr>
            <w:tcW w:w="4088"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质量考核标准</w:t>
            </w:r>
            <w:r/>
          </w:p>
        </w:tc>
        <w:tc>
          <w:tcPr>
            <w:tcW w:w="567"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标准分</w:t>
            </w:r>
            <w:r/>
          </w:p>
        </w:tc>
        <w:tc>
          <w:tcPr>
            <w:tcW w:w="3745"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扣分理由</w:t>
            </w:r>
            <w:r/>
          </w:p>
        </w:tc>
      </w:tr>
      <w:tr>
        <w:trPr>
          <w:trHeight w:val="832"/>
        </w:trPr>
        <w:tc>
          <w:tcPr>
            <w:tcW w:w="504" w:type="dxa"/>
            <w:vAlign w:val="center"/>
            <w:vMerge w:val="restart"/>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公共环境</w:t>
            </w:r>
            <w:r/>
          </w:p>
        </w:tc>
        <w:tc>
          <w:tcPr>
            <w:tcW w:w="43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4088"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大厅、走廊各类垃圾桶经常保持清洁，无臭味、桶内、外经常保持清洁，加盖。</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745"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lang w:eastAsia="zh-CN"/>
              </w:rPr>
              <w:t xml:space="preserve">发现一次一物不清洁扣2分，有臭味扣2分。</w:t>
            </w:r>
            <w:r>
              <w:rPr>
                <w:rFonts w:hint="eastAsia" w:ascii="宋体" w:hAnsi="宋体" w:cs="宋体"/>
                <w:color w:val="auto"/>
                <w:szCs w:val="21"/>
                <w:highlight w:val="none"/>
              </w:rPr>
              <w:t xml:space="preserve">垃圾桶未加盖扣1分。</w:t>
            </w:r>
            <w:r/>
          </w:p>
        </w:tc>
      </w:tr>
      <w:tr>
        <w:trPr>
          <w:trHeight w:val="997"/>
        </w:trPr>
        <w:tc>
          <w:tcPr>
            <w:tcW w:w="504" w:type="dxa"/>
            <w:vMerge w:val="continue"/>
            <w:textDirection w:val="lrTb"/>
            <w:noWrap w:val="false"/>
          </w:tcPr>
          <w:p>
            <w:pPr>
              <w:tabs>
                <w:tab w:val="left" w:pos="288" w:leader="none"/>
              </w:tabs>
              <w:rPr>
                <w:rFonts w:ascii="宋体" w:hAnsi="宋体" w:cs="宋体"/>
                <w:color w:val="auto"/>
                <w:sz w:val="24"/>
                <w:highlight w:val="none"/>
              </w:rPr>
            </w:pPr>
            <w:r>
              <w:rPr>
                <w:rFonts w:ascii="宋体" w:hAnsi="宋体" w:cs="宋体"/>
                <w:color w:val="auto"/>
                <w:sz w:val="24"/>
                <w:highlight w:val="none"/>
              </w:rPr>
            </w:r>
            <w:r/>
          </w:p>
        </w:tc>
        <w:tc>
          <w:tcPr>
            <w:tcW w:w="43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4088"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地面、墙面、家具、物品应清洁无积灰、无垃圾、无污垢。地面危险处有防滑标识。</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745"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地面有成堆垃圾，发现一次扣1分，纸屑不及时扫清发现一次扣1分。</w:t>
            </w:r>
            <w:r/>
          </w:p>
        </w:tc>
      </w:tr>
      <w:tr>
        <w:trPr>
          <w:trHeight w:val="842"/>
        </w:trPr>
        <w:tc>
          <w:tcPr>
            <w:tcW w:w="504"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3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4088"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公共厕所无臭味，便池清洁，无漏水，无尿垢，地面无积水，水道无堵塞。</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745"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厕所有臭味扣2分，不清洁扣1分，不通畅或有积水各扣1分。</w:t>
            </w:r>
            <w:r/>
          </w:p>
        </w:tc>
      </w:tr>
      <w:tr>
        <w:trPr>
          <w:trHeight w:val="612"/>
        </w:trPr>
        <w:tc>
          <w:tcPr>
            <w:tcW w:w="504"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3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4088"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门框干净，门缝无积垢，窗台无积灰，窗帘干净，及时送洗。</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745"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发现一次一物不清洁扣1分，整块窗台有污垢扣1分，发现一块窗帘不清洁扣1分。</w:t>
            </w:r>
            <w:r/>
          </w:p>
        </w:tc>
      </w:tr>
      <w:tr>
        <w:trPr>
          <w:trHeight w:val="612"/>
        </w:trPr>
        <w:tc>
          <w:tcPr>
            <w:tcW w:w="504"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3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4088"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各大小会议室清洁、无积灰。</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745"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发现一处有灰尘扣1分。</w:t>
            </w:r>
            <w:r/>
          </w:p>
        </w:tc>
      </w:tr>
      <w:tr>
        <w:trPr>
          <w:trHeight w:val="680"/>
        </w:trPr>
        <w:tc>
          <w:tcPr>
            <w:tcW w:w="504" w:type="dxa"/>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3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4088"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地面危险处，应有防滑标记，</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3745"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地面湿、滑无标记发现一次扣1分，病人发生意外不得分。</w:t>
            </w:r>
            <w:r/>
          </w:p>
        </w:tc>
      </w:tr>
      <w:tr>
        <w:trPr>
          <w:trHeight w:val="734"/>
        </w:trPr>
        <w:tc>
          <w:tcPr>
            <w:tcW w:w="504" w:type="dxa"/>
            <w:vMerge w:val="restart"/>
            <w:textDirection w:val="lrTb"/>
            <w:noWrap w:val="false"/>
          </w:tcPr>
          <w:p>
            <w:pP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医务人员工作环境</w:t>
            </w:r>
            <w:r/>
          </w:p>
        </w:tc>
        <w:tc>
          <w:tcPr>
            <w:tcW w:w="43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4088"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办公家具、桌面无灰尘、无污渍。</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745"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发现一次一物不清洁扣1分，积灰扣1分。</w:t>
            </w:r>
            <w:r/>
          </w:p>
        </w:tc>
      </w:tr>
      <w:tr>
        <w:trPr>
          <w:trHeight w:val="928"/>
        </w:trPr>
        <w:tc>
          <w:tcPr>
            <w:tcW w:w="504"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3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4088"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办公室、仓库等环境整洁，地面干净。</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745"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发现一次不清洁扣1分。</w:t>
            </w:r>
            <w:r/>
          </w:p>
        </w:tc>
      </w:tr>
      <w:tr>
        <w:trPr>
          <w:trHeight w:val="1048"/>
        </w:trPr>
        <w:tc>
          <w:tcPr>
            <w:tcW w:w="504"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3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4088"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值班室清洁无积灰，物品摆放整齐有序。</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745"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发现一次不整齐扣2分。</w:t>
            </w:r>
            <w:r/>
          </w:p>
        </w:tc>
      </w:tr>
      <w:tr>
        <w:trPr>
          <w:trHeight w:val="1604"/>
        </w:trPr>
        <w:tc>
          <w:tcPr>
            <w:tcW w:w="504" w:type="dxa"/>
            <w:textDirection w:val="lrTb"/>
            <w:noWrap w:val="false"/>
          </w:tcPr>
          <w:p>
            <w:pP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控烟环境</w:t>
            </w:r>
            <w:r/>
          </w:p>
        </w:tc>
        <w:tc>
          <w:tcPr>
            <w:tcW w:w="432"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4088"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大厅、办公室、会议室、走廊、楼梯清洁、整齐，无吸烟、无烟头。</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3745"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楼梯不清洁根据面积扣分，每一轮楼梯发现一只烟头扣1分，走廊或会议室、办公室有成堆烟头超过三只扣5分。</w:t>
            </w:r>
            <w:r/>
          </w:p>
        </w:tc>
      </w:tr>
    </w:tbl>
    <w:p>
      <w:pPr>
        <w:spacing w:line="520" w:lineRule="exact"/>
        <w:rPr>
          <w:rFonts w:ascii="宋体" w:hAnsi="宋体" w:cs="宋体"/>
          <w:b/>
          <w:color w:val="auto"/>
          <w:sz w:val="24"/>
          <w:highlight w:val="none"/>
          <w:lang w:eastAsia="zh-CN"/>
        </w:rPr>
      </w:pPr>
      <w:r>
        <w:rPr>
          <w:rFonts w:ascii="宋体" w:hAnsi="宋体" w:cs="宋体"/>
          <w:b/>
          <w:color w:val="auto"/>
          <w:sz w:val="24"/>
          <w:highlight w:val="none"/>
          <w:lang w:eastAsia="zh-CN"/>
        </w:rPr>
      </w:r>
      <w:r/>
    </w:p>
    <w:p>
      <w:pPr>
        <w:spacing w:before="120"/>
        <w:rPr>
          <w:rFonts w:ascii="宋体" w:hAnsi="宋体" w:cs="宋体"/>
          <w:b/>
          <w:color w:val="auto"/>
          <w:sz w:val="24"/>
          <w:highlight w:val="none"/>
          <w:lang w:eastAsia="zh-CN"/>
        </w:rPr>
      </w:pP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新塘分院</w:t>
      </w:r>
      <w:r>
        <w:rPr>
          <w:rFonts w:hint="eastAsia" w:ascii="宋体" w:hAnsi="宋体" w:cs="宋体"/>
          <w:b/>
          <w:color w:val="auto"/>
          <w:sz w:val="24"/>
          <w:highlight w:val="none"/>
          <w:lang w:eastAsia="zh-CN"/>
        </w:rPr>
        <w:t xml:space="preserve">区域环境卫生考核标准</w:t>
      </w:r>
      <w:r/>
    </w:p>
    <w:p>
      <w:pPr>
        <w:rPr>
          <w:rFonts w:ascii="宋体" w:hAnsi="宋体" w:cs="宋体"/>
          <w:color w:val="auto"/>
          <w:sz w:val="24"/>
          <w:highlight w:val="none"/>
        </w:rPr>
      </w:pPr>
      <w:r>
        <w:rPr>
          <w:rFonts w:hint="eastAsia" w:ascii="宋体" w:hAnsi="宋体" w:cs="宋体"/>
          <w:color w:val="auto"/>
          <w:sz w:val="24"/>
          <w:highlight w:val="none"/>
        </w:rPr>
        <w:t xml:space="preserve">科室：                                    年  月  日                                                                                                        </w:t>
      </w:r>
      <w:r/>
    </w:p>
    <w:tbl>
      <w:tblPr>
        <w:tblStyle w:val="703"/>
        <w:tblW w:w="9264" w:type="dxa"/>
        <w:tblInd w:w="2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600"/>
        <w:gridCol w:w="3479"/>
        <w:gridCol w:w="567"/>
        <w:gridCol w:w="3850"/>
      </w:tblGrid>
      <w:tr>
        <w:trPr>
          <w:trHeight w:val="1015"/>
        </w:trPr>
        <w:tc>
          <w:tcPr>
            <w:tcW w:w="768"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考核项目</w:t>
            </w:r>
            <w:r/>
          </w:p>
        </w:tc>
        <w:tc>
          <w:tcPr>
            <w:tcW w:w="600"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编号</w:t>
            </w:r>
            <w:r/>
          </w:p>
        </w:tc>
        <w:tc>
          <w:tcPr>
            <w:tcW w:w="3479"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质量考核标准</w:t>
            </w:r>
            <w:r/>
          </w:p>
        </w:tc>
        <w:tc>
          <w:tcPr>
            <w:tcW w:w="567"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标准分</w:t>
            </w:r>
            <w:r/>
          </w:p>
        </w:tc>
        <w:tc>
          <w:tcPr>
            <w:tcW w:w="3850"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扣分理由</w:t>
            </w:r>
            <w:r/>
          </w:p>
        </w:tc>
      </w:tr>
      <w:tr>
        <w:trPr>
          <w:trHeight w:val="624"/>
        </w:trPr>
        <w:tc>
          <w:tcPr>
            <w:tcW w:w="768" w:type="dxa"/>
            <w:vAlign w:val="center"/>
            <w:vMerge w:val="restart"/>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公共环境</w:t>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大厅、诊室、走廊各类垃圾桶经常保持清洁，无臭味、桶内、外经常保持清洁，加盖。</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3850"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lang w:eastAsia="zh-CN"/>
              </w:rPr>
              <w:t xml:space="preserve">发现一次一物不清洁扣2分，有臭味扣2分。</w:t>
            </w:r>
            <w:r>
              <w:rPr>
                <w:rFonts w:hint="eastAsia" w:ascii="宋体" w:hAnsi="宋体" w:cs="宋体"/>
                <w:color w:val="auto"/>
                <w:szCs w:val="21"/>
                <w:highlight w:val="none"/>
              </w:rPr>
              <w:t xml:space="preserve">垃圾桶未加盖扣1分。</w:t>
            </w:r>
            <w:r/>
          </w:p>
        </w:tc>
      </w:tr>
      <w:tr>
        <w:trPr>
          <w:trHeight w:val="780"/>
        </w:trPr>
        <w:tc>
          <w:tcPr>
            <w:tcW w:w="768" w:type="dxa"/>
            <w:vMerge w:val="continue"/>
            <w:textDirection w:val="lrTb"/>
            <w:noWrap w:val="false"/>
          </w:tcPr>
          <w:p>
            <w:pPr>
              <w:tabs>
                <w:tab w:val="left" w:pos="288" w:leader="none"/>
              </w:tabs>
              <w:rPr>
                <w:rFonts w:ascii="宋体" w:hAnsi="宋体" w:cs="宋体"/>
                <w:color w:val="auto"/>
                <w:sz w:val="24"/>
                <w:highlight w:val="none"/>
              </w:rPr>
            </w:pPr>
            <w:r>
              <w:rPr>
                <w:rFonts w:ascii="宋体" w:hAnsi="宋体" w:cs="宋体"/>
                <w:color w:val="auto"/>
                <w:sz w:val="24"/>
                <w:highlight w:val="none"/>
              </w:rPr>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地面、墙面、家具、物品应清洁无积灰、无垃圾、无污垢。地面危险处有防滑标识。</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地面有成堆垃圾，发现一次扣1分，纸屑不及时扫清发现一次扣1分。</w:t>
            </w:r>
            <w:r/>
          </w:p>
        </w:tc>
      </w:tr>
      <w:tr>
        <w:trPr>
          <w:trHeight w:val="612"/>
        </w:trPr>
        <w:tc>
          <w:tcPr>
            <w:tcW w:w="768"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公共厕所无臭味，便池清洁，无漏水，无尿垢，地面无积水，水道无堵塞。</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厕所有臭味扣2分，不清洁扣1分，不通畅或有积水各扣1分。</w:t>
            </w:r>
            <w:r/>
          </w:p>
        </w:tc>
      </w:tr>
      <w:tr>
        <w:trPr>
          <w:trHeight w:val="612"/>
        </w:trPr>
        <w:tc>
          <w:tcPr>
            <w:tcW w:w="768"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门框干净，门缝无积垢，窗台无积灰，窗帘干净，及时送洗。</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发现一次一物不清洁扣1分，整块窗台有污垢扣1分，发现一块窗帘不清洁扣1分。</w:t>
            </w:r>
            <w:r/>
          </w:p>
        </w:tc>
      </w:tr>
      <w:tr>
        <w:trPr>
          <w:trHeight w:val="612"/>
        </w:trPr>
        <w:tc>
          <w:tcPr>
            <w:tcW w:w="768"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候诊椅清洁无损坏，摆放整齐、宣传栏清洁，无积灰。</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发现一处有灰尘扣1分。</w:t>
            </w:r>
            <w:r/>
          </w:p>
        </w:tc>
      </w:tr>
      <w:tr>
        <w:trPr>
          <w:trHeight w:val="734"/>
        </w:trPr>
        <w:tc>
          <w:tcPr>
            <w:tcW w:w="768" w:type="dxa"/>
            <w:vMerge w:val="restart"/>
            <w:textDirection w:val="lrTb"/>
            <w:noWrap w:val="false"/>
          </w:tcPr>
          <w:p>
            <w:pP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医务人员工作环境</w:t>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医疗仪器、设备、各类器具无灰尘、无污渍。</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发现一次一物不清洁扣1分，积灰或血渍扣1分。</w:t>
            </w:r>
            <w:r/>
          </w:p>
        </w:tc>
      </w:tr>
      <w:tr>
        <w:trPr>
          <w:trHeight w:val="756"/>
        </w:trPr>
        <w:tc>
          <w:tcPr>
            <w:tcW w:w="768"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值班室、护士站、医生办公室环境整洁，桌面、地面干净。</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发现一次不清洁扣1分。</w:t>
            </w:r>
            <w:r/>
          </w:p>
        </w:tc>
      </w:tr>
      <w:tr>
        <w:trPr>
          <w:trHeight w:val="637"/>
        </w:trPr>
        <w:tc>
          <w:tcPr>
            <w:tcW w:w="768"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服务台清洁无积灰，物品摆放整齐有序。</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发现一次不整齐扣2分。</w:t>
            </w:r>
            <w:r/>
          </w:p>
        </w:tc>
      </w:tr>
      <w:tr>
        <w:trPr>
          <w:trHeight w:val="1143"/>
        </w:trPr>
        <w:tc>
          <w:tcPr>
            <w:tcW w:w="768" w:type="dxa"/>
            <w:vMerge w:val="restart"/>
            <w:textDirection w:val="lrTb"/>
            <w:noWrap w:val="false"/>
          </w:tcPr>
          <w:p>
            <w:pP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诊病室环境</w:t>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诊察床、病床、候诊椅无积灰，室内干净，五死角，有终末消毒设施，终末消毒到位。</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发现一床不清洁扣0.5分发现一床未终末处理扣1.5分，发现一次死角扣1分。</w:t>
            </w:r>
            <w:r/>
          </w:p>
        </w:tc>
      </w:tr>
      <w:tr>
        <w:trPr>
          <w:trHeight w:val="832"/>
        </w:trPr>
        <w:tc>
          <w:tcPr>
            <w:tcW w:w="768" w:type="dxa"/>
            <w:vMerge w:val="continue"/>
            <w:textDirection w:val="lrTb"/>
            <w:noWrap w:val="false"/>
          </w:tcPr>
          <w:p>
            <w:pP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地面危险处，应有防滑标记，</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地面湿、滑无标记发现一次扣1分，病人发生意外不得分。</w:t>
            </w:r>
            <w:r/>
          </w:p>
        </w:tc>
      </w:tr>
      <w:tr>
        <w:trPr>
          <w:trHeight w:val="1604"/>
        </w:trPr>
        <w:tc>
          <w:tcPr>
            <w:tcW w:w="768" w:type="dxa"/>
            <w:textDirection w:val="lrTb"/>
            <w:noWrap w:val="false"/>
          </w:tcPr>
          <w:p>
            <w:pP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控烟环境</w:t>
            </w:r>
            <w:r/>
          </w:p>
        </w:tc>
        <w:tc>
          <w:tcPr>
            <w:tcW w:w="60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3479"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大厅、各诊室、观察室、走廊、楼梯清洁、整齐，无吸烟、无烟头。</w:t>
            </w:r>
            <w:r/>
          </w:p>
        </w:tc>
        <w:tc>
          <w:tcPr>
            <w:tcW w:w="567"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3850"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楼梯不清洁根据面积扣分，每一轮楼梯发现一只烟头扣1分，走廊或观察室有成堆烟头超过三只扣5分，有垃圾或积水扣1分。</w:t>
            </w:r>
            <w:r/>
          </w:p>
        </w:tc>
      </w:tr>
    </w:tbl>
    <w:p>
      <w:pPr>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                  </w:t>
      </w:r>
      <w:r/>
    </w:p>
    <w:p>
      <w:pPr>
        <w:spacing w:line="520" w:lineRule="exact"/>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r>
      <w:r/>
    </w:p>
    <w:p>
      <w:pPr>
        <w:spacing w:line="520" w:lineRule="exact"/>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 </w:t>
      </w: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lang w:eastAsia="zh-CN"/>
        </w:rPr>
        <w:t xml:space="preserve">、医院外环境卫生考核标准</w:t>
      </w:r>
      <w:r/>
    </w:p>
    <w:p>
      <w:pPr>
        <w:spacing w:line="520" w:lineRule="exact"/>
        <w:rPr>
          <w:rFonts w:ascii="宋体" w:hAnsi="宋体" w:cs="宋体"/>
          <w:b/>
          <w:color w:val="auto"/>
          <w:sz w:val="24"/>
          <w:highlight w:val="none"/>
          <w:lang w:eastAsia="zh-CN"/>
        </w:rPr>
      </w:pPr>
      <w:r>
        <w:rPr>
          <w:rFonts w:ascii="宋体" w:hAnsi="宋体" w:cs="宋体"/>
          <w:b/>
          <w:color w:val="auto"/>
          <w:sz w:val="24"/>
          <w:highlight w:val="none"/>
          <w:lang w:eastAsia="zh-CN"/>
        </w:rPr>
      </w:r>
      <w:r/>
    </w:p>
    <w:p>
      <w:pPr>
        <w:ind w:firstLine="240"/>
        <w:rPr>
          <w:rFonts w:ascii="宋体" w:hAnsi="宋体" w:cs="宋体"/>
          <w:color w:val="auto"/>
          <w:sz w:val="24"/>
          <w:highlight w:val="none"/>
        </w:rPr>
      </w:pPr>
      <w:r>
        <w:rPr>
          <w:rFonts w:hint="eastAsia" w:ascii="宋体" w:hAnsi="宋体" w:cs="宋体"/>
          <w:color w:val="auto"/>
          <w:sz w:val="24"/>
          <w:highlight w:val="none"/>
        </w:rPr>
        <w:t xml:space="preserve">科室                                          年      月    日                                                                                               </w:t>
      </w:r>
      <w:r/>
    </w:p>
    <w:tbl>
      <w:tblPr>
        <w:tblStyle w:val="703"/>
        <w:tblW w:w="95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9"/>
        <w:gridCol w:w="504"/>
        <w:gridCol w:w="420"/>
        <w:gridCol w:w="3653"/>
        <w:gridCol w:w="94"/>
        <w:gridCol w:w="473"/>
        <w:gridCol w:w="10"/>
        <w:gridCol w:w="2034"/>
        <w:gridCol w:w="308"/>
        <w:gridCol w:w="1212"/>
        <w:gridCol w:w="628"/>
        <w:gridCol w:w="24"/>
      </w:tblGrid>
      <w:tr>
        <w:trPr>
          <w:gridAfter w:val="1"/>
          <w:gridBefore w:val="1"/>
          <w:trHeight w:val="1303"/>
        </w:trPr>
        <w:tc>
          <w:tcPr>
            <w:tcW w:w="504"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考核项目</w:t>
            </w:r>
            <w:r/>
          </w:p>
        </w:tc>
        <w:tc>
          <w:tcPr>
            <w:tcW w:w="420"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编号</w:t>
            </w:r>
            <w:r/>
          </w:p>
        </w:tc>
        <w:tc>
          <w:tcPr>
            <w:gridSpan w:val="2"/>
            <w:tcW w:w="3747"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质量考核标准</w:t>
            </w:r>
            <w:r/>
          </w:p>
        </w:tc>
        <w:tc>
          <w:tcPr>
            <w:gridSpan w:val="2"/>
            <w:tcW w:w="483"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标准分</w:t>
            </w:r>
            <w:r/>
          </w:p>
        </w:tc>
        <w:tc>
          <w:tcPr>
            <w:gridSpan w:val="4"/>
            <w:tcW w:w="4182"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扣分理由</w:t>
            </w:r>
            <w:r/>
          </w:p>
        </w:tc>
      </w:tr>
      <w:tr>
        <w:trPr>
          <w:gridAfter w:val="1"/>
          <w:gridBefore w:val="1"/>
          <w:trHeight w:val="1137"/>
        </w:trPr>
        <w:tc>
          <w:tcPr>
            <w:tcW w:w="504" w:type="dxa"/>
            <w:vAlign w:val="center"/>
            <w:vMerge w:val="restart"/>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主大门环境</w:t>
            </w:r>
            <w:r/>
          </w:p>
        </w:tc>
        <w:tc>
          <w:tcPr>
            <w:tcW w:w="420" w:type="dxa"/>
            <w:vAlign w:val="center"/>
            <w:vMerge w:val="restart"/>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w:t>
            </w:r>
            <w:r/>
          </w:p>
        </w:tc>
        <w:tc>
          <w:tcPr>
            <w:gridSpan w:val="2"/>
            <w:tcW w:w="374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人行道清扫彻底，无堆积物、无砖瓦石子、无果皮、无纸屑薄膜、无泥土积水、无痰涕、无烟蒂。</w:t>
            </w:r>
            <w:r/>
          </w:p>
        </w:tc>
        <w:tc>
          <w:tcPr>
            <w:gridSpan w:val="2"/>
            <w:tcW w:w="483"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15</w:t>
            </w:r>
            <w:r/>
          </w:p>
        </w:tc>
        <w:tc>
          <w:tcPr>
            <w:gridSpan w:val="4"/>
            <w:tcW w:w="4182"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发现一处不清洁扣2分</w:t>
            </w:r>
            <w:r/>
          </w:p>
        </w:tc>
      </w:tr>
      <w:tr>
        <w:trPr>
          <w:gridAfter w:val="1"/>
          <w:gridBefore w:val="1"/>
          <w:trHeight w:val="1119"/>
        </w:trPr>
        <w:tc>
          <w:tcPr>
            <w:tcW w:w="504" w:type="dxa"/>
            <w:vAlign w:val="center"/>
            <w:vMerge w:val="continue"/>
            <w:textDirection w:val="lrTb"/>
            <w:noWrap w:val="false"/>
          </w:tcPr>
          <w:p>
            <w:pPr>
              <w:jc w:val="center"/>
              <w:tabs>
                <w:tab w:val="left" w:pos="288" w:leader="none"/>
              </w:tabs>
              <w:rPr>
                <w:rFonts w:ascii="宋体" w:hAnsi="宋体" w:cs="宋体"/>
                <w:color w:val="auto"/>
                <w:sz w:val="24"/>
                <w:highlight w:val="none"/>
              </w:rPr>
            </w:pPr>
            <w:r>
              <w:rPr>
                <w:rFonts w:ascii="宋体" w:hAnsi="宋体" w:cs="宋体"/>
                <w:color w:val="auto"/>
                <w:sz w:val="24"/>
                <w:highlight w:val="none"/>
              </w:rPr>
            </w:r>
            <w:r/>
          </w:p>
        </w:tc>
        <w:tc>
          <w:tcPr>
            <w:tcW w:w="42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2</w:t>
            </w:r>
            <w:r/>
          </w:p>
        </w:tc>
        <w:tc>
          <w:tcPr>
            <w:gridSpan w:val="2"/>
            <w:tcW w:w="374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人员集聚场所整洁，无烟蒂、瓜果皮核、纸屑、各类包装袋（盒）等杂物，无卫生死角地面垃圾滞留时间不得超过15分钟。</w:t>
            </w:r>
            <w:r/>
          </w:p>
        </w:tc>
        <w:tc>
          <w:tcPr>
            <w:gridSpan w:val="2"/>
            <w:tcW w:w="483"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15</w:t>
            </w:r>
            <w:r/>
          </w:p>
        </w:tc>
        <w:tc>
          <w:tcPr>
            <w:gridSpan w:val="4"/>
            <w:tcW w:w="4182"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发现一次超过时间未清洁扣3分</w:t>
            </w:r>
            <w:r/>
          </w:p>
        </w:tc>
      </w:tr>
      <w:tr>
        <w:trPr>
          <w:gridAfter w:val="1"/>
          <w:gridBefore w:val="1"/>
          <w:trHeight w:val="1135"/>
        </w:trPr>
        <w:tc>
          <w:tcPr>
            <w:tcW w:w="504" w:type="dxa"/>
            <w:vAlign w:val="center"/>
            <w:vMerge w:val="restart"/>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干道广场环境</w:t>
            </w:r>
            <w:r/>
          </w:p>
        </w:tc>
        <w:tc>
          <w:tcPr>
            <w:tcW w:w="420" w:type="dxa"/>
            <w:vAlign w:val="center"/>
            <w:vMerge w:val="restart"/>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3</w:t>
            </w:r>
            <w:r/>
          </w:p>
        </w:tc>
        <w:tc>
          <w:tcPr>
            <w:gridSpan w:val="2"/>
            <w:tcW w:w="374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道路整洁（包括车行道、人行道及道路两侧交界范围）。有纸屑、瓜果皮核、包装壳、塑料袋、砖瓦、小石块等废弃物。</w:t>
            </w:r>
            <w:r/>
          </w:p>
        </w:tc>
        <w:tc>
          <w:tcPr>
            <w:gridSpan w:val="2"/>
            <w:tcW w:w="483"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gridSpan w:val="4"/>
            <w:tcW w:w="4182"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每处扣1分；有成堆垃圾或卫生死角每处扣3分</w:t>
            </w:r>
            <w:r/>
          </w:p>
        </w:tc>
      </w:tr>
      <w:tr>
        <w:trPr>
          <w:gridAfter w:val="1"/>
          <w:gridBefore w:val="1"/>
          <w:trHeight w:val="1392"/>
        </w:trPr>
        <w:tc>
          <w:tcPr>
            <w:tcW w:w="504" w:type="dxa"/>
            <w:vAlign w:val="center"/>
            <w:vMerge w:val="continue"/>
            <w:textDirection w:val="lrTb"/>
            <w:noWrap w:val="false"/>
          </w:tcPr>
          <w:p>
            <w:pPr>
              <w:jc w:val="center"/>
              <w:tabs>
                <w:tab w:val="left" w:pos="288" w:leader="none"/>
              </w:tabs>
              <w:rPr>
                <w:rFonts w:ascii="宋体" w:hAnsi="宋体" w:cs="宋体"/>
                <w:color w:val="auto"/>
                <w:sz w:val="24"/>
                <w:highlight w:val="none"/>
                <w:lang w:eastAsia="zh-CN"/>
              </w:rPr>
            </w:pPr>
            <w:r>
              <w:rPr>
                <w:rFonts w:ascii="宋体" w:hAnsi="宋体" w:cs="宋体"/>
                <w:color w:val="auto"/>
                <w:sz w:val="24"/>
                <w:highlight w:val="none"/>
                <w:lang w:eastAsia="zh-CN"/>
              </w:rPr>
            </w:r>
            <w:r/>
          </w:p>
        </w:tc>
        <w:tc>
          <w:tcPr>
            <w:tcW w:w="42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4</w:t>
            </w:r>
            <w:r/>
          </w:p>
        </w:tc>
        <w:tc>
          <w:tcPr>
            <w:gridSpan w:val="2"/>
            <w:tcW w:w="374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垃圾桶清掏及时，箱内垃圾不超过箱容积的2/3；箱体无明显污迹，无乱贴乱画；果皮箱完好无损坏；箱周围3米内地面无抛撒、存留垃圾。</w:t>
            </w:r>
            <w:r/>
          </w:p>
        </w:tc>
        <w:tc>
          <w:tcPr>
            <w:gridSpan w:val="2"/>
            <w:tcW w:w="483"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gridSpan w:val="4"/>
            <w:tcW w:w="4182"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破损每处扣1分，垃圾桶垃圾爆满及周围不整洁、未设置果皮箱不得分，数量不足，视情况扣1－2分。</w:t>
            </w:r>
            <w:r/>
          </w:p>
          <w:p>
            <w:pPr>
              <w:tabs>
                <w:tab w:val="left" w:pos="288" w:leader="none"/>
              </w:tabs>
              <w:rPr>
                <w:rFonts w:ascii="宋体" w:hAnsi="宋体" w:cs="宋体"/>
                <w:color w:val="auto"/>
                <w:szCs w:val="21"/>
                <w:highlight w:val="none"/>
                <w:lang w:eastAsia="zh-CN"/>
              </w:rPr>
            </w:pPr>
            <w:r>
              <w:rPr>
                <w:rFonts w:ascii="宋体" w:hAnsi="宋体" w:cs="宋体"/>
                <w:color w:val="auto"/>
                <w:szCs w:val="21"/>
                <w:highlight w:val="none"/>
                <w:lang w:eastAsia="zh-CN"/>
              </w:rPr>
            </w:r>
            <w:r/>
          </w:p>
        </w:tc>
      </w:tr>
      <w:tr>
        <w:trPr>
          <w:gridAfter w:val="1"/>
          <w:gridBefore w:val="1"/>
          <w:trHeight w:val="1431"/>
        </w:trPr>
        <w:tc>
          <w:tcPr>
            <w:tcW w:w="504"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停车场环境</w:t>
            </w:r>
            <w:r/>
          </w:p>
        </w:tc>
        <w:tc>
          <w:tcPr>
            <w:tcW w:w="42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5</w:t>
            </w:r>
            <w:r/>
          </w:p>
        </w:tc>
        <w:tc>
          <w:tcPr>
            <w:gridSpan w:val="2"/>
            <w:tcW w:w="374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保持停车场环境整洁，无烟蒂，无杂物，无纸屑及白色垃圾</w:t>
            </w:r>
            <w:r/>
          </w:p>
        </w:tc>
        <w:tc>
          <w:tcPr>
            <w:gridSpan w:val="2"/>
            <w:tcW w:w="483"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gridSpan w:val="4"/>
            <w:tcW w:w="4182"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不合格每处扣1分</w:t>
            </w:r>
            <w:r/>
          </w:p>
        </w:tc>
      </w:tr>
      <w:tr>
        <w:trPr>
          <w:gridAfter w:val="1"/>
          <w:gridBefore w:val="1"/>
          <w:trHeight w:val="788"/>
        </w:trPr>
        <w:tc>
          <w:tcPr>
            <w:tcW w:w="504" w:type="dxa"/>
            <w:vAlign w:val="center"/>
            <w:vMerge w:val="restart"/>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绿化带环境</w:t>
            </w:r>
            <w:r/>
          </w:p>
        </w:tc>
        <w:tc>
          <w:tcPr>
            <w:tcW w:w="420" w:type="dxa"/>
            <w:vAlign w:val="center"/>
            <w:vMerge w:val="restart"/>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6</w:t>
            </w:r>
            <w:r/>
          </w:p>
        </w:tc>
        <w:tc>
          <w:tcPr>
            <w:gridSpan w:val="2"/>
            <w:tcW w:w="374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每小时循环清洁，保持绿化带干净</w:t>
            </w:r>
            <w:r/>
          </w:p>
        </w:tc>
        <w:tc>
          <w:tcPr>
            <w:gridSpan w:val="2"/>
            <w:tcW w:w="483"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gridSpan w:val="4"/>
            <w:tcW w:w="4182"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发现一处扣1分</w:t>
            </w:r>
            <w:r/>
          </w:p>
        </w:tc>
      </w:tr>
      <w:tr>
        <w:trPr>
          <w:gridAfter w:val="1"/>
          <w:gridBefore w:val="1"/>
          <w:trHeight w:val="841"/>
        </w:trPr>
        <w:tc>
          <w:tcPr>
            <w:tcW w:w="504" w:type="dxa"/>
            <w:vAlign w:val="center"/>
            <w:vMerge w:val="continue"/>
            <w:textDirection w:val="lrTb"/>
            <w:noWrap w:val="false"/>
          </w:tcPr>
          <w:p>
            <w:pPr>
              <w:jc w:val="center"/>
              <w:tabs>
                <w:tab w:val="left" w:pos="288" w:leader="none"/>
              </w:tabs>
              <w:rPr>
                <w:rFonts w:ascii="宋体" w:hAnsi="宋体" w:cs="宋体"/>
                <w:color w:val="auto"/>
                <w:sz w:val="24"/>
                <w:highlight w:val="none"/>
              </w:rPr>
            </w:pPr>
            <w:r>
              <w:rPr>
                <w:rFonts w:ascii="宋体" w:hAnsi="宋体" w:cs="宋体"/>
                <w:color w:val="auto"/>
                <w:sz w:val="24"/>
                <w:highlight w:val="none"/>
              </w:rPr>
            </w:r>
            <w:r/>
          </w:p>
        </w:tc>
        <w:tc>
          <w:tcPr>
            <w:tcW w:w="42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7</w:t>
            </w:r>
            <w:r/>
          </w:p>
        </w:tc>
        <w:tc>
          <w:tcPr>
            <w:gridSpan w:val="2"/>
            <w:tcW w:w="374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目视绿化带内无明显枯枝落叶、无果皮、无易拉罐及等杂物</w:t>
            </w:r>
            <w:r/>
          </w:p>
        </w:tc>
        <w:tc>
          <w:tcPr>
            <w:gridSpan w:val="2"/>
            <w:tcW w:w="483"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10</w:t>
            </w:r>
            <w:r/>
          </w:p>
        </w:tc>
        <w:tc>
          <w:tcPr>
            <w:gridSpan w:val="4"/>
            <w:tcW w:w="4182" w:type="dxa"/>
            <w:vAlign w:val="center"/>
            <w:textDirection w:val="lrTb"/>
            <w:noWrap w:val="false"/>
          </w:tcPr>
          <w:p>
            <w:pP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发现一处扣1分</w:t>
            </w:r>
            <w:r/>
          </w:p>
        </w:tc>
      </w:tr>
      <w:tr>
        <w:trPr>
          <w:gridAfter w:val="1"/>
          <w:gridBefore w:val="1"/>
          <w:trHeight w:val="1266"/>
        </w:trPr>
        <w:tc>
          <w:tcPr>
            <w:tcW w:w="504" w:type="dxa"/>
            <w:vAlign w:val="center"/>
            <w:textDirection w:val="lrTb"/>
            <w:noWrap w:val="false"/>
          </w:tcPr>
          <w:p>
            <w:pPr>
              <w:jc w:val="center"/>
              <w:tabs>
                <w:tab w:val="left" w:pos="288" w:leader="none"/>
              </w:tabs>
              <w:rPr>
                <w:rFonts w:ascii="宋体" w:hAnsi="宋体" w:cs="宋体"/>
                <w:color w:val="auto"/>
                <w:sz w:val="24"/>
                <w:highlight w:val="none"/>
              </w:rPr>
            </w:pPr>
            <w:r>
              <w:rPr>
                <w:rFonts w:hint="eastAsia" w:ascii="宋体" w:hAnsi="宋体" w:cs="宋体"/>
                <w:color w:val="auto"/>
                <w:sz w:val="24"/>
                <w:highlight w:val="none"/>
              </w:rPr>
              <w:t xml:space="preserve">控烟环境</w:t>
            </w:r>
            <w:r/>
          </w:p>
        </w:tc>
        <w:tc>
          <w:tcPr>
            <w:tcW w:w="420"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8</w:t>
            </w:r>
            <w:r/>
          </w:p>
        </w:tc>
        <w:tc>
          <w:tcPr>
            <w:gridSpan w:val="2"/>
            <w:tcW w:w="3747"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每小时循环清洁，保持地面无烟头</w:t>
            </w:r>
            <w:r/>
          </w:p>
        </w:tc>
        <w:tc>
          <w:tcPr>
            <w:gridSpan w:val="2"/>
            <w:tcW w:w="483" w:type="dxa"/>
            <w:vAlign w:val="center"/>
            <w:textDirection w:val="lrTb"/>
            <w:noWrap w:val="false"/>
          </w:tcPr>
          <w:p>
            <w:pPr>
              <w:jc w:val="center"/>
              <w:tabs>
                <w:tab w:val="left" w:pos="288" w:leader="none"/>
              </w:tabs>
              <w:rPr>
                <w:rFonts w:ascii="宋体" w:hAnsi="宋体" w:cs="宋体"/>
                <w:color w:val="auto"/>
                <w:szCs w:val="21"/>
                <w:highlight w:val="none"/>
              </w:rPr>
            </w:pPr>
            <w:r>
              <w:rPr>
                <w:rFonts w:hint="eastAsia" w:ascii="宋体" w:hAnsi="宋体" w:cs="宋体"/>
                <w:color w:val="auto"/>
                <w:szCs w:val="21"/>
                <w:highlight w:val="none"/>
              </w:rPr>
              <w:t xml:space="preserve">20</w:t>
            </w:r>
            <w:r/>
          </w:p>
        </w:tc>
        <w:tc>
          <w:tcPr>
            <w:gridSpan w:val="4"/>
            <w:tcW w:w="4182" w:type="dxa"/>
            <w:vAlign w:val="center"/>
            <w:textDirection w:val="lrTb"/>
            <w:noWrap w:val="false"/>
          </w:tcPr>
          <w:p>
            <w:pPr>
              <w:tabs>
                <w:tab w:val="left" w:pos="288"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路面及绿化带有烟头15分钟之内未清扫扣2分；有成堆烟头超过三只扣5分。</w:t>
            </w:r>
            <w:r/>
          </w:p>
        </w:tc>
      </w:tr>
      <w:tr>
        <w:trPr>
          <w:jc w:val="center"/>
          <w:trHeight w:val="600"/>
        </w:trPr>
        <w:tc>
          <w:tcPr>
            <w:gridSpan w:val="12"/>
            <w:tcBorders>
              <w:top w:val="none" w:color="000000" w:sz="4" w:space="0"/>
              <w:left w:val="none" w:color="000000" w:sz="4" w:space="0"/>
              <w:bottom w:val="none" w:color="000000" w:sz="4" w:space="0"/>
              <w:right w:val="none" w:color="000000" w:sz="4" w:space="0"/>
            </w:tcBorders>
            <w:tcW w:w="9559" w:type="dxa"/>
            <w:vAlign w:val="center"/>
            <w:textDirection w:val="lrTb"/>
            <w:noWrap w:val="false"/>
          </w:tcPr>
          <w:p>
            <w:pPr>
              <w:jc w:val="center"/>
              <w:rPr>
                <w:rFonts w:ascii="宋体" w:hAnsi="宋体" w:cs="宋体"/>
                <w:b/>
                <w:bCs/>
                <w:color w:val="auto"/>
                <w:sz w:val="24"/>
                <w:highlight w:val="none"/>
                <w:lang w:eastAsia="zh-CN"/>
              </w:rPr>
            </w:pPr>
            <w:r>
              <w:rPr>
                <w:rFonts w:ascii="宋体" w:hAnsi="宋体" w:cs="宋体"/>
                <w:b/>
                <w:bCs/>
                <w:color w:val="auto"/>
                <w:sz w:val="24"/>
                <w:highlight w:val="none"/>
                <w:lang w:eastAsia="zh-CN"/>
              </w:rPr>
            </w:r>
            <w:r/>
          </w:p>
          <w:p>
            <w:pPr>
              <w:rPr>
                <w:rFonts w:ascii="宋体" w:hAnsi="宋体" w:cs="宋体"/>
                <w:b/>
                <w:bCs/>
                <w:color w:val="auto"/>
                <w:sz w:val="24"/>
                <w:highlight w:val="none"/>
                <w:lang w:eastAsia="zh-CN"/>
              </w:rPr>
            </w:pPr>
            <w:r>
              <w:rPr>
                <w:rFonts w:hint="eastAsia" w:ascii="宋体" w:hAnsi="宋体" w:cs="宋体"/>
                <w:b/>
                <w:bCs/>
                <w:color w:val="auto"/>
                <w:sz w:val="24"/>
                <w:highlight w:val="none"/>
                <w:lang w:val="en-US" w:eastAsia="zh-CN"/>
              </w:rPr>
              <w:t xml:space="preserve">8</w:t>
            </w:r>
            <w:r>
              <w:rPr>
                <w:rFonts w:hint="eastAsia" w:ascii="宋体" w:hAnsi="宋体" w:cs="宋体"/>
                <w:b/>
                <w:bCs/>
                <w:color w:val="auto"/>
                <w:sz w:val="24"/>
                <w:highlight w:val="none"/>
                <w:lang w:eastAsia="zh-CN"/>
              </w:rPr>
              <w:t xml:space="preserve">、运送服务质量考核表</w:t>
            </w:r>
            <w:r/>
          </w:p>
        </w:tc>
      </w:tr>
      <w:tr>
        <w:trPr>
          <w:jc w:val="center"/>
          <w:trHeight w:val="600"/>
        </w:trPr>
        <w:tc>
          <w:tcPr>
            <w:gridSpan w:val="4"/>
            <w:tcBorders>
              <w:top w:val="single" w:color="auto" w:sz="4" w:space="0"/>
              <w:left w:val="single" w:color="auto" w:sz="4" w:space="0"/>
              <w:bottom w:val="single" w:color="auto" w:sz="4" w:space="0"/>
              <w:right w:val="single" w:color="auto" w:sz="4" w:space="0"/>
            </w:tcBorders>
            <w:tcW w:w="4776"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考核时间：  年  月份</w:t>
            </w:r>
            <w:r/>
          </w:p>
        </w:tc>
        <w:tc>
          <w:tcPr>
            <w:gridSpan w:val="5"/>
            <w:tcBorders>
              <w:top w:val="single" w:color="auto" w:sz="4" w:space="0"/>
              <w:left w:val="none" w:color="000000" w:sz="4" w:space="0"/>
              <w:bottom w:val="single" w:color="auto" w:sz="4" w:space="0"/>
              <w:right w:val="single" w:color="auto" w:sz="4" w:space="0"/>
            </w:tcBorders>
            <w:tcW w:w="2919"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3"/>
            <w:tcBorders>
              <w:top w:val="single" w:color="auto" w:sz="4" w:space="0"/>
              <w:left w:val="none" w:color="000000" w:sz="4" w:space="0"/>
              <w:bottom w:val="single" w:color="auto" w:sz="4" w:space="0"/>
              <w:right w:val="single" w:color="auto" w:sz="4" w:space="0"/>
            </w:tcBorders>
            <w:tcW w:w="1864"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得分：</w:t>
            </w:r>
            <w:r/>
          </w:p>
        </w:tc>
      </w:tr>
      <w:tr>
        <w:trPr>
          <w:jc w:val="center"/>
          <w:trHeight w:val="759"/>
        </w:trPr>
        <w:tc>
          <w:tcPr>
            <w:gridSpan w:val="4"/>
            <w:tcBorders>
              <w:top w:val="none" w:color="000000" w:sz="4" w:space="0"/>
              <w:left w:val="single" w:color="auto" w:sz="4" w:space="0"/>
              <w:bottom w:val="single" w:color="auto" w:sz="4" w:space="0"/>
              <w:right w:val="single" w:color="auto" w:sz="4" w:space="0"/>
            </w:tcBorders>
            <w:tcW w:w="4776"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考核内容</w:t>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分值</w:t>
            </w:r>
            <w:r/>
          </w:p>
        </w:tc>
        <w:tc>
          <w:tcPr>
            <w:gridSpan w:val="3"/>
            <w:tcBorders>
              <w:top w:val="none" w:color="000000" w:sz="4" w:space="0"/>
              <w:left w:val="none" w:color="000000" w:sz="4" w:space="0"/>
              <w:bottom w:val="single" w:color="auto" w:sz="4" w:space="0"/>
              <w:right w:val="single" w:color="auto" w:sz="4" w:space="0"/>
            </w:tcBorders>
            <w:tcW w:w="2352"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扣分细则</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考核扣分及原因</w:t>
            </w:r>
            <w:r/>
          </w:p>
        </w:tc>
        <w:tc>
          <w:tcPr>
            <w:gridSpan w:val="2"/>
            <w:tcBorders>
              <w:top w:val="none" w:color="000000" w:sz="4" w:space="0"/>
              <w:left w:val="none" w:color="000000" w:sz="4" w:space="0"/>
              <w:bottom w:val="single" w:color="auto" w:sz="4" w:space="0"/>
              <w:right w:val="single" w:color="auto" w:sz="4" w:space="0"/>
            </w:tcBorders>
            <w:tcW w:w="652"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得分</w:t>
            </w:r>
            <w:r/>
          </w:p>
        </w:tc>
      </w:tr>
      <w:tr>
        <w:trPr>
          <w:jc w:val="center"/>
          <w:trHeight w:val="900"/>
        </w:trPr>
        <w:tc>
          <w:tcPr>
            <w:gridSpan w:val="4"/>
            <w:tcBorders>
              <w:top w:val="none" w:color="000000" w:sz="4" w:space="0"/>
              <w:left w:val="single" w:color="auto" w:sz="4" w:space="0"/>
              <w:bottom w:val="single" w:color="auto" w:sz="4" w:space="0"/>
              <w:right w:val="single" w:color="auto" w:sz="4" w:space="0"/>
            </w:tcBorders>
            <w:tcW w:w="477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工作人员遵章守纪，认真履职，服从医院管理与工作安排，爱护公物，不私带公物离开医院</w:t>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gridSpan w:val="3"/>
            <w:tcBorders>
              <w:top w:val="none" w:color="000000" w:sz="4" w:space="0"/>
              <w:left w:val="none" w:color="000000" w:sz="4" w:space="0"/>
              <w:bottom w:val="single" w:color="auto" w:sz="4" w:space="0"/>
              <w:right w:val="single" w:color="auto" w:sz="4" w:space="0"/>
            </w:tcBorders>
            <w:tcW w:w="235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未做到一次扣0.5分</w:t>
            </w:r>
            <w:r/>
          </w:p>
        </w:tc>
        <w:tc>
          <w:tcPr>
            <w:tcBorders>
              <w:top w:val="none" w:color="000000" w:sz="4" w:space="0"/>
              <w:left w:val="none" w:color="000000" w:sz="4" w:space="0"/>
              <w:bottom w:val="single" w:color="auto" w:sz="4" w:space="0"/>
              <w:right w:val="single" w:color="auto" w:sz="4" w:space="0"/>
            </w:tcBorders>
            <w:tcW w:w="1212" w:type="dxa"/>
            <w:vAlign w:val="bottom"/>
            <w:textDirection w:val="lrTb"/>
            <w:noWrap w:val="false"/>
          </w:tcPr>
          <w:p>
            <w:pPr>
              <w:ind w:left="-18" w:hanging="391"/>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652" w:type="dxa"/>
            <w:vAlign w:val="bottom"/>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768"/>
        </w:trPr>
        <w:tc>
          <w:tcPr>
            <w:gridSpan w:val="4"/>
            <w:tcBorders>
              <w:top w:val="none" w:color="000000" w:sz="4" w:space="0"/>
              <w:left w:val="single" w:color="auto" w:sz="4" w:space="0"/>
              <w:bottom w:val="single" w:color="auto" w:sz="4" w:space="0"/>
              <w:right w:val="single" w:color="auto" w:sz="4" w:space="0"/>
            </w:tcBorders>
            <w:tcW w:w="477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工作人员服务规范、态度热情、文明、举止端庄、不聚众聊天</w:t>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gridSpan w:val="3"/>
            <w:tcBorders>
              <w:top w:val="none" w:color="000000" w:sz="4" w:space="0"/>
              <w:left w:val="none" w:color="000000" w:sz="4" w:space="0"/>
              <w:bottom w:val="single" w:color="auto" w:sz="4" w:space="0"/>
              <w:right w:val="single" w:color="auto" w:sz="4" w:space="0"/>
            </w:tcBorders>
            <w:tcW w:w="2352"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一次不规范扣0.5分，病人投诉一次扣0.5分</w:t>
            </w:r>
            <w:r/>
          </w:p>
        </w:tc>
        <w:tc>
          <w:tcPr>
            <w:tcBorders>
              <w:top w:val="none" w:color="000000" w:sz="4" w:space="0"/>
              <w:left w:val="none" w:color="000000" w:sz="4" w:space="0"/>
              <w:bottom w:val="single" w:color="auto" w:sz="4" w:space="0"/>
              <w:right w:val="single" w:color="auto" w:sz="4" w:space="0"/>
            </w:tcBorders>
            <w:tcW w:w="1212" w:type="dxa"/>
            <w:vAlign w:val="bottom"/>
            <w:textDirection w:val="lrTb"/>
            <w:noWrap w:val="false"/>
          </w:tcPr>
          <w:p>
            <w:pPr>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　</w:t>
            </w:r>
            <w:r/>
          </w:p>
        </w:tc>
        <w:tc>
          <w:tcPr>
            <w:gridSpan w:val="2"/>
            <w:tcBorders>
              <w:top w:val="none" w:color="000000" w:sz="4" w:space="0"/>
              <w:left w:val="none" w:color="000000" w:sz="4" w:space="0"/>
              <w:bottom w:val="single" w:color="auto" w:sz="4" w:space="0"/>
              <w:right w:val="single" w:color="auto" w:sz="4" w:space="0"/>
            </w:tcBorders>
            <w:tcW w:w="652" w:type="dxa"/>
            <w:vAlign w:val="bottom"/>
            <w:textDirection w:val="lrTb"/>
            <w:noWrap w:val="false"/>
          </w:tcPr>
          <w:p>
            <w:pPr>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　</w:t>
            </w:r>
            <w:r/>
          </w:p>
        </w:tc>
      </w:tr>
      <w:tr>
        <w:trPr>
          <w:jc w:val="center"/>
          <w:trHeight w:val="900"/>
        </w:trPr>
        <w:tc>
          <w:tcPr>
            <w:gridSpan w:val="4"/>
            <w:tcBorders>
              <w:top w:val="none" w:color="000000" w:sz="4" w:space="0"/>
              <w:left w:val="single" w:color="auto" w:sz="4" w:space="0"/>
              <w:bottom w:val="single" w:color="auto" w:sz="4" w:space="0"/>
              <w:right w:val="single" w:color="auto" w:sz="4" w:space="0"/>
            </w:tcBorders>
            <w:tcW w:w="477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送检时仔细核对姓名、床号、检查项目等相关资料，介绍自己，告知检查项目</w:t>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gridSpan w:val="3"/>
            <w:tcBorders>
              <w:top w:val="none" w:color="000000" w:sz="4" w:space="0"/>
              <w:left w:val="none" w:color="000000" w:sz="4" w:space="0"/>
              <w:bottom w:val="single" w:color="auto" w:sz="4" w:space="0"/>
              <w:right w:val="single" w:color="auto" w:sz="4" w:space="0"/>
            </w:tcBorders>
            <w:tcW w:w="235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未做到一次扣0.5分</w:t>
            </w:r>
            <w:r/>
          </w:p>
        </w:tc>
        <w:tc>
          <w:tcPr>
            <w:tcBorders>
              <w:top w:val="none" w:color="000000" w:sz="4" w:space="0"/>
              <w:left w:val="none" w:color="000000" w:sz="4" w:space="0"/>
              <w:bottom w:val="single" w:color="auto" w:sz="4" w:space="0"/>
              <w:right w:val="single" w:color="auto" w:sz="4" w:space="0"/>
            </w:tcBorders>
            <w:tcW w:w="1212" w:type="dxa"/>
            <w:vAlign w:val="bottom"/>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652" w:type="dxa"/>
            <w:vAlign w:val="bottom"/>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900"/>
        </w:trPr>
        <w:tc>
          <w:tcPr>
            <w:gridSpan w:val="4"/>
            <w:tcBorders>
              <w:top w:val="none" w:color="000000" w:sz="4" w:space="0"/>
              <w:left w:val="single" w:color="auto" w:sz="4" w:space="0"/>
              <w:bottom w:val="single" w:color="auto" w:sz="4" w:space="0"/>
              <w:right w:val="single" w:color="auto" w:sz="4" w:space="0"/>
            </w:tcBorders>
            <w:tcW w:w="477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选择合适的运输工具，运送途中注意安全，速度适中，到达目的科室及时刹车制动，关注病人的反应</w:t>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gridSpan w:val="3"/>
            <w:tcBorders>
              <w:top w:val="none" w:color="000000" w:sz="4" w:space="0"/>
              <w:left w:val="none" w:color="000000" w:sz="4" w:space="0"/>
              <w:bottom w:val="single" w:color="auto" w:sz="4" w:space="0"/>
              <w:right w:val="single" w:color="auto" w:sz="4" w:space="0"/>
            </w:tcBorders>
            <w:tcW w:w="235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一次不符要求扣0.5分</w:t>
            </w:r>
            <w:r/>
          </w:p>
        </w:tc>
        <w:tc>
          <w:tcPr>
            <w:tcBorders>
              <w:top w:val="none" w:color="000000" w:sz="4" w:space="0"/>
              <w:left w:val="none" w:color="000000" w:sz="4" w:space="0"/>
              <w:bottom w:val="single" w:color="auto" w:sz="4" w:space="0"/>
              <w:right w:val="single" w:color="auto" w:sz="4" w:space="0"/>
            </w:tcBorders>
            <w:tcW w:w="1212" w:type="dxa"/>
            <w:vAlign w:val="bottom"/>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652" w:type="dxa"/>
            <w:vAlign w:val="bottom"/>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1200"/>
        </w:trPr>
        <w:tc>
          <w:tcPr>
            <w:gridSpan w:val="4"/>
            <w:tcBorders>
              <w:top w:val="none" w:color="000000" w:sz="4" w:space="0"/>
              <w:left w:val="single" w:color="auto" w:sz="4" w:space="0"/>
              <w:bottom w:val="single" w:color="auto" w:sz="4" w:space="0"/>
              <w:right w:val="single" w:color="auto" w:sz="4" w:space="0"/>
            </w:tcBorders>
            <w:tcW w:w="477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运送员关注病人身边仪器设备输液，不随意拔去各种医疗或监护仪器插头输液，准备必须的辅助医疗仪器，如氧气等</w:t>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gridSpan w:val="3"/>
            <w:tcBorders>
              <w:top w:val="none" w:color="000000" w:sz="4" w:space="0"/>
              <w:left w:val="none" w:color="000000" w:sz="4" w:space="0"/>
              <w:bottom w:val="single" w:color="auto" w:sz="4" w:space="0"/>
              <w:right w:val="single" w:color="auto" w:sz="4" w:space="0"/>
            </w:tcBorders>
            <w:tcW w:w="235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一次不符要求扣0.5分</w:t>
            </w:r>
            <w:r/>
          </w:p>
        </w:tc>
        <w:tc>
          <w:tcPr>
            <w:tcBorders>
              <w:top w:val="none" w:color="000000" w:sz="4" w:space="0"/>
              <w:left w:val="none" w:color="000000" w:sz="4" w:space="0"/>
              <w:bottom w:val="single" w:color="auto" w:sz="4" w:space="0"/>
              <w:right w:val="single" w:color="auto" w:sz="4" w:space="0"/>
            </w:tcBorders>
            <w:tcW w:w="1212" w:type="dxa"/>
            <w:vAlign w:val="bottom"/>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652" w:type="dxa"/>
            <w:vAlign w:val="bottom"/>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915"/>
        </w:trPr>
        <w:tc>
          <w:tcPr>
            <w:gridSpan w:val="4"/>
            <w:tcBorders>
              <w:top w:val="none" w:color="000000" w:sz="4" w:space="0"/>
              <w:left w:val="single" w:color="auto" w:sz="4" w:space="0"/>
              <w:bottom w:val="single" w:color="auto" w:sz="4" w:space="0"/>
              <w:right w:val="single" w:color="auto" w:sz="4" w:space="0"/>
            </w:tcBorders>
            <w:tcW w:w="477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接到调度电话10分钟内到达检查科室，检查返室及时汇报中心和临床科室。</w:t>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gridSpan w:val="3"/>
            <w:tcBorders>
              <w:top w:val="none" w:color="000000" w:sz="4" w:space="0"/>
              <w:left w:val="none" w:color="000000" w:sz="4" w:space="0"/>
              <w:bottom w:val="single" w:color="auto" w:sz="4" w:space="0"/>
              <w:right w:val="single" w:color="auto" w:sz="4" w:space="0"/>
            </w:tcBorders>
            <w:tcW w:w="235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一次不符要求扣0.5分</w:t>
            </w:r>
            <w:r/>
          </w:p>
        </w:tc>
        <w:tc>
          <w:tcPr>
            <w:tcBorders>
              <w:top w:val="none" w:color="000000" w:sz="4" w:space="0"/>
              <w:left w:val="none" w:color="000000" w:sz="4" w:space="0"/>
              <w:bottom w:val="single" w:color="auto" w:sz="4" w:space="0"/>
              <w:right w:val="single" w:color="auto" w:sz="4" w:space="0"/>
            </w:tcBorders>
            <w:tcW w:w="1212" w:type="dxa"/>
            <w:vAlign w:val="bottom"/>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652" w:type="dxa"/>
            <w:vAlign w:val="bottom"/>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960"/>
        </w:trPr>
        <w:tc>
          <w:tcPr>
            <w:gridSpan w:val="4"/>
            <w:tcBorders>
              <w:top w:val="none" w:color="000000" w:sz="4" w:space="0"/>
              <w:left w:val="single" w:color="auto" w:sz="4" w:space="0"/>
              <w:bottom w:val="single" w:color="auto" w:sz="4" w:space="0"/>
              <w:right w:val="single" w:color="auto" w:sz="4" w:space="0"/>
            </w:tcBorders>
            <w:tcW w:w="477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预约检查项目按照预约时间安排检查，运送员能根据病情合理安排检查顺序</w:t>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gridSpan w:val="3"/>
            <w:tcBorders>
              <w:top w:val="none" w:color="000000" w:sz="4" w:space="0"/>
              <w:left w:val="none" w:color="000000" w:sz="4" w:space="0"/>
              <w:bottom w:val="single" w:color="auto" w:sz="4" w:space="0"/>
              <w:right w:val="single" w:color="auto" w:sz="4" w:space="0"/>
            </w:tcBorders>
            <w:tcW w:w="235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一次不符要求扣0.5分</w:t>
            </w:r>
            <w:r/>
          </w:p>
        </w:tc>
        <w:tc>
          <w:tcPr>
            <w:tcBorders>
              <w:top w:val="none" w:color="000000" w:sz="4" w:space="0"/>
              <w:left w:val="none" w:color="000000" w:sz="4" w:space="0"/>
              <w:bottom w:val="single" w:color="auto" w:sz="4" w:space="0"/>
              <w:right w:val="single" w:color="auto" w:sz="4" w:space="0"/>
            </w:tcBorders>
            <w:tcW w:w="1212" w:type="dxa"/>
            <w:vAlign w:val="bottom"/>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652" w:type="dxa"/>
            <w:vAlign w:val="bottom"/>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600"/>
        </w:trPr>
        <w:tc>
          <w:tcPr>
            <w:gridSpan w:val="4"/>
            <w:tcBorders>
              <w:top w:val="none" w:color="000000" w:sz="4" w:space="0"/>
              <w:left w:val="single" w:color="auto" w:sz="4" w:space="0"/>
              <w:bottom w:val="single" w:color="auto" w:sz="4" w:space="0"/>
              <w:right w:val="single" w:color="auto" w:sz="4" w:space="0"/>
            </w:tcBorders>
            <w:tcW w:w="477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当日检查当天完成，未完成检查及时和病区联系</w:t>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gridSpan w:val="3"/>
            <w:tcBorders>
              <w:top w:val="none" w:color="000000" w:sz="4" w:space="0"/>
              <w:left w:val="none" w:color="000000" w:sz="4" w:space="0"/>
              <w:bottom w:val="single" w:color="auto" w:sz="4" w:space="0"/>
              <w:right w:val="single" w:color="auto" w:sz="4" w:space="0"/>
            </w:tcBorders>
            <w:tcW w:w="235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一次不符要求扣0.5分</w:t>
            </w:r>
            <w:r/>
          </w:p>
        </w:tc>
        <w:tc>
          <w:tcPr>
            <w:tcBorders>
              <w:top w:val="none" w:color="000000" w:sz="4" w:space="0"/>
              <w:left w:val="none" w:color="000000" w:sz="4" w:space="0"/>
              <w:bottom w:val="single" w:color="auto" w:sz="4" w:space="0"/>
              <w:right w:val="single" w:color="auto" w:sz="4" w:space="0"/>
            </w:tcBorders>
            <w:tcW w:w="1212" w:type="dxa"/>
            <w:vAlign w:val="bottom"/>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652" w:type="dxa"/>
            <w:vAlign w:val="bottom"/>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600"/>
        </w:trPr>
        <w:tc>
          <w:tcPr>
            <w:gridSpan w:val="4"/>
            <w:tcBorders>
              <w:top w:val="none" w:color="000000" w:sz="4" w:space="0"/>
              <w:left w:val="single" w:color="auto" w:sz="4" w:space="0"/>
              <w:bottom w:val="single" w:color="auto" w:sz="4" w:space="0"/>
              <w:right w:val="single" w:color="auto" w:sz="4" w:space="0"/>
            </w:tcBorders>
            <w:tcW w:w="477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与相关部门合作、与病人的沟通情况</w:t>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gridSpan w:val="3"/>
            <w:tcBorders>
              <w:top w:val="none" w:color="000000" w:sz="4" w:space="0"/>
              <w:left w:val="none" w:color="000000" w:sz="4" w:space="0"/>
              <w:bottom w:val="single" w:color="auto" w:sz="4" w:space="0"/>
              <w:right w:val="single" w:color="auto" w:sz="4" w:space="0"/>
            </w:tcBorders>
            <w:tcW w:w="2352"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一次不符要求扣0.5分，   病人投诉一次扣1分</w:t>
            </w:r>
            <w:r/>
          </w:p>
        </w:tc>
        <w:tc>
          <w:tcPr>
            <w:tcBorders>
              <w:top w:val="none" w:color="000000" w:sz="4" w:space="0"/>
              <w:left w:val="none" w:color="000000" w:sz="4" w:space="0"/>
              <w:bottom w:val="single" w:color="auto" w:sz="4" w:space="0"/>
              <w:right w:val="single" w:color="auto" w:sz="4" w:space="0"/>
            </w:tcBorders>
            <w:tcW w:w="1212" w:type="dxa"/>
            <w:vAlign w:val="bottom"/>
            <w:textDirection w:val="lrTb"/>
            <w:noWrap w:val="false"/>
          </w:tcPr>
          <w:p>
            <w:pPr>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　</w:t>
            </w:r>
            <w:r/>
          </w:p>
        </w:tc>
        <w:tc>
          <w:tcPr>
            <w:gridSpan w:val="2"/>
            <w:tcBorders>
              <w:top w:val="none" w:color="000000" w:sz="4" w:space="0"/>
              <w:left w:val="none" w:color="000000" w:sz="4" w:space="0"/>
              <w:bottom w:val="single" w:color="auto" w:sz="4" w:space="0"/>
              <w:right w:val="single" w:color="auto" w:sz="4" w:space="0"/>
            </w:tcBorders>
            <w:tcW w:w="652" w:type="dxa"/>
            <w:vAlign w:val="bottom"/>
            <w:textDirection w:val="lrTb"/>
            <w:noWrap w:val="false"/>
          </w:tcPr>
          <w:p>
            <w:pPr>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　</w:t>
            </w:r>
            <w:r/>
          </w:p>
        </w:tc>
      </w:tr>
      <w:tr>
        <w:trPr>
          <w:jc w:val="center"/>
          <w:trHeight w:val="600"/>
        </w:trPr>
        <w:tc>
          <w:tcPr>
            <w:gridSpan w:val="4"/>
            <w:tcBorders>
              <w:top w:val="none" w:color="000000" w:sz="4" w:space="0"/>
              <w:left w:val="single" w:color="auto" w:sz="4" w:space="0"/>
              <w:bottom w:val="single" w:color="auto" w:sz="4" w:space="0"/>
              <w:right w:val="single" w:color="auto" w:sz="4" w:space="0"/>
            </w:tcBorders>
            <w:tcW w:w="477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按时完成医院指令性任务。</w:t>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w:t>
            </w:r>
            <w:r/>
          </w:p>
        </w:tc>
        <w:tc>
          <w:tcPr>
            <w:gridSpan w:val="3"/>
            <w:tcBorders>
              <w:top w:val="none" w:color="000000" w:sz="4" w:space="0"/>
              <w:left w:val="none" w:color="000000" w:sz="4" w:space="0"/>
              <w:bottom w:val="single" w:color="auto" w:sz="4" w:space="0"/>
              <w:right w:val="single" w:color="auto" w:sz="4" w:space="0"/>
            </w:tcBorders>
            <w:tcW w:w="2352"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一次不符要求扣0.5分</w:t>
            </w:r>
            <w:r/>
          </w:p>
        </w:tc>
        <w:tc>
          <w:tcPr>
            <w:tcBorders>
              <w:top w:val="none" w:color="000000" w:sz="4" w:space="0"/>
              <w:left w:val="none" w:color="000000" w:sz="4" w:space="0"/>
              <w:bottom w:val="single" w:color="auto" w:sz="4" w:space="0"/>
              <w:right w:val="single" w:color="auto" w:sz="4" w:space="0"/>
            </w:tcBorders>
            <w:tcW w:w="1212" w:type="dxa"/>
            <w:vAlign w:val="bottom"/>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652" w:type="dxa"/>
            <w:vAlign w:val="bottom"/>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480"/>
        </w:trPr>
        <w:tc>
          <w:tcPr>
            <w:gridSpan w:val="4"/>
            <w:tcBorders>
              <w:top w:val="none" w:color="000000" w:sz="4" w:space="0"/>
              <w:left w:val="single" w:color="auto" w:sz="4" w:space="0"/>
              <w:bottom w:val="single" w:color="auto" w:sz="4" w:space="0"/>
              <w:right w:val="single" w:color="auto" w:sz="4" w:space="0"/>
            </w:tcBorders>
            <w:tcW w:w="477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合计</w:t>
            </w:r>
            <w:r/>
          </w:p>
        </w:tc>
        <w:tc>
          <w:tcPr>
            <w:gridSpan w:val="2"/>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100</w:t>
            </w:r>
            <w:r/>
          </w:p>
        </w:tc>
        <w:tc>
          <w:tcPr>
            <w:gridSpan w:val="3"/>
            <w:tcBorders>
              <w:top w:val="none" w:color="000000" w:sz="4" w:space="0"/>
              <w:left w:val="none" w:color="000000" w:sz="4" w:space="0"/>
              <w:bottom w:val="single" w:color="auto" w:sz="4" w:space="0"/>
              <w:right w:val="single" w:color="auto" w:sz="4" w:space="0"/>
            </w:tcBorders>
            <w:tcW w:w="235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652"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784"/>
        </w:trPr>
        <w:tc>
          <w:tcPr>
            <w:gridSpan w:val="12"/>
            <w:tcBorders>
              <w:top w:val="single" w:color="auto" w:sz="4" w:space="0"/>
              <w:left w:val="single" w:color="auto" w:sz="4" w:space="0"/>
              <w:bottom w:val="single" w:color="auto" w:sz="4" w:space="0"/>
              <w:right w:val="single" w:color="000000" w:sz="4" w:space="0"/>
            </w:tcBorders>
            <w:tcW w:w="9559"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备注：1、每月检查结果与所付费用挂钩；2、采用定期检查与随机检查相结合的方法，日常巡查中发现的问题计入月度考核中，累计扣分，与当月的服务费用挂钩。</w:t>
            </w:r>
            <w:r/>
          </w:p>
        </w:tc>
      </w:tr>
      <w:tr>
        <w:trPr>
          <w:jc w:val="center"/>
          <w:trHeight w:val="300"/>
        </w:trPr>
        <w:tc>
          <w:tcPr>
            <w:gridSpan w:val="4"/>
            <w:tcBorders>
              <w:top w:val="none" w:color="000000" w:sz="4" w:space="0"/>
              <w:left w:val="single" w:color="auto" w:sz="4" w:space="0"/>
              <w:bottom w:val="none" w:color="000000" w:sz="4" w:space="0"/>
              <w:right w:val="none" w:color="000000" w:sz="4" w:space="0"/>
            </w:tcBorders>
            <w:tcW w:w="4776" w:type="dxa"/>
            <w:vAlign w:val="center"/>
            <w:textDirection w:val="lrTb"/>
            <w:noWrap w:val="false"/>
          </w:tcPr>
          <w:p>
            <w:pPr>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本月存在问题及整改要求：</w:t>
            </w:r>
            <w:r/>
          </w:p>
        </w:tc>
        <w:tc>
          <w:tcPr>
            <w:gridSpan w:val="2"/>
            <w:tcBorders>
              <w:top w:val="none" w:color="000000" w:sz="4" w:space="0"/>
              <w:left w:val="none" w:color="000000" w:sz="4" w:space="0"/>
              <w:bottom w:val="none" w:color="000000" w:sz="4" w:space="0"/>
              <w:right w:val="none" w:color="000000" w:sz="4" w:space="0"/>
            </w:tcBorders>
            <w:tcW w:w="567" w:type="dxa"/>
            <w:vAlign w:val="center"/>
            <w:textDirection w:val="lrTb"/>
            <w:noWrap w:val="false"/>
          </w:tcPr>
          <w:p>
            <w:pPr>
              <w:jc w:val="center"/>
              <w:rPr>
                <w:rFonts w:ascii="宋体" w:hAnsi="宋体" w:cs="宋体"/>
                <w:color w:val="auto"/>
                <w:szCs w:val="21"/>
                <w:highlight w:val="none"/>
                <w:lang w:eastAsia="zh-CN"/>
              </w:rPr>
            </w:pPr>
            <w:r>
              <w:rPr>
                <w:rFonts w:ascii="宋体" w:hAnsi="宋体" w:cs="宋体"/>
                <w:color w:val="auto"/>
                <w:szCs w:val="21"/>
                <w:highlight w:val="none"/>
                <w:lang w:eastAsia="zh-CN"/>
              </w:rPr>
            </w:r>
            <w:r/>
          </w:p>
        </w:tc>
        <w:tc>
          <w:tcPr>
            <w:gridSpan w:val="2"/>
            <w:tcBorders>
              <w:top w:val="none" w:color="000000" w:sz="4" w:space="0"/>
              <w:left w:val="none" w:color="000000" w:sz="4" w:space="0"/>
              <w:bottom w:val="none" w:color="000000" w:sz="4" w:space="0"/>
              <w:right w:val="none" w:color="000000" w:sz="4" w:space="0"/>
            </w:tcBorders>
            <w:tcW w:w="2044" w:type="dxa"/>
            <w:vAlign w:val="center"/>
            <w:textDirection w:val="lrTb"/>
            <w:noWrap w:val="false"/>
          </w:tcPr>
          <w:p>
            <w:pPr>
              <w:jc w:val="center"/>
              <w:rPr>
                <w:rFonts w:ascii="宋体" w:hAnsi="宋体" w:cs="宋体"/>
                <w:color w:val="auto"/>
                <w:szCs w:val="21"/>
                <w:highlight w:val="none"/>
                <w:lang w:eastAsia="zh-CN"/>
              </w:rPr>
            </w:pPr>
            <w:r>
              <w:rPr>
                <w:rFonts w:ascii="宋体" w:hAnsi="宋体" w:cs="宋体"/>
                <w:color w:val="auto"/>
                <w:szCs w:val="21"/>
                <w:highlight w:val="none"/>
                <w:lang w:eastAsia="zh-CN"/>
              </w:rPr>
            </w:r>
            <w:r/>
          </w:p>
        </w:tc>
        <w:tc>
          <w:tcPr>
            <w:gridSpan w:val="2"/>
            <w:tcBorders>
              <w:top w:val="none" w:color="000000" w:sz="4" w:space="0"/>
              <w:left w:val="none" w:color="000000" w:sz="4" w:space="0"/>
              <w:bottom w:val="none" w:color="000000" w:sz="4" w:space="0"/>
              <w:right w:val="none" w:color="000000" w:sz="4" w:space="0"/>
            </w:tcBorders>
            <w:tcW w:w="1520" w:type="dxa"/>
            <w:vAlign w:val="center"/>
            <w:textDirection w:val="lrTb"/>
            <w:noWrap w:val="false"/>
          </w:tcPr>
          <w:p>
            <w:pPr>
              <w:jc w:val="center"/>
              <w:rPr>
                <w:rFonts w:ascii="宋体" w:hAnsi="宋体" w:cs="宋体"/>
                <w:color w:val="auto"/>
                <w:szCs w:val="21"/>
                <w:highlight w:val="none"/>
                <w:lang w:eastAsia="zh-CN"/>
              </w:rPr>
            </w:pPr>
            <w:r>
              <w:rPr>
                <w:rFonts w:ascii="宋体" w:hAnsi="宋体" w:cs="宋体"/>
                <w:color w:val="auto"/>
                <w:szCs w:val="21"/>
                <w:highlight w:val="none"/>
                <w:lang w:eastAsia="zh-CN"/>
              </w:rPr>
            </w:r>
            <w:r/>
          </w:p>
        </w:tc>
        <w:tc>
          <w:tcPr>
            <w:gridSpan w:val="2"/>
            <w:tcBorders>
              <w:top w:val="none" w:color="000000" w:sz="4" w:space="0"/>
              <w:left w:val="none" w:color="000000" w:sz="4" w:space="0"/>
              <w:bottom w:val="none" w:color="000000" w:sz="4" w:space="0"/>
              <w:right w:val="single" w:color="auto" w:sz="4" w:space="0"/>
            </w:tcBorders>
            <w:tcW w:w="652" w:type="dxa"/>
            <w:vAlign w:val="center"/>
            <w:textDirection w:val="lrTb"/>
            <w:noWrap w:val="false"/>
          </w:tcPr>
          <w:p>
            <w:pPr>
              <w:jc w:val="center"/>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　</w:t>
            </w:r>
            <w:r/>
          </w:p>
        </w:tc>
      </w:tr>
      <w:tr>
        <w:trPr>
          <w:jc w:val="center"/>
          <w:trHeight w:val="300"/>
        </w:trPr>
        <w:tc>
          <w:tcPr>
            <w:gridSpan w:val="12"/>
            <w:tcBorders>
              <w:top w:val="none" w:color="000000" w:sz="4" w:space="0"/>
              <w:left w:val="single" w:color="auto" w:sz="4" w:space="0"/>
              <w:bottom w:val="none" w:color="000000" w:sz="4" w:space="0"/>
              <w:right w:val="single" w:color="000000" w:sz="4" w:space="0"/>
            </w:tcBorders>
            <w:tcW w:w="9559" w:type="dxa"/>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专项负责人签名：</w:t>
            </w:r>
            <w:r/>
          </w:p>
        </w:tc>
      </w:tr>
      <w:tr>
        <w:trPr>
          <w:jc w:val="center"/>
          <w:trHeight w:val="503"/>
        </w:trPr>
        <w:tc>
          <w:tcPr>
            <w:gridSpan w:val="6"/>
            <w:tcBorders>
              <w:top w:val="none" w:color="000000" w:sz="4" w:space="0"/>
              <w:left w:val="single" w:color="auto" w:sz="4" w:space="0"/>
              <w:bottom w:val="single" w:color="auto" w:sz="4" w:space="0"/>
              <w:right w:val="none" w:color="000000" w:sz="4" w:space="0"/>
            </w:tcBorders>
            <w:tcW w:w="5343"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监管部门：</w:t>
            </w:r>
            <w:r/>
          </w:p>
        </w:tc>
        <w:tc>
          <w:tcPr>
            <w:gridSpan w:val="4"/>
            <w:tcBorders>
              <w:top w:val="none" w:color="000000" w:sz="4" w:space="0"/>
              <w:left w:val="none" w:color="000000" w:sz="4" w:space="0"/>
              <w:bottom w:val="single" w:color="auto" w:sz="4" w:space="0"/>
              <w:right w:val="none" w:color="000000" w:sz="4" w:space="0"/>
            </w:tcBorders>
            <w:tcW w:w="3564"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  物业公司：</w:t>
            </w:r>
            <w:r/>
          </w:p>
        </w:tc>
        <w:tc>
          <w:tcPr>
            <w:gridSpan w:val="2"/>
            <w:tcBorders>
              <w:top w:val="none" w:color="000000" w:sz="4" w:space="0"/>
              <w:left w:val="none" w:color="000000" w:sz="4" w:space="0"/>
              <w:bottom w:val="single" w:color="auto" w:sz="4" w:space="0"/>
              <w:right w:val="single" w:color="auto" w:sz="4" w:space="0"/>
            </w:tcBorders>
            <w:tcW w:w="65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　</w:t>
            </w:r>
            <w:r/>
          </w:p>
        </w:tc>
      </w:tr>
    </w:tbl>
    <w:p>
      <w:pPr>
        <w:pStyle w:val="1051"/>
        <w:ind w:right="42"/>
        <w:spacing w:line="360" w:lineRule="auto"/>
        <w:tabs>
          <w:tab w:val="left" w:pos="5665" w:leader="none"/>
          <w:tab w:val="right" w:pos="8360" w:leader="none"/>
        </w:tabs>
        <w:rPr>
          <w:rFonts w:hAnsi="宋体" w:eastAsia="宋体" w:cs="宋体"/>
          <w:color w:val="auto"/>
          <w:sz w:val="24"/>
          <w:highlight w:val="none"/>
        </w:rPr>
      </w:pPr>
      <w:r>
        <w:rPr>
          <w:rFonts w:hAnsi="宋体" w:eastAsia="宋体" w:cs="宋体"/>
          <w:color w:val="auto"/>
          <w:sz w:val="24"/>
          <w:highlight w:val="none"/>
        </w:rPr>
      </w:r>
      <w:r/>
    </w:p>
    <w:p>
      <w:pPr>
        <w:pStyle w:val="1051"/>
        <w:ind w:right="42"/>
        <w:spacing w:after="0" w:line="480" w:lineRule="exact"/>
        <w:tabs>
          <w:tab w:val="left" w:pos="5665" w:leader="none"/>
          <w:tab w:val="right" w:pos="8360" w:leader="none"/>
        </w:tabs>
        <w:rPr>
          <w:rFonts w:hAnsi="宋体" w:eastAsia="宋体" w:cs="宋体"/>
          <w:b/>
          <w:bCs/>
          <w:color w:val="auto"/>
          <w:sz w:val="24"/>
          <w:szCs w:val="24"/>
          <w:highlight w:val="none"/>
          <w:lang w:eastAsia="zh-CN"/>
        </w:rPr>
      </w:pPr>
      <w:r>
        <w:rPr>
          <w:rFonts w:hint="eastAsia" w:hAnsi="宋体" w:eastAsia="宋体" w:cs="宋体"/>
          <w:b/>
          <w:bCs/>
          <w:color w:val="auto"/>
          <w:sz w:val="24"/>
          <w:szCs w:val="24"/>
          <w:highlight w:val="none"/>
          <w:lang w:val="en-US" w:eastAsia="zh-CN"/>
        </w:rPr>
        <w:t xml:space="preserve">9</w:t>
      </w:r>
      <w:r>
        <w:rPr>
          <w:rFonts w:hint="eastAsia" w:hAnsi="宋体" w:eastAsia="宋体" w:cs="宋体"/>
          <w:b/>
          <w:bCs/>
          <w:color w:val="auto"/>
          <w:sz w:val="24"/>
          <w:szCs w:val="24"/>
          <w:highlight w:val="none"/>
          <w:lang w:eastAsia="zh-CN"/>
        </w:rPr>
        <w:t xml:space="preserve">.五个社区服务站考核内容同门急诊考核标准</w:t>
      </w:r>
      <w:r/>
    </w:p>
    <w:p>
      <w:pPr>
        <w:ind w:firstLine="843"/>
        <w:spacing w:after="0" w:line="48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物业公司满意度评价体系及考核标准（满意度考核占比30%）</w:t>
      </w:r>
      <w:r/>
    </w:p>
    <w:p>
      <w:pPr>
        <w:spacing w:after="0" w:line="480" w:lineRule="exact"/>
        <w:tabs>
          <w:tab w:val="left" w:pos="720" w:leader="none"/>
          <w:tab w:val="left" w:pos="900" w:leader="none"/>
        </w:tabs>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1、满意度之保洁员工作考核标准（满分100分，总占比15分）</w:t>
      </w:r>
      <w:r/>
    </w:p>
    <w:p>
      <w:pPr>
        <w:ind w:firstLine="48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一、工作纪律</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1、上班迟到、早退扣2分。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2、上班不统一着装扣2分。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3、上班聊天或干与工作无关的事扣3分。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4、上班未经许可私自外出扣2分。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5、利用工作闹情绪、发泄不满扣3分。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6、不服从管理、态度蛮横、无理取闹扣2分。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7、与员工不团结、打架扣3分。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8、未经许可私自泄露公司文件资料及医患人员资料扣3分。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二、服务意识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1、服务质量差被医患人员有效投诉扣2分。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2、发现异常情况不及时处理或报告扣3分。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3、见医患人员有困难不帮助、有损公司名誉扣3分。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4、不报告、不制止违章违规现象，故意回避扣2分。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5、遇事故借故回避或退缩扣3分。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6、拾物不上交、不退还扣2分。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7、与其它员工不协作、造成工作失误扣2分。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8、与医患人员争吵或刁难医患人员造成不良影响扣3分。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9、成本意识差、浪费材料扣2分。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10、利用工作之便向医患人员索取财物或小费扣4分。</w:t>
      </w:r>
      <w:r/>
    </w:p>
    <w:p>
      <w:pPr>
        <w:ind w:firstLine="460"/>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11、玩忽职守、违反操作规程，造成事故或损失扣4分。</w:t>
      </w:r>
      <w:r/>
    </w:p>
    <w:p>
      <w:pPr>
        <w:spacing w:after="0" w:line="480" w:lineRule="exact"/>
        <w:tabs>
          <w:tab w:val="left" w:pos="720" w:leader="none"/>
          <w:tab w:val="left" w:pos="900" w:leader="none"/>
        </w:tabs>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2、满意度之住院病人及医务人员评价得分（满分100分，总占比15分）</w:t>
      </w:r>
      <w:r/>
    </w:p>
    <w:p>
      <w:pPr>
        <w:spacing w:after="0" w:line="480" w:lineRule="exact"/>
        <w:tabs>
          <w:tab w:val="left" w:pos="600" w:leader="none"/>
          <w:tab w:val="left" w:pos="900" w:leader="none"/>
        </w:tabs>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ab/>
      </w:r>
      <w:r>
        <w:rPr>
          <w:rFonts w:hint="eastAsia" w:ascii="宋体" w:hAnsi="宋体" w:eastAsia="宋体" w:cs="宋体"/>
          <w:color w:val="auto"/>
          <w:sz w:val="24"/>
          <w:szCs w:val="24"/>
          <w:highlight w:val="none"/>
          <w:lang w:eastAsia="zh-CN"/>
        </w:rPr>
        <w:t xml:space="preserve">满意度由住院病人（5分）、测评临床科室医护人员（5分）、院方办公室（5分）对满意度做出打分。</w:t>
      </w:r>
      <w:r/>
    </w:p>
    <w:p>
      <w:pPr>
        <w:ind w:left="140"/>
        <w:spacing w:after="0" w:line="480" w:lineRule="exact"/>
        <w:rPr>
          <w:rFonts w:ascii="宋体" w:hAnsi="宋体" w:eastAsia="宋体" w:cs="宋体"/>
          <w:b/>
          <w:bCs/>
          <w:color w:val="auto"/>
          <w:sz w:val="24"/>
          <w:szCs w:val="24"/>
          <w:highlight w:val="none"/>
          <w:lang w:eastAsia="zh-CN"/>
        </w:rPr>
      </w:pPr>
      <w:r>
        <w:rPr>
          <w:rFonts w:ascii="宋体" w:hAnsi="宋体" w:eastAsia="宋体" w:cs="宋体"/>
          <w:b/>
          <w:bCs/>
          <w:color w:val="auto"/>
          <w:sz w:val="24"/>
          <w:szCs w:val="24"/>
          <w:highlight w:val="none"/>
          <w:lang w:eastAsia="zh-CN"/>
        </w:rPr>
      </w:r>
      <w:r/>
    </w:p>
    <w:p>
      <w:pPr>
        <w:pStyle w:val="938"/>
        <w:ind w:firstLine="480"/>
        <w:spacing w:line="500" w:lineRule="exact"/>
        <w:rPr>
          <w:rFonts w:cs="宋体" w:asciiTheme="minorEastAsia" w:hAnsiTheme="minorEastAsia" w:eastAsiaTheme="minorEastAsia"/>
          <w:color w:val="auto"/>
          <w:sz w:val="24"/>
          <w:szCs w:val="24"/>
          <w:highlight w:val="none"/>
          <w:lang w:eastAsia="zh-CN"/>
        </w:rPr>
      </w:pPr>
      <w:r>
        <w:rPr>
          <w:rFonts w:cs="宋体" w:asciiTheme="minorEastAsia" w:hAnsiTheme="minorEastAsia" w:eastAsiaTheme="minorEastAsia"/>
          <w:color w:val="auto"/>
          <w:sz w:val="24"/>
          <w:szCs w:val="24"/>
          <w:highlight w:val="none"/>
          <w:lang w:eastAsia="zh-CN"/>
        </w:rPr>
      </w:r>
      <w:r/>
    </w:p>
    <w:p>
      <w:pPr>
        <w:pStyle w:val="938"/>
        <w:spacing w:line="44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八</w:t>
      </w:r>
      <w:r>
        <w:rPr>
          <w:rFonts w:asciiTheme="minorEastAsia" w:hAnsiTheme="minorEastAsia" w:eastAsiaTheme="minorEastAsia"/>
          <w:b/>
          <w:color w:val="auto"/>
          <w:sz w:val="24"/>
          <w:szCs w:val="24"/>
          <w:highlight w:val="none"/>
          <w:lang w:eastAsia="zh-CN"/>
        </w:rPr>
        <w:t xml:space="preserve">、报价要求</w:t>
      </w:r>
      <w:r>
        <w:rPr>
          <w:rFonts w:hint="eastAsia" w:asciiTheme="minorEastAsia" w:hAnsiTheme="minorEastAsia" w:eastAsiaTheme="minorEastAsia"/>
          <w:b/>
          <w:color w:val="auto"/>
          <w:sz w:val="24"/>
          <w:szCs w:val="24"/>
          <w:highlight w:val="none"/>
          <w:lang w:eastAsia="zh-CN"/>
        </w:rPr>
        <w:t xml:space="preserve">：</w:t>
      </w:r>
      <w:r/>
    </w:p>
    <w:p>
      <w:pPr>
        <w:pStyle w:val="938"/>
        <w:ind w:firstLine="480"/>
        <w:spacing w:line="44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1、投标报价应以人民币为结算货币。 投标单位应根据招标项目内容要求，投标人根据项目特点和企业条件确定投标报价，即后勤保洁服务费，须包括：项目所需全部服务，不得缺漏，是履行合同的最终价格含服务、人工、保险、税金、调试、培训、保修等一切税金和费用（打蜡费用除外）。投标报价为投标方所能承受的最低一次性报价。投标方的投标报价为整个采购项目的总报价，如有漏项，视同已包含在其总项目中，合同总价不做调整。</w:t>
      </w:r>
      <w:r>
        <w:rPr>
          <w:rFonts w:hint="eastAsia" w:ascii="宋体" w:hAnsi="宋体" w:eastAsia="宋体"/>
          <w:color w:val="auto"/>
          <w:sz w:val="24"/>
          <w:szCs w:val="24"/>
          <w:highlight w:val="none"/>
          <w:lang w:eastAsia="zh-CN"/>
        </w:rPr>
        <w:t xml:space="preserve">同时，除非合同条款中另有规定，否则投标人所报价格在合同实施期间不因市场变化因素而变动。</w:t>
      </w:r>
      <w:r/>
    </w:p>
    <w:p>
      <w:pPr>
        <w:ind w:firstLine="424"/>
        <w:spacing w:after="0" w:line="440" w:lineRule="exact"/>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2、采购单位与派驻人员不发生任何劳动和雇佣关系，派驻人员由中标单位自行管理。中标单位必须按照</w:t>
      </w:r>
      <w:r>
        <w:rPr>
          <w:rFonts w:ascii="宋体" w:hAnsi="宋体" w:eastAsia="宋体" w:cs="宋体"/>
          <w:color w:val="auto"/>
          <w:sz w:val="24"/>
          <w:szCs w:val="24"/>
          <w:highlight w:val="none"/>
          <w:lang w:eastAsia="zh-CN"/>
        </w:rPr>
        <w:t xml:space="preserve">按照国家及太仓市的有关规定支付工资和交纳正常的社会保险</w:t>
      </w:r>
      <w:r>
        <w:rPr>
          <w:rFonts w:hint="eastAsia" w:ascii="宋体" w:hAnsi="宋体" w:eastAsia="宋体"/>
          <w:color w:val="auto"/>
          <w:sz w:val="24"/>
          <w:szCs w:val="24"/>
          <w:highlight w:val="none"/>
          <w:lang w:eastAsia="zh-CN"/>
        </w:rPr>
        <w:t xml:space="preserve">，不得安排工作人员超时限加班，并根据工作性质购置保险等相关劳动保障措施。中标单位须严格按照国家和政府规定给所有的员工按时发放工资及缴纳各种社会保险（包括养老、医疗、工伤、生育险、失业保险等）。负责其招聘员工的午餐、福利；如发生工伤、疾病乃至死亡的一切责任及费用由中标单位全部负责；应严格遵守国家有关的法律、法规及行业标准，否则招标人有权终止合同。保洁人员的薪金、福利、休假日补贴、工作餐、医疗费用及其他各种商业保险等均由中标单位负责，与采购方无关。报价必须含税。</w:t>
      </w:r>
      <w:r/>
    </w:p>
    <w:p>
      <w:pPr>
        <w:ind w:firstLine="424"/>
        <w:spacing w:after="0" w:line="440" w:lineRule="exact"/>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3、中标单位不得擅自变更投标时拟投入的所有人员。中标单位提供</w:t>
      </w:r>
      <w:r>
        <w:rPr>
          <w:rFonts w:hint="eastAsia" w:ascii="宋体" w:hAnsi="宋体" w:eastAsia="宋体"/>
          <w:color w:val="auto"/>
          <w:sz w:val="24"/>
          <w:szCs w:val="24"/>
          <w:highlight w:val="none"/>
          <w:lang w:eastAsia="zh-CN"/>
        </w:rPr>
        <w:t xml:space="preserve">的工作人员必须符合采购单位的要求，并将派遣人员相关资料提供给采购单位审核，审核通过后才可上岗，如采购单位认为该员工不能胜任本职工作的，中标单位需无条件配合采购单位更换人员。如未经招标人同意擅自变更的，按每人每次（该岗位当月双倍薪资）支付违约金；中标单位对应配齐的人员，如未按合同要求配齐，连续超过两个月，招标人有权取消合同。中标单位必须有各岗位培训计划，服务人员100%经过岗前培训合格才能上岗。中标方需制定严格的各服务项目的工作制度、工作流程、管理制度、奖惩考核措施及突发事件的应急预案，定期发放满意度调查表。</w:t>
      </w:r>
      <w:r/>
    </w:p>
    <w:p>
      <w:pPr>
        <w:ind w:firstLine="424"/>
        <w:spacing w:after="0" w:line="440" w:lineRule="exact"/>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4、中标单位对服务缺陷不予更正，招标人有权另请其他单位更正，所发生的费用由中标单位支付，此类情况超过三次不予整改，委托方有权取消合同。（中标单位应根据考核情况对服务缺陷及时整改，若在一个月后仍不整改，采购单位有权另请其他单位补充服务并按照所发生的费用在该季度服务费用中按实际支付的双倍费用进行扣除，扣除的费用甲方将不再向乙方另行支付。）</w:t>
      </w:r>
      <w:r/>
    </w:p>
    <w:p>
      <w:pPr>
        <w:ind w:firstLine="424"/>
        <w:spacing w:after="0" w:line="440" w:lineRule="exact"/>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5、中标单位在服务过程中，应采取周密的安全措施，以避免对工作人员、公众和他人人身以及财产造成损害，因中标单位疏忽、过失行为，操作不当或管理不当，造成人身及其它财产损失，一切责任和费用由中标单位承担。中标单位服务中发生责任事故，按照一票否决制确定，考核为不合格，采购方有权单方面终止合同。</w:t>
      </w:r>
      <w:r/>
    </w:p>
    <w:p>
      <w:pPr>
        <w:ind w:firstLine="424"/>
        <w:spacing w:after="0" w:line="440" w:lineRule="exact"/>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6、中标方对所提供的清洁、洗涤剂等需符合国家安全标准对人体物件无损害。</w:t>
      </w:r>
      <w:r/>
    </w:p>
    <w:p>
      <w:pPr>
        <w:ind w:firstLine="424"/>
        <w:spacing w:after="0" w:line="440" w:lineRule="exact"/>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7、中标单位配置项目相关人员的装备（包括对讲机以及对讲机公共频道占用费及维修费用等）并保持各通讯工具畅通；中标单位自备办公设备、耗材以及自行负责桌椅等办公家私。</w:t>
      </w:r>
      <w:r/>
    </w:p>
    <w:p>
      <w:pPr>
        <w:ind w:firstLine="424"/>
        <w:spacing w:after="0" w:line="440" w:lineRule="exact"/>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8、中标单位必须配合医院接受上级领导部门的监督、检查，并提供必要资料，院方按考核细则要求对中标方的工作每月实施考核管理。确因甲方工作需要，乙方应无条件合甲方完成一些突击工作。</w:t>
      </w:r>
      <w:r/>
    </w:p>
    <w:p>
      <w:pPr>
        <w:ind w:firstLine="480"/>
        <w:jc w:val="center"/>
        <w:spacing w:line="360" w:lineRule="auto"/>
        <w:widowControl w:val="off"/>
        <w:rPr>
          <w:rFonts w:asciiTheme="minorEastAsia" w:hAnsiTheme="minorEastAsia" w:eastAsiaTheme="minorEastAsia"/>
          <w:b/>
          <w:color w:val="auto"/>
          <w:sz w:val="24"/>
          <w:szCs w:val="24"/>
          <w:highlight w:val="none"/>
          <w:lang w:eastAsia="zh-CN"/>
        </w:rPr>
      </w:pPr>
      <w:r>
        <w:rPr>
          <w:rFonts w:hint="eastAsia" w:cs="仿宋" w:asciiTheme="minorEastAsia" w:hAnsiTheme="minorEastAsia" w:eastAsiaTheme="minorEastAsia"/>
          <w:b/>
          <w:color w:val="auto"/>
          <w:sz w:val="28"/>
          <w:szCs w:val="28"/>
          <w:highlight w:val="none"/>
          <w:lang w:eastAsia="zh-CN"/>
        </w:rPr>
        <w:br w:type="page" w:clear="all"/>
      </w:r>
      <w:r>
        <w:rPr>
          <w:rFonts w:hint="eastAsia" w:cs="宋体" w:asciiTheme="minorEastAsia" w:hAnsiTheme="minorEastAsia" w:eastAsiaTheme="minorEastAsia"/>
          <w:b/>
          <w:color w:val="auto"/>
          <w:sz w:val="24"/>
          <w:szCs w:val="24"/>
          <w:highlight w:val="none"/>
          <w:lang w:eastAsia="zh-CN"/>
        </w:rPr>
        <w:t xml:space="preserve">附件：服务类项目履约验收方案</w:t>
      </w:r>
      <w:r/>
    </w:p>
    <w:p>
      <w:pPr>
        <w:pStyle w:val="938"/>
        <w:spacing w:line="500" w:lineRule="exact"/>
        <w:rPr>
          <w:rFonts w:asciiTheme="minorEastAsia" w:hAnsiTheme="minorEastAsia" w:eastAsiaTheme="minorEastAsia"/>
          <w:b/>
          <w:color w:val="auto"/>
          <w:sz w:val="24"/>
          <w:szCs w:val="24"/>
          <w:highlight w:val="none"/>
          <w:lang w:eastAsia="zh-CN"/>
        </w:rPr>
      </w:pPr>
      <w:r>
        <w:rPr>
          <w:rFonts w:hint="eastAsia" w:cs="宋体" w:asciiTheme="minorEastAsia" w:hAnsiTheme="minorEastAsia" w:eastAsiaTheme="minorEastAsia"/>
          <w:b/>
          <w:color w:val="auto"/>
          <w:sz w:val="24"/>
          <w:szCs w:val="24"/>
          <w:highlight w:val="none"/>
          <w:lang w:eastAsia="zh-CN"/>
        </w:rPr>
        <w:t xml:space="preserve">一、项目概况</w:t>
      </w:r>
      <w:r/>
    </w:p>
    <w:p>
      <w:pPr>
        <w:pStyle w:val="938"/>
        <w:spacing w:line="500" w:lineRule="exact"/>
        <w:rPr>
          <w:rFonts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 xml:space="preserve">项目编号：</w:t>
      </w:r>
      <w:r/>
    </w:p>
    <w:p>
      <w:pPr>
        <w:pStyle w:val="938"/>
        <w:spacing w:line="500" w:lineRule="exact"/>
        <w:rPr>
          <w:rFonts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 xml:space="preserve">项目名称：</w:t>
      </w:r>
      <w:r/>
    </w:p>
    <w:p>
      <w:pPr>
        <w:pStyle w:val="938"/>
        <w:spacing w:line="500" w:lineRule="exact"/>
        <w:rPr>
          <w:rFonts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 xml:space="preserve">供应商名称：</w:t>
      </w:r>
      <w:r/>
    </w:p>
    <w:p>
      <w:pPr>
        <w:pStyle w:val="938"/>
        <w:spacing w:line="500" w:lineRule="exact"/>
        <w:rPr>
          <w:rFonts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 xml:space="preserve">合同金额：</w:t>
      </w:r>
      <w:r/>
    </w:p>
    <w:p>
      <w:pPr>
        <w:pStyle w:val="938"/>
        <w:spacing w:line="500" w:lineRule="exact"/>
        <w:rPr>
          <w:rFonts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 xml:space="preserve">验收主体：</w:t>
      </w:r>
      <w:r/>
    </w:p>
    <w:p>
      <w:pPr>
        <w:pStyle w:val="938"/>
        <w:spacing w:line="500" w:lineRule="exact"/>
        <w:rPr>
          <w:rFonts w:asciiTheme="minorEastAsia" w:hAnsiTheme="minorEastAsia" w:eastAsiaTheme="minorEastAsia"/>
          <w:b/>
          <w:color w:val="auto"/>
          <w:sz w:val="24"/>
          <w:szCs w:val="24"/>
          <w:highlight w:val="none"/>
          <w:lang w:eastAsia="zh-CN"/>
        </w:rPr>
      </w:pPr>
      <w:r>
        <w:rPr>
          <w:rFonts w:hint="eastAsia" w:cs="宋体" w:asciiTheme="minorEastAsia" w:hAnsiTheme="minorEastAsia" w:eastAsiaTheme="minorEastAsia"/>
          <w:b/>
          <w:color w:val="auto"/>
          <w:sz w:val="24"/>
          <w:szCs w:val="24"/>
          <w:highlight w:val="none"/>
          <w:lang w:eastAsia="zh-CN"/>
        </w:rPr>
        <w:t xml:space="preserve">二、验收目的</w:t>
      </w:r>
      <w:r/>
    </w:p>
    <w:p>
      <w:pPr>
        <w:pStyle w:val="938"/>
        <w:ind w:firstLine="480"/>
        <w:spacing w:line="500" w:lineRule="exact"/>
        <w:rPr>
          <w:rFonts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pStyle w:val="938"/>
        <w:spacing w:line="500" w:lineRule="exact"/>
        <w:rPr>
          <w:rFonts w:asciiTheme="minorEastAsia" w:hAnsiTheme="minorEastAsia" w:eastAsiaTheme="minorEastAsia"/>
          <w:b/>
          <w:color w:val="auto"/>
          <w:sz w:val="24"/>
          <w:szCs w:val="24"/>
          <w:highlight w:val="none"/>
          <w:lang w:eastAsia="zh-CN"/>
        </w:rPr>
      </w:pPr>
      <w:r>
        <w:rPr>
          <w:rFonts w:hint="eastAsia" w:cs="宋体" w:asciiTheme="minorEastAsia" w:hAnsiTheme="minorEastAsia" w:eastAsiaTheme="minorEastAsia"/>
          <w:b/>
          <w:color w:val="auto"/>
          <w:sz w:val="24"/>
          <w:szCs w:val="24"/>
          <w:highlight w:val="none"/>
          <w:lang w:eastAsia="zh-CN"/>
        </w:rPr>
        <w:t xml:space="preserve">三、验收依据</w:t>
      </w:r>
      <w:r/>
    </w:p>
    <w:p>
      <w:pPr>
        <w:pStyle w:val="938"/>
        <w:ind w:firstLine="480"/>
        <w:spacing w:line="500" w:lineRule="exact"/>
        <w:rPr>
          <w:rFonts w:cs="MS Gothic"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 xml:space="preserve">采购人通过政府采购方式和程序确定供应商的货物和服务类政府采购项目应当按照《江苏省政府采购履约验收管理办法》的通知（苏财规〔</w:t>
      </w:r>
      <w:r>
        <w:rPr>
          <w:rFonts w:hint="eastAsia" w:cs="MS Gothic" w:asciiTheme="minorEastAsia" w:hAnsiTheme="minorEastAsia" w:eastAsiaTheme="minorEastAsia"/>
          <w:color w:val="auto"/>
          <w:sz w:val="24"/>
          <w:szCs w:val="24"/>
          <w:highlight w:val="none"/>
          <w:lang w:eastAsia="zh-CN"/>
        </w:rPr>
        <w:t xml:space="preserve">2024</w:t>
      </w:r>
      <w:r>
        <w:rPr>
          <w:rFonts w:hint="eastAsia" w:cs="宋体" w:asciiTheme="minorEastAsia" w:hAnsiTheme="minorEastAsia" w:eastAsiaTheme="minorEastAsia"/>
          <w:color w:val="auto"/>
          <w:sz w:val="24"/>
          <w:szCs w:val="24"/>
          <w:highlight w:val="none"/>
          <w:lang w:eastAsia="zh-CN"/>
        </w:rPr>
        <w:t xml:space="preserve">〕</w:t>
      </w:r>
      <w:r>
        <w:rPr>
          <w:rFonts w:hint="eastAsia" w:cs="MS Gothic" w:asciiTheme="minorEastAsia" w:hAnsiTheme="minorEastAsia" w:eastAsiaTheme="minorEastAsia"/>
          <w:color w:val="auto"/>
          <w:sz w:val="24"/>
          <w:szCs w:val="24"/>
          <w:highlight w:val="none"/>
          <w:lang w:eastAsia="zh-CN"/>
        </w:rPr>
        <w:t xml:space="preserve">7</w:t>
      </w:r>
      <w:r>
        <w:rPr>
          <w:rFonts w:hint="eastAsia" w:cs="宋体" w:asciiTheme="minorEastAsia" w:hAnsiTheme="minorEastAsia" w:eastAsiaTheme="minorEastAsia"/>
          <w:color w:val="auto"/>
          <w:sz w:val="24"/>
          <w:szCs w:val="24"/>
          <w:highlight w:val="none"/>
          <w:lang w:eastAsia="zh-CN"/>
        </w:rPr>
        <w:t xml:space="preserve">号）进行履约验收，政府采购文件、供应商投标（响应）文件、政府采购合同是履约验收工作的基本依据。</w:t>
      </w:r>
      <w:r/>
    </w:p>
    <w:p>
      <w:pPr>
        <w:pStyle w:val="938"/>
        <w:spacing w:line="500" w:lineRule="exact"/>
        <w:rPr>
          <w:rFonts w:asciiTheme="minorEastAsia" w:hAnsiTheme="minorEastAsia" w:eastAsiaTheme="minorEastAsia"/>
          <w:b/>
          <w:color w:val="auto"/>
          <w:sz w:val="24"/>
          <w:szCs w:val="24"/>
          <w:highlight w:val="none"/>
          <w:lang w:eastAsia="zh-CN"/>
        </w:rPr>
      </w:pPr>
      <w:r>
        <w:rPr>
          <w:rFonts w:hint="eastAsia" w:cs="宋体" w:asciiTheme="minorEastAsia" w:hAnsiTheme="minorEastAsia" w:eastAsiaTheme="minorEastAsia"/>
          <w:b/>
          <w:color w:val="auto"/>
          <w:sz w:val="24"/>
          <w:szCs w:val="24"/>
          <w:highlight w:val="none"/>
          <w:lang w:eastAsia="zh-CN"/>
        </w:rPr>
        <w:t xml:space="preserve">四、验收责任主体</w:t>
      </w:r>
      <w:r/>
    </w:p>
    <w:p>
      <w:pPr>
        <w:pStyle w:val="938"/>
        <w:ind w:firstLine="480"/>
        <w:spacing w:line="500" w:lineRule="exact"/>
        <w:rPr>
          <w:rFonts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938"/>
        <w:spacing w:line="500" w:lineRule="exact"/>
        <w:rPr>
          <w:rFonts w:asciiTheme="minorEastAsia" w:hAnsiTheme="minorEastAsia" w:eastAsiaTheme="minorEastAsia"/>
          <w:b/>
          <w:color w:val="auto"/>
          <w:sz w:val="24"/>
          <w:szCs w:val="24"/>
          <w:highlight w:val="none"/>
          <w:lang w:eastAsia="zh-CN"/>
        </w:rPr>
      </w:pPr>
      <w:r>
        <w:rPr>
          <w:rFonts w:hint="eastAsia" w:cs="宋体" w:asciiTheme="minorEastAsia" w:hAnsiTheme="minorEastAsia" w:eastAsiaTheme="minorEastAsia"/>
          <w:b/>
          <w:color w:val="auto"/>
          <w:sz w:val="24"/>
          <w:szCs w:val="24"/>
          <w:highlight w:val="none"/>
          <w:lang w:eastAsia="zh-CN"/>
        </w:rPr>
        <w:t xml:space="preserve">五、验收方式</w:t>
      </w:r>
      <w:r>
        <w:rPr>
          <w:rFonts w:hint="eastAsia" w:cs="MS Gothic" w:asciiTheme="minorEastAsia" w:hAnsiTheme="minorEastAsia" w:eastAsiaTheme="minorEastAsia"/>
          <w:b/>
          <w:color w:val="auto"/>
          <w:sz w:val="24"/>
          <w:szCs w:val="24"/>
          <w:highlight w:val="none"/>
          <w:lang w:eastAsia="zh-CN"/>
        </w:rPr>
        <w:t xml:space="preserve">(</w:t>
      </w:r>
      <w:r>
        <w:rPr>
          <w:rFonts w:hint="eastAsia" w:cs="宋体" w:asciiTheme="minorEastAsia" w:hAnsiTheme="minorEastAsia" w:eastAsiaTheme="minorEastAsia"/>
          <w:b/>
          <w:color w:val="auto"/>
          <w:sz w:val="24"/>
          <w:szCs w:val="24"/>
          <w:highlight w:val="none"/>
          <w:lang w:eastAsia="zh-CN"/>
        </w:rPr>
        <w:t xml:space="preserve">形式</w:t>
      </w:r>
      <w:r>
        <w:rPr>
          <w:rFonts w:hint="eastAsia" w:cs="MS Gothic" w:asciiTheme="minorEastAsia" w:hAnsiTheme="minorEastAsia" w:eastAsiaTheme="minorEastAsia"/>
          <w:b/>
          <w:color w:val="auto"/>
          <w:sz w:val="24"/>
          <w:szCs w:val="24"/>
          <w:highlight w:val="none"/>
          <w:lang w:eastAsia="zh-CN"/>
        </w:rPr>
        <w:t xml:space="preserve">)</w:t>
      </w:r>
      <w:r/>
    </w:p>
    <w:p>
      <w:pPr>
        <w:pStyle w:val="938"/>
        <w:spacing w:line="5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5.1</w:t>
      </w:r>
      <w:r>
        <w:rPr>
          <w:rFonts w:hint="eastAsia" w:cs="宋体" w:asciiTheme="minorEastAsia" w:hAnsiTheme="minorEastAsia" w:eastAsiaTheme="minorEastAsia"/>
          <w:b/>
          <w:color w:val="auto"/>
          <w:sz w:val="24"/>
          <w:szCs w:val="24"/>
          <w:highlight w:val="none"/>
          <w:lang w:eastAsia="zh-CN"/>
        </w:rPr>
        <w:t xml:space="preserve">日常考核、分段验收</w:t>
      </w:r>
      <w:r/>
    </w:p>
    <w:p>
      <w:pPr>
        <w:pStyle w:val="938"/>
        <w:ind w:firstLine="480"/>
        <w:spacing w:line="500" w:lineRule="exact"/>
        <w:rPr>
          <w:rFonts w:cs="MS Gothic"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938"/>
        <w:spacing w:line="5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5.2</w:t>
      </w:r>
      <w:r>
        <w:rPr>
          <w:rFonts w:hint="eastAsia" w:cs="宋体" w:asciiTheme="minorEastAsia" w:hAnsiTheme="minorEastAsia" w:eastAsiaTheme="minorEastAsia"/>
          <w:b/>
          <w:color w:val="auto"/>
          <w:sz w:val="24"/>
          <w:szCs w:val="24"/>
          <w:highlight w:val="none"/>
          <w:lang w:eastAsia="zh-CN"/>
        </w:rPr>
        <w:t xml:space="preserve">最终验收</w:t>
      </w:r>
      <w:r/>
    </w:p>
    <w:p>
      <w:pPr>
        <w:pStyle w:val="938"/>
        <w:spacing w:line="500" w:lineRule="exact"/>
        <w:rPr>
          <w:rFonts w:asciiTheme="minorEastAsia" w:hAnsiTheme="minorEastAsia" w:eastAsiaTheme="minorEastAsia"/>
          <w:b/>
          <w:color w:val="auto"/>
          <w:sz w:val="24"/>
          <w:szCs w:val="24"/>
          <w:highlight w:val="none"/>
          <w:lang w:eastAsia="zh-CN"/>
        </w:rPr>
      </w:pPr>
      <w:r>
        <w:rPr>
          <w:rFonts w:hint="eastAsia" w:cs="宋体" w:asciiTheme="minorEastAsia" w:hAnsiTheme="minorEastAsia" w:eastAsiaTheme="minorEastAsia"/>
          <w:b/>
          <w:color w:val="auto"/>
          <w:sz w:val="24"/>
          <w:szCs w:val="24"/>
          <w:highlight w:val="none"/>
          <w:lang w:eastAsia="zh-CN"/>
        </w:rPr>
        <w:t xml:space="preserve">六、验收内容：</w:t>
      </w:r>
      <w:r/>
    </w:p>
    <w:p>
      <w:pPr>
        <w:pStyle w:val="938"/>
        <w:ind w:firstLine="480"/>
        <w:spacing w:line="500" w:lineRule="exact"/>
        <w:rPr>
          <w:rFonts w:cs="MS Gothic"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938"/>
        <w:spacing w:line="500" w:lineRule="exact"/>
        <w:rPr>
          <w:rFonts w:asciiTheme="minorEastAsia" w:hAnsiTheme="minorEastAsia" w:eastAsiaTheme="minorEastAsia"/>
          <w:b/>
          <w:color w:val="auto"/>
          <w:sz w:val="24"/>
          <w:szCs w:val="24"/>
          <w:highlight w:val="none"/>
          <w:lang w:eastAsia="zh-CN"/>
        </w:rPr>
      </w:pPr>
      <w:r>
        <w:rPr>
          <w:rFonts w:hint="eastAsia" w:cs="宋体" w:asciiTheme="minorEastAsia" w:hAnsiTheme="minorEastAsia" w:eastAsiaTheme="minorEastAsia"/>
          <w:b/>
          <w:color w:val="auto"/>
          <w:sz w:val="24"/>
          <w:szCs w:val="24"/>
          <w:highlight w:val="none"/>
          <w:lang w:eastAsia="zh-CN"/>
        </w:rPr>
        <w:t xml:space="preserve">七、验收程序：</w:t>
      </w:r>
      <w:r/>
    </w:p>
    <w:p>
      <w:pPr>
        <w:pStyle w:val="938"/>
        <w:spacing w:line="5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7.1</w:t>
      </w:r>
      <w:r>
        <w:rPr>
          <w:rFonts w:hint="eastAsia" w:cs="宋体" w:asciiTheme="minorEastAsia" w:hAnsiTheme="minorEastAsia" w:eastAsiaTheme="minorEastAsia"/>
          <w:b/>
          <w:color w:val="auto"/>
          <w:sz w:val="24"/>
          <w:szCs w:val="24"/>
          <w:highlight w:val="none"/>
          <w:lang w:eastAsia="zh-CN"/>
        </w:rPr>
        <w:t xml:space="preserve">验收准备</w:t>
      </w:r>
      <w:r/>
    </w:p>
    <w:p>
      <w:pPr>
        <w:pStyle w:val="938"/>
        <w:ind w:firstLine="480"/>
        <w:spacing w:line="500" w:lineRule="exact"/>
        <w:rPr>
          <w:rFonts w:cs="MS Gothic"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7.1.1</w:t>
      </w:r>
      <w:r>
        <w:rPr>
          <w:rFonts w:hint="eastAsia" w:cs="宋体" w:asciiTheme="minorEastAsia" w:hAnsiTheme="minorEastAsia" w:eastAsiaTheme="minorEastAsia"/>
          <w:color w:val="auto"/>
          <w:sz w:val="24"/>
          <w:szCs w:val="24"/>
          <w:highlight w:val="none"/>
          <w:lang w:eastAsia="zh-CN"/>
        </w:rPr>
        <w:t xml:space="preserve">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供应商在收到催告后五个工作日内拒不配合的，采购人应依照合同约定追究其责任。</w:t>
      </w:r>
      <w:r/>
    </w:p>
    <w:p>
      <w:pPr>
        <w:pStyle w:val="938"/>
        <w:ind w:firstLine="480"/>
        <w:spacing w:line="5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7.1.2</w:t>
      </w:r>
      <w:r>
        <w:rPr>
          <w:rFonts w:hint="eastAsia" w:cs="宋体" w:asciiTheme="minorEastAsia" w:hAnsiTheme="minorEastAsia" w:eastAsiaTheme="minorEastAsia"/>
          <w:color w:val="auto"/>
          <w:sz w:val="24"/>
          <w:szCs w:val="24"/>
          <w:highlight w:val="none"/>
          <w:lang w:eastAsia="zh-CN"/>
        </w:rPr>
        <w:t xml:space="preserve">供应商应当配合采购人、采购代理机构做好项目验收工作，及时提供与项目验收相关的生产、技术、服务、数量、质量、安全、合格证明及验收所必须具备的其他材料。</w:t>
      </w:r>
      <w:r/>
    </w:p>
    <w:p>
      <w:pPr>
        <w:pStyle w:val="938"/>
        <w:ind w:firstLine="480"/>
        <w:spacing w:line="5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7.1.3</w:t>
      </w:r>
      <w:r>
        <w:rPr>
          <w:rFonts w:hint="eastAsia" w:cs="宋体" w:asciiTheme="minorEastAsia" w:hAnsiTheme="minorEastAsia" w:eastAsiaTheme="minorEastAsia"/>
          <w:color w:val="auto"/>
          <w:sz w:val="24"/>
          <w:szCs w:val="24"/>
          <w:highlight w:val="none"/>
          <w:lang w:eastAsia="zh-CN"/>
        </w:rPr>
        <w:t xml:space="preserve">采购人应及时全面准备验收，自收到验收申请之日起五个工作日内做好通水、通电、准备验收工具等必要的验收准备工作、启动项目验收、通知供应商。</w:t>
      </w:r>
      <w:r/>
    </w:p>
    <w:p>
      <w:pPr>
        <w:pStyle w:val="938"/>
        <w:spacing w:line="5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7.2</w:t>
      </w:r>
      <w:r>
        <w:rPr>
          <w:rFonts w:hint="eastAsia" w:cs="宋体" w:asciiTheme="minorEastAsia" w:hAnsiTheme="minorEastAsia" w:eastAsiaTheme="minorEastAsia"/>
          <w:b/>
          <w:color w:val="auto"/>
          <w:sz w:val="24"/>
          <w:szCs w:val="24"/>
          <w:highlight w:val="none"/>
          <w:lang w:eastAsia="zh-CN"/>
        </w:rPr>
        <w:t xml:space="preserve">验收小组</w:t>
      </w:r>
      <w:r/>
    </w:p>
    <w:p>
      <w:pPr>
        <w:pStyle w:val="938"/>
        <w:ind w:firstLine="480"/>
        <w:spacing w:line="500" w:lineRule="exact"/>
        <w:rPr>
          <w:rFonts w:cs="微软雅黑"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7.2.1</w:t>
      </w:r>
      <w:r>
        <w:rPr>
          <w:rFonts w:hint="eastAsia" w:cs="宋体" w:asciiTheme="minorEastAsia" w:hAnsiTheme="minorEastAsia" w:eastAsiaTheme="minorEastAsia"/>
          <w:color w:val="auto"/>
          <w:sz w:val="24"/>
          <w:szCs w:val="24"/>
          <w:highlight w:val="none"/>
          <w:lang w:eastAsia="zh-CN"/>
        </w:rPr>
        <w:t xml:space="preserve">采购人应当成立验收小组，负责采购项目履约验收具体工作，验收小组一般由采购人指定的本单位</w:t>
      </w:r>
      <w:r>
        <w:rPr>
          <w:rFonts w:cs="微软雅黑" w:asciiTheme="minorEastAsia" w:hAnsiTheme="minorEastAsia" w:eastAsiaTheme="minorEastAsia"/>
          <w:color w:val="auto"/>
          <w:sz w:val="24"/>
          <w:szCs w:val="24"/>
          <w:highlight w:val="none"/>
          <w:lang w:eastAsia="zh-CN"/>
        </w:rPr>
        <w:t xml:space="preserve">3</w:t>
      </w:r>
      <w:r>
        <w:rPr>
          <w:rFonts w:hint="eastAsia" w:cs="宋体" w:asciiTheme="minorEastAsia" w:hAnsiTheme="minorEastAsia" w:eastAsiaTheme="minorEastAsia"/>
          <w:color w:val="auto"/>
          <w:sz w:val="24"/>
          <w:szCs w:val="24"/>
          <w:highlight w:val="none"/>
          <w:lang w:eastAsia="zh-CN"/>
        </w:rPr>
        <w:t xml:space="preserve">名（含）以上单数工作人员组成，并确定一名负责人。参与本项目评审的采购人代表不能作为负责人，分期（分段）验收的负责人原则上应当保持一致，负责人不得无故更换。</w:t>
      </w:r>
      <w:r/>
    </w:p>
    <w:p>
      <w:pPr>
        <w:pStyle w:val="938"/>
        <w:ind w:firstLine="480"/>
        <w:spacing w:line="500" w:lineRule="exact"/>
        <w:rPr>
          <w:rFonts w:cs="微软雅黑"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7.2.2</w:t>
      </w:r>
      <w:r>
        <w:rPr>
          <w:rFonts w:hint="eastAsia" w:cs="宋体" w:asciiTheme="minorEastAsia" w:hAnsiTheme="minorEastAsia" w:eastAsiaTheme="minorEastAsia"/>
          <w:color w:val="auto"/>
          <w:sz w:val="24"/>
          <w:szCs w:val="24"/>
          <w:highlight w:val="none"/>
          <w:lang w:eastAsia="zh-CN"/>
        </w:rPr>
        <w:t xml:space="preserve">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938"/>
        <w:spacing w:line="500" w:lineRule="exact"/>
        <w:rPr>
          <w:rFonts w:cs="微软雅黑" w:asciiTheme="minorEastAsia" w:hAnsiTheme="minorEastAsia" w:eastAsiaTheme="minorEastAsia"/>
          <w:b/>
          <w:color w:val="auto"/>
          <w:sz w:val="24"/>
          <w:szCs w:val="24"/>
          <w:highlight w:val="none"/>
          <w:lang w:eastAsia="zh-CN"/>
        </w:rPr>
      </w:pPr>
      <w:r>
        <w:rPr>
          <w:rFonts w:hint="eastAsia" w:cs="微软雅黑" w:asciiTheme="minorEastAsia" w:hAnsiTheme="minorEastAsia" w:eastAsiaTheme="minorEastAsia"/>
          <w:b/>
          <w:color w:val="auto"/>
          <w:sz w:val="24"/>
          <w:szCs w:val="24"/>
          <w:highlight w:val="none"/>
          <w:lang w:eastAsia="zh-CN"/>
        </w:rPr>
        <w:t xml:space="preserve">7.3</w:t>
      </w:r>
      <w:r>
        <w:rPr>
          <w:rFonts w:hint="eastAsia" w:cs="宋体" w:asciiTheme="minorEastAsia" w:hAnsiTheme="minorEastAsia" w:eastAsiaTheme="minorEastAsia"/>
          <w:b/>
          <w:color w:val="auto"/>
          <w:sz w:val="24"/>
          <w:szCs w:val="24"/>
          <w:highlight w:val="none"/>
          <w:lang w:eastAsia="zh-CN"/>
        </w:rPr>
        <w:t xml:space="preserve">参与验收人员</w:t>
      </w:r>
      <w:r/>
    </w:p>
    <w:p>
      <w:pPr>
        <w:pStyle w:val="938"/>
        <w:ind w:firstLine="480"/>
        <w:spacing w:line="500" w:lineRule="exact"/>
        <w:rPr>
          <w:rFonts w:cs="微软雅黑" w:asciiTheme="minorEastAsia" w:hAnsiTheme="minorEastAsia" w:eastAsiaTheme="minorEastAsia"/>
          <w:color w:val="auto"/>
          <w:sz w:val="24"/>
          <w:szCs w:val="24"/>
          <w:highlight w:val="none"/>
          <w:lang w:eastAsia="zh-CN"/>
        </w:rPr>
      </w:pPr>
      <w:r>
        <w:rPr>
          <w:rFonts w:hint="eastAsia" w:cs="微软雅黑" w:asciiTheme="minorEastAsia" w:hAnsiTheme="minorEastAsia" w:eastAsiaTheme="minorEastAsia"/>
          <w:color w:val="auto"/>
          <w:sz w:val="24"/>
          <w:szCs w:val="24"/>
          <w:highlight w:val="none"/>
          <w:lang w:eastAsia="zh-CN"/>
        </w:rPr>
        <w:t xml:space="preserve">7.3.1</w:t>
      </w:r>
      <w:r>
        <w:rPr>
          <w:rFonts w:hint="eastAsia" w:cs="宋体" w:asciiTheme="minorEastAsia" w:hAnsiTheme="minorEastAsia" w:eastAsiaTheme="minorEastAsia"/>
          <w:color w:val="auto"/>
          <w:sz w:val="24"/>
          <w:szCs w:val="24"/>
          <w:highlight w:val="none"/>
          <w:lang w:eastAsia="zh-CN"/>
        </w:rPr>
        <w:t xml:space="preserve">技术复杂或专业性强的政府采购项目，可以邀请有资质的第三方专业机构参加验收并出具专业意见。</w:t>
      </w:r>
      <w:r/>
    </w:p>
    <w:p>
      <w:pPr>
        <w:pStyle w:val="938"/>
        <w:ind w:firstLine="480"/>
        <w:spacing w:line="500" w:lineRule="exact"/>
        <w:rPr>
          <w:rFonts w:cs="微软雅黑" w:asciiTheme="minorEastAsia" w:hAnsiTheme="minorEastAsia" w:eastAsiaTheme="minorEastAsia"/>
          <w:color w:val="auto"/>
          <w:sz w:val="24"/>
          <w:szCs w:val="24"/>
          <w:highlight w:val="none"/>
          <w:lang w:eastAsia="zh-CN"/>
        </w:rPr>
      </w:pPr>
      <w:r>
        <w:rPr>
          <w:rFonts w:hint="eastAsia" w:cs="微软雅黑" w:asciiTheme="minorEastAsia" w:hAnsiTheme="minorEastAsia" w:eastAsiaTheme="minorEastAsia"/>
          <w:color w:val="auto"/>
          <w:sz w:val="24"/>
          <w:szCs w:val="24"/>
          <w:highlight w:val="none"/>
          <w:lang w:eastAsia="zh-CN"/>
        </w:rPr>
        <w:t xml:space="preserve">7.3.2</w:t>
      </w:r>
      <w:r>
        <w:rPr>
          <w:rFonts w:hint="eastAsia" w:cs="宋体" w:asciiTheme="minorEastAsia" w:hAnsiTheme="minorEastAsia" w:eastAsiaTheme="minorEastAsia"/>
          <w:color w:val="auto"/>
          <w:sz w:val="24"/>
          <w:szCs w:val="24"/>
          <w:highlight w:val="none"/>
          <w:lang w:eastAsia="zh-CN"/>
        </w:rPr>
        <w:t xml:space="preserve">对于采购人和使用人分离的采购项目，采购人或其委托的采购代理机构应当邀请实际使用人参与验收</w:t>
      </w:r>
      <w:r/>
    </w:p>
    <w:p>
      <w:pPr>
        <w:pStyle w:val="938"/>
        <w:ind w:firstLine="480"/>
        <w:spacing w:line="500" w:lineRule="exact"/>
        <w:rPr>
          <w:rFonts w:cs="微软雅黑" w:asciiTheme="minorEastAsia" w:hAnsiTheme="minorEastAsia" w:eastAsiaTheme="minorEastAsia"/>
          <w:color w:val="auto"/>
          <w:sz w:val="24"/>
          <w:szCs w:val="24"/>
          <w:highlight w:val="none"/>
          <w:lang w:eastAsia="zh-CN"/>
        </w:rPr>
      </w:pPr>
      <w:r>
        <w:rPr>
          <w:rFonts w:hint="eastAsia" w:cs="微软雅黑" w:asciiTheme="minorEastAsia" w:hAnsiTheme="minorEastAsia" w:eastAsiaTheme="minorEastAsia"/>
          <w:color w:val="auto"/>
          <w:sz w:val="24"/>
          <w:szCs w:val="24"/>
          <w:highlight w:val="none"/>
          <w:lang w:eastAsia="zh-CN"/>
        </w:rPr>
        <w:t xml:space="preserve">7.3.3</w:t>
      </w:r>
      <w:r>
        <w:rPr>
          <w:rFonts w:hint="eastAsia" w:cs="宋体" w:asciiTheme="minorEastAsia" w:hAnsiTheme="minorEastAsia" w:eastAsiaTheme="minorEastAsia"/>
          <w:color w:val="auto"/>
          <w:sz w:val="24"/>
          <w:szCs w:val="24"/>
          <w:highlight w:val="none"/>
          <w:lang w:eastAsia="zh-CN"/>
        </w:rPr>
        <w:t xml:space="preserve">政府向社会公众提供的公共服务项目，验收时应当邀请服务对象进行公共服务项目满意度评价，评价结果作为履约验收的参考依据。</w:t>
      </w:r>
      <w:r/>
    </w:p>
    <w:p>
      <w:pPr>
        <w:pStyle w:val="938"/>
        <w:spacing w:line="500" w:lineRule="exact"/>
        <w:rPr>
          <w:rFonts w:cs="微软雅黑" w:asciiTheme="minorEastAsia" w:hAnsiTheme="minorEastAsia" w:eastAsiaTheme="minorEastAsia"/>
          <w:b/>
          <w:color w:val="auto"/>
          <w:sz w:val="24"/>
          <w:szCs w:val="24"/>
          <w:highlight w:val="none"/>
          <w:lang w:eastAsia="zh-CN"/>
        </w:rPr>
      </w:pPr>
      <w:r>
        <w:rPr>
          <w:rFonts w:hint="eastAsia" w:cs="微软雅黑" w:asciiTheme="minorEastAsia" w:hAnsiTheme="minorEastAsia" w:eastAsiaTheme="minorEastAsia"/>
          <w:b/>
          <w:color w:val="auto"/>
          <w:sz w:val="24"/>
          <w:szCs w:val="24"/>
          <w:highlight w:val="none"/>
          <w:lang w:eastAsia="zh-CN"/>
        </w:rPr>
        <w:t xml:space="preserve">7.4</w:t>
      </w:r>
      <w:r>
        <w:rPr>
          <w:rFonts w:hint="eastAsia" w:cs="宋体" w:asciiTheme="minorEastAsia" w:hAnsiTheme="minorEastAsia" w:eastAsiaTheme="minorEastAsia"/>
          <w:b/>
          <w:color w:val="auto"/>
          <w:sz w:val="24"/>
          <w:szCs w:val="24"/>
          <w:highlight w:val="none"/>
          <w:lang w:eastAsia="zh-CN"/>
        </w:rPr>
        <w:t xml:space="preserve">验收原则</w:t>
      </w:r>
      <w:r/>
    </w:p>
    <w:p>
      <w:pPr>
        <w:pStyle w:val="938"/>
        <w:ind w:firstLine="480"/>
        <w:spacing w:line="500" w:lineRule="exact"/>
        <w:rPr>
          <w:rFonts w:cs="微软雅黑"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 xml:space="preserve">政府采购履约验收应当遵循全面完整、客观真实、诚实信用的原则，坚持公开透明、应验必验、验收必严、违约必究。担。</w:t>
      </w:r>
      <w:r/>
    </w:p>
    <w:p>
      <w:pPr>
        <w:pStyle w:val="938"/>
        <w:ind w:firstLine="480"/>
        <w:spacing w:line="5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7.4.1</w:t>
      </w:r>
      <w:r>
        <w:rPr>
          <w:rFonts w:hint="eastAsia" w:cs="宋体" w:asciiTheme="minorEastAsia" w:hAnsiTheme="minorEastAsia" w:eastAsiaTheme="minorEastAsia"/>
          <w:color w:val="auto"/>
          <w:sz w:val="24"/>
          <w:szCs w:val="24"/>
          <w:highlight w:val="none"/>
          <w:lang w:eastAsia="zh-CN"/>
        </w:rPr>
        <w:t xml:space="preserve">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pStyle w:val="938"/>
        <w:ind w:firstLine="480"/>
        <w:spacing w:line="5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7.4.2</w:t>
      </w:r>
      <w:r>
        <w:rPr>
          <w:rFonts w:hint="eastAsia" w:cs="宋体" w:asciiTheme="minorEastAsia" w:hAnsiTheme="minorEastAsia" w:eastAsiaTheme="minorEastAsia"/>
          <w:color w:val="auto"/>
          <w:sz w:val="24"/>
          <w:szCs w:val="24"/>
          <w:highlight w:val="none"/>
          <w:lang w:eastAsia="zh-CN"/>
        </w:rPr>
        <w:t xml:space="preserve">项目验收范围应当完整，与采购合同一致，不得省略、遗漏和缺失，也不得擅自扩大范围。</w:t>
      </w:r>
      <w:r/>
    </w:p>
    <w:p>
      <w:pPr>
        <w:pStyle w:val="938"/>
        <w:ind w:firstLine="480"/>
        <w:spacing w:line="5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7.4.3</w:t>
      </w:r>
      <w:r>
        <w:rPr>
          <w:rFonts w:hint="eastAsia" w:cs="宋体" w:asciiTheme="minorEastAsia" w:hAnsiTheme="minorEastAsia" w:eastAsiaTheme="minorEastAsia"/>
          <w:color w:val="auto"/>
          <w:sz w:val="24"/>
          <w:szCs w:val="24"/>
          <w:highlight w:val="none"/>
          <w:lang w:eastAsia="zh-CN"/>
        </w:rPr>
        <w:t xml:space="preserve">项目验收方式应当符合项目特点，不能明确客观标准、涉及主观判断的，可以通过在采购人、使用人中开展问卷调查等方式予以客观、量化。</w:t>
      </w:r>
      <w:r/>
    </w:p>
    <w:p>
      <w:pPr>
        <w:pStyle w:val="938"/>
        <w:ind w:firstLine="480"/>
        <w:spacing w:line="5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7.4.4</w:t>
      </w:r>
      <w:r>
        <w:rPr>
          <w:rFonts w:hint="eastAsia" w:cs="宋体" w:asciiTheme="minorEastAsia" w:hAnsiTheme="minorEastAsia" w:eastAsiaTheme="minorEastAsia"/>
          <w:color w:val="auto"/>
          <w:sz w:val="24"/>
          <w:szCs w:val="24"/>
          <w:highlight w:val="none"/>
          <w:lang w:eastAsia="zh-CN"/>
        </w:rPr>
        <w:t xml:space="preserve">项目验收标准应包括所有客观、量化指标，符合采购合同约定，未进行相应约定的，应当符合法律法规、政策要求、国家标准、行业标准，地方标准或企业标准等有关标准。</w:t>
      </w:r>
      <w:r/>
    </w:p>
    <w:p>
      <w:pPr>
        <w:pStyle w:val="938"/>
        <w:ind w:firstLine="480"/>
        <w:spacing w:line="5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7.4.5</w:t>
      </w:r>
      <w:r>
        <w:rPr>
          <w:rFonts w:hint="eastAsia" w:cs="宋体" w:asciiTheme="minorEastAsia" w:hAnsiTheme="minorEastAsia" w:eastAsiaTheme="minorEastAsia"/>
          <w:color w:val="auto"/>
          <w:sz w:val="24"/>
          <w:szCs w:val="24"/>
          <w:highlight w:val="none"/>
          <w:lang w:eastAsia="zh-CN"/>
        </w:rPr>
        <w:t xml:space="preserve">项目验收意见应当客观真实。验收小组成员意见不一致时，按照少数服从多数的原则作出验收意见。</w:t>
      </w:r>
      <w:r/>
    </w:p>
    <w:p>
      <w:pPr>
        <w:pStyle w:val="938"/>
        <w:ind w:firstLine="480"/>
        <w:spacing w:line="5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7.4.6</w:t>
      </w:r>
      <w:r>
        <w:rPr>
          <w:rFonts w:hint="eastAsia" w:cs="宋体" w:asciiTheme="minorEastAsia" w:hAnsiTheme="minorEastAsia" w:eastAsiaTheme="minorEastAsia"/>
          <w:color w:val="auto"/>
          <w:sz w:val="24"/>
          <w:szCs w:val="24"/>
          <w:highlight w:val="none"/>
          <w:lang w:eastAsia="zh-CN"/>
        </w:rPr>
        <w:t xml:space="preserve">验收方法主要包括全部查验核对和抽查核对。</w:t>
      </w:r>
      <w:r/>
    </w:p>
    <w:p>
      <w:pPr>
        <w:pStyle w:val="938"/>
        <w:spacing w:line="500" w:lineRule="exact"/>
        <w:rPr>
          <w:rFonts w:asciiTheme="minorEastAsia" w:hAnsiTheme="minorEastAsia" w:eastAsiaTheme="minorEastAsia"/>
          <w:b/>
          <w:color w:val="auto"/>
          <w:sz w:val="24"/>
          <w:szCs w:val="24"/>
          <w:highlight w:val="none"/>
          <w:lang w:eastAsia="zh-CN"/>
        </w:rPr>
      </w:pPr>
      <w:r>
        <w:rPr>
          <w:rFonts w:hint="eastAsia" w:asciiTheme="minorEastAsia" w:hAnsiTheme="minorEastAsia" w:eastAsiaTheme="minorEastAsia"/>
          <w:b/>
          <w:color w:val="auto"/>
          <w:sz w:val="24"/>
          <w:szCs w:val="24"/>
          <w:highlight w:val="none"/>
          <w:lang w:eastAsia="zh-CN"/>
        </w:rPr>
        <w:t xml:space="preserve">7.5</w:t>
      </w:r>
      <w:r>
        <w:rPr>
          <w:rFonts w:hint="eastAsia" w:cs="宋体" w:asciiTheme="minorEastAsia" w:hAnsiTheme="minorEastAsia" w:eastAsiaTheme="minorEastAsia"/>
          <w:b/>
          <w:color w:val="auto"/>
          <w:sz w:val="24"/>
          <w:szCs w:val="24"/>
          <w:highlight w:val="none"/>
          <w:lang w:eastAsia="zh-CN"/>
        </w:rPr>
        <w:t xml:space="preserve">验收记录</w:t>
      </w:r>
      <w:r/>
    </w:p>
    <w:p>
      <w:pPr>
        <w:pStyle w:val="938"/>
        <w:ind w:firstLine="480"/>
        <w:spacing w:line="5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7.5.1</w:t>
      </w:r>
      <w:r>
        <w:rPr>
          <w:rFonts w:hint="eastAsia" w:cs="宋体" w:asciiTheme="minorEastAsia" w:hAnsiTheme="minorEastAsia" w:eastAsiaTheme="minorEastAsia"/>
          <w:color w:val="auto"/>
          <w:sz w:val="24"/>
          <w:szCs w:val="24"/>
          <w:highlight w:val="none"/>
          <w:lang w:eastAsia="zh-CN"/>
        </w:rPr>
        <w:t xml:space="preserve">验收小组应当要求参与验收的供应商、专业机构、专家和服务对象等出具书面意见，作为验收书的重要组成部分。</w:t>
      </w:r>
      <w:r/>
    </w:p>
    <w:p>
      <w:pPr>
        <w:pStyle w:val="938"/>
        <w:ind w:firstLine="480"/>
        <w:spacing w:line="5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7.5.2</w:t>
      </w:r>
      <w:r>
        <w:rPr>
          <w:rFonts w:hint="eastAsia" w:cs="宋体" w:asciiTheme="minorEastAsia" w:hAnsiTheme="minorEastAsia" w:eastAsiaTheme="minorEastAsia"/>
          <w:color w:val="auto"/>
          <w:sz w:val="24"/>
          <w:szCs w:val="24"/>
          <w:highlight w:val="none"/>
          <w:lang w:eastAsia="zh-CN"/>
        </w:rPr>
        <w:t xml:space="preserve">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pStyle w:val="938"/>
        <w:ind w:firstLine="480"/>
        <w:spacing w:line="5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7.5.3</w:t>
      </w:r>
      <w:r>
        <w:rPr>
          <w:rFonts w:hint="eastAsia" w:cs="宋体" w:asciiTheme="minorEastAsia" w:hAnsiTheme="minorEastAsia" w:eastAsiaTheme="minorEastAsia"/>
          <w:color w:val="auto"/>
          <w:sz w:val="24"/>
          <w:szCs w:val="24"/>
          <w:highlight w:val="none"/>
          <w:lang w:eastAsia="zh-CN"/>
        </w:rPr>
        <w:t xml:space="preserve">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938"/>
        <w:spacing w:line="500" w:lineRule="exact"/>
        <w:rPr>
          <w:rFonts w:asciiTheme="minorEastAsia" w:hAnsiTheme="minorEastAsia" w:eastAsiaTheme="minorEastAsia"/>
          <w:b/>
          <w:color w:val="auto"/>
          <w:sz w:val="24"/>
          <w:szCs w:val="24"/>
          <w:highlight w:val="none"/>
          <w:lang w:eastAsia="zh-CN"/>
        </w:rPr>
      </w:pPr>
      <w:r>
        <w:rPr>
          <w:rFonts w:hint="eastAsia" w:cs="宋体" w:asciiTheme="minorEastAsia" w:hAnsiTheme="minorEastAsia" w:eastAsiaTheme="minorEastAsia"/>
          <w:b/>
          <w:color w:val="auto"/>
          <w:sz w:val="24"/>
          <w:szCs w:val="24"/>
          <w:highlight w:val="none"/>
          <w:lang w:eastAsia="zh-CN"/>
        </w:rPr>
        <w:t xml:space="preserve">八、验收结果</w:t>
      </w:r>
      <w:r/>
    </w:p>
    <w:p>
      <w:pPr>
        <w:pStyle w:val="938"/>
        <w:ind w:firstLine="480"/>
        <w:spacing w:line="5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8.1</w:t>
      </w:r>
      <w:r>
        <w:rPr>
          <w:rFonts w:hint="eastAsia" w:cs="宋体" w:asciiTheme="minorEastAsia" w:hAnsiTheme="minorEastAsia" w:eastAsiaTheme="minorEastAsia"/>
          <w:color w:val="auto"/>
          <w:sz w:val="24"/>
          <w:szCs w:val="24"/>
          <w:highlight w:val="none"/>
          <w:lang w:eastAsia="zh-CN"/>
        </w:rPr>
        <w:t xml:space="preserve">、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pStyle w:val="938"/>
        <w:ind w:firstLine="480"/>
        <w:spacing w:line="5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8.2</w:t>
      </w:r>
      <w:r>
        <w:rPr>
          <w:rFonts w:hint="eastAsia" w:cs="宋体" w:asciiTheme="minorEastAsia" w:hAnsiTheme="minorEastAsia" w:eastAsiaTheme="minorEastAsia"/>
          <w:color w:val="auto"/>
          <w:sz w:val="24"/>
          <w:szCs w:val="24"/>
          <w:highlight w:val="none"/>
          <w:lang w:eastAsia="zh-CN"/>
        </w:rPr>
        <w:t xml:space="preserve">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pStyle w:val="938"/>
        <w:ind w:firstLine="480"/>
        <w:spacing w:line="50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8.3</w:t>
      </w:r>
      <w:r>
        <w:rPr>
          <w:rFonts w:hint="eastAsia" w:cs="宋体" w:asciiTheme="minorEastAsia" w:hAnsiTheme="minorEastAsia" w:eastAsiaTheme="minorEastAsia"/>
          <w:color w:val="auto"/>
          <w:sz w:val="24"/>
          <w:szCs w:val="24"/>
          <w:highlight w:val="none"/>
          <w:lang w:eastAsia="zh-CN"/>
        </w:rPr>
        <w:t xml:space="preserve">《政府采购履约验收书》（见下表</w:t>
      </w:r>
      <w:r>
        <w:rPr>
          <w:rFonts w:hint="eastAsia" w:asciiTheme="minorEastAsia" w:hAnsiTheme="minorEastAsia" w:eastAsiaTheme="minorEastAsia"/>
          <w:color w:val="auto"/>
          <w:sz w:val="24"/>
          <w:szCs w:val="24"/>
          <w:highlight w:val="none"/>
          <w:lang w:eastAsia="zh-CN"/>
        </w:rPr>
        <w:t xml:space="preserve">1</w:t>
      </w:r>
      <w:r>
        <w:rPr>
          <w:rFonts w:hint="eastAsia" w:cs="宋体" w:asciiTheme="minorEastAsia" w:hAnsiTheme="minorEastAsia" w:eastAsiaTheme="minorEastAsia"/>
          <w:color w:val="auto"/>
          <w:sz w:val="24"/>
          <w:szCs w:val="24"/>
          <w:highlight w:val="none"/>
          <w:lang w:eastAsia="zh-CN"/>
        </w:rPr>
        <w:t xml:space="preserve">）、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938"/>
        <w:spacing w:line="500" w:lineRule="exact"/>
        <w:rPr>
          <w:rFonts w:asciiTheme="minorEastAsia" w:hAnsiTheme="minorEastAsia" w:eastAsiaTheme="minorEastAsia"/>
          <w:b/>
          <w:color w:val="auto"/>
          <w:sz w:val="24"/>
          <w:szCs w:val="24"/>
          <w:highlight w:val="none"/>
          <w:lang w:eastAsia="zh-CN"/>
        </w:rPr>
      </w:pPr>
      <w:r>
        <w:rPr>
          <w:rFonts w:hint="eastAsia" w:cs="宋体" w:asciiTheme="minorEastAsia" w:hAnsiTheme="minorEastAsia" w:eastAsiaTheme="minorEastAsia"/>
          <w:b/>
          <w:color w:val="auto"/>
          <w:sz w:val="24"/>
          <w:szCs w:val="24"/>
          <w:highlight w:val="none"/>
          <w:lang w:eastAsia="zh-CN"/>
        </w:rPr>
        <w:t xml:space="preserve">九、验收资料归档</w:t>
      </w:r>
      <w:r/>
    </w:p>
    <w:p>
      <w:pPr>
        <w:pStyle w:val="938"/>
        <w:ind w:firstLine="480"/>
        <w:spacing w:line="500" w:lineRule="exact"/>
        <w:rPr>
          <w:rFonts w:cs="仿宋"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lang w:eastAsia="zh-CN"/>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jc w:val="center"/>
        <w:spacing w:before="240" w:after="240" w:line="439" w:lineRule="atLeast"/>
        <w:rPr>
          <w:rFonts w:cs="仿宋"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color w:val="auto"/>
          <w:sz w:val="44"/>
          <w:highlight w:val="none"/>
          <w:lang w:eastAsia="zh-CN"/>
        </w:rPr>
      </w:r>
      <w:r/>
    </w:p>
    <w:p>
      <w:pPr>
        <w:jc w:val="center"/>
        <w:spacing w:before="240" w:after="240" w:line="439" w:lineRule="atLeast"/>
        <w:rPr>
          <w:rFonts w:cs="仿宋"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color w:val="auto"/>
          <w:sz w:val="44"/>
          <w:highlight w:val="none"/>
          <w:lang w:eastAsia="zh-CN"/>
        </w:rPr>
      </w:r>
      <w:r/>
    </w:p>
    <w:p>
      <w:pPr>
        <w:jc w:val="center"/>
        <w:spacing w:before="240" w:after="240" w:line="439" w:lineRule="atLeast"/>
        <w:rPr>
          <w:rFonts w:cs="仿宋"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color w:val="auto"/>
          <w:sz w:val="44"/>
          <w:highlight w:val="none"/>
          <w:lang w:eastAsia="zh-CN"/>
        </w:rPr>
      </w:r>
      <w:r/>
    </w:p>
    <w:p>
      <w:pPr>
        <w:jc w:val="center"/>
        <w:spacing w:line="560" w:lineRule="exact"/>
        <w:rPr>
          <w:rFonts w:cs="Arial" w:asciiTheme="minorEastAsia" w:hAnsiTheme="minorEastAsia" w:eastAsiaTheme="minorEastAsia"/>
          <w:b/>
          <w:color w:val="auto"/>
          <w:spacing w:val="9"/>
          <w:sz w:val="28"/>
          <w:szCs w:val="28"/>
          <w:highlight w:val="none"/>
          <w:lang w:eastAsia="zh-CN"/>
        </w:rPr>
      </w:pPr>
      <w:r>
        <w:rPr>
          <w:rFonts w:hint="eastAsia" w:cs="Arial" w:asciiTheme="minorEastAsia" w:hAnsiTheme="minorEastAsia" w:eastAsiaTheme="minorEastAsia"/>
          <w:b/>
          <w:color w:val="auto"/>
          <w:spacing w:val="9"/>
          <w:sz w:val="28"/>
          <w:szCs w:val="28"/>
          <w:highlight w:val="none"/>
          <w:lang w:eastAsia="zh-CN"/>
        </w:rPr>
        <w:t xml:space="preserve">政府采购履约验收书(服务类)</w:t>
      </w:r>
      <w:r/>
    </w:p>
    <w:tbl>
      <w:tblPr>
        <w:tblStyle w:val="703"/>
        <w:tblW w:w="875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63"/>
        <w:gridCol w:w="1102"/>
        <w:gridCol w:w="1276"/>
        <w:gridCol w:w="1244"/>
        <w:gridCol w:w="1134"/>
        <w:gridCol w:w="1134"/>
        <w:gridCol w:w="1701"/>
      </w:tblGrid>
      <w:tr>
        <w:trPr>
          <w:jc w:val="center"/>
          <w:trHeight w:val="372"/>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采购人</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cs="宋体" w:asciiTheme="minorEastAsia" w:hAnsiTheme="minorEastAsia" w:eastAsiaTheme="minorEastAsia"/>
                <w:color w:val="auto"/>
                <w:szCs w:val="21"/>
                <w:highlight w:val="none"/>
                <w:lang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cs="宋体" w:asciiTheme="minorEastAsia" w:hAnsiTheme="minorEastAsia" w:eastAsiaTheme="minorEastAsia"/>
                <w:color w:val="auto"/>
                <w:szCs w:val="21"/>
                <w:highlight w:val="none"/>
                <w:lang w:bidi="ar"/>
              </w:rPr>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cs="宋体" w:asciiTheme="minorEastAsia" w:hAnsiTheme="minorEastAsia" w:eastAsiaTheme="minorEastAsia"/>
                <w:color w:val="auto"/>
                <w:szCs w:val="21"/>
                <w:highlight w:val="none"/>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供应商</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cs="宋体" w:asciiTheme="minorEastAsia" w:hAnsiTheme="minorEastAsia" w:eastAsiaTheme="minorEastAsia"/>
                <w:color w:val="auto"/>
                <w:szCs w:val="21"/>
                <w:highlight w:val="none"/>
                <w:lang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项目及合同编号</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cs="宋体" w:asciiTheme="minorEastAsia" w:hAnsiTheme="minorEastAsia" w:eastAsiaTheme="minorEastAsia"/>
                <w:color w:val="auto"/>
                <w:szCs w:val="21"/>
                <w:highlight w:val="none"/>
                <w:lang w:bidi="ar"/>
              </w:rPr>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cs="宋体" w:asciiTheme="minorEastAsia" w:hAnsiTheme="minorEastAsia" w:eastAsiaTheme="minorEastAsia"/>
                <w:color w:val="auto"/>
                <w:szCs w:val="21"/>
                <w:highlight w:val="none"/>
                <w:lang w:bidi="ar"/>
              </w:rPr>
            </w:r>
            <w:r/>
          </w:p>
        </w:tc>
      </w:tr>
      <w:tr>
        <w:trPr>
          <w:jc w:val="center"/>
          <w:trHeight w:val="410"/>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是□否□</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分期（段）情况</w:t>
            </w:r>
            <w:r/>
          </w:p>
        </w:tc>
        <w:tc>
          <w:tcPr>
            <w:gridSpan w:val="4"/>
            <w:tcBorders>
              <w:top w:val="single" w:color="000000" w:sz="2" w:space="0"/>
              <w:left w:val="single" w:color="000000" w:sz="2" w:space="0"/>
              <w:bottom w:val="single" w:color="000000" w:sz="2" w:space="0"/>
              <w:right w:val="single" w:color="000000" w:sz="2" w:space="0"/>
            </w:tcBorders>
            <w:tcW w:w="5213"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eastAsia="zh-CN" w:bidi="ar"/>
              </w:rPr>
            </w:pPr>
            <w:r>
              <w:rPr>
                <w:rFonts w:hint="eastAsia" w:cs="宋体" w:asciiTheme="minorEastAsia" w:hAnsiTheme="minorEastAsia" w:eastAsiaTheme="minorEastAsia"/>
                <w:color w:val="auto"/>
                <w:szCs w:val="21"/>
                <w:highlight w:val="none"/>
                <w:lang w:eastAsia="zh-CN" w:bidi="ar"/>
              </w:rPr>
              <w:t xml:space="preserve">共分   期（段），此为第   期（段）验收</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cs="宋体" w:asciiTheme="minorEastAsia" w:hAnsiTheme="minorEastAsia" w:eastAsiaTheme="minorEastAsia"/>
                <w:color w:val="auto"/>
                <w:szCs w:val="21"/>
                <w:highlight w:val="none"/>
                <w:lang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验收地点</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cs="宋体" w:asciiTheme="minorEastAsia" w:hAnsiTheme="minorEastAsia" w:eastAsiaTheme="minorEastAsia"/>
                <w:color w:val="auto"/>
                <w:szCs w:val="21"/>
                <w:highlight w:val="none"/>
                <w:lang w:bidi="ar"/>
              </w:rPr>
            </w:r>
            <w:r/>
          </w:p>
        </w:tc>
        <w:tc>
          <w:tcPr>
            <w:gridSpan w:val="2"/>
            <w:tcBorders>
              <w:top w:val="single" w:color="000000" w:sz="2" w:space="0"/>
              <w:left w:val="single" w:color="000000" w:sz="2" w:space="0"/>
              <w:bottom w:val="single" w:color="000000" w:sz="2" w:space="0"/>
              <w:right w:val="single" w:color="000000" w:sz="2" w:space="0"/>
            </w:tcBorders>
            <w:tcW w:w="2268"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spacing w:line="400" w:lineRule="exact"/>
              <w:rPr>
                <w:rFonts w:cs="宋体" w:asciiTheme="minorEastAsia" w:hAnsiTheme="minorEastAsia" w:eastAsiaTheme="minorEastAsia"/>
                <w:color w:val="auto"/>
                <w:szCs w:val="21"/>
                <w:highlight w:val="none"/>
                <w:lang w:eastAsia="zh-CN" w:bidi="ar"/>
              </w:rPr>
            </w:pPr>
            <w:r>
              <w:rPr>
                <w:rFonts w:hint="eastAsia" w:cs="宋体" w:asciiTheme="minorEastAsia" w:hAnsiTheme="minorEastAsia" w:eastAsiaTheme="minorEastAsia"/>
                <w:color w:val="auto"/>
                <w:szCs w:val="21"/>
                <w:highlight w:val="none"/>
                <w:lang w:eastAsia="zh-CN" w:bidi="ar"/>
              </w:rPr>
              <w:t xml:space="preserve">□自行简易验收</w:t>
            </w:r>
            <w:r/>
          </w:p>
          <w:p>
            <w:pPr>
              <w:spacing w:line="400" w:lineRule="exact"/>
              <w:rPr>
                <w:rFonts w:cs="宋体" w:asciiTheme="minorEastAsia" w:hAnsiTheme="minorEastAsia" w:eastAsiaTheme="minorEastAsia"/>
                <w:color w:val="auto"/>
                <w:szCs w:val="21"/>
                <w:highlight w:val="none"/>
                <w:lang w:eastAsia="zh-CN" w:bidi="ar"/>
              </w:rPr>
            </w:pPr>
            <w:r>
              <w:rPr>
                <w:rFonts w:hint="eastAsia" w:cs="宋体" w:asciiTheme="minorEastAsia" w:hAnsiTheme="minorEastAsia" w:eastAsiaTheme="minorEastAsia"/>
                <w:color w:val="auto"/>
                <w:szCs w:val="21"/>
                <w:highlight w:val="none"/>
                <w:lang w:eastAsia="zh-CN" w:bidi="ar"/>
              </w:rPr>
              <w:t xml:space="preserve">□验收小组验收</w:t>
            </w:r>
            <w:r/>
          </w:p>
          <w:p>
            <w:pP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□采购代理机构验收</w:t>
            </w:r>
            <w:r/>
          </w:p>
        </w:tc>
      </w:tr>
      <w:tr>
        <w:trPr>
          <w:jc w:val="center"/>
          <w:trHeight w:val="395"/>
        </w:trPr>
        <w:tc>
          <w:tcPr>
            <w:tcBorders>
              <w:top w:val="none" w:color="000000" w:sz="4" w:space="0"/>
              <w:left w:val="single" w:color="000000" w:sz="2" w:space="0"/>
              <w:bottom w:val="none" w:color="000000" w:sz="4" w:space="0"/>
              <w:right w:val="single" w:color="000000" w:sz="2" w:space="0"/>
            </w:tcBorders>
            <w:tcW w:w="1163" w:type="dxa"/>
            <w:vAlign w:val="center"/>
            <w:vMerge w:val="restart"/>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服务进度</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人员、设备 配备情况</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eastAsia="zh-CN" w:bidi="ar"/>
              </w:rPr>
            </w:pPr>
            <w:r>
              <w:rPr>
                <w:rFonts w:hint="eastAsia" w:cs="宋体" w:asciiTheme="minorEastAsia" w:hAnsiTheme="minorEastAsia" w:eastAsiaTheme="minorEastAsia"/>
                <w:color w:val="auto"/>
                <w:szCs w:val="21"/>
                <w:highlight w:val="none"/>
                <w:lang w:eastAsia="zh-CN" w:bidi="ar"/>
              </w:rPr>
              <w:t xml:space="preserve">合同履约时间、 地点、方式</w:t>
            </w:r>
            <w:r/>
          </w:p>
        </w:tc>
      </w:tr>
      <w:tr>
        <w:trPr>
          <w:jc w:val="center"/>
          <w:trHeight w:val="828"/>
        </w:trPr>
        <w:tc>
          <w:tcPr>
            <w:tcBorders>
              <w:top w:val="none" w:color="000000" w:sz="4" w:space="0"/>
              <w:left w:val="single" w:color="000000" w:sz="2" w:space="0"/>
              <w:bottom w:val="none" w:color="000000" w:sz="4" w:space="0"/>
              <w:right w:val="single" w:color="000000" w:sz="2" w:space="0"/>
            </w:tcBorders>
            <w:tcW w:w="1163" w:type="dxa"/>
            <w:vAlign w:val="center"/>
            <w:vMerge w:val="continue"/>
            <w:textDirection w:val="lrTb"/>
            <w:noWrap w:val="false"/>
          </w:tcPr>
          <w:p>
            <w:pPr>
              <w:jc w:val="center"/>
              <w:spacing w:line="400" w:lineRule="exact"/>
              <w:rPr>
                <w:rFonts w:cs="宋体" w:asciiTheme="minorEastAsia" w:hAnsiTheme="minorEastAsia" w:eastAsiaTheme="minorEastAsia"/>
                <w:color w:val="auto"/>
                <w:szCs w:val="21"/>
                <w:highlight w:val="none"/>
                <w:lang w:eastAsia="zh-CN" w:bidi="ar"/>
              </w:rPr>
            </w:pPr>
            <w:r>
              <w:rPr>
                <w:rFonts w:cs="宋体" w:asciiTheme="minorEastAsia" w:hAnsiTheme="minorEastAsia" w:eastAsiaTheme="minorEastAsia"/>
                <w:color w:val="auto"/>
                <w:szCs w:val="21"/>
                <w:highlight w:val="none"/>
                <w:lang w:eastAsia="zh-CN" w:bidi="ar"/>
              </w:rPr>
            </w:r>
            <w:r/>
          </w:p>
        </w:tc>
        <w:tc>
          <w:tcPr>
            <w:tcBorders>
              <w:top w:val="single" w:color="000000" w:sz="2" w:space="0"/>
              <w:left w:val="single" w:color="000000" w:sz="2" w:space="0"/>
              <w:bottom w:val="single" w:color="000000" w:sz="2" w:space="0"/>
              <w:right w:val="single" w:color="000000" w:sz="2" w:space="0"/>
            </w:tcBorders>
            <w:tcW w:w="1102" w:type="dxa"/>
            <w:vAlign w:val="center"/>
            <w:textDirection w:val="lrTb"/>
            <w:noWrap w:val="false"/>
          </w:tcPr>
          <w:p>
            <w:pP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合格□ </w:t>
            </w:r>
            <w:r/>
          </w:p>
          <w:p>
            <w:pP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按 时□ </w:t>
            </w:r>
            <w:r/>
          </w:p>
          <w:p>
            <w:pP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不按时□</w:t>
            </w:r>
            <w:r/>
          </w:p>
        </w:tc>
        <w:tc>
          <w:tcPr>
            <w:tcBorders>
              <w:top w:val="single" w:color="000000" w:sz="2" w:space="0"/>
              <w:left w:val="single" w:color="000000" w:sz="2" w:space="0"/>
              <w:bottom w:val="single" w:color="000000" w:sz="2" w:space="0"/>
              <w:right w:val="single" w:color="000000" w:sz="2" w:space="0"/>
            </w:tcBorders>
            <w:tcW w:w="1244" w:type="dxa"/>
            <w:vAlign w:val="center"/>
            <w:textDirection w:val="lrTb"/>
            <w:noWrap w:val="false"/>
          </w:tcPr>
          <w:p>
            <w:pP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合  格□ </w:t>
            </w:r>
            <w:r/>
          </w:p>
          <w:p>
            <w:pP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合  格□ </w:t>
            </w:r>
            <w:r/>
          </w:p>
          <w:p>
            <w:pP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合  格□ </w:t>
            </w:r>
            <w:r/>
          </w:p>
          <w:p>
            <w:pP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不合格□</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合  格□ </w:t>
            </w:r>
            <w:r/>
          </w:p>
          <w:p>
            <w:pP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eastAsia="zh-CN" w:bidi="ar"/>
              </w:rPr>
            </w:pPr>
            <w:r>
              <w:rPr>
                <w:rFonts w:hint="eastAsia" w:cs="宋体" w:asciiTheme="minorEastAsia" w:hAnsiTheme="minorEastAsia" w:eastAsiaTheme="minorEastAsia"/>
                <w:color w:val="auto"/>
                <w:szCs w:val="21"/>
                <w:highlight w:val="none"/>
                <w:lang w:eastAsia="zh-CN" w:bidi="ar"/>
              </w:rPr>
              <w:t xml:space="preserve">专业检测机构情况说明</w:t>
            </w:r>
            <w:r/>
          </w:p>
        </w:tc>
        <w:tc>
          <w:tcPr>
            <w:gridSpan w:val="6"/>
            <w:tcBorders>
              <w:top w:val="single" w:color="000000" w:sz="2" w:space="0"/>
              <w:left w:val="single" w:color="000000" w:sz="2" w:space="0"/>
              <w:bottom w:val="single" w:color="000000" w:sz="2" w:space="0"/>
              <w:right w:val="single" w:color="000000" w:sz="2" w:space="0"/>
            </w:tcBorders>
            <w:tcW w:w="7591"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eastAsia="zh-CN" w:bidi="ar"/>
              </w:rPr>
            </w:pPr>
            <w:r>
              <w:rPr>
                <w:rFonts w:cs="宋体" w:asciiTheme="minorEastAsia" w:hAnsiTheme="minorEastAsia" w:eastAsiaTheme="minorEastAsia"/>
                <w:color w:val="auto"/>
                <w:szCs w:val="21"/>
                <w:highlight w:val="none"/>
                <w:lang w:eastAsia="zh-CN"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存在问题</w:t>
            </w:r>
            <w:r/>
          </w:p>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和改进意见</w:t>
            </w:r>
            <w:r/>
          </w:p>
        </w:tc>
        <w:tc>
          <w:tcPr>
            <w:gridSpan w:val="6"/>
            <w:tcBorders>
              <w:top w:val="single" w:color="000000" w:sz="2" w:space="0"/>
              <w:left w:val="single" w:color="000000" w:sz="2" w:space="0"/>
              <w:bottom w:val="single" w:color="000000" w:sz="2" w:space="0"/>
              <w:right w:val="single" w:color="000000" w:sz="2" w:space="0"/>
            </w:tcBorders>
            <w:tcW w:w="7591"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cs="宋体" w:asciiTheme="minorEastAsia" w:hAnsiTheme="minorEastAsia" w:eastAsiaTheme="minorEastAsia"/>
                <w:color w:val="auto"/>
                <w:szCs w:val="21"/>
                <w:highlight w:val="none"/>
                <w:lang w:bidi="ar"/>
              </w:rPr>
            </w:r>
            <w:r/>
          </w:p>
        </w:tc>
      </w:tr>
      <w:tr>
        <w:trPr>
          <w:jc w:val="center"/>
          <w:trHeight w:val="686"/>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最终结论</w:t>
            </w:r>
            <w:r/>
          </w:p>
        </w:tc>
        <w:tc>
          <w:tcPr>
            <w:gridSpan w:val="6"/>
            <w:tcBorders>
              <w:top w:val="single" w:color="000000" w:sz="2" w:space="0"/>
              <w:left w:val="single" w:color="000000" w:sz="2" w:space="0"/>
              <w:bottom w:val="single" w:color="000000" w:sz="2" w:space="0"/>
              <w:right w:val="single" w:color="000000" w:sz="2" w:space="0"/>
            </w:tcBorders>
            <w:tcW w:w="7591"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合  格□                              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163"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验收小组成员签字</w:t>
            </w:r>
            <w:r/>
          </w:p>
        </w:tc>
        <w:tc>
          <w:tcPr>
            <w:gridSpan w:val="6"/>
            <w:tcBorders>
              <w:top w:val="single" w:color="000000" w:sz="2" w:space="0"/>
              <w:left w:val="single" w:color="000000" w:sz="2" w:space="0"/>
              <w:bottom w:val="single" w:color="000000" w:sz="2" w:space="0"/>
              <w:right w:val="single" w:color="000000" w:sz="2" w:space="0"/>
            </w:tcBorders>
            <w:tcW w:w="7591"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cs="宋体" w:asciiTheme="minorEastAsia" w:hAnsiTheme="minorEastAsia" w:eastAsiaTheme="minorEastAsia"/>
                <w:color w:val="auto"/>
                <w:szCs w:val="21"/>
                <w:highlight w:val="none"/>
                <w:lang w:bidi="ar"/>
              </w:rPr>
            </w:r>
            <w:r/>
          </w:p>
        </w:tc>
      </w:tr>
      <w:tr>
        <w:trPr>
          <w:jc w:val="center"/>
          <w:trHeight w:val="519"/>
        </w:trPr>
        <w:tc>
          <w:tcPr>
            <w:gridSpan w:val="4"/>
            <w:tcBorders>
              <w:top w:val="single" w:color="000000" w:sz="2" w:space="0"/>
              <w:left w:val="single" w:color="000000" w:sz="2" w:space="0"/>
              <w:bottom w:val="single" w:color="000000" w:sz="2" w:space="0"/>
              <w:right w:val="single" w:color="000000" w:sz="2" w:space="0"/>
            </w:tcBorders>
            <w:tcW w:w="4785"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3969" w:type="dxa"/>
            <w:vAlign w:val="center"/>
            <w:textDirection w:val="lrTb"/>
            <w:noWrap w:val="false"/>
          </w:tcPr>
          <w:p>
            <w:pPr>
              <w:jc w:val="center"/>
              <w:spacing w:line="400" w:lineRule="exact"/>
              <w:rPr>
                <w:rFonts w:cs="宋体" w:asciiTheme="minorEastAsia" w:hAnsiTheme="minorEastAsia" w:eastAsiaTheme="minorEastAsia"/>
                <w:color w:val="auto"/>
                <w:szCs w:val="21"/>
                <w:highlight w:val="none"/>
                <w:lang w:bidi="ar"/>
              </w:rPr>
            </w:pPr>
            <w:r>
              <w:rPr>
                <w:rFonts w:hint="eastAsia" w:cs="宋体" w:asciiTheme="minorEastAsia" w:hAnsiTheme="minorEastAsia" w:eastAsiaTheme="minorEastAsia"/>
                <w:color w:val="auto"/>
                <w:szCs w:val="21"/>
                <w:highlight w:val="none"/>
                <w:lang w:bidi="ar"/>
              </w:rPr>
              <w:t xml:space="preserve">采购人意见</w:t>
            </w:r>
            <w:r/>
          </w:p>
        </w:tc>
      </w:tr>
      <w:tr>
        <w:trPr>
          <w:jc w:val="center"/>
        </w:trPr>
        <w:tc>
          <w:tcPr>
            <w:gridSpan w:val="4"/>
            <w:tcBorders>
              <w:top w:val="single" w:color="000000" w:sz="2" w:space="0"/>
              <w:left w:val="single" w:color="000000" w:sz="2" w:space="0"/>
              <w:bottom w:val="single" w:color="000000" w:sz="2" w:space="0"/>
              <w:right w:val="single" w:color="000000" w:sz="2" w:space="0"/>
            </w:tcBorders>
            <w:tcW w:w="4785" w:type="dxa"/>
            <w:textDirection w:val="lrTb"/>
            <w:noWrap w:val="false"/>
          </w:tcPr>
          <w:p>
            <w:pPr>
              <w:spacing w:line="400" w:lineRule="exact"/>
              <w:rPr>
                <w:rFonts w:cs="宋体" w:asciiTheme="minorEastAsia" w:hAnsiTheme="minorEastAsia" w:eastAsiaTheme="minorEastAsia"/>
                <w:color w:val="auto"/>
                <w:szCs w:val="21"/>
                <w:highlight w:val="none"/>
                <w:lang w:eastAsia="zh-CN" w:bidi="ar"/>
              </w:rPr>
            </w:pPr>
            <w:r>
              <w:rPr>
                <w:rFonts w:hint="eastAsia" w:cs="宋体" w:asciiTheme="minorEastAsia" w:hAnsiTheme="minorEastAsia" w:eastAsiaTheme="minorEastAsia"/>
                <w:color w:val="auto"/>
                <w:szCs w:val="21"/>
                <w:highlight w:val="none"/>
                <w:lang w:eastAsia="zh-CN" w:bidi="ar"/>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3969" w:type="dxa"/>
            <w:textDirection w:val="lrTb"/>
            <w:noWrap w:val="false"/>
          </w:tcPr>
          <w:p>
            <w:pPr>
              <w:spacing w:line="400" w:lineRule="exact"/>
              <w:rPr>
                <w:rFonts w:cs="宋体" w:asciiTheme="minorEastAsia" w:hAnsiTheme="minorEastAsia" w:eastAsiaTheme="minorEastAsia"/>
                <w:color w:val="auto"/>
                <w:szCs w:val="21"/>
                <w:highlight w:val="none"/>
                <w:lang w:eastAsia="zh-CN" w:bidi="ar"/>
              </w:rPr>
            </w:pPr>
            <w:r>
              <w:rPr>
                <w:rFonts w:hint="eastAsia" w:cs="宋体" w:asciiTheme="minorEastAsia" w:hAnsiTheme="minorEastAsia" w:eastAsiaTheme="minorEastAsia"/>
                <w:color w:val="auto"/>
                <w:szCs w:val="21"/>
                <w:highlight w:val="none"/>
                <w:lang w:eastAsia="zh-CN" w:bidi="ar"/>
              </w:rPr>
              <w:t xml:space="preserve">经办人：         负责人：               （采购人公章）</w:t>
            </w:r>
            <w:r/>
          </w:p>
        </w:tc>
      </w:tr>
      <w:tr>
        <w:trPr>
          <w:jc w:val="center"/>
        </w:trPr>
        <w:tc>
          <w:tcPr>
            <w:gridSpan w:val="7"/>
            <w:tcBorders>
              <w:top w:val="single" w:color="000000" w:sz="2" w:space="0"/>
              <w:left w:val="single" w:color="000000" w:sz="2" w:space="0"/>
              <w:bottom w:val="single" w:color="000000" w:sz="2" w:space="0"/>
              <w:right w:val="single" w:color="000000" w:sz="2" w:space="0"/>
            </w:tcBorders>
            <w:tcW w:w="8754" w:type="dxa"/>
            <w:textDirection w:val="lrTb"/>
            <w:noWrap w:val="false"/>
          </w:tcPr>
          <w:p>
            <w:pPr>
              <w:spacing w:line="400" w:lineRule="exact"/>
              <w:rPr>
                <w:rFonts w:cs="宋体" w:asciiTheme="minorEastAsia" w:hAnsiTheme="minorEastAsia" w:eastAsiaTheme="minorEastAsia"/>
                <w:color w:val="auto"/>
                <w:szCs w:val="21"/>
                <w:highlight w:val="none"/>
                <w:lang w:eastAsia="zh-CN" w:bidi="ar"/>
              </w:rPr>
            </w:pPr>
            <w:r>
              <w:rPr>
                <w:rFonts w:hint="eastAsia" w:cs="宋体" w:asciiTheme="minorEastAsia" w:hAnsiTheme="minorEastAsia" w:eastAsiaTheme="minorEastAsia"/>
                <w:color w:val="auto"/>
                <w:szCs w:val="21"/>
                <w:highlight w:val="none"/>
                <w:lang w:eastAsia="zh-CN" w:bidi="ar"/>
              </w:rPr>
              <w:t xml:space="preserve">供应商确认：</w:t>
            </w:r>
            <w:r/>
          </w:p>
          <w:p>
            <w:pPr>
              <w:spacing w:line="400" w:lineRule="exact"/>
              <w:rPr>
                <w:rFonts w:cs="宋体" w:asciiTheme="minorEastAsia" w:hAnsiTheme="minorEastAsia" w:eastAsiaTheme="minorEastAsia"/>
                <w:color w:val="auto"/>
                <w:szCs w:val="21"/>
                <w:highlight w:val="none"/>
                <w:lang w:eastAsia="zh-CN" w:bidi="ar"/>
              </w:rPr>
            </w:pPr>
            <w:r>
              <w:rPr>
                <w:rFonts w:cs="宋体" w:asciiTheme="minorEastAsia" w:hAnsiTheme="minorEastAsia" w:eastAsiaTheme="minorEastAsia"/>
                <w:color w:val="auto"/>
                <w:szCs w:val="21"/>
                <w:highlight w:val="none"/>
                <w:lang w:eastAsia="zh-CN" w:bidi="ar"/>
              </w:rPr>
            </w:r>
            <w:r/>
          </w:p>
          <w:p>
            <w:pPr>
              <w:spacing w:line="400" w:lineRule="exact"/>
              <w:rPr>
                <w:rFonts w:cs="宋体" w:asciiTheme="minorEastAsia" w:hAnsiTheme="minorEastAsia" w:eastAsiaTheme="minorEastAsia"/>
                <w:color w:val="auto"/>
                <w:szCs w:val="21"/>
                <w:highlight w:val="none"/>
                <w:lang w:eastAsia="zh-CN" w:bidi="ar"/>
              </w:rPr>
            </w:pPr>
            <w:r>
              <w:rPr>
                <w:rFonts w:hint="eastAsia" w:cs="宋体" w:asciiTheme="minorEastAsia" w:hAnsiTheme="minorEastAsia" w:eastAsiaTheme="minorEastAsia"/>
                <w:color w:val="auto"/>
                <w:szCs w:val="21"/>
                <w:highlight w:val="none"/>
                <w:lang w:eastAsia="zh-CN" w:bidi="ar"/>
              </w:rPr>
              <w:t xml:space="preserve">（单位公章或授权代表签字）</w:t>
            </w:r>
            <w:r/>
          </w:p>
        </w:tc>
      </w:tr>
    </w:tbl>
    <w:p>
      <w:pPr>
        <w:pStyle w:val="938"/>
        <w:spacing w:before="120" w:after="120"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p>
      <w:pPr>
        <w:pStyle w:val="938"/>
        <w:spacing w:before="120" w:after="120"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p>
      <w:pPr>
        <w:pStyle w:val="938"/>
        <w:spacing w:before="120" w:after="120"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p>
      <w:pPr>
        <w:pStyle w:val="938"/>
        <w:spacing w:before="120" w:after="120"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tbl>
      <w:tblPr>
        <w:tblStyle w:val="70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333"/>
        <w:gridCol w:w="2339"/>
        <w:gridCol w:w="2318"/>
        <w:gridCol w:w="1581"/>
      </w:tblGrid>
      <w:tr>
        <w:trPr>
          <w:trHeight w:val="1180"/>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rPr>
                <w:rFonts w:ascii="方正小标宋_GBK" w:hAnsi="方正小标宋_GBK" w:eastAsia="方正小标宋_GBK" w:cs="方正小标宋_GBK"/>
                <w:color w:val="auto"/>
                <w:sz w:val="40"/>
                <w:szCs w:val="40"/>
                <w:highlight w:val="none"/>
                <w:lang w:eastAsia="zh-CN"/>
              </w:rPr>
            </w:pPr>
            <w:r>
              <w:rPr>
                <w:rFonts w:ascii="方正小标宋_GBK" w:hAnsi="方正小标宋_GBK" w:eastAsia="方正小标宋_GBK" w:cs="方正小标宋_GBK"/>
                <w:color w:val="auto"/>
                <w:sz w:val="40"/>
                <w:szCs w:val="40"/>
                <w:highlight w:val="none"/>
                <w:lang w:eastAsia="zh-CN" w:bidi="ar"/>
              </w:rPr>
              <w:t xml:space="preserve">政府采购履约验收通知单</w:t>
            </w:r>
            <w:r/>
          </w:p>
        </w:tc>
      </w:tr>
      <w:tr>
        <w:trPr>
          <w:trHeight w:val="600"/>
        </w:trPr>
        <w:tc>
          <w:tcPr>
            <w:shd w:val="clear" w:color="auto" w:fill="auto"/>
            <w:tcBorders>
              <w:top w:val="none" w:color="000000" w:sz="4" w:space="0"/>
              <w:left w:val="none" w:color="000000" w:sz="4" w:space="0"/>
              <w:bottom w:val="none" w:color="000000" w:sz="4" w:space="0"/>
              <w:right w:val="none" w:color="000000" w:sz="4" w:space="0"/>
            </w:tcBorders>
            <w:tcW w:w="1741" w:type="pct"/>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供应商：</w:t>
            </w:r>
            <w:r/>
          </w:p>
        </w:tc>
        <w:tc>
          <w:tcPr>
            <w:shd w:val="clear" w:color="auto" w:fill="auto"/>
            <w:tcBorders>
              <w:top w:val="none" w:color="000000" w:sz="4" w:space="0"/>
              <w:left w:val="none" w:color="000000" w:sz="4" w:space="0"/>
              <w:bottom w:val="none" w:color="000000" w:sz="4" w:space="0"/>
              <w:right w:val="none" w:color="000000" w:sz="4" w:space="0"/>
            </w:tcBorders>
            <w:tcW w:w="1222" w:type="pct"/>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1211" w:type="pct"/>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823" w:type="pct"/>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采购人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258" w:type="pct"/>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项目名称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258" w:type="pct"/>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合同名称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258" w:type="pct"/>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合同编号</w:t>
            </w:r>
            <w:r/>
          </w:p>
        </w:tc>
        <w:tc>
          <w:tcPr>
            <w:shd w:val="clear" w:color="auto" w:fill="auto"/>
            <w:tcBorders>
              <w:top w:val="single" w:color="000000" w:sz="4" w:space="0"/>
              <w:left w:val="single" w:color="000000" w:sz="4" w:space="0"/>
              <w:bottom w:val="single" w:color="000000" w:sz="4" w:space="0"/>
              <w:right w:val="single" w:color="000000" w:sz="4" w:space="0"/>
            </w:tcBorders>
            <w:tcW w:w="1222" w:type="pct"/>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1" w:type="pct"/>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合同金额</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验收时间</w:t>
            </w:r>
            <w:r/>
          </w:p>
        </w:tc>
        <w:tc>
          <w:tcPr>
            <w:shd w:val="clear" w:color="auto" w:fill="auto"/>
            <w:tcBorders>
              <w:top w:val="single" w:color="000000" w:sz="4" w:space="0"/>
              <w:left w:val="single" w:color="000000" w:sz="4" w:space="0"/>
              <w:bottom w:val="single" w:color="000000" w:sz="4" w:space="0"/>
              <w:right w:val="single" w:color="000000" w:sz="4" w:space="0"/>
            </w:tcBorders>
            <w:tcW w:w="1222" w:type="pct"/>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1" w:type="pct"/>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验收地点</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741" w:type="pct"/>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联系人</w:t>
            </w:r>
            <w:r/>
          </w:p>
        </w:tc>
        <w:tc>
          <w:tcPr>
            <w:shd w:val="clear" w:color="auto" w:fill="auto"/>
            <w:tcBorders>
              <w:top w:val="single" w:color="000000" w:sz="4" w:space="0"/>
              <w:left w:val="single" w:color="000000" w:sz="4" w:space="0"/>
              <w:bottom w:val="single" w:color="000000" w:sz="4" w:space="0"/>
              <w:right w:val="single" w:color="000000" w:sz="4" w:space="0"/>
            </w:tcBorders>
            <w:tcW w:w="1222" w:type="pct"/>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1" w:type="pct"/>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联系电话</w:t>
            </w:r>
            <w:r/>
          </w:p>
        </w:tc>
        <w:tc>
          <w:tcPr>
            <w:shd w:val="clear" w:color="auto" w:fill="auto"/>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254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履约验收方案及工作要求</w:t>
            </w: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restart"/>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        单位公章</w:t>
            </w:r>
            <w:r>
              <w:rPr>
                <w:rFonts w:hint="eastAsia" w:ascii="宋体" w:hAnsi="宋体" w:eastAsia="宋体" w:cs="宋体"/>
                <w:color w:val="auto"/>
                <w:sz w:val="24"/>
                <w:szCs w:val="24"/>
                <w:highlight w:val="none"/>
                <w:lang w:eastAsia="zh-CN" w:bidi="ar"/>
              </w:rPr>
              <w:br/>
            </w:r>
            <w:r>
              <w:rPr>
                <w:rFonts w:hint="eastAsia" w:ascii="宋体" w:hAnsi="宋体" w:eastAsia="宋体" w:cs="宋体"/>
                <w:color w:val="auto"/>
                <w:sz w:val="24"/>
                <w:szCs w:val="24"/>
                <w:highlight w:val="none"/>
                <w:lang w:eastAsia="zh-CN" w:bidi="ar"/>
              </w:rPr>
              <w:t xml:space="preserve">         年   月    日</w:t>
            </w:r>
            <w:r/>
          </w:p>
        </w:tc>
      </w:tr>
    </w:tbl>
    <w:p>
      <w:pPr>
        <w:jc w:val="center"/>
        <w:spacing w:before="240" w:after="240" w:line="439" w:lineRule="atLeast"/>
        <w:rPr>
          <w:rFonts w:cs="仿宋"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color w:val="auto"/>
          <w:sz w:val="44"/>
          <w:highlight w:val="none"/>
          <w:lang w:eastAsia="zh-CN"/>
        </w:rPr>
      </w:r>
      <w:r/>
    </w:p>
    <w:p>
      <w:pPr>
        <w:jc w:val="center"/>
        <w:spacing w:before="240" w:after="240" w:line="439" w:lineRule="atLeast"/>
        <w:rPr>
          <w:rFonts w:cs="仿宋"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color w:val="auto"/>
          <w:sz w:val="44"/>
          <w:highlight w:val="none"/>
          <w:lang w:eastAsia="zh-CN"/>
        </w:rPr>
      </w:r>
      <w:r/>
    </w:p>
    <w:p>
      <w:pPr>
        <w:jc w:val="center"/>
        <w:spacing w:before="240" w:after="240" w:line="439" w:lineRule="atLeast"/>
        <w:rPr>
          <w:rFonts w:cs="仿宋"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b/>
          <w:color w:val="auto"/>
          <w:sz w:val="44"/>
          <w:highlight w:val="none"/>
          <w:lang w:eastAsia="zh-CN"/>
        </w:rPr>
      </w:r>
      <w:r/>
    </w:p>
    <w:p>
      <w:pPr>
        <w:pStyle w:val="938"/>
        <w:spacing w:before="120" w:after="120"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p>
      <w:pPr>
        <w:pStyle w:val="938"/>
        <w:spacing w:before="120" w:after="120"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bookmarkEnd w:id="15"/>
      <w:r/>
      <w:bookmarkEnd w:id="16"/>
      <w:r/>
      <w:r/>
    </w:p>
    <w:p>
      <w:pPr>
        <w:pStyle w:val="938"/>
        <w:spacing w:before="120" w:after="120"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p>
      <w:pPr>
        <w:pStyle w:val="938"/>
        <w:spacing w:before="120" w:after="120"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p>
      <w:pPr>
        <w:pStyle w:val="938"/>
        <w:spacing w:before="120" w:after="120"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p>
      <w:pPr>
        <w:pStyle w:val="938"/>
        <w:spacing w:before="120" w:after="120"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p>
      <w:pPr>
        <w:pStyle w:val="938"/>
        <w:spacing w:before="120" w:after="120"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p>
      <w:pPr>
        <w:pStyle w:val="938"/>
        <w:spacing w:before="120" w:after="120"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p>
      <w:pPr>
        <w:pStyle w:val="938"/>
        <w:spacing w:before="120" w:after="120"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p>
      <w:pPr>
        <w:pStyle w:val="938"/>
        <w:spacing w:before="120" w:after="120"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p>
      <w:pPr>
        <w:pStyle w:val="938"/>
        <w:spacing w:before="120" w:after="120"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p>
      <w:pPr>
        <w:pStyle w:val="938"/>
        <w:spacing w:before="120" w:after="120"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p>
      <w:pPr>
        <w:pStyle w:val="938"/>
        <w:spacing w:before="120" w:after="120"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p>
      <w:pPr>
        <w:pStyle w:val="938"/>
        <w:spacing w:before="120" w:after="120" w:line="360" w:lineRule="auto"/>
        <w:rPr>
          <w:rFonts w:asciiTheme="minorEastAsia" w:hAnsiTheme="minorEastAsia" w:eastAsiaTheme="minorEastAsia"/>
          <w:b/>
          <w:color w:val="auto"/>
          <w:sz w:val="24"/>
          <w:szCs w:val="24"/>
          <w:highlight w:val="none"/>
          <w:lang w:eastAsia="zh-CN"/>
        </w:rPr>
      </w:pPr>
      <w:r>
        <w:rPr>
          <w:rFonts w:asciiTheme="minorEastAsia" w:hAnsiTheme="minorEastAsia" w:eastAsiaTheme="minorEastAsia"/>
          <w:b/>
          <w:color w:val="auto"/>
          <w:sz w:val="24"/>
          <w:szCs w:val="24"/>
          <w:highlight w:val="none"/>
          <w:lang w:eastAsia="zh-CN"/>
        </w:rPr>
      </w:r>
      <w:r/>
    </w:p>
    <w:p>
      <w:pPr>
        <w:jc w:val="center"/>
        <w:spacing w:before="240" w:after="240" w:line="439"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pPr>
      <w:r/>
      <w:bookmarkStart w:id="31" w:name="_Toc40449968"/>
      <w:r/>
      <w:bookmarkEnd w:id="31"/>
      <w:r/>
      <w:bookmarkStart w:id="32" w:name="_Toc142194272"/>
      <w:r/>
      <w:bookmarkEnd w:id="32"/>
      <w:r/>
      <w:r/>
    </w:p>
    <w:p>
      <w:pPr>
        <w:jc w:val="center"/>
        <w:spacing w:before="240" w:after="240" w:line="439"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44"/>
          <w:highlight w:val="none"/>
          <w:lang w:eastAsia="zh-CN"/>
        </w:rPr>
      </w:r>
      <w:r/>
    </w:p>
    <w:p>
      <w:pPr>
        <w:jc w:val="center"/>
        <w:spacing w:before="240" w:after="240" w:line="439"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44"/>
          <w:highlight w:val="none"/>
          <w:lang w:eastAsia="zh-CN"/>
        </w:rPr>
      </w:r>
      <w:r/>
    </w:p>
    <w:p>
      <w:pPr>
        <w:jc w:val="center"/>
        <w:spacing w:before="240" w:after="240" w:line="439" w:lineRule="atLeast"/>
        <w:rPr>
          <w:rFonts w:cs="宋体" w:asciiTheme="minorEastAsia" w:hAnsiTheme="minorEastAsia" w:eastAsiaTheme="minorEastAsia"/>
          <w:b/>
          <w:color w:val="auto"/>
          <w:sz w:val="4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44"/>
          <w:highlight w:val="none"/>
          <w:lang w:eastAsia="zh-CN"/>
        </w:rPr>
      </w:r>
      <w:r/>
    </w:p>
    <w:p>
      <w:pPr>
        <w:jc w:val="center"/>
        <w:spacing w:before="240" w:after="24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44"/>
          <w:highlight w:val="none"/>
          <w:lang w:eastAsia="zh-CN"/>
        </w:rPr>
        <w:t xml:space="preserve">第四部分 投标文件格式</w:t>
      </w:r>
      <w:r/>
    </w:p>
    <w:p>
      <w:pPr>
        <w:jc w:val="center"/>
        <w:spacing w:after="0" w:line="38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 </w:t>
      </w:r>
      <w:r/>
    </w:p>
    <w:p>
      <w:pPr>
        <w:jc w:val="both"/>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spacing w:after="0" w:line="500" w:lineRule="exact"/>
        <w:rPr>
          <w:rFonts w:asciiTheme="minorEastAsia" w:hAnsiTheme="minorEastAsia" w:eastAsiaTheme="minorEastAsia"/>
          <w:b/>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说明：</w:t>
      </w:r>
      <w:r/>
    </w:p>
    <w:p>
      <w:pPr>
        <w:ind w:firstLine="480"/>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对本章所有的投标书格式，投标方可根据自身情况进行补充和修改，但补充和修改不得造成与本格式内容有实质性的违背。</w:t>
      </w:r>
      <w:r/>
    </w:p>
    <w:p>
      <w:pPr>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br w:type="page" w:clear="all"/>
      </w:r>
      <w:r/>
    </w:p>
    <w:p>
      <w:pPr>
        <w:jc w:val="both"/>
        <w:spacing w:after="0"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1、</w:t>
      </w:r>
      <w:r>
        <w:rPr>
          <w:rFonts w:cs="宋体" w:asciiTheme="minorEastAsia" w:hAnsiTheme="minorEastAsia" w:eastAsiaTheme="minorEastAsia"/>
          <w:b/>
          <w:color w:val="auto"/>
          <w:sz w:val="28"/>
          <w:highlight w:val="none"/>
          <w:lang w:eastAsia="zh-CN"/>
        </w:rPr>
        <w:t xml:space="preserve">关于资格文件的声明函</w:t>
      </w:r>
      <w:r/>
    </w:p>
    <w:p>
      <w:pPr>
        <w:ind w:left="1260" w:firstLine="420"/>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0"/>
          <w:highlight w:val="none"/>
          <w:lang w:eastAsia="zh-CN"/>
        </w:rPr>
        <w:t xml:space="preserve"> </w:t>
      </w:r>
      <w:r/>
    </w:p>
    <w:p>
      <w:pPr>
        <w:ind w:left="1260" w:firstLine="420"/>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0"/>
          <w:highlight w:val="none"/>
          <w:lang w:eastAsia="zh-CN"/>
        </w:rPr>
        <w:t xml:space="preserve"> </w:t>
      </w:r>
      <w:r/>
    </w:p>
    <w:p>
      <w:pPr>
        <w:ind w:left="1260" w:firstLine="1770"/>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0"/>
          <w:highlight w:val="none"/>
          <w:lang w:eastAsia="zh-CN"/>
        </w:rPr>
        <w:t xml:space="preserve">关于资格文件的声明函</w:t>
      </w:r>
      <w:r/>
    </w:p>
    <w:p>
      <w:pPr>
        <w:ind w:left="1260" w:firstLine="420"/>
        <w:jc w:val="cente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line="49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u w:val="single"/>
          <w:lang w:eastAsia="zh-CN"/>
        </w:rPr>
        <w:t xml:space="preserve">苏州市公共资源交易中心太仓分中心</w:t>
      </w:r>
      <w:r>
        <w:rPr>
          <w:rFonts w:cs="宋体" w:asciiTheme="minorEastAsia" w:hAnsiTheme="minorEastAsia" w:eastAsiaTheme="minorEastAsia"/>
          <w:color w:val="auto"/>
          <w:sz w:val="24"/>
          <w:highlight w:val="none"/>
          <w:lang w:eastAsia="zh-CN"/>
        </w:rPr>
        <w:t xml:space="preserve">：</w:t>
      </w:r>
      <w:r/>
    </w:p>
    <w:p>
      <w:pPr>
        <w:ind w:right="445" w:firstLine="480"/>
        <w:spacing w:after="0" w:line="49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本公司愿就由贵单位组织实施的编号为</w:t>
      </w:r>
      <w:r>
        <w:rPr>
          <w:rFonts w:hint="eastAsia" w:ascii="宋体" w:hAnsi="宋体" w:eastAsia="宋体" w:cs="宋体"/>
          <w:b/>
          <w:color w:val="auto"/>
          <w:sz w:val="24"/>
          <w:highlight w:val="none"/>
          <w:u w:val="single"/>
          <w:lang w:eastAsia="zh-CN"/>
        </w:rPr>
        <w:t xml:space="preserve"> </w:t>
      </w:r>
      <w:r>
        <w:rPr>
          <w:rFonts w:hint="eastAsia" w:ascii="宋体" w:hAnsi="宋体" w:eastAsia="宋体" w:cs="宋体"/>
          <w:b/>
          <w:color w:val="auto"/>
          <w:sz w:val="24"/>
          <w:szCs w:val="24"/>
          <w:highlight w:val="none"/>
          <w:u w:val="single"/>
          <w:lang w:eastAsia="zh-CN"/>
        </w:rPr>
        <w:t xml:space="preserve">JSZC-320585-JZCG-G2026-0073</w:t>
      </w:r>
      <w:r>
        <w:rPr>
          <w:rFonts w:cs="宋体" w:asciiTheme="minorEastAsia" w:hAnsiTheme="minorEastAsia" w:eastAsiaTheme="minorEastAsia"/>
          <w:color w:val="auto"/>
          <w:sz w:val="24"/>
          <w:highlight w:val="none"/>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line="49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left="1259" w:firstLine="426"/>
        <w:jc w:val="both"/>
        <w:spacing w:after="0" w:line="49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line="49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投标单位（单位盖章）：</w:t>
      </w:r>
      <w:r/>
    </w:p>
    <w:p>
      <w:pPr>
        <w:jc w:val="both"/>
        <w:spacing w:after="0" w:line="49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法定代表人或授权代理人（签字或盖章）：</w:t>
      </w:r>
      <w:r/>
    </w:p>
    <w:p>
      <w:pPr>
        <w:jc w:val="both"/>
        <w:spacing w:after="0" w:line="49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投标日期：</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 年</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 月</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 日</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cs="宋体" w:asciiTheme="minorEastAsia" w:hAnsiTheme="minorEastAsia" w:eastAsiaTheme="minorEastAsia"/>
          <w:b/>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r>
      <w:r/>
    </w:p>
    <w:p>
      <w:pPr>
        <w:jc w:val="both"/>
        <w:spacing w:after="0"/>
        <w:rPr>
          <w:rFonts w:cs="宋体" w:asciiTheme="minorEastAsia" w:hAnsiTheme="minorEastAsia" w:eastAsiaTheme="minorEastAsia"/>
          <w:b/>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r>
      <w:r/>
    </w:p>
    <w:p>
      <w:pPr>
        <w:jc w:val="both"/>
        <w:spacing w:after="0"/>
        <w:rPr>
          <w:rFonts w:cs="宋体" w:asciiTheme="minorEastAsia" w:hAnsiTheme="minorEastAsia" w:eastAsiaTheme="minorEastAsia"/>
          <w:b/>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r>
      <w:r/>
    </w:p>
    <w:p>
      <w:pPr>
        <w:jc w:val="both"/>
        <w:spacing w:after="0"/>
        <w:rPr>
          <w:rFonts w:cs="宋体" w:asciiTheme="minorEastAsia" w:hAnsiTheme="minorEastAsia" w:eastAsiaTheme="minorEastAsia"/>
          <w:b/>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r>
      <w:r/>
    </w:p>
    <w:p>
      <w:pPr>
        <w:jc w:val="both"/>
        <w:spacing w:after="0"/>
        <w:rPr>
          <w:rFonts w:cs="宋体" w:asciiTheme="minorEastAsia" w:hAnsiTheme="minorEastAsia" w:eastAsiaTheme="minorEastAsia"/>
          <w:b/>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r>
      <w:r/>
    </w:p>
    <w:p>
      <w:pPr>
        <w:jc w:val="both"/>
        <w:spacing w:after="0"/>
        <w:rPr>
          <w:rFonts w:cs="宋体" w:asciiTheme="minorEastAsia" w:hAnsiTheme="minorEastAsia" w:eastAsiaTheme="minorEastAsia"/>
          <w:b/>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r>
      <w:r/>
    </w:p>
    <w:p>
      <w:pPr>
        <w:jc w:val="both"/>
        <w:spacing w:after="0"/>
        <w:rPr>
          <w:rFonts w:cs="宋体" w:asciiTheme="minorEastAsia" w:hAnsiTheme="minorEastAsia" w:eastAsiaTheme="minorEastAsia"/>
          <w:b/>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r>
      <w:r/>
    </w:p>
    <w:p>
      <w:pPr>
        <w:jc w:val="both"/>
        <w:spacing w:after="0"/>
        <w:rPr>
          <w:rFonts w:cs="宋体" w:asciiTheme="minorEastAsia" w:hAnsiTheme="minorEastAsia" w:eastAsiaTheme="minorEastAsia"/>
          <w:b/>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r>
      <w:r/>
    </w:p>
    <w:p>
      <w:pPr>
        <w:jc w:val="both"/>
        <w:spacing w:after="0"/>
        <w:rPr>
          <w:rFonts w:cs="宋体" w:asciiTheme="minorEastAsia" w:hAnsiTheme="minorEastAsia" w:eastAsiaTheme="minorEastAsia"/>
          <w:b/>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r>
      <w:r/>
    </w:p>
    <w:p>
      <w:pPr>
        <w:jc w:val="both"/>
        <w:spacing w:after="0"/>
        <w:rPr>
          <w:rFonts w:cs="宋体" w:asciiTheme="minorEastAsia" w:hAnsiTheme="minorEastAsia" w:eastAsiaTheme="minorEastAsia"/>
          <w:b/>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r>
      <w:r/>
    </w:p>
    <w:p>
      <w:pPr>
        <w:jc w:val="both"/>
        <w:spacing w:after="0"/>
        <w:rPr>
          <w:rFonts w:cs="宋体" w:asciiTheme="minorEastAsia" w:hAnsiTheme="minorEastAsia" w:eastAsiaTheme="minorEastAsia"/>
          <w:b/>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t xml:space="preserve">2、投标承诺函</w:t>
      </w:r>
      <w:r/>
    </w:p>
    <w:p>
      <w:pPr>
        <w:jc w:val="center"/>
        <w:spacing w:after="0" w:line="360" w:lineRule="atLeast"/>
        <w:rPr>
          <w:rFonts w:asciiTheme="minorEastAsia" w:hAnsiTheme="minorEastAsia" w:eastAsiaTheme="minorEastAsia"/>
          <w:color w:val="auto"/>
          <w:sz w:val="21"/>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t xml:space="preserve">投标承诺函</w:t>
      </w:r>
      <w:r/>
    </w:p>
    <w:p>
      <w:pPr>
        <w:jc w:val="both"/>
        <w:spacing w:after="0" w:line="3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u w:val="single"/>
          <w:lang w:eastAsia="zh-CN"/>
        </w:rPr>
        <w:t xml:space="preserve">苏州市公共资源交易中心太仓分中心 </w:t>
      </w:r>
      <w:r>
        <w:rPr>
          <w:rFonts w:cs="宋体" w:asciiTheme="minorEastAsia" w:hAnsiTheme="minorEastAsia" w:eastAsiaTheme="minorEastAsia"/>
          <w:color w:val="auto"/>
          <w:sz w:val="24"/>
          <w:highlight w:val="none"/>
          <w:lang w:eastAsia="zh-CN"/>
        </w:rPr>
        <w:t xml:space="preserve">：</w:t>
      </w:r>
      <w:r/>
    </w:p>
    <w:p>
      <w:pPr>
        <w:jc w:val="both"/>
        <w:spacing w:after="0" w:line="3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48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我们收到贵单位</w:t>
      </w:r>
      <w:r>
        <w:rPr>
          <w:rFonts w:hint="eastAsia" w:ascii="宋体" w:hAnsi="宋体" w:eastAsia="宋体" w:cs="宋体"/>
          <w:b/>
          <w:color w:val="auto"/>
          <w:sz w:val="24"/>
          <w:szCs w:val="24"/>
          <w:highlight w:val="none"/>
          <w:u w:val="single"/>
          <w:lang w:eastAsia="zh-CN"/>
        </w:rPr>
        <w:t xml:space="preserve">2026-2027年度保洁服务</w:t>
      </w:r>
      <w:r>
        <w:rPr>
          <w:rFonts w:cs="宋体" w:asciiTheme="minorEastAsia" w:hAnsiTheme="minorEastAsia" w:eastAsiaTheme="minorEastAsia"/>
          <w:color w:val="auto"/>
          <w:sz w:val="24"/>
          <w:highlight w:val="none"/>
          <w:lang w:eastAsia="zh-CN"/>
        </w:rPr>
        <w:t xml:space="preserve">招标文件（项目编号：</w:t>
      </w:r>
      <w:r>
        <w:rPr>
          <w:rFonts w:hint="eastAsia" w:ascii="宋体" w:hAnsi="宋体" w:eastAsia="宋体" w:cs="宋体"/>
          <w:b/>
          <w:color w:val="auto"/>
          <w:sz w:val="24"/>
          <w:szCs w:val="24"/>
          <w:highlight w:val="none"/>
          <w:u w:val="single"/>
          <w:lang w:eastAsia="zh-CN"/>
        </w:rPr>
        <w:t xml:space="preserve">JSZC-320585-JZCG-G2026-0073</w:t>
      </w:r>
      <w:r>
        <w:rPr>
          <w:rFonts w:cs="宋体" w:asciiTheme="minorEastAsia" w:hAnsiTheme="minorEastAsia" w:eastAsiaTheme="minorEastAsia"/>
          <w:color w:val="auto"/>
          <w:sz w:val="24"/>
          <w:highlight w:val="none"/>
          <w:lang w:eastAsia="zh-CN"/>
        </w:rPr>
        <w:t xml:space="preserve">），经仔细阅读和研究，我们决定参加投标。</w:t>
      </w:r>
      <w:r/>
    </w:p>
    <w:p>
      <w:pPr>
        <w:ind w:firstLine="24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1、我们愿意按照招标文件的一切要求，提供包括完成该项目全部内容的设备、材料及人工、机械、保险、劳保、各种税费以及质保期间的一切费用。</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2、如果我们的投标书被接受，我们将严格履行招标文件中规定的每一项要求，按期、按质、按量履行合同的义务。</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3、我们同意按招标文件中的规定，本投标书的有效期限为开标后</w:t>
      </w:r>
      <w:r>
        <w:rPr>
          <w:rFonts w:cs="宋体" w:asciiTheme="minorEastAsia" w:hAnsiTheme="minorEastAsia" w:eastAsiaTheme="minorEastAsia"/>
          <w:b/>
          <w:color w:val="auto"/>
          <w:sz w:val="24"/>
          <w:highlight w:val="none"/>
          <w:u w:val="single"/>
          <w:lang w:eastAsia="zh-CN"/>
        </w:rPr>
        <w:t xml:space="preserve">90</w:t>
      </w:r>
      <w:r>
        <w:rPr>
          <w:rFonts w:cs="宋体" w:asciiTheme="minorEastAsia" w:hAnsiTheme="minorEastAsia" w:eastAsiaTheme="minorEastAsia"/>
          <w:color w:val="auto"/>
          <w:sz w:val="24"/>
          <w:highlight w:val="none"/>
          <w:lang w:eastAsia="zh-CN"/>
        </w:rPr>
        <w:t xml:space="preserve">天。</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4、我们愿意提供招标方在招标文件中要求的所有资料。</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5、我们认为你们有权决定中标者，还认为你们有权接受或拒绝所有的投标者。</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6、我们完全理解贵方不一定要接受最低报价的投标或收到的任何投标。</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7、我们承诺该项投标在开标后的全过程中保持有效，不作任何更改和变动。</w:t>
      </w:r>
      <w:r/>
    </w:p>
    <w:p>
      <w:pPr>
        <w:ind w:firstLine="48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8、</w:t>
      </w:r>
      <w:r>
        <w:rPr>
          <w:rFonts w:cs="宋体" w:asciiTheme="minorEastAsia" w:hAnsiTheme="minorEastAsia" w:eastAsiaTheme="minorEastAsia"/>
          <w:b/>
          <w:color w:val="auto"/>
          <w:sz w:val="24"/>
          <w:highlight w:val="none"/>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9、综合说明：</w:t>
      </w:r>
      <w:r/>
    </w:p>
    <w:p>
      <w:pPr>
        <w:ind w:firstLine="42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（1）伴随服务及配合措施；</w:t>
      </w:r>
      <w:r/>
    </w:p>
    <w:p>
      <w:pPr>
        <w:ind w:firstLine="42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（2）要求甲方提供的配合；</w:t>
      </w:r>
      <w:r/>
    </w:p>
    <w:p>
      <w:pPr>
        <w:ind w:firstLine="42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（3）对招标文件有不同意见的偏离说明；</w:t>
      </w:r>
      <w:r/>
    </w:p>
    <w:p>
      <w:pPr>
        <w:ind w:firstLine="42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（4）其它说明。</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所有有关标书的函电，请按下列地址联系：</w:t>
      </w:r>
      <w:r/>
    </w:p>
    <w:p>
      <w:pPr>
        <w:ind w:firstLine="48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单位：联系人：</w:t>
      </w:r>
      <w:r/>
    </w:p>
    <w:p>
      <w:pPr>
        <w:ind w:firstLine="48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地址：邮政编码：</w:t>
      </w:r>
      <w:r/>
    </w:p>
    <w:p>
      <w:pPr>
        <w:ind w:firstLine="48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联系电话：传真：</w:t>
      </w:r>
      <w:r/>
    </w:p>
    <w:p>
      <w:pPr>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投标单位：（单位盖章）</w:t>
      </w:r>
      <w:r/>
    </w:p>
    <w:p>
      <w:pPr>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法定代表人或授权代理人（签字或盖章）</w:t>
      </w:r>
      <w:r/>
    </w:p>
    <w:p>
      <w:pPr>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投标日期：</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年</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月</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日</w:t>
      </w:r>
      <w:r/>
    </w:p>
    <w:p>
      <w:pPr>
        <w:jc w:val="both"/>
        <w:spacing w:after="0" w:line="312"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br w:type="page" w:clear="all"/>
      </w:r>
      <w:r/>
    </w:p>
    <w:p>
      <w:pPr>
        <w:jc w:val="both"/>
        <w:spacing w:after="0" w:line="312"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3、参加政府采购活动前三年内，在经营活动中没有重大违法记录声明</w:t>
      </w:r>
      <w:r/>
    </w:p>
    <w:p>
      <w:pPr>
        <w:ind w:left="-210" w:right="-210"/>
        <w:jc w:val="both"/>
        <w:spacing w:after="0"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 </w:t>
      </w:r>
      <w:r/>
    </w:p>
    <w:p>
      <w:pPr>
        <w:jc w:val="center"/>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参加政府采购活动前三年内，在经营活动中没有重大违法记录声明</w:t>
      </w:r>
      <w:r/>
    </w:p>
    <w:p>
      <w:pPr>
        <w:jc w:val="both"/>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致：苏州市公共资源交易中心太仓分中心：</w:t>
      </w:r>
      <w:r/>
    </w:p>
    <w:p>
      <w:pPr>
        <w:ind w:firstLine="420"/>
        <w:jc w:val="both"/>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我单位</w:t>
      </w:r>
      <w:r>
        <w:rPr>
          <w:rFonts w:cs="宋体" w:asciiTheme="minorEastAsia" w:hAnsiTheme="minorEastAsia" w:eastAsiaTheme="minorEastAsia"/>
          <w:color w:val="auto"/>
          <w:sz w:val="24"/>
          <w:highlight w:val="none"/>
          <w:u w:val="single"/>
          <w:lang w:eastAsia="zh-CN"/>
        </w:rPr>
        <w:t xml:space="preserve">         （供应商名称）</w:t>
      </w:r>
      <w:r>
        <w:rPr>
          <w:rFonts w:cs="宋体" w:asciiTheme="minorEastAsia" w:hAnsiTheme="minorEastAsia" w:eastAsiaTheme="minorEastAsia"/>
          <w:color w:val="auto"/>
          <w:sz w:val="24"/>
          <w:highlight w:val="none"/>
          <w:lang w:eastAsia="zh-CN"/>
        </w:rPr>
        <w:t xml:space="preserve"> 在参加政府采购活动前三年内，没有重大违法记录，特此声明。</w:t>
      </w:r>
      <w:r/>
    </w:p>
    <w:p>
      <w:pPr>
        <w:ind w:firstLine="420"/>
        <w:jc w:val="both"/>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若采购代理机构在本项目采购过程中发现我单位近三年内在经营活动中有重大违法记录，我单位将无条件退出本项目的招标，并承担因此引起的一起后果。</w:t>
      </w:r>
      <w:r/>
    </w:p>
    <w:p>
      <w:pPr>
        <w:ind w:firstLine="420"/>
        <w:jc w:val="both"/>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bookmarkStart w:id="33" w:name="OLE_LINK24"/>
      <w:r/>
      <w:bookmarkStart w:id="34" w:name="OLE_LINK23"/>
      <w:r>
        <w:rPr>
          <w:rFonts w:cs="宋体" w:asciiTheme="minorEastAsia" w:hAnsiTheme="minorEastAsia" w:eastAsiaTheme="minorEastAsia"/>
          <w:color w:val="auto"/>
          <w:sz w:val="24"/>
          <w:highlight w:val="none"/>
          <w:lang w:eastAsia="zh-CN"/>
        </w:rPr>
        <w:t xml:space="preserve">投标单位：（单位盖章）</w:t>
      </w:r>
      <w:r/>
    </w:p>
    <w:p>
      <w:pPr>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法定代表人或授权代理人（签字或盖章）</w:t>
      </w:r>
      <w:r/>
    </w:p>
    <w:p>
      <w:pPr>
        <w:jc w:val="both"/>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投标日期：</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年</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月</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日</w:t>
      </w:r>
      <w:bookmarkEnd w:id="33"/>
      <w:r/>
      <w:bookmarkEnd w:id="34"/>
      <w:r/>
      <w:r/>
    </w:p>
    <w:p>
      <w:pPr>
        <w:jc w:val="both"/>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br w:type="page" w:clear="all"/>
      </w:r>
      <w:r/>
    </w:p>
    <w:p>
      <w:pPr>
        <w:jc w:val="both"/>
        <w:spacing w:after="0" w:line="40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t xml:space="preserve">4、投标单位情况表</w:t>
      </w:r>
      <w:r/>
    </w:p>
    <w:p>
      <w:pPr>
        <w:ind w:left="1260" w:firstLine="2175"/>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0"/>
          <w:highlight w:val="none"/>
          <w:lang w:eastAsia="zh-CN"/>
        </w:rPr>
        <w:t xml:space="preserve">投标单位情况表</w:t>
      </w:r>
      <w:r/>
    </w:p>
    <w:p>
      <w:pPr>
        <w:ind w:firstLine="480"/>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单位名称（盖章）：</w:t>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164"/>
        <w:gridCol w:w="1264"/>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8" w:type="dxa"/>
            <w:textDirection w:val="lrTb"/>
            <w:noWrap w:val="false"/>
          </w:tcPr>
          <w:p>
            <w:pPr>
              <w:ind w:left="126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8"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2" w:type="dxa"/>
            <w:textDirection w:val="lrTb"/>
            <w:noWrap w:val="false"/>
          </w:tcPr>
          <w:p>
            <w:pPr>
              <w:ind w:left="126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60" w:type="dxa"/>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textDirection w:val="lrTb"/>
            <w:noWrap w:val="false"/>
          </w:tcPr>
          <w:p>
            <w:pPr>
              <w:ind w:left="1260"/>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8" w:type="dxa"/>
            <w:vAlign w:val="center"/>
            <w:textDirection w:val="lrTb"/>
            <w:noWrap w:val="false"/>
          </w:tcPr>
          <w:p>
            <w:pPr>
              <w:ind w:left="126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8" w:type="dxa"/>
            <w:vAlign w:val="center"/>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rPr>
              <w:t xml:space="preserve">202</w:t>
            </w:r>
            <w:r>
              <w:rPr>
                <w:rFonts w:hint="eastAsia" w:cs="宋体" w:asciiTheme="minorEastAsia" w:hAnsiTheme="minorEastAsia" w:eastAsiaTheme="minorEastAsia"/>
                <w:b/>
                <w:color w:val="auto"/>
                <w:sz w:val="24"/>
                <w:highlight w:val="none"/>
                <w:lang w:val="en-US" w:eastAsia="zh-CN"/>
              </w:rPr>
              <w:t xml:space="preserve">5</w:t>
            </w:r>
            <w:r>
              <w:rPr>
                <w:rFonts w:cs="宋体" w:asciiTheme="minorEastAsia" w:hAnsiTheme="minorEastAsia" w:eastAsiaTheme="minorEastAsia"/>
                <w:b/>
                <w:color w:val="auto"/>
                <w:sz w:val="24"/>
                <w:highlight w:val="none"/>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rPr>
              <w:t xml:space="preserve">202</w:t>
            </w:r>
            <w:r>
              <w:rPr>
                <w:rFonts w:hint="eastAsia" w:cs="宋体" w:asciiTheme="minorEastAsia" w:hAnsiTheme="minorEastAsia" w:eastAsiaTheme="minorEastAsia"/>
                <w:b/>
                <w:color w:val="auto"/>
                <w:sz w:val="24"/>
                <w:highlight w:val="none"/>
                <w:lang w:val="en-US" w:eastAsia="zh-CN"/>
              </w:rPr>
              <w:t xml:space="preserve">5</w:t>
            </w:r>
            <w:r>
              <w:rPr>
                <w:rFonts w:cs="宋体" w:asciiTheme="minorEastAsia" w:hAnsiTheme="minorEastAsia" w:eastAsiaTheme="minorEastAsia"/>
                <w:b/>
                <w:color w:val="auto"/>
                <w:sz w:val="24"/>
                <w:highlight w:val="none"/>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8" w:type="dxa"/>
            <w:textDirection w:val="lrTb"/>
            <w:noWrap w:val="false"/>
          </w:tcPr>
          <w:p>
            <w:pPr>
              <w:ind w:left="126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8" w:type="dxa"/>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自有面积平方米</w:t>
            </w:r>
            <w:r/>
          </w:p>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承租面积平方米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2" w:type="dxa"/>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2" w:type="dxa"/>
            <w:textDirection w:val="lrTb"/>
            <w:noWrap w:val="false"/>
          </w:tcPr>
          <w:p>
            <w:pPr>
              <w:ind w:left="126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2" w:type="dxa"/>
            <w:textDirection w:val="lrTb"/>
            <w:noWrap w:val="false"/>
          </w:tcPr>
          <w:p>
            <w:pPr>
              <w:ind w:left="1260"/>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2" w:type="dxa"/>
            <w:textDirection w:val="lrTb"/>
            <w:noWrap w:val="false"/>
          </w:tcPr>
          <w:p>
            <w:pPr>
              <w:ind w:left="1260"/>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2" w:type="dxa"/>
            <w:textDirection w:val="lrTb"/>
            <w:noWrap w:val="false"/>
          </w:tcPr>
          <w:p>
            <w:pPr>
              <w:ind w:left="1260"/>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2" w:type="dxa"/>
            <w:textDirection w:val="lrTb"/>
            <w:noWrap w:val="false"/>
          </w:tcPr>
          <w:p>
            <w:pPr>
              <w:ind w:left="1260"/>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2" w:type="dxa"/>
            <w:textDirection w:val="lrTb"/>
            <w:noWrap w:val="false"/>
          </w:tcPr>
          <w:p>
            <w:pPr>
              <w:ind w:left="1260"/>
              <w:jc w:val="both"/>
              <w:spacing w:after="0" w:line="240" w:lineRule="auto"/>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2" w:type="dxa"/>
            <w:textDirection w:val="lrTb"/>
            <w:noWrap w:val="false"/>
          </w:tcPr>
          <w:p>
            <w:pPr>
              <w:ind w:left="126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bl>
    <w:p>
      <w:pPr>
        <w:jc w:val="both"/>
        <w:spacing w:after="0"/>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br w:type="page" w:clear="all"/>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5、法定代表人授权委托书 （如有）</w:t>
      </w:r>
      <w:r/>
    </w:p>
    <w:p>
      <w:pP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420"/>
        <w:jc w:val="cente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420"/>
        <w:jc w:val="cente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2"/>
          <w:highlight w:val="none"/>
          <w:lang w:eastAsia="zh-CN"/>
        </w:rPr>
        <w:t xml:space="preserve">授权委托书</w:t>
      </w:r>
      <w:r/>
    </w:p>
    <w:p>
      <w:pPr>
        <w:ind w:firstLine="420"/>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420"/>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420"/>
        <w:jc w:val="both"/>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本授权委托书声明：我</w:t>
      </w:r>
      <w:r>
        <w:rPr>
          <w:rFonts w:cs="宋体" w:asciiTheme="minorEastAsia" w:hAnsiTheme="minorEastAsia" w:eastAsiaTheme="minorEastAsia"/>
          <w:color w:val="auto"/>
          <w:sz w:val="24"/>
          <w:highlight w:val="none"/>
          <w:u w:val="single"/>
          <w:lang w:eastAsia="zh-CN"/>
        </w:rPr>
        <w:t xml:space="preserve">（姓名）</w:t>
      </w:r>
      <w:r>
        <w:rPr>
          <w:rFonts w:cs="宋体" w:asciiTheme="minorEastAsia" w:hAnsiTheme="minorEastAsia" w:eastAsiaTheme="minorEastAsia"/>
          <w:color w:val="auto"/>
          <w:sz w:val="24"/>
          <w:highlight w:val="none"/>
          <w:lang w:eastAsia="zh-CN"/>
        </w:rPr>
        <w:t xml:space="preserve">系</w:t>
      </w:r>
      <w:r>
        <w:rPr>
          <w:rFonts w:cs="宋体" w:asciiTheme="minorEastAsia" w:hAnsiTheme="minorEastAsia" w:eastAsiaTheme="minorEastAsia"/>
          <w:color w:val="auto"/>
          <w:sz w:val="24"/>
          <w:highlight w:val="none"/>
          <w:u w:val="single"/>
          <w:lang w:eastAsia="zh-CN"/>
        </w:rPr>
        <w:t xml:space="preserve">（投标单位名称）</w:t>
      </w:r>
      <w:r>
        <w:rPr>
          <w:rFonts w:cs="宋体" w:asciiTheme="minorEastAsia" w:hAnsiTheme="minorEastAsia" w:eastAsiaTheme="minorEastAsia"/>
          <w:color w:val="auto"/>
          <w:sz w:val="24"/>
          <w:highlight w:val="none"/>
          <w:lang w:eastAsia="zh-CN"/>
        </w:rPr>
        <w:t xml:space="preserve">的法定代表人，现授权委托</w:t>
      </w:r>
      <w:r>
        <w:rPr>
          <w:rFonts w:cs="宋体" w:asciiTheme="minorEastAsia" w:hAnsiTheme="minorEastAsia" w:eastAsiaTheme="minorEastAsia"/>
          <w:color w:val="auto"/>
          <w:sz w:val="24"/>
          <w:highlight w:val="none"/>
          <w:u w:val="single"/>
          <w:lang w:eastAsia="zh-CN"/>
        </w:rPr>
        <w:t xml:space="preserve">（单位名称）</w:t>
      </w:r>
      <w:r>
        <w:rPr>
          <w:rFonts w:cs="宋体" w:asciiTheme="minorEastAsia" w:hAnsiTheme="minorEastAsia" w:eastAsiaTheme="minorEastAsia"/>
          <w:color w:val="auto"/>
          <w:sz w:val="24"/>
          <w:highlight w:val="none"/>
          <w:lang w:eastAsia="zh-CN"/>
        </w:rPr>
        <w:t xml:space="preserve">的</w:t>
      </w:r>
      <w:r>
        <w:rPr>
          <w:rFonts w:cs="宋体" w:asciiTheme="minorEastAsia" w:hAnsiTheme="minorEastAsia" w:eastAsiaTheme="minorEastAsia"/>
          <w:color w:val="auto"/>
          <w:sz w:val="24"/>
          <w:highlight w:val="none"/>
          <w:u w:val="single"/>
          <w:lang w:eastAsia="zh-CN"/>
        </w:rPr>
        <w:t xml:space="preserve">（姓名）</w:t>
      </w:r>
      <w:r>
        <w:rPr>
          <w:rFonts w:cs="宋体" w:asciiTheme="minorEastAsia" w:hAnsiTheme="minorEastAsia" w:eastAsiaTheme="minorEastAsia"/>
          <w:color w:val="auto"/>
          <w:sz w:val="24"/>
          <w:highlight w:val="none"/>
          <w:lang w:eastAsia="zh-CN"/>
        </w:rPr>
        <w:t xml:space="preserve">为我公司代理人，以本公司的名义参加</w:t>
      </w:r>
      <w:r>
        <w:rPr>
          <w:rFonts w:cs="宋体" w:asciiTheme="minorEastAsia" w:hAnsiTheme="minorEastAsia" w:eastAsiaTheme="minorEastAsia"/>
          <w:b/>
          <w:color w:val="auto"/>
          <w:sz w:val="24"/>
          <w:highlight w:val="none"/>
          <w:u w:val="single"/>
          <w:lang w:eastAsia="zh-CN"/>
        </w:rPr>
        <w:t xml:space="preserve">苏州市公共资源交易中心太仓分中心</w:t>
      </w:r>
      <w:r>
        <w:rPr>
          <w:rFonts w:cs="宋体" w:asciiTheme="minorEastAsia" w:hAnsiTheme="minorEastAsia" w:eastAsiaTheme="minorEastAsia"/>
          <w:color w:val="auto"/>
          <w:sz w:val="24"/>
          <w:highlight w:val="none"/>
          <w:lang w:eastAsia="zh-CN"/>
        </w:rPr>
        <w:t xml:space="preserve">组织实施的编号为</w:t>
      </w:r>
      <w:r>
        <w:rPr>
          <w:rFonts w:hint="eastAsia" w:ascii="宋体" w:hAnsi="宋体" w:eastAsia="宋体" w:cs="宋体"/>
          <w:b/>
          <w:color w:val="auto"/>
          <w:sz w:val="24"/>
          <w:highlight w:val="none"/>
          <w:lang w:eastAsia="zh-CN"/>
        </w:rPr>
        <w:t xml:space="preserve"> </w:t>
      </w:r>
      <w:r>
        <w:rPr>
          <w:rFonts w:hint="eastAsia" w:ascii="宋体" w:hAnsi="宋体" w:eastAsia="宋体" w:cs="宋体"/>
          <w:b/>
          <w:color w:val="auto"/>
          <w:sz w:val="24"/>
          <w:szCs w:val="24"/>
          <w:highlight w:val="none"/>
          <w:u w:val="single"/>
          <w:lang w:eastAsia="zh-CN"/>
        </w:rPr>
        <w:t xml:space="preserve">JSZC-320585-JZCG-G2026-0073</w:t>
      </w:r>
      <w:r>
        <w:rPr>
          <w:rFonts w:cs="宋体" w:asciiTheme="minorEastAsia" w:hAnsiTheme="minorEastAsia" w:eastAsiaTheme="minorEastAsia"/>
          <w:color w:val="auto"/>
          <w:sz w:val="24"/>
          <w:highlight w:val="none"/>
          <w:lang w:eastAsia="zh-CN"/>
        </w:rPr>
        <w:t xml:space="preserve">号的招标活动。代理人在开标、评标、合同谈判过程中所签署的一切文件和处理与这有关的一切事务，我均予以承认。</w:t>
      </w:r>
      <w:r/>
    </w:p>
    <w:p>
      <w:pPr>
        <w:ind w:firstLine="420"/>
        <w:jc w:val="both"/>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代理人无转委托权。特此委托！</w:t>
      </w:r>
      <w:r/>
    </w:p>
    <w:p>
      <w:pPr>
        <w:ind w:firstLine="420"/>
        <w:jc w:val="both"/>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投标单位：（盖章）</w:t>
      </w:r>
      <w:r/>
    </w:p>
    <w:p>
      <w:pPr>
        <w:jc w:val="both"/>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法定代表人：（签字或盖章）</w:t>
      </w:r>
      <w:r/>
    </w:p>
    <w:p>
      <w:pPr>
        <w:jc w:val="both"/>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授权代理人：（签字或盖章）</w:t>
      </w:r>
      <w:r/>
    </w:p>
    <w:p>
      <w:pPr>
        <w:jc w:val="both"/>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投标日期：</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 年</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 月</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 日</w:t>
      </w:r>
      <w:r/>
    </w:p>
    <w:p>
      <w:pPr>
        <w:jc w:val="both"/>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br w:type="page" w:clear="all"/>
      </w:r>
      <w:r/>
    </w:p>
    <w:p>
      <w:pPr>
        <w:jc w:val="both"/>
        <w:spacing w:after="0" w:line="3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6、开标一览表</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1"/>
          <w:highlight w:val="none"/>
          <w:lang w:eastAsia="zh-CN"/>
        </w:rPr>
        <w:t xml:space="preserve"> </w:t>
      </w:r>
      <w:r/>
    </w:p>
    <w:p>
      <w:pPr>
        <w:jc w:val="cente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lang w:eastAsia="zh-CN"/>
        </w:rPr>
        <w:t xml:space="preserve"> </w:t>
      </w:r>
      <w:r/>
    </w:p>
    <w:p>
      <w:pPr>
        <w:jc w:val="cente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开标一览表</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720"/>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投标人全称（加盖公章）：供应商名称</w:t>
      </w:r>
      <w:r/>
    </w:p>
    <w:p>
      <w:pPr>
        <w:ind w:firstLine="720"/>
        <w:spacing w:after="0"/>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项目编号：</w:t>
      </w:r>
      <w:r>
        <w:rPr>
          <w:rFonts w:hint="eastAsia" w:ascii="宋体" w:hAnsi="宋体" w:eastAsia="宋体" w:cs="宋体"/>
          <w:b/>
          <w:color w:val="auto"/>
          <w:sz w:val="24"/>
          <w:szCs w:val="24"/>
          <w:highlight w:val="none"/>
          <w:lang w:eastAsia="zh-CN"/>
        </w:rPr>
        <w:t xml:space="preserve">JSZC-320585-JZCG-G2026-0073</w:t>
      </w:r>
      <w:r/>
    </w:p>
    <w:p>
      <w:pPr>
        <w:pStyle w:val="704"/>
        <w:rPr>
          <w:color w:val="auto"/>
          <w:highlight w:val="none"/>
          <w:lang w:eastAsia="zh-CN"/>
        </w:rPr>
      </w:pPr>
      <w:r>
        <w:rPr>
          <w:color w:val="auto"/>
          <w:highlight w:val="none"/>
          <w:lang w:eastAsia="zh-CN"/>
        </w:rPr>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82"/>
        <w:gridCol w:w="4695"/>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82" w:type="dxa"/>
            <w:vAlign w:val="center"/>
            <w:textDirection w:val="lrTb"/>
            <w:noWrap w:val="false"/>
          </w:tcPr>
          <w:p>
            <w:pPr>
              <w:jc w:val="center"/>
              <w:spacing w:after="0" w:line="36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95" w:type="dxa"/>
            <w:vAlign w:val="center"/>
            <w:textDirection w:val="lrTb"/>
            <w:noWrap w:val="false"/>
          </w:tcPr>
          <w:p>
            <w:pPr>
              <w:jc w:val="center"/>
              <w:spacing w:after="0" w:line="36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2" w:type="dxa"/>
            <w:vAlign w:val="center"/>
            <w:textDirection w:val="lrTb"/>
            <w:noWrap w:val="false"/>
          </w:tcPr>
          <w:p>
            <w:pPr>
              <w:jc w:val="center"/>
              <w:spacing w:after="0" w:line="360" w:lineRule="atLeast"/>
              <w:rPr>
                <w:rFonts w:asciiTheme="minorEastAsia" w:hAnsiTheme="minorEastAsia" w:eastAsiaTheme="minorEastAsia"/>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lang w:eastAsia="zh-CN"/>
              </w:rPr>
              <w:t xml:space="preserve">2026-2027年度保洁服务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5" w:type="dxa"/>
            <w:vAlign w:val="center"/>
            <w:textDirection w:val="lrTb"/>
            <w:noWrap w:val="false"/>
          </w:tcPr>
          <w:p>
            <w:pPr>
              <w:spacing w:after="0" w:line="36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2" w:type="dxa"/>
            <w:vAlign w:val="center"/>
            <w:textDirection w:val="lrTb"/>
            <w:noWrap w:val="false"/>
          </w:tcPr>
          <w:p>
            <w:pPr>
              <w:jc w:val="center"/>
              <w:spacing w:after="0" w:line="36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5" w:type="dxa"/>
            <w:vAlign w:val="center"/>
            <w:textDirection w:val="lrTb"/>
            <w:noWrap w:val="false"/>
          </w:tcPr>
          <w:p>
            <w:pPr>
              <w:spacing w:after="0" w:line="36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金额大写：</w:t>
            </w:r>
            <w:r/>
          </w:p>
        </w:tc>
      </w:tr>
    </w:tbl>
    <w:p>
      <w:pPr>
        <w:ind w:firstLine="723"/>
        <w:jc w:val="both"/>
        <w:spacing w:after="0"/>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rPr>
        <w:t xml:space="preserve"> </w:t>
      </w:r>
      <w:r/>
    </w:p>
    <w:p>
      <w:pPr>
        <w:ind w:firstLine="3360"/>
        <w:jc w:val="both"/>
        <w:spacing w:after="0" w:line="46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日期：</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rPr>
        <w:t xml:space="preserve">年</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rPr>
        <w:t xml:space="preserve">月</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rPr>
        <w:t xml:space="preserve">日</w:t>
      </w:r>
      <w:r/>
    </w:p>
    <w:p>
      <w:pPr>
        <w:jc w:val="both"/>
        <w:spacing w:after="0" w:line="46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rPr>
        <w:t xml:space="preserve"> </w:t>
      </w:r>
      <w:r/>
    </w:p>
    <w:p>
      <w:pPr>
        <w:jc w:val="both"/>
        <w:spacing w:after="0"/>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br w:type="page" w:clear="all"/>
      </w:r>
      <w:r/>
    </w:p>
    <w:p>
      <w:pPr>
        <w:jc w:val="both"/>
        <w:spacing w:after="0"/>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rPr>
        <w:t xml:space="preserve">7、投标报价明细表</w:t>
      </w:r>
      <w:r/>
    </w:p>
    <w:p>
      <w:pPr>
        <w:ind w:firstLine="3012"/>
        <w:jc w:val="both"/>
        <w:spacing w:after="0"/>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0"/>
          <w:highlight w:val="none"/>
        </w:rPr>
        <w:t xml:space="preserve"> </w:t>
      </w:r>
      <w:r/>
    </w:p>
    <w:p>
      <w:pPr>
        <w:ind w:firstLine="2811"/>
        <w:jc w:val="both"/>
        <w:spacing w:after="0"/>
        <w:rPr>
          <w:rFonts w:cs="宋体" w:asciiTheme="minorEastAsia" w:hAnsiTheme="minorEastAsia" w:eastAsiaTheme="minorEastAsia"/>
          <w:b/>
          <w:color w:val="auto"/>
          <w:sz w:val="28"/>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rPr>
        <w:t xml:space="preserve">（一）投标报价明细表</w:t>
      </w:r>
      <w:r/>
    </w:p>
    <w:p>
      <w:pPr>
        <w:ind w:firstLine="2811"/>
        <w:jc w:val="both"/>
        <w:spacing w:after="0"/>
        <w:rPr>
          <w:rFonts w:cs="宋体" w:asciiTheme="minorEastAsia" w:hAnsiTheme="minorEastAsia" w:eastAsiaTheme="minorEastAsia"/>
          <w:b/>
          <w:color w:val="auto"/>
          <w:sz w:val="28"/>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rPr>
      </w:r>
      <w:r/>
    </w:p>
    <w:tbl>
      <w:tblPr>
        <w:tblStyle w:val="703"/>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2179"/>
        <w:gridCol w:w="1106"/>
        <w:gridCol w:w="1252"/>
        <w:gridCol w:w="1058"/>
        <w:gridCol w:w="1724"/>
        <w:gridCol w:w="881"/>
      </w:tblGrid>
      <w:tr>
        <w:trPr>
          <w:jc w:val="center"/>
          <w:trHeight w:val="843"/>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pStyle w:val="938"/>
              <w:jc w:val="center"/>
              <w:spacing w:line="5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179" w:type="dxa"/>
            <w:vAlign w:val="center"/>
            <w:textDirection w:val="lrTb"/>
            <w:noWrap w:val="false"/>
          </w:tcPr>
          <w:p>
            <w:pPr>
              <w:pStyle w:val="938"/>
              <w:jc w:val="center"/>
              <w:spacing w:line="5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分项名称</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pStyle w:val="938"/>
              <w:jc w:val="center"/>
              <w:spacing w:line="5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数量</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pStyle w:val="938"/>
              <w:jc w:val="center"/>
              <w:spacing w:line="5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单位</w:t>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pStyle w:val="938"/>
              <w:jc w:val="center"/>
              <w:spacing w:line="5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单价</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pStyle w:val="938"/>
              <w:jc w:val="center"/>
              <w:spacing w:line="5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pStyle w:val="938"/>
              <w:jc w:val="center"/>
              <w:spacing w:line="50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pStyle w:val="938"/>
              <w:jc w:val="center"/>
              <w:spacing w:line="5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2179" w:type="dxa"/>
            <w:vAlign w:val="center"/>
            <w:textDirection w:val="lrTb"/>
            <w:noWrap w:val="false"/>
          </w:tcPr>
          <w:p>
            <w:pPr>
              <w:pStyle w:val="938"/>
              <w:spacing w:line="500" w:lineRule="exact"/>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pStyle w:val="93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pStyle w:val="93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pStyle w:val="93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24" w:type="dxa"/>
            <w:textDirection w:val="lrTb"/>
            <w:noWrap w:val="false"/>
          </w:tcPr>
          <w:p>
            <w:pPr>
              <w:pStyle w:val="93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pStyle w:val="93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pStyle w:val="938"/>
              <w:jc w:val="center"/>
              <w:spacing w:line="5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2179" w:type="dxa"/>
            <w:vAlign w:val="center"/>
            <w:textDirection w:val="lrTb"/>
            <w:noWrap w:val="false"/>
          </w:tcPr>
          <w:p>
            <w:pPr>
              <w:pStyle w:val="93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pStyle w:val="93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pStyle w:val="93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pStyle w:val="93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24" w:type="dxa"/>
            <w:textDirection w:val="lrTb"/>
            <w:noWrap w:val="false"/>
          </w:tcPr>
          <w:p>
            <w:pPr>
              <w:pStyle w:val="93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pStyle w:val="93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pStyle w:val="938"/>
              <w:jc w:val="center"/>
              <w:spacing w:line="5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2179" w:type="dxa"/>
            <w:vAlign w:val="center"/>
            <w:textDirection w:val="lrTb"/>
            <w:noWrap w:val="false"/>
          </w:tcPr>
          <w:p>
            <w:pPr>
              <w:pStyle w:val="93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pStyle w:val="93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pStyle w:val="93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pStyle w:val="93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24" w:type="dxa"/>
            <w:textDirection w:val="lrTb"/>
            <w:noWrap w:val="false"/>
          </w:tcPr>
          <w:p>
            <w:pPr>
              <w:pStyle w:val="93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pStyle w:val="93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pStyle w:val="938"/>
              <w:jc w:val="center"/>
              <w:spacing w:line="5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2179" w:type="dxa"/>
            <w:vAlign w:val="center"/>
            <w:textDirection w:val="lrTb"/>
            <w:noWrap w:val="false"/>
          </w:tcPr>
          <w:p>
            <w:pPr>
              <w:pStyle w:val="938"/>
              <w:spacing w:line="50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pStyle w:val="93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pStyle w:val="93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pStyle w:val="93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724" w:type="dxa"/>
            <w:textDirection w:val="lrTb"/>
            <w:noWrap w:val="false"/>
          </w:tcPr>
          <w:p>
            <w:pPr>
              <w:pStyle w:val="93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pStyle w:val="93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tc>
      </w:tr>
      <w:tr>
        <w:trPr>
          <w:jc w:val="center"/>
          <w:trHeight w:val="480"/>
        </w:trPr>
        <w:tc>
          <w:tcPr>
            <w:gridSpan w:val="2"/>
            <w:tcBorders>
              <w:top w:val="single" w:color="auto" w:sz="6" w:space="0"/>
              <w:left w:val="single" w:color="auto" w:sz="6" w:space="0"/>
              <w:bottom w:val="single" w:color="auto" w:sz="6" w:space="0"/>
              <w:right w:val="single" w:color="auto" w:sz="6" w:space="0"/>
            </w:tcBorders>
            <w:tcW w:w="2884" w:type="dxa"/>
            <w:vAlign w:val="center"/>
            <w:textDirection w:val="lrTb"/>
            <w:noWrap w:val="false"/>
          </w:tcPr>
          <w:p>
            <w:pPr>
              <w:pStyle w:val="938"/>
              <w:jc w:val="center"/>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投标总报价</w:t>
            </w:r>
            <w:r/>
          </w:p>
        </w:tc>
        <w:tc>
          <w:tcPr>
            <w:gridSpan w:val="5"/>
            <w:tcBorders>
              <w:top w:val="single" w:color="auto" w:sz="6" w:space="0"/>
              <w:left w:val="single" w:color="auto" w:sz="6" w:space="0"/>
              <w:bottom w:val="single" w:color="auto" w:sz="6" w:space="0"/>
              <w:right w:val="single" w:color="auto" w:sz="4" w:space="0"/>
            </w:tcBorders>
            <w:tcW w:w="6021" w:type="dxa"/>
            <w:vAlign w:val="center"/>
            <w:textDirection w:val="lrTb"/>
            <w:noWrap w:val="false"/>
          </w:tcPr>
          <w:p>
            <w:pPr>
              <w:pStyle w:val="938"/>
              <w:spacing w:line="5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大写</w:t>
            </w:r>
            <w:r>
              <w:rPr>
                <w:rFonts w:hint="eastAsia" w:asciiTheme="minorEastAsia" w:hAnsiTheme="minorEastAsia" w:eastAsiaTheme="minorEastAsia"/>
                <w:color w:val="auto"/>
                <w:sz w:val="24"/>
                <w:szCs w:val="24"/>
                <w:highlight w:val="none"/>
              </w:rPr>
              <w:t xml:space="preserve">：        </w:t>
            </w:r>
            <w:r>
              <w:rPr>
                <w:rFonts w:asciiTheme="minorEastAsia" w:hAnsiTheme="minorEastAsia" w:eastAsiaTheme="minorEastAsia"/>
                <w:color w:val="auto"/>
                <w:sz w:val="24"/>
                <w:szCs w:val="24"/>
                <w:highlight w:val="none"/>
              </w:rPr>
              <w:t xml:space="preserve">元</w:t>
            </w:r>
            <w:r>
              <w:rPr>
                <w:rFonts w:hint="eastAsia" w:asciiTheme="minorEastAsia" w:hAnsiTheme="minorEastAsia" w:eastAsiaTheme="minorEastAsia"/>
                <w:color w:val="auto"/>
                <w:sz w:val="24"/>
                <w:szCs w:val="24"/>
                <w:highlight w:val="none"/>
              </w:rPr>
              <w:t xml:space="preserve">；            小写：    元</w:t>
            </w:r>
            <w:r/>
          </w:p>
        </w:tc>
      </w:tr>
    </w:tbl>
    <w:p>
      <w:pPr>
        <w:ind w:firstLine="2811"/>
        <w:jc w:val="both"/>
        <w:spacing w:after="0"/>
        <w:rPr>
          <w:rFonts w:cs="宋体" w:asciiTheme="minorEastAsia" w:hAnsiTheme="minorEastAsia" w:eastAsiaTheme="minorEastAsia"/>
          <w:b/>
          <w:color w:val="auto"/>
          <w:sz w:val="28"/>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rPr>
      </w:r>
      <w:r/>
    </w:p>
    <w:p>
      <w:pPr>
        <w:ind w:firstLine="2811"/>
        <w:jc w:val="both"/>
        <w:spacing w:after="0"/>
        <w:rPr>
          <w:rFonts w:cs="宋体" w:asciiTheme="minorEastAsia" w:hAnsiTheme="minorEastAsia" w:eastAsiaTheme="minorEastAsia"/>
          <w:b/>
          <w:color w:val="auto"/>
          <w:sz w:val="28"/>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rPr>
      </w:r>
      <w:r/>
    </w:p>
    <w:p>
      <w:pPr>
        <w:ind w:firstLine="2811"/>
        <w:jc w:val="both"/>
        <w:spacing w:after="0"/>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rPr>
      </w:r>
      <w:r/>
    </w:p>
    <w:p>
      <w:pPr>
        <w:jc w:val="both"/>
        <w:spacing w:after="0"/>
        <w:rPr>
          <w:rFonts w:cs="宋体" w:asciiTheme="minorEastAsia" w:hAnsiTheme="minorEastAsia" w:eastAsiaTheme="minorEastAsia"/>
          <w:b/>
          <w:color w:val="auto"/>
          <w:sz w:val="30"/>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0"/>
          <w:highlight w:val="none"/>
          <w:lang w:eastAsia="zh-CN"/>
        </w:rPr>
        <w:t xml:space="preserve"> </w:t>
      </w:r>
      <w:r/>
    </w:p>
    <w:p>
      <w:pPr>
        <w:jc w:val="both"/>
        <w:spacing w:after="0" w:line="49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注：1、本表报价的合计金额应与开标一览表报价一致</w:t>
      </w:r>
      <w:r/>
    </w:p>
    <w:p>
      <w:pPr>
        <w:ind w:firstLine="574"/>
        <w:jc w:val="both"/>
        <w:spacing w:after="0" w:line="312"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2、报价中的人员工资、人员社保</w:t>
      </w:r>
      <w:r>
        <w:rPr>
          <w:rFonts w:hint="eastAsia" w:cs="宋体" w:asciiTheme="minorEastAsia" w:hAnsiTheme="minorEastAsia" w:eastAsiaTheme="minorEastAsia"/>
          <w:color w:val="auto"/>
          <w:sz w:val="24"/>
          <w:highlight w:val="none"/>
          <w:lang w:eastAsia="zh-CN"/>
        </w:rPr>
        <w:t xml:space="preserve">及</w:t>
      </w:r>
      <w:r>
        <w:rPr>
          <w:rFonts w:cs="宋体" w:asciiTheme="minorEastAsia" w:hAnsiTheme="minorEastAsia" w:eastAsiaTheme="minorEastAsia"/>
          <w:color w:val="auto"/>
          <w:sz w:val="24"/>
          <w:highlight w:val="none"/>
          <w:lang w:eastAsia="zh-CN"/>
        </w:rPr>
        <w:t xml:space="preserve">其他费用符合法律规定，报价必须含税。</w:t>
      </w:r>
      <w:r/>
    </w:p>
    <w:p>
      <w:pPr>
        <w:jc w:val="both"/>
        <w:spacing w:after="0" w:line="460"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r>
      <w:r/>
    </w:p>
    <w:p>
      <w:pPr>
        <w:jc w:val="both"/>
        <w:spacing w:after="0" w:line="460"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r>
      <w:r/>
    </w:p>
    <w:p>
      <w:pPr>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投标单位：（单位盖章）</w:t>
      </w:r>
      <w:r/>
    </w:p>
    <w:p>
      <w:pPr>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法定代表人或授权代理人（签字或盖章）</w:t>
      </w:r>
      <w:r/>
    </w:p>
    <w:p>
      <w:pPr>
        <w:spacing w:after="0" w:line="49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投标日期：</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年</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月</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日</w:t>
      </w:r>
      <w:r/>
    </w:p>
    <w:p>
      <w:pPr>
        <w:spacing w:after="0" w:line="49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r>
      <w:r/>
    </w:p>
    <w:p>
      <w:pPr>
        <w:ind w:firstLine="3012"/>
        <w:jc w:val="both"/>
        <w:spacing w:after="0"/>
        <w:rPr>
          <w:rFonts w:cs="宋体" w:asciiTheme="minorEastAsia" w:hAnsiTheme="minorEastAsia" w:eastAsiaTheme="minorEastAsia"/>
          <w:b/>
          <w:color w:val="auto"/>
          <w:sz w:val="30"/>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0"/>
          <w:highlight w:val="none"/>
          <w:lang w:eastAsia="zh-CN"/>
        </w:rPr>
      </w:r>
      <w:r/>
    </w:p>
    <w:p>
      <w:pPr>
        <w:ind w:firstLine="3012"/>
        <w:jc w:val="both"/>
        <w:spacing w:after="0"/>
        <w:rPr>
          <w:rFonts w:cs="宋体" w:asciiTheme="minorEastAsia" w:hAnsiTheme="minorEastAsia" w:eastAsiaTheme="minorEastAsia"/>
          <w:b/>
          <w:color w:val="auto"/>
          <w:sz w:val="30"/>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0"/>
          <w:highlight w:val="none"/>
          <w:lang w:eastAsia="zh-CN"/>
        </w:rPr>
      </w:r>
      <w:r/>
    </w:p>
    <w:p>
      <w:pPr>
        <w:ind w:firstLine="3012"/>
        <w:jc w:val="both"/>
        <w:spacing w:after="0"/>
        <w:rPr>
          <w:rFonts w:cs="宋体" w:asciiTheme="minorEastAsia" w:hAnsiTheme="minorEastAsia" w:eastAsiaTheme="minorEastAsia"/>
          <w:b/>
          <w:color w:val="auto"/>
          <w:sz w:val="30"/>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0"/>
          <w:highlight w:val="none"/>
          <w:lang w:eastAsia="zh-CN"/>
        </w:rPr>
      </w:r>
      <w:r/>
    </w:p>
    <w:p>
      <w:pPr>
        <w:ind w:firstLine="3012"/>
        <w:jc w:val="both"/>
        <w:spacing w:after="0"/>
        <w:rPr>
          <w:rFonts w:cs="宋体" w:asciiTheme="minorEastAsia" w:hAnsiTheme="minorEastAsia" w:eastAsiaTheme="minorEastAsia"/>
          <w:b/>
          <w:color w:val="auto"/>
          <w:sz w:val="30"/>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0"/>
          <w:highlight w:val="none"/>
          <w:lang w:eastAsia="zh-CN"/>
        </w:rPr>
      </w:r>
      <w:r/>
    </w:p>
    <w:p>
      <w:pPr>
        <w:ind w:firstLine="3012"/>
        <w:jc w:val="both"/>
        <w:spacing w:after="0"/>
        <w:rPr>
          <w:rFonts w:cs="宋体" w:asciiTheme="minorEastAsia" w:hAnsiTheme="minorEastAsia" w:eastAsiaTheme="minorEastAsia"/>
          <w:b/>
          <w:color w:val="auto"/>
          <w:sz w:val="30"/>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0"/>
          <w:highlight w:val="none"/>
          <w:lang w:eastAsia="zh-CN"/>
        </w:rPr>
      </w:r>
      <w:r/>
    </w:p>
    <w:p>
      <w:pPr>
        <w:ind w:firstLine="3012"/>
        <w:jc w:val="both"/>
        <w:spacing w:after="0"/>
        <w:rPr>
          <w:rFonts w:cs="宋体" w:asciiTheme="minorEastAsia" w:hAnsiTheme="minorEastAsia" w:eastAsiaTheme="minorEastAsia"/>
          <w:b/>
          <w:color w:val="auto"/>
          <w:sz w:val="30"/>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0"/>
          <w:highlight w:val="none"/>
          <w:lang w:eastAsia="zh-CN"/>
        </w:rPr>
      </w:r>
      <w:r/>
    </w:p>
    <w:p>
      <w:pPr>
        <w:ind w:firstLine="3012"/>
        <w:jc w:val="both"/>
        <w:spacing w:after="0"/>
        <w:rPr>
          <w:rFonts w:cs="宋体" w:asciiTheme="minorEastAsia" w:hAnsiTheme="minorEastAsia" w:eastAsiaTheme="minorEastAsia"/>
          <w:b/>
          <w:color w:val="auto"/>
          <w:sz w:val="30"/>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0"/>
          <w:highlight w:val="none"/>
          <w:lang w:eastAsia="zh-CN"/>
        </w:rPr>
      </w:r>
      <w:r/>
    </w:p>
    <w:p>
      <w:pPr>
        <w:ind w:firstLine="3012"/>
        <w:jc w:val="both"/>
        <w:spacing w:after="0"/>
        <w:rPr>
          <w:rFonts w:cs="宋体" w:asciiTheme="minorEastAsia" w:hAnsiTheme="minorEastAsia" w:eastAsiaTheme="minorEastAsia"/>
          <w:b/>
          <w:color w:val="auto"/>
          <w:sz w:val="30"/>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0"/>
          <w:highlight w:val="none"/>
          <w:lang w:eastAsia="zh-CN"/>
        </w:rPr>
      </w:r>
      <w:r/>
    </w:p>
    <w:p>
      <w:pPr>
        <w:ind w:firstLine="3012"/>
        <w:jc w:val="both"/>
        <w:spacing w:after="0"/>
        <w:rPr>
          <w:rFonts w:cs="宋体" w:asciiTheme="minorEastAsia" w:hAnsiTheme="minorEastAsia" w:eastAsiaTheme="minorEastAsia"/>
          <w:b/>
          <w:color w:val="auto"/>
          <w:sz w:val="30"/>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0"/>
          <w:highlight w:val="none"/>
          <w:lang w:eastAsia="zh-CN"/>
        </w:rPr>
      </w:r>
      <w:r/>
    </w:p>
    <w:p>
      <w:pPr>
        <w:ind w:firstLine="3012"/>
        <w:jc w:val="both"/>
        <w:spacing w:after="0"/>
        <w:rPr>
          <w:rFonts w:cs="宋体" w:asciiTheme="minorEastAsia" w:hAnsiTheme="minorEastAsia" w:eastAsiaTheme="minorEastAsia"/>
          <w:b/>
          <w:color w:val="auto"/>
          <w:sz w:val="30"/>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0"/>
          <w:highlight w:val="none"/>
          <w:lang w:eastAsia="zh-CN"/>
        </w:rPr>
      </w:r>
      <w:r/>
    </w:p>
    <w:p>
      <w:pPr>
        <w:ind w:firstLine="1200"/>
        <w:rPr>
          <w:rFonts w:asciiTheme="minorEastAsia" w:hAnsiTheme="minorEastAsia" w:eastAsiaTheme="minorEastAsia"/>
          <w:b/>
          <w:bCs/>
          <w:color w:val="auto"/>
          <w:sz w:val="24"/>
          <w:szCs w:val="24"/>
          <w:highlight w:val="none"/>
          <w:lang w:eastAsia="zh-CN"/>
        </w:rPr>
      </w:pPr>
      <w:r>
        <w:rPr>
          <w:rFonts w:cs="宋体" w:asciiTheme="minorEastAsia" w:hAnsiTheme="minorEastAsia" w:eastAsiaTheme="minorEastAsia"/>
          <w:color w:val="auto"/>
          <w:sz w:val="24"/>
          <w:highlight w:val="none"/>
          <w:lang w:eastAsia="zh-CN"/>
        </w:rPr>
        <w:t xml:space="preserve"> </w:t>
      </w:r>
      <w:r>
        <w:rPr>
          <w:rFonts w:hint="eastAsia" w:asciiTheme="minorEastAsia" w:hAnsiTheme="minorEastAsia" w:eastAsiaTheme="minorEastAsia"/>
          <w:b/>
          <w:color w:val="auto"/>
          <w:sz w:val="30"/>
          <w:szCs w:val="30"/>
          <w:highlight w:val="none"/>
          <w:lang w:eastAsia="zh-CN"/>
        </w:rPr>
        <w:t xml:space="preserve">（二）投标报价合理性说明（如有）</w:t>
      </w:r>
      <w:r/>
    </w:p>
    <w:p>
      <w:pPr>
        <w:spacing w:line="420" w:lineRule="exact"/>
        <w:rPr>
          <w:rFonts w:ascii="宋体" w:hAnsi="宋体"/>
          <w:b/>
          <w:color w:val="auto"/>
          <w:sz w:val="24"/>
          <w:szCs w:val="24"/>
          <w:highlight w:val="none"/>
          <w:lang w:eastAsia="zh-CN"/>
        </w:rPr>
      </w:pPr>
      <w:r>
        <w:rPr>
          <w:rFonts w:ascii="宋体" w:hAnsi="宋体"/>
          <w:b/>
          <w:color w:val="auto"/>
          <w:sz w:val="24"/>
          <w:szCs w:val="24"/>
          <w:highlight w:val="none"/>
          <w:lang w:eastAsia="zh-CN"/>
        </w:rPr>
      </w:r>
      <w:r/>
    </w:p>
    <w:p>
      <w:pPr>
        <w:ind w:firstLine="482"/>
        <w:keepLines w:val="0"/>
        <w:keepNext w:val="0"/>
        <w:pageBreakBefore w:val="0"/>
        <w:spacing w:after="0" w:line="480" w:lineRule="exact"/>
        <w:widowControl/>
        <w:rPr>
          <w:rFonts w:cs="宋体" w:asciiTheme="minorEastAsia" w:hAnsiTheme="minorEastAsia" w:eastAsiaTheme="minorEastAsia"/>
          <w:b/>
          <w:sz w:val="24"/>
          <w:highlight w:val="none"/>
          <w:lang w:eastAsia="zh-CN"/>
        </w:rPr>
      </w:pPr>
      <w:r>
        <w:rPr>
          <w:rFonts w:hint="eastAsia" w:cs="宋体" w:asciiTheme="minorEastAsia" w:hAnsiTheme="minorEastAsia" w:eastAsiaTheme="minorEastAsia"/>
          <w:b/>
          <w:sz w:val="24"/>
          <w:highlight w:val="none"/>
          <w:lang w:eastAsia="zh-CN"/>
        </w:rPr>
        <w:t xml:space="preserve">注：根据</w:t>
      </w:r>
      <w:r>
        <w:rPr>
          <w:rFonts w:hint="eastAsia" w:cs="微软雅黑" w:asciiTheme="minorEastAsia" w:hAnsiTheme="minorEastAsia" w:eastAsiaTheme="minorEastAsia"/>
          <w:b/>
          <w:sz w:val="24"/>
          <w:szCs w:val="24"/>
          <w:highlight w:val="none"/>
          <w:lang w:eastAsia="zh-CN"/>
        </w:rPr>
        <w:t xml:space="preserve">财政部《关于推动解决政府采购异常低价问题的通知》（财库〔</w:t>
      </w:r>
      <w:r>
        <w:rPr>
          <w:rFonts w:asciiTheme="minorEastAsia" w:hAnsiTheme="minorEastAsia" w:eastAsiaTheme="minorEastAsia"/>
          <w:b/>
          <w:sz w:val="24"/>
          <w:szCs w:val="24"/>
          <w:highlight w:val="none"/>
          <w:lang w:eastAsia="zh-CN"/>
        </w:rPr>
        <w:t xml:space="preserve">2026</w:t>
      </w:r>
      <w:r>
        <w:rPr>
          <w:rFonts w:hint="eastAsia" w:cs="微软雅黑" w:asciiTheme="minorEastAsia" w:hAnsiTheme="minorEastAsia" w:eastAsiaTheme="minorEastAsia"/>
          <w:b/>
          <w:sz w:val="24"/>
          <w:szCs w:val="24"/>
          <w:highlight w:val="none"/>
          <w:lang w:eastAsia="zh-CN"/>
        </w:rPr>
        <w:t xml:space="preserve">〕</w:t>
      </w:r>
      <w:r>
        <w:rPr>
          <w:rFonts w:hint="eastAsia" w:asciiTheme="minorEastAsia" w:hAnsiTheme="minorEastAsia" w:eastAsiaTheme="minorEastAsia"/>
          <w:b/>
          <w:sz w:val="24"/>
          <w:szCs w:val="24"/>
          <w:highlight w:val="none"/>
          <w:lang w:eastAsia="zh-CN"/>
        </w:rPr>
        <w:t xml:space="preserve">2号</w:t>
      </w:r>
      <w:r>
        <w:rPr>
          <w:rFonts w:hint="eastAsia" w:cs="微软雅黑" w:asciiTheme="minorEastAsia" w:hAnsiTheme="minorEastAsia" w:eastAsiaTheme="minorEastAsia"/>
          <w:b/>
          <w:sz w:val="24"/>
          <w:szCs w:val="24"/>
          <w:highlight w:val="none"/>
          <w:lang w:eastAsia="zh-CN"/>
        </w:rPr>
        <w:t xml:space="preserve">）</w:t>
      </w:r>
      <w:r>
        <w:rPr>
          <w:rFonts w:hint="eastAsia" w:cs="宋体" w:asciiTheme="minorEastAsia" w:hAnsiTheme="minorEastAsia" w:eastAsiaTheme="minorEastAsia"/>
          <w:b/>
          <w:sz w:val="24"/>
          <w:highlight w:val="none"/>
          <w:lang w:eastAsia="zh-CN"/>
        </w:rPr>
        <w:t xml:space="preserve"> ，若投标人的投标（响应）报价满足以下任一条件：</w:t>
      </w:r>
      <w:r/>
    </w:p>
    <w:p>
      <w:pPr>
        <w:ind w:firstLine="482"/>
        <w:keepLines w:val="0"/>
        <w:keepNext w:val="0"/>
        <w:pageBreakBefore w:val="0"/>
        <w:spacing w:after="0" w:line="480" w:lineRule="exact"/>
        <w:widowControl/>
        <w:rPr>
          <w:rFonts w:cs="宋体" w:asciiTheme="minorEastAsia" w:hAnsiTheme="minorEastAsia" w:eastAsiaTheme="minorEastAsia"/>
          <w:b/>
          <w:sz w:val="24"/>
          <w:highlight w:val="none"/>
          <w:lang w:eastAsia="zh-CN"/>
        </w:rPr>
      </w:pPr>
      <w:r>
        <w:rPr>
          <w:rFonts w:hint="eastAsia" w:cs="宋体" w:asciiTheme="minorEastAsia" w:hAnsiTheme="minorEastAsia" w:eastAsiaTheme="minorEastAsia"/>
          <w:b/>
          <w:sz w:val="24"/>
          <w:highlight w:val="none"/>
          <w:lang w:eastAsia="zh-CN"/>
        </w:rPr>
        <w:t xml:space="preserve">1）</w:t>
      </w:r>
      <w:r>
        <w:rPr>
          <w:rFonts w:cs="宋体" w:asciiTheme="minorEastAsia" w:hAnsiTheme="minorEastAsia" w:eastAsiaTheme="minorEastAsia"/>
          <w:b/>
          <w:bCs/>
          <w:sz w:val="24"/>
          <w:highlight w:val="none"/>
          <w:lang w:eastAsia="zh-CN"/>
        </w:rPr>
        <w:t xml:space="preserve">投标（响应）报价低于全部通过符合性审查供应商投标（响应）报价平均值50%的，即投标（响应）报价&lt;全部通过符合性审查供应商投标（响应）报价平均值×50%；</w:t>
      </w:r>
      <w:r/>
    </w:p>
    <w:p>
      <w:pPr>
        <w:ind w:firstLine="482"/>
        <w:keepLines w:val="0"/>
        <w:keepNext w:val="0"/>
        <w:pageBreakBefore w:val="0"/>
        <w:spacing w:after="0" w:line="480" w:lineRule="exact"/>
        <w:widowControl/>
        <w:rPr>
          <w:rFonts w:cs="宋体" w:asciiTheme="minorEastAsia" w:hAnsiTheme="minorEastAsia" w:eastAsiaTheme="minorEastAsia"/>
          <w:b/>
          <w:sz w:val="24"/>
          <w:highlight w:val="none"/>
          <w:lang w:eastAsia="zh-CN"/>
        </w:rPr>
      </w:pPr>
      <w:r>
        <w:rPr>
          <w:rFonts w:hint="eastAsia" w:cs="宋体" w:asciiTheme="minorEastAsia" w:hAnsiTheme="minorEastAsia" w:eastAsiaTheme="minorEastAsia"/>
          <w:b/>
          <w:sz w:val="24"/>
          <w:highlight w:val="none"/>
          <w:lang w:eastAsia="zh-CN"/>
        </w:rPr>
        <w:t xml:space="preserve">2）</w:t>
      </w:r>
      <w:r>
        <w:rPr>
          <w:rFonts w:cs="宋体" w:asciiTheme="minorEastAsia" w:hAnsiTheme="minorEastAsia" w:eastAsiaTheme="minorEastAsia"/>
          <w:b/>
          <w:bCs/>
          <w:sz w:val="24"/>
          <w:highlight w:val="none"/>
          <w:lang w:eastAsia="zh-CN"/>
        </w:rPr>
        <w:t xml:space="preserve">投标（响应）报价低于通过符合性审查的次低报价供应商投标（响应）报价50%的，即投标（响应）报价&lt;通过符合性审查的次低报价供应商投标（响应）报价×50%</w:t>
      </w:r>
      <w:r>
        <w:rPr>
          <w:rFonts w:hint="eastAsia" w:cs="宋体" w:asciiTheme="minorEastAsia" w:hAnsiTheme="minorEastAsia" w:eastAsiaTheme="minorEastAsia"/>
          <w:b/>
          <w:sz w:val="24"/>
          <w:highlight w:val="none"/>
          <w:lang w:eastAsia="zh-CN"/>
        </w:rPr>
        <w:t xml:space="preserve">；</w:t>
      </w:r>
      <w:r/>
    </w:p>
    <w:p>
      <w:pPr>
        <w:ind w:firstLine="482"/>
        <w:keepLines w:val="0"/>
        <w:keepNext w:val="0"/>
        <w:pageBreakBefore w:val="0"/>
        <w:spacing w:after="0" w:line="480" w:lineRule="exact"/>
        <w:widowControl/>
        <w:rPr>
          <w:rFonts w:cs="宋体" w:asciiTheme="minorEastAsia" w:hAnsiTheme="minorEastAsia" w:eastAsiaTheme="minorEastAsia"/>
          <w:b/>
          <w:bCs/>
          <w:sz w:val="24"/>
          <w:highlight w:val="none"/>
          <w:lang w:eastAsia="zh-CN"/>
        </w:rPr>
      </w:pPr>
      <w:r>
        <w:rPr>
          <w:rFonts w:hint="eastAsia" w:cs="宋体" w:asciiTheme="minorEastAsia" w:hAnsiTheme="minorEastAsia" w:eastAsiaTheme="minorEastAsia"/>
          <w:b/>
          <w:bCs/>
          <w:sz w:val="24"/>
          <w:highlight w:val="none"/>
          <w:lang w:eastAsia="zh-CN"/>
        </w:rPr>
        <w:t xml:space="preserve">3）</w:t>
      </w:r>
      <w:r>
        <w:rPr>
          <w:rFonts w:cs="宋体" w:asciiTheme="minorEastAsia" w:hAnsiTheme="minorEastAsia" w:eastAsiaTheme="minorEastAsia"/>
          <w:b/>
          <w:bCs/>
          <w:sz w:val="24"/>
          <w:highlight w:val="none"/>
          <w:lang w:eastAsia="zh-CN"/>
        </w:rPr>
        <w:t xml:space="preserve">投标（响应）报价低于采购项目最高限价45%的，即投标（响应）报价&lt;采购项目最高限价×45%；</w:t>
      </w:r>
      <w:r>
        <w:rPr>
          <w:rFonts w:cs="宋体" w:asciiTheme="minorEastAsia" w:hAnsiTheme="minorEastAsia" w:eastAsiaTheme="minorEastAsia"/>
          <w:b/>
          <w:bCs/>
          <w:sz w:val="24"/>
          <w:highlight w:val="none"/>
          <w:lang w:eastAsia="zh-CN"/>
        </w:rPr>
        <w:br/>
      </w:r>
      <w:r>
        <w:rPr>
          <w:rFonts w:hint="eastAsia" w:cs="宋体" w:asciiTheme="minorEastAsia" w:hAnsiTheme="minorEastAsia" w:eastAsiaTheme="minorEastAsia"/>
          <w:b/>
          <w:bCs/>
          <w:sz w:val="24"/>
          <w:highlight w:val="none"/>
          <w:lang w:eastAsia="zh-CN"/>
        </w:rPr>
        <w:t xml:space="preserve">    4）</w:t>
      </w:r>
      <w:r>
        <w:rPr>
          <w:rFonts w:cs="宋体" w:asciiTheme="minorEastAsia" w:hAnsiTheme="minorEastAsia" w:eastAsiaTheme="minorEastAsia"/>
          <w:b/>
          <w:bCs/>
          <w:sz w:val="24"/>
          <w:highlight w:val="none"/>
          <w:lang w:eastAsia="zh-CN"/>
        </w:rPr>
        <w:t xml:space="preserve">评审委员会基于专业判断，认为供应商报价过低，有可能影响产品质量或者不能诚信履约的其他情形。</w:t>
      </w:r>
      <w:r>
        <w:rPr>
          <w:rFonts w:cs="宋体" w:asciiTheme="minorEastAsia" w:hAnsiTheme="minorEastAsia" w:eastAsiaTheme="minorEastAsia"/>
          <w:b/>
          <w:bCs/>
          <w:sz w:val="24"/>
          <w:highlight w:val="none"/>
          <w:lang w:eastAsia="zh-CN"/>
        </w:rPr>
        <w:br/>
      </w:r>
      <w:r>
        <w:rPr>
          <w:rFonts w:hint="eastAsia" w:cs="宋体" w:asciiTheme="minorEastAsia" w:hAnsiTheme="minorEastAsia" w:eastAsiaTheme="minorEastAsia"/>
          <w:b/>
          <w:bCs/>
          <w:sz w:val="24"/>
          <w:highlight w:val="none"/>
          <w:lang w:eastAsia="zh-CN"/>
        </w:rPr>
        <w:t xml:space="preserve">    </w:t>
      </w:r>
      <w:r>
        <w:rPr>
          <w:rFonts w:cs="宋体" w:asciiTheme="minorEastAsia" w:hAnsiTheme="minorEastAsia" w:eastAsiaTheme="minorEastAsia"/>
          <w:b/>
          <w:bCs/>
          <w:sz w:val="24"/>
          <w:highlight w:val="none"/>
          <w:lang w:eastAsia="zh-CN"/>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spacing w:line="500" w:lineRule="exact"/>
        <w:rPr>
          <w:rFonts w:cs="宋体" w:asciiTheme="minorEastAsia" w:hAnsiTheme="minorEastAsia" w:eastAsiaTheme="minorEastAsia"/>
          <w:b/>
          <w:bCs/>
          <w:sz w:val="24"/>
          <w:highlight w:val="none"/>
          <w:lang w:eastAsia="zh-CN"/>
        </w:rPr>
      </w:pPr>
      <w:r>
        <w:rPr>
          <w:rFonts w:cs="宋体" w:asciiTheme="minorEastAsia" w:hAnsiTheme="minorEastAsia" w:eastAsiaTheme="minorEastAsia"/>
          <w:b/>
          <w:bCs/>
          <w:sz w:val="24"/>
          <w:highlight w:val="none"/>
          <w:lang w:eastAsia="zh-CN"/>
        </w:rPr>
      </w:r>
      <w:r/>
    </w:p>
    <w:p>
      <w:pPr>
        <w:spacing w:line="500" w:lineRule="exact"/>
        <w:rPr>
          <w:rFonts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lang w:eastAsia="zh-CN"/>
        </w:rPr>
        <w:t xml:space="preserve">投标单位：（公章）</w:t>
      </w:r>
      <w:r/>
    </w:p>
    <w:p>
      <w:pPr>
        <w:spacing w:line="500" w:lineRule="exact"/>
        <w:rPr>
          <w:rFonts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lang w:eastAsia="zh-CN"/>
        </w:rPr>
        <w:t xml:space="preserve">法定代表人或委托代理人（签字或盖章）： </w:t>
      </w:r>
      <w:r/>
    </w:p>
    <w:p>
      <w:pPr>
        <w:pStyle w:val="728"/>
        <w:ind w:firstLine="0"/>
        <w:rPr>
          <w:rFonts w:asciiTheme="minorEastAsia" w:hAnsiTheme="minorEastAsia" w:eastAsiaTheme="minorEastAsia"/>
          <w:sz w:val="24"/>
          <w:highlight w:val="none"/>
          <w:lang w:eastAsia="zh-CN"/>
        </w:rPr>
      </w:pPr>
      <w:r>
        <w:rPr>
          <w:rFonts w:hint="eastAsia" w:asciiTheme="minorEastAsia" w:hAnsiTheme="minorEastAsia" w:eastAsiaTheme="minorEastAsia"/>
          <w:sz w:val="24"/>
          <w:highlight w:val="none"/>
          <w:lang w:eastAsia="zh-CN"/>
        </w:rPr>
        <w:t xml:space="preserve">日期：      年     月     日</w:t>
      </w:r>
      <w:r/>
    </w:p>
    <w:p>
      <w:pPr>
        <w:pStyle w:val="728"/>
        <w:ind w:firstLine="0"/>
        <w:rPr>
          <w:rFonts w:asciiTheme="minorEastAsia" w:hAnsiTheme="minorEastAsia" w:eastAsiaTheme="minorEastAsia"/>
          <w:color w:val="auto"/>
          <w:sz w:val="24"/>
          <w:highlight w:val="none"/>
          <w:lang w:eastAsia="zh-CN"/>
        </w:rPr>
      </w:pPr>
      <w:r>
        <w:rPr>
          <w:rFonts w:asciiTheme="minorEastAsia" w:hAnsiTheme="minorEastAsia" w:eastAsiaTheme="minorEastAsia"/>
          <w:color w:val="auto"/>
          <w:sz w:val="24"/>
          <w:highlight w:val="none"/>
          <w:lang w:eastAsia="zh-CN"/>
        </w:rPr>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br w:type="page" w:clear="all"/>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8、服务要求偏离表</w:t>
      </w:r>
      <w:r/>
    </w:p>
    <w:p>
      <w:pPr>
        <w:ind w:firstLine="3012"/>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0"/>
          <w:highlight w:val="none"/>
        </w:rPr>
        <w:t xml:space="preserve">服务要求偏离表</w:t>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6"/>
        <w:gridCol w:w="1721"/>
        <w:gridCol w:w="2153"/>
        <w:gridCol w:w="1581"/>
        <w:gridCol w:w="1384"/>
      </w:tblGrid>
      <w:tr>
        <w:trPr>
          <w:trHeight w:val="9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6" w:type="dxa"/>
            <w:vAlign w:val="center"/>
            <w:textDirection w:val="lrTb"/>
            <w:noWrap w:val="false"/>
          </w:tcPr>
          <w:p>
            <w:pPr>
              <w:jc w:val="center"/>
              <w:spacing w:after="0" w:line="419"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spacing w:after="0" w:line="419"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after="0" w:line="419"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招标文件</w:t>
            </w:r>
            <w:r/>
          </w:p>
          <w:p>
            <w:pPr>
              <w:jc w:val="center"/>
              <w:spacing w:after="0" w:line="419"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服务要求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jc w:val="center"/>
              <w:spacing w:after="0" w:line="419"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投标文件</w:t>
            </w:r>
            <w:r/>
          </w:p>
          <w:p>
            <w:pPr>
              <w:jc w:val="center"/>
              <w:spacing w:after="0" w:line="419"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响应要求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after="0" w:line="419"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偏离情况</w:t>
            </w:r>
            <w:r/>
          </w:p>
        </w:tc>
      </w:tr>
      <w:tr>
        <w:trPr>
          <w:trHeight w:val="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 w:type="dxa"/>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jc w:val="center"/>
              <w:spacing w:after="0" w:line="40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bl>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pacing w:val="20"/>
          <w:sz w:val="30"/>
          <w:highlight w:val="none"/>
        </w:rPr>
        <w:t xml:space="preserve"> </w:t>
      </w:r>
      <w:r/>
    </w:p>
    <w:p>
      <w:pPr>
        <w:jc w:val="both"/>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注：1.投标人应在本表中对照招标文件技术要求与实际投标技术要求逐项对应列出，并在“偏离说明”项下填写以下内容：优于的，填写“正偏离”；符合的，填写“无偏离”；低于的，填写“负偏离”。</w:t>
      </w:r>
      <w:r/>
    </w:p>
    <w:p>
      <w:pPr>
        <w:ind w:firstLine="480"/>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2.若事项较多，投标人可根据响应内容的实际情况另纸说明。</w:t>
      </w:r>
      <w:r/>
    </w:p>
    <w:p>
      <w:pPr>
        <w:ind w:firstLine="480"/>
        <w:spacing w:after="0" w:line="50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line="500"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r>
      <w:r/>
    </w:p>
    <w:p>
      <w:pPr>
        <w:jc w:val="both"/>
        <w:spacing w:after="0" w:line="50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bookmarkStart w:id="35" w:name="OLE_LINK25"/>
      <w:r/>
      <w:bookmarkStart w:id="36" w:name="OLE_LINK26"/>
      <w:r>
        <w:rPr>
          <w:rFonts w:cs="宋体" w:asciiTheme="minorEastAsia" w:hAnsiTheme="minorEastAsia" w:eastAsiaTheme="minorEastAsia"/>
          <w:color w:val="auto"/>
          <w:sz w:val="24"/>
          <w:highlight w:val="none"/>
          <w:lang w:eastAsia="zh-CN"/>
        </w:rPr>
        <w:t xml:space="preserve">投标单位：（单位盖章）</w:t>
      </w:r>
      <w:r/>
    </w:p>
    <w:p>
      <w:pPr>
        <w:jc w:val="both"/>
        <w:spacing w:after="0" w:line="50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法定代表人或授权代理人（签字或盖章）</w:t>
      </w:r>
      <w:r/>
    </w:p>
    <w:p>
      <w:pPr>
        <w:spacing w:after="0" w:line="50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投标日期：</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年</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月</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日</w:t>
      </w:r>
      <w:bookmarkEnd w:id="35"/>
      <w:r/>
      <w:bookmarkEnd w:id="36"/>
      <w:r/>
      <w:r/>
    </w:p>
    <w:p>
      <w:pPr>
        <w:jc w:val="both"/>
        <w:spacing w:after="0" w:line="50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cs="宋体" w:asciiTheme="minorEastAsia" w:hAnsiTheme="minorEastAsia" w:eastAsia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jc w:val="both"/>
        <w:spacing w:after="0"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9、商务偏离表</w:t>
      </w:r>
      <w:r/>
    </w:p>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pacing w:val="20"/>
          <w:sz w:val="32"/>
          <w:highlight w:val="none"/>
        </w:rPr>
        <w:t xml:space="preserve">商务条款偏离表</w:t>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856"/>
        <w:gridCol w:w="1669"/>
        <w:gridCol w:w="1531"/>
        <w:gridCol w:w="1336"/>
        <w:gridCol w:w="863"/>
      </w:tblGrid>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投标文件的商务条款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备注</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bl>
    <w:p>
      <w:pPr>
        <w:ind w:firstLine="482"/>
        <w:jc w:val="both"/>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rPr>
        <w:t xml:space="preserve"> </w:t>
      </w:r>
      <w:r/>
    </w:p>
    <w:p>
      <w:pPr>
        <w:jc w:val="both"/>
        <w:spacing w:after="0" w:line="50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注：1.供应商应在本表中把招标文件商务要求与实际投标商务要求逐项对应列出，并在“偏离说明”项下填写以下内容：优于的，填写“正偏离”；符合的，填写“无偏离”；低于的，填写“负偏离”。</w:t>
      </w:r>
      <w:r/>
    </w:p>
    <w:p>
      <w:pPr>
        <w:jc w:val="both"/>
        <w:spacing w:after="0" w:line="50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2.若事项较多，投标人可根据响应内容的实际情况另纸说明。</w:t>
      </w:r>
      <w:r/>
    </w:p>
    <w:p>
      <w:pPr>
        <w:ind w:firstLine="480"/>
        <w:spacing w:after="0" w:line="50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line="500"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r>
      <w:r/>
    </w:p>
    <w:p>
      <w:pPr>
        <w:jc w:val="both"/>
        <w:spacing w:after="0" w:line="50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投标单位：（单位盖章）</w:t>
      </w:r>
      <w:r/>
    </w:p>
    <w:p>
      <w:pPr>
        <w:jc w:val="both"/>
        <w:spacing w:after="0" w:line="50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法定代表人或授权代理人（签字或盖章）</w:t>
      </w:r>
      <w:r/>
    </w:p>
    <w:p>
      <w:pPr>
        <w:jc w:val="both"/>
        <w:spacing w:after="0" w:line="50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投标日期：</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年</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月</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日</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cs="宋体" w:asciiTheme="minorEastAsia" w:hAnsiTheme="minorEastAsia" w:eastAsia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10、项目技术方案及服务方案</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480"/>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投标人根据项目需求编写针对本项目的技术方案及服务方案</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11、项目实施方案及进度方案</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480"/>
        <w:jc w:val="both"/>
        <w:spacing w:after="0"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投标人根据项目需求编写针对本项目的实施方案及进度方案</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12、项目质量保证措施及承诺</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480"/>
        <w:jc w:val="both"/>
        <w:spacing w:after="0"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投标人根据项目需求编写针对本项目的质量保证措施及承诺</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spacing w:before="240" w:after="240"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spacing w:before="240" w:after="240"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spacing w:before="240" w:after="240"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13、项目售后服务方案</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投标人根据项目需求编写针对本项目的售后服务方案</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cs="Times New Roman" w:asciiTheme="minorEastAsia" w:hAnsiTheme="minorEastAsia" w:eastAsiaTheme="minorEastAsia"/>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1"/>
          <w:szCs w:val="21"/>
          <w:highlight w:val="none"/>
          <w:lang w:eastAsia="zh-CN"/>
        </w:rPr>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rPr>
          <w:rFonts w:cs="宋体" w:asciiTheme="minorEastAsia" w:hAnsiTheme="minorEastAsia" w:eastAsiaTheme="minorEastAsia"/>
          <w:b/>
          <w:color w:val="auto"/>
          <w:sz w:val="32"/>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r>
      <w:r/>
    </w:p>
    <w:p>
      <w:pPr>
        <w:jc w:val="both"/>
        <w:spacing w:after="0"/>
        <w:rPr>
          <w:rFonts w:cs="宋体" w:asciiTheme="minorEastAsia" w:hAnsiTheme="minorEastAsia" w:eastAsiaTheme="minorEastAsia"/>
          <w:b/>
          <w:color w:val="auto"/>
          <w:sz w:val="32"/>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auto"/>
          <w:sz w:val="32"/>
          <w:highlight w:val="none"/>
          <w:lang w:eastAsia="zh-CN"/>
        </w:rPr>
        <w:t xml:space="preserve">14</w:t>
      </w:r>
      <w:r>
        <w:rPr>
          <w:rFonts w:cs="宋体" w:asciiTheme="minorEastAsia" w:hAnsiTheme="minorEastAsia" w:eastAsiaTheme="minorEastAsia"/>
          <w:b/>
          <w:color w:val="auto"/>
          <w:sz w:val="32"/>
          <w:highlight w:val="none"/>
          <w:lang w:eastAsia="zh-CN"/>
        </w:rPr>
        <w:t xml:space="preserve">、企业类似业绩一览表</w:t>
      </w:r>
      <w:r/>
    </w:p>
    <w:p>
      <w:pPr>
        <w:jc w:val="center"/>
        <w:spacing w:after="0"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t xml:space="preserve"> </w:t>
      </w:r>
      <w:r/>
    </w:p>
    <w:p>
      <w:pPr>
        <w:jc w:val="center"/>
        <w:spacing w:after="0"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t xml:space="preserve">企业类似业绩一览表</w:t>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1752"/>
        <w:gridCol w:w="1134"/>
        <w:gridCol w:w="1418"/>
        <w:gridCol w:w="1417"/>
        <w:gridCol w:w="113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合同金额</w:t>
            </w:r>
            <w:r/>
          </w:p>
          <w:p>
            <w:pPr>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after="0" w:line="85"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 </w:t>
            </w:r>
            <w:r/>
          </w:p>
        </w:tc>
      </w:tr>
    </w:tbl>
    <w:p>
      <w:pPr>
        <w:ind w:firstLine="24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附：按照招标文件要求及评分标准提供相应证明材料</w:t>
      </w:r>
      <w:r/>
    </w:p>
    <w:p>
      <w:pPr>
        <w:ind w:firstLine="480"/>
        <w:jc w:val="both"/>
        <w:spacing w:after="0" w:line="49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r>
      <w:r/>
    </w:p>
    <w:p>
      <w:pPr>
        <w:ind w:firstLine="480"/>
        <w:jc w:val="both"/>
        <w:spacing w:after="0" w:line="499"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r>
      <w:r/>
    </w:p>
    <w:p>
      <w:pPr>
        <w:jc w:val="both"/>
        <w:spacing w:after="0" w:line="500"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r>
      <w:r/>
    </w:p>
    <w:p>
      <w:pPr>
        <w:jc w:val="both"/>
        <w:spacing w:after="0" w:line="50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投标单位：（单位盖章）</w:t>
      </w:r>
      <w:r/>
    </w:p>
    <w:p>
      <w:pPr>
        <w:jc w:val="both"/>
        <w:spacing w:after="0" w:line="50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法定代表人或授权代理人（签字或盖章）</w:t>
      </w:r>
      <w:r/>
    </w:p>
    <w:p>
      <w:pPr>
        <w:jc w:val="both"/>
        <w:spacing w:after="0" w:line="49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投标日期：</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年</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月</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日</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br w:type="page" w:clear="all"/>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1</w:t>
      </w:r>
      <w:r>
        <w:rPr>
          <w:rFonts w:hint="eastAsia" w:cs="宋体" w:asciiTheme="minorEastAsia" w:hAnsiTheme="minorEastAsia" w:eastAsiaTheme="minorEastAsia"/>
          <w:b/>
          <w:color w:val="auto"/>
          <w:sz w:val="32"/>
          <w:highlight w:val="none"/>
          <w:lang w:eastAsia="zh-CN"/>
        </w:rPr>
        <w:t xml:space="preserve">5</w:t>
      </w:r>
      <w:r>
        <w:rPr>
          <w:rFonts w:cs="宋体" w:asciiTheme="minorEastAsia" w:hAnsiTheme="minorEastAsia" w:eastAsiaTheme="minorEastAsia"/>
          <w:b/>
          <w:color w:val="auto"/>
          <w:sz w:val="32"/>
          <w:highlight w:val="none"/>
          <w:lang w:eastAsia="zh-CN"/>
        </w:rPr>
        <w:t xml:space="preserve">、拟投入本项目的专业技术（服务）人员情况一览表</w:t>
      </w:r>
      <w:r/>
    </w:p>
    <w:p>
      <w:pPr>
        <w:ind w:firstLine="1043"/>
        <w:spacing w:before="240" w:after="24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t xml:space="preserve">拟投入本项目的专业技术（服务）人员情况一览表</w:t>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26"/>
        <w:gridCol w:w="1126"/>
        <w:gridCol w:w="943"/>
        <w:gridCol w:w="710"/>
        <w:gridCol w:w="1002"/>
        <w:gridCol w:w="1595"/>
        <w:gridCol w:w="880"/>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1"/>
                <w:highlight w:val="none"/>
              </w:rPr>
              <w:t xml:space="preserve">岗位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1"/>
                <w:highlight w:val="none"/>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1"/>
                <w:highlight w:val="none"/>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1"/>
                <w:highlight w:val="none"/>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1"/>
                <w:highlight w:val="none"/>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1"/>
                <w:highlight w:val="none"/>
              </w:rPr>
              <w:t xml:space="preserve">专业技术职称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211"/>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1"/>
                <w:highlight w:val="none"/>
              </w:rPr>
              <w:t xml:space="preserve">备注</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both"/>
              <w:spacing w:after="0" w:line="240" w:lineRule="auto"/>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1"/>
                <w:highlight w:val="none"/>
              </w:rPr>
              <w:t xml:space="preserve"> </w:t>
            </w:r>
            <w:r/>
          </w:p>
        </w:tc>
      </w:tr>
    </w:tbl>
    <w:p>
      <w:pPr>
        <w:spacing w:after="0" w:line="41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附：1、按照招标文件要求提供相应资质证明材料。</w:t>
      </w:r>
      <w:r/>
    </w:p>
    <w:p>
      <w:pPr>
        <w:jc w:val="both"/>
        <w:spacing w:after="0" w:line="41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574"/>
        <w:jc w:val="both"/>
        <w:spacing w:after="0" w:line="312"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8"/>
          <w:highlight w:val="none"/>
          <w:lang w:eastAsia="zh-CN"/>
        </w:rPr>
        <w:t xml:space="preserve"> </w:t>
      </w:r>
      <w:r/>
    </w:p>
    <w:p>
      <w:pPr>
        <w:ind w:firstLine="574"/>
        <w:jc w:val="both"/>
        <w:spacing w:after="0" w:line="312"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8"/>
          <w:highlight w:val="none"/>
          <w:lang w:eastAsia="zh-CN"/>
        </w:rPr>
        <w:t xml:space="preserve"> </w:t>
      </w:r>
      <w:r/>
    </w:p>
    <w:p>
      <w:pPr>
        <w:jc w:val="both"/>
        <w:spacing w:after="0" w:line="50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投标单位：（单位盖章）</w:t>
      </w:r>
      <w:r/>
    </w:p>
    <w:p>
      <w:pPr>
        <w:jc w:val="both"/>
        <w:spacing w:after="0" w:line="50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法定代表人或授权代理人（签字或盖章）</w:t>
      </w:r>
      <w:r/>
    </w:p>
    <w:p>
      <w:pPr>
        <w:jc w:val="both"/>
        <w:spacing w:after="0" w:line="49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投标日期：</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年</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月</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日</w:t>
      </w:r>
      <w:r/>
    </w:p>
    <w:p>
      <w:pPr>
        <w:ind w:firstLine="574"/>
        <w:jc w:val="both"/>
        <w:spacing w:after="0" w:line="312"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8"/>
          <w:highlight w:val="none"/>
          <w:lang w:eastAsia="zh-CN"/>
        </w:rPr>
        <w:t xml:space="preserve"> </w:t>
      </w:r>
      <w:r/>
    </w:p>
    <w:p>
      <w:pPr>
        <w:jc w:val="both"/>
        <w:spacing w:after="0" w:line="85" w:lineRule="atLeast"/>
        <w:rPr>
          <w:rFonts w:cs="宋体" w:asciiTheme="minorEastAsia" w:hAnsiTheme="minorEastAsia" w:eastAsia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auto"/>
          <w:sz w:val="28"/>
          <w:szCs w:val="28"/>
          <w:highlight w:val="none"/>
          <w:lang w:eastAsia="zh-CN"/>
        </w:rPr>
      </w:r>
      <w:r/>
    </w:p>
    <w:p>
      <w:pPr>
        <w:jc w:val="both"/>
        <w:spacing w:after="0" w:line="85" w:lineRule="atLeast"/>
        <w:rPr>
          <w:rFonts w:cs="宋体" w:asciiTheme="minorEastAsia" w:hAnsiTheme="minorEastAsia" w:eastAsiaTheme="minorEastAsia"/>
          <w:b/>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r>
      <w:r/>
    </w:p>
    <w:p>
      <w:pPr>
        <w:jc w:val="both"/>
        <w:spacing w:after="0"/>
        <w:rPr>
          <w:rFonts w:cs="微软雅黑" w:asciiTheme="minorEastAsia" w:hAnsiTheme="minorEastAsia" w:eastAsiaTheme="minorEastAsia"/>
          <w:b/>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16、</w:t>
      </w:r>
      <w:r>
        <w:rPr>
          <w:rFonts w:hint="eastAsia" w:cs="微软雅黑" w:asciiTheme="minorEastAsia" w:hAnsiTheme="minorEastAsia" w:eastAsiaTheme="minorEastAsia"/>
          <w:b/>
          <w:color w:val="auto"/>
          <w:sz w:val="32"/>
          <w:szCs w:val="32"/>
          <w:highlight w:val="none"/>
          <w:lang w:eastAsia="zh-CN"/>
        </w:rPr>
        <w:t xml:space="preserve">拟投入本项目的设备设施明细表</w:t>
      </w:r>
      <w:r/>
    </w:p>
    <w:p>
      <w:pPr>
        <w:jc w:val="center"/>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jc w:val="center"/>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t xml:space="preserve">投入本项目的设备情况一览表</w:t>
      </w:r>
      <w:r/>
    </w:p>
    <w:p>
      <w:pPr>
        <w:pStyle w:val="704"/>
        <w:rPr>
          <w:color w:val="auto"/>
          <w:highlight w:val="none"/>
          <w:lang w:eastAsia="zh-CN"/>
        </w:rPr>
      </w:pPr>
      <w:r>
        <w:rPr>
          <w:color w:val="auto"/>
          <w:highlight w:val="none"/>
          <w:lang w:eastAsia="zh-CN"/>
        </w:rPr>
      </w:r>
      <w:r/>
    </w:p>
    <w:tbl>
      <w:tblPr>
        <w:tblStyle w:val="703"/>
        <w:tblW w:w="93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60"/>
        <w:gridCol w:w="1313"/>
        <w:gridCol w:w="1428"/>
        <w:gridCol w:w="888"/>
        <w:gridCol w:w="804"/>
        <w:gridCol w:w="1488"/>
        <w:gridCol w:w="1440"/>
      </w:tblGrid>
      <w:tr>
        <w:trPr>
          <w:cantSplit/>
          <w:trHeight w:val="450"/>
        </w:trPr>
        <w:tc>
          <w:tcPr>
            <w:tcW w:w="704"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序号</w:t>
            </w:r>
            <w:r/>
          </w:p>
        </w:tc>
        <w:tc>
          <w:tcPr>
            <w:tcW w:w="1260"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设备名称</w:t>
            </w:r>
            <w:r/>
          </w:p>
        </w:tc>
        <w:tc>
          <w:tcPr>
            <w:tcW w:w="1313"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品牌规格</w:t>
            </w:r>
            <w:r/>
          </w:p>
        </w:tc>
        <w:tc>
          <w:tcPr>
            <w:tcW w:w="1428"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生产厂家</w:t>
            </w:r>
            <w:r/>
          </w:p>
        </w:tc>
        <w:tc>
          <w:tcPr>
            <w:tcW w:w="888"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单位</w:t>
            </w:r>
            <w:r/>
          </w:p>
        </w:tc>
        <w:tc>
          <w:tcPr>
            <w:tcW w:w="804"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数量</w:t>
            </w:r>
            <w:r/>
          </w:p>
        </w:tc>
        <w:tc>
          <w:tcPr>
            <w:tcW w:w="1488" w:type="dxa"/>
            <w:textDirection w:val="lrTb"/>
            <w:noWrap w:val="false"/>
          </w:tcPr>
          <w:p>
            <w:pPr>
              <w:jc w:val="center"/>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自有/租赁</w:t>
            </w:r>
            <w:r/>
          </w:p>
        </w:tc>
        <w:tc>
          <w:tcPr>
            <w:tcW w:w="1440"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备注</w:t>
            </w:r>
            <w:r/>
          </w:p>
        </w:tc>
      </w:tr>
      <w:tr>
        <w:trPr>
          <w:cantSplit/>
          <w:trHeight w:val="450"/>
        </w:trPr>
        <w:tc>
          <w:tcPr>
            <w:tcW w:w="704"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60"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13"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28"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88"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4"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88" w:type="dxa"/>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0"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450"/>
        </w:trPr>
        <w:tc>
          <w:tcPr>
            <w:tcW w:w="704"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60"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13"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28"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88"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4"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88" w:type="dxa"/>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0"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450"/>
        </w:trPr>
        <w:tc>
          <w:tcPr>
            <w:tcW w:w="704"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60"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13"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28"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88"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4"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88" w:type="dxa"/>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0"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450"/>
        </w:trPr>
        <w:tc>
          <w:tcPr>
            <w:tcW w:w="704"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60"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13"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28"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88"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4"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88" w:type="dxa"/>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0"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450"/>
        </w:trPr>
        <w:tc>
          <w:tcPr>
            <w:tcW w:w="704"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60"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13"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28"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88"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4"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88" w:type="dxa"/>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0"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450"/>
        </w:trPr>
        <w:tc>
          <w:tcPr>
            <w:tcW w:w="704"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60"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13"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28"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88"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4"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88" w:type="dxa"/>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0"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450"/>
        </w:trPr>
        <w:tc>
          <w:tcPr>
            <w:tcW w:w="704"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60"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13"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28"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88"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4"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88" w:type="dxa"/>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0"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450"/>
        </w:trPr>
        <w:tc>
          <w:tcPr>
            <w:tcW w:w="704"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260"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13"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28"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88"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804"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88" w:type="dxa"/>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0" w:type="dxa"/>
            <w:vAlign w:val="center"/>
            <w:textDirection w:val="lrTb"/>
            <w:noWrap w:val="false"/>
          </w:tcPr>
          <w:p>
            <w:pPr>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spacing w:after="0" w:line="480" w:lineRule="exact"/>
        <w:rPr>
          <w:rFonts w:ascii="宋体" w:hAnsi="宋体" w:eastAsia="宋体" w:cs="Times New Roman"/>
          <w:b/>
          <w:bCs/>
          <w:color w:val="auto"/>
          <w:sz w:val="24"/>
          <w:szCs w:val="24"/>
          <w:highlight w:val="none"/>
        </w:rPr>
      </w:pPr>
      <w:r>
        <w:rPr>
          <w:rFonts w:ascii="宋体" w:hAnsi="宋体" w:eastAsia="宋体" w:cs="Times New Roman"/>
          <w:b/>
          <w:bCs/>
          <w:color w:val="auto"/>
          <w:sz w:val="24"/>
          <w:szCs w:val="24"/>
          <w:highlight w:val="none"/>
        </w:rPr>
      </w:r>
      <w:r/>
    </w:p>
    <w:p>
      <w:pPr>
        <w:spacing w:after="0" w:line="480" w:lineRule="exact"/>
        <w:rPr>
          <w:rFonts w:ascii="宋体" w:hAnsi="宋体" w:eastAsia="宋体" w:cs="Times New Roman"/>
          <w:b/>
          <w:bCs/>
          <w:color w:val="auto"/>
          <w:sz w:val="24"/>
          <w:szCs w:val="24"/>
          <w:highlight w:val="none"/>
          <w:lang w:eastAsia="zh-CN"/>
        </w:rPr>
      </w:pPr>
      <w:r>
        <w:rPr>
          <w:rFonts w:ascii="宋体" w:hAnsi="宋体" w:eastAsia="宋体" w:cs="Times New Roman"/>
          <w:b/>
          <w:bCs/>
          <w:color w:val="auto"/>
          <w:sz w:val="24"/>
          <w:szCs w:val="24"/>
          <w:highlight w:val="none"/>
          <w:lang w:eastAsia="zh-CN"/>
        </w:rPr>
        <w:t xml:space="preserve">注：1、按照招标文件要求，提供投标单位应投入的设备；</w:t>
      </w:r>
      <w:r/>
    </w:p>
    <w:p>
      <w:pPr>
        <w:ind w:firstLine="480"/>
        <w:spacing w:after="0" w:line="480" w:lineRule="exact"/>
        <w:rPr>
          <w:rFonts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2、提供投入设备清单或提供承诺函。</w:t>
      </w:r>
      <w:r/>
    </w:p>
    <w:p>
      <w:pPr>
        <w:ind w:firstLine="480"/>
        <w:spacing w:after="0" w:line="480" w:lineRule="exact"/>
        <w:rPr>
          <w:rFonts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2.1 提供投入设备清单的，设备清单内容包含：设备名称、设备品牌规格、生产厂家、设备数量，提供设备照片，以及提供设备发票复印件，租赁的还须提供租赁合同；</w:t>
      </w:r>
      <w:r/>
    </w:p>
    <w:p>
      <w:pPr>
        <w:ind w:firstLine="480"/>
        <w:spacing w:after="0" w:line="480" w:lineRule="exact"/>
        <w:rPr>
          <w:rFonts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2.2投标单位可以提供设备承诺函，承诺设备要求不低于以上清单，并在中标合同签订前设备必须到位，设备承诺函格式自拟并加盖投标单位公章。</w:t>
      </w:r>
      <w:r/>
    </w:p>
    <w:p>
      <w:pPr>
        <w:ind w:firstLine="480"/>
        <w:spacing w:after="0" w:line="480" w:lineRule="exact"/>
        <w:rPr>
          <w:rFonts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3、未按</w:t>
      </w:r>
      <w:r>
        <w:rPr>
          <w:rFonts w:ascii="宋体" w:hAnsi="宋体" w:eastAsia="宋体" w:cs="Times New Roman"/>
          <w:b/>
          <w:bCs/>
          <w:color w:val="auto"/>
          <w:sz w:val="24"/>
          <w:szCs w:val="24"/>
          <w:highlight w:val="none"/>
          <w:lang w:eastAsia="zh-CN"/>
        </w:rPr>
        <w:t xml:space="preserve">招标文件要求提供的，则视为不实质性响应。</w:t>
      </w:r>
      <w:r/>
    </w:p>
    <w:p>
      <w:pPr>
        <w:spacing w:line="499" w:lineRule="atLeast"/>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spacing w:line="499" w:lineRule="atLeast"/>
        <w:rPr>
          <w:rFonts w:ascii="Calibri" w:hAnsi="Calibri" w:eastAsia="宋体"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投标单位（单位盖章）： </w:t>
      </w:r>
      <w:r/>
    </w:p>
    <w:p>
      <w:pPr>
        <w:spacing w:line="499" w:lineRule="atLeast"/>
        <w:rPr>
          <w:rFonts w:ascii="Calibri" w:hAnsi="Calibri" w:eastAsia="宋体"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法定代表人或代理人（签字或盖章）</w:t>
      </w:r>
      <w:r/>
    </w:p>
    <w:p>
      <w:pPr>
        <w:spacing w:line="499" w:lineRule="atLeast"/>
        <w:rPr>
          <w:rFonts w:ascii="Calibri" w:hAnsi="Calibri" w:eastAsia="宋体"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投标日期：</w:t>
      </w:r>
      <w:r>
        <w:rPr>
          <w:rFonts w:hint="eastAsia" w:ascii="宋体" w:hAnsi="宋体" w:eastAsia="宋体" w:cs="宋体"/>
          <w:color w:val="auto"/>
          <w:sz w:val="24"/>
          <w:highlight w:val="none"/>
          <w:lang w:eastAsia="zh-CN"/>
        </w:rPr>
        <w:t xml:space="preserve">    </w:t>
      </w:r>
      <w:r>
        <w:rPr>
          <w:rFonts w:ascii="宋体" w:hAnsi="宋体" w:eastAsia="宋体" w:cs="宋体"/>
          <w:color w:val="auto"/>
          <w:sz w:val="24"/>
          <w:highlight w:val="none"/>
          <w:lang w:eastAsia="zh-CN"/>
        </w:rPr>
        <w:t xml:space="preserve">年</w:t>
      </w:r>
      <w:r>
        <w:rPr>
          <w:rFonts w:hint="eastAsia" w:ascii="宋体" w:hAnsi="宋体" w:eastAsia="宋体" w:cs="宋体"/>
          <w:color w:val="auto"/>
          <w:sz w:val="24"/>
          <w:highlight w:val="none"/>
          <w:lang w:eastAsia="zh-CN"/>
        </w:rPr>
        <w:t xml:space="preserve">    </w:t>
      </w:r>
      <w:r>
        <w:rPr>
          <w:rFonts w:ascii="宋体" w:hAnsi="宋体" w:eastAsia="宋体" w:cs="宋体"/>
          <w:color w:val="auto"/>
          <w:sz w:val="24"/>
          <w:highlight w:val="none"/>
          <w:lang w:eastAsia="zh-CN"/>
        </w:rPr>
        <w:t xml:space="preserve">月</w:t>
      </w:r>
      <w:r>
        <w:rPr>
          <w:rFonts w:hint="eastAsia" w:ascii="宋体" w:hAnsi="宋体" w:eastAsia="宋体" w:cs="宋体"/>
          <w:color w:val="auto"/>
          <w:sz w:val="24"/>
          <w:highlight w:val="none"/>
          <w:lang w:eastAsia="zh-CN"/>
        </w:rPr>
        <w:t xml:space="preserve">    </w:t>
      </w:r>
      <w:r>
        <w:rPr>
          <w:rFonts w:ascii="宋体" w:hAnsi="宋体" w:eastAsia="宋体" w:cs="宋体"/>
          <w:color w:val="auto"/>
          <w:sz w:val="24"/>
          <w:highlight w:val="none"/>
          <w:lang w:eastAsia="zh-CN"/>
        </w:rPr>
        <w:t xml:space="preserve">日</w:t>
      </w:r>
      <w:r/>
    </w:p>
    <w:p>
      <w:pPr>
        <w:jc w:val="both"/>
        <w:spacing w:after="0" w:line="85" w:lineRule="atLeast"/>
        <w:rPr>
          <w:rFonts w:cs="宋体" w:asciiTheme="minorEastAsia" w:hAnsiTheme="minorEastAsia" w:eastAsiaTheme="minorEastAsia"/>
          <w:b/>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r>
      <w:r/>
    </w:p>
    <w:p>
      <w:pPr>
        <w:jc w:val="both"/>
        <w:spacing w:after="0" w:line="85" w:lineRule="atLeast"/>
        <w:rPr>
          <w:rFonts w:cs="宋体" w:asciiTheme="minorEastAsia" w:hAnsiTheme="minorEastAsia" w:eastAsia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8"/>
          <w:highlight w:val="none"/>
          <w:lang w:eastAsia="zh-CN"/>
        </w:rPr>
        <w:t xml:space="preserve">17、中小企业声明函</w:t>
      </w:r>
      <w:r/>
    </w:p>
    <w:p>
      <w:pPr>
        <w:jc w:val="cente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8"/>
          <w:highlight w:val="none"/>
          <w:lang w:eastAsia="zh-CN"/>
        </w:rPr>
        <w:t xml:space="preserve">中小企业声明函（服务）</w:t>
      </w:r>
      <w:r/>
    </w:p>
    <w:p>
      <w:pPr>
        <w:ind w:firstLine="48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本公司郑重声明，根据《政府采购促进中小企业发展管理办法》（财库﹝2020﹞46号）的规定，本公司参加</w:t>
      </w:r>
      <w:r>
        <w:rPr>
          <w:rFonts w:cs="宋体" w:asciiTheme="minorEastAsia" w:hAnsiTheme="minorEastAsia" w:eastAsiaTheme="minorEastAsia"/>
          <w:color w:val="auto"/>
          <w:sz w:val="24"/>
          <w:highlight w:val="none"/>
          <w:u w:val="single"/>
          <w:lang w:eastAsia="zh-CN"/>
        </w:rPr>
        <w:t xml:space="preserve">（</w:t>
      </w:r>
      <w:r>
        <w:rPr>
          <w:rFonts w:cs="宋体" w:asciiTheme="minorEastAsia" w:hAnsiTheme="minorEastAsia" w:eastAsiaTheme="minorEastAsia"/>
          <w:i/>
          <w:color w:val="auto"/>
          <w:sz w:val="24"/>
          <w:highlight w:val="none"/>
          <w:u w:val="single"/>
          <w:lang w:eastAsia="zh-CN"/>
        </w:rPr>
        <w:t xml:space="preserve">单位名称）</w:t>
      </w:r>
      <w:r>
        <w:rPr>
          <w:rFonts w:cs="宋体" w:asciiTheme="minorEastAsia" w:hAnsiTheme="minorEastAsia" w:eastAsiaTheme="minorEastAsia"/>
          <w:color w:val="auto"/>
          <w:sz w:val="24"/>
          <w:highlight w:val="none"/>
          <w:lang w:eastAsia="zh-CN"/>
        </w:rPr>
        <w:t xml:space="preserve">的</w:t>
      </w:r>
      <w:r>
        <w:rPr>
          <w:rFonts w:cs="宋体" w:asciiTheme="minorEastAsia" w:hAnsiTheme="minorEastAsia" w:eastAsiaTheme="minorEastAsia"/>
          <w:b/>
          <w:bCs/>
          <w:i/>
          <w:color w:val="auto"/>
          <w:sz w:val="24"/>
          <w:highlight w:val="none"/>
          <w:u w:val="single"/>
          <w:lang w:eastAsia="zh-CN"/>
        </w:rPr>
        <w:t xml:space="preserve">（</w:t>
      </w:r>
      <w:r>
        <w:rPr>
          <w:rFonts w:hint="eastAsia" w:cs="宋体" w:asciiTheme="minorEastAsia" w:hAnsiTheme="minorEastAsia" w:eastAsiaTheme="minorEastAsia"/>
          <w:b/>
          <w:bCs/>
          <w:i/>
          <w:color w:val="auto"/>
          <w:sz w:val="24"/>
          <w:highlight w:val="none"/>
          <w:u w:val="single"/>
          <w:lang w:eastAsia="zh-CN"/>
        </w:rPr>
        <w:t xml:space="preserve">2026-2027年度保洁服务）</w:t>
      </w:r>
      <w:r>
        <w:rPr>
          <w:rFonts w:hint="eastAsia" w:ascii="宋体" w:hAnsi="宋体"/>
          <w:color w:val="auto"/>
          <w:sz w:val="24"/>
          <w:highlight w:val="none"/>
          <w:lang w:eastAsia="zh-CN"/>
        </w:rPr>
        <w:t xml:space="preserve">编号 </w:t>
      </w:r>
      <w:r>
        <w:rPr>
          <w:rFonts w:hint="eastAsia" w:ascii="宋体" w:hAnsi="宋体" w:eastAsia="宋体" w:cs="宋体"/>
          <w:b/>
          <w:color w:val="auto"/>
          <w:sz w:val="24"/>
          <w:szCs w:val="24"/>
          <w:highlight w:val="none"/>
          <w:u w:val="single"/>
          <w:lang w:eastAsia="zh-CN"/>
        </w:rPr>
        <w:t xml:space="preserve">JSZC-320585-JZCG-G2026-0073</w:t>
      </w:r>
      <w:r>
        <w:rPr>
          <w:rFonts w:hint="eastAsia" w:ascii="宋体" w:hAnsi="宋体"/>
          <w:color w:val="auto"/>
          <w:sz w:val="24"/>
          <w:highlight w:val="none"/>
          <w:u w:val="single"/>
          <w:lang w:eastAsia="zh-CN"/>
        </w:rPr>
        <w:t xml:space="preserve"> </w:t>
      </w:r>
      <w:r>
        <w:rPr>
          <w:rFonts w:cs="宋体" w:asciiTheme="minorEastAsia" w:hAnsiTheme="minorEastAsia" w:eastAsiaTheme="minorEastAsia"/>
          <w:color w:val="auto"/>
          <w:sz w:val="24"/>
          <w:highlight w:val="none"/>
          <w:lang w:eastAsia="zh-CN"/>
        </w:rPr>
        <w:t xml:space="preserve">采购活动，服务全部由符合政策要求的中小企业承接。相关企业的具体情况如下：</w:t>
      </w:r>
      <w:r/>
    </w:p>
    <w:p>
      <w:pPr>
        <w:ind w:firstLine="48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w:t>
      </w:r>
      <w:r>
        <w:rPr>
          <w:rFonts w:cs="宋体" w:asciiTheme="minorEastAsia" w:hAnsiTheme="minorEastAsia" w:eastAsiaTheme="minorEastAsia"/>
          <w:i/>
          <w:color w:val="auto"/>
          <w:sz w:val="24"/>
          <w:highlight w:val="none"/>
          <w:u w:val="single"/>
          <w:lang w:eastAsia="zh-CN"/>
        </w:rPr>
        <w:t xml:space="preserve">（标的名称）</w:t>
      </w:r>
      <w:r>
        <w:rPr>
          <w:rFonts w:cs="宋体" w:asciiTheme="minorEastAsia" w:hAnsiTheme="minorEastAsia" w:eastAsiaTheme="minorEastAsia"/>
          <w:color w:val="auto"/>
          <w:sz w:val="24"/>
          <w:highlight w:val="none"/>
          <w:lang w:eastAsia="zh-CN"/>
        </w:rPr>
        <w:t xml:space="preserve">，属于</w:t>
      </w:r>
      <w:r>
        <w:rPr>
          <w:rFonts w:cs="宋体" w:asciiTheme="minorEastAsia" w:hAnsiTheme="minorEastAsia" w:eastAsiaTheme="minorEastAsia"/>
          <w:color w:val="auto"/>
          <w:sz w:val="24"/>
          <w:highlight w:val="none"/>
          <w:u w:val="single"/>
          <w:lang w:eastAsia="zh-CN"/>
        </w:rPr>
        <w:t xml:space="preserve">  </w:t>
      </w:r>
      <w:r>
        <w:rPr>
          <w:rFonts w:hint="eastAsia" w:cs="宋体" w:asciiTheme="minorEastAsia" w:hAnsiTheme="minorEastAsia" w:eastAsiaTheme="minorEastAsia"/>
          <w:color w:val="auto"/>
          <w:sz w:val="24"/>
          <w:highlight w:val="none"/>
          <w:u w:val="single"/>
          <w:lang w:eastAsia="zh-CN"/>
        </w:rPr>
        <w:t xml:space="preserve">物业管理  </w:t>
      </w:r>
      <w:r>
        <w:rPr>
          <w:rFonts w:cs="宋体" w:asciiTheme="minorEastAsia" w:hAnsiTheme="minorEastAsia" w:eastAsiaTheme="minorEastAsia"/>
          <w:i/>
          <w:color w:val="auto"/>
          <w:sz w:val="24"/>
          <w:highlight w:val="none"/>
          <w:lang w:eastAsia="zh-CN"/>
        </w:rPr>
        <w:t xml:space="preserve">行业</w:t>
      </w:r>
      <w:r>
        <w:rPr>
          <w:rFonts w:cs="宋体" w:asciiTheme="minorEastAsia" w:hAnsiTheme="minorEastAsia" w:eastAsiaTheme="minorEastAsia"/>
          <w:color w:val="auto"/>
          <w:sz w:val="24"/>
          <w:highlight w:val="none"/>
          <w:lang w:eastAsia="zh-CN"/>
        </w:rPr>
        <w:t xml:space="preserve">；承接企业为</w:t>
      </w:r>
      <w:r>
        <w:rPr>
          <w:rFonts w:cs="宋体" w:asciiTheme="minorEastAsia" w:hAnsiTheme="minorEastAsia" w:eastAsiaTheme="minorEastAsia"/>
          <w:i/>
          <w:color w:val="auto"/>
          <w:sz w:val="24"/>
          <w:highlight w:val="none"/>
          <w:u w:val="single"/>
          <w:lang w:eastAsia="zh-CN"/>
        </w:rPr>
        <w:t xml:space="preserve">（企业名称）</w:t>
      </w:r>
      <w:r>
        <w:rPr>
          <w:rFonts w:cs="宋体" w:asciiTheme="minorEastAsia" w:hAnsiTheme="minorEastAsia" w:eastAsiaTheme="minorEastAsia"/>
          <w:color w:val="auto"/>
          <w:sz w:val="24"/>
          <w:highlight w:val="none"/>
          <w:lang w:eastAsia="zh-CN"/>
        </w:rPr>
        <w:t xml:space="preserve">，从业人员_____人，营业收入为_____万元，资产总额为_____万元</w:t>
      </w: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"_bookmark1" \o </w:instrText>
      </w:r>
      <w:r>
        <w:rPr>
          <w:color w:val="auto"/>
          <w:highlight w:val="none"/>
        </w:rPr>
        <w:instrText xml:space="preserve">"http://jszfcg.jsczt.cn/jszc/onlyoffice/7.2.1-34/web-apps/apps/documenteditor/main/index_loader.html?_dc=7.2.1-34&amp;lang=zh&amp;customer=%20&amp;logo=%20&amp;headerlogo=%2Ffavicon.ico&amp;frameEditorId=iframePage&amp;compact=true&amp;parentOrigin=http://jszfcg.jsczt.cn#_bookmark1" </w:instrText>
      </w:r>
      <w:r>
        <w:rPr>
          <w:color w:val="auto"/>
          <w:highlight w:val="none"/>
        </w:rPr>
        <w:fldChar w:fldCharType="separate"/>
      </w:r>
      <w:r>
        <w:rPr>
          <w:rStyle w:val="787"/>
          <w:rFonts w:cs="Times New Roman" w:asciiTheme="minorEastAsia" w:hAnsiTheme="minorEastAsia" w:eastAsiaTheme="minorEastAsia"/>
          <w:color w:val="auto"/>
          <w:sz w:val="24"/>
          <w:highlight w:val="none"/>
          <w:u w:val="none"/>
          <w:lang w:eastAsia="zh-CN"/>
        </w:rPr>
        <w:t xml:space="preserve">1</w:t>
      </w:r>
      <w:r>
        <w:rPr>
          <w:rStyle w:val="787"/>
          <w:rFonts w:cs="Times New Roman" w:asciiTheme="minorEastAsia" w:hAnsiTheme="minorEastAsia" w:eastAsiaTheme="minorEastAsia"/>
          <w:color w:val="auto"/>
          <w:sz w:val="24"/>
          <w:highlight w:val="none"/>
          <w:u w:val="none"/>
          <w:lang w:eastAsia="zh-CN"/>
        </w:rPr>
        <w:fldChar w:fldCharType="end"/>
      </w:r>
      <w:r>
        <w:rPr>
          <w:rFonts w:cs="宋体" w:asciiTheme="minorEastAsia" w:hAnsiTheme="minorEastAsia" w:eastAsiaTheme="minorEastAsia"/>
          <w:color w:val="auto"/>
          <w:sz w:val="24"/>
          <w:highlight w:val="none"/>
          <w:lang w:eastAsia="zh-CN"/>
        </w:rPr>
        <w:t xml:space="preserve">，属于______</w:t>
      </w:r>
      <w:r>
        <w:rPr>
          <w:rFonts w:cs="宋体" w:asciiTheme="minorEastAsia" w:hAnsiTheme="minorEastAsia" w:eastAsiaTheme="minorEastAsia"/>
          <w:i/>
          <w:color w:val="auto"/>
          <w:sz w:val="24"/>
          <w:highlight w:val="none"/>
          <w:lang w:eastAsia="zh-CN"/>
        </w:rPr>
        <w:t xml:space="preserve">（中型企业、小型企业、微型企业，三者选一填写）</w:t>
      </w:r>
      <w:r>
        <w:rPr>
          <w:rFonts w:cs="宋体" w:asciiTheme="minorEastAsia" w:hAnsiTheme="minorEastAsia" w:eastAsiaTheme="minorEastAsia"/>
          <w:color w:val="auto"/>
          <w:sz w:val="24"/>
          <w:highlight w:val="none"/>
          <w:lang w:eastAsia="zh-CN"/>
        </w:rPr>
        <w:t xml:space="preserve">；</w:t>
      </w:r>
      <w:r/>
    </w:p>
    <w:p>
      <w:pPr>
        <w:ind w:firstLine="48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w:t>
      </w:r>
      <w:r/>
    </w:p>
    <w:p>
      <w:pPr>
        <w:ind w:firstLine="48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以上企业，不属于大企业的分支机构，不存在控股股东为大企业的情形，也不存在与大企业的负责人为同一人的情形。</w:t>
      </w:r>
      <w:r/>
    </w:p>
    <w:p>
      <w:pPr>
        <w:ind w:firstLine="480"/>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本企业对上述声明内容的真实性负责。如有虚假，将依法承担相应责任。</w:t>
      </w:r>
      <w:r/>
    </w:p>
    <w:p>
      <w:pPr>
        <w:ind w:right="960" w:firstLine="4800"/>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企业名称（盖章）：</w:t>
      </w:r>
      <w:r/>
    </w:p>
    <w:p>
      <w:pPr>
        <w:ind w:right="1120" w:firstLine="4800"/>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日期：</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"_bookmark1" \o </w:instrText>
      </w:r>
      <w:r>
        <w:rPr>
          <w:color w:val="auto"/>
          <w:highlight w:val="none"/>
        </w:rPr>
        <w:instrText xml:space="preserve">"http://jszfcg.jsczt.cn/jszc/onlyoffice/7.2.1-34/web-apps/apps/documenteditor/main/index_loader.html?_dc=7.2.1-34&amp;lang=zh&amp;customer=%20&amp;logo=%20&amp;headerlogo=%2Ffavicon.ico&amp;frameEditorId=iframePage&amp;compact=true&amp;parentOrigin=http://jszfcg.jsczt.cn#_bookmark1" </w:instrText>
      </w:r>
      <w:r>
        <w:rPr>
          <w:color w:val="auto"/>
          <w:highlight w:val="none"/>
        </w:rPr>
        <w:fldChar w:fldCharType="separate"/>
      </w:r>
      <w:r>
        <w:rPr>
          <w:rStyle w:val="787"/>
          <w:rFonts w:cs="Times New Roman" w:asciiTheme="minorEastAsia" w:hAnsiTheme="minorEastAsia" w:eastAsiaTheme="minorEastAsia"/>
          <w:color w:val="auto"/>
          <w:sz w:val="24"/>
          <w:highlight w:val="none"/>
          <w:u w:val="none"/>
          <w:lang w:eastAsia="zh-CN"/>
        </w:rPr>
        <w:t xml:space="preserve">1</w:t>
      </w:r>
      <w:r>
        <w:rPr>
          <w:rStyle w:val="787"/>
          <w:rFonts w:cs="Times New Roman" w:asciiTheme="minorEastAsia" w:hAnsiTheme="minorEastAsia" w:eastAsiaTheme="minorEastAsia"/>
          <w:color w:val="auto"/>
          <w:sz w:val="24"/>
          <w:highlight w:val="none"/>
          <w:u w:val="none"/>
          <w:lang w:eastAsia="zh-CN"/>
        </w:rPr>
        <w:fldChar w:fldCharType="end"/>
      </w:r>
      <w:r>
        <w:rPr>
          <w:rFonts w:cs="宋体" w:asciiTheme="minorEastAsia" w:hAnsiTheme="minorEastAsia" w:eastAsiaTheme="minorEastAsia"/>
          <w:color w:val="auto"/>
          <w:sz w:val="24"/>
          <w:highlight w:val="none"/>
          <w:lang w:eastAsia="zh-CN"/>
        </w:rPr>
        <w:t xml:space="preserve">从业人员、营业收入、资产总额填报上一年度数据，无上一年度数据的新成立企业可不填报。</w:t>
      </w:r>
      <w:r/>
    </w:p>
    <w:p>
      <w:pPr>
        <w:ind w:firstLine="442"/>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highlight w:val="none"/>
          <w:lang w:eastAsia="zh-CN"/>
        </w:rPr>
        <w:t xml:space="preserve">备注：</w:t>
      </w:r>
      <w:r/>
    </w:p>
    <w:p>
      <w:pPr>
        <w:ind w:firstLine="480"/>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1、本项目</w:t>
      </w:r>
      <w:r>
        <w:rPr>
          <w:rFonts w:hint="eastAsia" w:ascii="宋体" w:hAnsi="宋体" w:eastAsia="宋体" w:cs="宋体"/>
          <w:b/>
          <w:bCs/>
          <w:color w:val="auto"/>
          <w:sz w:val="24"/>
          <w:szCs w:val="24"/>
          <w:highlight w:val="none"/>
          <w:lang w:eastAsia="zh-CN"/>
        </w:rPr>
        <w:t xml:space="preserve">专门面向</w:t>
      </w:r>
      <w:r>
        <w:rPr>
          <w:rFonts w:hint="eastAsia" w:ascii="宋体" w:hAnsi="宋体" w:eastAsia="宋体" w:cs="宋体"/>
          <w:color w:val="auto"/>
          <w:sz w:val="24"/>
          <w:szCs w:val="24"/>
          <w:highlight w:val="none"/>
          <w:lang w:eastAsia="zh-CN"/>
        </w:rPr>
        <w:t xml:space="preserve">中小企业采购，投标人应提供中小企业声明函或残疾人福利性单位声明函或省级以上监狱管理局、戒毒管理局（含新疆生产建设兵团）出具的属于监狱企业的证明文件,</w:t>
      </w:r>
      <w:r>
        <w:rPr>
          <w:rFonts w:hint="eastAsia" w:ascii="宋体" w:hAnsi="宋体" w:eastAsia="宋体" w:cs="宋体"/>
          <w:b/>
          <w:bCs/>
          <w:color w:val="auto"/>
          <w:sz w:val="24"/>
          <w:szCs w:val="24"/>
          <w:highlight w:val="none"/>
          <w:lang w:eastAsia="zh-CN"/>
        </w:rPr>
        <w:t xml:space="preserve">否则视为投标无效</w:t>
      </w:r>
      <w:r/>
    </w:p>
    <w:p>
      <w:pPr>
        <w:ind w:firstLine="480"/>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2、投标人提供的中小企业声明函必须包含本项目所有服务及其服务承接企业，并按照声明函格式填写完整、明确，否则视为未按规定提供声明函，投标无效。</w:t>
      </w:r>
      <w:r/>
    </w:p>
    <w:p>
      <w:pPr>
        <w:ind w:firstLine="480"/>
        <w:spacing w:after="0"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3、中标、成交供应商享受规定的中小企业扶持政策的，《中小企业声明函》应当随中标、成交结果同时公告，接受社会监督。</w:t>
      </w:r>
      <w:r/>
    </w:p>
    <w:p>
      <w:pPr>
        <w:ind w:firstLine="482"/>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 </w:t>
      </w:r>
      <w:r/>
    </w:p>
    <w:p>
      <w:pPr>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spacing w:after="0" w:line="439" w:lineRule="atLeast"/>
        <w:rPr>
          <w:rFonts w:cs="宋体" w:asciiTheme="minorEastAsia" w:hAnsiTheme="minorEastAsia" w:eastAsia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szCs w:val="24"/>
          <w:highlight w:val="none"/>
          <w:lang w:eastAsia="zh-CN"/>
        </w:rPr>
      </w:r>
      <w:r/>
    </w:p>
    <w:p>
      <w:pPr>
        <w:spacing w:after="0" w:line="439" w:lineRule="atLeast"/>
        <w:rPr>
          <w:rFonts w:cs="宋体" w:asciiTheme="minorEastAsia" w:hAnsiTheme="minorEastAsia" w:eastAsiaTheme="minorEastAsia"/>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color w:val="auto"/>
          <w:sz w:val="32"/>
          <w:szCs w:val="32"/>
          <w:highlight w:val="none"/>
          <w:lang w:eastAsia="zh-CN"/>
        </w:rPr>
      </w:r>
      <w:r/>
    </w:p>
    <w:p>
      <w:pPr>
        <w:spacing w:after="0" w:line="439" w:lineRule="atLeast"/>
        <w:rPr>
          <w:rFonts w:cs="宋体" w:asciiTheme="minorEastAsia" w:hAnsiTheme="minorEastAsia" w:eastAsiaTheme="minorEastAsia"/>
          <w:b/>
          <w:color w:val="auto"/>
          <w:sz w:val="32"/>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r>
      <w:r/>
    </w:p>
    <w:p>
      <w:pPr>
        <w:spacing w:after="0" w:line="439" w:lineRule="atLeast"/>
        <w:rPr>
          <w:rFonts w:cs="宋体" w:asciiTheme="minorEastAsia" w:hAnsiTheme="minorEastAsia" w:eastAsiaTheme="minorEastAsia"/>
          <w:b/>
          <w:color w:val="auto"/>
          <w:sz w:val="32"/>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r>
      <w:r/>
    </w:p>
    <w:p>
      <w:pPr>
        <w:spacing w:after="0" w:line="439" w:lineRule="atLeast"/>
        <w:rPr>
          <w:rFonts w:cs="宋体" w:asciiTheme="minorEastAsia" w:hAnsiTheme="minorEastAsia" w:eastAsiaTheme="minorEastAsia"/>
          <w:b/>
          <w:color w:val="auto"/>
          <w:sz w:val="32"/>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r>
      <w:r/>
    </w:p>
    <w:p>
      <w:pPr>
        <w:spacing w:after="0" w:line="439" w:lineRule="atLeast"/>
        <w:rPr>
          <w:rFonts w:cs="宋体" w:asciiTheme="minorEastAsia" w:hAnsiTheme="minorEastAsia" w:eastAsiaTheme="minorEastAsia"/>
          <w:b/>
          <w:color w:val="auto"/>
          <w:sz w:val="32"/>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r>
      <w:r/>
    </w:p>
    <w:p>
      <w:pPr>
        <w:spacing w:after="0" w:line="439" w:lineRule="atLeast"/>
        <w:rPr>
          <w:rFonts w:cs="宋体" w:asciiTheme="minorEastAsia" w:hAnsiTheme="minorEastAsia" w:eastAsiaTheme="minorEastAsia"/>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auto"/>
          <w:sz w:val="32"/>
          <w:highlight w:val="none"/>
          <w:lang w:eastAsia="zh-CN"/>
        </w:rPr>
        <w:t xml:space="preserve">1</w:t>
      </w:r>
      <w:r>
        <w:rPr>
          <w:rFonts w:cs="宋体" w:asciiTheme="minorEastAsia" w:hAnsiTheme="minorEastAsia" w:eastAsiaTheme="minorEastAsia"/>
          <w:b/>
          <w:color w:val="auto"/>
          <w:sz w:val="32"/>
          <w:highlight w:val="none"/>
          <w:lang w:eastAsia="zh-CN"/>
        </w:rPr>
        <w:t xml:space="preserve">8、残疾人福利性单位声明函（如有）</w:t>
      </w:r>
      <w:r/>
    </w:p>
    <w:p>
      <w:pPr>
        <w:spacing w:after="0" w:line="47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ind w:firstLine="2560"/>
        <w:spacing w:after="0" w:line="47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32"/>
          <w:highlight w:val="none"/>
          <w:lang w:eastAsia="zh-CN"/>
        </w:rPr>
        <w:t xml:space="preserve">残疾人福利性单位声明函</w:t>
      </w:r>
      <w:r/>
    </w:p>
    <w:p>
      <w:pPr>
        <w:ind w:firstLine="1928"/>
        <w:spacing w:after="0" w:line="47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 </w:t>
      </w:r>
      <w:r/>
    </w:p>
    <w:p>
      <w:pPr>
        <w:ind w:firstLine="480"/>
        <w:spacing w:after="0" w:line="47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47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本单位对上述声明的真实性负责。如有虚假，将依法承担相应责任。</w:t>
      </w:r>
      <w:r/>
    </w:p>
    <w:p>
      <w:pPr>
        <w:spacing w:after="0" w:line="47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spacing w:after="0" w:line="47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spacing w:after="0" w:line="47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单位名称（盖章）：</w:t>
      </w:r>
      <w:r/>
    </w:p>
    <w:p>
      <w:pPr>
        <w:spacing w:after="0" w:line="47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日 期：</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 </w:t>
      </w:r>
      <w:r/>
    </w:p>
    <w:p>
      <w:pPr>
        <w:spacing w:after="0" w:line="440" w:lineRule="exact"/>
        <w:rPr>
          <w:rFonts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highlight w:val="none"/>
          <w:lang w:eastAsia="zh-CN"/>
        </w:rPr>
      </w:r>
      <w:r/>
    </w:p>
    <w:p>
      <w:pPr>
        <w:spacing w:after="0" w:line="440" w:lineRule="exact"/>
        <w:rPr>
          <w:rFonts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highlight w:val="none"/>
          <w:lang w:eastAsia="zh-CN"/>
        </w:rPr>
      </w:r>
      <w:r/>
    </w:p>
    <w:p>
      <w:pPr>
        <w:spacing w:after="0" w:line="440" w:lineRule="exact"/>
        <w:rPr>
          <w:rFonts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highlight w:val="none"/>
          <w:lang w:eastAsia="zh-CN"/>
        </w:rPr>
      </w:r>
      <w:r/>
    </w:p>
    <w:p>
      <w:pPr>
        <w:spacing w:after="0" w:line="440" w:lineRule="exact"/>
        <w:rPr>
          <w:rFonts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highlight w:val="none"/>
          <w:lang w:eastAsia="zh-CN"/>
        </w:rPr>
      </w:r>
      <w:r/>
    </w:p>
    <w:p>
      <w:pPr>
        <w:spacing w:after="0" w:line="440" w:lineRule="exact"/>
        <w:rPr>
          <w:rFonts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highlight w:val="none"/>
          <w:lang w:eastAsia="zh-CN"/>
        </w:rPr>
      </w:r>
      <w:r/>
    </w:p>
    <w:p>
      <w:pPr>
        <w:spacing w:after="0" w:line="440" w:lineRule="exact"/>
        <w:rPr>
          <w:rFonts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highlight w:val="none"/>
          <w:lang w:eastAsia="zh-CN"/>
        </w:rPr>
      </w:r>
      <w:r/>
    </w:p>
    <w:p>
      <w:pPr>
        <w:spacing w:after="0" w:line="440" w:lineRule="exact"/>
        <w:rPr>
          <w:rFonts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highlight w:val="none"/>
          <w:lang w:eastAsia="zh-CN"/>
        </w:rPr>
      </w:r>
      <w:r/>
    </w:p>
    <w:p>
      <w:pPr>
        <w:spacing w:after="0" w:line="440" w:lineRule="exact"/>
        <w:rPr>
          <w:rFonts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highlight w:val="none"/>
          <w:lang w:eastAsia="zh-CN"/>
        </w:rPr>
      </w:r>
      <w:r/>
    </w:p>
    <w:p>
      <w:pPr>
        <w:spacing w:after="0" w:line="440" w:lineRule="exact"/>
        <w:rPr>
          <w:rFonts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highlight w:val="none"/>
          <w:lang w:eastAsia="zh-CN"/>
        </w:rPr>
      </w:r>
      <w:r/>
    </w:p>
    <w:p>
      <w:pPr>
        <w:spacing w:after="0" w:line="440" w:lineRule="exact"/>
        <w:rPr>
          <w:rFonts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highlight w:val="none"/>
          <w:lang w:eastAsia="zh-CN"/>
        </w:rPr>
      </w:r>
      <w:r/>
    </w:p>
    <w:p>
      <w:pPr>
        <w:spacing w:after="0" w:line="440" w:lineRule="exact"/>
        <w:rPr>
          <w:rFonts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highlight w:val="none"/>
          <w:lang w:eastAsia="zh-CN"/>
        </w:rPr>
      </w:r>
      <w:r/>
    </w:p>
    <w:p>
      <w:pPr>
        <w:spacing w:after="0" w:line="440" w:lineRule="exact"/>
        <w:rPr>
          <w:rFonts w:ascii="宋体" w:hAnsi="宋体" w:eastAsia="宋体" w:cs="宋体"/>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highlight w:val="none"/>
          <w:lang w:eastAsia="zh-CN"/>
        </w:rPr>
      </w:r>
      <w:r/>
    </w:p>
    <w:p>
      <w:pPr>
        <w:spacing w:after="0" w:line="44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32"/>
          <w:szCs w:val="32"/>
          <w:highlight w:val="none"/>
          <w:lang w:eastAsia="zh-CN"/>
        </w:rPr>
        <w:t xml:space="preserve">1</w:t>
      </w:r>
      <w:r>
        <w:rPr>
          <w:rFonts w:hint="eastAsia" w:ascii="宋体" w:hAnsi="宋体" w:eastAsia="宋体" w:cs="宋体"/>
          <w:b/>
          <w:bCs/>
          <w:color w:val="auto"/>
          <w:sz w:val="32"/>
          <w:szCs w:val="32"/>
          <w:highlight w:val="none"/>
          <w:lang w:eastAsia="zh-CN"/>
        </w:rPr>
        <w:t xml:space="preserve">9</w:t>
      </w:r>
      <w:r>
        <w:rPr>
          <w:rFonts w:ascii="宋体" w:hAnsi="宋体" w:eastAsia="宋体" w:cs="宋体"/>
          <w:b/>
          <w:bCs/>
          <w:color w:val="auto"/>
          <w:sz w:val="32"/>
          <w:szCs w:val="32"/>
          <w:highlight w:val="none"/>
          <w:lang w:eastAsia="zh-CN"/>
        </w:rPr>
        <w:t xml:space="preserve">、监狱企业证明文件（如有）</w:t>
      </w:r>
      <w:r>
        <w:rPr>
          <w:rFonts w:ascii="宋体" w:hAnsi="宋体" w:eastAsia="宋体" w:cs="宋体"/>
          <w:b/>
          <w:bCs/>
          <w:color w:val="auto"/>
          <w:sz w:val="32"/>
          <w:szCs w:val="32"/>
          <w:highlight w:val="none"/>
          <w:lang w:eastAsia="zh-CN"/>
        </w:rPr>
        <w:br/>
      </w:r>
      <w:r>
        <w:rPr>
          <w:rFonts w:ascii="宋体" w:hAnsi="宋体" w:eastAsia="宋体" w:cs="宋体"/>
          <w:color w:val="auto"/>
          <w:sz w:val="24"/>
          <w:szCs w:val="24"/>
          <w:highlight w:val="none"/>
          <w:lang w:eastAsia="zh-CN"/>
        </w:rPr>
        <w:br/>
      </w:r>
      <w:r>
        <w:rPr>
          <w:rFonts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eastAsia="zh-CN"/>
        </w:rPr>
        <w:t xml:space="preserve">                        </w:t>
      </w:r>
      <w:r>
        <w:rPr>
          <w:rFonts w:ascii="宋体" w:hAnsi="宋体" w:eastAsia="宋体" w:cs="宋体"/>
          <w:color w:val="auto"/>
          <w:sz w:val="32"/>
          <w:szCs w:val="32"/>
          <w:highlight w:val="none"/>
          <w:lang w:eastAsia="zh-CN"/>
        </w:rPr>
        <w:t xml:space="preserve">监狱企业证明文件</w:t>
      </w:r>
      <w:r>
        <w:rPr>
          <w:rFonts w:ascii="宋体" w:hAnsi="宋体" w:eastAsia="宋体" w:cs="宋体"/>
          <w:color w:val="auto"/>
          <w:sz w:val="24"/>
          <w:szCs w:val="24"/>
          <w:highlight w:val="none"/>
          <w:lang w:eastAsia="zh-CN"/>
        </w:rPr>
        <w:br/>
      </w:r>
      <w:r>
        <w:rPr>
          <w:rFonts w:ascii="宋体" w:hAnsi="宋体" w:eastAsia="宋体" w:cs="宋体"/>
          <w:color w:val="auto"/>
          <w:sz w:val="24"/>
          <w:szCs w:val="24"/>
          <w:highlight w:val="none"/>
          <w:lang w:eastAsia="zh-CN"/>
        </w:rPr>
        <w:br/>
      </w:r>
      <w:r/>
    </w:p>
    <w:p>
      <w:pPr>
        <w:spacing w:after="0" w:line="44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spacing w:after="0" w:line="440" w:lineRule="exact"/>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br w:type="page" w:clear="all"/>
      </w:r>
      <w:r/>
    </w:p>
    <w:p>
      <w:pPr>
        <w:jc w:val="both"/>
        <w:spacing w:after="0"/>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b/>
          <w:color w:val="auto"/>
          <w:sz w:val="44"/>
          <w:highlight w:val="none"/>
          <w:lang w:eastAsia="zh-CN"/>
        </w:rPr>
        <w:t xml:space="preserve">      第五部分    评标方法与评标标准</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评标方法</w:t>
      </w:r>
      <w:r/>
    </w:p>
    <w:p>
      <w:pPr>
        <w:numPr>
          <w:ilvl w:val="0"/>
          <w:numId w:val="17"/>
        </w:numPr>
        <w:ind w:firstLine="482"/>
        <w:spacing w:after="0" w:line="460"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本次招标的评标方法采用综合评分法。即指投标文件满足招标文件全部实质性要求，且按照评审因素的量化指标评审得分最高的投标人为中标候选人的评标方法。采购人书面授权评标委员会直接确定中标供应商。</w:t>
      </w:r>
      <w:r>
        <w:rPr>
          <w:rFonts w:hint="eastAsia"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eastAsia="zh-CN"/>
        </w:rPr>
        <w:t xml:space="preserve">    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rFonts w:hint="eastAsia"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highlight w:val="none"/>
          <w:lang w:eastAsia="zh-CN"/>
        </w:rPr>
        <w:t xml:space="preserve">三、</w:t>
      </w:r>
      <w:r>
        <w:rPr>
          <w:rFonts w:hint="eastAsia" w:ascii="宋体" w:hAnsi="宋体" w:eastAsia="宋体" w:cs="宋体"/>
          <w:color w:val="auto"/>
          <w:sz w:val="24"/>
          <w:szCs w:val="24"/>
          <w:highlight w:val="none"/>
          <w:lang w:eastAsia="zh-CN"/>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eastAsia="zh-CN"/>
        </w:rPr>
        <w:t xml:space="preserve">    四、如出现评审得分最高的投标人有两个或两个以上的，以投标报价较低者优先作为该标段中标候选人，如果投标报价也相同的，则由公证机构组织以抽签方式确定中标候选人。</w:t>
      </w:r>
      <w:r/>
    </w:p>
    <w:p>
      <w:pPr>
        <w:ind w:firstLine="480"/>
        <w:spacing w:after="0" w:line="460"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2"/>
        <w:spacing w:after="0" w:line="440" w:lineRule="exact"/>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2"/>
        <w:spacing w:after="0" w:line="440" w:lineRule="exact"/>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七、中小企业相关政策：</w:t>
      </w:r>
      <w:r/>
    </w:p>
    <w:p>
      <w:pPr>
        <w:ind w:firstLine="480"/>
        <w:spacing w:after="0" w:line="440" w:lineRule="exact"/>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color w:val="auto"/>
          <w:sz w:val="24"/>
          <w:highlight w:val="none"/>
          <w:lang w:eastAsia="zh-CN"/>
        </w:rPr>
        <w:t xml:space="preserve">但与大企业的负责人为同一人，或者与大企业存在直接控股、管理关系的除外。</w:t>
      </w:r>
      <w:r>
        <w:rPr>
          <w:rFonts w:hint="eastAsia" w:ascii="宋体" w:hAnsi="宋体" w:eastAsia="宋体" w:cs="宋体"/>
          <w:color w:val="auto"/>
          <w:sz w:val="24"/>
          <w:highlight w:val="none"/>
          <w:lang w:eastAsia="zh-CN"/>
        </w:rPr>
        <w:t xml:space="preserve">符合中小企业划分标准的个体工商户，在政府采购活动中视同中小企业。</w:t>
      </w:r>
      <w:r/>
    </w:p>
    <w:p>
      <w:pPr>
        <w:ind w:firstLine="482"/>
        <w:spacing w:after="0" w:line="440" w:lineRule="exact"/>
        <w:rPr>
          <w:rFonts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eastAsia="zh-CN"/>
        </w:rPr>
        <w:t xml:space="preserve">本项目专门面向中小企业采购，投标人应当提供中小企业声明函或残疾人福利性单位声明函或省级以上监狱管理局、戒毒管理局（含新疆生产建设兵团）出具的属于监狱企业的证明文件,否则视为投标无效。</w:t>
      </w:r>
      <w:r/>
    </w:p>
    <w:p>
      <w:pPr>
        <w:ind w:firstLine="482"/>
        <w:jc w:val="both"/>
        <w:spacing w:after="0" w:line="460" w:lineRule="atLeast"/>
        <w:rPr>
          <w:rFonts w:ascii="宋体" w:hAnsi="宋体" w:eastAsia="宋体" w:cs="宋体"/>
          <w:color w:val="auto"/>
          <w:highlight w:val="none"/>
          <w:lang w:eastAsia="zh-CN"/>
        </w:rPr>
      </w:pPr>
      <w:r>
        <w:rPr>
          <w:rFonts w:hint="eastAsia" w:ascii="宋体" w:hAnsi="宋体" w:eastAsia="宋体" w:cs="宋体"/>
          <w:b/>
          <w:color w:val="auto"/>
          <w:sz w:val="24"/>
          <w:highlight w:val="none"/>
          <w:lang w:eastAsia="zh-CN"/>
        </w:rPr>
        <w:t xml:space="preserve">专门面向中小企业采购的项目，不再执行价格评审优惠的扶持政策。</w:t>
      </w:r>
      <w:r/>
    </w:p>
    <w:p>
      <w:pPr>
        <w:jc w:val="both"/>
        <w:spacing w:after="0" w:line="439" w:lineRule="atLeast"/>
        <w:rPr>
          <w:rFonts w:cs="宋体" w:asciiTheme="minorEastAsia" w:hAnsiTheme="minorEastAsia" w:eastAsiaTheme="minorEastAsia"/>
          <w:b/>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r>
      <w:r/>
    </w:p>
    <w:p>
      <w:pPr>
        <w:jc w:val="both"/>
        <w:spacing w:after="0" w:line="439" w:lineRule="atLeast"/>
        <w:rPr>
          <w:rFonts w:cs="宋体" w:asciiTheme="minorEastAsia" w:hAnsiTheme="minorEastAsia" w:eastAsiaTheme="minorEastAsia"/>
          <w:b/>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r>
      <w:r/>
    </w:p>
    <w:p>
      <w:pPr>
        <w:jc w:val="both"/>
        <w:spacing w:after="0" w:line="480" w:lineRule="exac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评分标准</w:t>
      </w:r>
      <w:r>
        <w:rPr>
          <w:rFonts w:hint="eastAsia" w:cs="宋体" w:asciiTheme="minorEastAsia" w:hAnsiTheme="minorEastAsia" w:eastAsiaTheme="minorEastAsia"/>
          <w:b/>
          <w:color w:val="auto"/>
          <w:sz w:val="24"/>
          <w:highlight w:val="none"/>
          <w:lang w:eastAsia="zh-CN"/>
        </w:rPr>
        <w:t xml:space="preserve"> </w:t>
      </w:r>
      <w:r>
        <w:rPr>
          <w:rFonts w:cs="宋体" w:asciiTheme="minorEastAsia" w:hAnsiTheme="minorEastAsia" w:eastAsiaTheme="minorEastAsia"/>
          <w:b/>
          <w:color w:val="auto"/>
          <w:sz w:val="24"/>
          <w:highlight w:val="none"/>
          <w:lang w:eastAsia="zh-CN"/>
        </w:rPr>
        <w:t xml:space="preserve">    </w:t>
      </w:r>
      <w:r/>
    </w:p>
    <w:p>
      <w:pPr>
        <w:pStyle w:val="938"/>
        <w:spacing w:line="480" w:lineRule="exact"/>
        <w:rPr>
          <w:rFonts w:asciiTheme="minorEastAsia" w:hAnsiTheme="minorEastAsia" w:eastAsiaTheme="minorEastAsia"/>
          <w:b/>
          <w:bCs/>
          <w:color w:val="auto"/>
          <w:sz w:val="24"/>
          <w:szCs w:val="24"/>
          <w:highlight w:val="none"/>
          <w:lang w:eastAsia="zh-CN"/>
        </w:rPr>
      </w:pPr>
      <w:r>
        <w:rPr>
          <w:rFonts w:hint="eastAsia" w:asciiTheme="minorEastAsia" w:hAnsiTheme="minorEastAsia" w:eastAsiaTheme="minorEastAsia"/>
          <w:b/>
          <w:bCs/>
          <w:color w:val="auto"/>
          <w:sz w:val="24"/>
          <w:szCs w:val="24"/>
          <w:highlight w:val="none"/>
          <w:lang w:eastAsia="zh-CN"/>
        </w:rPr>
        <w:t xml:space="preserve">一、价格分：45分</w:t>
      </w:r>
      <w:r/>
    </w:p>
    <w:p>
      <w:pPr>
        <w:pStyle w:val="938"/>
        <w:ind w:firstLine="480"/>
        <w:spacing w:line="480" w:lineRule="exact"/>
        <w:rPr>
          <w:rFonts w:asciiTheme="minorEastAsia" w:hAnsiTheme="minorEastAsia" w:eastAsiaTheme="minorEastAsia"/>
          <w:color w:val="auto"/>
          <w:sz w:val="24"/>
          <w:szCs w:val="24"/>
          <w:highlight w:val="none"/>
          <w:lang w:eastAsia="zh-CN"/>
        </w:rPr>
      </w:pPr>
      <w:r/>
      <w:bookmarkStart w:id="37" w:name="OLE_LINK19"/>
      <w:r>
        <w:rPr>
          <w:rFonts w:hint="eastAsia" w:asciiTheme="minorEastAsia" w:hAnsiTheme="minorEastAsia" w:eastAsiaTheme="minorEastAsia"/>
          <w:color w:val="auto"/>
          <w:sz w:val="24"/>
          <w:szCs w:val="24"/>
          <w:highlight w:val="none"/>
          <w:lang w:eastAsia="zh-CN"/>
        </w:rPr>
        <w:t xml:space="preserve">第一步：投标报价低于或等于财政预算价格的，为有效投标报价。超财政预算的投标报价或招标文件规定的报价为无效投标报价。无效投标报价的投标文件不进行评审，也不得标。</w:t>
      </w:r>
      <w:r/>
    </w:p>
    <w:p>
      <w:pPr>
        <w:pStyle w:val="938"/>
        <w:ind w:firstLine="480"/>
        <w:spacing w:line="48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第二步：在所有有效投标报价中满足招标文件要求，且投标价格最低的投标报价为评标基准价，其价格分为45分，其他投标人的价格分按照下列公式计算（计算结果四舍五入保留两位小数）。</w:t>
      </w:r>
      <w:r/>
    </w:p>
    <w:p>
      <w:pPr>
        <w:pStyle w:val="938"/>
        <w:ind w:firstLine="480"/>
        <w:spacing w:line="48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lang w:eastAsia="zh-CN"/>
        </w:rPr>
        <w:t xml:space="preserve">投标报价得分＝（评标基准价/投标报价）×45％×100</w:t>
      </w:r>
      <w:bookmarkEnd w:id="37"/>
      <w:r/>
      <w:r/>
    </w:p>
    <w:p>
      <w:pPr>
        <w:pStyle w:val="938"/>
        <w:spacing w:line="480" w:lineRule="exact"/>
        <w:rPr>
          <w:rFonts w:asciiTheme="minorEastAsia" w:hAnsiTheme="minorEastAsia" w:eastAsiaTheme="minorEastAsia"/>
          <w:b/>
          <w:bCs/>
          <w:color w:val="auto"/>
          <w:sz w:val="24"/>
          <w:szCs w:val="24"/>
          <w:highlight w:val="none"/>
          <w:lang w:eastAsia="zh-CN"/>
        </w:rPr>
      </w:pPr>
      <w:r>
        <w:rPr>
          <w:rFonts w:hint="eastAsia" w:asciiTheme="minorEastAsia" w:hAnsiTheme="minorEastAsia" w:eastAsiaTheme="minorEastAsia"/>
          <w:b/>
          <w:bCs/>
          <w:color w:val="auto"/>
          <w:sz w:val="24"/>
          <w:szCs w:val="24"/>
          <w:highlight w:val="none"/>
          <w:lang w:eastAsia="zh-CN"/>
        </w:rPr>
        <w:t xml:space="preserve">二、</w:t>
      </w:r>
      <w:bookmarkStart w:id="38" w:name="OLE_LINK22"/>
      <w:r/>
      <w:bookmarkStart w:id="39" w:name="OLE_LINK7"/>
      <w:r>
        <w:rPr>
          <w:rFonts w:hint="eastAsia" w:asciiTheme="minorEastAsia" w:hAnsiTheme="minorEastAsia" w:eastAsiaTheme="minorEastAsia"/>
          <w:b/>
          <w:bCs/>
          <w:color w:val="auto"/>
          <w:sz w:val="24"/>
          <w:szCs w:val="24"/>
          <w:highlight w:val="none"/>
          <w:lang w:eastAsia="zh-CN"/>
        </w:rPr>
        <w:t xml:space="preserve">服务方案内容</w:t>
      </w:r>
      <w:bookmarkEnd w:id="38"/>
      <w:r>
        <w:rPr>
          <w:rFonts w:hint="eastAsia" w:asciiTheme="minorEastAsia" w:hAnsiTheme="minorEastAsia" w:eastAsiaTheme="minorEastAsia"/>
          <w:b/>
          <w:bCs/>
          <w:color w:val="auto"/>
          <w:sz w:val="24"/>
          <w:szCs w:val="24"/>
          <w:highlight w:val="none"/>
          <w:lang w:eastAsia="zh-CN"/>
        </w:rPr>
        <w:t xml:space="preserve">（25分）</w:t>
      </w:r>
      <w:r/>
    </w:p>
    <w:p>
      <w:pPr>
        <w:pStyle w:val="938"/>
        <w:ind w:firstLine="482"/>
        <w:spacing w:line="480" w:lineRule="exact"/>
        <w:rPr>
          <w:rFonts w:ascii="宋体" w:hAnsi="宋体" w:eastAsia="宋体" w:cs="宋体"/>
          <w:b/>
          <w:color w:val="auto"/>
          <w:sz w:val="24"/>
          <w:szCs w:val="24"/>
          <w:highlight w:val="none"/>
          <w:lang w:eastAsia="zh-CN"/>
        </w:rPr>
      </w:pPr>
      <w:r/>
      <w:bookmarkStart w:id="40" w:name="OLE_LINK27"/>
      <w:r>
        <w:rPr>
          <w:rFonts w:hint="eastAsia" w:ascii="宋体" w:hAnsi="宋体" w:eastAsia="宋体" w:cs="宋体"/>
          <w:b/>
          <w:color w:val="auto"/>
          <w:sz w:val="24"/>
          <w:szCs w:val="24"/>
          <w:highlight w:val="none"/>
          <w:lang w:eastAsia="zh-CN"/>
        </w:rPr>
        <w:t xml:space="preserve">1、</w:t>
      </w:r>
      <w:r>
        <w:rPr>
          <w:rFonts w:hint="eastAsia" w:ascii="宋体" w:hAnsi="宋体" w:eastAsia="宋体" w:cs="宋体"/>
          <w:b/>
          <w:bCs/>
          <w:color w:val="auto"/>
          <w:sz w:val="24"/>
          <w:szCs w:val="24"/>
          <w:highlight w:val="none"/>
          <w:lang w:eastAsia="zh-CN"/>
        </w:rPr>
        <w:t xml:space="preserve">物业管理服务综合方案</w:t>
      </w:r>
      <w:r>
        <w:rPr>
          <w:rFonts w:hint="eastAsia" w:ascii="宋体" w:hAnsi="宋体" w:eastAsia="宋体" w:cs="宋体"/>
          <w:b/>
          <w:color w:val="auto"/>
          <w:sz w:val="24"/>
          <w:szCs w:val="24"/>
          <w:highlight w:val="none"/>
          <w:lang w:eastAsia="zh-CN"/>
        </w:rPr>
        <w:t xml:space="preserve">（4分）</w:t>
      </w:r>
      <w:r/>
    </w:p>
    <w:p>
      <w:pPr>
        <w:pStyle w:val="93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w:t>
      </w:r>
      <w:bookmarkStart w:id="41" w:name="OLE_LINK11"/>
      <w:r/>
      <w:bookmarkStart w:id="42" w:name="OLE_LINK10"/>
      <w:r>
        <w:rPr>
          <w:rFonts w:hint="eastAsia" w:ascii="宋体" w:hAnsi="宋体" w:eastAsia="宋体" w:cs="宋体"/>
          <w:color w:val="auto"/>
          <w:sz w:val="24"/>
          <w:szCs w:val="24"/>
          <w:highlight w:val="none"/>
          <w:lang w:eastAsia="zh-CN"/>
        </w:rPr>
        <w:t xml:space="preserve"> 第三部分 项目需求中的</w:t>
      </w:r>
      <w:bookmarkEnd w:id="41"/>
      <w:r/>
      <w:bookmarkEnd w:id="42"/>
      <w:r>
        <w:rPr>
          <w:rFonts w:hint="eastAsia" w:ascii="宋体" w:hAnsi="宋体" w:eastAsia="宋体" w:cs="宋体"/>
          <w:color w:val="auto"/>
          <w:sz w:val="24"/>
          <w:szCs w:val="24"/>
          <w:highlight w:val="none"/>
          <w:lang w:eastAsia="zh-CN"/>
        </w:rPr>
        <w:t xml:space="preserve">“物业管理服务综合方案”内容，投标人结合本项目实际情况,提供针对本项目的物业管理服务综合方案，方案内容至少包括：①整体设想、策划；②管理模式、起点、定位；③本项目重点、难点把控、合理化建议；</w:t>
      </w:r>
      <w:bookmarkStart w:id="43" w:name="OLE_LINK15"/>
      <w:r>
        <w:rPr>
          <w:rFonts w:hint="eastAsia" w:ascii="宋体" w:hAnsi="宋体" w:eastAsia="宋体" w:cs="宋体"/>
          <w:color w:val="auto"/>
          <w:sz w:val="24"/>
          <w:szCs w:val="24"/>
          <w:highlight w:val="none"/>
          <w:lang w:eastAsia="zh-CN"/>
        </w:rPr>
        <w:t xml:space="preserve">④</w:t>
      </w:r>
      <w:bookmarkEnd w:id="43"/>
      <w:r>
        <w:rPr>
          <w:rFonts w:hint="eastAsia" w:ascii="宋体" w:hAnsi="宋体" w:eastAsia="宋体" w:cs="宋体"/>
          <w:color w:val="auto"/>
          <w:sz w:val="24"/>
          <w:szCs w:val="24"/>
          <w:highlight w:val="none"/>
          <w:lang w:eastAsia="zh-CN"/>
        </w:rPr>
        <w:t xml:space="preserve">项目管理质量保障等内容评审。</w:t>
      </w:r>
      <w:r/>
    </w:p>
    <w:p>
      <w:pPr>
        <w:pStyle w:val="938"/>
        <w:ind w:firstLine="482"/>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938"/>
        <w:ind w:firstLine="482"/>
        <w:spacing w:line="48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2、</w:t>
      </w:r>
      <w:r>
        <w:rPr>
          <w:rFonts w:hint="eastAsia" w:ascii="宋体" w:hAnsi="宋体" w:eastAsia="宋体" w:cs="宋体"/>
          <w:b/>
          <w:bCs/>
          <w:color w:val="auto"/>
          <w:sz w:val="24"/>
          <w:szCs w:val="24"/>
          <w:highlight w:val="none"/>
          <w:lang w:eastAsia="zh-CN"/>
        </w:rPr>
        <w:t xml:space="preserve">保洁管理方案（</w:t>
      </w:r>
      <w:r>
        <w:rPr>
          <w:rFonts w:hint="eastAsia" w:ascii="宋体" w:hAnsi="宋体" w:eastAsia="宋体" w:cs="宋体"/>
          <w:b/>
          <w:color w:val="auto"/>
          <w:sz w:val="24"/>
          <w:szCs w:val="24"/>
          <w:highlight w:val="none"/>
          <w:lang w:eastAsia="zh-CN"/>
        </w:rPr>
        <w:t xml:space="preserve">5分）</w:t>
      </w:r>
      <w:r/>
    </w:p>
    <w:p>
      <w:pPr>
        <w:pStyle w:val="93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 第三部分 项目需求中的“保洁管理方案”内容，投标人结合本项目实际情况,提供针对本项目的保洁管理方案，方案内容至少包括:提出针对性的①组织结构建立、人员岗位配置合理；②具体的保洁工作流程、工作职责、清洁作业规范③消毒工作实施方案；④专项保洁管理；⑤管理制度及服务计划等内容评审。</w:t>
      </w:r>
      <w:r/>
    </w:p>
    <w:p>
      <w:pPr>
        <w:pStyle w:val="938"/>
        <w:ind w:firstLine="482"/>
        <w:spacing w:line="480" w:lineRule="exact"/>
        <w:rPr>
          <w:rFonts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938"/>
        <w:ind w:firstLine="482"/>
        <w:spacing w:line="48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3、</w:t>
      </w:r>
      <w:r>
        <w:rPr>
          <w:rFonts w:hint="eastAsia" w:ascii="宋体" w:hAnsi="宋体" w:eastAsia="宋体" w:cs="宋体"/>
          <w:b/>
          <w:bCs/>
          <w:color w:val="auto"/>
          <w:sz w:val="24"/>
          <w:szCs w:val="24"/>
          <w:highlight w:val="none"/>
          <w:lang w:eastAsia="zh-CN"/>
        </w:rPr>
        <w:t xml:space="preserve">防止交叉感染措施方案（</w:t>
      </w:r>
      <w:r>
        <w:rPr>
          <w:rFonts w:hint="eastAsia" w:ascii="宋体" w:hAnsi="宋体" w:eastAsia="宋体" w:cs="宋体"/>
          <w:b/>
          <w:color w:val="auto"/>
          <w:sz w:val="24"/>
          <w:szCs w:val="24"/>
          <w:highlight w:val="none"/>
          <w:lang w:eastAsia="zh-CN"/>
        </w:rPr>
        <w:t xml:space="preserve">5分）</w:t>
      </w:r>
      <w:r/>
    </w:p>
    <w:p>
      <w:pPr>
        <w:pStyle w:val="93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 </w:t>
      </w:r>
      <w:bookmarkStart w:id="44" w:name="OLE_LINK8"/>
      <w:r/>
      <w:bookmarkStart w:id="45" w:name="OLE_LINK9"/>
      <w:r>
        <w:rPr>
          <w:rFonts w:hint="eastAsia" w:ascii="宋体" w:hAnsi="宋体" w:eastAsia="宋体" w:cs="宋体"/>
          <w:color w:val="auto"/>
          <w:sz w:val="24"/>
          <w:szCs w:val="24"/>
          <w:highlight w:val="none"/>
          <w:lang w:eastAsia="zh-CN"/>
        </w:rPr>
        <w:t xml:space="preserve">第三部分 项目需求中的“防止交叉感染措施方案”内容</w:t>
      </w:r>
      <w:bookmarkEnd w:id="44"/>
      <w:r/>
      <w:bookmarkEnd w:id="45"/>
      <w:r>
        <w:rPr>
          <w:rFonts w:hint="eastAsia" w:ascii="宋体" w:hAnsi="宋体" w:eastAsia="宋体" w:cs="宋体"/>
          <w:color w:val="auto"/>
          <w:sz w:val="24"/>
          <w:szCs w:val="24"/>
          <w:highlight w:val="none"/>
          <w:lang w:eastAsia="zh-CN"/>
        </w:rPr>
        <w:t xml:space="preserve">，投标人结合本项目实际情况,提供针对本项目的防止交叉感染措施方案，方案内容包括但不限于:①人员管控；②严格的消毒隔离制度；③医疗废物、保洁工具交叉感染管理；④完整的监测与反馈机制管理；⑤区域划分与清洁消毒管理。</w:t>
      </w:r>
      <w:r/>
    </w:p>
    <w:p>
      <w:pPr>
        <w:pStyle w:val="938"/>
        <w:ind w:firstLine="482"/>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938"/>
        <w:ind w:firstLine="482"/>
        <w:spacing w:line="480" w:lineRule="exact"/>
        <w:rPr>
          <w:rFonts w:ascii="宋体" w:hAnsi="宋体" w:eastAsia="宋体" w:cs="宋体"/>
          <w:b/>
          <w:color w:val="auto"/>
          <w:sz w:val="24"/>
          <w:szCs w:val="24"/>
          <w:highlight w:val="none"/>
          <w:lang w:eastAsia="zh-CN"/>
        </w:rPr>
      </w:pPr>
      <w:r/>
      <w:bookmarkStart w:id="46" w:name="OLE_LINK14"/>
      <w:r>
        <w:rPr>
          <w:rFonts w:hint="eastAsia" w:ascii="宋体" w:hAnsi="宋体" w:eastAsia="宋体" w:cs="宋体"/>
          <w:b/>
          <w:color w:val="auto"/>
          <w:sz w:val="24"/>
          <w:szCs w:val="24"/>
          <w:highlight w:val="none"/>
          <w:lang w:eastAsia="zh-CN"/>
        </w:rPr>
        <w:t xml:space="preserve">4、</w:t>
      </w:r>
      <w:r>
        <w:rPr>
          <w:rFonts w:hint="eastAsia" w:ascii="宋体" w:hAnsi="宋体" w:eastAsia="宋体" w:cs="宋体"/>
          <w:b/>
          <w:bCs/>
          <w:color w:val="auto"/>
          <w:sz w:val="24"/>
          <w:szCs w:val="24"/>
          <w:highlight w:val="none"/>
          <w:lang w:eastAsia="zh-CN"/>
        </w:rPr>
        <w:t xml:space="preserve">乙类以上传染病应对方案</w:t>
      </w:r>
      <w:r>
        <w:rPr>
          <w:rFonts w:hint="eastAsia" w:ascii="宋体" w:hAnsi="宋体" w:eastAsia="宋体" w:cs="宋体"/>
          <w:b/>
          <w:color w:val="auto"/>
          <w:sz w:val="24"/>
          <w:szCs w:val="24"/>
          <w:highlight w:val="none"/>
          <w:lang w:eastAsia="zh-CN"/>
        </w:rPr>
        <w:t xml:space="preserve">（2分）</w:t>
      </w:r>
      <w:r/>
    </w:p>
    <w:p>
      <w:pPr>
        <w:pStyle w:val="93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 第三部分 项目需求中的“乙类以上传染病应对方案”等内容</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投标人结合本项目实际情况,提供针对本项目的乙类以上传染病应对方案，方案内容至少包括:①人员防护、清洁、消毒应对方案；②医疗废物管理应对方案；③传染病防控期间应对方案；④沟通与协作机制。</w:t>
      </w:r>
      <w:bookmarkEnd w:id="46"/>
      <w:r/>
      <w:r/>
    </w:p>
    <w:p>
      <w:pPr>
        <w:pStyle w:val="938"/>
        <w:ind w:firstLine="482"/>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bookmarkEnd w:id="40"/>
      <w:r/>
      <w:r/>
    </w:p>
    <w:p>
      <w:pPr>
        <w:pStyle w:val="938"/>
        <w:ind w:firstLine="482"/>
        <w:spacing w:line="48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5、</w:t>
      </w:r>
      <w:r>
        <w:rPr>
          <w:rFonts w:hint="eastAsia" w:ascii="宋体" w:hAnsi="宋体" w:eastAsia="宋体" w:cs="宋体"/>
          <w:b/>
          <w:bCs/>
          <w:color w:val="auto"/>
          <w:sz w:val="24"/>
          <w:szCs w:val="24"/>
          <w:highlight w:val="none"/>
          <w:lang w:eastAsia="zh-CN"/>
        </w:rPr>
        <w:t xml:space="preserve">人员培训、质量控制及支持方案（</w:t>
      </w:r>
      <w:r>
        <w:rPr>
          <w:rFonts w:hint="eastAsia" w:ascii="宋体" w:hAnsi="宋体" w:eastAsia="宋体" w:cs="宋体"/>
          <w:b/>
          <w:color w:val="auto"/>
          <w:sz w:val="24"/>
          <w:szCs w:val="24"/>
          <w:highlight w:val="none"/>
          <w:lang w:eastAsia="zh-CN"/>
        </w:rPr>
        <w:t xml:space="preserve">2分）</w:t>
      </w:r>
      <w:r/>
    </w:p>
    <w:p>
      <w:pPr>
        <w:pStyle w:val="93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 第三部分 项目需求中的“人员培训、质量控制及支持方案”等内容</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投标人结合本项目实际情况,提供针对本项目的人员培训、质量控制及支持方案，方案内容至少包括:①具体的人员培训内容、方式、目标等方案；②加强保洁员防护培训：防多重耐药菌职业暴露与防护；③建立完善的巡检程序、培训制度；④完善的质量控制方案；</w:t>
      </w:r>
      <w:r/>
    </w:p>
    <w:p>
      <w:pPr>
        <w:pStyle w:val="938"/>
        <w:ind w:firstLine="482"/>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938"/>
        <w:ind w:firstLine="482"/>
        <w:spacing w:line="480" w:lineRule="exact"/>
        <w:rPr>
          <w:rFonts w:ascii="宋体" w:hAnsi="宋体" w:eastAsia="宋体" w:cs="宋体"/>
          <w:b/>
          <w:color w:val="auto"/>
          <w:sz w:val="24"/>
          <w:szCs w:val="24"/>
          <w:highlight w:val="none"/>
          <w:lang w:eastAsia="zh-CN"/>
        </w:rPr>
      </w:pPr>
      <w:r/>
      <w:bookmarkStart w:id="47" w:name="OLE_LINK50"/>
      <w:r/>
      <w:bookmarkStart w:id="48" w:name="OLE_LINK51"/>
      <w:r/>
      <w:bookmarkStart w:id="49" w:name="OLE_LINK52"/>
      <w:r>
        <w:rPr>
          <w:rFonts w:hint="eastAsia" w:ascii="宋体" w:hAnsi="宋体" w:eastAsia="宋体" w:cs="宋体"/>
          <w:b/>
          <w:color w:val="auto"/>
          <w:sz w:val="24"/>
          <w:szCs w:val="24"/>
          <w:highlight w:val="none"/>
          <w:lang w:eastAsia="zh-CN"/>
        </w:rPr>
        <w:t xml:space="preserve">6、</w:t>
      </w:r>
      <w:r>
        <w:rPr>
          <w:rFonts w:hint="eastAsia" w:ascii="宋体" w:hAnsi="宋体" w:eastAsia="宋体" w:cs="宋体"/>
          <w:b/>
          <w:bCs/>
          <w:color w:val="auto"/>
          <w:sz w:val="24"/>
          <w:szCs w:val="24"/>
          <w:highlight w:val="none"/>
          <w:lang w:eastAsia="zh-CN"/>
        </w:rPr>
        <w:t xml:space="preserve">服务保障及突发事件的应急措施</w:t>
      </w:r>
      <w:r>
        <w:rPr>
          <w:rFonts w:hint="eastAsia" w:ascii="宋体" w:hAnsi="宋体" w:eastAsia="宋体" w:cs="宋体"/>
          <w:b/>
          <w:color w:val="auto"/>
          <w:sz w:val="24"/>
          <w:szCs w:val="24"/>
          <w:highlight w:val="none"/>
          <w:lang w:eastAsia="zh-CN"/>
        </w:rPr>
        <w:t xml:space="preserve">（3分）</w:t>
      </w:r>
      <w:bookmarkEnd w:id="47"/>
      <w:r/>
      <w:r/>
    </w:p>
    <w:p>
      <w:pPr>
        <w:pStyle w:val="93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 第三部分 项目需求中的“服务保障及突发事件的应急措施”等内容</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投标人结合本项目实际情况,提供针对本项目的服务保障及突发事件的应急措施，方案内容至少包括:①节假日、重大活动、公共安全类突发事件应急处理预案；②自然灾害类突发事件应急处理预案；③医疗废物泄露应急处理预案； </w:t>
      </w:r>
      <w:bookmarkEnd w:id="48"/>
      <w:r/>
      <w:bookmarkEnd w:id="49"/>
      <w:r/>
      <w:r/>
    </w:p>
    <w:p>
      <w:pPr>
        <w:pStyle w:val="938"/>
        <w:ind w:firstLine="482"/>
        <w:spacing w:line="480" w:lineRule="exact"/>
        <w:rPr>
          <w:rFonts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938"/>
        <w:ind w:firstLine="482"/>
        <w:spacing w:line="48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7、交接过渡工作方案（2分）</w:t>
      </w:r>
      <w:r/>
    </w:p>
    <w:p>
      <w:pPr>
        <w:pStyle w:val="93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 第三部分 项目需求中的“交接过渡工作方案”等内容</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投标人结合本项目实际情况,提供针对本项目的交接过渡工作方案，方案内容至少包括:①管理规章制度；②原有人员的安置及处理方案；③交接内容、计划方案④</w:t>
      </w:r>
      <w:r>
        <w:rPr>
          <w:rFonts w:hint="eastAsia" w:ascii="宋体" w:hAnsi="宋体" w:eastAsia="宋体" w:cs="宋体"/>
          <w:bCs/>
          <w:color w:val="auto"/>
          <w:sz w:val="24"/>
          <w:szCs w:val="24"/>
          <w:highlight w:val="none"/>
          <w:lang w:eastAsia="zh-CN" w:bidi="ar"/>
        </w:rPr>
        <w:t xml:space="preserve">交接验收方案；</w:t>
      </w:r>
      <w:r/>
    </w:p>
    <w:p>
      <w:pPr>
        <w:pStyle w:val="93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r/>
    </w:p>
    <w:p>
      <w:pPr>
        <w:pStyle w:val="938"/>
        <w:ind w:firstLine="482"/>
        <w:spacing w:line="480" w:lineRule="exact"/>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8、人员流失率控制、补充方案（2分）</w:t>
      </w:r>
      <w:r/>
    </w:p>
    <w:p>
      <w:pPr>
        <w:pStyle w:val="93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 第三部分 项目需求中的“人员流失率控制、补充方案”等内容</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投标人结合本项目实际情况,提供针对本项目的人员流失率控制、补充方案，方案内容至少包括:①员工入职培训方案；②激励管理机制；③员工流动反馈机制；④详细的人员流失控制、补充方案。</w:t>
      </w:r>
      <w:r/>
    </w:p>
    <w:p>
      <w:pPr>
        <w:pStyle w:val="93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方案内容每有一项内容针对本项目且符合本项目实际需求的，得</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eastAsia="zh-CN"/>
        </w:rPr>
        <w:t xml:space="preserve">分，满分</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分。每缺少一项内容，或内容非专门针对本项目，或内容不能满足本项目实际需求的，不得分。</w:t>
      </w:r>
      <w:bookmarkEnd w:id="39"/>
      <w:r/>
      <w:r/>
    </w:p>
    <w:p>
      <w:pPr>
        <w:pStyle w:val="938"/>
        <w:spacing w:line="480" w:lineRule="exact"/>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三、</w:t>
      </w:r>
      <w:bookmarkStart w:id="50" w:name="OLE_LINK28"/>
      <w:r>
        <w:rPr>
          <w:rFonts w:hint="eastAsia" w:ascii="宋体" w:hAnsi="宋体" w:eastAsia="宋体" w:cs="宋体"/>
          <w:b/>
          <w:bCs/>
          <w:color w:val="auto"/>
          <w:sz w:val="24"/>
          <w:szCs w:val="24"/>
          <w:highlight w:val="none"/>
          <w:lang w:eastAsia="zh-CN"/>
        </w:rPr>
        <w:t xml:space="preserve">项目人员资质</w:t>
      </w:r>
      <w:bookmarkEnd w:id="50"/>
      <w:r>
        <w:rPr>
          <w:rFonts w:hint="eastAsia" w:ascii="宋体" w:hAnsi="宋体" w:eastAsia="宋体" w:cs="宋体"/>
          <w:b/>
          <w:bCs/>
          <w:color w:val="auto"/>
          <w:sz w:val="24"/>
          <w:szCs w:val="24"/>
          <w:highlight w:val="none"/>
          <w:lang w:eastAsia="zh-CN"/>
        </w:rPr>
        <w:t xml:space="preserve">（20分）</w:t>
      </w:r>
      <w:r/>
    </w:p>
    <w:p>
      <w:pPr>
        <w:pStyle w:val="938"/>
        <w:ind w:firstLine="482"/>
        <w:spacing w:line="480" w:lineRule="exact"/>
        <w:rPr>
          <w:rFonts w:ascii="宋体" w:hAnsi="宋体" w:eastAsia="宋体" w:cs="宋体"/>
          <w:b/>
          <w:bCs/>
          <w:color w:val="auto"/>
          <w:sz w:val="24"/>
          <w:szCs w:val="24"/>
          <w:highlight w:val="none"/>
          <w:lang w:eastAsia="zh-CN"/>
        </w:rPr>
      </w:pPr>
      <w:r/>
      <w:bookmarkStart w:id="51" w:name="OLE_LINK29"/>
      <w:r/>
      <w:bookmarkStart w:id="52" w:name="OLE_LINK20"/>
      <w:r>
        <w:rPr>
          <w:rFonts w:hint="eastAsia" w:ascii="宋体" w:hAnsi="宋体" w:eastAsia="宋体" w:cs="宋体"/>
          <w:b/>
          <w:bCs/>
          <w:color w:val="auto"/>
          <w:sz w:val="24"/>
          <w:szCs w:val="24"/>
          <w:highlight w:val="none"/>
          <w:lang w:eastAsia="zh-CN"/>
        </w:rPr>
        <w:t xml:space="preserve">1、项目经理（7分）</w:t>
      </w:r>
      <w:r/>
    </w:p>
    <w:p>
      <w:pPr>
        <w:pStyle w:val="938"/>
        <w:ind w:firstLine="480"/>
        <w:spacing w:line="480" w:lineRule="exact"/>
        <w:rPr>
          <w:rFonts w:ascii="宋体" w:hAnsi="宋体" w:eastAsia="宋体" w:cs="宋体"/>
          <w:color w:val="auto"/>
          <w:sz w:val="24"/>
          <w:szCs w:val="24"/>
          <w:highlight w:val="none"/>
          <w:lang w:eastAsia="zh-CN"/>
        </w:rPr>
      </w:pPr>
      <w:r/>
      <w:bookmarkStart w:id="53" w:name="OLE_LINK54"/>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bookmarkEnd w:id="53"/>
      <w:r>
        <w:rPr>
          <w:rFonts w:hint="eastAsia" w:ascii="宋体" w:hAnsi="宋体" w:eastAsia="宋体" w:cs="宋体"/>
          <w:color w:val="auto"/>
          <w:sz w:val="24"/>
          <w:szCs w:val="24"/>
          <w:highlight w:val="none"/>
          <w:lang w:eastAsia="zh-CN"/>
        </w:rPr>
        <w:t xml:space="preserve">具有有害生物防制员</w:t>
      </w:r>
      <w:r>
        <w:rPr>
          <w:rFonts w:hint="eastAsia" w:ascii="宋体" w:hAnsi="宋体" w:eastAsia="宋体" w:cs="宋体"/>
          <w:color w:val="auto"/>
          <w:sz w:val="24"/>
          <w:szCs w:val="24"/>
          <w:highlight w:val="none"/>
          <w:lang w:val="en-US" w:eastAsia="zh-CN"/>
        </w:rPr>
        <w:t xml:space="preserve">证</w:t>
      </w:r>
      <w:r>
        <w:rPr>
          <w:rFonts w:hint="eastAsia" w:ascii="宋体" w:hAnsi="宋体" w:eastAsia="宋体" w:cs="宋体"/>
          <w:color w:val="auto"/>
          <w:sz w:val="24"/>
          <w:szCs w:val="24"/>
          <w:highlight w:val="none"/>
          <w:lang w:eastAsia="zh-CN"/>
        </w:rPr>
        <w:t xml:space="preserve">，得2分；</w:t>
      </w:r>
      <w:r/>
    </w:p>
    <w:p>
      <w:pPr>
        <w:pStyle w:val="93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）具有</w:t>
      </w:r>
      <w:r>
        <w:rPr>
          <w:rFonts w:hint="eastAsia" w:ascii="宋体" w:hAnsi="宋体" w:eastAsia="宋体" w:cs="宋体"/>
          <w:color w:val="auto"/>
          <w:sz w:val="24"/>
          <w:szCs w:val="24"/>
          <w:highlight w:val="none"/>
          <w:lang w:val="en-US" w:eastAsia="zh-CN"/>
        </w:rPr>
        <w:t xml:space="preserve">全国城建培训中心颁发的</w:t>
      </w:r>
      <w:r>
        <w:rPr>
          <w:rFonts w:hint="eastAsia" w:ascii="宋体" w:hAnsi="宋体" w:eastAsia="宋体" w:cs="宋体"/>
          <w:color w:val="auto"/>
          <w:sz w:val="24"/>
          <w:szCs w:val="24"/>
          <w:highlight w:val="none"/>
          <w:lang w:eastAsia="zh-CN"/>
        </w:rPr>
        <w:t xml:space="preserve">全国物业管理企业经理证，得2分</w:t>
      </w:r>
      <w:r/>
    </w:p>
    <w:p>
      <w:pPr>
        <w:pStyle w:val="93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）具有3年以上相关工作经验并提供业主单位盖公章的证明材料，得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p>
    <w:p>
      <w:pPr>
        <w:pStyle w:val="938"/>
        <w:ind w:firstLine="482"/>
        <w:spacing w:line="480" w:lineRule="exact"/>
        <w:rPr>
          <w:rFonts w:ascii="宋体" w:hAnsi="宋体" w:eastAsia="宋体" w:cs="宋体"/>
          <w:b/>
          <w:bCs/>
          <w:color w:val="auto"/>
          <w:sz w:val="24"/>
          <w:szCs w:val="24"/>
          <w:highlight w:val="none"/>
          <w:lang w:eastAsia="zh-CN"/>
        </w:rPr>
      </w:pPr>
      <w:r/>
      <w:bookmarkStart w:id="54" w:name="OLE_LINK56"/>
      <w:r>
        <w:rPr>
          <w:rFonts w:hint="eastAsia" w:ascii="宋体" w:hAnsi="宋体" w:eastAsia="宋体" w:cs="宋体"/>
          <w:b/>
          <w:bCs/>
          <w:color w:val="auto"/>
          <w:sz w:val="24"/>
          <w:szCs w:val="24"/>
          <w:highlight w:val="none"/>
          <w:lang w:eastAsia="zh-CN"/>
        </w:rPr>
        <w:t xml:space="preserve">2、保洁主管（5分）</w:t>
      </w:r>
      <w:bookmarkEnd w:id="54"/>
      <w:r/>
      <w:r/>
    </w:p>
    <w:p>
      <w:pPr>
        <w:pStyle w:val="93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）具有应急救护员培训合格证得1分</w:t>
      </w:r>
      <w:r/>
    </w:p>
    <w:p>
      <w:pPr>
        <w:pStyle w:val="93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（2）具有高级保洁员证，得1分；</w:t>
      </w:r>
      <w:r/>
    </w:p>
    <w:p>
      <w:pPr>
        <w:pStyle w:val="93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（3）具有垃圾分类工程师证书或高级垃圾分类管理师证书，得2分；</w:t>
      </w:r>
      <w:r/>
    </w:p>
    <w:p>
      <w:pPr>
        <w:pStyle w:val="93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（4）具有2年以上相关工作经验并提供相关证明材料，得1分。</w:t>
      </w:r>
      <w:bookmarkEnd w:id="51"/>
      <w:r/>
      <w:r/>
    </w:p>
    <w:p>
      <w:pPr>
        <w:pStyle w:val="704"/>
        <w:ind w:firstLine="482"/>
        <w:spacing w:after="0" w:line="480" w:lineRule="exact"/>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3、其他保洁人员（8分）</w:t>
      </w:r>
      <w:r/>
    </w:p>
    <w:p>
      <w:pPr>
        <w:pStyle w:val="93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具有红十字会颁发的心肺复苏（CPR+AED）培训证书的，每有一个得2分，最高得4分。</w:t>
      </w:r>
      <w:r/>
    </w:p>
    <w:p>
      <w:pPr>
        <w:pStyle w:val="93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具有红十字会颁发的应急救护培训合格证的，每有一个得1分，最高得4分</w:t>
      </w:r>
      <w:r/>
    </w:p>
    <w:p>
      <w:pPr>
        <w:pStyle w:val="938"/>
        <w:ind w:firstLine="480"/>
        <w:spacing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提供以上人员证件或证明材料复印件并加盖投标单位公章。不提供不得分。</w:t>
      </w:r>
      <w:bookmarkEnd w:id="52"/>
      <w:r/>
      <w:r/>
    </w:p>
    <w:p>
      <w:pPr>
        <w:pStyle w:val="938"/>
        <w:spacing w:line="480" w:lineRule="exact"/>
        <w:rPr>
          <w:rFonts w:ascii="宋体" w:hAnsi="宋体" w:eastAsia="宋体" w:cs="宋体"/>
          <w:b/>
          <w:color w:val="auto"/>
          <w:sz w:val="24"/>
          <w:szCs w:val="24"/>
          <w:highlight w:val="none"/>
          <w:lang w:eastAsia="zh-CN"/>
        </w:rPr>
      </w:pPr>
      <w:r/>
      <w:bookmarkStart w:id="55" w:name="OLE_LINK31"/>
      <w:r>
        <w:rPr>
          <w:rFonts w:hint="eastAsia" w:ascii="宋体" w:hAnsi="宋体" w:eastAsia="宋体" w:cs="宋体"/>
          <w:b/>
          <w:color w:val="auto"/>
          <w:sz w:val="24"/>
          <w:szCs w:val="24"/>
          <w:highlight w:val="none"/>
          <w:lang w:eastAsia="zh-CN"/>
        </w:rPr>
        <w:t xml:space="preserve">四、</w:t>
      </w:r>
      <w:bookmarkStart w:id="56" w:name="OLE_LINK30"/>
      <w:r>
        <w:rPr>
          <w:rFonts w:hint="eastAsia" w:ascii="宋体" w:hAnsi="宋体" w:eastAsia="宋体" w:cs="宋体"/>
          <w:b/>
          <w:color w:val="auto"/>
          <w:sz w:val="24"/>
          <w:szCs w:val="24"/>
          <w:highlight w:val="none"/>
          <w:lang w:eastAsia="zh-CN"/>
        </w:rPr>
        <w:t xml:space="preserve">类似项目业绩</w:t>
      </w:r>
      <w:bookmarkEnd w:id="56"/>
      <w:r>
        <w:rPr>
          <w:rFonts w:hint="eastAsia" w:ascii="宋体" w:hAnsi="宋体" w:eastAsia="宋体" w:cs="宋体"/>
          <w:b/>
          <w:color w:val="auto"/>
          <w:sz w:val="24"/>
          <w:szCs w:val="24"/>
          <w:highlight w:val="none"/>
          <w:lang w:eastAsia="zh-CN"/>
        </w:rPr>
        <w:t xml:space="preserve">（10分）：</w:t>
      </w:r>
      <w:bookmarkEnd w:id="55"/>
      <w:r/>
      <w:r/>
    </w:p>
    <w:p>
      <w:pPr>
        <w:ind w:firstLine="424"/>
        <w:spacing w:after="0" w:line="480" w:lineRule="exact"/>
        <w:rPr>
          <w:rFonts w:ascii="宋体" w:hAnsi="宋体" w:eastAsia="宋体" w:cs="宋体"/>
          <w:color w:val="auto"/>
          <w:sz w:val="24"/>
          <w:szCs w:val="24"/>
          <w:highlight w:val="none"/>
          <w:lang w:eastAsia="zh-CN"/>
        </w:rPr>
      </w:pPr>
      <w:r/>
      <w:bookmarkStart w:id="57" w:name="OLE_LINK2"/>
      <w:r>
        <w:rPr>
          <w:rFonts w:hint="eastAsia" w:ascii="宋体" w:hAnsi="宋体" w:eastAsia="宋体" w:cs="宋体"/>
          <w:color w:val="auto"/>
          <w:sz w:val="24"/>
          <w:szCs w:val="24"/>
          <w:highlight w:val="none"/>
          <w:lang w:eastAsia="zh-CN"/>
        </w:rPr>
        <w:t xml:space="preserve">投标单位自2021年1月1日起至今签订的类似物业项目业绩。所提供的物业服务项目案例需包含以下内容：保洁、陪检、司梯、运送服务、医疗废弃物收集等，至少包含其中1项，每个项目业绩得2分，本项最多得10分。</w:t>
      </w:r>
      <w:r/>
    </w:p>
    <w:p>
      <w:pPr>
        <w:ind w:firstLine="424"/>
        <w:spacing w:after="0" w:line="48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（注：投标文件中需提供合同扫描件、任意一张合同服务费发票电子件、并加盖投标单位公章，未提供或提供不齐全不得分。类似业绩日期认定：以签订合同日期为准）</w:t>
      </w:r>
      <w:bookmarkEnd w:id="57"/>
      <w:r/>
      <w:r/>
    </w:p>
    <w:p>
      <w:pPr>
        <w:pStyle w:val="938"/>
        <w:spacing w:line="360" w:lineRule="auto"/>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r>
      <w:r/>
    </w:p>
    <w:p>
      <w:pPr>
        <w:pStyle w:val="938"/>
        <w:spacing w:line="360" w:lineRule="auto"/>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注：</w:t>
      </w:r>
      <w:r/>
    </w:p>
    <w:p>
      <w:pPr>
        <w:pStyle w:val="938"/>
        <w:spacing w:line="360" w:lineRule="auto"/>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1、报价超过采购预算的为无效投标。</w:t>
      </w:r>
      <w:r/>
    </w:p>
    <w:p>
      <w:pPr>
        <w:pStyle w:val="938"/>
        <w:spacing w:line="360" w:lineRule="auto"/>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2、针对评分标准中评分的每一条，投标人均应提供相关电子证明资料并作出相应说明供评委评判，不提供相关电子证明资料的视为不具备该项得分的条件。</w:t>
      </w:r>
      <w:r/>
    </w:p>
    <w:p>
      <w:pPr>
        <w:spacing w:line="360" w:lineRule="auto"/>
        <w:rPr>
          <w:rFonts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lang w:eastAsia="zh-CN"/>
        </w:rPr>
        <w:t xml:space="preserve">3、所有扫描件字迹须清晰可见,扫描件不全或字迹不清晰的，视为未提供。</w:t>
      </w:r>
      <w:r/>
    </w:p>
    <w:p>
      <w:pPr>
        <w:jc w:val="center"/>
        <w:spacing w:after="0" w:line="40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br w:type="page" w:clear="all"/>
      </w:r>
      <w:r>
        <w:rPr>
          <w:rFonts w:cs="宋体" w:asciiTheme="minorEastAsia" w:hAnsiTheme="minorEastAsia" w:eastAsiaTheme="minorEastAsia"/>
          <w:b/>
          <w:color w:val="auto"/>
          <w:sz w:val="44"/>
          <w:highlight w:val="none"/>
          <w:lang w:eastAsia="zh-CN"/>
        </w:rPr>
        <w:t xml:space="preserve">第六部分 合同格式</w:t>
      </w:r>
      <w:r/>
    </w:p>
    <w:p>
      <w:pPr>
        <w:jc w:val="both"/>
        <w:spacing w:after="0" w:line="312"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8"/>
          <w:highlight w:val="none"/>
          <w:lang w:eastAsia="zh-CN"/>
        </w:rPr>
        <w:t xml:space="preserve"> </w:t>
      </w:r>
      <w:r/>
    </w:p>
    <w:p>
      <w:pPr>
        <w:jc w:val="center"/>
        <w:spacing w:after="0" w:line="439" w:lineRule="atLeast"/>
        <w:rPr>
          <w:rFonts w:cs="宋体" w:asciiTheme="minorEastAsia" w:hAnsiTheme="minorEastAsia" w:eastAsiaTheme="minorEastAsia"/>
          <w:b/>
          <w:color w:val="auto"/>
          <w:sz w:val="32"/>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t xml:space="preserve">合同主要条款</w:t>
      </w:r>
      <w:r/>
    </w:p>
    <w:p>
      <w:pPr>
        <w:jc w:val="center"/>
        <w:spacing w:after="0" w:line="439" w:lineRule="atLeast"/>
        <w:rPr>
          <w:rFonts w:cs="宋体" w:asciiTheme="minorEastAsia" w:hAnsiTheme="minorEastAsia" w:eastAsiaTheme="minorEastAsia"/>
          <w:b/>
          <w:color w:val="auto"/>
          <w:sz w:val="32"/>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32"/>
          <w:highlight w:val="none"/>
          <w:lang w:eastAsia="zh-CN"/>
        </w:rPr>
      </w:r>
      <w:r/>
    </w:p>
    <w:p>
      <w:pPr>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采购人（以下称甲方）供应商：（以下称乙方）</w:t>
      </w:r>
      <w:r/>
    </w:p>
    <w:p>
      <w:pPr>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地址：地址：</w:t>
      </w:r>
      <w:r/>
    </w:p>
    <w:p>
      <w:pPr>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电话：电话：</w:t>
      </w:r>
      <w:r/>
    </w:p>
    <w:p>
      <w:pPr>
        <w:ind w:firstLine="480"/>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根据《中华人民共和国民法典》、《中华人民共和国政府采购法》等法律法规的规定，甲、乙双方按照苏州市公共资源交易中心太仓分中心组织的关于</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项目（</w:t>
      </w:r>
      <w:r>
        <w:rPr>
          <w:rFonts w:cs="宋体" w:asciiTheme="minorEastAsia" w:hAnsiTheme="minorEastAsia" w:eastAsiaTheme="minorEastAsia"/>
          <w:b/>
          <w:color w:val="auto"/>
          <w:sz w:val="24"/>
          <w:highlight w:val="none"/>
          <w:lang w:eastAsia="zh-CN"/>
        </w:rPr>
        <w:t xml:space="preserve">编号</w:t>
      </w:r>
      <w:r>
        <w:rPr>
          <w:rFonts w:hint="eastAsia" w:cs="宋体" w:asciiTheme="minorEastAsia" w:hAnsiTheme="minorEastAsia" w:eastAsiaTheme="minorEastAsia"/>
          <w:b/>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）的招标结果，签订本合同。</w:t>
      </w:r>
      <w:r/>
    </w:p>
    <w:p>
      <w:pPr>
        <w:ind w:firstLine="472"/>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第一条 服务范围</w:t>
      </w:r>
      <w:r/>
    </w:p>
    <w:p>
      <w:pPr>
        <w:ind w:left="42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甲方聘请乙方提供以下服务：</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（1）本合同项下的服务指：</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（2）服务内容：</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（3）服务标准：</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（4）交付时间、地点：甲方指定。</w:t>
      </w:r>
      <w:r/>
    </w:p>
    <w:p>
      <w:pPr>
        <w:ind w:firstLine="482"/>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第二条 组成本合同的有关文件 </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下列与本次采购活动有关的文件及有关附件是本合同不可分割的组成部分，与本合同具有同等法律效力，这些文件包括但不限于：</w:t>
      </w:r>
      <w:r/>
    </w:p>
    <w:p>
      <w:pPr>
        <w:numPr>
          <w:ilvl w:val="0"/>
          <w:numId w:val="18"/>
        </w:numPr>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招标采购文件（</w:t>
      </w:r>
      <w:r>
        <w:rPr>
          <w:rFonts w:cs="宋体" w:asciiTheme="minorEastAsia" w:hAnsiTheme="minorEastAsia" w:eastAsiaTheme="minorEastAsia"/>
          <w:b/>
          <w:color w:val="auto"/>
          <w:sz w:val="24"/>
          <w:highlight w:val="none"/>
          <w:lang w:eastAsia="zh-CN"/>
        </w:rPr>
        <w:t xml:space="preserve">编号：</w:t>
      </w:r>
      <w:r>
        <w:rPr>
          <w:rFonts w:cs="宋体" w:asciiTheme="minorEastAsia" w:hAnsiTheme="minorEastAsia" w:eastAsiaTheme="minorEastAsia"/>
          <w:color w:val="auto"/>
          <w:sz w:val="24"/>
          <w:highlight w:val="none"/>
          <w:lang w:eastAsia="zh-CN"/>
        </w:rPr>
        <w:t xml:space="preserve">）</w:t>
      </w:r>
      <w:r/>
    </w:p>
    <w:p>
      <w:pPr>
        <w:numPr>
          <w:ilvl w:val="0"/>
          <w:numId w:val="18"/>
        </w:numPr>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乙方提供的投标文件和投标报价表；</w:t>
      </w:r>
      <w:r/>
    </w:p>
    <w:p>
      <w:pPr>
        <w:numPr>
          <w:ilvl w:val="0"/>
          <w:numId w:val="18"/>
        </w:numPr>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乙方在投标过程中所作的其他承诺、声明、书面澄清等；</w:t>
      </w:r>
      <w:r/>
    </w:p>
    <w:p>
      <w:pPr>
        <w:numPr>
          <w:ilvl w:val="0"/>
          <w:numId w:val="18"/>
        </w:numPr>
        <w:jc w:val="both"/>
        <w:spacing w:after="0" w:line="460"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中标通知书；</w:t>
      </w:r>
      <w:r/>
    </w:p>
    <w:p>
      <w:pPr>
        <w:numPr>
          <w:ilvl w:val="0"/>
          <w:numId w:val="18"/>
        </w:numPr>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甲乙双方商定的其他文件等。</w:t>
      </w:r>
      <w:r/>
    </w:p>
    <w:p>
      <w:pPr>
        <w:ind w:firstLine="482"/>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第三条 合同总价款 </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合同价格按此次成交价格执行，合同总金额为人民币___________（大写）人民币，小写：（￥：）元整。</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除非合同条款中另有规定，本合同执行期间合同总价款不变。</w:t>
      </w:r>
      <w:r/>
    </w:p>
    <w:p>
      <w:pPr>
        <w:ind w:firstLine="482"/>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第四条 合同款支付</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1、本合同项下所有款项均以人民币支付。</w:t>
      </w:r>
      <w:r/>
    </w:p>
    <w:p>
      <w:pPr>
        <w:ind w:firstLine="480"/>
        <w:jc w:val="both"/>
        <w:spacing w:after="0" w:line="460"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2、本合同项下的采购资金由甲方自行支付，乙方向甲方开具发票。</w:t>
      </w:r>
      <w:r/>
    </w:p>
    <w:p>
      <w:pPr>
        <w:ind w:firstLine="480"/>
        <w:jc w:val="both"/>
        <w:spacing w:after="0" w:line="460"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3、根据现行税法对乙方征收的与本合同有关的一切税费均由乙方承担。</w:t>
      </w:r>
      <w:r/>
    </w:p>
    <w:p>
      <w:pPr>
        <w:ind w:firstLine="480"/>
        <w:jc w:val="both"/>
        <w:spacing w:after="0" w:line="460" w:lineRule="atLeast"/>
        <w:rPr>
          <w:rFonts w:cs="宋体" w:asciiTheme="minorEastAsia" w:hAnsiTheme="minorEastAsia" w:eastAsia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4、付款步骤、方式：</w:t>
      </w:r>
      <w:r>
        <w:rPr>
          <w:rFonts w:hint="eastAsia" w:cs="宋体" w:asciiTheme="minorEastAsia" w:hAnsiTheme="minorEastAsia" w:eastAsiaTheme="minorEastAsia"/>
          <w:color w:val="auto"/>
          <w:sz w:val="24"/>
          <w:highlight w:val="none"/>
          <w:lang w:eastAsia="zh-CN"/>
        </w:rPr>
        <w:t xml:space="preserve"> </w:t>
      </w:r>
      <w:r/>
    </w:p>
    <w:p>
      <w:pPr>
        <w:pStyle w:val="704"/>
        <w:rPr>
          <w:color w:val="auto"/>
          <w:highlight w:val="none"/>
          <w:lang w:eastAsia="zh-CN"/>
        </w:rPr>
      </w:pPr>
      <w:r>
        <w:rPr>
          <w:color w:val="auto"/>
          <w:highlight w:val="none"/>
          <w:lang w:eastAsia="zh-CN"/>
        </w:rPr>
      </w:r>
      <w:r/>
    </w:p>
    <w:p>
      <w:pPr>
        <w:ind w:firstLine="482"/>
        <w:jc w:val="both"/>
        <w:spacing w:after="0" w:line="85"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第五条 服务质量、成果要求</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1、项目完成后甲方将组织专业人员进行项目的验收工作，如存在问题，乙方应进行改进，直至验收合格为止；</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2、验收标准: 按采购文件要求、乙方的投标承诺或国家相关标准。</w:t>
      </w:r>
      <w:r/>
    </w:p>
    <w:p>
      <w:pPr>
        <w:ind w:firstLine="482"/>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第六条 甲、乙双方权利义务</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1、甲方应当为保证项目服务的完成，给予乙方积极支持，为乙方提供项目实施的必要条件；</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2、甲方应当按照本合同约定按时支付合同金额。</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3、乙方提交的服务成果未经甲方书面许可，不得向任何第三方泄露。</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4、乙方提供必要的技术培训，协助甲方完成其他需要中标单位配合的服务。</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5、乙方根据国家标准、行业标准和规范要求及标书规定的服务质量标准和有关要求，保质保量地完成服务工作。</w:t>
      </w:r>
      <w:r/>
    </w:p>
    <w:p>
      <w:pPr>
        <w:ind w:firstLine="482"/>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第七条 知识产权</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1、在合同履行过程中，由甲方向乙方提供的资料－－包括但不限于程序、文件、报告、说明、图表等均归甲方所有。</w:t>
      </w:r>
      <w:r/>
    </w:p>
    <w:p>
      <w:pPr>
        <w:numPr>
          <w:ilvl w:val="0"/>
          <w:numId w:val="19"/>
        </w:numPr>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第八条 保密条款</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第九条 风险责任</w:t>
      </w:r>
      <w:r/>
    </w:p>
    <w:p>
      <w:pPr>
        <w:pStyle w:val="938"/>
        <w:ind w:firstLine="480"/>
        <w:spacing w:line="480" w:lineRule="exact"/>
        <w:rPr>
          <w:rFonts w:cs="微软雅黑" w:asciiTheme="minorEastAsia" w:hAnsiTheme="minorEastAsia" w:eastAsiaTheme="minorEastAsia"/>
          <w:color w:val="auto"/>
          <w:sz w:val="24"/>
          <w:szCs w:val="24"/>
          <w:highlight w:val="none"/>
          <w:lang w:eastAsia="zh-CN"/>
        </w:rPr>
      </w:pPr>
      <w:r>
        <w:rPr>
          <w:rFonts w:hint="eastAsia" w:cs="微软雅黑" w:asciiTheme="minorEastAsia" w:hAnsiTheme="minorEastAsia" w:eastAsiaTheme="minorEastAsia"/>
          <w:color w:val="auto"/>
          <w:sz w:val="24"/>
          <w:szCs w:val="24"/>
          <w:highlight w:val="none"/>
          <w:lang w:eastAsia="zh-CN"/>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pStyle w:val="938"/>
        <w:ind w:firstLine="482"/>
        <w:spacing w:line="480" w:lineRule="exact"/>
        <w:rPr>
          <w:rFonts w:asciiTheme="minorEastAsia" w:hAnsiTheme="minorEastAsia" w:eastAsiaTheme="minorEastAsia"/>
          <w:color w:val="auto"/>
          <w:sz w:val="24"/>
          <w:szCs w:val="24"/>
          <w:highlight w:val="none"/>
          <w:lang w:eastAsia="zh-CN"/>
        </w:rPr>
      </w:pPr>
      <w:r>
        <w:rPr>
          <w:rFonts w:hint="eastAsia" w:cs="微软雅黑" w:asciiTheme="minorEastAsia" w:hAnsiTheme="minorEastAsia" w:eastAsiaTheme="minorEastAsia"/>
          <w:b/>
          <w:color w:val="auto"/>
          <w:sz w:val="24"/>
          <w:szCs w:val="24"/>
          <w:highlight w:val="none"/>
          <w:lang w:eastAsia="zh-CN"/>
        </w:rPr>
        <w:t xml:space="preserve">第十条</w:t>
      </w:r>
      <w:r>
        <w:rPr>
          <w:rFonts w:asciiTheme="minorEastAsia" w:hAnsiTheme="minorEastAsia" w:eastAsiaTheme="minorEastAsia"/>
          <w:b/>
          <w:color w:val="auto"/>
          <w:sz w:val="24"/>
          <w:szCs w:val="24"/>
          <w:highlight w:val="none"/>
          <w:lang w:eastAsia="zh-CN"/>
        </w:rPr>
        <w:t xml:space="preserve"> </w:t>
      </w:r>
      <w:r>
        <w:rPr>
          <w:rFonts w:hint="eastAsia" w:cs="微软雅黑" w:asciiTheme="minorEastAsia" w:hAnsiTheme="minorEastAsia" w:eastAsiaTheme="minorEastAsia"/>
          <w:b/>
          <w:color w:val="auto"/>
          <w:sz w:val="24"/>
          <w:szCs w:val="24"/>
          <w:highlight w:val="none"/>
          <w:lang w:eastAsia="zh-CN"/>
        </w:rPr>
        <w:t xml:space="preserve">履约保证金</w:t>
      </w:r>
      <w:r/>
    </w:p>
    <w:p>
      <w:pPr>
        <w:pStyle w:val="938"/>
        <w:ind w:firstLine="480"/>
        <w:spacing w:line="480" w:lineRule="exact"/>
        <w:rPr>
          <w:rFonts w:asciiTheme="minorEastAsia" w:hAnsiTheme="minorEastAsia" w:eastAsiaTheme="minorEastAsia"/>
          <w:color w:val="auto"/>
          <w:position w:val="2"/>
          <w:sz w:val="24"/>
          <w:szCs w:val="24"/>
          <w:highlight w:val="none"/>
          <w:lang w:eastAsia="zh-CN"/>
        </w:rPr>
      </w:pPr>
      <w:r>
        <w:rPr>
          <w:rFonts w:asciiTheme="minorEastAsia" w:hAnsiTheme="minorEastAsia" w:eastAsiaTheme="minorEastAsia"/>
          <w:color w:val="auto"/>
          <w:sz w:val="24"/>
          <w:szCs w:val="24"/>
          <w:highlight w:val="none"/>
          <w:lang w:eastAsia="zh-CN"/>
        </w:rPr>
        <w:t xml:space="preserve">1</w:t>
      </w:r>
      <w:r>
        <w:rPr>
          <w:rFonts w:hint="eastAsia" w:cs="微软雅黑" w:asciiTheme="minorEastAsia" w:hAnsiTheme="minorEastAsia" w:eastAsiaTheme="minorEastAsia"/>
          <w:color w:val="auto"/>
          <w:sz w:val="24"/>
          <w:szCs w:val="24"/>
          <w:highlight w:val="none"/>
          <w:lang w:eastAsia="zh-CN"/>
        </w:rPr>
        <w:t xml:space="preserve">、</w:t>
      </w:r>
      <w:r>
        <w:rPr>
          <w:rFonts w:hint="eastAsia" w:asciiTheme="minorEastAsia" w:hAnsiTheme="minorEastAsia" w:eastAsiaTheme="minorEastAsia"/>
          <w:color w:val="auto"/>
          <w:position w:val="2"/>
          <w:sz w:val="24"/>
          <w:szCs w:val="24"/>
          <w:highlight w:val="none"/>
          <w:lang w:eastAsia="zh-CN"/>
        </w:rPr>
        <w:t xml:space="preserve">履约保证金</w:t>
      </w:r>
      <w:bookmarkStart w:id="58" w:name="OLE_LINK42"/>
      <w:r/>
      <w:bookmarkStart w:id="59" w:name="OLE_LINK45"/>
      <w:r>
        <w:rPr>
          <w:rFonts w:hint="eastAsia" w:asciiTheme="minorEastAsia" w:hAnsiTheme="minorEastAsia" w:eastAsiaTheme="minorEastAsia"/>
          <w:color w:val="auto"/>
          <w:position w:val="2"/>
          <w:sz w:val="24"/>
          <w:szCs w:val="24"/>
          <w:highlight w:val="none"/>
          <w:lang w:eastAsia="zh-CN"/>
        </w:rPr>
        <w:t xml:space="preserve">按照招标文件的要求收取 </w:t>
      </w:r>
      <w:bookmarkEnd w:id="58"/>
      <w:r/>
      <w:bookmarkEnd w:id="59"/>
      <w:r>
        <w:rPr>
          <w:rFonts w:hint="eastAsia" w:asciiTheme="minorEastAsia" w:hAnsiTheme="minorEastAsia" w:eastAsiaTheme="minorEastAsia"/>
          <w:color w:val="auto"/>
          <w:position w:val="2"/>
          <w:sz w:val="24"/>
          <w:szCs w:val="24"/>
          <w:highlight w:val="none"/>
          <w:lang w:eastAsia="zh-CN"/>
        </w:rPr>
        <w:t xml:space="preserve">。乙方应当以支票、汇票、本票或者金融机构、担保机构出具的保函（保险）等非现金形式在本合同签订后十五个工作日内提交给甲方。</w:t>
      </w:r>
      <w:r/>
    </w:p>
    <w:p>
      <w:pPr>
        <w:pStyle w:val="938"/>
        <w:ind w:firstLine="480"/>
        <w:spacing w:line="480" w:lineRule="exact"/>
        <w:rPr>
          <w:rFonts w:asciiTheme="minorEastAsia" w:hAnsiTheme="minorEastAsia" w:eastAsiaTheme="minorEastAsia"/>
          <w:color w:val="auto"/>
          <w:position w:val="2"/>
          <w:sz w:val="24"/>
          <w:szCs w:val="24"/>
          <w:highlight w:val="none"/>
          <w:lang w:eastAsia="zh-CN"/>
        </w:rPr>
      </w:pPr>
      <w:r>
        <w:rPr>
          <w:rFonts w:hint="eastAsia" w:asciiTheme="minorEastAsia" w:hAnsiTheme="minorEastAsia" w:eastAsiaTheme="minorEastAsia"/>
          <w:color w:val="auto"/>
          <w:position w:val="2"/>
          <w:sz w:val="24"/>
          <w:szCs w:val="24"/>
          <w:highlight w:val="none"/>
          <w:lang w:eastAsia="zh-CN"/>
        </w:rPr>
        <w:t xml:space="preserve">2、如果乙方未能全部履行合同约定义务，履约保证金不予退还；若造成甲方损失的，甲方有权从履约保证金中取得补偿或赔偿，且不影响甲方要求乙方承担合同约定的超过履约保证金的违约责任的权利。</w:t>
      </w:r>
      <w:r/>
    </w:p>
    <w:p>
      <w:pPr>
        <w:pStyle w:val="938"/>
        <w:ind w:firstLine="480"/>
        <w:spacing w:line="480" w:lineRule="exact"/>
        <w:rPr>
          <w:rFonts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position w:val="2"/>
          <w:sz w:val="24"/>
          <w:szCs w:val="24"/>
          <w:highlight w:val="none"/>
          <w:lang w:eastAsia="zh-CN"/>
        </w:rPr>
        <w:t xml:space="preserve">3、甲方在合同全部履行完毕后十五个工作日内将履约保证金退还乙方（不计息）；逾期退还的，乙方可要求甲方支付违约金，每逾期一天违约金按照履约保证金的万分之一规定支付。</w:t>
      </w:r>
      <w:r>
        <w:rPr>
          <w:rFonts w:hint="eastAsia" w:cs="微软雅黑" w:asciiTheme="minorEastAsia" w:hAnsiTheme="minorEastAsia" w:eastAsiaTheme="minorEastAsia"/>
          <w:color w:val="auto"/>
          <w:sz w:val="24"/>
          <w:szCs w:val="24"/>
          <w:highlight w:val="none"/>
          <w:lang w:eastAsia="zh-CN"/>
        </w:rPr>
        <w:t xml:space="preserve">件的约定要求提供相应的履约保证金。</w:t>
      </w:r>
      <w:r/>
    </w:p>
    <w:p>
      <w:pPr>
        <w:pStyle w:val="938"/>
        <w:ind w:firstLine="482"/>
        <w:spacing w:line="480" w:lineRule="exact"/>
        <w:rPr>
          <w:rFonts w:asciiTheme="minorEastAsia" w:hAnsiTheme="minorEastAsia" w:eastAsiaTheme="minorEastAsia"/>
          <w:color w:val="auto"/>
          <w:sz w:val="24"/>
          <w:szCs w:val="24"/>
          <w:highlight w:val="none"/>
          <w:lang w:eastAsia="zh-CN"/>
        </w:rPr>
      </w:pPr>
      <w:r>
        <w:rPr>
          <w:rFonts w:hint="eastAsia" w:cs="微软雅黑" w:asciiTheme="minorEastAsia" w:hAnsiTheme="minorEastAsia" w:eastAsiaTheme="minorEastAsia"/>
          <w:b/>
          <w:color w:val="auto"/>
          <w:sz w:val="24"/>
          <w:szCs w:val="24"/>
          <w:highlight w:val="none"/>
          <w:lang w:eastAsia="zh-CN"/>
        </w:rPr>
        <w:t xml:space="preserve">第十一条</w:t>
      </w:r>
      <w:r>
        <w:rPr>
          <w:rFonts w:asciiTheme="minorEastAsia" w:hAnsiTheme="minorEastAsia" w:eastAsiaTheme="minorEastAsia"/>
          <w:b/>
          <w:color w:val="auto"/>
          <w:sz w:val="24"/>
          <w:szCs w:val="24"/>
          <w:highlight w:val="none"/>
          <w:lang w:eastAsia="zh-CN"/>
        </w:rPr>
        <w:t xml:space="preserve"> </w:t>
      </w:r>
      <w:r>
        <w:rPr>
          <w:rFonts w:hint="eastAsia" w:cs="微软雅黑" w:asciiTheme="minorEastAsia" w:hAnsiTheme="minorEastAsia" w:eastAsiaTheme="minorEastAsia"/>
          <w:b/>
          <w:color w:val="auto"/>
          <w:sz w:val="24"/>
          <w:szCs w:val="24"/>
          <w:highlight w:val="none"/>
          <w:lang w:eastAsia="zh-CN"/>
        </w:rPr>
        <w:t xml:space="preserve">合同的变更和终止</w:t>
      </w:r>
      <w:r/>
    </w:p>
    <w:p>
      <w:pPr>
        <w:pStyle w:val="938"/>
        <w:ind w:firstLine="480"/>
        <w:spacing w:line="480" w:lineRule="exact"/>
        <w:rPr>
          <w:color w:val="auto"/>
          <w:highlight w:val="none"/>
          <w:lang w:eastAsia="zh-CN"/>
        </w:rPr>
      </w:pPr>
      <w:r>
        <w:rPr>
          <w:rFonts w:asciiTheme="minorEastAsia" w:hAnsiTheme="minorEastAsia" w:eastAsiaTheme="minorEastAsia"/>
          <w:color w:val="auto"/>
          <w:sz w:val="24"/>
          <w:szCs w:val="24"/>
          <w:highlight w:val="none"/>
          <w:lang w:eastAsia="zh-CN"/>
        </w:rPr>
        <w:t xml:space="preserve">1</w:t>
      </w:r>
      <w:r>
        <w:rPr>
          <w:rFonts w:hint="eastAsia" w:cs="微软雅黑" w:asciiTheme="minorEastAsia" w:hAnsiTheme="minorEastAsia" w:eastAsiaTheme="minorEastAsia"/>
          <w:color w:val="auto"/>
          <w:sz w:val="24"/>
          <w:szCs w:val="24"/>
          <w:highlight w:val="none"/>
          <w:lang w:eastAsia="zh-CN"/>
        </w:rPr>
        <w:t xml:space="preserve">、本合同一经签订，甲乙双方不得擅</w:t>
      </w:r>
      <w:r>
        <w:rPr>
          <w:rFonts w:hint="eastAsia" w:ascii="微软雅黑" w:hAnsi="微软雅黑" w:eastAsia="微软雅黑" w:cs="微软雅黑"/>
          <w:color w:val="auto"/>
          <w:highlight w:val="none"/>
          <w:lang w:eastAsia="zh-CN"/>
        </w:rPr>
        <w:t xml:space="preserve">自变更、中止或终止合同。</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2、除发生法律规定的不能预见、不能避免并不能克服的客观情况外，甲乙双方不得放弃或拒绝履行合同。乙方放弃或拒绝履行合同，保证金不予退还。</w:t>
      </w:r>
      <w:r/>
    </w:p>
    <w:p>
      <w:pPr>
        <w:ind w:firstLine="482"/>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第十二条 合同的转让</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1、乙方不得擅自部分或全部转让其应履行的合同义务。    </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2、乙方在履行合同过程中，不得将服务项目委托给第三方。</w:t>
      </w:r>
      <w:r/>
    </w:p>
    <w:p>
      <w:pPr>
        <w:ind w:firstLine="482"/>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第十三条 违约责任</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1、在合同生效后，甲方无理由要求终止服务的，应向乙方偿付合同总价款的5%，作为违约金，违约金不足以补偿损失的，乙方有权要求甲方补足。</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2、甲方逾期付款的，应按照逾期付款金额的每天万分之四支付逾期付款违约金。</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4、乙方项目组成员须按招标文件承诺人员配备，未经甲方同意不得擅自更换；如更换需向甲方支付赔偿金。</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6、其他未尽事宜，以《民法典》和《政府采购法》等有关法律法规规定为准，无相关规定的，双方协商解决。</w:t>
      </w:r>
      <w:r/>
    </w:p>
    <w:p>
      <w:pPr>
        <w:ind w:firstLine="482"/>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第十四条 不可抗力</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因合同一方迟延履行后发生不可抗力的，不能免除责任。</w:t>
      </w:r>
      <w:r/>
    </w:p>
    <w:p>
      <w:pPr>
        <w:ind w:firstLine="482"/>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第十五条 索赔</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第十六条 争议的解决</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1、因服务的质量问题发生争议的，应当邀请国家认可的质量检测机构对服务项目质量进行鉴定。项目符合标准的，鉴定费由甲方承担；项目不符合质量标准的，鉴定费由乙方承担。</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2、因履行本合同引起的或与本合同有关的争议，甲、乙双方应首先通过友好协商解决，如果协商不能解决争议，则向甲方所在地有管辖权的人民法院提起诉讼；</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3、在法院审理和仲裁期间，除有争议部分外，本合同其他部分应继续履行。</w:t>
      </w:r>
      <w:r/>
    </w:p>
    <w:p>
      <w:pPr>
        <w:ind w:firstLine="482"/>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第十七条 诚实信用 </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乙方应诚实信用，严格按照招标文件要求和投标承诺履行合同，不向甲方进行商业贿赂或者提供不正当利益。</w:t>
      </w:r>
      <w:r/>
    </w:p>
    <w:p>
      <w:pPr>
        <w:ind w:firstLine="482"/>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z w:val="24"/>
          <w:highlight w:val="none"/>
          <w:lang w:eastAsia="zh-CN"/>
        </w:rPr>
        <w:t xml:space="preserve">第十八条 合同生效及其他</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1、本合同自经甲乙双方授权代表签订并加盖公章后，自签订之日起生效。</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2、本合同一式</w:t>
      </w:r>
      <w:r>
        <w:rPr>
          <w:rFonts w:hint="eastAsia" w:cs="宋体" w:asciiTheme="minorEastAsia" w:hAnsiTheme="minorEastAsia" w:eastAsiaTheme="minorEastAsia"/>
          <w:color w:val="auto"/>
          <w:sz w:val="24"/>
          <w:highlight w:val="none"/>
          <w:lang w:eastAsia="zh-CN"/>
        </w:rPr>
        <w:t xml:space="preserve">两份</w:t>
      </w:r>
      <w:r>
        <w:rPr>
          <w:rFonts w:cs="宋体" w:asciiTheme="minorEastAsia" w:hAnsiTheme="minorEastAsia" w:eastAsiaTheme="minorEastAsia"/>
          <w:color w:val="auto"/>
          <w:sz w:val="24"/>
          <w:highlight w:val="none"/>
          <w:lang w:eastAsia="zh-CN"/>
        </w:rPr>
        <w:t xml:space="preserve">，甲乙双方各执一份。</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3、本合同应按照中华人民共和国的现行法律进行解释。</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甲方（采购人）：（盖章）</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             乙方（供应商）：（盖章）</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代表人：                   代表人：</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电话：                    电话：</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开户银行：</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开户银行：</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帐号：</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帐号：</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日期： 年 月 日</w:t>
      </w:r>
      <w:r>
        <w:rPr>
          <w:rFonts w:hint="eastAsia" w:cs="宋体" w:asciiTheme="minorEastAsia" w:hAnsiTheme="minorEastAsia" w:eastAsiaTheme="minorEastAsia"/>
          <w:color w:val="auto"/>
          <w:sz w:val="24"/>
          <w:highlight w:val="none"/>
          <w:lang w:eastAsia="zh-CN"/>
        </w:rPr>
        <w:t xml:space="preserve">                                </w:t>
      </w:r>
      <w:r>
        <w:rPr>
          <w:rFonts w:cs="宋体" w:asciiTheme="minorEastAsia" w:hAnsiTheme="minorEastAsia" w:eastAsiaTheme="minorEastAsia"/>
          <w:color w:val="auto"/>
          <w:sz w:val="24"/>
          <w:highlight w:val="none"/>
          <w:lang w:eastAsia="zh-CN"/>
        </w:rPr>
        <w:t xml:space="preserve">日期：年月日</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ind w:firstLine="480"/>
        <w:jc w:val="both"/>
        <w:spacing w:after="0" w:line="460"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lang w:eastAsia="zh-CN"/>
        </w:rPr>
        <w:t xml:space="preserve"> </w:t>
      </w:r>
      <w:r/>
    </w:p>
    <w:p>
      <w:pPr>
        <w:jc w:val="both"/>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olor w:val="auto"/>
          <w:highlight w:val="none"/>
          <w:lang w:eastAsia="zh-CN"/>
        </w:rPr>
      </w:r>
      <w:r/>
    </w:p>
    <w:p>
      <w:pPr>
        <w:jc w:val="center"/>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4"/>
          <w:highlight w:val="none"/>
          <w:lang w:eastAsia="zh-CN"/>
        </w:rPr>
        <w:t xml:space="preserve"> </w:t>
      </w:r>
      <w:r/>
    </w:p>
    <w:p>
      <w:pPr>
        <w:jc w:val="center"/>
        <w:spacing w:after="0" w:line="439" w:lineRule="atLeast"/>
        <w:rPr>
          <w:rFonts w:asciiTheme="minorEastAsia" w:hAnsiTheme="minorEastAsia" w:eastAsiaTheme="minorEastAsia"/>
          <w:color w:val="auto"/>
          <w:highlight w:val="none"/>
          <w:lang w:eastAsia="zh-CN"/>
        </w:rPr>
        <w:pBdr>
          <w:top w:val="none" w:color="000000" w:sz="0" w:space="0"/>
          <w:left w:val="none" w:color="000000" w:sz="0" w:space="0"/>
          <w:bottom w:val="none" w:color="000000" w:sz="0" w:space="0"/>
          <w:right w:val="none" w:color="000000" w:sz="0" w:space="0"/>
        </w:pBdr>
      </w:pPr>
      <w:r>
        <w:rPr>
          <w:rFonts w:cs="Times New Roman" w:asciiTheme="minorEastAsia" w:hAnsiTheme="minorEastAsia" w:eastAsiaTheme="minorEastAsia"/>
          <w:color w:val="auto"/>
          <w:sz w:val="24"/>
          <w:highlight w:val="none"/>
          <w:lang w:eastAsia="zh-CN"/>
        </w:rPr>
        <w:t xml:space="preserve"> </w:t>
      </w:r>
      <w:r/>
    </w:p>
    <w:p>
      <w:pPr>
        <w:ind w:firstLine="3600"/>
        <w:jc w:val="both"/>
        <w:spacing w:after="0" w:line="439" w:lineRule="atLeast"/>
        <w:rPr>
          <w:rFonts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 w:val="24"/>
          <w:highlight w:val="none"/>
        </w:rPr>
        <w:t xml:space="preserve">（全文完）</w:t>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MS Gothic">
    <w:panose1 w:val="020B0609070205080204"/>
  </w:font>
  <w:font w:name="Cambria Math">
    <w:panose1 w:val="02040503050406030204"/>
  </w:font>
  <w:font w:name="仿宋">
    <w:panose1 w:val="02010609060101010101"/>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华文楷体">
    <w:panose1 w:val="02010600040101010101"/>
  </w:font>
  <w:font w:name="Wingdings">
    <w:panose1 w:val="05000000000000000000"/>
  </w:font>
  <w:font w:name="MiSans">
    <w:panose1 w:val="020B050302020202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39"/>
      <w:isLgl w:val="false"/>
      <w:suff w:val="tab"/>
      <w:lvlText w:val="§"/>
      <w:lvlJc w:val="left"/>
      <w:pPr>
        <w:ind w:left="218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11"/>
      <w:isLgl w:val="false"/>
      <w:suff w:val="tab"/>
      <w:lvlText w:val="w"/>
      <w:lvlJc w:val="left"/>
      <w:pPr>
        <w:ind w:left="42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33"/>
      <w:isLgl w:val="false"/>
      <w:suff w:val="space"/>
      <w:lvlText w:val="²"/>
      <w:lvlJc w:val="left"/>
      <w:pPr>
        <w:ind w:left="420" w:hanging="420"/>
        <w:tabs>
          <w:tab w:val="left" w:pos="420" w:leader="none"/>
        </w:tabs>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708"/>
      <w:isLgl w:val="false"/>
      <w:suff w:val="tab"/>
      <w:lvlText w:val="(%1)"/>
      <w:lvlJc w:val="left"/>
      <w:pPr>
        <w:ind w:left="440" w:hanging="4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04"/>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7">
    <w:multiLevelType w:val="hybridMultilevel"/>
    <w:lvl w:ilvl="0">
      <w:start w:val="1"/>
      <w:numFmt w:val="chineseCountingThousand"/>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isLgl/>
      <w:suff w:val="tab"/>
      <w:lvlText w:val="%1.%2"/>
      <w:lvlJc w:val="left"/>
      <w:pPr>
        <w:ind w:left="3970" w:firstLine="0"/>
      </w:pPr>
      <w:rPr>
        <w:rFonts w:hint="eastAsia"/>
      </w:rPr>
    </w:lvl>
    <w:lvl w:ilvl="2">
      <w:start w:val="1"/>
      <w:numFmt w:val="decimal"/>
      <w:pStyle w:val="1021"/>
      <w:isLgl/>
      <w:suff w:val="tab"/>
      <w:lvlText w:val="%1.%2.%3"/>
      <w:lvlJc w:val="left"/>
      <w:pPr>
        <w:ind w:left="0" w:firstLine="0"/>
      </w:pPr>
      <w:rPr>
        <w:rFonts w:hint="eastAsia"/>
      </w:rPr>
    </w:lvl>
    <w:lvl w:ilvl="3">
      <w:start w:val="1"/>
      <w:numFmt w:val="decimal"/>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8">
    <w:multiLevelType w:val="hybridMultilevel"/>
    <w:lvl w:ilvl="0">
      <w:start w:val="1"/>
      <w:numFmt w:val="decimal"/>
      <w:pStyle w:val="729"/>
      <w:isLgl w:val="false"/>
      <w:suff w:val="nothing"/>
      <w:lvlText w:val="%1) "/>
      <w:lvlJc w:val="left"/>
      <w:pPr>
        <w:ind w:left="0" w:firstLine="40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727"/>
      <w:isLgl w:val="false"/>
      <w:suff w:val="tab"/>
      <w:lvlText w:val="w"/>
      <w:lvlJc w:val="left"/>
      <w:pPr>
        <w:ind w:left="420" w:hanging="420"/>
      </w:pPr>
      <w:rPr>
        <w:rFonts w:hint="default" w:ascii="Wingdings" w:hAnsi="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pStyle w:val="1017"/>
      <w:isLgl w:val="false"/>
      <w:suff w:val="nothing"/>
      <w:lvlText w:val="第%1章 "/>
      <w:lvlJc w:val="left"/>
      <w:pPr>
        <w:ind w:left="425" w:hanging="425"/>
      </w:pPr>
      <w:rPr>
        <w:rFonts w:hint="eastAsia"/>
      </w:rPr>
    </w:lvl>
    <w:lvl w:ilvl="1">
      <w:start w:val="1"/>
      <w:numFmt w:val="decimal"/>
      <w:isLgl/>
      <w:suff w:val="tab"/>
      <w:lvlText w:val="%1.%2."/>
      <w:lvlJc w:val="left"/>
      <w:pPr>
        <w:ind w:left="567" w:hanging="567"/>
      </w:pPr>
      <w:rPr>
        <w:rFonts w:hint="eastAsia"/>
      </w:rPr>
    </w:lvl>
    <w:lvl w:ilvl="2">
      <w:start w:val="1"/>
      <w:numFmt w:val="decimal"/>
      <w:isLgl/>
      <w:suff w:val="tab"/>
      <w:lvlText w:val="%1.%2.%3."/>
      <w:lvlJc w:val="left"/>
      <w:pPr>
        <w:ind w:left="709" w:hanging="709"/>
      </w:pPr>
      <w:rPr>
        <w:rFonts w:hint="eastAsia"/>
      </w:rPr>
    </w:lvl>
    <w:lvl w:ilvl="3">
      <w:start w:val="1"/>
      <w:numFmt w:val="decimal"/>
      <w:isLgl/>
      <w:suff w:val="tab"/>
      <w:lvlText w:val="%1.%2.%3.%4."/>
      <w:lvlJc w:val="left"/>
      <w:pPr>
        <w:ind w:left="850" w:hanging="850"/>
      </w:pPr>
      <w:rPr>
        <w:rFonts w:hint="eastAsia"/>
      </w:rPr>
    </w:lvl>
    <w:lvl w:ilvl="4">
      <w:start w:val="1"/>
      <w:numFmt w:val="decimal"/>
      <w:isLgl/>
      <w:suff w:val="tab"/>
      <w:lvlText w:val="%1.%2.%3.%4.%5."/>
      <w:lvlJc w:val="left"/>
      <w:pPr>
        <w:ind w:left="991" w:hanging="991"/>
      </w:pPr>
      <w:rPr>
        <w:rFonts w:hint="eastAsia"/>
      </w:rPr>
    </w:lvl>
    <w:lvl w:ilvl="5">
      <w:start w:val="1"/>
      <w:numFmt w:val="decimal"/>
      <w:isLgl/>
      <w:suff w:val="tab"/>
      <w:lvlText w:val="%1.%2.%3.%4.%5.%6."/>
      <w:lvlJc w:val="left"/>
      <w:pPr>
        <w:ind w:left="1134" w:hanging="1134"/>
      </w:pPr>
      <w:rPr>
        <w:rFonts w:hint="eastAsia"/>
      </w:rPr>
    </w:lvl>
    <w:lvl w:ilvl="6">
      <w:start w:val="1"/>
      <w:numFmt w:val="decimal"/>
      <w:isLgl/>
      <w:suff w:val="tab"/>
      <w:lvlText w:val="%1.%2.%3.%4.%5.%6.%7."/>
      <w:lvlJc w:val="left"/>
      <w:pPr>
        <w:ind w:left="1275" w:hanging="1275"/>
      </w:pPr>
      <w:rPr>
        <w:rFonts w:hint="eastAsia"/>
      </w:rPr>
    </w:lvl>
    <w:lvl w:ilvl="7">
      <w:start w:val="1"/>
      <w:numFmt w:val="decimal"/>
      <w:isLgl/>
      <w:suff w:val="tab"/>
      <w:lvlText w:val="%1.%2.%3.%4.%5.%6.%7.%8."/>
      <w:lvlJc w:val="left"/>
      <w:pPr>
        <w:ind w:left="1418" w:hanging="1418"/>
      </w:pPr>
      <w:rPr>
        <w:rFonts w:hint="eastAsia"/>
      </w:rPr>
    </w:lvl>
    <w:lvl w:ilvl="8">
      <w:start w:val="1"/>
      <w:numFmt w:val="decimal"/>
      <w:isLgl/>
      <w:suff w:val="tab"/>
      <w:lvlText w:val="%1.%2.%3.%4.%5.%6.%7.%8.%9."/>
      <w:lvlJc w:val="left"/>
      <w:pPr>
        <w:ind w:left="1558" w:hanging="1558"/>
      </w:pPr>
      <w:rPr>
        <w:rFonts w:hint="eastAsia"/>
      </w:rPr>
    </w:lvl>
  </w:abstractNum>
  <w:abstractNum w:abstractNumId="11">
    <w:multiLevelType w:val="hybridMultilevel"/>
    <w:lvl w:ilvl="0">
      <w:start w:val="1"/>
      <w:numFmt w:val="bullet"/>
      <w:pStyle w:val="718"/>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pStyle w:val="1020"/>
      <w:isLgl/>
      <w:suff w:val="tab"/>
      <w:lvlText w:val="%1.%2"/>
      <w:lvlJc w:val="left"/>
      <w:pPr>
        <w:ind w:left="3970" w:firstLine="0"/>
      </w:pPr>
      <w:rPr>
        <w:rFonts w:hint="eastAsia"/>
      </w:rPr>
    </w:lvl>
    <w:lvl w:ilvl="2">
      <w:start w:val="1"/>
      <w:numFmt w:val="decimal"/>
      <w:isLgl/>
      <w:suff w:val="tab"/>
      <w:lvlText w:val="%1.%2.%3"/>
      <w:lvlJc w:val="left"/>
      <w:pPr>
        <w:ind w:left="0" w:firstLine="0"/>
      </w:pPr>
      <w:rPr>
        <w:rFonts w:hint="eastAsia"/>
      </w:rPr>
    </w:lvl>
    <w:lvl w:ilvl="3">
      <w:start w:val="1"/>
      <w:numFmt w:val="decimal"/>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14">
    <w:multiLevelType w:val="hybridMultilevel"/>
    <w:lvl w:ilvl="0">
      <w:start w:val="1"/>
      <w:numFmt w:val="decimal"/>
      <w:pStyle w:val="714"/>
      <w:isLgl w:val="false"/>
      <w:suff w:val="tab"/>
      <w:lvlText w:val="%1. "/>
      <w:lvlJc w:val="left"/>
      <w:pPr>
        <w:ind w:left="0" w:firstLine="0"/>
        <w:tabs>
          <w:tab w:val="left" w:pos="-420" w:leader="none"/>
        </w:tabs>
      </w:pPr>
      <w:rPr>
        <w:rFonts w:hint="default"/>
      </w:rPr>
    </w:lvl>
    <w:lvl w:ilvl="1">
      <w:start w:val="1"/>
      <w:numFmt w:val="decimal"/>
      <w:isLgl w:val="false"/>
      <w:suff w:val="tab"/>
      <w:lvlText w:val="%1.%2. "/>
      <w:lvlJc w:val="left"/>
      <w:pPr>
        <w:ind w:left="220" w:hanging="419"/>
        <w:tabs>
          <w:tab w:val="left" w:pos="419" w:leader="none"/>
        </w:tabs>
      </w:pPr>
      <w:rPr>
        <w:rFonts w:hint="default"/>
      </w:rPr>
    </w:lvl>
    <w:lvl w:ilvl="2">
      <w:start w:val="1"/>
      <w:numFmt w:val="decimal"/>
      <w:isLgl w:val="false"/>
      <w:suff w:val="tab"/>
      <w:lvlText w:val="%1.%2.%3. "/>
      <w:lvlJc w:val="left"/>
      <w:pPr>
        <w:ind w:left="2219" w:hanging="708"/>
        <w:tabs>
          <w:tab w:val="left" w:pos="51" w:leader="none"/>
        </w:tabs>
      </w:pPr>
      <w:rPr>
        <w:rFonts w:hint="default"/>
      </w:rPr>
    </w:lvl>
    <w:lvl w:ilvl="3">
      <w:start w:val="1"/>
      <w:numFmt w:val="decimal"/>
      <w:isLgl w:val="false"/>
      <w:suff w:val="tab"/>
      <w:lvlText w:val="%1.%2.%3.%4. "/>
      <w:lvlJc w:val="left"/>
      <w:pPr>
        <w:ind w:left="1100" w:hanging="853"/>
        <w:tabs>
          <w:tab w:val="left" w:pos="-420" w:leader="none"/>
        </w:tabs>
      </w:pPr>
      <w:rPr>
        <w:rFonts w:hint="default"/>
      </w:rPr>
    </w:lvl>
    <w:lvl w:ilvl="4">
      <w:start w:val="1"/>
      <w:numFmt w:val="decimal"/>
      <w:isLgl w:val="false"/>
      <w:suff w:val="tab"/>
      <w:lvlText w:val="%1.%2.%3.%4.%5. "/>
      <w:lvlJc w:val="left"/>
      <w:pPr>
        <w:ind w:left="1760" w:hanging="895"/>
        <w:tabs>
          <w:tab w:val="left" w:pos="-420" w:leader="none"/>
        </w:tabs>
      </w:pPr>
      <w:rPr>
        <w:rFonts w:hint="default"/>
      </w:rPr>
    </w:lvl>
    <w:lvl w:ilvl="5">
      <w:start w:val="1"/>
      <w:numFmt w:val="decimal"/>
      <w:isLgl w:val="false"/>
      <w:suff w:val="tab"/>
      <w:lvlText w:val="%1.%2.%3.%4.%5.%6. "/>
      <w:lvlJc w:val="left"/>
      <w:pPr>
        <w:ind w:left="2716" w:hanging="1136"/>
        <w:tabs>
          <w:tab w:val="left" w:pos="-420" w:leader="none"/>
        </w:tabs>
      </w:pPr>
      <w:rPr>
        <w:rFonts w:hint="default"/>
      </w:rPr>
    </w:lvl>
    <w:lvl w:ilvl="6">
      <w:start w:val="1"/>
      <w:numFmt w:val="decimal"/>
      <w:isLgl w:val="false"/>
      <w:suff w:val="tab"/>
      <w:lvlText w:val="%1.%2.%3.%4.%5.%6.%7. "/>
      <w:lvlJc w:val="left"/>
      <w:pPr>
        <w:ind w:left="3253" w:hanging="1273"/>
        <w:tabs>
          <w:tab w:val="left" w:pos="-420" w:leader="none"/>
        </w:tabs>
      </w:pPr>
      <w:rPr>
        <w:rFonts w:hint="default"/>
      </w:rPr>
    </w:lvl>
    <w:lvl w:ilvl="7">
      <w:start w:val="1"/>
      <w:numFmt w:val="decimal"/>
      <w:isLgl w:val="false"/>
      <w:suff w:val="tab"/>
      <w:lvlText w:val="%1.%2.%3.%4.%5.%6.%7.%8. "/>
      <w:lvlJc w:val="left"/>
      <w:pPr>
        <w:ind w:left="3798" w:hanging="1418"/>
        <w:tabs>
          <w:tab w:val="left" w:pos="-420" w:leader="none"/>
        </w:tabs>
      </w:pPr>
      <w:rPr>
        <w:rFonts w:hint="default"/>
      </w:rPr>
    </w:lvl>
    <w:lvl w:ilvl="8">
      <w:start w:val="1"/>
      <w:numFmt w:val="decimal"/>
      <w:isLgl w:val="false"/>
      <w:suff w:val="tab"/>
      <w:lvlText w:val="%1.%2.%3.%4.%5.%6.%7.%8.%9. "/>
      <w:lvlJc w:val="left"/>
      <w:pPr>
        <w:ind w:left="4228" w:hanging="1448"/>
        <w:tabs>
          <w:tab w:val="left" w:pos="-420" w:leader="none"/>
        </w:tabs>
      </w:pPr>
      <w:rPr>
        <w:rFonts w:hint="default"/>
      </w:rPr>
    </w:lvl>
  </w:abstractNum>
  <w:abstractNum w:abstractNumId="15">
    <w:multiLevelType w:val="hybridMultilevel"/>
    <w:lvl w:ilvl="0">
      <w:start w:val="1"/>
      <w:numFmt w:val="chineseCountingThousand"/>
      <w:pStyle w:val="1019"/>
      <w:isLgl w:val="false"/>
      <w:suff w:val="tab"/>
      <w:lvlText w:val="第%1章"/>
      <w:lvlJc w:val="left"/>
      <w:pPr>
        <w:ind w:left="0" w:firstLine="0"/>
      </w:pPr>
      <w:rPr>
        <w:rFonts w:hint="eastAsia" w:ascii="Times New Roman" w:hAnsi="Times New Roman" w:cs="Times New Roman"/>
        <w:b/>
        <w:bCs w:val="0"/>
        <w:i w:val="0"/>
        <w:iCs w:val="0"/>
        <w:caps w:val="0"/>
        <w:smallCaps w:val="0"/>
        <w:strike w:val="0"/>
        <w:vanish w:val="0"/>
        <w:color w:val="000000"/>
        <w:spacing w:val="0"/>
        <w:position w:val="0"/>
        <w:u w:val="none"/>
        <w:vertAlign w:val="baseline"/>
        <w:lang w:bidi="zh-CN"/>
      </w:rPr>
    </w:lvl>
    <w:lvl w:ilvl="1">
      <w:start w:val="1"/>
      <w:numFmt w:val="decimal"/>
      <w:isLgl/>
      <w:suff w:val="tab"/>
      <w:lvlText w:val="%1.%2"/>
      <w:lvlJc w:val="left"/>
      <w:pPr>
        <w:ind w:left="3970" w:firstLine="0"/>
      </w:pPr>
      <w:rPr>
        <w:rFonts w:hint="eastAsia"/>
      </w:rPr>
    </w:lvl>
    <w:lvl w:ilvl="2">
      <w:start w:val="1"/>
      <w:numFmt w:val="decimal"/>
      <w:isLgl/>
      <w:suff w:val="tab"/>
      <w:lvlText w:val="%1.%2.%3"/>
      <w:lvlJc w:val="left"/>
      <w:pPr>
        <w:ind w:left="0" w:firstLine="0"/>
      </w:pPr>
      <w:rPr>
        <w:rFonts w:hint="eastAsia"/>
      </w:rPr>
    </w:lvl>
    <w:lvl w:ilvl="3">
      <w:start w:val="1"/>
      <w:numFmt w:val="decimal"/>
      <w:pStyle w:val="1022"/>
      <w:isLgl/>
      <w:suff w:val="tab"/>
      <w:lvlText w:val="%1.%2.%3.%4"/>
      <w:lvlJc w:val="left"/>
      <w:pPr>
        <w:ind w:left="0" w:firstLine="0"/>
      </w:pPr>
      <w:rPr>
        <w:rFonts w:hint="eastAsia" w:ascii="宋体" w:hAnsi="宋体" w:eastAsia="宋体" w:cs="宋体"/>
        <w:sz w:val="21"/>
        <w:szCs w:val="21"/>
      </w:rPr>
    </w:lvl>
    <w:lvl w:ilvl="4">
      <w:start w:val="1"/>
      <w:numFmt w:val="decimal"/>
      <w:isLgl/>
      <w:suff w:val="tab"/>
      <w:lvlText w:val="%1.%2.%3.%4.%5"/>
      <w:lvlJc w:val="left"/>
      <w:pPr>
        <w:ind w:left="0" w:firstLine="0"/>
      </w:pPr>
      <w:rPr>
        <w:rFonts w:hint="eastAsia" w:ascii="宋体" w:hAnsi="宋体" w:eastAsia="宋体" w:cs="宋体"/>
        <w:sz w:val="21"/>
        <w:szCs w:val="21"/>
      </w:rPr>
    </w:lvl>
    <w:lvl w:ilvl="5">
      <w:start w:val="1"/>
      <w:numFmt w:val="decimal"/>
      <w:isLgl/>
      <w:suff w:val="tab"/>
      <w:lvlText w:val="%1.%2.%3.%4.%5.%6"/>
      <w:lvlJc w:val="left"/>
      <w:pPr>
        <w:ind w:left="0" w:firstLine="0"/>
      </w:pPr>
      <w:rPr>
        <w:rFonts w:hint="eastAsia"/>
      </w:rPr>
    </w:lvl>
    <w:lvl w:ilvl="6">
      <w:start w:val="1"/>
      <w:numFmt w:val="decimal"/>
      <w:isLgl/>
      <w:suff w:val="tab"/>
      <w:lvlText w:val="%1.%2.%3.%4.%5.%6.%7"/>
      <w:lvlJc w:val="left"/>
      <w:pPr>
        <w:ind w:left="0" w:firstLine="0"/>
      </w:pPr>
      <w:rPr>
        <w:rFonts w:hint="eastAsia"/>
      </w:rPr>
    </w:lvl>
    <w:lvl w:ilvl="7">
      <w:start w:val="1"/>
      <w:numFmt w:val="decimal"/>
      <w:isLgl/>
      <w:suff w:val="tab"/>
      <w:lvlText w:val="%1.%2.%3.%4.%5.%6.%7.%8"/>
      <w:lvlJc w:val="left"/>
      <w:pPr>
        <w:ind w:left="0" w:firstLine="0"/>
      </w:pPr>
      <w:rPr>
        <w:rFonts w:hint="eastAsia"/>
      </w:rPr>
    </w:lvl>
    <w:lvl w:ilvl="8">
      <w:start w:val="1"/>
      <w:numFmt w:val="decimal"/>
      <w:isLgl/>
      <w:suff w:val="tab"/>
      <w:lvlText w:val="%1.%2.%3.%4.%5.%6.%7.%8.%9"/>
      <w:lvlJc w:val="left"/>
      <w:pPr>
        <w:ind w:left="0" w:firstLine="0"/>
      </w:pPr>
      <w:rPr>
        <w:rFonts w:hint="eastAsia"/>
      </w:rPr>
    </w:lvl>
  </w:abstractNum>
  <w:abstractNum w:abstractNumId="16">
    <w:multiLevelType w:val="hybridMultilevel"/>
    <w:lvl w:ilvl="0">
      <w:start w:val="1"/>
      <w:numFmt w:val="upperLetter"/>
      <w:pStyle w:val="740"/>
      <w:isLgl w:val="false"/>
      <w:suff w:val="tab"/>
      <w:lvlText w:val="%1)"/>
      <w:lvlJc w:val="left"/>
      <w:pPr>
        <w:ind w:left="440" w:hanging="44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第%1章 "/>
      <w:lvlJc w:val="left"/>
      <w:pPr>
        <w:ind w:left="0" w:firstLine="402"/>
        <w:tabs>
          <w:tab w:val="left" w:pos="0" w:leader="none"/>
        </w:tabs>
      </w:pPr>
      <w:rPr>
        <w:rFonts w:hint="eastAsia" w:ascii="宋体" w:hAnsi="宋体" w:cs="宋体"/>
        <w:sz w:val="28"/>
        <w:szCs w:val="28"/>
      </w:rPr>
    </w:lvl>
    <w:lvl w:ilvl="1">
      <w:start w:val="1"/>
      <w:numFmt w:val="decimal"/>
      <w:isLgl/>
      <w:suff w:val="nothing"/>
      <w:lvlText w:val="%2、"/>
      <w:lvlJc w:val="left"/>
      <w:pPr>
        <w:ind w:left="0" w:firstLine="402"/>
        <w:tabs>
          <w:tab w:val="left" w:pos="0" w:leader="none"/>
        </w:tabs>
      </w:pPr>
      <w:rPr>
        <w:rFonts w:hint="eastAsia" w:ascii="宋体" w:hAnsi="宋体" w:cs="宋体"/>
        <w:sz w:val="28"/>
        <w:szCs w:val="28"/>
      </w:rPr>
    </w:lvl>
    <w:lvl w:ilvl="2">
      <w:start w:val="1"/>
      <w:numFmt w:val="decimal"/>
      <w:pStyle w:val="1018"/>
      <w:isLgl/>
      <w:suff w:val="nothing"/>
      <w:lvlText w:val="%2.%3．"/>
      <w:lvlJc w:val="left"/>
      <w:pPr>
        <w:ind w:left="0" w:firstLine="402"/>
        <w:tabs>
          <w:tab w:val="left" w:pos="0" w:leader="none"/>
        </w:tabs>
      </w:pPr>
      <w:rPr>
        <w:rFonts w:hint="eastAsia" w:ascii="宋体" w:hAnsi="宋体" w:cs="宋体"/>
        <w:sz w:val="28"/>
        <w:szCs w:val="28"/>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18">
    <w:multiLevelType w:val="hybridMultilevel"/>
    <w:lvl w:ilvl="0">
      <w:start w:val="1"/>
      <w:numFmt w:val="lowerLetter"/>
      <w:pStyle w:val="758"/>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4"/>
  </w:num>
  <w:num w:numId="4">
    <w:abstractNumId w:val="11"/>
  </w:num>
  <w:num w:numId="5">
    <w:abstractNumId w:val="9"/>
  </w:num>
  <w:num w:numId="6">
    <w:abstractNumId w:val="8"/>
  </w:num>
  <w:num w:numId="7">
    <w:abstractNumId w:val="3"/>
  </w:num>
  <w:num w:numId="8">
    <w:abstractNumId w:val="1"/>
  </w:num>
  <w:num w:numId="9">
    <w:abstractNumId w:val="16"/>
  </w:num>
  <w:num w:numId="10">
    <w:abstractNumId w:val="18"/>
  </w:num>
  <w:num w:numId="11">
    <w:abstractNumId w:val="6"/>
  </w:num>
  <w:num w:numId="12">
    <w:abstractNumId w:val="10"/>
  </w:num>
  <w:num w:numId="13">
    <w:abstractNumId w:val="17"/>
  </w:num>
  <w:num w:numId="14">
    <w:abstractNumId w:val="15"/>
  </w:num>
  <w:num w:numId="15">
    <w:abstractNumId w:val="13"/>
  </w:num>
  <w:num w:numId="16">
    <w:abstractNumId w:val="7"/>
  </w:num>
  <w:num w:numId="17">
    <w:abstractNumId w:val="0"/>
  </w:num>
  <w:num w:numId="18">
    <w:abstractNumId w:val="4"/>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2">
    <w:name w:val="Plain Table 1"/>
    <w:basedOn w:val="7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2"/>
    <w:basedOn w:val="7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3"/>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5">
    <w:name w:val="Plain Table 4"/>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6">
    <w:name w:val="Plain Table 5"/>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7">
    <w:name w:val="Grid Table 1 Light"/>
    <w:basedOn w:val="7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8">
    <w:name w:val="Grid Table 2"/>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9">
    <w:name w:val="Grid Table 3"/>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0">
    <w:name w:val="Grid Table 4"/>
    <w:basedOn w:val="7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1">
    <w:name w:val="Grid Table 5 Dark"/>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2">
    <w:name w:val="Grid Table 6 Colorful"/>
    <w:basedOn w:val="7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3">
    <w:name w:val="Grid Table 7 Colorful"/>
    <w:basedOn w:val="7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4">
    <w:name w:val="List Table 1 Light"/>
    <w:basedOn w:val="7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5">
    <w:name w:val="List Table 2"/>
    <w:basedOn w:val="7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6">
    <w:name w:val="List Table 3"/>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7">
    <w:name w:val="List Table 4"/>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8">
    <w:name w:val="List Table 5 Dark"/>
    <w:basedOn w:val="7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9">
    <w:name w:val="List Table 6 Colorful"/>
    <w:basedOn w:val="7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0">
    <w:name w:val="List Table 7 Colorful"/>
    <w:basedOn w:val="7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91">
    <w:name w:val="TOC Heading"/>
    <w:uiPriority w:val="39"/>
    <w:unhideWhenUsed/>
  </w:style>
  <w:style w:type="paragraph" w:styleId="692" w:default="1">
    <w:name w:val="Normal"/>
    <w:next w:val="704"/>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693">
    <w:name w:val="Heading 1"/>
    <w:basedOn w:val="692"/>
    <w:next w:val="692"/>
    <w:link w:val="811"/>
    <w:uiPriority w:val="9"/>
    <w:qFormat/>
    <w:pPr>
      <w:keepLines/>
      <w:keepNext/>
      <w:spacing w:before="480"/>
      <w:outlineLvl w:val="0"/>
    </w:pPr>
    <w:rPr>
      <w:rFonts w:ascii="Arial" w:hAnsi="Arial" w:eastAsia="Arial" w:cs="Arial"/>
      <w:sz w:val="40"/>
      <w:szCs w:val="40"/>
    </w:rPr>
  </w:style>
  <w:style w:type="paragraph" w:styleId="694">
    <w:name w:val="Heading 2"/>
    <w:basedOn w:val="692"/>
    <w:next w:val="692"/>
    <w:link w:val="812"/>
    <w:uiPriority w:val="9"/>
    <w:unhideWhenUsed/>
    <w:qFormat/>
    <w:pPr>
      <w:keepLines/>
      <w:keepNext/>
      <w:spacing w:before="360"/>
      <w:outlineLvl w:val="1"/>
    </w:pPr>
    <w:rPr>
      <w:rFonts w:ascii="Arial" w:hAnsi="Arial" w:eastAsia="Arial" w:cs="Arial"/>
      <w:sz w:val="34"/>
    </w:rPr>
  </w:style>
  <w:style w:type="paragraph" w:styleId="695">
    <w:name w:val="Heading 3"/>
    <w:basedOn w:val="692"/>
    <w:next w:val="692"/>
    <w:link w:val="813"/>
    <w:uiPriority w:val="9"/>
    <w:unhideWhenUsed/>
    <w:qFormat/>
    <w:pPr>
      <w:keepLines/>
      <w:keepNext/>
      <w:spacing w:before="320"/>
      <w:outlineLvl w:val="2"/>
    </w:pPr>
    <w:rPr>
      <w:rFonts w:ascii="Arial" w:hAnsi="Arial" w:eastAsia="Arial" w:cs="Arial"/>
      <w:sz w:val="30"/>
      <w:szCs w:val="30"/>
    </w:rPr>
  </w:style>
  <w:style w:type="paragraph" w:styleId="696">
    <w:name w:val="Heading 4"/>
    <w:basedOn w:val="692"/>
    <w:next w:val="692"/>
    <w:link w:val="814"/>
    <w:uiPriority w:val="9"/>
    <w:unhideWhenUsed/>
    <w:qFormat/>
    <w:pPr>
      <w:keepLines/>
      <w:keepNext/>
      <w:spacing w:before="320"/>
      <w:outlineLvl w:val="3"/>
    </w:pPr>
    <w:rPr>
      <w:rFonts w:ascii="Arial" w:hAnsi="Arial" w:eastAsia="Arial" w:cs="Arial"/>
      <w:b/>
      <w:bCs/>
      <w:sz w:val="26"/>
      <w:szCs w:val="26"/>
    </w:rPr>
  </w:style>
  <w:style w:type="paragraph" w:styleId="697">
    <w:name w:val="Heading 5"/>
    <w:basedOn w:val="692"/>
    <w:next w:val="692"/>
    <w:link w:val="815"/>
    <w:uiPriority w:val="9"/>
    <w:unhideWhenUsed/>
    <w:qFormat/>
    <w:pPr>
      <w:keepLines/>
      <w:keepNext/>
      <w:spacing w:before="320"/>
      <w:outlineLvl w:val="4"/>
    </w:pPr>
    <w:rPr>
      <w:rFonts w:ascii="Arial" w:hAnsi="Arial" w:eastAsia="Arial" w:cs="Arial"/>
      <w:b/>
      <w:bCs/>
      <w:sz w:val="24"/>
      <w:szCs w:val="24"/>
    </w:rPr>
  </w:style>
  <w:style w:type="paragraph" w:styleId="698">
    <w:name w:val="Heading 6"/>
    <w:basedOn w:val="692"/>
    <w:next w:val="692"/>
    <w:link w:val="816"/>
    <w:uiPriority w:val="0"/>
    <w:unhideWhenUsed/>
    <w:qFormat/>
    <w:pPr>
      <w:keepLines/>
      <w:keepNext/>
      <w:spacing w:before="320"/>
      <w:outlineLvl w:val="5"/>
    </w:pPr>
    <w:rPr>
      <w:rFonts w:ascii="Arial" w:hAnsi="Arial" w:eastAsia="Arial" w:cs="Arial"/>
      <w:b/>
      <w:bCs/>
    </w:rPr>
  </w:style>
  <w:style w:type="paragraph" w:styleId="699">
    <w:name w:val="Heading 7"/>
    <w:basedOn w:val="692"/>
    <w:next w:val="692"/>
    <w:link w:val="817"/>
    <w:uiPriority w:val="0"/>
    <w:unhideWhenUsed/>
    <w:qFormat/>
    <w:pPr>
      <w:keepLines/>
      <w:keepNext/>
      <w:spacing w:before="320"/>
      <w:outlineLvl w:val="6"/>
    </w:pPr>
    <w:rPr>
      <w:rFonts w:ascii="Arial" w:hAnsi="Arial" w:eastAsia="Arial" w:cs="Arial"/>
      <w:b/>
      <w:bCs/>
      <w:i/>
      <w:iCs/>
    </w:rPr>
  </w:style>
  <w:style w:type="paragraph" w:styleId="700">
    <w:name w:val="Heading 8"/>
    <w:basedOn w:val="692"/>
    <w:next w:val="692"/>
    <w:link w:val="818"/>
    <w:uiPriority w:val="0"/>
    <w:unhideWhenUsed/>
    <w:qFormat/>
    <w:pPr>
      <w:keepLines/>
      <w:keepNext/>
      <w:spacing w:before="320"/>
      <w:outlineLvl w:val="7"/>
    </w:pPr>
    <w:rPr>
      <w:rFonts w:ascii="Arial" w:hAnsi="Arial" w:eastAsia="Arial" w:cs="Arial"/>
      <w:i/>
      <w:iCs/>
    </w:rPr>
  </w:style>
  <w:style w:type="paragraph" w:styleId="701">
    <w:name w:val="Heading 9"/>
    <w:basedOn w:val="692"/>
    <w:next w:val="692"/>
    <w:link w:val="819"/>
    <w:uiPriority w:val="0"/>
    <w:unhideWhenUsed/>
    <w:qFormat/>
    <w:pPr>
      <w:keepLines/>
      <w:keepNext/>
      <w:spacing w:before="32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Body Text"/>
    <w:basedOn w:val="692"/>
    <w:next w:val="692"/>
    <w:link w:val="966"/>
    <w:uiPriority w:val="0"/>
    <w:qFormat/>
    <w:rPr>
      <w:rFonts w:ascii="楷体_GB2312" w:hAnsi="Arial" w:eastAsia="楷体_GB2312"/>
      <w:sz w:val="28"/>
    </w:rPr>
  </w:style>
  <w:style w:type="paragraph" w:styleId="705">
    <w:name w:val="macro"/>
    <w:link w:val="950"/>
    <w:uiPriority w:val="0"/>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706">
    <w:name w:val="List 3"/>
    <w:basedOn w:val="692"/>
    <w:uiPriority w:val="0"/>
    <w:qFormat/>
    <w:pPr>
      <w:contextualSpacing/>
      <w:ind w:left="100" w:hanging="200"/>
      <w:jc w:val="both"/>
      <w:spacing w:after="0" w:line="288" w:lineRule="auto"/>
      <w:widowControl w:val="off"/>
    </w:pPr>
    <w:rPr>
      <w:rFonts w:ascii="MiSans" w:hAnsi="MiSans" w:eastAsia="MiSans"/>
      <w:lang w:eastAsia="zh-CN"/>
    </w:rPr>
  </w:style>
  <w:style w:type="paragraph" w:styleId="707">
    <w:name w:val="toc 7"/>
    <w:basedOn w:val="692"/>
    <w:next w:val="692"/>
    <w:uiPriority w:val="0"/>
    <w:unhideWhenUsed/>
    <w:qFormat/>
    <w:pPr>
      <w:ind w:left="1701"/>
      <w:spacing w:after="57"/>
    </w:pPr>
  </w:style>
  <w:style w:type="paragraph" w:styleId="708">
    <w:name w:val="List Number 2"/>
    <w:basedOn w:val="692"/>
    <w:uiPriority w:val="0"/>
    <w:qFormat/>
    <w:pPr>
      <w:numPr>
        <w:ilvl w:val="0"/>
        <w:numId w:val="1"/>
      </w:numPr>
      <w:ind w:left="437" w:hanging="437"/>
      <w:jc w:val="both"/>
      <w:spacing w:before="50" w:after="50" w:line="288" w:lineRule="auto"/>
      <w:widowControl w:val="off"/>
      <w:tabs>
        <w:tab w:val="left" w:pos="-420" w:leader="none"/>
        <w:tab w:val="left" w:pos="419" w:leader="none"/>
      </w:tabs>
    </w:pPr>
    <w:rPr>
      <w:rFonts w:ascii="MiSans" w:hAnsi="MiSans" w:eastAsia="MiSans"/>
      <w:color w:val="292929"/>
      <w:lang w:eastAsia="zh-CN"/>
    </w:rPr>
  </w:style>
  <w:style w:type="paragraph" w:styleId="709">
    <w:name w:val="table of authorities"/>
    <w:basedOn w:val="692"/>
    <w:next w:val="692"/>
    <w:uiPriority w:val="0"/>
    <w:qFormat/>
    <w:pPr>
      <w:ind w:left="420"/>
      <w:jc w:val="both"/>
      <w:spacing w:after="0" w:line="288" w:lineRule="auto"/>
      <w:widowControl w:val="off"/>
    </w:pPr>
    <w:rPr>
      <w:rFonts w:ascii="MiSans" w:hAnsi="MiSans" w:eastAsia="MiSans"/>
      <w:lang w:eastAsia="zh-CN"/>
    </w:rPr>
  </w:style>
  <w:style w:type="paragraph" w:styleId="710">
    <w:name w:val="Note Heading"/>
    <w:basedOn w:val="692"/>
    <w:next w:val="692"/>
    <w:link w:val="1015"/>
    <w:uiPriority w:val="0"/>
    <w:qFormat/>
    <w:pPr>
      <w:jc w:val="center"/>
      <w:spacing w:line="360" w:lineRule="auto"/>
    </w:pPr>
    <w:rPr>
      <w:sz w:val="24"/>
      <w:szCs w:val="24"/>
    </w:rPr>
  </w:style>
  <w:style w:type="paragraph" w:styleId="711">
    <w:name w:val="List Bullet 4"/>
    <w:basedOn w:val="692"/>
    <w:uiPriority w:val="0"/>
    <w:qFormat/>
    <w:pPr>
      <w:numPr>
        <w:ilvl w:val="0"/>
        <w:numId w:val="2"/>
      </w:numPr>
      <w:ind w:left="1701" w:hanging="340"/>
      <w:jc w:val="both"/>
      <w:spacing w:before="50" w:after="50" w:line="288" w:lineRule="auto"/>
      <w:widowControl w:val="off"/>
    </w:pPr>
    <w:rPr>
      <w:rFonts w:ascii="MiSans" w:hAnsi="MiSans" w:eastAsia="MiSans"/>
      <w:lang w:eastAsia="zh-CN"/>
    </w:rPr>
  </w:style>
  <w:style w:type="paragraph" w:styleId="712">
    <w:name w:val="index 8"/>
    <w:basedOn w:val="692"/>
    <w:next w:val="692"/>
    <w:uiPriority w:val="0"/>
    <w:qFormat/>
    <w:pPr>
      <w:ind w:left="1400"/>
      <w:jc w:val="both"/>
      <w:spacing w:after="0" w:line="288" w:lineRule="auto"/>
      <w:widowControl w:val="off"/>
    </w:pPr>
    <w:rPr>
      <w:rFonts w:ascii="MiSans" w:hAnsi="MiSans" w:eastAsia="MiSans"/>
      <w:lang w:eastAsia="zh-CN"/>
    </w:rPr>
  </w:style>
  <w:style w:type="paragraph" w:styleId="713">
    <w:name w:val="E-mail Signature"/>
    <w:basedOn w:val="692"/>
    <w:link w:val="951"/>
    <w:uiPriority w:val="0"/>
    <w:qFormat/>
    <w:pPr>
      <w:ind w:firstLine="440"/>
      <w:jc w:val="both"/>
      <w:spacing w:after="0" w:line="288" w:lineRule="auto"/>
      <w:widowControl w:val="off"/>
    </w:pPr>
    <w:rPr>
      <w:rFonts w:ascii="MiSans" w:hAnsi="MiSans" w:eastAsia="MiSans"/>
      <w:lang w:eastAsia="zh-CN"/>
    </w:rPr>
  </w:style>
  <w:style w:type="paragraph" w:styleId="714">
    <w:name w:val="List Number"/>
    <w:basedOn w:val="692"/>
    <w:uiPriority w:val="0"/>
    <w:qFormat/>
    <w:pPr>
      <w:numPr>
        <w:ilvl w:val="0"/>
        <w:numId w:val="3"/>
      </w:numPr>
      <w:ind w:left="340" w:hanging="340"/>
      <w:jc w:val="both"/>
      <w:spacing w:after="0" w:line="288" w:lineRule="auto"/>
      <w:widowControl w:val="off"/>
    </w:pPr>
    <w:rPr>
      <w:rFonts w:ascii="MiSans" w:hAnsi="MiSans" w:eastAsia="MiSans"/>
      <w:lang w:eastAsia="zh-CN"/>
    </w:rPr>
  </w:style>
  <w:style w:type="paragraph" w:styleId="715">
    <w:name w:val="Normal Indent"/>
    <w:basedOn w:val="692"/>
    <w:link w:val="968"/>
    <w:uiPriority w:val="0"/>
    <w:qFormat/>
    <w:pPr>
      <w:ind w:firstLine="420"/>
    </w:pPr>
  </w:style>
  <w:style w:type="paragraph" w:styleId="716">
    <w:name w:val="Caption"/>
    <w:basedOn w:val="692"/>
    <w:next w:val="692"/>
    <w:uiPriority w:val="0"/>
    <w:unhideWhenUsed/>
    <w:qFormat/>
    <w:rPr>
      <w:b/>
      <w:bCs/>
      <w:color w:val="5b9bd5" w:themeColor="accent1"/>
      <w:sz w:val="18"/>
      <w:szCs w:val="18"/>
      <w14:textFill>
        <w14:solidFill>
          <w14:schemeClr w14:val="accent1"/>
        </w14:solidFill>
      </w14:textFill>
    </w:rPr>
  </w:style>
  <w:style w:type="paragraph" w:styleId="717">
    <w:name w:val="index 5"/>
    <w:basedOn w:val="692"/>
    <w:next w:val="692"/>
    <w:uiPriority w:val="0"/>
    <w:qFormat/>
    <w:pPr>
      <w:ind w:left="800"/>
      <w:jc w:val="both"/>
      <w:spacing w:after="0" w:line="288" w:lineRule="auto"/>
      <w:widowControl w:val="off"/>
    </w:pPr>
    <w:rPr>
      <w:rFonts w:ascii="MiSans" w:hAnsi="MiSans" w:eastAsia="MiSans"/>
      <w:lang w:eastAsia="zh-CN"/>
    </w:rPr>
  </w:style>
  <w:style w:type="paragraph" w:styleId="718">
    <w:name w:val="List Bullet"/>
    <w:basedOn w:val="692"/>
    <w:uiPriority w:val="0"/>
    <w:qFormat/>
    <w:pPr>
      <w:numPr>
        <w:ilvl w:val="0"/>
        <w:numId w:val="4"/>
      </w:numPr>
      <w:ind w:left="454" w:hanging="454"/>
      <w:jc w:val="both"/>
      <w:spacing w:before="50" w:after="50" w:line="288" w:lineRule="auto"/>
      <w:widowControl w:val="off"/>
    </w:pPr>
    <w:rPr>
      <w:rFonts w:ascii="MiSans" w:hAnsi="MiSans" w:eastAsia="MiSans"/>
      <w:lang w:eastAsia="zh-CN"/>
    </w:rPr>
  </w:style>
  <w:style w:type="paragraph" w:styleId="719">
    <w:name w:val="envelope address"/>
    <w:basedOn w:val="692"/>
    <w:uiPriority w:val="0"/>
    <w:qFormat/>
    <w:pPr>
      <w:ind w:left="100" w:firstLine="440"/>
      <w:jc w:val="both"/>
      <w:spacing w:after="0" w:line="288" w:lineRule="auto"/>
      <w:widowControl w:val="off"/>
      <w:framePr w:w="7920" w:h="1980" w:hSpace="180" w:wrap="auto" w:vAnchor="margin" w:hAnchor="page" w:xAlign="center" w:yAlign="bottom" w:hRule="exact"/>
    </w:pPr>
    <w:rPr>
      <w:rFonts w:asciiTheme="majorHAnsi" w:hAnsiTheme="majorHAnsi" w:eastAsiaTheme="majorEastAsia" w:cstheme="majorBidi"/>
      <w:sz w:val="24"/>
      <w:szCs w:val="24"/>
      <w:lang w:eastAsia="zh-CN"/>
    </w:rPr>
  </w:style>
  <w:style w:type="paragraph" w:styleId="720">
    <w:name w:val="Document Map"/>
    <w:basedOn w:val="692"/>
    <w:link w:val="969"/>
    <w:uiPriority w:val="0"/>
    <w:qFormat/>
    <w:pPr>
      <w:jc w:val="both"/>
      <w:widowControl w:val="off"/>
    </w:pPr>
    <w:rPr>
      <w:sz w:val="21"/>
      <w:szCs w:val="20"/>
    </w:rPr>
  </w:style>
  <w:style w:type="paragraph" w:styleId="721">
    <w:name w:val="toa heading"/>
    <w:basedOn w:val="692"/>
    <w:next w:val="692"/>
    <w:uiPriority w:val="0"/>
    <w:qFormat/>
    <w:pPr>
      <w:ind w:firstLine="440"/>
      <w:jc w:val="both"/>
      <w:spacing w:before="120" w:after="0" w:line="288" w:lineRule="auto"/>
      <w:widowControl w:val="off"/>
    </w:pPr>
    <w:rPr>
      <w:rFonts w:asciiTheme="majorHAnsi" w:hAnsiTheme="majorHAnsi" w:eastAsiaTheme="majorEastAsia" w:cstheme="majorBidi"/>
      <w:sz w:val="24"/>
      <w:szCs w:val="24"/>
      <w:lang w:eastAsia="zh-CN"/>
    </w:rPr>
  </w:style>
  <w:style w:type="paragraph" w:styleId="722">
    <w:name w:val="annotation text"/>
    <w:basedOn w:val="692"/>
    <w:link w:val="964"/>
    <w:uiPriority w:val="0"/>
    <w:unhideWhenUsed/>
    <w:qFormat/>
  </w:style>
  <w:style w:type="paragraph" w:styleId="723">
    <w:name w:val="index 6"/>
    <w:basedOn w:val="692"/>
    <w:next w:val="692"/>
    <w:uiPriority w:val="0"/>
    <w:qFormat/>
    <w:pPr>
      <w:ind w:left="1000"/>
      <w:jc w:val="both"/>
      <w:spacing w:after="0" w:line="288" w:lineRule="auto"/>
      <w:widowControl w:val="off"/>
    </w:pPr>
    <w:rPr>
      <w:rFonts w:ascii="MiSans" w:hAnsi="MiSans" w:eastAsia="MiSans"/>
      <w:lang w:eastAsia="zh-CN"/>
    </w:rPr>
  </w:style>
  <w:style w:type="paragraph" w:styleId="724">
    <w:name w:val="Salutation"/>
    <w:basedOn w:val="692"/>
    <w:next w:val="692"/>
    <w:link w:val="952"/>
    <w:uiPriority w:val="0"/>
    <w:qFormat/>
    <w:pPr>
      <w:ind w:firstLine="440"/>
      <w:jc w:val="both"/>
      <w:spacing w:after="0" w:line="288" w:lineRule="auto"/>
      <w:widowControl w:val="off"/>
    </w:pPr>
    <w:rPr>
      <w:rFonts w:ascii="MiSans" w:hAnsi="MiSans" w:eastAsia="MiSans"/>
      <w:lang w:eastAsia="zh-CN"/>
    </w:rPr>
  </w:style>
  <w:style w:type="paragraph" w:styleId="725">
    <w:name w:val="Body Text 3"/>
    <w:basedOn w:val="692"/>
    <w:link w:val="953"/>
    <w:uiPriority w:val="0"/>
    <w:qFormat/>
    <w:pPr>
      <w:ind w:firstLine="440"/>
      <w:jc w:val="both"/>
      <w:spacing w:after="120" w:line="288" w:lineRule="auto"/>
      <w:widowControl w:val="off"/>
    </w:pPr>
    <w:rPr>
      <w:rFonts w:ascii="MiSans" w:hAnsi="MiSans" w:eastAsia="MiSans"/>
      <w:sz w:val="16"/>
      <w:szCs w:val="16"/>
      <w:lang w:eastAsia="zh-CN"/>
    </w:rPr>
  </w:style>
  <w:style w:type="paragraph" w:styleId="726">
    <w:name w:val="Closing"/>
    <w:basedOn w:val="692"/>
    <w:link w:val="954"/>
    <w:uiPriority w:val="0"/>
    <w:qFormat/>
    <w:pPr>
      <w:ind w:left="100" w:firstLine="440"/>
      <w:jc w:val="both"/>
      <w:spacing w:after="0" w:line="288" w:lineRule="auto"/>
      <w:widowControl w:val="off"/>
    </w:pPr>
    <w:rPr>
      <w:rFonts w:ascii="MiSans" w:hAnsi="MiSans" w:eastAsia="MiSans"/>
      <w:lang w:eastAsia="zh-CN"/>
    </w:rPr>
  </w:style>
  <w:style w:type="paragraph" w:styleId="727">
    <w:name w:val="List Bullet 3"/>
    <w:basedOn w:val="692"/>
    <w:uiPriority w:val="0"/>
    <w:qFormat/>
    <w:pPr>
      <w:numPr>
        <w:ilvl w:val="0"/>
        <w:numId w:val="5"/>
      </w:numPr>
      <w:ind w:left="1304" w:hanging="340"/>
      <w:jc w:val="both"/>
      <w:spacing w:before="50" w:after="50" w:line="288" w:lineRule="auto"/>
      <w:widowControl w:val="off"/>
    </w:pPr>
    <w:rPr>
      <w:rFonts w:ascii="MiSans" w:hAnsi="MiSans" w:eastAsia="MiSans"/>
      <w:lang w:eastAsia="zh-CN"/>
    </w:rPr>
  </w:style>
  <w:style w:type="paragraph" w:styleId="728">
    <w:name w:val="Body Text Indent"/>
    <w:basedOn w:val="692"/>
    <w:next w:val="692"/>
    <w:link w:val="970"/>
    <w:uiPriority w:val="0"/>
    <w:qFormat/>
    <w:pPr>
      <w:ind w:firstLine="574"/>
      <w:spacing w:line="312" w:lineRule="atLeast"/>
    </w:pPr>
    <w:rPr>
      <w:rFonts w:ascii="宋体"/>
      <w:sz w:val="28"/>
    </w:rPr>
  </w:style>
  <w:style w:type="paragraph" w:styleId="729">
    <w:name w:val="List Number 3"/>
    <w:basedOn w:val="692"/>
    <w:uiPriority w:val="0"/>
    <w:qFormat/>
    <w:pPr>
      <w:numPr>
        <w:ilvl w:val="0"/>
        <w:numId w:val="6"/>
      </w:numPr>
      <w:ind w:left="380" w:hanging="266"/>
      <w:jc w:val="both"/>
      <w:spacing w:before="50" w:after="50" w:line="288" w:lineRule="auto"/>
      <w:widowControl w:val="off"/>
      <w:tabs>
        <w:tab w:val="left" w:pos="-420" w:leader="none"/>
        <w:tab w:val="clear" w:pos="0" w:leader="none"/>
      </w:tabs>
    </w:pPr>
    <w:rPr>
      <w:rFonts w:ascii="MiSans" w:hAnsi="MiSans" w:eastAsia="MiSans"/>
      <w:color w:val="292929"/>
      <w:lang w:eastAsia="zh-CN"/>
    </w:rPr>
  </w:style>
  <w:style w:type="paragraph" w:styleId="730">
    <w:name w:val="List 2"/>
    <w:basedOn w:val="692"/>
    <w:uiPriority w:val="0"/>
    <w:qFormat/>
    <w:pPr>
      <w:contextualSpacing/>
      <w:ind w:left="100" w:hanging="200"/>
      <w:jc w:val="both"/>
      <w:spacing w:after="0" w:line="288" w:lineRule="auto"/>
      <w:widowControl w:val="off"/>
    </w:pPr>
    <w:rPr>
      <w:rFonts w:ascii="MiSans" w:hAnsi="MiSans" w:eastAsia="MiSans"/>
      <w:lang w:eastAsia="zh-CN"/>
    </w:rPr>
  </w:style>
  <w:style w:type="paragraph" w:styleId="731">
    <w:name w:val="List Continue"/>
    <w:basedOn w:val="692"/>
    <w:uiPriority w:val="0"/>
    <w:qFormat/>
    <w:pPr>
      <w:contextualSpacing/>
      <w:ind w:left="420" w:firstLine="440"/>
      <w:jc w:val="both"/>
      <w:spacing w:after="120" w:line="288" w:lineRule="auto"/>
      <w:widowControl w:val="off"/>
    </w:pPr>
    <w:rPr>
      <w:rFonts w:ascii="MiSans" w:hAnsi="MiSans" w:eastAsia="MiSans"/>
      <w:lang w:eastAsia="zh-CN"/>
    </w:rPr>
  </w:style>
  <w:style w:type="paragraph" w:styleId="732">
    <w:name w:val="Block Text"/>
    <w:basedOn w:val="692"/>
    <w:uiPriority w:val="0"/>
    <w:qFormat/>
    <w:pPr>
      <w:ind w:left="1440" w:right="1440" w:firstLine="440"/>
      <w:jc w:val="both"/>
      <w:spacing w:after="120" w:line="288" w:lineRule="auto"/>
      <w:widowControl w:val="off"/>
    </w:pPr>
    <w:rPr>
      <w:rFonts w:ascii="MiSans" w:hAnsi="MiSans" w:eastAsia="MiSans"/>
      <w:lang w:eastAsia="zh-CN"/>
    </w:rPr>
  </w:style>
  <w:style w:type="paragraph" w:styleId="733">
    <w:name w:val="List Bullet 2"/>
    <w:basedOn w:val="692"/>
    <w:uiPriority w:val="0"/>
    <w:qFormat/>
    <w:pPr>
      <w:numPr>
        <w:ilvl w:val="0"/>
        <w:numId w:val="7"/>
      </w:numPr>
      <w:ind w:left="454" w:firstLine="0"/>
      <w:jc w:val="both"/>
      <w:spacing w:before="50" w:after="50" w:line="288" w:lineRule="auto"/>
      <w:widowControl w:val="off"/>
    </w:pPr>
    <w:rPr>
      <w:rFonts w:ascii="MiSans" w:hAnsi="MiSans" w:eastAsia="MiSans"/>
      <w:lang w:eastAsia="zh-CN"/>
    </w:rPr>
  </w:style>
  <w:style w:type="paragraph" w:styleId="734">
    <w:name w:val="HTML Address"/>
    <w:basedOn w:val="692"/>
    <w:link w:val="955"/>
    <w:uiPriority w:val="0"/>
    <w:qFormat/>
    <w:pPr>
      <w:ind w:firstLine="440"/>
      <w:jc w:val="both"/>
      <w:spacing w:after="0" w:line="288" w:lineRule="auto"/>
      <w:widowControl w:val="off"/>
    </w:pPr>
    <w:rPr>
      <w:rFonts w:ascii="MiSans" w:hAnsi="MiSans" w:eastAsia="MiSans"/>
      <w:i/>
      <w:iCs/>
      <w:lang w:eastAsia="zh-CN"/>
    </w:rPr>
  </w:style>
  <w:style w:type="paragraph" w:styleId="735">
    <w:name w:val="index 4"/>
    <w:basedOn w:val="692"/>
    <w:next w:val="692"/>
    <w:uiPriority w:val="0"/>
    <w:qFormat/>
    <w:pPr>
      <w:ind w:left="600"/>
      <w:jc w:val="both"/>
      <w:spacing w:after="0" w:line="288" w:lineRule="auto"/>
      <w:widowControl w:val="off"/>
    </w:pPr>
    <w:rPr>
      <w:rFonts w:ascii="MiSans" w:hAnsi="MiSans" w:eastAsia="MiSans"/>
      <w:lang w:eastAsia="zh-CN"/>
    </w:rPr>
  </w:style>
  <w:style w:type="paragraph" w:styleId="736">
    <w:name w:val="toc 5"/>
    <w:basedOn w:val="692"/>
    <w:next w:val="692"/>
    <w:uiPriority w:val="0"/>
    <w:unhideWhenUsed/>
    <w:qFormat/>
    <w:pPr>
      <w:ind w:left="1134"/>
      <w:spacing w:after="57"/>
    </w:pPr>
  </w:style>
  <w:style w:type="paragraph" w:styleId="737">
    <w:name w:val="toc 3"/>
    <w:basedOn w:val="692"/>
    <w:next w:val="692"/>
    <w:uiPriority w:val="0"/>
    <w:unhideWhenUsed/>
    <w:qFormat/>
    <w:pPr>
      <w:ind w:left="567"/>
      <w:spacing w:after="57"/>
    </w:pPr>
  </w:style>
  <w:style w:type="paragraph" w:styleId="738">
    <w:name w:val="Plain Text"/>
    <w:basedOn w:val="692"/>
    <w:link w:val="956"/>
    <w:uiPriority w:val="0"/>
    <w:qFormat/>
    <w:rPr>
      <w:rFonts w:ascii="宋体" w:hAnsi="Courier New" w:eastAsia="楷体_GB2312"/>
      <w:sz w:val="28"/>
    </w:rPr>
  </w:style>
  <w:style w:type="paragraph" w:styleId="739">
    <w:name w:val="List Bullet 5"/>
    <w:basedOn w:val="692"/>
    <w:uiPriority w:val="0"/>
    <w:qFormat/>
    <w:pPr>
      <w:numPr>
        <w:ilvl w:val="0"/>
        <w:numId w:val="8"/>
      </w:numPr>
      <w:ind w:left="2098" w:hanging="340"/>
      <w:jc w:val="both"/>
      <w:spacing w:before="50" w:after="50" w:line="288" w:lineRule="auto"/>
      <w:widowControl w:val="off"/>
    </w:pPr>
    <w:rPr>
      <w:rFonts w:ascii="MiSans" w:hAnsi="MiSans" w:eastAsia="MiSans"/>
      <w:lang w:eastAsia="zh-CN"/>
    </w:rPr>
  </w:style>
  <w:style w:type="paragraph" w:styleId="740">
    <w:name w:val="List Number 4"/>
    <w:basedOn w:val="692"/>
    <w:uiPriority w:val="0"/>
    <w:qFormat/>
    <w:pPr>
      <w:numPr>
        <w:ilvl w:val="0"/>
        <w:numId w:val="9"/>
      </w:numPr>
      <w:ind w:firstLine="0"/>
      <w:jc w:val="both"/>
      <w:spacing w:before="50" w:after="50" w:line="288" w:lineRule="auto"/>
      <w:widowControl w:val="off"/>
    </w:pPr>
    <w:rPr>
      <w:rFonts w:ascii="MiSans" w:hAnsi="MiSans" w:eastAsia="MiSans"/>
      <w:color w:val="292929"/>
      <w:lang w:eastAsia="zh-CN"/>
    </w:rPr>
  </w:style>
  <w:style w:type="paragraph" w:styleId="741">
    <w:name w:val="toc 8"/>
    <w:basedOn w:val="692"/>
    <w:next w:val="692"/>
    <w:uiPriority w:val="0"/>
    <w:unhideWhenUsed/>
    <w:qFormat/>
    <w:pPr>
      <w:ind w:left="1984"/>
      <w:spacing w:after="57"/>
    </w:pPr>
  </w:style>
  <w:style w:type="paragraph" w:styleId="742">
    <w:name w:val="index 3"/>
    <w:basedOn w:val="692"/>
    <w:next w:val="692"/>
    <w:uiPriority w:val="0"/>
    <w:qFormat/>
    <w:pPr>
      <w:ind w:left="400"/>
      <w:jc w:val="both"/>
      <w:spacing w:after="0" w:line="288" w:lineRule="auto"/>
      <w:widowControl w:val="off"/>
    </w:pPr>
    <w:rPr>
      <w:rFonts w:ascii="MiSans" w:hAnsi="MiSans" w:eastAsia="MiSans"/>
      <w:lang w:eastAsia="zh-CN"/>
    </w:rPr>
  </w:style>
  <w:style w:type="paragraph" w:styleId="743">
    <w:name w:val="Date"/>
    <w:basedOn w:val="692"/>
    <w:next w:val="692"/>
    <w:link w:val="957"/>
    <w:uiPriority w:val="0"/>
    <w:qFormat/>
    <w:pPr>
      <w:ind w:left="100" w:firstLine="440"/>
      <w:jc w:val="both"/>
      <w:spacing w:after="0" w:line="288" w:lineRule="auto"/>
      <w:widowControl w:val="off"/>
    </w:pPr>
    <w:rPr>
      <w:rFonts w:ascii="MiSans" w:hAnsi="MiSans" w:eastAsia="MiSans"/>
      <w:lang w:eastAsia="zh-CN"/>
    </w:rPr>
  </w:style>
  <w:style w:type="paragraph" w:styleId="744">
    <w:name w:val="Body Text Indent 2"/>
    <w:basedOn w:val="692"/>
    <w:link w:val="958"/>
    <w:uiPriority w:val="0"/>
    <w:qFormat/>
    <w:pPr>
      <w:ind w:left="420" w:firstLine="440"/>
      <w:jc w:val="both"/>
      <w:spacing w:after="120" w:line="480" w:lineRule="auto"/>
      <w:widowControl w:val="off"/>
    </w:pPr>
    <w:rPr>
      <w:rFonts w:ascii="MiSans" w:hAnsi="MiSans" w:eastAsia="MiSans"/>
      <w:lang w:eastAsia="zh-CN"/>
    </w:rPr>
  </w:style>
  <w:style w:type="paragraph" w:styleId="745">
    <w:name w:val="endnote text"/>
    <w:basedOn w:val="692"/>
    <w:link w:val="936"/>
    <w:uiPriority w:val="0"/>
    <w:unhideWhenUsed/>
    <w:qFormat/>
    <w:pPr>
      <w:spacing w:after="0" w:line="240" w:lineRule="auto"/>
    </w:pPr>
    <w:rPr>
      <w:sz w:val="20"/>
    </w:rPr>
  </w:style>
  <w:style w:type="paragraph" w:styleId="746">
    <w:name w:val="List Continue 5"/>
    <w:basedOn w:val="692"/>
    <w:uiPriority w:val="0"/>
    <w:qFormat/>
    <w:pPr>
      <w:contextualSpacing/>
      <w:ind w:left="2100" w:firstLine="440"/>
      <w:jc w:val="both"/>
      <w:spacing w:after="120" w:line="288" w:lineRule="auto"/>
      <w:widowControl w:val="off"/>
    </w:pPr>
    <w:rPr>
      <w:rFonts w:ascii="MiSans" w:hAnsi="MiSans" w:eastAsia="MiSans"/>
      <w:lang w:eastAsia="zh-CN"/>
    </w:rPr>
  </w:style>
  <w:style w:type="paragraph" w:styleId="747">
    <w:name w:val="Balloon Text"/>
    <w:basedOn w:val="692"/>
    <w:link w:val="959"/>
    <w:uiPriority w:val="0"/>
    <w:unhideWhenUsed/>
    <w:qFormat/>
    <w:pPr>
      <w:spacing w:after="0" w:line="240" w:lineRule="auto"/>
    </w:pPr>
    <w:rPr>
      <w:rFonts w:eastAsiaTheme="minorEastAsia"/>
      <w:sz w:val="18"/>
      <w:szCs w:val="18"/>
    </w:rPr>
  </w:style>
  <w:style w:type="paragraph" w:styleId="748">
    <w:name w:val="Footer"/>
    <w:basedOn w:val="692"/>
    <w:link w:val="828"/>
    <w:uiPriority w:val="99"/>
    <w:unhideWhenUsed/>
    <w:qFormat/>
    <w:pPr>
      <w:spacing w:after="0" w:line="240" w:lineRule="auto"/>
      <w:tabs>
        <w:tab w:val="center" w:pos="7143" w:leader="none"/>
        <w:tab w:val="right" w:pos="14287" w:leader="none"/>
      </w:tabs>
    </w:pPr>
  </w:style>
  <w:style w:type="paragraph" w:styleId="749">
    <w:name w:val="envelope return"/>
    <w:basedOn w:val="692"/>
    <w:uiPriority w:val="0"/>
    <w:qFormat/>
    <w:rPr>
      <w:rFonts w:ascii="Arial" w:hAnsi="Arial" w:eastAsia="宋体"/>
      <w:sz w:val="21"/>
      <w:szCs w:val="24"/>
    </w:rPr>
  </w:style>
  <w:style w:type="paragraph" w:styleId="750">
    <w:name w:val="Header"/>
    <w:basedOn w:val="692"/>
    <w:link w:val="826"/>
    <w:uiPriority w:val="0"/>
    <w:unhideWhenUsed/>
    <w:qFormat/>
    <w:pPr>
      <w:spacing w:after="0" w:line="240" w:lineRule="auto"/>
      <w:tabs>
        <w:tab w:val="center" w:pos="7143" w:leader="none"/>
        <w:tab w:val="right" w:pos="14287" w:leader="none"/>
      </w:tabs>
    </w:pPr>
  </w:style>
  <w:style w:type="paragraph" w:styleId="751">
    <w:name w:val="Signature"/>
    <w:basedOn w:val="692"/>
    <w:link w:val="960"/>
    <w:uiPriority w:val="0"/>
    <w:qFormat/>
    <w:pPr>
      <w:ind w:left="100" w:firstLine="440"/>
      <w:jc w:val="both"/>
      <w:spacing w:after="0" w:line="288" w:lineRule="auto"/>
      <w:widowControl w:val="off"/>
    </w:pPr>
    <w:rPr>
      <w:rFonts w:ascii="MiSans" w:hAnsi="MiSans" w:eastAsia="MiSans"/>
      <w:lang w:eastAsia="zh-CN"/>
    </w:rPr>
  </w:style>
  <w:style w:type="paragraph" w:styleId="752">
    <w:name w:val="toc 1"/>
    <w:basedOn w:val="692"/>
    <w:next w:val="692"/>
    <w:uiPriority w:val="0"/>
    <w:unhideWhenUsed/>
    <w:qFormat/>
    <w:pPr>
      <w:spacing w:after="57"/>
    </w:pPr>
  </w:style>
  <w:style w:type="paragraph" w:styleId="753">
    <w:name w:val="List Continue 4"/>
    <w:basedOn w:val="692"/>
    <w:uiPriority w:val="0"/>
    <w:qFormat/>
    <w:pPr>
      <w:contextualSpacing/>
      <w:ind w:left="1680" w:firstLine="440"/>
      <w:jc w:val="both"/>
      <w:spacing w:after="120" w:line="288" w:lineRule="auto"/>
      <w:widowControl w:val="off"/>
    </w:pPr>
    <w:rPr>
      <w:rFonts w:ascii="MiSans" w:hAnsi="MiSans" w:eastAsia="MiSans"/>
      <w:lang w:eastAsia="zh-CN"/>
    </w:rPr>
  </w:style>
  <w:style w:type="paragraph" w:styleId="754">
    <w:name w:val="toc 4"/>
    <w:basedOn w:val="692"/>
    <w:next w:val="692"/>
    <w:uiPriority w:val="0"/>
    <w:unhideWhenUsed/>
    <w:qFormat/>
    <w:pPr>
      <w:ind w:left="850"/>
      <w:spacing w:after="57"/>
    </w:pPr>
  </w:style>
  <w:style w:type="paragraph" w:styleId="755">
    <w:name w:val="index heading"/>
    <w:basedOn w:val="692"/>
    <w:next w:val="756"/>
    <w:uiPriority w:val="0"/>
    <w:qFormat/>
    <w:pPr>
      <w:ind w:firstLine="440"/>
      <w:jc w:val="both"/>
      <w:spacing w:after="0" w:line="288" w:lineRule="auto"/>
      <w:widowControl w:val="off"/>
    </w:pPr>
    <w:rPr>
      <w:rFonts w:asciiTheme="majorHAnsi" w:hAnsiTheme="majorHAnsi" w:eastAsiaTheme="majorEastAsia" w:cstheme="majorBidi"/>
      <w:b/>
      <w:bCs/>
      <w:lang w:eastAsia="zh-CN"/>
    </w:rPr>
  </w:style>
  <w:style w:type="paragraph" w:styleId="756">
    <w:name w:val="index 1"/>
    <w:basedOn w:val="692"/>
    <w:next w:val="692"/>
    <w:uiPriority w:val="0"/>
    <w:unhideWhenUsed/>
    <w:qFormat/>
  </w:style>
  <w:style w:type="paragraph" w:styleId="757">
    <w:name w:val="Subtitle"/>
    <w:basedOn w:val="692"/>
    <w:next w:val="692"/>
    <w:link w:val="821"/>
    <w:uiPriority w:val="0"/>
    <w:qFormat/>
    <w:pPr>
      <w:spacing w:before="200"/>
    </w:pPr>
    <w:rPr>
      <w:sz w:val="24"/>
      <w:szCs w:val="24"/>
    </w:rPr>
  </w:style>
  <w:style w:type="paragraph" w:styleId="758">
    <w:name w:val="List Number 5"/>
    <w:basedOn w:val="692"/>
    <w:uiPriority w:val="0"/>
    <w:qFormat/>
    <w:pPr>
      <w:numPr>
        <w:ilvl w:val="0"/>
        <w:numId w:val="10"/>
      </w:numPr>
      <w:ind w:left="442" w:hanging="442"/>
      <w:jc w:val="both"/>
      <w:spacing w:before="50" w:after="50" w:line="288" w:lineRule="auto"/>
      <w:widowControl w:val="off"/>
    </w:pPr>
    <w:rPr>
      <w:rFonts w:ascii="MiSans" w:hAnsi="MiSans" w:eastAsia="MiSans"/>
      <w:color w:val="292929"/>
      <w:lang w:eastAsia="zh-CN"/>
    </w:rPr>
  </w:style>
  <w:style w:type="paragraph" w:styleId="759">
    <w:name w:val="List"/>
    <w:basedOn w:val="692"/>
    <w:uiPriority w:val="0"/>
    <w:qFormat/>
    <w:pPr>
      <w:contextualSpacing/>
      <w:ind w:left="200" w:hanging="200"/>
      <w:jc w:val="both"/>
      <w:spacing w:after="0" w:line="288" w:lineRule="auto"/>
      <w:widowControl w:val="off"/>
    </w:pPr>
    <w:rPr>
      <w:rFonts w:ascii="MiSans" w:hAnsi="MiSans" w:eastAsia="MiSans"/>
      <w:lang w:eastAsia="zh-CN"/>
    </w:rPr>
  </w:style>
  <w:style w:type="paragraph" w:styleId="760">
    <w:name w:val="footnote text"/>
    <w:basedOn w:val="692"/>
    <w:link w:val="935"/>
    <w:uiPriority w:val="0"/>
    <w:unhideWhenUsed/>
    <w:qFormat/>
    <w:pPr>
      <w:spacing w:after="40" w:line="240" w:lineRule="auto"/>
    </w:pPr>
    <w:rPr>
      <w:sz w:val="18"/>
    </w:rPr>
  </w:style>
  <w:style w:type="paragraph" w:styleId="761">
    <w:name w:val="toc 6"/>
    <w:basedOn w:val="692"/>
    <w:next w:val="692"/>
    <w:uiPriority w:val="0"/>
    <w:unhideWhenUsed/>
    <w:qFormat/>
    <w:pPr>
      <w:ind w:left="1417"/>
      <w:spacing w:after="57"/>
    </w:pPr>
  </w:style>
  <w:style w:type="paragraph" w:styleId="762">
    <w:name w:val="List 5"/>
    <w:basedOn w:val="692"/>
    <w:uiPriority w:val="0"/>
    <w:qFormat/>
    <w:pPr>
      <w:contextualSpacing/>
      <w:ind w:left="100" w:hanging="200"/>
      <w:jc w:val="both"/>
      <w:spacing w:after="0" w:line="288" w:lineRule="auto"/>
      <w:widowControl w:val="off"/>
    </w:pPr>
    <w:rPr>
      <w:rFonts w:ascii="MiSans" w:hAnsi="MiSans" w:eastAsia="MiSans"/>
      <w:lang w:eastAsia="zh-CN"/>
    </w:rPr>
  </w:style>
  <w:style w:type="paragraph" w:styleId="763">
    <w:name w:val="Body Text Indent 3"/>
    <w:basedOn w:val="692"/>
    <w:link w:val="1016"/>
    <w:uiPriority w:val="0"/>
    <w:qFormat/>
    <w:pPr>
      <w:ind w:firstLine="555"/>
    </w:pPr>
    <w:rPr>
      <w:b/>
      <w:bCs/>
      <w:sz w:val="28"/>
      <w:u w:val="single"/>
    </w:rPr>
  </w:style>
  <w:style w:type="paragraph" w:styleId="764">
    <w:name w:val="index 7"/>
    <w:basedOn w:val="692"/>
    <w:next w:val="692"/>
    <w:uiPriority w:val="0"/>
    <w:qFormat/>
    <w:pPr>
      <w:ind w:left="1200"/>
      <w:jc w:val="both"/>
      <w:spacing w:after="0" w:line="288" w:lineRule="auto"/>
      <w:widowControl w:val="off"/>
    </w:pPr>
    <w:rPr>
      <w:rFonts w:ascii="MiSans" w:hAnsi="MiSans" w:eastAsia="MiSans"/>
      <w:lang w:eastAsia="zh-CN"/>
    </w:rPr>
  </w:style>
  <w:style w:type="paragraph" w:styleId="765">
    <w:name w:val="index 9"/>
    <w:basedOn w:val="692"/>
    <w:next w:val="692"/>
    <w:uiPriority w:val="0"/>
    <w:qFormat/>
    <w:pPr>
      <w:ind w:left="1600"/>
      <w:jc w:val="both"/>
      <w:spacing w:after="0" w:line="288" w:lineRule="auto"/>
      <w:widowControl w:val="off"/>
    </w:pPr>
    <w:rPr>
      <w:rFonts w:ascii="MiSans" w:hAnsi="MiSans" w:eastAsia="MiSans"/>
      <w:lang w:eastAsia="zh-CN"/>
    </w:rPr>
  </w:style>
  <w:style w:type="paragraph" w:styleId="766">
    <w:name w:val="table of figures"/>
    <w:basedOn w:val="692"/>
    <w:next w:val="692"/>
    <w:uiPriority w:val="0"/>
    <w:unhideWhenUsed/>
    <w:qFormat/>
    <w:pPr>
      <w:spacing w:after="0"/>
    </w:pPr>
  </w:style>
  <w:style w:type="paragraph" w:styleId="767">
    <w:name w:val="toc 2"/>
    <w:basedOn w:val="692"/>
    <w:next w:val="692"/>
    <w:uiPriority w:val="0"/>
    <w:unhideWhenUsed/>
    <w:qFormat/>
    <w:pPr>
      <w:ind w:left="283"/>
      <w:spacing w:after="57"/>
    </w:pPr>
  </w:style>
  <w:style w:type="paragraph" w:styleId="768">
    <w:name w:val="toc 9"/>
    <w:basedOn w:val="692"/>
    <w:next w:val="692"/>
    <w:uiPriority w:val="0"/>
    <w:unhideWhenUsed/>
    <w:qFormat/>
    <w:pPr>
      <w:ind w:left="2268"/>
      <w:spacing w:after="57"/>
    </w:pPr>
  </w:style>
  <w:style w:type="paragraph" w:styleId="769">
    <w:name w:val="Body Text 2"/>
    <w:basedOn w:val="692"/>
    <w:link w:val="961"/>
    <w:uiPriority w:val="0"/>
    <w:qFormat/>
    <w:pPr>
      <w:spacing w:line="480" w:lineRule="auto"/>
    </w:pPr>
    <w:rPr>
      <w:rFonts w:eastAsiaTheme="minorEastAsia"/>
    </w:rPr>
  </w:style>
  <w:style w:type="paragraph" w:styleId="770">
    <w:name w:val="List 4"/>
    <w:basedOn w:val="692"/>
    <w:uiPriority w:val="0"/>
    <w:qFormat/>
    <w:pPr>
      <w:contextualSpacing/>
      <w:ind w:left="100" w:hanging="200"/>
      <w:jc w:val="both"/>
      <w:spacing w:after="0" w:line="288" w:lineRule="auto"/>
      <w:widowControl w:val="off"/>
    </w:pPr>
    <w:rPr>
      <w:rFonts w:ascii="MiSans" w:hAnsi="MiSans" w:eastAsia="MiSans"/>
      <w:lang w:eastAsia="zh-CN"/>
    </w:rPr>
  </w:style>
  <w:style w:type="paragraph" w:styleId="771">
    <w:name w:val="List Continue 2"/>
    <w:basedOn w:val="692"/>
    <w:uiPriority w:val="0"/>
    <w:qFormat/>
    <w:pPr>
      <w:contextualSpacing/>
      <w:ind w:left="840" w:firstLine="440"/>
      <w:jc w:val="both"/>
      <w:spacing w:after="120" w:line="288" w:lineRule="auto"/>
      <w:widowControl w:val="off"/>
    </w:pPr>
    <w:rPr>
      <w:rFonts w:ascii="MiSans" w:hAnsi="MiSans" w:eastAsia="MiSans"/>
      <w:lang w:eastAsia="zh-CN"/>
    </w:rPr>
  </w:style>
  <w:style w:type="paragraph" w:styleId="772">
    <w:name w:val="Message Header"/>
    <w:basedOn w:val="692"/>
    <w:link w:val="962"/>
    <w:uiPriority w:val="0"/>
    <w:qFormat/>
    <w:pPr>
      <w:ind w:left="1080" w:hanging="1080"/>
      <w:jc w:val="both"/>
      <w:spacing w:after="0" w:line="288" w:lineRule="auto"/>
      <w:shd w:val="pct20" w:color="auto" w:fill="auto"/>
      <w:widowControl w:val="off"/>
      <w:pBdr>
        <w:top w:val="single" w:color="auto" w:sz="6" w:space="1"/>
        <w:left w:val="single" w:color="auto" w:sz="6" w:space="1"/>
        <w:bottom w:val="single" w:color="auto" w:sz="6" w:space="1"/>
        <w:right w:val="single" w:color="auto" w:sz="6" w:space="1"/>
      </w:pBdr>
    </w:pPr>
    <w:rPr>
      <w:rFonts w:asciiTheme="majorHAnsi" w:hAnsiTheme="majorHAnsi" w:eastAsiaTheme="majorEastAsia" w:cstheme="majorBidi"/>
      <w:sz w:val="24"/>
      <w:szCs w:val="24"/>
      <w:lang w:eastAsia="zh-CN"/>
    </w:rPr>
  </w:style>
  <w:style w:type="paragraph" w:styleId="773">
    <w:name w:val="HTML Preformatted"/>
    <w:basedOn w:val="692"/>
    <w:link w:val="963"/>
    <w:uiPriority w:val="0"/>
    <w:qFormat/>
    <w:pPr>
      <w:ind w:firstLine="440"/>
      <w:jc w:val="both"/>
      <w:spacing w:after="0" w:line="288" w:lineRule="auto"/>
      <w:widowControl w:val="off"/>
    </w:pPr>
    <w:rPr>
      <w:rFonts w:ascii="Courier New" w:hAnsi="Courier New" w:eastAsia="MiSans" w:cs="Courier New"/>
      <w:sz w:val="20"/>
      <w:szCs w:val="20"/>
      <w:lang w:eastAsia="zh-CN"/>
    </w:rPr>
  </w:style>
  <w:style w:type="paragraph" w:styleId="774">
    <w:name w:val="Normal (Web)"/>
    <w:basedOn w:val="692"/>
    <w:link w:val="971"/>
    <w:uiPriority w:val="0"/>
    <w:qFormat/>
    <w:pPr>
      <w:spacing w:beforeAutospacing="1" w:after="0" w:afterAutospacing="1"/>
    </w:pPr>
    <w:rPr>
      <w:rFonts w:cs="Times New Roman"/>
      <w:sz w:val="24"/>
      <w:lang w:eastAsia="zh-CN"/>
    </w:rPr>
  </w:style>
  <w:style w:type="paragraph" w:styleId="775">
    <w:name w:val="List Continue 3"/>
    <w:basedOn w:val="692"/>
    <w:uiPriority w:val="0"/>
    <w:qFormat/>
    <w:pPr>
      <w:contextualSpacing/>
      <w:ind w:left="1260" w:firstLine="440"/>
      <w:jc w:val="both"/>
      <w:spacing w:after="120" w:line="288" w:lineRule="auto"/>
      <w:widowControl w:val="off"/>
    </w:pPr>
    <w:rPr>
      <w:rFonts w:ascii="MiSans" w:hAnsi="MiSans" w:eastAsia="MiSans"/>
      <w:lang w:eastAsia="zh-CN"/>
    </w:rPr>
  </w:style>
  <w:style w:type="paragraph" w:styleId="776">
    <w:name w:val="index 2"/>
    <w:basedOn w:val="692"/>
    <w:next w:val="692"/>
    <w:uiPriority w:val="0"/>
    <w:qFormat/>
    <w:pPr>
      <w:ind w:left="200"/>
      <w:jc w:val="both"/>
      <w:spacing w:after="0" w:line="288" w:lineRule="auto"/>
      <w:widowControl w:val="off"/>
    </w:pPr>
    <w:rPr>
      <w:rFonts w:ascii="MiSans" w:hAnsi="MiSans" w:eastAsia="MiSans"/>
      <w:lang w:eastAsia="zh-CN"/>
    </w:rPr>
  </w:style>
  <w:style w:type="paragraph" w:styleId="777">
    <w:name w:val="Title"/>
    <w:basedOn w:val="692"/>
    <w:next w:val="692"/>
    <w:link w:val="820"/>
    <w:uiPriority w:val="10"/>
    <w:qFormat/>
    <w:pPr>
      <w:contextualSpacing/>
      <w:spacing w:before="300"/>
    </w:pPr>
    <w:rPr>
      <w:sz w:val="48"/>
      <w:szCs w:val="48"/>
    </w:rPr>
  </w:style>
  <w:style w:type="paragraph" w:styleId="778">
    <w:name w:val="annotation subject"/>
    <w:basedOn w:val="722"/>
    <w:next w:val="722"/>
    <w:link w:val="965"/>
    <w:uiPriority w:val="0"/>
    <w:unhideWhenUsed/>
    <w:qFormat/>
    <w:rPr>
      <w:rFonts w:eastAsiaTheme="minorEastAsia"/>
      <w:b/>
      <w:bCs/>
    </w:rPr>
  </w:style>
  <w:style w:type="paragraph" w:styleId="779">
    <w:name w:val="Body Text First Indent"/>
    <w:basedOn w:val="704"/>
    <w:link w:val="967"/>
    <w:uiPriority w:val="0"/>
    <w:qFormat/>
    <w:pPr>
      <w:ind w:firstLine="420"/>
      <w:jc w:val="both"/>
      <w:spacing w:after="120" w:line="288" w:lineRule="auto"/>
      <w:widowControl w:val="off"/>
    </w:pPr>
    <w:rPr>
      <w:rFonts w:ascii="MiSans" w:hAnsi="MiSans" w:eastAsia="MiSans"/>
      <w:sz w:val="22"/>
      <w:lang w:eastAsia="zh-CN"/>
    </w:rPr>
  </w:style>
  <w:style w:type="paragraph" w:styleId="780">
    <w:name w:val="Body Text First Indent 2"/>
    <w:basedOn w:val="728"/>
    <w:link w:val="972"/>
    <w:uiPriority w:val="0"/>
    <w:unhideWhenUsed/>
    <w:qFormat/>
    <w:pPr>
      <w:ind w:left="420" w:firstLine="420"/>
      <w:spacing w:after="120" w:line="240" w:lineRule="auto"/>
    </w:pPr>
    <w:rPr>
      <w:rFonts w:ascii="Times New Roman"/>
      <w:sz w:val="24"/>
      <w:szCs w:val="24"/>
    </w:rPr>
  </w:style>
  <w:style w:type="table" w:styleId="781">
    <w:name w:val="Table Grid"/>
    <w:basedOn w:val="70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Strong"/>
    <w:basedOn w:val="702"/>
    <w:uiPriority w:val="22"/>
    <w:qFormat/>
    <w:rPr>
      <w:b/>
    </w:rPr>
  </w:style>
  <w:style w:type="character" w:styleId="783">
    <w:name w:val="endnote reference"/>
    <w:uiPriority w:val="0"/>
    <w:unhideWhenUsed/>
    <w:qFormat/>
    <w:rPr>
      <w:vertAlign w:val="superscript"/>
    </w:rPr>
  </w:style>
  <w:style w:type="character" w:styleId="784">
    <w:name w:val="page number"/>
    <w:uiPriority w:val="0"/>
    <w:qFormat/>
  </w:style>
  <w:style w:type="character" w:styleId="785">
    <w:name w:val="FollowedHyperlink"/>
    <w:basedOn w:val="702"/>
    <w:uiPriority w:val="0"/>
    <w:qFormat/>
    <w:rPr>
      <w:rFonts w:ascii="MiSans" w:hAnsi="MiSans" w:eastAsia="MiSans" w:cstheme="minorBidi"/>
      <w:color w:val="800080"/>
      <w:sz w:val="22"/>
      <w:szCs w:val="22"/>
      <w:u w:val="single"/>
      <w:lang w:val="en-US" w:eastAsia="zh-CN" w:bidi="ar-SA"/>
    </w:rPr>
  </w:style>
  <w:style w:type="character" w:styleId="786">
    <w:name w:val="Emphasis"/>
    <w:basedOn w:val="702"/>
    <w:uiPriority w:val="20"/>
    <w:qFormat/>
    <w:rPr>
      <w:rFonts w:ascii="MiSans" w:hAnsi="MiSans" w:eastAsia="MiSans"/>
      <w:b/>
      <w:bCs/>
      <w:color w:val="c00000"/>
      <w:sz w:val="24"/>
      <w:szCs w:val="24"/>
    </w:rPr>
  </w:style>
  <w:style w:type="character" w:styleId="787">
    <w:name w:val="Hyperlink"/>
    <w:uiPriority w:val="0"/>
    <w:unhideWhenUsed/>
    <w:qFormat/>
    <w:rPr>
      <w:color w:val="0563c1" w:themeColor="hyperlink"/>
      <w:u w:val="single"/>
      <w14:textFill>
        <w14:solidFill>
          <w14:schemeClr w14:val="hlink"/>
        </w14:solidFill>
      </w14:textFill>
    </w:rPr>
  </w:style>
  <w:style w:type="character" w:styleId="788">
    <w:name w:val="annotation reference"/>
    <w:uiPriority w:val="0"/>
    <w:qFormat/>
    <w:rPr>
      <w:sz w:val="21"/>
      <w:szCs w:val="21"/>
    </w:rPr>
  </w:style>
  <w:style w:type="character" w:styleId="789">
    <w:name w:val="footnote reference"/>
    <w:uiPriority w:val="0"/>
    <w:unhideWhenUsed/>
    <w:qFormat/>
    <w:rPr>
      <w:vertAlign w:val="superscript"/>
    </w:rPr>
  </w:style>
  <w:style w:type="table" w:styleId="790" w:customStyle="1">
    <w:name w:val="无格式表格 11"/>
    <w:basedOn w:val="7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21"/>
    <w:basedOn w:val="70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无格式表格 31"/>
    <w:basedOn w:val="70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无格式表格 41"/>
    <w:basedOn w:val="70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无格式表格 51"/>
    <w:basedOn w:val="70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网格表 1 浅色1"/>
    <w:basedOn w:val="70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网格表 21"/>
    <w:basedOn w:val="7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网格表 31"/>
    <w:basedOn w:val="7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网格表 41"/>
    <w:basedOn w:val="70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网格表 5 深色1"/>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网格表 6 彩色1"/>
    <w:basedOn w:val="70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1" w:customStyle="1">
    <w:name w:val="网格表 7 彩色1"/>
    <w:basedOn w:val="70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清单表 1 浅色1"/>
    <w:basedOn w:val="70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清单表 21"/>
    <w:basedOn w:val="70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4" w:customStyle="1">
    <w:name w:val="清单表 31"/>
    <w:basedOn w:val="7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清单表 41"/>
    <w:basedOn w:val="7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清单表 5 深色1"/>
    <w:basedOn w:val="70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清单表 6 彩色1"/>
    <w:basedOn w:val="70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8" w:customStyle="1">
    <w:name w:val="清单表 7 彩色1"/>
    <w:basedOn w:val="70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9" w:customStyle="1">
    <w:name w:val="TOC 标题1"/>
    <w:uiPriority w:val="39"/>
    <w:unhideWhenUsed/>
    <w:qFormat/>
    <w:rPr>
      <w:rFonts w:ascii="Times New Roman" w:hAnsi="Times New Roman" w:eastAsia="宋体" w:cs="Times New Roman"/>
      <w:lang w:val="en-US" w:eastAsia="zh-CN" w:bidi="ar-SA"/>
    </w:rPr>
  </w:style>
  <w:style w:type="paragraph" w:styleId="81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811" w:customStyle="1">
    <w:name w:val="标题 1 Char"/>
    <w:link w:val="693"/>
    <w:uiPriority w:val="9"/>
    <w:qFormat/>
    <w:rPr>
      <w:rFonts w:ascii="Arial" w:hAnsi="Arial" w:eastAsia="Arial" w:cs="Arial"/>
      <w:sz w:val="40"/>
      <w:szCs w:val="40"/>
    </w:rPr>
  </w:style>
  <w:style w:type="character" w:styleId="812" w:customStyle="1">
    <w:name w:val="标题 2 Char"/>
    <w:link w:val="694"/>
    <w:uiPriority w:val="9"/>
    <w:qFormat/>
    <w:rPr>
      <w:rFonts w:ascii="Arial" w:hAnsi="Arial" w:eastAsia="Arial" w:cs="Arial"/>
      <w:sz w:val="34"/>
    </w:rPr>
  </w:style>
  <w:style w:type="character" w:styleId="813" w:customStyle="1">
    <w:name w:val="标题 3 Char"/>
    <w:link w:val="695"/>
    <w:uiPriority w:val="9"/>
    <w:qFormat/>
    <w:rPr>
      <w:rFonts w:ascii="Arial" w:hAnsi="Arial" w:eastAsia="Arial" w:cs="Arial"/>
      <w:sz w:val="30"/>
      <w:szCs w:val="30"/>
    </w:rPr>
  </w:style>
  <w:style w:type="character" w:styleId="814" w:customStyle="1">
    <w:name w:val="标题 4 Char"/>
    <w:link w:val="696"/>
    <w:uiPriority w:val="9"/>
    <w:qFormat/>
    <w:rPr>
      <w:rFonts w:ascii="Arial" w:hAnsi="Arial" w:eastAsia="Arial" w:cs="Arial"/>
      <w:b/>
      <w:bCs/>
      <w:sz w:val="26"/>
      <w:szCs w:val="26"/>
    </w:rPr>
  </w:style>
  <w:style w:type="character" w:styleId="815" w:customStyle="1">
    <w:name w:val="标题 5 Char"/>
    <w:link w:val="697"/>
    <w:uiPriority w:val="9"/>
    <w:qFormat/>
    <w:rPr>
      <w:rFonts w:ascii="Arial" w:hAnsi="Arial" w:eastAsia="Arial" w:cs="Arial"/>
      <w:b/>
      <w:bCs/>
      <w:sz w:val="24"/>
      <w:szCs w:val="24"/>
    </w:rPr>
  </w:style>
  <w:style w:type="character" w:styleId="816" w:customStyle="1">
    <w:name w:val="标题 6 Char"/>
    <w:link w:val="698"/>
    <w:uiPriority w:val="9"/>
    <w:qFormat/>
    <w:rPr>
      <w:rFonts w:ascii="Arial" w:hAnsi="Arial" w:eastAsia="Arial" w:cs="Arial"/>
      <w:b/>
      <w:bCs/>
      <w:sz w:val="22"/>
      <w:szCs w:val="22"/>
    </w:rPr>
  </w:style>
  <w:style w:type="character" w:styleId="817" w:customStyle="1">
    <w:name w:val="标题 7 Char"/>
    <w:link w:val="699"/>
    <w:uiPriority w:val="9"/>
    <w:qFormat/>
    <w:rPr>
      <w:rFonts w:ascii="Arial" w:hAnsi="Arial" w:eastAsia="Arial" w:cs="Arial"/>
      <w:b/>
      <w:bCs/>
      <w:i/>
      <w:iCs/>
      <w:sz w:val="22"/>
      <w:szCs w:val="22"/>
    </w:rPr>
  </w:style>
  <w:style w:type="character" w:styleId="818" w:customStyle="1">
    <w:name w:val="标题 8 Char"/>
    <w:link w:val="700"/>
    <w:uiPriority w:val="9"/>
    <w:qFormat/>
    <w:rPr>
      <w:rFonts w:ascii="Arial" w:hAnsi="Arial" w:eastAsia="Arial" w:cs="Arial"/>
      <w:i/>
      <w:iCs/>
      <w:sz w:val="22"/>
      <w:szCs w:val="22"/>
    </w:rPr>
  </w:style>
  <w:style w:type="character" w:styleId="819" w:customStyle="1">
    <w:name w:val="标题 9 Char"/>
    <w:link w:val="701"/>
    <w:uiPriority w:val="9"/>
    <w:qFormat/>
    <w:rPr>
      <w:rFonts w:ascii="Arial" w:hAnsi="Arial" w:eastAsia="Arial" w:cs="Arial"/>
      <w:i/>
      <w:iCs/>
      <w:sz w:val="21"/>
      <w:szCs w:val="21"/>
    </w:rPr>
  </w:style>
  <w:style w:type="character" w:styleId="820" w:customStyle="1">
    <w:name w:val="标题 Char"/>
    <w:link w:val="777"/>
    <w:uiPriority w:val="10"/>
    <w:qFormat/>
    <w:rPr>
      <w:sz w:val="48"/>
      <w:szCs w:val="48"/>
    </w:rPr>
  </w:style>
  <w:style w:type="character" w:styleId="821" w:customStyle="1">
    <w:name w:val="副标题 Char"/>
    <w:link w:val="757"/>
    <w:uiPriority w:val="11"/>
    <w:qFormat/>
    <w:rPr>
      <w:sz w:val="24"/>
      <w:szCs w:val="24"/>
    </w:rPr>
  </w:style>
  <w:style w:type="paragraph" w:styleId="822">
    <w:name w:val="Quote"/>
    <w:basedOn w:val="692"/>
    <w:next w:val="692"/>
    <w:link w:val="823"/>
    <w:uiPriority w:val="99"/>
    <w:qFormat/>
    <w:pPr>
      <w:ind w:left="720" w:right="720"/>
    </w:pPr>
    <w:rPr>
      <w:i/>
    </w:rPr>
  </w:style>
  <w:style w:type="character" w:styleId="823" w:customStyle="1">
    <w:name w:val="引用 Char"/>
    <w:link w:val="822"/>
    <w:uiPriority w:val="99"/>
    <w:qFormat/>
    <w:rPr>
      <w:i/>
    </w:rPr>
  </w:style>
  <w:style w:type="paragraph" w:styleId="824">
    <w:name w:val="Intense Quote"/>
    <w:basedOn w:val="692"/>
    <w:next w:val="692"/>
    <w:link w:val="825"/>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Char"/>
    <w:link w:val="824"/>
    <w:uiPriority w:val="99"/>
    <w:qFormat/>
    <w:rPr>
      <w:i/>
    </w:rPr>
  </w:style>
  <w:style w:type="character" w:styleId="826" w:customStyle="1">
    <w:name w:val="页眉 Char"/>
    <w:link w:val="750"/>
    <w:uiPriority w:val="99"/>
    <w:qFormat/>
  </w:style>
  <w:style w:type="character" w:styleId="827" w:customStyle="1">
    <w:name w:val="Footer Char"/>
    <w:uiPriority w:val="99"/>
    <w:qFormat/>
  </w:style>
  <w:style w:type="character" w:styleId="828" w:customStyle="1">
    <w:name w:val="页脚 Char"/>
    <w:link w:val="748"/>
    <w:uiPriority w:val="99"/>
    <w:qFormat/>
  </w:style>
  <w:style w:type="table" w:styleId="829" w:customStyle="1">
    <w:name w:val="Table Grid Light"/>
    <w:basedOn w:val="7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0" w:customStyle="1">
    <w:name w:val="Grid Table 1 Light - Accent 1"/>
    <w:basedOn w:val="70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basedOn w:val="70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basedOn w:val="70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basedOn w:val="70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basedOn w:val="70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basedOn w:val="70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6" w:customStyle="1">
    <w:name w:val="Grid Table 2 - Accent 1"/>
    <w:basedOn w:val="70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basedOn w:val="70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basedOn w:val="70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basedOn w:val="70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basedOn w:val="70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1" w:customStyle="1">
    <w:name w:val="Grid Table 2 - Accent 6"/>
    <w:basedOn w:val="70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2" w:customStyle="1">
    <w:name w:val="Grid Table 3 - Accent 1"/>
    <w:basedOn w:val="70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basedOn w:val="70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basedOn w:val="70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basedOn w:val="70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basedOn w:val="70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basedOn w:val="70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4 - Accent 1"/>
    <w:basedOn w:val="70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9" w:customStyle="1">
    <w:name w:val="Grid Table 4 - Accent 2"/>
    <w:basedOn w:val="70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0" w:customStyle="1">
    <w:name w:val="Grid Table 4 - Accent 3"/>
    <w:basedOn w:val="70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1" w:customStyle="1">
    <w:name w:val="Grid Table 4 - Accent 4"/>
    <w:basedOn w:val="70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2" w:customStyle="1">
    <w:name w:val="Grid Table 4 - Accent 5"/>
    <w:basedOn w:val="70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3" w:customStyle="1">
    <w:name w:val="Grid Table 4 - Accent 6"/>
    <w:basedOn w:val="70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4" w:customStyle="1">
    <w:name w:val="Grid Table 5 Dark- Accent 1"/>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5" w:customStyle="1">
    <w:name w:val="Grid Table 5 Dark - Accent 2"/>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6" w:customStyle="1">
    <w:name w:val="Grid Table 5 Dark - Accent 3"/>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7" w:customStyle="1">
    <w:name w:val="Grid Table 5 Dark- Accent 4"/>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8" w:customStyle="1">
    <w:name w:val="Grid Table 5 Dark - Accent 5"/>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9" w:customStyle="1">
    <w:name w:val="Grid Table 5 Dark - Accent 6"/>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0" w:customStyle="1">
    <w:name w:val="Grid Table 6 Colorful - Accent 1"/>
    <w:basedOn w:val="70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1" w:customStyle="1">
    <w:name w:val="Grid Table 6 Colorful - Accent 2"/>
    <w:basedOn w:val="70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2" w:customStyle="1">
    <w:name w:val="Grid Table 6 Colorful - Accent 3"/>
    <w:basedOn w:val="70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3" w:customStyle="1">
    <w:name w:val="Grid Table 6 Colorful - Accent 4"/>
    <w:basedOn w:val="70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4" w:customStyle="1">
    <w:name w:val="Grid Table 6 Colorful - Accent 5"/>
    <w:basedOn w:val="70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5" w:customStyle="1">
    <w:name w:val="Grid Table 6 Colorful - Accent 6"/>
    <w:basedOn w:val="70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6" w:customStyle="1">
    <w:name w:val="Grid Table 7 Colorful - Accent 1"/>
    <w:basedOn w:val="70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7" w:customStyle="1">
    <w:name w:val="Grid Table 7 Colorful - Accent 2"/>
    <w:basedOn w:val="70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8" w:customStyle="1">
    <w:name w:val="Grid Table 7 Colorful - Accent 3"/>
    <w:basedOn w:val="70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9" w:customStyle="1">
    <w:name w:val="Grid Table 7 Colorful - Accent 4"/>
    <w:basedOn w:val="70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0" w:customStyle="1">
    <w:name w:val="Grid Table 7 Colorful - Accent 5"/>
    <w:basedOn w:val="70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1" w:customStyle="1">
    <w:name w:val="Grid Table 7 Colorful - Accent 6"/>
    <w:basedOn w:val="70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2" w:customStyle="1">
    <w:name w:val="List Table 1 Light - Accent 1"/>
    <w:basedOn w:val="703"/>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3" w:customStyle="1">
    <w:name w:val="List Table 1 Light - Accent 2"/>
    <w:basedOn w:val="70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4" w:customStyle="1">
    <w:name w:val="List Table 1 Light - Accent 3"/>
    <w:basedOn w:val="70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5" w:customStyle="1">
    <w:name w:val="List Table 1 Light - Accent 4"/>
    <w:basedOn w:val="70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6" w:customStyle="1">
    <w:name w:val="List Table 1 Light - Accent 5"/>
    <w:basedOn w:val="703"/>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7" w:customStyle="1">
    <w:name w:val="List Table 1 Light - Accent 6"/>
    <w:basedOn w:val="70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8" w:customStyle="1">
    <w:name w:val="List Table 2 - Accent 1"/>
    <w:basedOn w:val="70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9" w:customStyle="1">
    <w:name w:val="List Table 2 - Accent 2"/>
    <w:basedOn w:val="70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0" w:customStyle="1">
    <w:name w:val="List Table 2 - Accent 3"/>
    <w:basedOn w:val="70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1" w:customStyle="1">
    <w:name w:val="List Table 2 - Accent 4"/>
    <w:basedOn w:val="70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2" w:customStyle="1">
    <w:name w:val="List Table 2 - Accent 5"/>
    <w:basedOn w:val="70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3" w:customStyle="1">
    <w:name w:val="List Table 2 - Accent 6"/>
    <w:basedOn w:val="70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4" w:customStyle="1">
    <w:name w:val="List Table 3 - Accent 1"/>
    <w:basedOn w:val="70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5" w:customStyle="1">
    <w:name w:val="List Table 3 - Accent 2"/>
    <w:basedOn w:val="70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6" w:customStyle="1">
    <w:name w:val="List Table 3 - Accent 3"/>
    <w:basedOn w:val="70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7" w:customStyle="1">
    <w:name w:val="List Table 3 - Accent 4"/>
    <w:basedOn w:val="70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8" w:customStyle="1">
    <w:name w:val="List Table 3 - Accent 5"/>
    <w:basedOn w:val="70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9" w:customStyle="1">
    <w:name w:val="List Table 3 - Accent 6"/>
    <w:basedOn w:val="70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0" w:customStyle="1">
    <w:name w:val="List Table 4 - Accent 1"/>
    <w:basedOn w:val="70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1" w:customStyle="1">
    <w:name w:val="List Table 4 - Accent 2"/>
    <w:basedOn w:val="70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2" w:customStyle="1">
    <w:name w:val="List Table 4 - Accent 3"/>
    <w:basedOn w:val="70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3" w:customStyle="1">
    <w:name w:val="List Table 4 - Accent 4"/>
    <w:basedOn w:val="70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4" w:customStyle="1">
    <w:name w:val="List Table 4 - Accent 5"/>
    <w:basedOn w:val="70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5" w:customStyle="1">
    <w:name w:val="List Table 4 - Accent 6"/>
    <w:basedOn w:val="70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6" w:customStyle="1">
    <w:name w:val="List Table 5 Dark - Accent 1"/>
    <w:basedOn w:val="70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2"/>
    <w:basedOn w:val="70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3"/>
    <w:basedOn w:val="70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4"/>
    <w:basedOn w:val="70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5"/>
    <w:basedOn w:val="70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6"/>
    <w:basedOn w:val="70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6 Colorful - Accent 1"/>
    <w:basedOn w:val="703"/>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3" w:customStyle="1">
    <w:name w:val="List Table 6 Colorful - Accent 2"/>
    <w:basedOn w:val="70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4" w:customStyle="1">
    <w:name w:val="List Table 6 Colorful - Accent 3"/>
    <w:basedOn w:val="70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5" w:customStyle="1">
    <w:name w:val="List Table 6 Colorful - Accent 4"/>
    <w:basedOn w:val="70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6" w:customStyle="1">
    <w:name w:val="List Table 6 Colorful - Accent 5"/>
    <w:basedOn w:val="703"/>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7" w:customStyle="1">
    <w:name w:val="List Table 6 Colorful - Accent 6"/>
    <w:basedOn w:val="70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8" w:customStyle="1">
    <w:name w:val="List Table 7 Colorful - Accent 1"/>
    <w:basedOn w:val="703"/>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basedOn w:val="70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basedOn w:val="70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basedOn w:val="70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basedOn w:val="703"/>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basedOn w:val="70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4" w:customStyle="1">
    <w:name w:val="Lined - Accent"/>
    <w:basedOn w:val="70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basedOn w:val="70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6" w:customStyle="1">
    <w:name w:val="Lined - Accent 2"/>
    <w:basedOn w:val="70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7" w:customStyle="1">
    <w:name w:val="Lined - Accent 3"/>
    <w:basedOn w:val="70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8" w:customStyle="1">
    <w:name w:val="Lined - Accent 4"/>
    <w:basedOn w:val="70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9" w:customStyle="1">
    <w:name w:val="Lined - Accent 5"/>
    <w:basedOn w:val="70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0" w:customStyle="1">
    <w:name w:val="Lined - Accent 6"/>
    <w:basedOn w:val="70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1" w:customStyle="1">
    <w:name w:val="Bordered &amp; Lined - Accent"/>
    <w:basedOn w:val="70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basedOn w:val="70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3" w:customStyle="1">
    <w:name w:val="Bordered &amp; Lined - Accent 2"/>
    <w:basedOn w:val="70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4" w:customStyle="1">
    <w:name w:val="Bordered &amp; Lined - Accent 3"/>
    <w:basedOn w:val="70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5" w:customStyle="1">
    <w:name w:val="Bordered &amp; Lined - Accent 4"/>
    <w:basedOn w:val="70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6" w:customStyle="1">
    <w:name w:val="Bordered &amp; Lined - Accent 5"/>
    <w:basedOn w:val="70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7" w:customStyle="1">
    <w:name w:val="Bordered &amp; Lined - Accent 6"/>
    <w:basedOn w:val="70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8" w:customStyle="1">
    <w:name w:val="Bordered"/>
    <w:basedOn w:val="70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basedOn w:val="70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0" w:customStyle="1">
    <w:name w:val="Bordered - Accent 2"/>
    <w:basedOn w:val="70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1" w:customStyle="1">
    <w:name w:val="Bordered - Accent 3"/>
    <w:basedOn w:val="70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2" w:customStyle="1">
    <w:name w:val="Bordered - Accent 4"/>
    <w:basedOn w:val="70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3" w:customStyle="1">
    <w:name w:val="Bordered - Accent 5"/>
    <w:basedOn w:val="70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4" w:customStyle="1">
    <w:name w:val="Bordered - Accent 6"/>
    <w:basedOn w:val="70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5" w:customStyle="1">
    <w:name w:val="脚注文本 Char"/>
    <w:link w:val="760"/>
    <w:uiPriority w:val="99"/>
    <w:qFormat/>
    <w:rPr>
      <w:sz w:val="18"/>
    </w:rPr>
  </w:style>
  <w:style w:type="character" w:styleId="936" w:customStyle="1">
    <w:name w:val="尾注文本 Char"/>
    <w:link w:val="745"/>
    <w:uiPriority w:val="99"/>
    <w:qFormat/>
    <w:rPr>
      <w:sz w:val="20"/>
    </w:rPr>
  </w:style>
  <w:style w:type="paragraph" w:styleId="937" w:customStyle="1">
    <w:name w:val="TOC 标题11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938">
    <w:name w:val="No Spacing"/>
    <w:basedOn w:val="692"/>
    <w:uiPriority w:val="99"/>
    <w:qFormat/>
    <w:pPr>
      <w:spacing w:after="0" w:line="240" w:lineRule="auto"/>
    </w:pPr>
  </w:style>
  <w:style w:type="paragraph" w:styleId="939">
    <w:name w:val="List Paragraph"/>
    <w:basedOn w:val="692"/>
    <w:uiPriority w:val="99"/>
    <w:qFormat/>
    <w:pPr>
      <w:contextualSpacing/>
      <w:ind w:left="720"/>
    </w:pPr>
  </w:style>
  <w:style w:type="paragraph" w:styleId="940" w:customStyle="1">
    <w:name w:val="Plain Text2"/>
    <w:basedOn w:val="692"/>
    <w:uiPriority w:val="0"/>
    <w:qFormat/>
    <w:rPr>
      <w:rFonts w:ascii="宋体" w:hAnsi="Courier New" w:eastAsia="楷体_GB2312"/>
      <w:sz w:val="28"/>
    </w:rPr>
  </w:style>
  <w:style w:type="paragraph" w:styleId="941" w:customStyle="1">
    <w:name w:val="普通正文"/>
    <w:basedOn w:val="692"/>
    <w:uiPriority w:val="0"/>
    <w:qFormat/>
    <w:pPr>
      <w:ind w:firstLine="425"/>
    </w:pPr>
    <w:rPr>
      <w:rFonts w:ascii="宋体" w:hAnsi="宋体"/>
      <w:color w:val="000000"/>
      <w:sz w:val="24"/>
    </w:rPr>
  </w:style>
  <w:style w:type="paragraph" w:styleId="942" w:customStyle="1">
    <w:name w:val="纯文本2"/>
    <w:basedOn w:val="692"/>
    <w:uiPriority w:val="0"/>
    <w:qFormat/>
    <w:rPr>
      <w:rFonts w:ascii="宋体" w:hAnsi="Courier New" w:eastAsia="楷体_GB2312"/>
      <w:sz w:val="26"/>
    </w:rPr>
  </w:style>
  <w:style w:type="paragraph" w:styleId="943" w:customStyle="1">
    <w:name w:val="方案正文"/>
    <w:basedOn w:val="692"/>
    <w:link w:val="994"/>
    <w:uiPriority w:val="0"/>
    <w:qFormat/>
    <w:pPr>
      <w:spacing w:line="440" w:lineRule="atLeast"/>
    </w:pPr>
    <w:rPr>
      <w:rFonts w:eastAsiaTheme="minorEastAsia"/>
      <w:sz w:val="24"/>
    </w:rPr>
  </w:style>
  <w:style w:type="paragraph" w:styleId="944" w:customStyle="1">
    <w:name w:val="Andy_正文"/>
    <w:basedOn w:val="692"/>
    <w:uiPriority w:val="0"/>
    <w:qFormat/>
    <w:pPr>
      <w:ind w:firstLine="480"/>
      <w:spacing w:line="360" w:lineRule="auto"/>
    </w:pPr>
    <w:rPr>
      <w:rFonts w:ascii="Calibri" w:hAnsi="Calibri"/>
      <w:sz w:val="24"/>
      <w:szCs w:val="24"/>
    </w:rPr>
  </w:style>
  <w:style w:type="paragraph" w:styleId="945" w:customStyle="1">
    <w:name w:val="纯文本1"/>
    <w:basedOn w:val="692"/>
    <w:link w:val="992"/>
    <w:uiPriority w:val="0"/>
    <w:qFormat/>
    <w:rPr>
      <w:rFonts w:ascii="宋体" w:hAnsi="Courier New" w:eastAsia="楷体_GB2312"/>
      <w:sz w:val="26"/>
    </w:rPr>
  </w:style>
  <w:style w:type="paragraph" w:styleId="946" w:customStyle="1">
    <w:name w:val="一级目录"/>
    <w:next w:val="692"/>
    <w:uiPriority w:val="0"/>
    <w:qFormat/>
    <w:pPr>
      <w:jc w:val="center"/>
      <w:outlineLvl w:val="0"/>
    </w:pPr>
    <w:rPr>
      <w:rFonts w:ascii="黑体" w:hAnsi="Times New Roman" w:eastAsia="黑体" w:cs="Times New Roman"/>
      <w:b/>
      <w:sz w:val="44"/>
      <w:szCs w:val="44"/>
      <w:lang w:val="en-US" w:eastAsia="zh-CN" w:bidi="ar-SA"/>
    </w:rPr>
  </w:style>
  <w:style w:type="paragraph" w:styleId="947" w:customStyle="1">
    <w:name w:val="Table Paragraph"/>
    <w:basedOn w:val="692"/>
    <w:uiPriority w:val="1"/>
    <w:qFormat/>
    <w:rPr>
      <w:rFonts w:ascii="宋体" w:hAnsi="宋体" w:cs="宋体"/>
      <w:lang w:val="zh-CN" w:bidi="zh-CN"/>
    </w:rPr>
  </w:style>
  <w:style w:type="paragraph" w:styleId="948" w:customStyle="1">
    <w:name w:val="BodyText"/>
    <w:basedOn w:val="692"/>
    <w:uiPriority w:val="0"/>
    <w:qFormat/>
    <w:pPr>
      <w:spacing w:after="120"/>
    </w:pPr>
    <w:rPr>
      <w:szCs w:val="24"/>
    </w:rPr>
  </w:style>
  <w:style w:type="paragraph" w:styleId="949" w:customStyle="1">
    <w:name w:val="01 章标"/>
    <w:basedOn w:val="692"/>
    <w:uiPriority w:val="0"/>
    <w:qFormat/>
    <w:pPr>
      <w:ind w:firstLine="883"/>
      <w:jc w:val="center"/>
      <w:outlineLvl w:val="0"/>
    </w:pPr>
    <w:rPr>
      <w:b/>
      <w:sz w:val="44"/>
      <w:szCs w:val="44"/>
    </w:rPr>
  </w:style>
  <w:style w:type="character" w:styleId="950" w:customStyle="1">
    <w:name w:val="宏文本 Char"/>
    <w:basedOn w:val="702"/>
    <w:link w:val="705"/>
    <w:uiPriority w:val="0"/>
    <w:qFormat/>
    <w:rPr>
      <w:rFonts w:ascii="Courier New" w:hAnsi="Courier New" w:eastAsia="宋体" w:cs="Courier New"/>
      <w:sz w:val="24"/>
      <w:szCs w:val="24"/>
    </w:rPr>
  </w:style>
  <w:style w:type="character" w:styleId="951" w:customStyle="1">
    <w:name w:val="电子邮件签名 Char"/>
    <w:basedOn w:val="702"/>
    <w:link w:val="713"/>
    <w:uiPriority w:val="0"/>
    <w:qFormat/>
    <w:rPr>
      <w:rFonts w:ascii="MiSans" w:hAnsi="MiSans" w:eastAsia="MiSans"/>
      <w:sz w:val="22"/>
      <w:szCs w:val="22"/>
    </w:rPr>
  </w:style>
  <w:style w:type="character" w:styleId="952" w:customStyle="1">
    <w:name w:val="称呼 Char"/>
    <w:basedOn w:val="702"/>
    <w:link w:val="724"/>
    <w:uiPriority w:val="0"/>
    <w:qFormat/>
    <w:rPr>
      <w:rFonts w:ascii="MiSans" w:hAnsi="MiSans" w:eastAsia="MiSans"/>
      <w:sz w:val="22"/>
      <w:szCs w:val="22"/>
    </w:rPr>
  </w:style>
  <w:style w:type="character" w:styleId="953" w:customStyle="1">
    <w:name w:val="正文文本 3 Char"/>
    <w:basedOn w:val="702"/>
    <w:link w:val="725"/>
    <w:uiPriority w:val="0"/>
    <w:qFormat/>
    <w:rPr>
      <w:rFonts w:ascii="MiSans" w:hAnsi="MiSans" w:eastAsia="MiSans"/>
      <w:sz w:val="16"/>
      <w:szCs w:val="16"/>
    </w:rPr>
  </w:style>
  <w:style w:type="character" w:styleId="954" w:customStyle="1">
    <w:name w:val="结束语 Char"/>
    <w:basedOn w:val="702"/>
    <w:link w:val="726"/>
    <w:uiPriority w:val="0"/>
    <w:qFormat/>
    <w:rPr>
      <w:rFonts w:ascii="MiSans" w:hAnsi="MiSans" w:eastAsia="MiSans"/>
      <w:sz w:val="22"/>
      <w:szCs w:val="22"/>
    </w:rPr>
  </w:style>
  <w:style w:type="character" w:styleId="955" w:customStyle="1">
    <w:name w:val="HTML 地址 Char"/>
    <w:basedOn w:val="702"/>
    <w:link w:val="734"/>
    <w:uiPriority w:val="0"/>
    <w:qFormat/>
    <w:rPr>
      <w:rFonts w:ascii="MiSans" w:hAnsi="MiSans" w:eastAsia="MiSans"/>
      <w:i/>
      <w:iCs/>
      <w:sz w:val="22"/>
      <w:szCs w:val="22"/>
    </w:rPr>
  </w:style>
  <w:style w:type="character" w:styleId="956" w:customStyle="1">
    <w:name w:val="纯文本 Char"/>
    <w:basedOn w:val="702"/>
    <w:link w:val="738"/>
    <w:uiPriority w:val="0"/>
    <w:qFormat/>
    <w:rPr>
      <w:rFonts w:ascii="宋体" w:hAnsi="Courier New" w:eastAsia="楷体_GB2312"/>
      <w:sz w:val="28"/>
      <w:szCs w:val="22"/>
      <w:lang w:eastAsia="en-US"/>
    </w:rPr>
  </w:style>
  <w:style w:type="character" w:styleId="957" w:customStyle="1">
    <w:name w:val="日期 Char"/>
    <w:basedOn w:val="702"/>
    <w:link w:val="743"/>
    <w:uiPriority w:val="0"/>
    <w:qFormat/>
    <w:rPr>
      <w:rFonts w:ascii="MiSans" w:hAnsi="MiSans" w:eastAsia="MiSans"/>
      <w:sz w:val="22"/>
      <w:szCs w:val="22"/>
    </w:rPr>
  </w:style>
  <w:style w:type="character" w:styleId="958" w:customStyle="1">
    <w:name w:val="正文文本缩进 2 Char"/>
    <w:basedOn w:val="702"/>
    <w:link w:val="744"/>
    <w:uiPriority w:val="0"/>
    <w:qFormat/>
    <w:rPr>
      <w:rFonts w:ascii="MiSans" w:hAnsi="MiSans" w:eastAsia="MiSans"/>
      <w:sz w:val="22"/>
      <w:szCs w:val="22"/>
    </w:rPr>
  </w:style>
  <w:style w:type="character" w:styleId="959" w:customStyle="1">
    <w:name w:val="批注框文本 Char"/>
    <w:basedOn w:val="702"/>
    <w:link w:val="747"/>
    <w:uiPriority w:val="0"/>
    <w:qFormat/>
    <w:rPr>
      <w:sz w:val="18"/>
      <w:szCs w:val="18"/>
      <w:lang w:eastAsia="en-US"/>
    </w:rPr>
  </w:style>
  <w:style w:type="character" w:styleId="960" w:customStyle="1">
    <w:name w:val="签名 Char"/>
    <w:basedOn w:val="702"/>
    <w:link w:val="751"/>
    <w:uiPriority w:val="0"/>
    <w:qFormat/>
    <w:rPr>
      <w:rFonts w:ascii="MiSans" w:hAnsi="MiSans" w:eastAsia="MiSans"/>
      <w:sz w:val="22"/>
      <w:szCs w:val="22"/>
    </w:rPr>
  </w:style>
  <w:style w:type="character" w:styleId="961" w:customStyle="1">
    <w:name w:val="正文文本 2 Char"/>
    <w:basedOn w:val="702"/>
    <w:link w:val="769"/>
    <w:uiPriority w:val="0"/>
    <w:qFormat/>
    <w:rPr>
      <w:sz w:val="22"/>
      <w:szCs w:val="22"/>
      <w:lang w:eastAsia="en-US"/>
    </w:rPr>
  </w:style>
  <w:style w:type="character" w:styleId="962" w:customStyle="1">
    <w:name w:val="信息标题 Char"/>
    <w:basedOn w:val="702"/>
    <w:link w:val="772"/>
    <w:uiPriority w:val="0"/>
    <w:qFormat/>
    <w:rPr>
      <w:rFonts w:asciiTheme="majorHAnsi" w:hAnsiTheme="majorHAnsi" w:eastAsiaTheme="majorEastAsia" w:cstheme="majorBidi"/>
      <w:sz w:val="24"/>
      <w:szCs w:val="24"/>
      <w:shd w:val="pct20" w:color="auto" w:fill="auto"/>
    </w:rPr>
  </w:style>
  <w:style w:type="character" w:styleId="963" w:customStyle="1">
    <w:name w:val="HTML 预设格式 Char"/>
    <w:basedOn w:val="702"/>
    <w:link w:val="773"/>
    <w:uiPriority w:val="0"/>
    <w:qFormat/>
    <w:rPr>
      <w:rFonts w:ascii="Courier New" w:hAnsi="Courier New" w:eastAsia="MiSans" w:cs="Courier New"/>
    </w:rPr>
  </w:style>
  <w:style w:type="character" w:styleId="964" w:customStyle="1">
    <w:name w:val="批注文字 Char"/>
    <w:basedOn w:val="702"/>
    <w:link w:val="722"/>
    <w:uiPriority w:val="0"/>
    <w:qFormat/>
    <w:rPr>
      <w:rFonts w:eastAsiaTheme="minorHAnsi"/>
      <w:sz w:val="22"/>
      <w:szCs w:val="22"/>
      <w:lang w:eastAsia="en-US"/>
    </w:rPr>
  </w:style>
  <w:style w:type="character" w:styleId="965" w:customStyle="1">
    <w:name w:val="批注主题 Char"/>
    <w:basedOn w:val="964"/>
    <w:link w:val="778"/>
    <w:uiPriority w:val="0"/>
    <w:qFormat/>
    <w:rPr>
      <w:rFonts w:eastAsiaTheme="minorHAnsi"/>
      <w:b/>
      <w:bCs/>
      <w:sz w:val="22"/>
      <w:szCs w:val="22"/>
      <w:lang w:eastAsia="en-US"/>
    </w:rPr>
  </w:style>
  <w:style w:type="character" w:styleId="966" w:customStyle="1">
    <w:name w:val="正文文本 Char"/>
    <w:basedOn w:val="702"/>
    <w:link w:val="704"/>
    <w:uiPriority w:val="0"/>
    <w:qFormat/>
    <w:rPr>
      <w:rFonts w:ascii="楷体_GB2312" w:hAnsi="Arial" w:eastAsia="楷体_GB2312"/>
      <w:sz w:val="28"/>
      <w:szCs w:val="22"/>
      <w:lang w:eastAsia="en-US"/>
    </w:rPr>
  </w:style>
  <w:style w:type="character" w:styleId="967" w:customStyle="1">
    <w:name w:val="正文首行缩进 Char"/>
    <w:basedOn w:val="966"/>
    <w:link w:val="779"/>
    <w:uiPriority w:val="0"/>
    <w:qFormat/>
    <w:rPr>
      <w:rFonts w:ascii="MiSans" w:hAnsi="MiSans" w:eastAsia="MiSans"/>
      <w:sz w:val="22"/>
      <w:szCs w:val="22"/>
      <w:lang w:eastAsia="en-US"/>
    </w:rPr>
  </w:style>
  <w:style w:type="character" w:styleId="968" w:customStyle="1">
    <w:name w:val="正文缩进 Char"/>
    <w:basedOn w:val="702"/>
    <w:link w:val="715"/>
    <w:uiPriority w:val="0"/>
    <w:qFormat/>
    <w:rPr>
      <w:rFonts w:eastAsiaTheme="minorHAnsi"/>
      <w:sz w:val="22"/>
      <w:szCs w:val="22"/>
      <w:lang w:eastAsia="en-US"/>
    </w:rPr>
  </w:style>
  <w:style w:type="character" w:styleId="969" w:customStyle="1">
    <w:name w:val="文档结构图 Char"/>
    <w:basedOn w:val="702"/>
    <w:link w:val="720"/>
    <w:uiPriority w:val="0"/>
    <w:qFormat/>
    <w:rPr>
      <w:rFonts w:eastAsiaTheme="minorHAnsi"/>
      <w:sz w:val="21"/>
      <w:lang w:eastAsia="en-US"/>
    </w:rPr>
  </w:style>
  <w:style w:type="character" w:styleId="970" w:customStyle="1">
    <w:name w:val="正文文本缩进 Char1"/>
    <w:link w:val="728"/>
    <w:uiPriority w:val="0"/>
    <w:qFormat/>
    <w:rPr>
      <w:rFonts w:ascii="宋体" w:eastAsiaTheme="minorHAnsi"/>
      <w:sz w:val="28"/>
      <w:szCs w:val="22"/>
      <w:lang w:eastAsia="en-US"/>
    </w:rPr>
  </w:style>
  <w:style w:type="character" w:styleId="971" w:customStyle="1">
    <w:name w:val="普通(网站) Char"/>
    <w:link w:val="774"/>
    <w:uiPriority w:val="0"/>
    <w:qFormat/>
    <w:rPr>
      <w:rFonts w:cs="Times New Roman" w:eastAsiaTheme="minorHAnsi"/>
      <w:sz w:val="24"/>
      <w:szCs w:val="22"/>
    </w:rPr>
  </w:style>
  <w:style w:type="character" w:styleId="972" w:customStyle="1">
    <w:name w:val="正文首行缩进 2 Char"/>
    <w:basedOn w:val="973"/>
    <w:link w:val="780"/>
    <w:uiPriority w:val="0"/>
    <w:qFormat/>
    <w:rPr>
      <w:rFonts w:ascii="Times New Roman" w:eastAsiaTheme="minorHAnsi"/>
      <w:sz w:val="24"/>
      <w:szCs w:val="24"/>
      <w:lang w:eastAsia="en-US"/>
    </w:rPr>
  </w:style>
  <w:style w:type="character" w:styleId="973" w:customStyle="1">
    <w:name w:val="正文文本缩进 Char"/>
    <w:basedOn w:val="702"/>
    <w:uiPriority w:val="0"/>
    <w:qFormat/>
  </w:style>
  <w:style w:type="character" w:styleId="974" w:customStyle="1">
    <w:name w:val="Heading 1 Char"/>
    <w:basedOn w:val="702"/>
    <w:uiPriority w:val="9"/>
    <w:qFormat/>
    <w:rPr>
      <w:rFonts w:ascii="Arial" w:hAnsi="Arial" w:eastAsia="Arial" w:cs="Arial"/>
      <w:sz w:val="40"/>
      <w:szCs w:val="40"/>
    </w:rPr>
  </w:style>
  <w:style w:type="character" w:styleId="975" w:customStyle="1">
    <w:name w:val="Heading 2 Char"/>
    <w:basedOn w:val="702"/>
    <w:uiPriority w:val="9"/>
    <w:qFormat/>
    <w:rPr>
      <w:rFonts w:ascii="Arial" w:hAnsi="Arial" w:eastAsia="Arial" w:cs="Arial"/>
      <w:sz w:val="34"/>
    </w:rPr>
  </w:style>
  <w:style w:type="character" w:styleId="976" w:customStyle="1">
    <w:name w:val="Heading 3 Char"/>
    <w:basedOn w:val="702"/>
    <w:uiPriority w:val="9"/>
    <w:qFormat/>
    <w:rPr>
      <w:rFonts w:ascii="Arial" w:hAnsi="Arial" w:eastAsia="Arial" w:cs="Arial"/>
      <w:sz w:val="30"/>
      <w:szCs w:val="30"/>
    </w:rPr>
  </w:style>
  <w:style w:type="character" w:styleId="977" w:customStyle="1">
    <w:name w:val="Heading 4 Char"/>
    <w:basedOn w:val="702"/>
    <w:uiPriority w:val="9"/>
    <w:qFormat/>
    <w:rPr>
      <w:rFonts w:ascii="Arial" w:hAnsi="Arial" w:eastAsia="Arial" w:cs="Arial"/>
      <w:b/>
      <w:bCs/>
      <w:sz w:val="26"/>
      <w:szCs w:val="26"/>
    </w:rPr>
  </w:style>
  <w:style w:type="character" w:styleId="978" w:customStyle="1">
    <w:name w:val="Heading 5 Char"/>
    <w:basedOn w:val="702"/>
    <w:uiPriority w:val="9"/>
    <w:qFormat/>
    <w:rPr>
      <w:rFonts w:ascii="Arial" w:hAnsi="Arial" w:eastAsia="Arial" w:cs="Arial"/>
      <w:b/>
      <w:bCs/>
      <w:sz w:val="24"/>
      <w:szCs w:val="24"/>
    </w:rPr>
  </w:style>
  <w:style w:type="character" w:styleId="979" w:customStyle="1">
    <w:name w:val="Heading 6 Char"/>
    <w:basedOn w:val="702"/>
    <w:uiPriority w:val="9"/>
    <w:qFormat/>
    <w:rPr>
      <w:rFonts w:ascii="Arial" w:hAnsi="Arial" w:eastAsia="Arial" w:cs="Arial"/>
      <w:b/>
      <w:bCs/>
      <w:sz w:val="22"/>
      <w:szCs w:val="22"/>
    </w:rPr>
  </w:style>
  <w:style w:type="character" w:styleId="980" w:customStyle="1">
    <w:name w:val="Heading 7 Char"/>
    <w:basedOn w:val="702"/>
    <w:uiPriority w:val="9"/>
    <w:qFormat/>
    <w:rPr>
      <w:rFonts w:ascii="Arial" w:hAnsi="Arial" w:eastAsia="Arial" w:cs="Arial"/>
      <w:b/>
      <w:bCs/>
      <w:i/>
      <w:iCs/>
      <w:sz w:val="22"/>
      <w:szCs w:val="22"/>
    </w:rPr>
  </w:style>
  <w:style w:type="character" w:styleId="981" w:customStyle="1">
    <w:name w:val="Heading 8 Char"/>
    <w:basedOn w:val="702"/>
    <w:uiPriority w:val="9"/>
    <w:qFormat/>
    <w:rPr>
      <w:rFonts w:ascii="Arial" w:hAnsi="Arial" w:eastAsia="Arial" w:cs="Arial"/>
      <w:i/>
      <w:iCs/>
      <w:sz w:val="22"/>
      <w:szCs w:val="22"/>
    </w:rPr>
  </w:style>
  <w:style w:type="character" w:styleId="982" w:customStyle="1">
    <w:name w:val="Heading 9 Char"/>
    <w:basedOn w:val="702"/>
    <w:uiPriority w:val="9"/>
    <w:qFormat/>
    <w:rPr>
      <w:rFonts w:ascii="Arial" w:hAnsi="Arial" w:eastAsia="Arial" w:cs="Arial"/>
      <w:i/>
      <w:iCs/>
      <w:sz w:val="21"/>
      <w:szCs w:val="21"/>
    </w:rPr>
  </w:style>
  <w:style w:type="character" w:styleId="983" w:customStyle="1">
    <w:name w:val="Title Char"/>
    <w:basedOn w:val="702"/>
    <w:uiPriority w:val="10"/>
    <w:qFormat/>
    <w:rPr>
      <w:sz w:val="48"/>
      <w:szCs w:val="48"/>
    </w:rPr>
  </w:style>
  <w:style w:type="character" w:styleId="984" w:customStyle="1">
    <w:name w:val="Subtitle Char"/>
    <w:basedOn w:val="702"/>
    <w:uiPriority w:val="11"/>
    <w:qFormat/>
    <w:rPr>
      <w:sz w:val="24"/>
      <w:szCs w:val="24"/>
    </w:rPr>
  </w:style>
  <w:style w:type="character" w:styleId="985" w:customStyle="1">
    <w:name w:val="Quote Char"/>
    <w:uiPriority w:val="29"/>
    <w:qFormat/>
    <w:rPr>
      <w:i/>
    </w:rPr>
  </w:style>
  <w:style w:type="character" w:styleId="986" w:customStyle="1">
    <w:name w:val="Intense Quote Char"/>
    <w:uiPriority w:val="30"/>
    <w:qFormat/>
    <w:rPr>
      <w:i/>
    </w:rPr>
  </w:style>
  <w:style w:type="character" w:styleId="987" w:customStyle="1">
    <w:name w:val="Header Char"/>
    <w:basedOn w:val="702"/>
    <w:uiPriority w:val="99"/>
    <w:qFormat/>
  </w:style>
  <w:style w:type="character" w:styleId="988" w:customStyle="1">
    <w:name w:val="Caption Char"/>
    <w:uiPriority w:val="99"/>
    <w:qFormat/>
  </w:style>
  <w:style w:type="character" w:styleId="989" w:customStyle="1">
    <w:name w:val="Footnote Text Char"/>
    <w:uiPriority w:val="99"/>
    <w:qFormat/>
    <w:rPr>
      <w:sz w:val="18"/>
    </w:rPr>
  </w:style>
  <w:style w:type="character" w:styleId="990" w:customStyle="1">
    <w:name w:val="Endnote Text Char"/>
    <w:uiPriority w:val="99"/>
    <w:qFormat/>
    <w:rPr>
      <w:sz w:val="20"/>
    </w:rPr>
  </w:style>
  <w:style w:type="paragraph" w:styleId="991" w:customStyle="1">
    <w:name w:val="TOC 标题11"/>
    <w:uiPriority w:val="39"/>
    <w:unhideWhenUsed/>
    <w:qFormat/>
    <w:pPr>
      <w:spacing w:after="200" w:line="276" w:lineRule="auto"/>
    </w:pPr>
    <w:rPr>
      <w:rFonts w:asciiTheme="minorHAnsi" w:hAnsiTheme="minorHAnsi" w:eastAsiaTheme="minorEastAsia" w:cstheme="minorBidi"/>
      <w:sz w:val="22"/>
      <w:szCs w:val="22"/>
      <w:lang w:val="en-US" w:eastAsia="en-US" w:bidi="ar-SA"/>
    </w:rPr>
  </w:style>
  <w:style w:type="character" w:styleId="992" w:customStyle="1">
    <w:name w:val="Plain Text Char1"/>
    <w:link w:val="945"/>
    <w:uiPriority w:val="0"/>
    <w:qFormat/>
    <w:rPr>
      <w:rFonts w:ascii="宋体" w:hAnsi="Courier New" w:eastAsia="楷体_GB2312"/>
      <w:sz w:val="26"/>
      <w:szCs w:val="22"/>
      <w:lang w:eastAsia="en-US"/>
    </w:rPr>
  </w:style>
  <w:style w:type="paragraph" w:styleId="993" w:customStyle="1">
    <w:name w:val="段"/>
    <w:next w:val="692"/>
    <w:uiPriority w:val="0"/>
    <w:qFormat/>
    <w:pPr>
      <w:ind w:firstLine="200"/>
      <w:jc w:val="both"/>
    </w:pPr>
    <w:rPr>
      <w:rFonts w:ascii="宋体" w:hAnsi="Times New Roman" w:eastAsia="宋体" w:cs="Times New Roman"/>
      <w:sz w:val="21"/>
      <w:lang w:val="en-US" w:eastAsia="zh-CN" w:bidi="ar-SA"/>
    </w:rPr>
  </w:style>
  <w:style w:type="character" w:styleId="994" w:customStyle="1">
    <w:name w:val="方案正文 Char"/>
    <w:link w:val="943"/>
    <w:uiPriority w:val="0"/>
    <w:qFormat/>
    <w:rPr>
      <w:sz w:val="24"/>
      <w:szCs w:val="22"/>
      <w:lang w:eastAsia="en-US"/>
    </w:rPr>
  </w:style>
  <w:style w:type="character" w:styleId="995" w:customStyle="1">
    <w:name w:val="font23"/>
    <w:basedOn w:val="702"/>
    <w:uiPriority w:val="0"/>
    <w:qFormat/>
    <w:rPr>
      <w:rFonts w:hint="eastAsia" w:ascii="宋体" w:hAnsi="宋体" w:eastAsia="宋体" w:cs="宋体"/>
      <w:color w:val="000000"/>
      <w:sz w:val="18"/>
      <w:szCs w:val="18"/>
      <w:u w:val="none"/>
    </w:rPr>
  </w:style>
  <w:style w:type="character" w:styleId="996" w:customStyle="1">
    <w:name w:val="font91"/>
    <w:basedOn w:val="702"/>
    <w:uiPriority w:val="0"/>
    <w:qFormat/>
    <w:rPr>
      <w:rFonts w:hint="eastAsia" w:ascii="宋体" w:hAnsi="宋体" w:eastAsia="宋体" w:cs="宋体"/>
      <w:color w:val="000000"/>
      <w:sz w:val="18"/>
      <w:szCs w:val="18"/>
      <w:u w:val="none"/>
    </w:rPr>
  </w:style>
  <w:style w:type="character" w:styleId="997" w:customStyle="1">
    <w:name w:val="font221"/>
    <w:basedOn w:val="702"/>
    <w:uiPriority w:val="0"/>
    <w:qFormat/>
    <w:rPr>
      <w:rFonts w:ascii="Calibri" w:hAnsi="Calibri" w:cs="Calibri"/>
      <w:color w:val="000000"/>
      <w:sz w:val="18"/>
      <w:szCs w:val="18"/>
      <w:u w:val="none"/>
    </w:rPr>
  </w:style>
  <w:style w:type="character" w:styleId="998" w:customStyle="1">
    <w:name w:val="font232"/>
    <w:basedOn w:val="702"/>
    <w:uiPriority w:val="0"/>
    <w:qFormat/>
    <w:rPr>
      <w:rFonts w:hint="eastAsia" w:ascii="宋体" w:hAnsi="宋体" w:eastAsia="宋体" w:cs="宋体"/>
      <w:color w:val="000000"/>
      <w:sz w:val="18"/>
      <w:szCs w:val="18"/>
      <w:u w:val="none"/>
      <w:vertAlign w:val="superscript"/>
    </w:rPr>
  </w:style>
  <w:style w:type="paragraph" w:styleId="999" w:customStyle="1">
    <w:name w:val="正文_0"/>
    <w:uiPriority w:val="0"/>
    <w:qFormat/>
    <w:pPr>
      <w:jc w:val="both"/>
      <w:spacing w:line="360" w:lineRule="auto"/>
      <w:widowControl w:val="off"/>
    </w:pPr>
    <w:rPr>
      <w:rFonts w:ascii="Times New Roman" w:hAnsi="Times New Roman" w:eastAsia="宋体" w:cs="Times New Roman"/>
      <w:sz w:val="21"/>
      <w:szCs w:val="24"/>
      <w:lang w:val="en-US" w:eastAsia="zh-CN" w:bidi="ar-SA"/>
    </w:rPr>
  </w:style>
  <w:style w:type="paragraph" w:styleId="1000" w:customStyle="1">
    <w:name w:val="修订1"/>
    <w:hidden/>
    <w:uiPriority w:val="99"/>
    <w:unhideWhenUsed/>
    <w:qFormat/>
    <w:rPr>
      <w:rFonts w:asciiTheme="minorHAnsi" w:hAnsiTheme="minorHAnsi" w:eastAsiaTheme="minorEastAsia" w:cstheme="minorBidi"/>
      <w:sz w:val="22"/>
      <w:szCs w:val="22"/>
      <w:lang w:val="en-US" w:eastAsia="en-US" w:bidi="ar-SA"/>
    </w:rPr>
  </w:style>
  <w:style w:type="table" w:styleId="1001" w:customStyle="1">
    <w:name w:val="Table Normal"/>
    <w:uiPriority w:val="0"/>
    <w:unhideWhenUsed/>
    <w:qFormat/>
    <w:tblPr>
      <w:tblCellMar>
        <w:left w:w="0" w:type="dxa"/>
        <w:top w:w="0" w:type="dxa"/>
        <w:right w:w="0" w:type="dxa"/>
        <w:bottom w:w="0" w:type="dxa"/>
      </w:tblCellMar>
    </w:tblPr>
  </w:style>
  <w:style w:type="paragraph" w:styleId="1002" w:customStyle="1">
    <w:name w:val="纯文本3"/>
    <w:basedOn w:val="692"/>
    <w:uiPriority w:val="0"/>
    <w:qFormat/>
    <w:rPr>
      <w:rFonts w:ascii="仿宋" w:hAnsi="Cambria Math" w:eastAsia="Wingdings" w:cs="华文楷体"/>
      <w:sz w:val="26"/>
      <w:szCs w:val="20"/>
    </w:rPr>
  </w:style>
  <w:style w:type="paragraph" w:styleId="1003" w:customStyle="1">
    <w:name w:val="List Bullet1"/>
    <w:basedOn w:val="692"/>
    <w:uiPriority w:val="0"/>
    <w:qFormat/>
    <w:pPr>
      <w:ind w:right="57"/>
      <w:spacing w:before="240" w:after="120" w:line="288" w:lineRule="auto"/>
    </w:pPr>
    <w:rPr>
      <w:rFonts w:ascii="Times New Roman" w:hAnsi="Times New Roman" w:eastAsiaTheme="minorEastAsia"/>
      <w:sz w:val="24"/>
      <w:szCs w:val="24"/>
    </w:rPr>
  </w:style>
  <w:style w:type="paragraph" w:styleId="1004" w:customStyle="1">
    <w:name w:val="Default"/>
    <w:uiPriority w:val="0"/>
    <w:qFormat/>
    <w:pPr>
      <w:numPr>
        <w:ilvl w:val="0"/>
        <w:numId w:val="11"/>
      </w:numPr>
      <w:widowControl w:val="off"/>
    </w:pPr>
    <w:rPr>
      <w:rFonts w:ascii="Verdana" w:hAnsi="Verdana" w:eastAsia="宋体" w:cs="Verdana"/>
      <w:color w:val="000000"/>
      <w:sz w:val="24"/>
      <w:szCs w:val="24"/>
      <w:lang w:val="en-US" w:eastAsia="zh-CN" w:bidi="ar-SA"/>
    </w:rPr>
  </w:style>
  <w:style w:type="paragraph" w:styleId="1005" w:customStyle="1">
    <w:name w:val="Table Text"/>
    <w:basedOn w:val="692"/>
    <w:uiPriority w:val="0"/>
    <w:semiHidden/>
    <w:qFormat/>
    <w:rPr>
      <w:rFonts w:ascii="宋体" w:hAnsi="宋体" w:eastAsiaTheme="minorEastAsia"/>
      <w:szCs w:val="21"/>
    </w:rPr>
  </w:style>
  <w:style w:type="paragraph" w:styleId="1006" w:customStyle="1">
    <w:name w:val="修订2"/>
    <w:hidden/>
    <w:uiPriority w:val="99"/>
    <w:semiHidden/>
    <w:qFormat/>
    <w:rPr>
      <w:rFonts w:asciiTheme="minorHAnsi" w:hAnsiTheme="minorHAnsi" w:eastAsiaTheme="minorEastAsia" w:cstheme="minorBidi"/>
      <w:sz w:val="22"/>
      <w:szCs w:val="22"/>
      <w:lang w:val="en-US" w:eastAsia="en-US" w:bidi="ar-SA"/>
    </w:rPr>
  </w:style>
  <w:style w:type="paragraph" w:styleId="1007" w:customStyle="1">
    <w:name w:val="修订3"/>
    <w:hidden/>
    <w:uiPriority w:val="99"/>
    <w:semiHidden/>
    <w:qFormat/>
    <w:rPr>
      <w:rFonts w:asciiTheme="minorHAnsi" w:hAnsiTheme="minorHAnsi" w:eastAsiaTheme="minorEastAsia" w:cstheme="minorBidi"/>
      <w:sz w:val="22"/>
      <w:szCs w:val="22"/>
      <w:lang w:val="en-US" w:eastAsia="en-US" w:bidi="ar-SA"/>
    </w:rPr>
  </w:style>
  <w:style w:type="table" w:styleId="1008" w:customStyle="1">
    <w:name w:val="网格型1"/>
    <w:basedOn w:val="703"/>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09" w:customStyle="1">
    <w:name w:val="正文文本缩进1"/>
    <w:basedOn w:val="692"/>
    <w:next w:val="692"/>
    <w:uiPriority w:val="0"/>
    <w:qFormat/>
    <w:pPr>
      <w:ind w:firstLine="645"/>
    </w:pPr>
    <w:rPr>
      <w:rFonts w:ascii="楷体_GB2312" w:hAnsi="宋体" w:eastAsia="楷体_GB2312" w:cs="宋体"/>
      <w:sz w:val="32"/>
      <w:szCs w:val="32"/>
    </w:rPr>
  </w:style>
  <w:style w:type="paragraph" w:styleId="1010" w:customStyle="1">
    <w:name w:val="文档结构图11"/>
    <w:basedOn w:val="692"/>
    <w:next w:val="692"/>
    <w:uiPriority w:val="0"/>
    <w:qFormat/>
    <w:pPr>
      <w:shd w:val="clear" w:color="auto" w:fill="000080"/>
    </w:pPr>
    <w:rPr>
      <w:rFonts w:eastAsiaTheme="minorEastAsia"/>
      <w:szCs w:val="21"/>
    </w:rPr>
  </w:style>
  <w:style w:type="character" w:styleId="1011" w:customStyle="1">
    <w:name w:val="font5 Char"/>
    <w:uiPriority w:val="0"/>
    <w:qFormat/>
    <w:rPr>
      <w:rFonts w:ascii="宋体" w:hAnsi="宋体" w:eastAsia="宋体"/>
      <w:sz w:val="28"/>
      <w:szCs w:val="28"/>
      <w:lang w:val="en-US" w:eastAsia="zh-CN" w:bidi="ar-SA"/>
    </w:rPr>
  </w:style>
  <w:style w:type="character" w:styleId="1012" w:customStyle="1">
    <w:name w:val="页脚 Char1"/>
    <w:uiPriority w:val="99"/>
    <w:qFormat/>
  </w:style>
  <w:style w:type="table" w:styleId="1013" w:customStyle="1">
    <w:name w:val="清单表 6 彩色2"/>
    <w:basedOn w:val="70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paragraph" w:styleId="1014" w:customStyle="1">
    <w:name w:val="TOC 标题2"/>
    <w:uiPriority w:val="39"/>
    <w:unhideWhenUsed/>
    <w:qFormat/>
    <w:rPr>
      <w:rFonts w:ascii="Times New Roman" w:hAnsi="Times New Roman" w:eastAsia="宋体" w:cs="Times New Roman"/>
      <w:lang w:val="en-US" w:eastAsia="zh-CN" w:bidi="ar-SA"/>
    </w:rPr>
  </w:style>
  <w:style w:type="character" w:styleId="1015" w:customStyle="1">
    <w:name w:val="注释标题 Char"/>
    <w:basedOn w:val="702"/>
    <w:link w:val="710"/>
    <w:uiPriority w:val="0"/>
    <w:qFormat/>
    <w:rPr>
      <w:rFonts w:eastAsiaTheme="minorHAnsi"/>
      <w:sz w:val="24"/>
      <w:szCs w:val="24"/>
      <w:lang w:eastAsia="en-US"/>
    </w:rPr>
  </w:style>
  <w:style w:type="character" w:styleId="1016" w:customStyle="1">
    <w:name w:val="正文文本缩进 3 Char"/>
    <w:basedOn w:val="702"/>
    <w:link w:val="763"/>
    <w:uiPriority w:val="0"/>
    <w:qFormat/>
    <w:rPr>
      <w:rFonts w:eastAsiaTheme="minorHAnsi"/>
      <w:b/>
      <w:bCs/>
      <w:sz w:val="28"/>
      <w:szCs w:val="22"/>
      <w:u w:val="single"/>
      <w:lang w:eastAsia="en-US"/>
    </w:rPr>
  </w:style>
  <w:style w:type="paragraph" w:styleId="1017" w:customStyle="1">
    <w:name w:val="我的正文"/>
    <w:basedOn w:val="692"/>
    <w:uiPriority w:val="0"/>
    <w:qFormat/>
    <w:pPr>
      <w:numPr>
        <w:ilvl w:val="0"/>
        <w:numId w:val="12"/>
      </w:numPr>
      <w:jc w:val="both"/>
      <w:spacing w:after="0" w:line="288" w:lineRule="auto"/>
      <w:widowControl w:val="off"/>
    </w:pPr>
    <w:rPr>
      <w:rFonts w:hint="eastAsia" w:ascii="Times New Roman" w:hAnsi="Times New Roman" w:eastAsia="宋体" w:cs="Times New Roman"/>
      <w:sz w:val="28"/>
      <w:lang w:eastAsia="zh-CN"/>
    </w:rPr>
  </w:style>
  <w:style w:type="paragraph" w:styleId="1018" w:customStyle="1">
    <w:name w:val="我的标题3级"/>
    <w:next w:val="1017"/>
    <w:uiPriority w:val="0"/>
    <w:qFormat/>
    <w:pPr>
      <w:numPr>
        <w:ilvl w:val="2"/>
        <w:numId w:val="13"/>
      </w:numPr>
      <w:ind w:firstLine="803"/>
      <w:spacing w:line="360" w:lineRule="auto"/>
      <w:outlineLvl w:val="2"/>
    </w:pPr>
    <w:rPr>
      <w:rFonts w:hint="eastAsia" w:ascii="Times New Roman" w:hAnsi="Times New Roman" w:eastAsia="宋体" w:cs="Times New Roman"/>
      <w:b/>
      <w:sz w:val="28"/>
      <w:lang w:val="en-US" w:eastAsia="zh-CN" w:bidi="ar-SA"/>
    </w:rPr>
  </w:style>
  <w:style w:type="paragraph" w:styleId="1019" w:customStyle="1">
    <w:name w:val="样式-L1"/>
    <w:basedOn w:val="692"/>
    <w:next w:val="692"/>
    <w:uiPriority w:val="0"/>
    <w:qFormat/>
    <w:pPr>
      <w:numPr>
        <w:ilvl w:val="0"/>
        <w:numId w:val="14"/>
      </w:numPr>
      <w:spacing w:after="0" w:line="288" w:lineRule="auto"/>
      <w:widowControl w:val="off"/>
      <w:outlineLvl w:val="0"/>
    </w:pPr>
    <w:rPr>
      <w:rFonts w:hint="eastAsia" w:ascii="宋体" w:hAnsi="宋体" w:eastAsia="宋体" w:cs="宋体"/>
      <w:b/>
      <w:bCs/>
      <w:sz w:val="21"/>
      <w:lang w:eastAsia="zh-CN"/>
    </w:rPr>
  </w:style>
  <w:style w:type="paragraph" w:styleId="1020" w:customStyle="1">
    <w:name w:val="样式-L2"/>
    <w:basedOn w:val="1019"/>
    <w:next w:val="1021"/>
    <w:uiPriority w:val="0"/>
    <w:qFormat/>
    <w:pPr>
      <w:numPr>
        <w:ilvl w:val="1"/>
        <w:numId w:val="15"/>
      </w:numPr>
      <w:ind w:left="0"/>
      <w:spacing w:before="120" w:after="120"/>
    </w:pPr>
    <w:rPr>
      <w:rFonts w:ascii="Times New Roman" w:hAnsi="Times New Roman"/>
    </w:rPr>
  </w:style>
  <w:style w:type="paragraph" w:styleId="1021" w:customStyle="1">
    <w:name w:val="样式-L3"/>
    <w:basedOn w:val="1019"/>
    <w:next w:val="1020"/>
    <w:uiPriority w:val="0"/>
    <w:qFormat/>
    <w:pPr>
      <w:numPr>
        <w:ilvl w:val="2"/>
        <w:numId w:val="16"/>
      </w:numPr>
      <w:ind w:firstLine="422"/>
    </w:pPr>
  </w:style>
  <w:style w:type="paragraph" w:styleId="1022" w:customStyle="1">
    <w:name w:val="样式-L4"/>
    <w:basedOn w:val="1021"/>
    <w:uiPriority w:val="0"/>
    <w:qFormat/>
    <w:pPr>
      <w:numPr>
        <w:ilvl w:val="3"/>
        <w:numId w:val="14"/>
      </w:numPr>
    </w:pPr>
  </w:style>
  <w:style w:type="paragraph" w:styleId="1023" w:customStyle="1">
    <w:name w:val="目录标题"/>
    <w:link w:val="1024"/>
    <w:uiPriority w:val="0"/>
    <w:qFormat/>
    <w:pPr>
      <w:jc w:val="center"/>
    </w:pPr>
    <w:rPr>
      <w:rFonts w:ascii="MiSans" w:hAnsi="MiSans" w:eastAsia="MiSans" w:cstheme="minorBidi"/>
      <w:b/>
      <w:bCs/>
      <w:sz w:val="32"/>
      <w:szCs w:val="32"/>
      <w:lang w:val="en-US" w:eastAsia="zh-CN" w:bidi="ar-SA"/>
    </w:rPr>
  </w:style>
  <w:style w:type="character" w:styleId="1024" w:customStyle="1">
    <w:name w:val="目录标题 Char"/>
    <w:link w:val="1023"/>
    <w:uiPriority w:val="0"/>
    <w:qFormat/>
    <w:rPr>
      <w:rFonts w:ascii="MiSans" w:hAnsi="MiSans" w:eastAsia="MiSans"/>
      <w:b/>
      <w:bCs/>
      <w:sz w:val="32"/>
      <w:szCs w:val="32"/>
    </w:rPr>
  </w:style>
  <w:style w:type="paragraph" w:styleId="1025" w:customStyle="1">
    <w:name w:val="题注1"/>
    <w:basedOn w:val="692"/>
    <w:uiPriority w:val="0"/>
    <w:qFormat/>
    <w:pPr>
      <w:jc w:val="both"/>
      <w:spacing w:before="50" w:after="50" w:line="288" w:lineRule="auto"/>
      <w:widowControl w:val="off"/>
    </w:pPr>
    <w:rPr>
      <w:rFonts w:hint="eastAsia" w:ascii="MiSans" w:hAnsi="MiSans" w:eastAsia="MiSans"/>
      <w:sz w:val="20"/>
      <w:szCs w:val="20"/>
      <w:lang w:eastAsia="zh-CN"/>
    </w:rPr>
  </w:style>
  <w:style w:type="paragraph" w:styleId="1026" w:customStyle="1">
    <w:name w:val="文档说明标题"/>
    <w:next w:val="692"/>
    <w:uiPriority w:val="0"/>
    <w:qFormat/>
    <w:pPr>
      <w:jc w:val="center"/>
      <w:keepLines/>
      <w:keepNext/>
      <w:spacing w:before="50"/>
      <w:tabs>
        <w:tab w:val="left" w:pos="0" w:leader="none"/>
      </w:tabs>
      <w:outlineLvl w:val="0"/>
    </w:pPr>
    <w:rPr>
      <w:rFonts w:ascii="MiSans" w:hAnsi="MiSans" w:eastAsia="MiSans" w:cstheme="minorBidi"/>
      <w:b/>
      <w:bCs/>
      <w:sz w:val="48"/>
      <w:szCs w:val="48"/>
      <w:lang w:val="en-US" w:eastAsia="zh-CN" w:bidi="ar-SA"/>
    </w:rPr>
  </w:style>
  <w:style w:type="paragraph" w:styleId="1027" w:customStyle="1">
    <w:name w:val="章标题"/>
    <w:next w:val="692"/>
    <w:uiPriority w:val="0"/>
    <w:qFormat/>
    <w:pPr>
      <w:jc w:val="center"/>
      <w:keepLines/>
      <w:keepNext/>
      <w:spacing w:before="50"/>
      <w:tabs>
        <w:tab w:val="left" w:pos="0" w:leader="none"/>
      </w:tabs>
      <w:outlineLvl w:val="0"/>
    </w:pPr>
    <w:rPr>
      <w:rFonts w:ascii="MiSans" w:hAnsi="MiSans" w:eastAsia="MiSans" w:cstheme="minorBidi"/>
      <w:b/>
      <w:bCs/>
      <w:sz w:val="36"/>
      <w:szCs w:val="36"/>
      <w:lang w:val="en-US" w:eastAsia="zh-CN" w:bidi="ar-SA"/>
    </w:rPr>
  </w:style>
  <w:style w:type="paragraph" w:styleId="1028" w:customStyle="1">
    <w:name w:val="节标题"/>
    <w:next w:val="692"/>
    <w:uiPriority w:val="0"/>
    <w:qFormat/>
    <w:pPr>
      <w:jc w:val="center"/>
      <w:spacing w:before="50"/>
      <w:tabs>
        <w:tab w:val="left" w:pos="0" w:leader="none"/>
      </w:tabs>
    </w:pPr>
    <w:rPr>
      <w:rFonts w:ascii="MiSans" w:hAnsi="MiSans" w:eastAsia="MiSans" w:cstheme="minorBidi"/>
      <w:b/>
      <w:bCs/>
      <w:sz w:val="32"/>
      <w:szCs w:val="32"/>
      <w:lang w:val="en-US" w:eastAsia="zh-CN" w:bidi="ar-SA"/>
    </w:rPr>
  </w:style>
  <w:style w:type="paragraph" w:styleId="1029" w:customStyle="1">
    <w:name w:val="附录标题"/>
    <w:next w:val="692"/>
    <w:uiPriority w:val="0"/>
    <w:qFormat/>
    <w:pPr>
      <w:jc w:val="center"/>
      <w:keepLines/>
      <w:keepNext/>
      <w:spacing w:before="50"/>
      <w:tabs>
        <w:tab w:val="left" w:pos="0" w:leader="none"/>
      </w:tabs>
      <w:outlineLvl w:val="0"/>
    </w:pPr>
    <w:rPr>
      <w:rFonts w:ascii="MiSans" w:hAnsi="MiSans" w:eastAsia="MiSans" w:cstheme="minorBidi"/>
      <w:b/>
      <w:bCs/>
      <w:sz w:val="36"/>
      <w:szCs w:val="36"/>
      <w:lang w:val="en-US" w:eastAsia="zh-CN" w:bidi="ar-SA"/>
    </w:rPr>
  </w:style>
  <w:style w:type="character" w:styleId="1030" w:customStyle="1">
    <w:name w:val="摘要"/>
    <w:basedOn w:val="702"/>
    <w:uiPriority w:val="0"/>
    <w:qFormat/>
    <w:rPr>
      <w:rFonts w:ascii="MiSans" w:hAnsi="MiSans" w:eastAsia="MiSans" w:cs="Times New Roman"/>
      <w:b/>
      <w:bCs/>
      <w:lang w:val="en-US" w:eastAsia="zh-CN"/>
    </w:rPr>
  </w:style>
  <w:style w:type="character" w:styleId="1031" w:customStyle="1">
    <w:name w:val="参考文献条目"/>
    <w:basedOn w:val="702"/>
    <w:uiPriority w:val="0"/>
    <w:qFormat/>
    <w:rPr>
      <w:rFonts w:ascii="MiSans" w:hAnsi="MiSans" w:eastAsia="MiSans" w:cs="Times New Roman"/>
      <w:sz w:val="18"/>
      <w:szCs w:val="18"/>
      <w:lang w:val="en-US" w:eastAsia="zh-CN"/>
    </w:rPr>
  </w:style>
  <w:style w:type="character" w:styleId="1032" w:customStyle="1">
    <w:name w:val="关键词"/>
    <w:basedOn w:val="702"/>
    <w:uiPriority w:val="0"/>
    <w:qFormat/>
    <w:rPr>
      <w:rFonts w:ascii="MiSans" w:hAnsi="MiSans" w:eastAsia="MiSans" w:cs="Times New Roman"/>
      <w:b/>
      <w:bCs/>
      <w:lang w:val="en-US" w:eastAsia="zh-CN"/>
    </w:rPr>
  </w:style>
  <w:style w:type="character" w:styleId="1033" w:customStyle="1">
    <w:name w:val="着重标题"/>
    <w:basedOn w:val="702"/>
    <w:uiPriority w:val="0"/>
    <w:qFormat/>
    <w:rPr>
      <w:rFonts w:ascii="MiSans" w:hAnsi="MiSans" w:eastAsia="MiSans" w:cs="Times New Roman"/>
      <w:lang w:val="en-US" w:eastAsia="zh-CN"/>
    </w:rPr>
  </w:style>
  <w:style w:type="paragraph" w:styleId="1034" w:customStyle="1">
    <w:name w:val="*正文"/>
    <w:basedOn w:val="692"/>
    <w:uiPriority w:val="0"/>
    <w:qFormat/>
    <w:pPr>
      <w:ind w:firstLine="200"/>
      <w:jc w:val="both"/>
      <w:spacing w:after="0" w:line="360" w:lineRule="auto"/>
      <w:widowControl w:val="off"/>
    </w:pPr>
    <w:rPr>
      <w:rFonts w:ascii="MiSans" w:hAnsi="MiSans" w:eastAsia="MiSans" w:cs="仿宋_GB2312"/>
      <w:szCs w:val="24"/>
      <w:lang w:eastAsia="zh-CN"/>
    </w:rPr>
  </w:style>
  <w:style w:type="paragraph" w:styleId="1035" w:customStyle="1">
    <w:name w:val="_Style 1"/>
    <w:basedOn w:val="692"/>
    <w:uiPriority w:val="34"/>
    <w:qFormat/>
    <w:pPr>
      <w:ind w:firstLine="420"/>
      <w:jc w:val="both"/>
      <w:spacing w:after="0" w:line="288" w:lineRule="auto"/>
      <w:widowControl w:val="off"/>
    </w:pPr>
    <w:rPr>
      <w:rFonts w:ascii="MiSans" w:hAnsi="MiSans" w:eastAsia="MiSans"/>
      <w:lang w:eastAsia="zh-CN"/>
    </w:rPr>
  </w:style>
  <w:style w:type="paragraph" w:styleId="1036" w:customStyle="1">
    <w:name w:val="[正]宋体小四"/>
    <w:basedOn w:val="744"/>
    <w:uiPriority w:val="0"/>
    <w:qFormat/>
    <w:pPr>
      <w:contextualSpacing/>
      <w:ind w:left="0" w:firstLine="480"/>
      <w:spacing w:after="0" w:line="360" w:lineRule="auto"/>
    </w:pPr>
    <w:rPr>
      <w:rFonts w:ascii="宋体" w:hAnsi="宋体" w:cs="宋体"/>
      <w:szCs w:val="24"/>
    </w:rPr>
  </w:style>
  <w:style w:type="paragraph" w:styleId="1037" w:customStyle="1">
    <w:name w:val="首行缩进"/>
    <w:basedOn w:val="692"/>
    <w:uiPriority w:val="0"/>
    <w:qFormat/>
    <w:pPr>
      <w:ind w:firstLine="480"/>
      <w:jc w:val="both"/>
      <w:spacing w:after="0" w:line="288" w:lineRule="auto"/>
      <w:widowControl w:val="off"/>
    </w:pPr>
    <w:rPr>
      <w:rFonts w:ascii="MiSans" w:hAnsi="MiSans" w:eastAsia="MiSans"/>
      <w:szCs w:val="20"/>
      <w:lang w:val="zh-CN" w:eastAsia="zh-CN"/>
    </w:rPr>
  </w:style>
  <w:style w:type="paragraph" w:styleId="1038" w:customStyle="1">
    <w:name w:val="样式 目录 1 + 首行缩进:  2 字符"/>
    <w:basedOn w:val="752"/>
    <w:uiPriority w:val="0"/>
    <w:qFormat/>
    <w:pPr>
      <w:jc w:val="both"/>
      <w:spacing w:after="0" w:line="288" w:lineRule="auto"/>
      <w:widowControl w:val="off"/>
      <w:tabs>
        <w:tab w:val="left" w:pos="567" w:leader="none"/>
        <w:tab w:val="left" w:pos="840" w:leader="none"/>
        <w:tab w:val="right" w:pos="9072" w:leader="dot"/>
      </w:tabs>
    </w:pPr>
    <w:rPr>
      <w:rFonts w:ascii="MiSans" w:hAnsi="MiSans" w:eastAsia="MiSans" w:cs="宋体"/>
      <w:sz w:val="24"/>
      <w:lang w:eastAsia="zh-CN"/>
    </w:rPr>
  </w:style>
  <w:style w:type="paragraph" w:styleId="1039" w:customStyle="1">
    <w:name w:val="样式 (西文) 宋体 首行缩进:  2 字符"/>
    <w:basedOn w:val="692"/>
    <w:uiPriority w:val="0"/>
    <w:qFormat/>
    <w:pPr>
      <w:ind w:firstLine="420"/>
      <w:jc w:val="both"/>
      <w:spacing w:after="0" w:line="288" w:lineRule="auto"/>
      <w:widowControl w:val="off"/>
    </w:pPr>
    <w:rPr>
      <w:rFonts w:ascii="MiSans" w:hAnsi="MiSans" w:eastAsia="MiSans" w:cs="宋体"/>
      <w:szCs w:val="20"/>
      <w:lang w:eastAsia="zh-CN"/>
    </w:rPr>
  </w:style>
  <w:style w:type="paragraph" w:styleId="1040" w:customStyle="1">
    <w:name w:val="方案"/>
    <w:basedOn w:val="692"/>
    <w:uiPriority w:val="0"/>
    <w:qFormat/>
    <w:pPr>
      <w:ind w:firstLine="200"/>
      <w:jc w:val="both"/>
      <w:spacing w:after="0" w:line="360" w:lineRule="auto"/>
      <w:widowControl w:val="off"/>
    </w:pPr>
    <w:rPr>
      <w:rFonts w:ascii="宋体" w:hAnsi="宋体" w:eastAsia="宋体" w:cs="Times New Roman"/>
      <w:sz w:val="24"/>
      <w:szCs w:val="24"/>
      <w:lang w:eastAsia="zh-CN"/>
    </w:rPr>
  </w:style>
  <w:style w:type="character" w:styleId="1041" w:customStyle="1">
    <w:name w:val="font131"/>
    <w:basedOn w:val="702"/>
    <w:uiPriority w:val="0"/>
    <w:qFormat/>
    <w:rPr>
      <w:rFonts w:hint="eastAsia" w:ascii="宋体" w:hAnsi="宋体" w:eastAsia="宋体" w:cs="宋体"/>
      <w:color w:val="000000"/>
      <w:sz w:val="20"/>
      <w:szCs w:val="20"/>
      <w:u w:val="none"/>
    </w:rPr>
  </w:style>
  <w:style w:type="character" w:styleId="1042" w:customStyle="1">
    <w:name w:val="font11"/>
    <w:basedOn w:val="702"/>
    <w:uiPriority w:val="0"/>
    <w:qFormat/>
    <w:rPr>
      <w:rFonts w:hint="eastAsia" w:ascii="宋体" w:hAnsi="宋体" w:eastAsia="宋体" w:cs="宋体"/>
      <w:color w:val="000000"/>
      <w:sz w:val="20"/>
      <w:szCs w:val="20"/>
      <w:u w:val="none"/>
    </w:rPr>
  </w:style>
  <w:style w:type="character" w:styleId="1043" w:customStyle="1">
    <w:name w:val="font31"/>
    <w:basedOn w:val="702"/>
    <w:uiPriority w:val="0"/>
    <w:qFormat/>
    <w:rPr>
      <w:rFonts w:hint="eastAsia" w:ascii="微软雅黑" w:hAnsi="微软雅黑" w:eastAsia="微软雅黑" w:cs="微软雅黑"/>
      <w:color w:val="000000"/>
      <w:sz w:val="20"/>
      <w:szCs w:val="20"/>
      <w:u w:val="none"/>
    </w:rPr>
  </w:style>
  <w:style w:type="character" w:styleId="1044" w:customStyle="1">
    <w:name w:val="font41"/>
    <w:basedOn w:val="702"/>
    <w:uiPriority w:val="0"/>
    <w:qFormat/>
    <w:rPr>
      <w:rFonts w:hint="eastAsia" w:ascii="微软雅黑" w:hAnsi="微软雅黑" w:eastAsia="微软雅黑" w:cs="微软雅黑"/>
      <w:color w:val="000000"/>
      <w:sz w:val="20"/>
      <w:szCs w:val="20"/>
      <w:u w:val="none"/>
    </w:rPr>
  </w:style>
  <w:style w:type="paragraph" w:styleId="1045" w:customStyle="1">
    <w:name w:val="Normal_0_0"/>
    <w:uiPriority w:val="0"/>
    <w:qFormat/>
    <w:rPr>
      <w:rFonts w:ascii="Times New Roman" w:hAnsi="Times New Roman" w:eastAsia="Times New Roman" w:cs="Times New Roman"/>
      <w:sz w:val="24"/>
      <w:szCs w:val="24"/>
      <w:lang w:val="en-US" w:eastAsia="zh-CN" w:bidi="ar-SA"/>
    </w:rPr>
  </w:style>
  <w:style w:type="paragraph" w:styleId="1046" w:customStyle="1">
    <w:name w:val="列出段落1"/>
    <w:basedOn w:val="692"/>
    <w:uiPriority w:val="34"/>
    <w:qFormat/>
    <w:pPr>
      <w:ind w:firstLine="420"/>
      <w:jc w:val="both"/>
      <w:spacing w:after="0" w:line="288" w:lineRule="auto"/>
      <w:widowControl w:val="off"/>
    </w:pPr>
    <w:rPr>
      <w:rFonts w:ascii="MiSans" w:hAnsi="MiSans" w:eastAsia="MiSans"/>
      <w:szCs w:val="24"/>
      <w:lang w:eastAsia="zh-CN"/>
    </w:rPr>
  </w:style>
  <w:style w:type="character" w:styleId="1047" w:customStyle="1">
    <w:name w:val="List Paragraph Char"/>
    <w:uiPriority w:val="0"/>
    <w:qFormat/>
  </w:style>
  <w:style w:type="character" w:styleId="1048" w:customStyle="1">
    <w:name w:val="NormalCharacter"/>
    <w:uiPriority w:val="0"/>
    <w:semiHidden/>
    <w:qFormat/>
  </w:style>
  <w:style w:type="character" w:styleId="1049" w:customStyle="1">
    <w:name w:val="样式6 Char"/>
    <w:link w:val="1050"/>
    <w:uiPriority w:val="0"/>
    <w:qFormat/>
    <w:rPr>
      <w:rFonts w:ascii="Arial" w:hAnsi="Arial"/>
      <w:b/>
      <w:bCs/>
      <w:sz w:val="28"/>
      <w:szCs w:val="32"/>
    </w:rPr>
  </w:style>
  <w:style w:type="paragraph" w:styleId="1050" w:customStyle="1">
    <w:name w:val="样式6"/>
    <w:basedOn w:val="694"/>
    <w:link w:val="1049"/>
    <w:uiPriority w:val="0"/>
    <w:qFormat/>
    <w:pPr>
      <w:jc w:val="both"/>
      <w:spacing w:before="0" w:after="0" w:line="240" w:lineRule="auto"/>
      <w:widowControl w:val="off"/>
    </w:pPr>
    <w:rPr>
      <w:rFonts w:eastAsia="宋体" w:cs="Times New Roman"/>
      <w:b/>
      <w:bCs/>
      <w:sz w:val="28"/>
      <w:szCs w:val="32"/>
      <w:lang w:eastAsia="zh-CN"/>
    </w:rPr>
  </w:style>
  <w:style w:type="paragraph" w:styleId="1051" w:customStyle="1">
    <w:name w:val="纯文本7"/>
    <w:basedOn w:val="692"/>
    <w:uiPriority w:val="0"/>
    <w:qFormat/>
    <w:rPr>
      <w:rFonts w:ascii="宋体" w:hAnsi="Courier New" w:eastAsia="楷体_GB2312" w:cs="Times New Roman"/>
      <w:sz w:val="26"/>
      <w:szCs w:val="20"/>
    </w:rPr>
  </w:style>
  <w:style w:type="numbering" w:styleId="10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only</dc:creator>
  <cp:lastModifiedBy>周萌</cp:lastModifiedBy>
  <cp:revision>98</cp:revision>
  <dcterms:created xsi:type="dcterms:W3CDTF">2025-07-25T08:33:00Z</dcterms:created>
  <dcterms:modified xsi:type="dcterms:W3CDTF">2026-08-11T06:28:24Z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88564D81A48846D2AAD6FC89BF8A55A4_13</vt:lpwstr>
  </property>
  <property fmtid="{D5CDD505-2E9C-101B-9397-08002B2CF9AE}" pid="4" name="KSOTemplateDocerSaveRecord">
    <vt:lpwstr>eyJoZGlkIjoiNjA4ODRhOGJmYjFmOGQ1NjI5OThkNWNjMGMwOTcyMjEiLCJ1c2VySWQiOiI2NjM5ODUxODAifQ==</vt:lpwstr>
  </property>
</Properties>
</file>