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r/>
    </w:p>
    <w:p>
      <w:pPr>
        <w:pStyle w:val="975"/>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color w:val="000000" w:themeColor="text1"/>
          <w:highlight w:val="none"/>
        </w:rPr>
      </w:r>
      <w:r/>
    </w:p>
    <w:p>
      <w:pPr>
        <w:pStyle w:val="975"/>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r/>
    </w:p>
    <w:p>
      <w:pPr>
        <w:pStyle w:val="975"/>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975"/>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975"/>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85"/>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JSZC-320200-JZCG-G2026-0065</w:t>
      </w:r>
      <w:r>
        <w:rPr>
          <w:color w:val="000000" w:themeColor="text1"/>
          <w:highlight w:val="none"/>
        </w:rPr>
      </w:r>
      <w:r/>
    </w:p>
    <w:p>
      <w:pPr>
        <w:pStyle w:val="885"/>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无锡市国资监管服务项目</w:t>
      </w:r>
      <w:r>
        <w:rPr>
          <w:color w:val="000000" w:themeColor="text1"/>
          <w:highlight w:val="none"/>
        </w:rPr>
      </w:r>
      <w:r/>
    </w:p>
    <w:p>
      <w:pPr>
        <w:pStyle w:val="885"/>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无锡市财政局</w:t>
      </w:r>
      <w:r>
        <w:rPr>
          <w:color w:val="000000" w:themeColor="text1"/>
          <w:highlight w:val="none"/>
        </w:rPr>
      </w:r>
      <w:r/>
    </w:p>
    <w:p>
      <w:pPr>
        <w:pStyle w:val="885"/>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r/>
    </w:p>
    <w:p>
      <w:pPr>
        <w:pStyle w:val="975"/>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75"/>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75"/>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75"/>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color w:val="000000" w:themeColor="text1"/>
          <w:highlight w:val="none"/>
        </w:rPr>
      </w:r>
      <w:r/>
    </w:p>
    <w:p>
      <w:pPr>
        <w:pStyle w:val="975"/>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七</w:t>
      </w:r>
      <w:r>
        <w:rPr>
          <w:rFonts w:hint="eastAsia" w:ascii="黑体" w:hAnsi="华文中宋" w:eastAsia="黑体"/>
          <w:bCs/>
          <w:color w:val="000000" w:themeColor="text1"/>
          <w:sz w:val="32"/>
          <w:szCs w:val="32"/>
          <w:highlight w:val="none"/>
        </w:rPr>
        <w:t xml:space="preserve">月</w:t>
      </w:r>
      <w:r>
        <w:rPr>
          <w:color w:val="000000" w:themeColor="text1"/>
          <w:highlight w:val="none"/>
        </w:rPr>
      </w:r>
      <w:r/>
    </w:p>
    <w:p>
      <w:pPr>
        <w:pStyle w:val="975"/>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523127445"/>
      <w:r>
        <w:rPr>
          <w:color w:val="000000" w:themeColor="text1"/>
          <w:highlight w:val="none"/>
        </w:rPr>
      </w:r>
      <w:bookmarkStart w:id="2" w:name="_Toc513029200"/>
      <w:r>
        <w:rPr>
          <w:color w:val="000000" w:themeColor="text1"/>
          <w:highlight w:val="none"/>
        </w:rPr>
      </w:r>
      <w:bookmarkStart w:id="3" w:name="_Toc20823272"/>
      <w:r>
        <w:rPr>
          <w:color w:val="000000" w:themeColor="text1"/>
          <w:highlight w:val="none"/>
        </w:rPr>
      </w:r>
      <w:bookmarkStart w:id="4" w:name="_Toc479757206"/>
      <w:r>
        <w:rPr>
          <w:color w:val="000000" w:themeColor="text1"/>
          <w:highlight w:val="none"/>
        </w:rPr>
      </w:r>
      <w:bookmarkStart w:id="5" w:name="_Toc16938516"/>
      <w:r>
        <w:rPr>
          <w:rFonts w:hint="eastAsia" w:ascii="黑体" w:hAnsi="黑体" w:eastAsia="黑体"/>
          <w:color w:val="000000" w:themeColor="text1"/>
          <w:sz w:val="36"/>
          <w:szCs w:val="36"/>
          <w:highlight w:val="none"/>
        </w:rPr>
        <w:t xml:space="preserve">总  目  录</w:t>
      </w:r>
      <w:r>
        <w:rPr>
          <w:color w:val="000000" w:themeColor="text1"/>
          <w:highlight w:val="none"/>
        </w:rPr>
      </w:r>
      <w:r/>
    </w:p>
    <w:p>
      <w:pPr>
        <w:pStyle w:val="885"/>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r/>
    </w:p>
    <w:p>
      <w:pPr>
        <w:pStyle w:val="885"/>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color w:val="000000" w:themeColor="text1"/>
          <w:highlight w:val="none"/>
        </w:rPr>
      </w:r>
      <w:r/>
    </w:p>
    <w:p>
      <w:pPr>
        <w:pStyle w:val="885"/>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color w:val="000000" w:themeColor="text1"/>
          <w:highlight w:val="none"/>
        </w:rPr>
      </w:r>
      <w:r/>
    </w:p>
    <w:p>
      <w:pPr>
        <w:pStyle w:val="885"/>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color w:val="000000" w:themeColor="text1"/>
          <w:highlight w:val="none"/>
        </w:rPr>
      </w:r>
      <w:r/>
    </w:p>
    <w:p>
      <w:pPr>
        <w:pStyle w:val="885"/>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color w:val="000000" w:themeColor="text1"/>
          <w:highlight w:val="none"/>
        </w:rPr>
      </w:r>
      <w:r/>
    </w:p>
    <w:p>
      <w:pPr>
        <w:pStyle w:val="885"/>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color w:val="000000" w:themeColor="text1"/>
          <w:highlight w:val="none"/>
        </w:rPr>
      </w:r>
      <w:r/>
    </w:p>
    <w:p>
      <w:pPr>
        <w:pStyle w:val="885"/>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color w:val="000000" w:themeColor="text1"/>
          <w:highlight w:val="none"/>
        </w:rPr>
      </w:r>
      <w:r/>
    </w:p>
    <w:p>
      <w:pPr>
        <w:pStyle w:val="885"/>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color w:val="000000" w:themeColor="text1"/>
          <w:highlight w:val="none"/>
        </w:rPr>
      </w:r>
      <w:r/>
    </w:p>
    <w:p>
      <w:pPr>
        <w:pStyle w:val="885"/>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eastAsia="zh-CN"/>
        </w:rPr>
        <w:t xml:space="preserve">无锡市财政局</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lang w:eastAsia="zh-CN"/>
        </w:rPr>
        <w:t xml:space="preserve">无锡市国资监管服务项目</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JSZC-320200-JZCG-G2026-0065</w:t>
      </w:r>
      <w:r>
        <w:rPr>
          <w:rFonts w:hint="eastAsia" w:ascii="宋体" w:hAnsi="宋体"/>
          <w:color w:val="000000" w:themeColor="text1"/>
          <w:sz w:val="24"/>
          <w:szCs w:val="24"/>
          <w:highlight w:val="none"/>
        </w:rPr>
        <w:t xml:space="preserve">）进行公开招标采购，欢迎符合条件的供应商投标。</w:t>
      </w:r>
      <w:r>
        <w:rPr>
          <w:color w:val="000000" w:themeColor="text1"/>
          <w:highlight w:val="none"/>
        </w:rPr>
      </w:r>
      <w:r/>
    </w:p>
    <w:p>
      <w:pPr>
        <w:pStyle w:val="885"/>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color w:val="000000" w:themeColor="text1"/>
          <w:highlight w:val="none"/>
        </w:rPr>
      </w:r>
      <w:r/>
    </w:p>
    <w:p>
      <w:pPr>
        <w:pStyle w:val="885"/>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rPr>
        <w:t xml:space="preserve">无锡市国资监管服务项目</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rPr>
        <w:t xml:space="preserve">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28359079"/>
      <w:r>
        <w:rPr>
          <w:color w:val="000000" w:themeColor="text1"/>
          <w:highlight w:val="none"/>
        </w:rPr>
      </w:r>
      <w:bookmarkStart w:id="7" w:name="_Toc35393790"/>
      <w:r>
        <w:rPr>
          <w:color w:val="000000" w:themeColor="text1"/>
          <w:highlight w:val="none"/>
        </w:rPr>
      </w:r>
      <w:bookmarkStart w:id="8" w:name="_Toc35393621"/>
      <w:r>
        <w:rPr>
          <w:color w:val="000000" w:themeColor="text1"/>
          <w:highlight w:val="none"/>
        </w:rPr>
      </w:r>
      <w:bookmarkStart w:id="9" w:name="_Toc28359002"/>
      <w:r>
        <w:rPr>
          <w:color w:val="000000" w:themeColor="text1"/>
          <w:highlight w:val="none"/>
        </w:rPr>
      </w:r>
      <w:bookmarkStart w:id="10" w:name="_Toc38985263"/>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pStyle w:val="885"/>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lang w:eastAsia="zh-CN"/>
        </w:rPr>
        <w:t xml:space="preserve">JSZC-320200-JZCG-G2026-0065</w:t>
      </w:r>
      <w:r>
        <w:rPr>
          <w:color w:val="000000" w:themeColor="text1"/>
          <w:highlight w:val="none"/>
        </w:rPr>
      </w:r>
      <w:r/>
    </w:p>
    <w:p>
      <w:pPr>
        <w:pStyle w:val="885"/>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lang w:eastAsia="zh-CN"/>
        </w:rPr>
        <w:t xml:space="preserve">无锡市国资监管服务项目</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lang w:val="en-US" w:eastAsia="zh-CN"/>
        </w:rPr>
        <w:t xml:space="preserve">338.97</w:t>
      </w:r>
      <w:r>
        <w:rPr>
          <w:rFonts w:hint="eastAsia" w:ascii="宋体" w:hAnsi="宋体"/>
          <w:color w:val="000000" w:themeColor="text1"/>
          <w:sz w:val="24"/>
          <w:szCs w:val="24"/>
          <w:highlight w:val="none"/>
        </w:rPr>
        <w:t xml:space="preserve">万元</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338.97</w:t>
      </w:r>
      <w:r>
        <w:rPr>
          <w:rFonts w:hint="eastAsia" w:ascii="宋体" w:hAnsi="宋体"/>
          <w:color w:val="000000" w:themeColor="text1"/>
          <w:sz w:val="24"/>
          <w:szCs w:val="24"/>
          <w:highlight w:val="none"/>
        </w:rPr>
        <w:t xml:space="preserve">万元</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28359003"/>
      <w:r>
        <w:rPr>
          <w:color w:val="000000" w:themeColor="text1"/>
          <w:highlight w:val="none"/>
        </w:rPr>
      </w:r>
      <w:bookmarkStart w:id="13" w:name="_Toc28359080"/>
      <w:r>
        <w:rPr>
          <w:color w:val="000000" w:themeColor="text1"/>
          <w:highlight w:val="none"/>
        </w:rPr>
      </w:r>
      <w:bookmarkStart w:id="14" w:name="_Toc35393791"/>
      <w:r>
        <w:rPr>
          <w:color w:val="000000" w:themeColor="text1"/>
          <w:highlight w:val="none"/>
        </w:rPr>
      </w:r>
      <w:bookmarkStart w:id="15" w:name="_Toc35393622"/>
      <w:r>
        <w:rPr>
          <w:color w:val="000000" w:themeColor="text1"/>
          <w:highlight w:val="none"/>
        </w:rPr>
      </w:r>
      <w:bookmarkStart w:id="16" w:name="_Toc38985264"/>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5393623"/>
      <w:r>
        <w:rPr>
          <w:color w:val="000000" w:themeColor="text1"/>
          <w:highlight w:val="none"/>
        </w:rPr>
      </w:r>
      <w:bookmarkStart w:id="18" w:name="_Toc38985265"/>
      <w:r>
        <w:rPr>
          <w:color w:val="000000" w:themeColor="text1"/>
          <w:highlight w:val="none"/>
        </w:rPr>
      </w:r>
      <w:bookmarkStart w:id="19" w:name="_Toc28359081"/>
      <w:r>
        <w:rPr>
          <w:color w:val="000000" w:themeColor="text1"/>
          <w:highlight w:val="none"/>
        </w:rPr>
      </w:r>
      <w:bookmarkStart w:id="20" w:name="_Toc35393792"/>
      <w:r>
        <w:rPr>
          <w:color w:val="000000" w:themeColor="text1"/>
          <w:highlight w:val="none"/>
        </w:rPr>
      </w:r>
      <w:bookmarkStart w:id="21" w:name="_Toc28359004"/>
      <w:r>
        <w:rPr>
          <w:rFonts w:hint="eastAsia" w:ascii="宋体" w:hAnsi="宋体"/>
          <w:color w:val="000000" w:themeColor="text1"/>
          <w:sz w:val="24"/>
          <w:szCs w:val="24"/>
          <w:highlight w:val="none"/>
        </w:rPr>
        <w:t xml:space="preserve">1.满足《中华人民共和国政府采购法》第二十二条规定；</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本项目专门面向中小企业</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p>
    <w:p>
      <w:pPr>
        <w:pStyle w:val="885"/>
        <w:ind w:firstLine="540"/>
        <w:spacing w:line="500" w:lineRule="exact"/>
        <w:rPr>
          <w:rFonts w:hint="eastAsia" w:ascii="宋体" w:hAnsi="宋体"/>
          <w:color w:val="000000" w:themeColor="text1"/>
          <w:sz w:val="24"/>
          <w:szCs w:val="24"/>
          <w:highlight w:val="none"/>
        </w:rPr>
      </w:pPr>
      <w:r>
        <w:rPr>
          <w:color w:val="000000" w:themeColor="text1"/>
          <w:highlight w:val="none"/>
        </w:rPr>
      </w:r>
      <w:bookmarkStart w:id="22" w:name="_Toc28359082"/>
      <w:r>
        <w:rPr>
          <w:color w:val="000000" w:themeColor="text1"/>
          <w:highlight w:val="none"/>
        </w:rPr>
      </w:r>
      <w:bookmarkStart w:id="23" w:name="_Toc28359005"/>
      <w:r>
        <w:rPr>
          <w:color w:val="000000" w:themeColor="text1"/>
          <w:highlight w:val="none"/>
        </w:rPr>
      </w:r>
      <w:bookmarkStart w:id="24" w:name="_Toc38985266"/>
      <w:r>
        <w:rPr>
          <w:color w:val="000000" w:themeColor="text1"/>
          <w:highlight w:val="none"/>
        </w:rPr>
      </w:r>
      <w:bookmarkStart w:id="25" w:name="_Toc35393793"/>
      <w:r>
        <w:rPr>
          <w:color w:val="000000" w:themeColor="text1"/>
          <w:highlight w:val="none"/>
        </w:rPr>
      </w:r>
      <w:bookmarkStart w:id="26" w:name="_Toc35393624"/>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color w:val="000000" w:themeColor="text1"/>
          <w:highlight w:val="none"/>
        </w:rPr>
      </w:r>
      <w:r/>
    </w:p>
    <w:p>
      <w:pPr>
        <w:pStyle w:val="885"/>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color w:val="000000" w:themeColor="text1"/>
          <w:highlight w:val="none"/>
        </w:rPr>
      </w:r>
      <w:r/>
    </w:p>
    <w:p>
      <w:pPr>
        <w:pStyle w:val="885"/>
        <w:ind w:firstLine="540"/>
        <w:spacing w:line="500" w:lineRule="exact"/>
        <w:rPr>
          <w:rStyle w:val="963"/>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w:t>
      </w:r>
      <w:r>
        <w:rPr>
          <w:rFonts w:ascii="宋体" w:hAnsi="宋体"/>
          <w:color w:val="000000" w:themeColor="text1"/>
          <w:sz w:val="24"/>
          <w:szCs w:val="24"/>
          <w:highlight w:val="none"/>
        </w:rPr>
        <w:t xml:space="preserve">s</w:t>
      </w:r>
      <w:r>
        <w:rPr>
          <w:rFonts w:ascii="宋体" w:hAnsi="宋体"/>
          <w:color w:val="000000" w:themeColor="text1"/>
          <w:sz w:val="24"/>
          <w:szCs w:val="24"/>
          <w:highlight w:val="none"/>
        </w:rPr>
        <w:t xml:space="preserve">://jszfcg.jsczt.cn/）</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color w:val="000000" w:themeColor="text1"/>
          <w:highlight w:val="none"/>
        </w:rPr>
      </w:r>
      <w:r/>
    </w:p>
    <w:p>
      <w:pPr>
        <w:pStyle w:val="885"/>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6年8月18日09点30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28359084"/>
      <w:r>
        <w:rPr>
          <w:color w:val="000000" w:themeColor="text1"/>
          <w:highlight w:val="none"/>
        </w:rPr>
      </w:r>
      <w:bookmarkStart w:id="28" w:name="_Toc35393625"/>
      <w:r>
        <w:rPr>
          <w:color w:val="000000" w:themeColor="text1"/>
          <w:highlight w:val="none"/>
        </w:rPr>
      </w:r>
      <w:bookmarkStart w:id="29" w:name="_Toc28359007"/>
      <w:r>
        <w:rPr>
          <w:color w:val="000000" w:themeColor="text1"/>
          <w:highlight w:val="none"/>
        </w:rPr>
      </w:r>
      <w:bookmarkStart w:id="30" w:name="_Toc38985267"/>
      <w:r>
        <w:rPr>
          <w:color w:val="000000" w:themeColor="text1"/>
          <w:highlight w:val="none"/>
        </w:rPr>
      </w:r>
      <w:bookmarkStart w:id="31" w:name="_Toc35393794"/>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5393626"/>
      <w:r>
        <w:rPr>
          <w:color w:val="000000" w:themeColor="text1"/>
          <w:highlight w:val="none"/>
        </w:rPr>
      </w:r>
      <w:bookmarkStart w:id="33" w:name="_Toc38985268"/>
      <w:r>
        <w:rPr>
          <w:color w:val="000000" w:themeColor="text1"/>
          <w:highlight w:val="none"/>
        </w:rPr>
      </w:r>
      <w:bookmarkStart w:id="34" w:name="_Toc35393795"/>
      <w:r>
        <w:rPr>
          <w:rFonts w:hint="eastAsia" w:ascii="宋体" w:hAnsi="宋体" w:cs="宋体"/>
          <w:color w:val="000000" w:themeColor="text1"/>
          <w:sz w:val="24"/>
          <w:szCs w:val="24"/>
          <w:highlight w:val="none"/>
        </w:rPr>
        <w:t xml:space="preserve">（招标公告及招标文件公告期限）自本公告发布之日起5个工作日</w:t>
      </w:r>
      <w:r>
        <w:rPr>
          <w:rFonts w:hint="eastAsia" w:ascii="宋体" w:hAnsi="宋体" w:cs="宋体"/>
          <w:color w:val="000000" w:themeColor="text1"/>
          <w:sz w:val="24"/>
          <w:szCs w:val="24"/>
          <w:highlight w:val="none"/>
        </w:rPr>
        <w:t xml:space="preserve">。</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5393627"/>
      <w:r>
        <w:rPr>
          <w:color w:val="000000" w:themeColor="text1"/>
          <w:highlight w:val="none"/>
        </w:rPr>
      </w:r>
      <w:bookmarkStart w:id="36" w:name="_Toc35393796"/>
      <w:r>
        <w:rPr>
          <w:color w:val="000000" w:themeColor="text1"/>
          <w:highlight w:val="none"/>
        </w:rPr>
      </w:r>
      <w:bookmarkStart w:id="37" w:name="_Toc28359008"/>
      <w:r>
        <w:rPr>
          <w:color w:val="000000" w:themeColor="text1"/>
          <w:highlight w:val="none"/>
        </w:rPr>
      </w:r>
      <w:bookmarkStart w:id="38" w:name="_Toc38985269"/>
      <w:r>
        <w:rPr>
          <w:color w:val="000000" w:themeColor="text1"/>
          <w:highlight w:val="none"/>
        </w:rPr>
      </w:r>
      <w:bookmarkStart w:id="39" w:name="_Toc28359085"/>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r/>
    </w:p>
    <w:p>
      <w:pPr>
        <w:pStyle w:val="885"/>
        <w:ind w:firstLine="48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无锡市财政局</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rPr>
        <w:t xml:space="preserve">无锡市观山路199号3号楼</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86"/>
      <w:r>
        <w:rPr>
          <w:color w:val="000000" w:themeColor="text1"/>
          <w:highlight w:val="none"/>
        </w:rPr>
      </w:r>
      <w:bookmarkStart w:id="41" w:name="_Toc28359009"/>
      <w:r>
        <w:rPr>
          <w:rFonts w:hint="eastAsia" w:ascii="宋体" w:hAnsi="宋体" w:cs="宋体"/>
          <w:color w:val="000000" w:themeColor="text1"/>
          <w:sz w:val="24"/>
          <w:szCs w:val="24"/>
          <w:highlight w:val="none"/>
        </w:rPr>
        <w:t xml:space="preserve">见“项目联系方式”</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采购人项目咨询联系人：李小峰；</w:t>
      </w:r>
      <w:r>
        <w:rPr>
          <w:rFonts w:hint="eastAsia" w:ascii="宋体" w:hAnsi="宋体" w:cs="宋体"/>
          <w:color w:val="000000" w:themeColor="text1"/>
          <w:sz w:val="24"/>
          <w:szCs w:val="24"/>
          <w:highlight w:val="none"/>
        </w:rPr>
        <w:t xml:space="preserve">电话：0510-81822277</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w:t>
      </w:r>
      <w:r>
        <w:rPr>
          <w:rFonts w:hint="eastAsia" w:ascii="宋体" w:hAnsi="宋体" w:cs="宋体"/>
          <w:color w:val="000000" w:themeColor="text1"/>
          <w:sz w:val="24"/>
          <w:szCs w:val="24"/>
          <w:highlight w:val="none"/>
        </w:rPr>
        <w:t xml:space="preserve">李小峰</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w:t>
      </w:r>
      <w:r>
        <w:rPr>
          <w:rFonts w:hint="eastAsia" w:ascii="宋体" w:hAnsi="宋体" w:cs="宋体"/>
          <w:color w:val="000000" w:themeColor="text1"/>
          <w:sz w:val="24"/>
          <w:szCs w:val="24"/>
          <w:highlight w:val="none"/>
        </w:rPr>
        <w:t xml:space="preserve">0510-81822277</w:t>
      </w:r>
      <w:r>
        <w:rPr>
          <w:color w:val="000000" w:themeColor="text1"/>
          <w:highlight w:val="none"/>
        </w:rPr>
      </w:r>
      <w:r/>
    </w:p>
    <w:p>
      <w:pPr>
        <w:pStyle w:val="885"/>
        <w:ind w:firstLine="480"/>
        <w:spacing w:line="500" w:lineRule="exac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lang w:val="en-US" w:eastAsia="zh-CN"/>
        </w:rPr>
        <w:t xml:space="preserve">吴冰梦</w:t>
      </w:r>
      <w:r>
        <w:rPr>
          <w:rFonts w:hint="eastAsia" w:ascii="宋体" w:hAnsi="宋体" w:cs="宋体"/>
          <w:color w:val="000000" w:themeColor="text1"/>
          <w:sz w:val="24"/>
          <w:szCs w:val="24"/>
          <w:highlight w:val="none"/>
        </w:rPr>
        <w:t xml:space="preserve">；电话：0510-</w:t>
      </w:r>
      <w:r>
        <w:rPr>
          <w:rFonts w:hint="eastAsia" w:ascii="宋体" w:hAnsi="宋体" w:cs="宋体"/>
          <w:color w:val="000000" w:themeColor="text1"/>
          <w:sz w:val="24"/>
          <w:szCs w:val="24"/>
          <w:highlight w:val="none"/>
          <w:lang w:val="en-US" w:eastAsia="zh-CN"/>
        </w:rPr>
        <w:t xml:space="preserve">81827747</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highlight w:val="none"/>
        </w:rPr>
      </w:r>
      <w:r/>
    </w:p>
    <w:p>
      <w:pPr>
        <w:pStyle w:val="885"/>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w:t>
      </w:r>
      <w:r>
        <w:rPr>
          <w:rFonts w:ascii="宋体" w:hAnsi="宋体"/>
          <w:color w:val="000000" w:themeColor="text1"/>
          <w:sz w:val="24"/>
          <w:szCs w:val="24"/>
          <w:highlight w:val="none"/>
        </w:rPr>
        <w:t xml:space="preserve">http</w:t>
      </w:r>
      <w:r>
        <w:rPr>
          <w:rFonts w:ascii="宋体" w:hAnsi="宋体"/>
          <w:color w:val="000000" w:themeColor="text1"/>
          <w:sz w:val="24"/>
          <w:szCs w:val="24"/>
          <w:highlight w:val="none"/>
        </w:rPr>
        <w:t xml:space="preserve">s</w:t>
      </w:r>
      <w:r>
        <w:rPr>
          <w:rFonts w:ascii="宋体" w:hAnsi="宋体"/>
          <w:color w:val="000000" w:themeColor="text1"/>
          <w:sz w:val="24"/>
          <w:szCs w:val="24"/>
          <w:highlight w:val="none"/>
        </w:rPr>
        <w:t xml:space="preserve">://jszfcg.jsczt.cn/</w:t>
      </w:r>
      <w:r>
        <w:rPr>
          <w:rFonts w:hint="eastAsia" w:ascii="宋体" w:hAnsi="宋体"/>
          <w:color w:val="000000" w:themeColor="text1"/>
          <w:sz w:val="24"/>
          <w:szCs w:val="24"/>
          <w:highlight w:val="none"/>
        </w:rPr>
        <w:t xml:space="preserve">进入界面。</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color w:val="000000" w:themeColor="text1"/>
          <w:highlight w:val="none"/>
        </w:rPr>
      </w:r>
      <w:r/>
    </w:p>
    <w:p>
      <w:pPr>
        <w:pStyle w:val="885"/>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color w:val="000000" w:themeColor="text1"/>
          <w:highlight w:val="none"/>
        </w:rPr>
      </w:r>
      <w:r/>
    </w:p>
    <w:p>
      <w:pPr>
        <w:pStyle w:val="885"/>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color w:val="000000" w:themeColor="text1"/>
          <w:highlight w:val="none"/>
        </w:rPr>
      </w:r>
      <w:r/>
    </w:p>
    <w:p>
      <w:pPr>
        <w:pStyle w:val="885"/>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color w:val="000000" w:themeColor="text1"/>
          <w:highlight w:val="none"/>
        </w:rPr>
      </w:r>
      <w:r/>
    </w:p>
    <w:p>
      <w:pPr>
        <w:pStyle w:val="885"/>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rPr>
          <w:color w:val="000000" w:themeColor="text1"/>
          <w:highlight w:val="none"/>
        </w:rPr>
      </w:r>
      <w:r/>
    </w:p>
    <w:p>
      <w:pPr>
        <w:pStyle w:val="885"/>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16938518"/>
      <w:r>
        <w:rPr>
          <w:color w:val="000000" w:themeColor="text1"/>
          <w:highlight w:val="none"/>
        </w:rPr>
      </w:r>
      <w:bookmarkStart w:id="44" w:name="_Toc120614213"/>
      <w:r>
        <w:rPr>
          <w:color w:val="000000" w:themeColor="text1"/>
          <w:highlight w:val="none"/>
        </w:rPr>
      </w:r>
      <w:bookmarkStart w:id="45" w:name="_Toc513029202"/>
      <w:r>
        <w:rPr>
          <w:color w:val="000000" w:themeColor="text1"/>
          <w:highlight w:val="none"/>
        </w:rPr>
      </w:r>
      <w:bookmarkStart w:id="46" w:name="_Toc20823274"/>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16938519"/>
      <w:r>
        <w:rPr>
          <w:color w:val="000000" w:themeColor="text1"/>
          <w:highlight w:val="none"/>
        </w:rPr>
      </w:r>
      <w:bookmarkStart w:id="48" w:name="_Toc20823275"/>
      <w:r>
        <w:rPr>
          <w:color w:val="000000" w:themeColor="text1"/>
          <w:highlight w:val="none"/>
        </w:rPr>
      </w:r>
      <w:bookmarkStart w:id="49" w:name="_Toc120614214"/>
      <w:r>
        <w:rPr>
          <w:color w:val="000000" w:themeColor="text1"/>
          <w:highlight w:val="none"/>
        </w:rPr>
      </w:r>
      <w:bookmarkStart w:id="50" w:name="_Toc513029203"/>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16938520"/>
      <w:r>
        <w:rPr>
          <w:color w:val="000000" w:themeColor="text1"/>
          <w:highlight w:val="none"/>
        </w:rPr>
      </w:r>
      <w:bookmarkStart w:id="53" w:name="_Toc20823276"/>
      <w:r>
        <w:rPr>
          <w:color w:val="000000" w:themeColor="text1"/>
          <w:highlight w:val="none"/>
        </w:rPr>
      </w:r>
      <w:bookmarkStart w:id="54" w:name="_Toc513029204"/>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20823277"/>
      <w:r>
        <w:rPr>
          <w:color w:val="000000" w:themeColor="text1"/>
          <w:highlight w:val="none"/>
        </w:rPr>
      </w:r>
      <w:bookmarkStart w:id="56" w:name="_Toc16938521"/>
      <w:r>
        <w:rPr>
          <w:color w:val="000000" w:themeColor="text1"/>
          <w:highlight w:val="none"/>
        </w:rPr>
      </w:r>
      <w:bookmarkStart w:id="57" w:name="_Toc513029205"/>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16938522"/>
      <w:r>
        <w:rPr>
          <w:color w:val="000000" w:themeColor="text1"/>
          <w:highlight w:val="none"/>
        </w:rPr>
      </w:r>
      <w:bookmarkStart w:id="59" w:name="_Toc513029206"/>
      <w:r>
        <w:rPr>
          <w:color w:val="000000" w:themeColor="text1"/>
          <w:highlight w:val="none"/>
        </w:rPr>
      </w:r>
      <w:bookmarkStart w:id="60" w:name="_Toc20823278"/>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16938523"/>
      <w:r>
        <w:rPr>
          <w:color w:val="000000" w:themeColor="text1"/>
          <w:highlight w:val="none"/>
        </w:rPr>
      </w:r>
      <w:bookmarkStart w:id="62" w:name="_Toc462564067"/>
      <w:r>
        <w:rPr>
          <w:color w:val="000000" w:themeColor="text1"/>
          <w:highlight w:val="none"/>
        </w:rPr>
      </w:r>
      <w:bookmarkStart w:id="63" w:name="_Toc20823279"/>
      <w:r>
        <w:rPr>
          <w:color w:val="000000" w:themeColor="text1"/>
          <w:highlight w:val="none"/>
        </w:rPr>
      </w:r>
      <w:bookmarkStart w:id="64" w:name="_Toc513029207"/>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513029209"/>
      <w:r>
        <w:rPr>
          <w:color w:val="000000" w:themeColor="text1"/>
          <w:highlight w:val="none"/>
        </w:rPr>
      </w:r>
      <w:bookmarkStart w:id="66" w:name="_Toc20823281"/>
      <w:r>
        <w:rPr>
          <w:color w:val="000000" w:themeColor="text1"/>
          <w:highlight w:val="none"/>
        </w:rPr>
      </w:r>
      <w:bookmarkStart w:id="67" w:name="_Toc16938525"/>
      <w:r>
        <w:rPr>
          <w:color w:val="000000" w:themeColor="text1"/>
          <w:highlight w:val="none"/>
        </w:rPr>
      </w:r>
      <w:bookmarkStart w:id="68" w:name="_Toc120614215"/>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20823282"/>
      <w:r>
        <w:rPr>
          <w:color w:val="000000" w:themeColor="text1"/>
          <w:highlight w:val="none"/>
        </w:rPr>
      </w:r>
      <w:bookmarkStart w:id="70" w:name="_Toc513029210"/>
      <w:r>
        <w:rPr>
          <w:color w:val="000000" w:themeColor="text1"/>
          <w:highlight w:val="none"/>
        </w:rPr>
      </w:r>
      <w:bookmarkStart w:id="71" w:name="_Toc16938526"/>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color w:val="000000" w:themeColor="text1"/>
          <w:highlight w:val="none"/>
        </w:rPr>
      </w:r>
      <w:r/>
    </w:p>
    <w:p>
      <w:pPr>
        <w:pStyle w:val="885"/>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462564070"/>
      <w:r>
        <w:rPr>
          <w:color w:val="000000" w:themeColor="text1"/>
          <w:highlight w:val="none"/>
        </w:rPr>
      </w:r>
      <w:bookmarkStart w:id="73" w:name="_Toc16938527"/>
      <w:r>
        <w:rPr>
          <w:color w:val="000000" w:themeColor="text1"/>
          <w:highlight w:val="none"/>
        </w:rPr>
      </w:r>
      <w:bookmarkStart w:id="74" w:name="_Toc513029211"/>
      <w:r>
        <w:rPr>
          <w:color w:val="000000" w:themeColor="text1"/>
          <w:highlight w:val="none"/>
        </w:rPr>
      </w:r>
      <w:bookmarkStart w:id="75" w:name="_Toc20823283"/>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16938528"/>
      <w:r>
        <w:rPr>
          <w:color w:val="000000" w:themeColor="text1"/>
          <w:highlight w:val="none"/>
        </w:rPr>
      </w:r>
      <w:bookmarkStart w:id="77" w:name="_Toc462564071"/>
      <w:r>
        <w:rPr>
          <w:color w:val="000000" w:themeColor="text1"/>
          <w:highlight w:val="none"/>
        </w:rPr>
      </w:r>
      <w:bookmarkStart w:id="78" w:name="_Toc20823284"/>
      <w:r>
        <w:rPr>
          <w:color w:val="000000" w:themeColor="text1"/>
          <w:highlight w:val="none"/>
        </w:rPr>
      </w:r>
      <w:bookmarkStart w:id="79" w:name="_Toc513029212"/>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20823285"/>
      <w:r>
        <w:rPr>
          <w:color w:val="000000" w:themeColor="text1"/>
          <w:highlight w:val="none"/>
        </w:rPr>
      </w:r>
      <w:bookmarkStart w:id="81" w:name="_Toc513029213"/>
      <w:r>
        <w:rPr>
          <w:color w:val="000000" w:themeColor="text1"/>
          <w:highlight w:val="none"/>
        </w:rPr>
      </w:r>
      <w:bookmarkStart w:id="82" w:name="_Toc16938529"/>
      <w:r>
        <w:rPr>
          <w:color w:val="000000" w:themeColor="text1"/>
          <w:highlight w:val="none"/>
        </w:rPr>
      </w:r>
      <w:bookmarkStart w:id="83" w:name="_Toc120614216"/>
      <w:r>
        <w:rPr>
          <w:color w:val="000000" w:themeColor="text1"/>
          <w:highlight w:val="none"/>
        </w:rPr>
      </w:r>
      <w:bookmarkStart w:id="84" w:name="_Toc462564072"/>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20823286"/>
      <w:r>
        <w:rPr>
          <w:color w:val="000000" w:themeColor="text1"/>
          <w:highlight w:val="none"/>
        </w:rPr>
      </w:r>
      <w:bookmarkStart w:id="86" w:name="_Toc462564073"/>
      <w:r>
        <w:rPr>
          <w:color w:val="000000" w:themeColor="text1"/>
          <w:highlight w:val="none"/>
        </w:rPr>
      </w:r>
      <w:bookmarkStart w:id="87" w:name="_Toc513029214"/>
      <w:r>
        <w:rPr>
          <w:color w:val="000000" w:themeColor="text1"/>
          <w:highlight w:val="none"/>
        </w:rPr>
      </w:r>
      <w:bookmarkStart w:id="88" w:name="_Toc16938530"/>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16938531"/>
      <w:r>
        <w:rPr>
          <w:color w:val="000000" w:themeColor="text1"/>
          <w:highlight w:val="none"/>
        </w:rPr>
      </w:r>
      <w:bookmarkStart w:id="90" w:name="_Toc462564074"/>
      <w:r>
        <w:rPr>
          <w:color w:val="000000" w:themeColor="text1"/>
          <w:highlight w:val="none"/>
        </w:rPr>
      </w:r>
      <w:bookmarkStart w:id="91" w:name="_Toc20823287"/>
      <w:r>
        <w:rPr>
          <w:color w:val="000000" w:themeColor="text1"/>
          <w:highlight w:val="none"/>
        </w:rPr>
      </w:r>
      <w:bookmarkStart w:id="92" w:name="_Toc513029215"/>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r/>
    </w:p>
    <w:p>
      <w:pPr>
        <w:pStyle w:val="885"/>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954838"/>
      <w:r>
        <w:rPr>
          <w:color w:val="000000" w:themeColor="text1"/>
          <w:highlight w:val="none"/>
        </w:rPr>
      </w:r>
      <w:bookmarkEnd w:id="93"/>
      <w:r>
        <w:rPr>
          <w:color w:val="000000" w:themeColor="text1"/>
          <w:highlight w:val="none"/>
        </w:rPr>
      </w:r>
      <w:bookmarkStart w:id="94" w:name="_Hlt26668975"/>
      <w:r>
        <w:rPr>
          <w:color w:val="000000" w:themeColor="text1"/>
          <w:highlight w:val="none"/>
        </w:rPr>
      </w:r>
      <w:bookmarkEnd w:id="94"/>
      <w:r>
        <w:rPr>
          <w:color w:val="000000" w:themeColor="text1"/>
          <w:highlight w:val="none"/>
        </w:rPr>
      </w:r>
      <w:bookmarkStart w:id="95" w:name="_Hlt26670360"/>
      <w:r>
        <w:rPr>
          <w:color w:val="000000" w:themeColor="text1"/>
          <w:highlight w:val="none"/>
        </w:rPr>
      </w:r>
      <w:bookmarkEnd w:id="95"/>
      <w:r>
        <w:rPr>
          <w:color w:val="000000" w:themeColor="text1"/>
          <w:highlight w:val="none"/>
        </w:rPr>
      </w:r>
      <w:bookmarkStart w:id="96" w:name="_Toc513029219"/>
      <w:r>
        <w:rPr>
          <w:color w:val="000000" w:themeColor="text1"/>
          <w:highlight w:val="none"/>
        </w:rPr>
      </w:r>
      <w:bookmarkStart w:id="97" w:name="_Toc14577357"/>
      <w:r>
        <w:rPr>
          <w:color w:val="000000" w:themeColor="text1"/>
          <w:highlight w:val="none"/>
        </w:rPr>
      </w:r>
      <w:bookmarkStart w:id="98" w:name="_Toc49090509"/>
      <w:r>
        <w:rPr>
          <w:color w:val="000000" w:themeColor="text1"/>
          <w:highlight w:val="none"/>
        </w:rPr>
      </w:r>
      <w:bookmarkStart w:id="99" w:name="_Toc513029216"/>
      <w:r>
        <w:rPr>
          <w:color w:val="000000" w:themeColor="text1"/>
          <w:highlight w:val="none"/>
        </w:rPr>
      </w:r>
      <w:bookmarkStart w:id="100" w:name="_Toc14577354"/>
      <w:r>
        <w:rPr>
          <w:color w:val="000000" w:themeColor="text1"/>
          <w:highlight w:val="none"/>
        </w:rPr>
      </w:r>
      <w:bookmarkStart w:id="101" w:name="_Toc49090507"/>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49090508"/>
      <w:r>
        <w:rPr>
          <w:color w:val="000000" w:themeColor="text1"/>
          <w:highlight w:val="none"/>
        </w:rPr>
      </w:r>
      <w:bookmarkStart w:id="103" w:name="_Toc14577355"/>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49090510"/>
      <w:r>
        <w:rPr>
          <w:color w:val="000000" w:themeColor="text1"/>
          <w:highlight w:val="none"/>
        </w:rPr>
      </w:r>
      <w:bookmarkStart w:id="105" w:name="_Toc14577359"/>
      <w:r>
        <w:rPr>
          <w:rFonts w:hint="eastAsia" w:ascii="宋体" w:hAnsi="宋体" w:eastAsia="宋体"/>
          <w:bCs w:val="0"/>
          <w:color w:val="000000" w:themeColor="text1"/>
          <w:highlight w:val="none"/>
        </w:rPr>
        <w:t xml:space="preserve">12.投标函、承诺书和开标一览表</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670425"/>
      <w:r>
        <w:rPr>
          <w:color w:val="000000" w:themeColor="text1"/>
          <w:highlight w:val="none"/>
        </w:rPr>
      </w:r>
      <w:bookmarkEnd w:id="108"/>
      <w:r>
        <w:rPr>
          <w:color w:val="000000" w:themeColor="text1"/>
          <w:highlight w:val="none"/>
        </w:rPr>
      </w:r>
      <w:bookmarkStart w:id="109" w:name="_Hlt26954848"/>
      <w:r>
        <w:rPr>
          <w:color w:val="000000" w:themeColor="text1"/>
          <w:highlight w:val="none"/>
        </w:rPr>
      </w:r>
      <w:bookmarkEnd w:id="109"/>
      <w:r>
        <w:rPr>
          <w:color w:val="000000" w:themeColor="text1"/>
          <w:highlight w:val="none"/>
        </w:rPr>
      </w:r>
      <w:bookmarkStart w:id="110" w:name="_Hlt26670486"/>
      <w:r>
        <w:rPr>
          <w:color w:val="000000" w:themeColor="text1"/>
          <w:highlight w:val="none"/>
        </w:rPr>
      </w:r>
      <w:bookmarkEnd w:id="110"/>
      <w:r>
        <w:rPr>
          <w:color w:val="000000" w:themeColor="text1"/>
          <w:highlight w:val="none"/>
        </w:rPr>
      </w:r>
      <w:bookmarkStart w:id="111" w:name="_Hlt26670403"/>
      <w:r>
        <w:rPr>
          <w:color w:val="000000" w:themeColor="text1"/>
          <w:highlight w:val="none"/>
        </w:rPr>
      </w:r>
      <w:bookmarkEnd w:id="111"/>
      <w:r>
        <w:rPr>
          <w:color w:val="000000" w:themeColor="text1"/>
          <w:highlight w:val="none"/>
        </w:rPr>
      </w:r>
      <w:bookmarkStart w:id="112" w:name="_Hlt26954842"/>
      <w:r>
        <w:rPr>
          <w:color w:val="000000" w:themeColor="text1"/>
          <w:highlight w:val="none"/>
        </w:rPr>
      </w:r>
      <w:bookmarkEnd w:id="112"/>
      <w:r>
        <w:rPr>
          <w:color w:val="000000" w:themeColor="text1"/>
          <w:highlight w:val="none"/>
        </w:rPr>
      </w:r>
      <w:bookmarkStart w:id="113" w:name="_Hlt26954731"/>
      <w:r>
        <w:rPr>
          <w:color w:val="000000" w:themeColor="text1"/>
          <w:highlight w:val="none"/>
        </w:rPr>
      </w:r>
      <w:bookmarkEnd w:id="113"/>
      <w:r>
        <w:rPr>
          <w:color w:val="000000" w:themeColor="text1"/>
          <w:highlight w:val="none"/>
        </w:rPr>
      </w:r>
      <w:bookmarkStart w:id="114" w:name="_Hlt26954844"/>
      <w:r>
        <w:rPr>
          <w:color w:val="000000" w:themeColor="text1"/>
          <w:highlight w:val="none"/>
        </w:rPr>
      </w:r>
      <w:bookmarkEnd w:id="114"/>
      <w:r>
        <w:rPr>
          <w:color w:val="000000" w:themeColor="text1"/>
          <w:highlight w:val="none"/>
        </w:rPr>
      </w:r>
      <w:bookmarkStart w:id="115" w:name="_Hlt26668983"/>
      <w:r>
        <w:rPr>
          <w:color w:val="000000" w:themeColor="text1"/>
          <w:highlight w:val="none"/>
        </w:rPr>
      </w:r>
      <w:bookmarkEnd w:id="115"/>
      <w:r>
        <w:rPr>
          <w:color w:val="000000" w:themeColor="text1"/>
          <w:highlight w:val="none"/>
        </w:rPr>
      </w:r>
      <w:bookmarkStart w:id="116" w:name="_Hlt26670482"/>
      <w:r>
        <w:rPr>
          <w:color w:val="000000" w:themeColor="text1"/>
          <w:highlight w:val="none"/>
        </w:rPr>
      </w:r>
      <w:bookmarkEnd w:id="116"/>
      <w:r>
        <w:rPr>
          <w:color w:val="000000" w:themeColor="text1"/>
          <w:highlight w:val="none"/>
        </w:rPr>
      </w:r>
      <w:bookmarkStart w:id="117" w:name="_Hlt26954846"/>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color w:val="000000" w:themeColor="text1"/>
          <w:highlight w:val="none"/>
        </w:rPr>
      </w:r>
      <w:r/>
    </w:p>
    <w:p>
      <w:pPr>
        <w:pStyle w:val="885"/>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954850"/>
      <w:r>
        <w:rPr>
          <w:color w:val="000000" w:themeColor="text1"/>
          <w:highlight w:val="none"/>
        </w:rPr>
      </w:r>
      <w:bookmarkEnd w:id="118"/>
      <w:r>
        <w:rPr>
          <w:color w:val="000000" w:themeColor="text1"/>
          <w:highlight w:val="none"/>
        </w:rPr>
      </w:r>
      <w:bookmarkStart w:id="119" w:name="_Hlt26670489"/>
      <w:r>
        <w:rPr>
          <w:color w:val="000000" w:themeColor="text1"/>
          <w:highlight w:val="none"/>
        </w:rPr>
      </w:r>
      <w:bookmarkEnd w:id="119"/>
      <w:r>
        <w:rPr>
          <w:color w:val="000000" w:themeColor="text1"/>
          <w:highlight w:val="none"/>
        </w:rPr>
      </w:r>
      <w:bookmarkStart w:id="120" w:name="_Hlt26954734"/>
      <w:r>
        <w:rPr>
          <w:color w:val="000000" w:themeColor="text1"/>
          <w:highlight w:val="none"/>
        </w:rPr>
      </w:r>
      <w:bookmarkEnd w:id="120"/>
      <w:r>
        <w:rPr>
          <w:color w:val="000000" w:themeColor="text1"/>
          <w:highlight w:val="none"/>
        </w:rPr>
      </w:r>
      <w:bookmarkStart w:id="121" w:name="_Toc14577360"/>
      <w:r>
        <w:rPr>
          <w:color w:val="000000" w:themeColor="text1"/>
          <w:highlight w:val="none"/>
        </w:rPr>
      </w:r>
      <w:bookmarkStart w:id="122" w:name="_Toc49090511"/>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852"/>
      <w:r>
        <w:rPr>
          <w:color w:val="000000" w:themeColor="text1"/>
          <w:highlight w:val="none"/>
        </w:rPr>
      </w:r>
      <w:bookmarkEnd w:id="123"/>
      <w:r>
        <w:rPr>
          <w:color w:val="000000" w:themeColor="text1"/>
          <w:highlight w:val="none"/>
        </w:rPr>
      </w:r>
      <w:bookmarkStart w:id="124" w:name="_Hlt26954739"/>
      <w:r>
        <w:rPr>
          <w:color w:val="000000" w:themeColor="text1"/>
          <w:highlight w:val="none"/>
        </w:rPr>
      </w:r>
      <w:bookmarkEnd w:id="124"/>
      <w:r>
        <w:rPr>
          <w:color w:val="000000" w:themeColor="text1"/>
          <w:highlight w:val="none"/>
        </w:rPr>
      </w:r>
      <w:bookmarkStart w:id="125" w:name="_Toc16938540"/>
      <w:r>
        <w:rPr>
          <w:color w:val="000000" w:themeColor="text1"/>
          <w:highlight w:val="none"/>
        </w:rPr>
      </w:r>
      <w:bookmarkStart w:id="126" w:name="_Toc120614217"/>
      <w:r>
        <w:rPr>
          <w:color w:val="000000" w:themeColor="text1"/>
          <w:highlight w:val="none"/>
        </w:rPr>
      </w:r>
      <w:bookmarkStart w:id="127" w:name="_Toc513029224"/>
      <w:r>
        <w:rPr>
          <w:color w:val="000000" w:themeColor="text1"/>
          <w:highlight w:val="none"/>
        </w:rPr>
      </w:r>
      <w:bookmarkStart w:id="128" w:name="_Toc20823296"/>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20823297"/>
      <w:r>
        <w:rPr>
          <w:color w:val="000000" w:themeColor="text1"/>
          <w:highlight w:val="none"/>
        </w:rPr>
      </w:r>
      <w:bookmarkStart w:id="130" w:name="_Toc16938541"/>
      <w:r>
        <w:rPr>
          <w:color w:val="000000" w:themeColor="text1"/>
          <w:highlight w:val="none"/>
        </w:rPr>
      </w:r>
      <w:bookmarkStart w:id="131" w:name="_Toc462564084"/>
      <w:r>
        <w:rPr>
          <w:color w:val="000000" w:themeColor="text1"/>
          <w:highlight w:val="none"/>
        </w:rPr>
      </w:r>
      <w:bookmarkStart w:id="132" w:name="_Toc513029225"/>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color w:val="000000" w:themeColor="text1"/>
          <w:highlight w:val="none"/>
        </w:rPr>
      </w:r>
      <w:r/>
    </w:p>
    <w:p>
      <w:pPr>
        <w:pStyle w:val="1000"/>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16938542"/>
      <w:r>
        <w:rPr>
          <w:color w:val="000000" w:themeColor="text1"/>
          <w:highlight w:val="none"/>
        </w:rPr>
      </w:r>
      <w:bookmarkStart w:id="134" w:name="_Toc513029226"/>
      <w:r>
        <w:rPr>
          <w:color w:val="000000" w:themeColor="text1"/>
          <w:highlight w:val="none"/>
        </w:rPr>
      </w:r>
      <w:bookmarkStart w:id="135" w:name="_Toc20823298"/>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513029227"/>
      <w:r>
        <w:rPr>
          <w:color w:val="000000" w:themeColor="text1"/>
          <w:highlight w:val="none"/>
        </w:rPr>
      </w:r>
      <w:bookmarkStart w:id="137" w:name="_Toc16938543"/>
      <w:r>
        <w:rPr>
          <w:color w:val="000000" w:themeColor="text1"/>
          <w:highlight w:val="none"/>
        </w:rPr>
      </w:r>
      <w:bookmarkStart w:id="138" w:name="_Toc20823299"/>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513029228"/>
      <w:r>
        <w:rPr>
          <w:color w:val="000000" w:themeColor="text1"/>
          <w:highlight w:val="none"/>
        </w:rPr>
      </w:r>
      <w:bookmarkStart w:id="140" w:name="_Toc16938544"/>
      <w:r>
        <w:rPr>
          <w:color w:val="000000" w:themeColor="text1"/>
          <w:highlight w:val="none"/>
        </w:rPr>
      </w:r>
      <w:bookmarkStart w:id="141" w:name="_Toc20823300"/>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16938545"/>
      <w:r>
        <w:rPr>
          <w:color w:val="000000" w:themeColor="text1"/>
          <w:highlight w:val="none"/>
        </w:rPr>
      </w:r>
      <w:bookmarkStart w:id="143" w:name="_Toc120614218"/>
      <w:r>
        <w:rPr>
          <w:color w:val="000000" w:themeColor="text1"/>
          <w:highlight w:val="none"/>
        </w:rPr>
      </w:r>
      <w:bookmarkStart w:id="144" w:name="_Toc513029229"/>
      <w:r>
        <w:rPr>
          <w:color w:val="000000" w:themeColor="text1"/>
          <w:highlight w:val="none"/>
        </w:rPr>
      </w:r>
      <w:bookmarkStart w:id="145" w:name="_Toc20823301"/>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20823302"/>
      <w:r>
        <w:rPr>
          <w:color w:val="000000" w:themeColor="text1"/>
          <w:highlight w:val="none"/>
        </w:rPr>
      </w:r>
      <w:bookmarkStart w:id="147" w:name="_Toc16938546"/>
      <w:r>
        <w:rPr>
          <w:color w:val="000000" w:themeColor="text1"/>
          <w:highlight w:val="none"/>
        </w:rPr>
      </w:r>
      <w:bookmarkStart w:id="148" w:name="_Toc513029230"/>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color w:val="000000" w:themeColor="text1"/>
          <w:highlight w:val="none"/>
        </w:rPr>
      </w:r>
      <w:r/>
    </w:p>
    <w:p>
      <w:pPr>
        <w:pStyle w:val="885"/>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color w:val="000000" w:themeColor="text1"/>
          <w:highlight w:val="none"/>
        </w:rPr>
      </w:r>
      <w:r/>
    </w:p>
    <w:p>
      <w:pPr>
        <w:pStyle w:val="885"/>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513029231"/>
      <w:r>
        <w:rPr>
          <w:color w:val="000000" w:themeColor="text1"/>
          <w:highlight w:val="none"/>
        </w:rPr>
      </w:r>
      <w:bookmarkStart w:id="150" w:name="_Toc20823303"/>
      <w:r>
        <w:rPr>
          <w:color w:val="000000" w:themeColor="text1"/>
          <w:highlight w:val="none"/>
        </w:rPr>
      </w:r>
      <w:bookmarkStart w:id="151" w:name="_Toc16938547"/>
      <w:r>
        <w:rPr>
          <w:rFonts w:hint="eastAsia" w:ascii="宋体" w:hAnsi="宋体" w:eastAsia="宋体"/>
          <w:bCs w:val="0"/>
          <w:color w:val="000000" w:themeColor="text1"/>
          <w:highlight w:val="none"/>
        </w:rPr>
        <w:t xml:space="preserve">22.评标委员会</w:t>
      </w:r>
      <w:r>
        <w:rPr>
          <w:color w:val="000000" w:themeColor="text1"/>
          <w:highlight w:val="none"/>
        </w:rPr>
      </w:r>
      <w:r/>
    </w:p>
    <w:p>
      <w:pPr>
        <w:pStyle w:val="885"/>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513029232"/>
      <w:r>
        <w:rPr>
          <w:color w:val="000000" w:themeColor="text1"/>
          <w:highlight w:val="none"/>
        </w:rPr>
      </w:r>
      <w:bookmarkStart w:id="153" w:name="_Toc20823304"/>
      <w:r>
        <w:rPr>
          <w:color w:val="000000" w:themeColor="text1"/>
          <w:highlight w:val="none"/>
        </w:rPr>
      </w:r>
      <w:bookmarkStart w:id="154" w:name="_Toc16938548"/>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513029233"/>
      <w:r>
        <w:rPr>
          <w:color w:val="000000" w:themeColor="text1"/>
          <w:highlight w:val="none"/>
        </w:rPr>
      </w:r>
      <w:bookmarkStart w:id="156" w:name="_Toc20823305"/>
      <w:r>
        <w:rPr>
          <w:color w:val="000000" w:themeColor="text1"/>
          <w:highlight w:val="none"/>
        </w:rPr>
      </w:r>
      <w:bookmarkStart w:id="157" w:name="_Toc16938549"/>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color w:val="000000" w:themeColor="text1"/>
          <w:highlight w:val="none"/>
        </w:rPr>
      </w:r>
      <w:r/>
    </w:p>
    <w:p>
      <w:pPr>
        <w:pStyle w:val="885"/>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r/>
    </w:p>
    <w:p>
      <w:pPr>
        <w:pStyle w:val="885"/>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color w:val="000000" w:themeColor="text1"/>
          <w:highlight w:val="none"/>
        </w:rPr>
      </w:r>
      <w:r/>
    </w:p>
    <w:p>
      <w:pPr>
        <w:pStyle w:val="885"/>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color w:val="000000" w:themeColor="text1"/>
          <w:highlight w:val="none"/>
        </w:rPr>
      </w:r>
      <w:r/>
    </w:p>
    <w:p>
      <w:pPr>
        <w:pStyle w:val="885"/>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color w:val="000000" w:themeColor="text1"/>
          <w:highlight w:val="none"/>
        </w:rPr>
      </w:r>
      <w:r/>
    </w:p>
    <w:p>
      <w:pPr>
        <w:pStyle w:val="885"/>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color w:val="000000" w:themeColor="text1"/>
          <w:highlight w:val="none"/>
        </w:rPr>
      </w:r>
      <w:r/>
    </w:p>
    <w:p>
      <w:pPr>
        <w:pStyle w:val="885"/>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16938550"/>
      <w:r>
        <w:rPr>
          <w:color w:val="000000" w:themeColor="text1"/>
          <w:highlight w:val="none"/>
        </w:rPr>
      </w:r>
      <w:bookmarkStart w:id="159" w:name="_Toc20823306"/>
      <w:r>
        <w:rPr>
          <w:color w:val="000000" w:themeColor="text1"/>
          <w:highlight w:val="none"/>
        </w:rPr>
      </w:r>
      <w:bookmarkStart w:id="160" w:name="_Toc513029234"/>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513029235"/>
      <w:r>
        <w:rPr>
          <w:color w:val="000000" w:themeColor="text1"/>
          <w:highlight w:val="none"/>
        </w:rPr>
      </w:r>
      <w:bookmarkStart w:id="162" w:name="_Toc20823307"/>
      <w:r>
        <w:rPr>
          <w:color w:val="000000" w:themeColor="text1"/>
          <w:highlight w:val="none"/>
        </w:rPr>
      </w:r>
      <w:bookmarkStart w:id="163" w:name="_Toc16938551"/>
      <w:r>
        <w:rPr>
          <w:rFonts w:hint="eastAsia" w:ascii="宋体" w:hAnsi="宋体"/>
          <w:bCs/>
          <w:color w:val="000000" w:themeColor="text1"/>
          <w:sz w:val="24"/>
          <w:highlight w:val="none"/>
        </w:rPr>
        <w:t xml:space="preserve">26.1无效投标条款</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color w:val="000000" w:themeColor="text1"/>
          <w:highlight w:val="none"/>
        </w:rPr>
      </w:r>
      <w:r/>
    </w:p>
    <w:p>
      <w:pPr>
        <w:pStyle w:val="885"/>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16938554"/>
      <w:r>
        <w:rPr>
          <w:color w:val="000000" w:themeColor="text1"/>
          <w:highlight w:val="none"/>
        </w:rPr>
      </w:r>
      <w:bookmarkStart w:id="167" w:name="_Toc20823310"/>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color w:val="000000" w:themeColor="text1"/>
          <w:highlight w:val="none"/>
        </w:rPr>
      </w:r>
      <w:r/>
    </w:p>
    <w:p>
      <w:pPr>
        <w:pStyle w:val="885"/>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513029236"/>
      <w:r>
        <w:rPr>
          <w:color w:val="000000" w:themeColor="text1"/>
          <w:highlight w:val="none"/>
        </w:rPr>
      </w:r>
      <w:bookmarkStart w:id="171" w:name="_Toc16938552"/>
      <w:r>
        <w:rPr>
          <w:color w:val="000000" w:themeColor="text1"/>
          <w:highlight w:val="none"/>
        </w:rPr>
      </w:r>
      <w:bookmarkStart w:id="172" w:name="_Toc20823308"/>
      <w:r>
        <w:rPr>
          <w:rFonts w:hint="eastAsia"/>
          <w:color w:val="000000" w:themeColor="text1"/>
          <w:sz w:val="30"/>
          <w:szCs w:val="30"/>
          <w:highlight w:val="none"/>
        </w:rPr>
        <w:t xml:space="preserve">七、授予合同</w:t>
      </w:r>
      <w:bookmarkEnd w:id="169"/>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20823309"/>
      <w:r>
        <w:rPr>
          <w:color w:val="000000" w:themeColor="text1"/>
          <w:highlight w:val="none"/>
        </w:rPr>
      </w:r>
      <w:bookmarkStart w:id="174" w:name="_Toc513029237"/>
      <w:r>
        <w:rPr>
          <w:color w:val="000000" w:themeColor="text1"/>
          <w:highlight w:val="none"/>
        </w:rPr>
      </w:r>
      <w:bookmarkStart w:id="175" w:name="_Toc16938553"/>
      <w:r>
        <w:rPr>
          <w:rFonts w:hint="eastAsia" w:ascii="宋体" w:hAnsi="宋体" w:eastAsia="宋体"/>
          <w:bCs w:val="0"/>
          <w:color w:val="000000" w:themeColor="text1"/>
          <w:highlight w:val="none"/>
        </w:rPr>
        <w:t xml:space="preserve">30.签订合同</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000000" w:themeColor="text1"/>
          <w:highlight w:val="none"/>
        </w:rPr>
      </w:r>
      <w:r/>
    </w:p>
    <w:p>
      <w:pPr>
        <w:pStyle w:val="885"/>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120614221"/>
      <w:r>
        <w:rPr>
          <w:color w:val="000000" w:themeColor="text1"/>
          <w:highlight w:val="none"/>
        </w:rPr>
      </w:r>
      <w:bookmarkStart w:id="177" w:name="_Toc20823314"/>
      <w:r>
        <w:rPr>
          <w:color w:val="000000" w:themeColor="text1"/>
          <w:highlight w:val="none"/>
        </w:rPr>
      </w:r>
      <w:bookmarkStart w:id="178" w:name="_Toc479757207"/>
      <w:r>
        <w:rPr>
          <w:color w:val="000000" w:themeColor="text1"/>
          <w:highlight w:val="none"/>
        </w:rPr>
      </w:r>
      <w:bookmarkStart w:id="179" w:name="_Toc16938558"/>
      <w:r>
        <w:rPr>
          <w:color w:val="000000" w:themeColor="text1"/>
          <w:highlight w:val="none"/>
        </w:rPr>
      </w:r>
      <w:bookmarkStart w:id="180" w:name="_Toc513029242"/>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color w:val="000000" w:themeColor="text1"/>
          <w:highlight w:val="none"/>
        </w:rPr>
      </w:r>
      <w:r/>
    </w:p>
    <w:p>
      <w:pPr>
        <w:pStyle w:val="885"/>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513029243"/>
      <w:r>
        <w:rPr>
          <w:color w:val="000000" w:themeColor="text1"/>
          <w:highlight w:val="none"/>
        </w:rPr>
      </w:r>
      <w:bookmarkStart w:id="182" w:name="_Toc16938559"/>
      <w:r>
        <w:rPr>
          <w:color w:val="000000" w:themeColor="text1"/>
          <w:highlight w:val="none"/>
        </w:rPr>
      </w:r>
      <w:bookmarkStart w:id="183" w:name="_Toc20823315"/>
      <w:r>
        <w:rPr>
          <w:rFonts w:hint="eastAsia" w:ascii="宋体" w:hAnsi="宋体"/>
          <w:bCs/>
          <w:color w:val="000000" w:themeColor="text1"/>
          <w:sz w:val="24"/>
          <w:highlight w:val="none"/>
        </w:rPr>
        <w:t xml:space="preserve">以下为中标后签订本项目合同的通用条款，中标人不得提出实质性的修改。</w:t>
      </w:r>
      <w:r>
        <w:rPr>
          <w:color w:val="000000" w:themeColor="text1"/>
          <w:highlight w:val="none"/>
        </w:rPr>
      </w:r>
      <w:r/>
    </w:p>
    <w:p>
      <w:pPr>
        <w:pStyle w:val="885"/>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rPr>
          <w:color w:val="000000" w:themeColor="text1"/>
          <w:highlight w:val="none"/>
        </w:rPr>
      </w:r>
      <w:r/>
    </w:p>
    <w:p>
      <w:pPr>
        <w:pStyle w:val="923"/>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rPr>
          <w:color w:val="000000" w:themeColor="text1"/>
          <w:highlight w:val="none"/>
        </w:rPr>
      </w:r>
      <w:r/>
    </w:p>
    <w:p>
      <w:pPr>
        <w:pStyle w:val="923"/>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rPr>
          <w:color w:val="000000" w:themeColor="text1"/>
          <w:highlight w:val="none"/>
        </w:rPr>
      </w:r>
      <w:r/>
    </w:p>
    <w:p>
      <w:pPr>
        <w:pStyle w:val="923"/>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rPr>
          <w:color w:val="000000" w:themeColor="text1"/>
          <w:highlight w:val="none"/>
        </w:rPr>
      </w:r>
      <w:r/>
    </w:p>
    <w:p>
      <w:pPr>
        <w:pStyle w:val="923"/>
        <w:ind w:firstLine="480"/>
        <w:spacing w:line="400" w:lineRule="exact"/>
        <w:rPr>
          <w:rFonts w:hAnsi="宋体"/>
          <w:b/>
          <w:color w:val="000000" w:themeColor="text1"/>
          <w:sz w:val="24"/>
          <w:szCs w:val="24"/>
          <w:highlight w:val="none"/>
        </w:rPr>
      </w:pP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无锡市公共资源交易中心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color w:val="000000" w:themeColor="text1"/>
          <w:highlight w:val="none"/>
        </w:rPr>
      </w:r>
      <w:r/>
    </w:p>
    <w:p>
      <w:pPr>
        <w:pStyle w:val="923"/>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一、</w:t>
      </w:r>
      <w:r>
        <w:rPr>
          <w:rFonts w:hint="eastAsia" w:hAnsi="宋体"/>
          <w:b/>
          <w:color w:val="000000" w:themeColor="text1"/>
          <w:sz w:val="24"/>
          <w:szCs w:val="24"/>
          <w:highlight w:val="none"/>
        </w:rPr>
        <w:t xml:space="preserve">合同</w:t>
      </w:r>
      <w:r>
        <w:rPr>
          <w:rFonts w:hAnsi="宋体"/>
          <w:b/>
          <w:color w:val="000000" w:themeColor="text1"/>
          <w:sz w:val="24"/>
          <w:szCs w:val="24"/>
          <w:highlight w:val="none"/>
        </w:rPr>
        <w:t xml:space="preserve">内容</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1.1 </w:t>
      </w:r>
      <w:r>
        <w:rPr>
          <w:rFonts w:hint="eastAsia" w:hAnsi="宋体"/>
          <w:color w:val="000000" w:themeColor="text1"/>
          <w:sz w:val="24"/>
          <w:szCs w:val="24"/>
          <w:highlight w:val="none"/>
        </w:rPr>
        <w:t xml:space="preserve">标的</w:t>
      </w:r>
      <w:r>
        <w:rPr>
          <w:rFonts w:hAnsi="宋体"/>
          <w:color w:val="000000" w:themeColor="text1"/>
          <w:sz w:val="24"/>
          <w:szCs w:val="24"/>
          <w:highlight w:val="none"/>
        </w:rPr>
        <w:t xml:space="preserve">名称：</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1.2</w:t>
      </w:r>
      <w:r>
        <w:rPr>
          <w:rFonts w:hint="eastAsia" w:hAnsi="宋体"/>
          <w:color w:val="000000" w:themeColor="text1"/>
          <w:sz w:val="24"/>
          <w:szCs w:val="24"/>
          <w:highlight w:val="none"/>
        </w:rPr>
        <w:t xml:space="preserve">标的质量：</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 标的数量（规模）：</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1.4 履行时间（期限）：</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1.5 履行地点：</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6履行方式：</w:t>
      </w:r>
      <w:r>
        <w:rPr>
          <w:color w:val="000000" w:themeColor="text1"/>
          <w:highlight w:val="none"/>
        </w:rPr>
      </w:r>
      <w:r/>
    </w:p>
    <w:p>
      <w:pPr>
        <w:pStyle w:val="923"/>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二、合同金额</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2.1 本合同金额为（大写）： 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color w:val="000000" w:themeColor="text1"/>
          <w:highlight w:val="none"/>
        </w:rPr>
      </w:r>
      <w:r/>
    </w:p>
    <w:p>
      <w:pPr>
        <w:pStyle w:val="923"/>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三、技术资料</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3.1乙方应按招标文件规定的时间向甲方提供服务</w:t>
      </w:r>
      <w:r>
        <w:rPr>
          <w:rFonts w:hint="eastAsia" w:hAnsi="宋体"/>
          <w:color w:val="000000" w:themeColor="text1"/>
          <w:sz w:val="24"/>
          <w:szCs w:val="24"/>
          <w:highlight w:val="none"/>
        </w:rPr>
        <w:t xml:space="preserve">（包含与服务相关的货物）</w:t>
      </w:r>
      <w:r>
        <w:rPr>
          <w:rFonts w:hAnsi="宋体"/>
          <w:color w:val="000000" w:themeColor="text1"/>
          <w:sz w:val="24"/>
          <w:szCs w:val="24"/>
          <w:highlight w:val="none"/>
        </w:rPr>
        <w:t xml:space="preserve">的有关技术资料。</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r/>
    </w:p>
    <w:p>
      <w:pPr>
        <w:pStyle w:val="923"/>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四、知识产权</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4.1乙</w:t>
      </w:r>
      <w:r>
        <w:rPr>
          <w:rFonts w:hint="eastAsia" w:hAnsi="宋体"/>
          <w:color w:val="000000" w:themeColor="text1"/>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highlight w:val="none"/>
        </w:rPr>
      </w:r>
      <w:r/>
    </w:p>
    <w:p>
      <w:pPr>
        <w:pStyle w:val="923"/>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rPr>
          <w:color w:val="000000" w:themeColor="text1"/>
          <w:highlight w:val="none"/>
        </w:rPr>
      </w:r>
      <w:r/>
    </w:p>
    <w:p>
      <w:pPr>
        <w:pStyle w:val="923"/>
        <w:ind w:firstLine="482"/>
        <w:spacing w:line="400" w:lineRule="exact"/>
        <w:rPr>
          <w:rFonts w:hAnsi="宋体"/>
          <w:color w:val="000000" w:themeColor="text1"/>
          <w:sz w:val="24"/>
          <w:szCs w:val="24"/>
          <w:highlight w:val="none"/>
          <w:u w:val="single"/>
        </w:rPr>
      </w:pPr>
      <w:r>
        <w:rPr>
          <w:rFonts w:hAnsi="宋体"/>
          <w:b/>
          <w:color w:val="000000" w:themeColor="text1"/>
          <w:sz w:val="24"/>
          <w:szCs w:val="24"/>
          <w:highlight w:val="none"/>
        </w:rPr>
        <w:t xml:space="preserve">五、产权担保</w:t>
      </w:r>
      <w:r>
        <w:rPr>
          <w:color w:val="000000" w:themeColor="text1"/>
          <w:highlight w:val="none"/>
        </w:rPr>
      </w:r>
      <w:r/>
    </w:p>
    <w:p>
      <w:pPr>
        <w:pStyle w:val="923"/>
        <w:ind w:firstLine="480"/>
        <w:spacing w:line="400" w:lineRule="exact"/>
        <w:rPr>
          <w:rFonts w:hAnsi="宋体"/>
          <w:color w:val="000000" w:themeColor="text1"/>
          <w:sz w:val="24"/>
          <w:szCs w:val="24"/>
          <w:highlight w:val="none"/>
          <w:u w:val="single"/>
        </w:rPr>
      </w:pPr>
      <w:r>
        <w:rPr>
          <w:rFonts w:hAnsi="宋体"/>
          <w:color w:val="000000" w:themeColor="text1"/>
          <w:sz w:val="24"/>
          <w:szCs w:val="24"/>
          <w:highlight w:val="none"/>
        </w:rPr>
        <w:t xml:space="preserve">5.1 乙方保证所交付的</w:t>
      </w:r>
      <w:r>
        <w:rPr>
          <w:rFonts w:hint="eastAsia" w:hAnsi="宋体"/>
          <w:color w:val="000000" w:themeColor="text1"/>
          <w:sz w:val="24"/>
          <w:szCs w:val="24"/>
          <w:highlight w:val="none"/>
        </w:rPr>
        <w:t xml:space="preserve">服务（包含与服务相关的货物）</w:t>
      </w:r>
      <w:r>
        <w:rPr>
          <w:rFonts w:hAnsi="宋体"/>
          <w:color w:val="000000" w:themeColor="text1"/>
          <w:sz w:val="24"/>
          <w:szCs w:val="24"/>
          <w:highlight w:val="none"/>
        </w:rPr>
        <w:t xml:space="preserve">的所有权完全属于乙方且无任何抵押、查封等产权瑕疵。</w:t>
      </w:r>
      <w:r>
        <w:rPr>
          <w:color w:val="000000" w:themeColor="text1"/>
          <w:highlight w:val="none"/>
        </w:rPr>
      </w:r>
      <w:r/>
    </w:p>
    <w:p>
      <w:pPr>
        <w:pStyle w:val="923"/>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六、履约保证金</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6.1 乙方交纳人民币__元作为本合同的履约保证金。</w:t>
      </w:r>
      <w:r>
        <w:rPr>
          <w:rFonts w:hint="eastAsia" w:hAnsi="宋体"/>
          <w:color w:val="000000" w:themeColor="text1"/>
          <w:sz w:val="24"/>
          <w:szCs w:val="24"/>
          <w:highlight w:val="none"/>
        </w:rPr>
        <w:t xml:space="preserve">（不得超过合同金额的10%）</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6.2合同履行结束后，甲方应及时退还交纳的履约保证金。</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6.2.1履约保证金退还方式：</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6.2.2履约保证金退还时间：</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6.2.3履约保证金退还条件：</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6.2.4履约保证金不予退还的情形：</w:t>
      </w:r>
      <w:r>
        <w:rPr>
          <w:color w:val="000000" w:themeColor="text1"/>
          <w:highlight w:val="none"/>
        </w:rPr>
      </w:r>
      <w:r/>
    </w:p>
    <w:p>
      <w:pPr>
        <w:pStyle w:val="885"/>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color w:val="000000" w:themeColor="text1"/>
          <w:highlight w:val="none"/>
        </w:rPr>
      </w:r>
      <w:r/>
    </w:p>
    <w:p>
      <w:pPr>
        <w:pStyle w:val="885"/>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color w:val="000000" w:themeColor="text1"/>
          <w:highlight w:val="none"/>
        </w:rPr>
      </w:r>
      <w:r/>
    </w:p>
    <w:p>
      <w:pPr>
        <w:pStyle w:val="885"/>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color w:val="000000" w:themeColor="text1"/>
          <w:highlight w:val="none"/>
        </w:rPr>
      </w:r>
      <w:r/>
    </w:p>
    <w:p>
      <w:pPr>
        <w:pStyle w:val="885"/>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乙方如有转包或未经甲方同意的分包行为，甲方有权解除合同。</w:t>
      </w:r>
      <w:r>
        <w:rPr>
          <w:color w:val="000000" w:themeColor="text1"/>
          <w:highlight w:val="none"/>
        </w:rPr>
      </w:r>
      <w:r/>
    </w:p>
    <w:p>
      <w:pPr>
        <w:pStyle w:val="923"/>
        <w:ind w:firstLine="482"/>
        <w:spacing w:line="400" w:lineRule="exact"/>
        <w:rPr>
          <w:rFonts w:hAnsi="宋体"/>
          <w:b/>
          <w:color w:val="000000" w:themeColor="text1"/>
          <w:sz w:val="24"/>
          <w:szCs w:val="24"/>
          <w:highlight w:val="none"/>
        </w:rPr>
      </w:pPr>
      <w:r>
        <w:rPr>
          <w:rFonts w:hint="eastAsia" w:hAnsi="宋体"/>
          <w:b/>
          <w:color w:val="000000" w:themeColor="text1"/>
          <w:sz w:val="24"/>
          <w:szCs w:val="24"/>
          <w:highlight w:val="none"/>
        </w:rPr>
        <w:t xml:space="preserve">八</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合同款项</w:t>
      </w:r>
      <w:r>
        <w:rPr>
          <w:rFonts w:hAnsi="宋体"/>
          <w:b/>
          <w:color w:val="000000" w:themeColor="text1"/>
          <w:sz w:val="24"/>
          <w:szCs w:val="24"/>
          <w:highlight w:val="none"/>
        </w:rPr>
        <w:t xml:space="preserve">支付</w:t>
      </w:r>
      <w:r>
        <w:rPr>
          <w:color w:val="000000" w:themeColor="text1"/>
          <w:highlight w:val="none"/>
        </w:rPr>
      </w:r>
      <w:r/>
    </w:p>
    <w:p>
      <w:pPr>
        <w:pStyle w:val="923"/>
        <w:ind w:firstLine="480"/>
        <w:spacing w:line="400" w:lineRule="exact"/>
        <w:rPr>
          <w:rFonts w:hint="eastAsia" w:hAnsi="宋体"/>
          <w:bCs/>
          <w:color w:val="000000" w:themeColor="text1"/>
          <w:sz w:val="24"/>
          <w:szCs w:val="24"/>
          <w:highlight w:val="none"/>
        </w:rPr>
      </w:pPr>
      <w:r>
        <w:rPr>
          <w:rFonts w:hint="eastAsia" w:hAnsi="宋体"/>
          <w:bCs/>
          <w:color w:val="000000" w:themeColor="text1"/>
          <w:sz w:val="24"/>
          <w:szCs w:val="24"/>
          <w:highlight w:val="none"/>
        </w:rPr>
        <w:t xml:space="preserve">8</w:t>
      </w:r>
      <w:r>
        <w:rPr>
          <w:rFonts w:hAnsi="宋体"/>
          <w:bCs/>
          <w:color w:val="000000" w:themeColor="text1"/>
          <w:sz w:val="24"/>
          <w:szCs w:val="24"/>
          <w:highlight w:val="none"/>
        </w:rPr>
        <w:t xml:space="preserve">.1</w:t>
      </w:r>
      <w:r>
        <w:rPr>
          <w:rFonts w:hint="eastAsia" w:hAnsi="宋体"/>
          <w:bCs/>
          <w:color w:val="000000" w:themeColor="text1"/>
          <w:sz w:val="24"/>
          <w:szCs w:val="24"/>
          <w:highlight w:val="none"/>
        </w:rPr>
        <w:t xml:space="preserve">合同款项的支付方式及进度安排</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8.1.1</w:t>
      </w:r>
      <w:r>
        <w:rPr>
          <w:rFonts w:hint="eastAsia" w:hAnsi="宋体" w:cs="Courier New"/>
          <w:bCs/>
          <w:color w:val="000000" w:themeColor="text1"/>
          <w:sz w:val="24"/>
          <w:szCs w:val="24"/>
          <w:highlight w:val="none"/>
        </w:rPr>
        <w:t xml:space="preserve">预付款支付时间：</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，预付款支付比例：</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8.1.2</w:t>
      </w:r>
      <w:r>
        <w:rPr>
          <w:rFonts w:hint="eastAsia" w:hAnsi="宋体" w:cs="Courier New"/>
          <w:bCs/>
          <w:color w:val="000000" w:themeColor="text1"/>
          <w:sz w:val="24"/>
          <w:szCs w:val="24"/>
          <w:highlight w:val="none"/>
        </w:rPr>
        <w:t xml:space="preserve">尾款支付时间：</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w:t>
      </w:r>
      <w:r>
        <w:rPr>
          <w:color w:val="000000" w:themeColor="text1"/>
          <w:highlight w:val="none"/>
        </w:rPr>
      </w:r>
      <w:r/>
    </w:p>
    <w:p>
      <w:pPr>
        <w:pStyle w:val="885"/>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color w:val="000000" w:themeColor="text1"/>
          <w:highlight w:val="none"/>
        </w:rPr>
      </w:r>
      <w:r/>
    </w:p>
    <w:p>
      <w:pPr>
        <w:pStyle w:val="885"/>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color w:val="000000" w:themeColor="text1"/>
          <w:highlight w:val="none"/>
        </w:rPr>
      </w:r>
      <w:r/>
    </w:p>
    <w:p>
      <w:pPr>
        <w:pStyle w:val="885"/>
        <w:spacing w:line="400" w:lineRule="exact"/>
        <w:rPr>
          <w:rFonts w:hint="eastAsia" w:hAnsi="宋体"/>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color w:val="000000" w:themeColor="text1"/>
          <w:highlight w:val="none"/>
        </w:rPr>
      </w:r>
      <w:r/>
    </w:p>
    <w:p>
      <w:pPr>
        <w:pStyle w:val="885"/>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color w:val="000000" w:themeColor="text1"/>
          <w:highlight w:val="none"/>
        </w:rPr>
      </w:r>
      <w:r/>
    </w:p>
    <w:p>
      <w:pPr>
        <w:pStyle w:val="885"/>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color w:val="000000" w:themeColor="text1"/>
          <w:highlight w:val="none"/>
        </w:rPr>
      </w:r>
      <w:r/>
    </w:p>
    <w:p>
      <w:pPr>
        <w:pStyle w:val="923"/>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项目</w:t>
      </w:r>
      <w:r>
        <w:rPr>
          <w:rFonts w:hAnsi="宋体"/>
          <w:b/>
          <w:color w:val="000000" w:themeColor="text1"/>
          <w:sz w:val="24"/>
          <w:szCs w:val="24"/>
          <w:highlight w:val="none"/>
        </w:rPr>
        <w:t xml:space="preserve">验收</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10.1 甲方依法组织履约验收工作。</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10.3 对于实际使用人和甲方分离的项目，甲方邀请实际使用人参与验收。</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10.4 如有必要，甲方邀请参加本项目的其他供应商或第三方专业机构及专家参与验收，相关意见将作为验收书的参考资料。</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10.5 甲方成立验收小组，按照采购合同的约定对乙方的履约情况进行验收。验收时</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甲方按照采购合同的约定对每一项技术、服务、安全标准的履约情况进行确认。验收结束后</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验收小组出具验收书</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列明各项标准的验收情况及项目总体评价</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由验收双方共同签署。验收结果与采购合同约定的资金支付及履约保证金返还条件挂钩。履约验收的各项资料存档备查。</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10.6 验收合格的项目</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甲方将及时报告本级财政部门。</w:t>
      </w:r>
      <w:r>
        <w:rPr>
          <w:color w:val="000000" w:themeColor="text1"/>
          <w:highlight w:val="none"/>
        </w:rPr>
      </w:r>
      <w:r/>
    </w:p>
    <w:p>
      <w:pPr>
        <w:pStyle w:val="923"/>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一</w:t>
      </w:r>
      <w:r>
        <w:rPr>
          <w:rFonts w:hAnsi="宋体"/>
          <w:b/>
          <w:color w:val="000000" w:themeColor="text1"/>
          <w:sz w:val="24"/>
          <w:szCs w:val="24"/>
          <w:highlight w:val="none"/>
        </w:rPr>
        <w:t xml:space="preserve">、违约责任</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.1 甲方无正当理由</w:t>
      </w:r>
      <w:r>
        <w:rPr>
          <w:rFonts w:hint="eastAsia" w:hAnsi="宋体"/>
          <w:color w:val="000000" w:themeColor="text1"/>
          <w:sz w:val="24"/>
          <w:szCs w:val="24"/>
          <w:highlight w:val="none"/>
        </w:rPr>
        <w:t xml:space="preserve">拒绝接受乙方提供服务</w:t>
      </w:r>
      <w:r>
        <w:rPr>
          <w:rFonts w:hAnsi="宋体"/>
          <w:color w:val="000000" w:themeColor="text1"/>
          <w:sz w:val="24"/>
          <w:szCs w:val="24"/>
          <w:highlight w:val="none"/>
        </w:rPr>
        <w:t xml:space="preserve">的，甲方向乙方偿付</w:t>
      </w:r>
      <w:r>
        <w:rPr>
          <w:rFonts w:hint="eastAsia" w:hAnsi="宋体"/>
          <w:color w:val="000000" w:themeColor="text1"/>
          <w:sz w:val="24"/>
          <w:szCs w:val="24"/>
          <w:highlight w:val="none"/>
        </w:rPr>
        <w:t xml:space="preserve">拒绝接受服务合同价款</w:t>
      </w:r>
      <w:r>
        <w:rPr>
          <w:rFonts w:hAnsi="宋体"/>
          <w:color w:val="000000" w:themeColor="text1"/>
          <w:sz w:val="24"/>
          <w:szCs w:val="24"/>
          <w:highlight w:val="none"/>
        </w:rPr>
        <w:t xml:space="preserve">总值</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.2 甲方无故逾期验收和办理</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支付手续的</w:t>
      </w:r>
      <w:r>
        <w:rPr>
          <w:rFonts w:hint="eastAsia" w:hAnsi="宋体"/>
          <w:color w:val="000000" w:themeColor="text1"/>
          <w:sz w:val="24"/>
          <w:szCs w:val="24"/>
          <w:highlight w:val="none"/>
          <w:lang w:eastAsia="zh-CN"/>
        </w:rPr>
        <w:t xml:space="preserve">，</w:t>
      </w:r>
      <w:r>
        <w:rPr>
          <w:rFonts w:hAnsi="宋体"/>
          <w:color w:val="000000" w:themeColor="text1"/>
          <w:sz w:val="24"/>
          <w:szCs w:val="24"/>
          <w:highlight w:val="none"/>
        </w:rPr>
        <w:t xml:space="preserve">甲方应按逾期付款总额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每日向乙方支付违约金。</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.3 乙方逾期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的，乙方应按逾期</w:t>
      </w:r>
      <w:r>
        <w:rPr>
          <w:rFonts w:hint="eastAsia" w:hAnsi="宋体"/>
          <w:color w:val="000000" w:themeColor="text1"/>
          <w:sz w:val="24"/>
          <w:szCs w:val="24"/>
          <w:highlight w:val="none"/>
        </w:rPr>
        <w:t xml:space="preserve">提供服务合同</w:t>
      </w:r>
      <w:r>
        <w:rPr>
          <w:rFonts w:hAnsi="宋体"/>
          <w:color w:val="000000" w:themeColor="text1"/>
          <w:sz w:val="24"/>
          <w:szCs w:val="24"/>
          <w:highlight w:val="none"/>
        </w:rPr>
        <w:t xml:space="preserve">总额每日千分之六向甲方支付违约金，由甲方从待付</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中扣除。逾期超过约定日期10个工作日不能</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的，甲方可解除本合同。乙方因逾期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或因其他违约行为导致甲方解除合同的，乙方应向甲方支付合同</w:t>
      </w:r>
      <w:r>
        <w:rPr>
          <w:rFonts w:hint="eastAsia" w:hAnsi="宋体"/>
          <w:color w:val="000000" w:themeColor="text1"/>
          <w:sz w:val="24"/>
          <w:szCs w:val="24"/>
          <w:highlight w:val="none"/>
        </w:rPr>
        <w:t xml:space="preserve">价款总额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的违约金，如造成甲方损失超过违约金的，超出部分由乙方继续承担赔偿责任。 </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.4 乙方</w:t>
      </w:r>
      <w:r>
        <w:rPr>
          <w:rFonts w:hint="eastAsia" w:hAnsi="宋体"/>
          <w:color w:val="000000" w:themeColor="text1"/>
          <w:sz w:val="24"/>
          <w:szCs w:val="24"/>
          <w:highlight w:val="none"/>
        </w:rPr>
        <w:t xml:space="preserve">所提供服务的标准</w:t>
      </w:r>
      <w:r>
        <w:rPr>
          <w:rFonts w:hAnsi="宋体"/>
          <w:color w:val="000000" w:themeColor="text1"/>
          <w:sz w:val="24"/>
          <w:szCs w:val="24"/>
          <w:highlight w:val="none"/>
        </w:rPr>
        <w:t xml:space="preserve">不符合合同规定及招标文件规定标准的，甲方有权</w:t>
      </w:r>
      <w:r>
        <w:rPr>
          <w:rFonts w:hint="eastAsia" w:hAnsi="宋体"/>
          <w:color w:val="000000" w:themeColor="text1"/>
          <w:sz w:val="24"/>
          <w:szCs w:val="24"/>
          <w:highlight w:val="none"/>
        </w:rPr>
        <w:t xml:space="preserve">拒绝接受服务</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并</w:t>
      </w:r>
      <w:r>
        <w:rPr>
          <w:rFonts w:hAnsi="宋体"/>
          <w:color w:val="000000" w:themeColor="text1"/>
          <w:sz w:val="24"/>
          <w:szCs w:val="24"/>
          <w:highlight w:val="none"/>
        </w:rPr>
        <w:t xml:space="preserve">可单方面解除合同。</w:t>
      </w:r>
      <w:r>
        <w:rPr>
          <w:color w:val="000000" w:themeColor="text1"/>
          <w:highlight w:val="none"/>
        </w:rPr>
      </w:r>
      <w:r/>
    </w:p>
    <w:p>
      <w:pPr>
        <w:pStyle w:val="923"/>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二</w:t>
      </w:r>
      <w:r>
        <w:rPr>
          <w:rFonts w:hAnsi="宋体"/>
          <w:b/>
          <w:color w:val="000000" w:themeColor="text1"/>
          <w:sz w:val="24"/>
          <w:szCs w:val="24"/>
          <w:highlight w:val="none"/>
        </w:rPr>
        <w:t xml:space="preserve">、不可抗力事件处理</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期相同。</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.2 不可抗力事件发生后，应立即通知对方，并寄送有关权威机构出具的证明。</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.3 不可抗力事件延续120天以上，双方应通过友好协商，确定是否继续履行合同。</w:t>
      </w:r>
      <w:r>
        <w:rPr>
          <w:color w:val="000000" w:themeColor="text1"/>
          <w:highlight w:val="none"/>
        </w:rPr>
      </w:r>
      <w:r/>
    </w:p>
    <w:p>
      <w:pPr>
        <w:pStyle w:val="923"/>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三</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解决争议的方法</w:t>
      </w:r>
      <w:r>
        <w:rPr>
          <w:color w:val="000000" w:themeColor="text1"/>
          <w:highlight w:val="none"/>
        </w:rPr>
      </w:r>
      <w:r/>
    </w:p>
    <w:p>
      <w:pPr>
        <w:pStyle w:val="923"/>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13.1双方在签订、履行合同中所发生的一切争议，应通过友好协商解决。如协商不成，由甲方住所地人民法院管辖。</w:t>
      </w:r>
      <w:r>
        <w:rPr>
          <w:color w:val="000000" w:themeColor="text1"/>
          <w:highlight w:val="none"/>
        </w:rPr>
      </w:r>
      <w:r/>
    </w:p>
    <w:p>
      <w:pPr>
        <w:pStyle w:val="923"/>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四</w:t>
      </w:r>
      <w:r>
        <w:rPr>
          <w:rFonts w:hAnsi="宋体"/>
          <w:b/>
          <w:color w:val="000000" w:themeColor="text1"/>
          <w:sz w:val="24"/>
          <w:szCs w:val="24"/>
          <w:highlight w:val="none"/>
        </w:rPr>
        <w:t xml:space="preserve">、合同生效及其他</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.1 合同经双方法定代表人或授权委托代</w:t>
      </w:r>
      <w:r>
        <w:rPr>
          <w:rFonts w:hint="eastAsia" w:hAnsi="宋体"/>
          <w:color w:val="000000" w:themeColor="text1"/>
          <w:sz w:val="24"/>
          <w:szCs w:val="24"/>
          <w:highlight w:val="none"/>
        </w:rPr>
        <w:t xml:space="preserve">表</w:t>
      </w:r>
      <w:r>
        <w:rPr>
          <w:rFonts w:hAnsi="宋体"/>
          <w:color w:val="000000" w:themeColor="text1"/>
          <w:sz w:val="24"/>
          <w:szCs w:val="24"/>
          <w:highlight w:val="none"/>
        </w:rPr>
        <w:t xml:space="preserve">人签字并加盖单位公章后生效。</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.2本合同未尽事宜，遵照</w:t>
      </w:r>
      <w:r>
        <w:rPr>
          <w:rFonts w:hint="eastAsia" w:hAnsi="宋体"/>
          <w:color w:val="000000" w:themeColor="text1"/>
          <w:sz w:val="24"/>
          <w:szCs w:val="24"/>
          <w:highlight w:val="none"/>
        </w:rPr>
        <w:t xml:space="preserve">《中华人民共和国民法典》《中华人民共和国政府采购法》等</w:t>
      </w:r>
      <w:r>
        <w:rPr>
          <w:rFonts w:hAnsi="宋体"/>
          <w:color w:val="000000" w:themeColor="text1"/>
          <w:sz w:val="24"/>
          <w:szCs w:val="24"/>
          <w:highlight w:val="none"/>
        </w:rPr>
        <w:t xml:space="preserve">有关条文执行。</w:t>
      </w:r>
      <w:r>
        <w:rPr>
          <w:color w:val="000000" w:themeColor="text1"/>
          <w:highlight w:val="none"/>
        </w:rPr>
      </w:r>
      <w:r/>
    </w:p>
    <w:p>
      <w:pPr>
        <w:pStyle w:val="923"/>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3</w:t>
      </w:r>
      <w:r>
        <w:rPr>
          <w:rFonts w:hAnsi="宋体"/>
          <w:color w:val="000000" w:themeColor="text1"/>
          <w:sz w:val="24"/>
          <w:szCs w:val="24"/>
          <w:highlight w:val="none"/>
        </w:rPr>
        <w:t xml:space="preserve"> 本合同正本一式</w:t>
      </w:r>
      <w:r>
        <w:rPr>
          <w:rFonts w:hint="eastAsia" w:hAnsi="宋体"/>
          <w:color w:val="000000" w:themeColor="text1"/>
          <w:sz w:val="24"/>
          <w:szCs w:val="24"/>
          <w:highlight w:val="none"/>
        </w:rPr>
        <w:t xml:space="preserve">两</w:t>
      </w:r>
      <w:r>
        <w:rPr>
          <w:rFonts w:hAnsi="宋体"/>
          <w:color w:val="000000" w:themeColor="text1"/>
          <w:sz w:val="24"/>
          <w:szCs w:val="24"/>
          <w:highlight w:val="none"/>
        </w:rPr>
        <w:t xml:space="preserve">份，具有同等法律效力，甲</w:t>
      </w:r>
      <w:r>
        <w:rPr>
          <w:rFonts w:hint="eastAsia" w:hAnsi="宋体"/>
          <w:color w:val="000000" w:themeColor="text1"/>
          <w:sz w:val="24"/>
          <w:szCs w:val="24"/>
          <w:highlight w:val="none"/>
        </w:rPr>
        <w:t xml:space="preserve">方、</w:t>
      </w:r>
      <w:r>
        <w:rPr>
          <w:rFonts w:hAnsi="宋体"/>
          <w:color w:val="000000" w:themeColor="text1"/>
          <w:sz w:val="24"/>
          <w:szCs w:val="24"/>
          <w:highlight w:val="none"/>
        </w:rPr>
        <w:t xml:space="preserve">乙方各执一份。</w:t>
      </w:r>
      <w:r>
        <w:rPr>
          <w:color w:val="000000" w:themeColor="text1"/>
          <w:highlight w:val="none"/>
        </w:rPr>
      </w:r>
      <w:r/>
    </w:p>
    <w:p>
      <w:pPr>
        <w:pStyle w:val="923"/>
        <w:ind w:left="480" w:hanging="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甲方：                        乙方： </w:t>
      </w:r>
      <w:r>
        <w:rPr>
          <w:color w:val="000000" w:themeColor="text1"/>
          <w:highlight w:val="none"/>
        </w:rPr>
      </w:r>
      <w:r/>
    </w:p>
    <w:p>
      <w:pPr>
        <w:pStyle w:val="923"/>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地址：                       </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地址： </w:t>
      </w:r>
      <w:r>
        <w:rPr>
          <w:color w:val="000000" w:themeColor="text1"/>
          <w:highlight w:val="none"/>
        </w:rPr>
      </w:r>
      <w:r/>
    </w:p>
    <w:p>
      <w:pPr>
        <w:pStyle w:val="923"/>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w:t>
      </w:r>
      <w:r>
        <w:rPr>
          <w:color w:val="000000" w:themeColor="text1"/>
          <w:highlight w:val="none"/>
        </w:rPr>
      </w:r>
      <w:r/>
    </w:p>
    <w:p>
      <w:pPr>
        <w:pStyle w:val="923"/>
        <w:ind w:firstLine="240"/>
        <w:spacing w:line="400" w:lineRule="exact"/>
        <w:rPr>
          <w:rFonts w:hint="eastAsia"/>
          <w:color w:val="000000" w:themeColor="text1"/>
          <w:highlight w:val="none"/>
        </w:rPr>
      </w:pPr>
      <w:r>
        <w:rPr>
          <w:rFonts w:hint="eastAsia" w:hAnsi="宋体"/>
          <w:color w:val="000000" w:themeColor="text1"/>
          <w:sz w:val="24"/>
          <w:szCs w:val="24"/>
          <w:highlight w:val="none"/>
        </w:rPr>
        <w:t xml:space="preserve">联系电话：                    联系电话：          </w:t>
      </w:r>
      <w:r>
        <w:rPr>
          <w:color w:val="000000" w:themeColor="text1"/>
          <w:highlight w:val="none"/>
        </w:rPr>
      </w:r>
      <w:r/>
    </w:p>
    <w:p>
      <w:pPr>
        <w:pStyle w:val="885"/>
        <w:ind w:firstLine="480"/>
        <w:spacing w:line="400" w:lineRule="exact"/>
        <w:rPr>
          <w:color w:val="000000" w:themeColor="text1"/>
          <w:sz w:val="24"/>
          <w:szCs w:val="24"/>
          <w:highlight w:val="none"/>
        </w:rPr>
      </w:pPr>
      <w:r>
        <w:rPr>
          <w:rFonts w:hint="eastAsia"/>
          <w:color w:val="000000" w:themeColor="text1"/>
          <w:sz w:val="24"/>
          <w:szCs w:val="24"/>
          <w:highlight w:val="none"/>
        </w:rPr>
        <w:t xml:space="preserve">                                </w:t>
      </w:r>
      <w:r>
        <w:rPr>
          <w:color w:val="000000" w:themeColor="text1"/>
          <w:sz w:val="24"/>
          <w:szCs w:val="24"/>
          <w:highlight w:val="none"/>
        </w:rPr>
        <w:t xml:space="preserve">签订日期：      年  </w:t>
      </w:r>
      <w:r>
        <w:rPr>
          <w:rFonts w:hint="eastAsia"/>
          <w:color w:val="000000" w:themeColor="text1"/>
          <w:sz w:val="24"/>
          <w:szCs w:val="24"/>
          <w:highlight w:val="none"/>
        </w:rPr>
        <w:t xml:space="preserve">  </w:t>
      </w:r>
      <w:r>
        <w:rPr>
          <w:color w:val="000000" w:themeColor="text1"/>
          <w:sz w:val="24"/>
          <w:szCs w:val="24"/>
          <w:highlight w:val="none"/>
        </w:rPr>
        <w:t xml:space="preserve">月  </w:t>
      </w:r>
      <w:r>
        <w:rPr>
          <w:rFonts w:hint="eastAsia"/>
          <w:color w:val="000000" w:themeColor="text1"/>
          <w:sz w:val="24"/>
          <w:szCs w:val="24"/>
          <w:highlight w:val="none"/>
        </w:rPr>
        <w:t xml:space="preserve"> </w:t>
      </w:r>
      <w:r>
        <w:rPr>
          <w:color w:val="000000" w:themeColor="text1"/>
          <w:sz w:val="24"/>
          <w:szCs w:val="24"/>
          <w:highlight w:val="none"/>
        </w:rPr>
        <w:t xml:space="preserve">日</w:t>
      </w:r>
      <w:r>
        <w:rPr>
          <w:color w:val="000000" w:themeColor="text1"/>
          <w:highlight w:val="none"/>
        </w:rPr>
      </w:r>
      <w:r/>
    </w:p>
    <w:p>
      <w:pPr>
        <w:pStyle w:val="885"/>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16938590"/>
      <w:r>
        <w:rPr>
          <w:color w:val="000000" w:themeColor="text1"/>
          <w:highlight w:val="none"/>
        </w:rPr>
      </w:r>
      <w:bookmarkStart w:id="187" w:name="_Toc120614244"/>
      <w:r>
        <w:rPr>
          <w:color w:val="000000" w:themeColor="text1"/>
          <w:highlight w:val="none"/>
        </w:rPr>
      </w:r>
      <w:bookmarkStart w:id="188" w:name="_Toc20823346"/>
      <w:r>
        <w:rPr>
          <w:color w:val="000000" w:themeColor="text1"/>
          <w:highlight w:val="none"/>
        </w:rPr>
      </w:r>
      <w:bookmarkStart w:id="189" w:name="_Toc479757211"/>
      <w:r>
        <w:rPr>
          <w:color w:val="000000" w:themeColor="text1"/>
          <w:highlight w:val="none"/>
        </w:rPr>
      </w:r>
      <w:bookmarkStart w:id="190" w:name="_Toc462564139"/>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color w:val="000000" w:themeColor="text1"/>
          <w:highlight w:val="none"/>
        </w:rPr>
      </w:r>
      <w:r/>
    </w:p>
    <w:p>
      <w:pPr>
        <w:pStyle w:val="885"/>
        <w:ind w:firstLine="48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26554093"/>
      <w:r>
        <w:rPr>
          <w:color w:val="000000" w:themeColor="text1"/>
          <w:highlight w:val="none"/>
        </w:rPr>
      </w:r>
      <w:bookmarkStart w:id="192" w:name="_Toc49090575"/>
      <w:r>
        <w:rPr>
          <w:rFonts w:hint="eastAsia" w:ascii="宋体" w:hAnsi="宋体"/>
          <w:color w:val="000000" w:themeColor="text1"/>
          <w:sz w:val="24"/>
          <w:szCs w:val="24"/>
          <w:highlight w:val="none"/>
        </w:rPr>
        <w:t xml:space="preserve">投标人所投内容必须满足以下要求，不得有负偏离。</w:t>
      </w:r>
      <w:r>
        <w:rPr>
          <w:color w:val="000000" w:themeColor="text1"/>
          <w:highlight w:val="none"/>
        </w:rPr>
      </w:r>
      <w:r/>
    </w:p>
    <w:p>
      <w:pPr>
        <w:pStyle w:val="885"/>
        <w:ind w:firstLine="482"/>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本项目属性：</w:t>
      </w:r>
      <w:r>
        <w:rPr>
          <w:rFonts w:hint="eastAsia" w:ascii="宋体" w:hAnsi="宋体"/>
          <w:b/>
          <w:color w:val="000000" w:themeColor="text1"/>
          <w:sz w:val="24"/>
          <w:szCs w:val="24"/>
          <w:highlight w:val="none"/>
        </w:rPr>
        <w:t xml:space="preserve">服务类项目</w:t>
      </w:r>
      <w:r>
        <w:rPr>
          <w:color w:val="000000" w:themeColor="text1"/>
          <w:highlight w:val="none"/>
        </w:rPr>
      </w:r>
      <w:r/>
    </w:p>
    <w:p>
      <w:pPr>
        <w:pStyle w:val="885"/>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w:t>
      </w:r>
      <w:r>
        <w:rPr>
          <w:rFonts w:hint="eastAsia" w:ascii="宋体" w:hAnsi="宋体"/>
          <w:bCs/>
          <w:color w:val="000000" w:themeColor="text1"/>
          <w:sz w:val="24"/>
          <w:szCs w:val="24"/>
          <w:highlight w:val="none"/>
        </w:rPr>
        <w:t xml:space="preserve">软件和信息技术服务业</w:t>
      </w:r>
      <w:r>
        <w:rPr>
          <w:color w:val="000000" w:themeColor="text1"/>
          <w:highlight w:val="none"/>
        </w:rPr>
      </w:r>
      <w:r/>
    </w:p>
    <w:p>
      <w:pPr>
        <w:pStyle w:val="885"/>
        <w:ind w:firstLine="480"/>
        <w:spacing w:line="36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本项目不接受进口产品参与投标。</w:t>
      </w:r>
      <w:r>
        <w:rPr>
          <w:color w:val="000000" w:themeColor="text1"/>
          <w:highlight w:val="none"/>
        </w:rPr>
      </w:r>
      <w:r/>
    </w:p>
    <w:p>
      <w:pPr>
        <w:pStyle w:val="885"/>
        <w:ind w:firstLine="602"/>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第一部分  项目技术要求</w:t>
      </w:r>
      <w:r>
        <w:rPr>
          <w:color w:val="000000" w:themeColor="text1"/>
          <w:highlight w:val="none"/>
        </w:rPr>
      </w:r>
      <w:r/>
    </w:p>
    <w:p>
      <w:pPr>
        <w:pStyle w:val="885"/>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w:t>
      </w:r>
      <w:r>
        <w:rPr>
          <w:rFonts w:hint="eastAsia" w:ascii="宋体" w:hAnsi="宋体" w:eastAsia="宋体" w:cs="宋体"/>
          <w:b/>
          <w:bCs/>
          <w:color w:val="000000" w:themeColor="text1"/>
          <w:sz w:val="24"/>
          <w:szCs w:val="24"/>
          <w:highlight w:val="none"/>
          <w:lang w:val="en-US" w:eastAsia="zh-CN"/>
        </w:rPr>
        <w:t xml:space="preserve">服务平台</w:t>
      </w:r>
      <w:r>
        <w:rPr>
          <w:rFonts w:hint="eastAsia" w:ascii="宋体" w:hAnsi="宋体" w:cs="宋体"/>
          <w:b/>
          <w:bCs/>
          <w:color w:val="000000" w:themeColor="text1"/>
          <w:sz w:val="24"/>
          <w:szCs w:val="24"/>
          <w:highlight w:val="none"/>
        </w:rPr>
        <w:t xml:space="preserve">清单</w:t>
      </w:r>
      <w:r>
        <w:rPr>
          <w:color w:val="000000" w:themeColor="text1"/>
          <w:highlight w:val="none"/>
        </w:rPr>
      </w:r>
      <w:r/>
    </w:p>
    <w:tbl>
      <w:tblPr>
        <w:tblW w:w="852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1"/>
        <w:gridCol w:w="1598"/>
        <w:gridCol w:w="2977"/>
        <w:gridCol w:w="709"/>
        <w:gridCol w:w="709"/>
        <w:gridCol w:w="1754"/>
      </w:tblGrid>
      <w:tr>
        <w:trPr>
          <w:trHeight w:val="235"/>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pStyle w:val="885"/>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pStyle w:val="885"/>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分项名称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pStyle w:val="885"/>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招标参数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5"/>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tcPr>
          <w:p>
            <w:pPr>
              <w:pStyle w:val="885"/>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标的所属行业</w:t>
            </w:r>
            <w:r>
              <w:rPr>
                <w:color w:val="000000" w:themeColor="text1"/>
                <w:highlight w:val="none"/>
              </w:rPr>
            </w:r>
            <w:r/>
          </w:p>
        </w:tc>
      </w:tr>
      <w:tr>
        <w:trPr>
          <w:trHeight w:val="1028"/>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lang w:eastAsia="zh-CN"/>
              </w:rPr>
              <w:t xml:space="preserve">智慧国资监管服务</w:t>
            </w:r>
            <w:r>
              <w:rPr>
                <w:rFonts w:hint="eastAsia" w:ascii="宋体" w:hAnsi="宋体" w:cs="宋体"/>
                <w:color w:val="000000" w:themeColor="text1"/>
                <w:highlight w:val="none"/>
              </w:rPr>
              <w:t xml:space="preserve">平台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详见第二章节建设内容及要求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软件和信息技术服务业</w:t>
            </w:r>
            <w:r>
              <w:rPr>
                <w:color w:val="000000" w:themeColor="text1"/>
                <w:highlight w:val="none"/>
              </w:rPr>
            </w:r>
            <w:r/>
          </w:p>
        </w:tc>
      </w:tr>
      <w:tr>
        <w:trPr>
          <w:trHeight w:val="187"/>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区块链系统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详见第二章节建设内容及要求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软件和信息技术服务业</w:t>
            </w:r>
            <w:r>
              <w:rPr>
                <w:color w:val="000000" w:themeColor="text1"/>
                <w:highlight w:val="none"/>
              </w:rPr>
            </w:r>
            <w:r/>
          </w:p>
        </w:tc>
      </w:tr>
      <w:tr>
        <w:trPr>
          <w:trHeight w:val="587"/>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数据对接服务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详见第二章节建设内容及要求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软件和信息技术服务业</w:t>
            </w:r>
            <w:r>
              <w:rPr>
                <w:color w:val="000000" w:themeColor="text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资产清查与数据处理服务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详见第二章节建设内容及要求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软件和信息技术服务业</w:t>
            </w:r>
            <w:r>
              <w:rPr>
                <w:color w:val="000000" w:themeColor="text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网络安全服务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详见第二章节建设内容及要求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5"/>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软件和信息技术服务业</w:t>
            </w:r>
            <w:r>
              <w:rPr>
                <w:color w:val="000000" w:themeColor="text1"/>
                <w:highlight w:val="none"/>
              </w:rPr>
            </w:r>
            <w:r/>
          </w:p>
        </w:tc>
      </w:tr>
    </w:tbl>
    <w:p>
      <w:pPr>
        <w:pStyle w:val="885"/>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w:t>
      </w:r>
      <w:r>
        <w:rPr>
          <w:rFonts w:hint="eastAsia" w:ascii="宋体" w:hAnsi="宋体" w:eastAsia="宋体" w:cs="宋体"/>
          <w:b/>
          <w:bCs/>
          <w:color w:val="000000" w:themeColor="text1"/>
          <w:sz w:val="24"/>
          <w:szCs w:val="24"/>
          <w:highlight w:val="none"/>
          <w:lang w:val="en-US" w:eastAsia="zh-CN"/>
        </w:rPr>
        <w:t xml:space="preserve">购买服务</w:t>
      </w:r>
      <w:r>
        <w:rPr>
          <w:rFonts w:hint="eastAsia" w:ascii="宋体" w:hAnsi="宋体" w:cs="宋体"/>
          <w:b/>
          <w:bCs/>
          <w:color w:val="000000" w:themeColor="text1"/>
          <w:sz w:val="24"/>
          <w:szCs w:val="24"/>
          <w:highlight w:val="none"/>
        </w:rPr>
        <w:t xml:space="preserve">内容及要求</w:t>
      </w:r>
      <w:r>
        <w:rPr>
          <w:color w:val="000000" w:themeColor="text1"/>
          <w:highlight w:val="none"/>
        </w:rPr>
      </w:r>
      <w:r/>
    </w:p>
    <w:p>
      <w:pPr>
        <w:pStyle w:val="885"/>
        <w:ind w:firstLine="48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w:t>
      </w:r>
      <w:r>
        <w:rPr>
          <w:rFonts w:hint="eastAsia" w:ascii="宋体" w:hAnsi="宋体" w:cs="宋体"/>
          <w:b/>
          <w:bCs/>
          <w:color w:val="000000" w:themeColor="text1"/>
          <w:sz w:val="24"/>
          <w:szCs w:val="24"/>
          <w:highlight w:val="none"/>
          <w:lang w:eastAsia="zh-CN"/>
        </w:rPr>
        <w:t xml:space="preserve">智慧国资监管服务</w:t>
      </w:r>
      <w:r>
        <w:rPr>
          <w:rFonts w:hint="eastAsia" w:ascii="宋体" w:hAnsi="宋体" w:cs="宋体"/>
          <w:b/>
          <w:bCs/>
          <w:color w:val="000000" w:themeColor="text1"/>
          <w:sz w:val="24"/>
          <w:szCs w:val="24"/>
          <w:highlight w:val="none"/>
        </w:rPr>
        <w:t xml:space="preserve">平台</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1、用户登录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支持手机号、验证码</w:t>
      </w:r>
      <w:r>
        <w:rPr>
          <w:rFonts w:hint="eastAsia" w:ascii="宋体" w:hAnsi="宋体" w:eastAsia="宋体" w:cs="宋体"/>
          <w:color w:val="000000" w:themeColor="text1"/>
          <w:sz w:val="24"/>
          <w:szCs w:val="24"/>
          <w:highlight w:val="none"/>
          <w:lang w:eastAsia="zh-CN"/>
        </w:rPr>
        <w:t xml:space="preserve">登录</w:t>
      </w:r>
      <w:r>
        <w:rPr>
          <w:rFonts w:hint="eastAsia" w:ascii="宋体" w:hAnsi="宋体" w:cs="宋体"/>
          <w:color w:val="000000" w:themeColor="text1"/>
          <w:sz w:val="24"/>
          <w:szCs w:val="24"/>
          <w:highlight w:val="none"/>
        </w:rPr>
        <w:t xml:space="preserve">。个人中心展示用户基础信息，支持编辑；支持重置登录密码、退出登录。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2、资产清查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（1）（对应）一问一答</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系统提供“一问一答”入口，支持常见问题答疑。</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（2）清查进度上报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支持清查进度上报，用户</w:t>
      </w:r>
      <w:r>
        <w:rPr>
          <w:rFonts w:hint="eastAsia" w:ascii="宋体" w:hAnsi="宋体" w:eastAsia="宋体" w:cs="宋体"/>
          <w:color w:val="000000" w:themeColor="text1"/>
          <w:sz w:val="24"/>
          <w:szCs w:val="24"/>
          <w:highlight w:val="none"/>
          <w:lang w:eastAsia="zh-CN"/>
        </w:rPr>
        <w:t xml:space="preserve">可</w:t>
      </w:r>
      <w:r>
        <w:rPr>
          <w:rFonts w:hint="eastAsia" w:ascii="宋体" w:hAnsi="宋体" w:cs="宋体"/>
          <w:color w:val="000000" w:themeColor="text1"/>
          <w:sz w:val="24"/>
          <w:szCs w:val="24"/>
          <w:highlight w:val="none"/>
        </w:rPr>
        <w:t xml:space="preserve">按资产类型查看填报进度；上级部门可查看下级所有单位的进度数据。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（3）导入检查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支持Excel格式模板上传导入检查。系统自动进行格式校验和数据校验，校验完成后，系统展示校验结果；若存在错误，生成错误报告；用户修正错误后重新上传，直至校验通过率100%，方可进入数据导入环节。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（4）(对应45张卡片清查）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45张卡片：</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土地使用权资产卡片模板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房屋资产卡片模板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保障性住房资产卡片模板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设备及家具资产卡片模板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车辆资产卡片模板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在建工程资产卡片模板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无形资产资产卡片模板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特许经营权资产卡片模板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交通公共基础设施资产卡片模板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水利公共基础设施资产卡片模板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市政公共基础设施资产卡片模板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其他公共基础设施资产卡片模板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对外投资资产卡片模板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政府储备物资资产卡片模板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文物文化资产卡片模板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PPP项目资产卡片模板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其他固定资产卡片模板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货币资金资产卡片模板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应收账款资产卡片模板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预付账款资产卡片模板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其他应收款资产卡片模板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借入款项资产卡片模板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应付账款资产卡片模板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预收账款资产卡片模板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其他应付账款资产卡片模板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其他负债资产卡片模板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资产负债表</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金融资产 (资管产品) 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金融资产 (私募基金) 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国有自然资源资产清查实物量汇总资产卡片模板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储备土地资产卡片模板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承担公共服务功能的未确定使用权人国有建设用地资产卡片模板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国有农用地 (不含林草湿) 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国有未利用地资产卡片模板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国有矿产资源资产卡片模板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国有森林资源资产卡片模板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国有草地资源资产卡片模板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国有湿地资源资产卡片模板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国有水资源资产卡片模板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数据资源资产卡片模板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行政事业单位数据资产信息卡</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资产担保卡片模板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资产抵押卡片模板</w:t>
      </w:r>
      <w:r>
        <w:rPr>
          <w:color w:val="000000" w:themeColor="text1"/>
          <w:highlight w:val="none"/>
        </w:rPr>
      </w:r>
      <w:r/>
    </w:p>
    <w:p>
      <w:pPr>
        <w:pStyle w:val="980"/>
        <w:numPr>
          <w:ilvl w:val="0"/>
          <w:numId w:val="5"/>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其他或有事项卡片模板</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（5）卡片编辑权限配置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支持指定末端单位配置编辑权限。</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仅系统管理员可进行卡片编辑权限配置，页面左侧展示末端单位列表，右侧为权限配置项。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管理员可批量配置权限，系统实时更新权限，末端单位根据自身的权限展示功能按钮；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管理员</w:t>
      </w:r>
      <w:r>
        <w:rPr>
          <w:rFonts w:hint="eastAsia" w:ascii="宋体" w:hAnsi="宋体" w:eastAsia="宋体" w:cs="宋体"/>
          <w:color w:val="000000" w:themeColor="text1"/>
          <w:sz w:val="24"/>
          <w:szCs w:val="24"/>
          <w:highlight w:val="none"/>
          <w:lang w:eastAsia="zh-CN"/>
        </w:rPr>
        <w:t xml:space="preserve">可</w:t>
      </w:r>
      <w:r>
        <w:rPr>
          <w:rFonts w:hint="eastAsia" w:ascii="宋体" w:hAnsi="宋体" w:cs="宋体"/>
          <w:color w:val="000000" w:themeColor="text1"/>
          <w:sz w:val="24"/>
          <w:szCs w:val="24"/>
          <w:highlight w:val="none"/>
        </w:rPr>
        <w:t xml:space="preserve">查看权限配置记录（含配置人、配置时间、单位名称、权限类型），支持按时间筛选。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3、资产清单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（1）“三张清单”生成、汇总</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1）资产底数清单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系统自动关联45张资产卡片数据到资产负债表对应科目。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按行政级次、资产类别、使用状态三个维度自动汇总数据；计算核心指标（各类资产数量、总价值、占比）。</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清单页面支持多维度筛选；支持下钻查询；支持占比统计。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2）问题资产清单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系统自动识别资产卡片、资产负债表中的异常数据标记为“问题资产”。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新增负债统计、净资产统计两列字段：①负债统计：关联22-26号负债类卡片数据，统计对应问题资产关联的负债金额；②净资产统计：按“资产价值</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负债金额”计算；</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同一单位、同一类别的重复问题可手动合并，合并后保留核心问题描述，系统自动更新汇总表与明细表；支持按问题类型、问题严重程度筛选。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3）资产可盘活利用清单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系统自动筛选符合可盘活条件的资产，展示资产名称、资产类别、所在单位、当前状态、可盘活方式、预估盘活收益；支持手动补充盘活计划；支持按可盘活方式、行政级次筛选，可查看对应资产卡片详情。</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（2）“三张清单”封面及内容导出</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封面导出：系统自动生成封面模板，包含必填字段，用户补充填写后，支持导出PDF/Word格式。</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清单内容导出：</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资产底数清单：上级部门可导出下级部门的底数清单（Excel 格式，含明细数据）；也可导出本级及所有下级单位的汇总数据（含各单位占比）；</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问题资产清单：上级部门可导出下级单位的问题汇总数据、问题明细清单；本级汇总导出时，包含所有下级单位的问题合并数据；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资产可盘活利用清单：导出逻辑同底数清单，支持导出盘活明细；所有导出文件均标注导出时间、导出人，支持批量导出。</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（3）“三张清单”上报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上报规则：按末级单位→主管部门→市级部门逐级汇总上报。上级部门可审核通过或退回修改，若未审核，末级单位可撤回上报。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状态区分与记录：清单页面按已上报、未上报、汇总数据三色区分；系统自动记录操作日志，日志不可删除，支持按时间、操作类型查询。</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（4）数据校验</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针对单位填报的所有资产卡片（1-45号）、资产负债表（28号），校验卡片数据与负债表科目匹配性、卡片字段完整性、数据格式正确性。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校验完成后，系统弹出校验结果提示：无问题提示“数据校验通过，可正常提交”；有问题按问题类型分类展示；支持查看详情，高亮标注错误字段，用户修正后可重新发起校验。</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4、资产清单（省级）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“三张清单”生成、汇总（省级）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（1）资产底数清单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关联单位补充填报的省市转换36张资产卡片数据到省级资产负债表对应科目。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按省级行政级次、省级资产类别汇总；核心指标新增省级统筹资产占比；支持与市级底数清单数据对比展示省市数据差异。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（2）问题资产清单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针对36张省市转换卡片，识别省级专属问题，结合原有问题资产数据，生成省级问题清单。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除原有字段外，新增省市协同处理字段，标记需省市联合解决、省级单独解决的问题；支持按处理责任主体筛选，点击问题可查看省市数据对比详情。</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（3）资产可盘活利用清单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筛选省级统筹的可盘活资产，结合市级上报的可盘活清单，汇总生成省级清单。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新增省级统筹盘活标记，此类资产由省级统一规划盘活方式；展示市级盘活建议，支持省级用户批注省级意见，导出时包含省市两级意见。</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5、单表合计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末端单位资产负债表单户表合计功能</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自动合计计算：支持末端单位录入资产负债表各科目数据后，系统自动完成单户表内合计计算。涵盖资产类科目、负债类科目、净资产类科目合计。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数据校验与异常提示：在合计计算过程中，同步对单户表数据进行双重校验。校验科目间逻辑关系和数据格式规范性，异常数据标红显示。</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合计明细追溯：支持末端单位查看单户表合计数据的明细构成，可展开查看资产总计、负债总计等合计项对应包含的所有明细科目数据及录入记录。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支持按填报单位筛选，汇总结果支持导出Excel，标注合计行。</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6、负债表合计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多单位数据自动合并：支持上级单位选择下属末端单位范围，按科目维度完成所选单位的单户资产负债表数据合并合计计算。合并范围既支持全量下属单位合并，也支持按行政区域、单位类型筛选部分单位合并，生成上级单位层面的合并资产负债表，包含合并资产总计、合并负债总计、合并净资产总计等核心合计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内部交易抵消调整：针对下属单位间存在的内部交易，系统提供手动或自动抵消调整功能。</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分级汇总与权限控制：支持按行政层级逐级完成合并报表合计。同时，按上级单位角色设置合并权限，仅授权的管理员可发起合并操作、查看全量合并数据，普通操作员仅能查看合并结果，无法修改抵消调整数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合并报表导出：上级单位完成合并报表合计后，可导出带合计数据的合并资产负债表（支持 Excel、PDF格式）。导出的合并报表还可关联查看下属各单位的单户表数据。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7、状态表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（1）9张资产状态表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1）账外资产清查明细表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单位手动填报账外资产信息，系统根据填报数据生成明细表。支持按形成原因、发现时间筛选，可补充填写具体方案，支持导出Excel/PDF。</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2）资产出租出借情况表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关联“运行监管</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出租管理”模块的合同数据，提取出租出借资产信息。支持按合同状态、出租/出借类型筛选，可查看对应合同详情，支持导出明细表。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3）租入、借入资产情况表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单位手动填报租入、借入的外部资产信息。支持按用途筛选，未备案的资产标注“需备案”。</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4）无偿占用资产清查明细表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识别未签订合同、无偿使用其他单位的资产，或其他单位无偿使用本单位的资产。支持按占用方向筛选，未约定归还时间的资产标注需明确归还时间。</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5）权属不清资产情况表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提取资产卡片中权属证明缺失、权属存在争议的资产数据。支持按权属问题类型筛选，可补充更新进展。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6）低效闲置大型仪器设备、房屋、土地及构筑物情况表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筛选大型仪器设备、房屋、土地及构筑物中符合低效/闲置条件的资产。支持按资产类别、低效/闲置原因筛选，展示利用率趋势图。</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7）对外担保表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关联资产卡片-43号资产担保卡片数据，提取对外担保信息。支持按担保状态、担保金额范围筛选，可查看对应资产卡片。</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8）抵押质押等资产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关联资产卡片-44号资产抵押卡片数据，提取抵押、质押资产信息。支持按类型、状态筛选，未到期的资产标注“剩余期限××天”。</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9）罚没和涉案资产情况表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单位手动填报罚没资产、涉案资产信息。支持按来源、当前状态筛选，涉案资产需填写“案件进展”，支持上传案件相关文书（PDF格式）。</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（2）三张清单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1）底数清单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自动读取9张状态表中的资产基础数据，按照资产类别、行政层级、使用单位性质等多维度进行分类汇总。</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2）行政事业性国有资产清查核实问题资产清单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结合资产清查核实标准，预设资产清查核实规则库，自动比对9张状态表中的数据，结合实地清查反馈信息，筛查出符合问题特征的资产，生成初步问题资产名录。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3）行政事业性国有资产清查核实盘活利用清单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自动从9张状态表和问题资产清单中，结合资产原值、净值等数据，生成标准化的盘活利用清单。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8、资产卡片</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（1）45类资产卡片登记</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支持卡片新增、查看、修改、删除，卡片导入、导出、卡片入库。</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（2）卡片库</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1）卡片查询、删除、导出</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卡片库为“已入库”卡片的集中管理页，支持多条件组合查询；支持高级查询；查询结果分页展示，支持按入库时间、资产价值排序。</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卡片删除需先出库再删除，删除后从卡片库移除，保留删除日志。</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支持批量导出卡片库中的已入库卡片，导出格式含Excel/PDF，支持字段自定义。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2）固定资产添加处置单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支持按模板进行处置单新增，填写处置信息，上传处置依据。处置单提交审核通过后与原卡片关联；</w:t>
      </w:r>
      <w:r>
        <w:rPr>
          <w:rFonts w:hint="eastAsia" w:ascii="宋体" w:hAnsi="宋体" w:eastAsia="宋体" w:cs="宋体"/>
          <w:color w:val="000000" w:themeColor="text1"/>
          <w:sz w:val="24"/>
          <w:szCs w:val="24"/>
          <w:highlight w:val="none"/>
          <w:lang w:eastAsia="zh-CN"/>
        </w:rPr>
        <w:t xml:space="preserve">支持</w:t>
      </w:r>
      <w:r>
        <w:rPr>
          <w:rFonts w:hint="eastAsia" w:ascii="宋体" w:hAnsi="宋体" w:cs="宋体"/>
          <w:color w:val="000000" w:themeColor="text1"/>
          <w:sz w:val="24"/>
          <w:szCs w:val="24"/>
          <w:highlight w:val="none"/>
        </w:rPr>
        <w:t xml:space="preserve">查询、修改、导出处置单，按处置状态、处置方式筛选。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3）不动产拆分、合并</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针对房屋、土地等不动产卡片，可按面积/功能分区拆分。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针对同一单位、同一位置的多个不动产子卡片可合并为母卡片信息，入库后关联子卡片记录。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4）房屋受托管理(受托方填报)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受托方用户可新增受托卡片，填写委托方信息、房屋信息、受托信息；上传委托管理合同（PDF格式）。</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折旧</w:t>
      </w:r>
      <w:r>
        <w:rPr>
          <w:rFonts w:hint="eastAsia" w:ascii="宋体" w:hAnsi="宋体" w:cs="宋体"/>
          <w:color w:val="000000" w:themeColor="text1"/>
          <w:sz w:val="24"/>
          <w:szCs w:val="24"/>
          <w:highlight w:val="none"/>
        </w:rPr>
        <w:t xml:space="preserve">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根据委托方要求，协助填报人完成资产折旧和账册月结功能</w:t>
      </w:r>
      <w:r>
        <w:rPr>
          <w:rFonts w:hint="eastAsia" w:ascii="宋体" w:hAnsi="宋体" w:cs="宋体"/>
          <w:color w:val="000000" w:themeColor="text1"/>
          <w:sz w:val="24"/>
          <w:szCs w:val="24"/>
          <w:highlight w:val="none"/>
        </w:rPr>
        <w:t xml:space="preserve">。</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受托卡片状态分为待委托方确认、已确认、已到期；委托方用户可查看、确认受托卡片；受托方可修改受托费用、维护记录等字段，不可修改委托方、房屋基础信息；受托期限到期前触发系统提醒；支持导出受托卡片汇总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9、运行监管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（1）出租管理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1）招租管理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支持用户新增招租申请，选择需招租的资产、填写招租信息、招租底价、招租期限、招租要求，上传招租方案、评估报告。</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租申请提交后，状态变为待招租审核，审核通过后：①公开招标：系统生成招租公告，支持导出公告（PDF）并上传至指定平台；②竞争性谈判：系统记录谈判对象信息、谈判结果；招租完成后，生成招租结果通知书，关联后续合同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2）合同管理 (进行中合同、已完成合同、特殊合同、退租合同)</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合同分类管理：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展示进行中合同；支持查看合同详情，可设置到期前10天短信提醒承租方缴费；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展示已完成合同；支持按终止日期筛选，导出已完成合同汇总表；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针对非标准条款的合同，单独分类管理；需额外填写特殊条款说明，上传特殊审批文件；</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记录提前退租/到期退租的合同；支持上传退租交接单，关联资产卡片。</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3）租金收入</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缴费管理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系统根据进行中合同自动生成月度/季度/年度缴费计划，支持手动调整缴费计划。</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承租方缴费后，用户（资产所属单位）录入缴费记录，系统自动更新缴费状态，支持发送催缴通知。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4）租金收入-非税缴费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支持用户发起非税缴费，生成非税缴费通知单；支持导出通知单（PDF），发送给承租方。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承租方通过非税系统完成缴费后，系统实时同步缴费状态，自动记录非税缴费流水号、到账时间；支持查询非税缴费历史记录，导出非税缴费汇总表。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5）租金收入</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银行缴费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展示资产所属单位的银行账户信息，支持复制账号、下载账户信息（PDF）。</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承租方转账后，用户需确认缴费，上传银行回单；系统校验通过后状态变为已缴，记录银行缴费信息；支持查询银行缴费记录，按流水号、到账日期筛选。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6）租金收入-承兑缴款</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支持承兑信息录入，上传承兑汇票扫描件（PDF/JPG）。系统记录承兑状态；支持查询承兑缴款记录，按汇票编号、状态筛选。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（2）国企投资</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1）年度投资计划</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支持用户计划填报。计划提交后，上级国企/国资部门审核；支持计划修改；上级部门可查看下级国企的年度投资计划，支持汇总导出。</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2）投资事前管理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国企用户针对已生效的年度投资计划项目，可进行备案或审批事前管理。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系统自动生成投资风险评估表，用户补充评估结果及应对措施；支持上传第三方风险评估报告，风险等级为“高”的项目需额外提交“风险化解方案”，审核</w:t>
      </w:r>
      <w:r>
        <w:rPr>
          <w:rFonts w:hint="eastAsia" w:ascii="宋体" w:hAnsi="宋体" w:eastAsia="宋体" w:cs="宋体"/>
          <w:color w:val="000000" w:themeColor="text1"/>
          <w:sz w:val="24"/>
          <w:szCs w:val="24"/>
          <w:highlight w:val="none"/>
          <w:lang w:eastAsia="zh-CN"/>
        </w:rPr>
        <w:t xml:space="preserve">通过后方可</w:t>
      </w:r>
      <w:r>
        <w:rPr>
          <w:rFonts w:hint="eastAsia" w:ascii="宋体" w:hAnsi="宋体" w:cs="宋体"/>
          <w:color w:val="000000" w:themeColor="text1"/>
          <w:sz w:val="24"/>
          <w:szCs w:val="24"/>
          <w:highlight w:val="none"/>
        </w:rPr>
        <w:t xml:space="preserve">推进。</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3）投资事中管理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国企用户按项目填写投资进度，上传进度佐证；系统自动对比，进度偏差超10%时提醒。</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关联国企财务数据，展示项目已拨付资金、资金使用明细、剩余资金；资金使用超预算时，需填写说明并上传审批文件；支持按项目、资金类型筛选资金明细，导出资金监控报表。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4）投资事后管理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项目完成后，国企用户填写验收信息，上传验收报告、项目决算报告；验收不合格的项目需填写整改计划，整改完成后重新验收。</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系统根据项目实际运营数据，对比事前预估效益，生成投资效益评估报告；支持手动补充运营总结；上级部门可查看下级国企的投资事后管理记录，导出效益评估汇总表。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（3）资产处置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支持新增处置单，选择处置资产，填写处置基本信息。</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处置方式：拍卖、转让、报废、捐赠，不同方式对应不同填写项。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提交处置单后，按处置金额分级审批；审批人查看处置单详情、附件，可同意或驳回；审批记录自动写入处置单日志，支持查看审批流程轨迹。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（4）审批签署</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1）我的待办-45张资产卡片待办</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待办列表：按待办时间展示待审核的45类资产卡片；支持按卡片类型、待办事项筛选。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支持查看待办并处理，支持批量处理；待办超时，系统发送提醒（系统通知+短信）。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2）我的已办-45张资产卡片已办</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已办列表：展示用户已处理的45类资产卡片审核记录，按处理时间展示；支持按处理结果、处理时间范围、卡片类型筛选。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支持详情查看；支持导出已办记录；已办记录不可修改，仅可查看。</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3）电子印章</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(政府侧)接口对接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接口配置：系统管理员可配置政府侧电子印章接口参数，对接政府统一电子印章平台；支持接口测试。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印章使用：政府侧用户在审批资产卡片、处置单时加盖电子印章，生成带电子印章的PDF文件（不可篡改）；盖章记录写入操作日志。</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4）电子印章</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(企业侧)接口对接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接口配置：系统管理员配置企业侧电子印章接口参数，录入企业侧印章授权信息；支持多企业接口配置。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印章使用：企业侧用户在审批年度投资计划、出租合同等时加盖企业电子印章，生成带电子印章的文件，支持下载、预览；盖章后文件不可修改，系统记录印章使用日志。</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5）电子印章签署(甲乙双方)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签署发起：甲方用户创建合同后，发起甲乙双方签署，填写乙方信息、签署顺序；系统发送签署邀请至乙方签署人。</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签署流程：</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按签署顺序，先签署方完成后，系统通知后签署方，后签署方重复签署操作后签署完成，系统生成签署完成通知书；支持下载已签署合同；签署过程全程留痕、日志记录。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6）审批流程管理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流程配置：系统管理员可以可视化配置流程节点，添加审批节点、设置节点审批人、流程条件；支持流程复制、流程启用/禁用。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流程监控与修改：管理员可查看流程使用情况；已启用的流程修改需停用→修改→重新启用；支持流程版本管理；用户可在审批时查看当前流程节点、后续节点。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10、监督管理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（1）监督视窗</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要由监督工作台与监督驾驶舱两大核心板块构成。其中，监督工作台能够依据不同用户角色权限，针对性地展示差异化的分析内容。监督驾驶舱则围绕监督业务的规范化建设，集中呈现监督工作的具体内容、制度规范及相关机制。</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（2）资产状况</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要由房产管理、单元信息和合同信息构成，其中房产管理主要从监管的维度统计分析资产的出租自用和闲置情况，并通过热力图进行全市各个区域自由切换，单元信息从监管角度分析单元的出租率，资产的负责人，资产的类型等角度进行分析，合同信息是从监管的角度对合同的执行情况以及收费情况进行分析。</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（3）风险设置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主要实现对风险预警算法阈值的设定，分为履责监督类、资产资源类、资产清查类、项目投资类四大类，报警阈值参数化，可根据业务需要自定义报警项、自定义风险等级。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监督模型：</w:t>
      </w:r>
      <w:r>
        <w:rPr>
          <w:color w:val="000000" w:themeColor="text1"/>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710"/>
        <w:gridCol w:w="5111"/>
        <w:gridCol w:w="2344"/>
      </w:tblGrid>
      <w:tr>
        <w:trPr>
          <w:trHeight w:val="348"/>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5"/>
              <w:jc w:val="center"/>
              <w:rPr>
                <w:color w:val="000000" w:themeColor="text1"/>
                <w:sz w:val="24"/>
                <w:szCs w:val="24"/>
                <w:highlight w:val="none"/>
              </w:rPr>
            </w:pPr>
            <w:r>
              <w:rPr>
                <w:color w:val="000000" w:themeColor="text1"/>
                <w:sz w:val="24"/>
                <w:szCs w:val="24"/>
                <w:highlight w:val="none"/>
                <w:lang w:bidi="ar"/>
              </w:rPr>
              <w:t xml:space="preserve">分类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787" w:type="dxa"/>
            <w:vAlign w:val="center"/>
            <w:textDirection w:val="lrTb"/>
            <w:noWrap/>
          </w:tcPr>
          <w:p>
            <w:pPr>
              <w:pStyle w:val="885"/>
              <w:jc w:val="center"/>
              <w:rPr>
                <w:color w:val="000000" w:themeColor="text1"/>
                <w:sz w:val="24"/>
                <w:szCs w:val="24"/>
                <w:highlight w:val="none"/>
              </w:rPr>
            </w:pPr>
            <w:r>
              <w:rPr>
                <w:color w:val="000000" w:themeColor="text1"/>
                <w:sz w:val="24"/>
                <w:szCs w:val="24"/>
                <w:highlight w:val="none"/>
                <w:lang w:bidi="ar"/>
              </w:rPr>
              <w:t xml:space="preserve">项目名称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4"/>
                <w:szCs w:val="24"/>
                <w:highlight w:val="none"/>
              </w:rPr>
            </w:pPr>
            <w:r>
              <w:rPr>
                <w:color w:val="000000" w:themeColor="text1"/>
                <w:sz w:val="24"/>
                <w:szCs w:val="24"/>
                <w:highlight w:val="none"/>
                <w:lang w:bidi="ar"/>
              </w:rPr>
              <w:t xml:space="preserve">等级</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tcPr>
          <w:p>
            <w:pPr>
              <w:pStyle w:val="885"/>
              <w:jc w:val="center"/>
              <w:rPr>
                <w:color w:val="000000" w:themeColor="text1"/>
                <w:sz w:val="22"/>
                <w:szCs w:val="22"/>
                <w:highlight w:val="none"/>
              </w:rPr>
            </w:pPr>
            <w:r>
              <w:rPr>
                <w:color w:val="000000" w:themeColor="text1"/>
                <w:sz w:val="22"/>
                <w:szCs w:val="22"/>
                <w:highlight w:val="none"/>
                <w:lang w:bidi="ar"/>
              </w:rPr>
              <w:t xml:space="preserve">资源资产类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资产长期闲置监督模型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预警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rFonts w:eastAsia="宋体"/>
                <w:color w:val="000000" w:themeColor="text1"/>
                <w:sz w:val="20"/>
                <w:szCs w:val="20"/>
                <w:highlight w:val="none"/>
              </w:rPr>
            </w:pPr>
            <w:r>
              <w:rPr>
                <w:rFonts w:hint="eastAsia"/>
                <w:color w:val="000000" w:themeColor="text1"/>
                <w:sz w:val="20"/>
                <w:szCs w:val="20"/>
                <w:highlight w:val="none"/>
                <w:lang w:val="en-US" w:eastAsia="zh-CN"/>
              </w:rPr>
              <w:t xml:space="preserve">月度折旧计提确认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rFonts w:ascii="Times New Roman" w:hAnsi="Times New Roman" w:eastAsia="宋体" w:cs="Times New Roman"/>
                <w:color w:val="000000" w:themeColor="text1"/>
                <w:sz w:val="20"/>
                <w:szCs w:val="20"/>
                <w:highlight w:val="none"/>
              </w:rPr>
            </w:pPr>
            <w:r>
              <w:rPr>
                <w:color w:val="000000" w:themeColor="text1"/>
                <w:sz w:val="20"/>
                <w:szCs w:val="20"/>
                <w:highlight w:val="none"/>
                <w:lang w:bidi="ar"/>
              </w:rPr>
              <w:t xml:space="preserve">预警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rFonts w:ascii="Times New Roman" w:hAnsi="Times New Roman" w:eastAsia="宋体" w:cs="Times New Roman"/>
                <w:color w:val="000000" w:themeColor="text1"/>
                <w:sz w:val="20"/>
                <w:szCs w:val="20"/>
                <w:highlight w:val="none"/>
              </w:rPr>
            </w:pPr>
            <w:r>
              <w:rPr>
                <w:color w:val="000000" w:themeColor="text1"/>
                <w:sz w:val="20"/>
                <w:szCs w:val="20"/>
                <w:highlight w:val="none"/>
                <w:lang w:bidi="ar"/>
              </w:rPr>
              <w:t xml:space="preserve">交易资产未纳入平台监督模型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预警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交易金额未一次性付清监督模型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预警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交易金额低于平均价监督模型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报警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val="false"/>
          </w:tcPr>
          <w:p>
            <w:pPr>
              <w:pStyle w:val="885"/>
              <w:jc w:val="left"/>
              <w:rPr>
                <w:color w:val="000000" w:themeColor="text1"/>
                <w:sz w:val="20"/>
                <w:szCs w:val="20"/>
                <w:highlight w:val="none"/>
              </w:rPr>
            </w:pPr>
            <w:r>
              <w:rPr>
                <w:color w:val="000000" w:themeColor="text1"/>
                <w:sz w:val="20"/>
                <w:szCs w:val="20"/>
                <w:highlight w:val="none"/>
                <w:lang w:bidi="ar"/>
              </w:rPr>
              <w:t xml:space="preserve">公职人员承租资产监督模型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报警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val="false"/>
          </w:tcPr>
          <w:p>
            <w:pPr>
              <w:pStyle w:val="885"/>
              <w:jc w:val="left"/>
              <w:rPr>
                <w:color w:val="000000" w:themeColor="text1"/>
                <w:sz w:val="20"/>
                <w:szCs w:val="20"/>
                <w:highlight w:val="none"/>
              </w:rPr>
            </w:pPr>
            <w:r>
              <w:rPr>
                <w:color w:val="000000" w:themeColor="text1"/>
                <w:sz w:val="20"/>
                <w:szCs w:val="20"/>
                <w:highlight w:val="none"/>
                <w:lang w:bidi="ar"/>
              </w:rPr>
              <w:t xml:space="preserve">租金到账无凭证监督模型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4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val="false"/>
          </w:tcPr>
          <w:p>
            <w:pPr>
              <w:pStyle w:val="885"/>
              <w:jc w:val="left"/>
              <w:rPr>
                <w:color w:val="000000" w:themeColor="text1"/>
                <w:sz w:val="20"/>
                <w:szCs w:val="20"/>
                <w:highlight w:val="none"/>
              </w:rPr>
            </w:pPr>
            <w:r>
              <w:rPr>
                <w:color w:val="000000" w:themeColor="text1"/>
                <w:sz w:val="20"/>
                <w:szCs w:val="20"/>
                <w:highlight w:val="none"/>
                <w:lang w:bidi="ar"/>
              </w:rPr>
              <w:t xml:space="preserve">土地房屋类资产载体面积异常监督模型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4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val="false"/>
          </w:tcPr>
          <w:p>
            <w:pPr>
              <w:pStyle w:val="885"/>
              <w:jc w:val="left"/>
              <w:rPr>
                <w:color w:val="000000" w:themeColor="text1"/>
                <w:sz w:val="20"/>
                <w:szCs w:val="20"/>
                <w:highlight w:val="none"/>
              </w:rPr>
            </w:pPr>
            <w:r>
              <w:rPr>
                <w:color w:val="000000" w:themeColor="text1"/>
                <w:sz w:val="20"/>
                <w:szCs w:val="20"/>
                <w:highlight w:val="none"/>
                <w:lang w:bidi="ar"/>
              </w:rPr>
              <w:t xml:space="preserve">土地房屋类资产单元面积异常监督模型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土地房屋类资产载体信息重复监督模型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土地房屋类资产单元信息重复监督模型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4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val="false"/>
          </w:tcPr>
          <w:p>
            <w:pPr>
              <w:pStyle w:val="885"/>
              <w:jc w:val="left"/>
              <w:rPr>
                <w:color w:val="000000" w:themeColor="text1"/>
                <w:sz w:val="20"/>
                <w:szCs w:val="20"/>
                <w:highlight w:val="none"/>
              </w:rPr>
            </w:pPr>
            <w:r>
              <w:rPr>
                <w:color w:val="000000" w:themeColor="text1"/>
                <w:sz w:val="20"/>
                <w:szCs w:val="20"/>
                <w:highlight w:val="none"/>
                <w:lang w:bidi="ar"/>
              </w:rPr>
              <w:t xml:space="preserve">资产出租“黑名单”企业监督模型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预警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资产管理单位资产闲置率高监督模型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合同审批不及时监督模型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租金上浮率未达标监督模型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竣工工程未转固定资产监督模型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招租报名率低监督模型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单人多处租赁监督模型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预警</w:t>
            </w:r>
            <w:r>
              <w:rPr>
                <w:color w:val="000000" w:themeColor="text1"/>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val="false"/>
          </w:tcPr>
          <w:p>
            <w:pPr>
              <w:pStyle w:val="885"/>
              <w:jc w:val="left"/>
              <w:rPr>
                <w:color w:val="000000" w:themeColor="text1"/>
                <w:sz w:val="20"/>
                <w:szCs w:val="20"/>
                <w:highlight w:val="none"/>
              </w:rPr>
            </w:pPr>
            <w:r>
              <w:rPr>
                <w:color w:val="000000" w:themeColor="text1"/>
                <w:sz w:val="20"/>
                <w:szCs w:val="20"/>
                <w:highlight w:val="none"/>
                <w:lang w:bidi="ar"/>
              </w:rPr>
              <w:t xml:space="preserve">新增资产未及时录入监管平台监督模型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非经营性资产被出租监督模型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tcPr>
          <w:p>
            <w:pPr>
              <w:pStyle w:val="885"/>
              <w:jc w:val="center"/>
              <w:rPr>
                <w:color w:val="000000" w:themeColor="text1"/>
                <w:sz w:val="22"/>
                <w:szCs w:val="22"/>
                <w:highlight w:val="none"/>
              </w:rPr>
            </w:pPr>
            <w:r>
              <w:rPr>
                <w:color w:val="000000" w:themeColor="text1"/>
                <w:sz w:val="22"/>
                <w:szCs w:val="22"/>
                <w:highlight w:val="none"/>
                <w:lang w:bidi="ar"/>
              </w:rPr>
              <w:t xml:space="preserve">项目投资类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（投前）投资资料不完整监督模型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（投前）投资合作方异常监督模型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（投中）股权投资比例变更监督模型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（投中）未及时上传项目进度监督模型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（投中）项目状态变更未上传资料监督模型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（投中）投资金额过高监督模型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（投中）投资计划调整未上传资料监督模型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（投后）投资年度收益偏低监督模型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（投后）第三方评估值过低监督模型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股权变动监督模型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预警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多次中标监督模型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合同拆分监督模型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审计报告缺失监督模型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预警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工程竣工未及时审计监督模型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担保即将到期监督模型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抵押即将到期监督模型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tcPr>
          <w:p>
            <w:pPr>
              <w:pStyle w:val="885"/>
              <w:jc w:val="center"/>
              <w:rPr>
                <w:color w:val="000000" w:themeColor="text1"/>
                <w:sz w:val="22"/>
                <w:szCs w:val="22"/>
                <w:highlight w:val="none"/>
              </w:rPr>
            </w:pPr>
            <w:r>
              <w:rPr>
                <w:color w:val="000000" w:themeColor="text1"/>
                <w:sz w:val="22"/>
                <w:szCs w:val="22"/>
                <w:highlight w:val="none"/>
                <w:lang w:bidi="ar"/>
              </w:rPr>
              <w:t xml:space="preserve">租金收益类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合同期限过长监督模型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租金低于指导价监督模型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租金欠缴监督模型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合同面积异常监督模型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val="false"/>
          </w:tcPr>
          <w:p>
            <w:pPr>
              <w:pStyle w:val="885"/>
              <w:jc w:val="left"/>
              <w:rPr>
                <w:color w:val="000000" w:themeColor="text1"/>
                <w:sz w:val="20"/>
                <w:szCs w:val="20"/>
                <w:highlight w:val="none"/>
              </w:rPr>
            </w:pPr>
            <w:r>
              <w:rPr>
                <w:color w:val="000000" w:themeColor="text1"/>
                <w:sz w:val="20"/>
                <w:szCs w:val="20"/>
                <w:highlight w:val="none"/>
                <w:lang w:bidi="ar"/>
              </w:rPr>
              <w:t xml:space="preserve">合同重要信息异常监督模型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rPr>
              <w:t xml:space="preserve">预警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合同到期监督模型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rPr>
              <w:t xml:space="preserve">提醒</w:t>
            </w:r>
            <w:r>
              <w:rPr>
                <w:color w:val="000000" w:themeColor="text1"/>
                <w:highlight w:val="none"/>
              </w:rPr>
            </w:r>
            <w:r/>
          </w:p>
        </w:tc>
      </w:tr>
      <w:tr>
        <w:trPr>
          <w:trHeight w:val="4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val="false"/>
          </w:tcPr>
          <w:p>
            <w:pPr>
              <w:pStyle w:val="885"/>
              <w:jc w:val="left"/>
              <w:rPr>
                <w:color w:val="000000" w:themeColor="text1"/>
                <w:sz w:val="20"/>
                <w:szCs w:val="20"/>
                <w:highlight w:val="none"/>
              </w:rPr>
            </w:pPr>
            <w:r>
              <w:rPr>
                <w:color w:val="000000" w:themeColor="text1"/>
                <w:sz w:val="20"/>
                <w:szCs w:val="20"/>
                <w:highlight w:val="none"/>
                <w:lang w:bidi="ar"/>
              </w:rPr>
              <w:t xml:space="preserve">合同审批多次驳回监督模型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合同审批不严谨（秒批）监督模型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合同签署不及时监督模型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val="false"/>
          </w:tcPr>
          <w:p>
            <w:pPr>
              <w:pStyle w:val="885"/>
              <w:jc w:val="left"/>
              <w:rPr>
                <w:color w:val="000000" w:themeColor="text1"/>
                <w:sz w:val="20"/>
                <w:szCs w:val="20"/>
                <w:highlight w:val="none"/>
              </w:rPr>
            </w:pPr>
            <w:r>
              <w:rPr>
                <w:color w:val="000000" w:themeColor="text1"/>
                <w:sz w:val="20"/>
                <w:szCs w:val="20"/>
                <w:highlight w:val="none"/>
                <w:lang w:bidi="ar"/>
              </w:rPr>
              <w:t xml:space="preserve">合同正常履行期间作废监督模型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电子印章数量异常监督模型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预警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长期合同监督模型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报警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tcPr>
          <w:p>
            <w:pPr>
              <w:pStyle w:val="885"/>
              <w:jc w:val="center"/>
              <w:rPr>
                <w:color w:val="000000" w:themeColor="text1"/>
                <w:sz w:val="22"/>
                <w:szCs w:val="22"/>
                <w:highlight w:val="none"/>
              </w:rPr>
            </w:pPr>
            <w:r>
              <w:rPr>
                <w:color w:val="000000" w:themeColor="text1"/>
                <w:sz w:val="22"/>
                <w:szCs w:val="22"/>
                <w:highlight w:val="none"/>
                <w:lang w:bidi="ar"/>
              </w:rPr>
              <w:t xml:space="preserve">履职监督类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房屋闲置监督模型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载体人历史欠缴费用分析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报警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历史欠缴费用监督模型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房屋空置监督模型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预警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个人二房东倾向监督模型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预警</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企业二房东倾向监督模型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监督责任履行不到位监督模型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rPr>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pStyle w:val="885"/>
              <w:jc w:val="center"/>
              <w:rPr>
                <w:color w:val="000000"/>
                <w:sz w:val="22"/>
                <w:szCs w:val="22"/>
              </w:rPr>
            </w:pPr>
            <w:r>
              <w:rPr>
                <w:color w:val="000000"/>
                <w:sz w:val="22"/>
                <w:szCs w:val="22"/>
              </w:rPr>
            </w:r>
            <w:r/>
          </w:p>
        </w:tc>
        <w:tc>
          <w:tcPr>
            <w:tcBorders>
              <w:top w:val="single" w:color="000000" w:sz="4" w:space="0"/>
              <w:left w:val="single" w:color="000000" w:sz="4" w:space="0"/>
              <w:bottom w:val="single" w:color="000000" w:sz="4" w:space="0"/>
              <w:right w:val="single" w:color="000000" w:sz="4" w:space="0"/>
            </w:tcBorders>
            <w:tcW w:w="2787" w:type="dxa"/>
            <w:vAlign w:val="bottom"/>
            <w:textDirection w:val="lrTb"/>
            <w:noWrap/>
          </w:tcPr>
          <w:p>
            <w:pPr>
              <w:pStyle w:val="885"/>
              <w:jc w:val="left"/>
              <w:rPr>
                <w:color w:val="000000" w:themeColor="text1"/>
                <w:sz w:val="20"/>
                <w:szCs w:val="20"/>
                <w:highlight w:val="none"/>
              </w:rPr>
            </w:pPr>
            <w:r>
              <w:rPr>
                <w:color w:val="000000" w:themeColor="text1"/>
                <w:sz w:val="20"/>
                <w:szCs w:val="20"/>
                <w:highlight w:val="none"/>
                <w:lang w:bidi="ar"/>
              </w:rPr>
              <w:t xml:space="preserve">智能处置责任履行不到位监督模型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885"/>
              <w:jc w:val="center"/>
              <w:rPr>
                <w:color w:val="000000" w:themeColor="text1"/>
                <w:sz w:val="20"/>
                <w:szCs w:val="20"/>
                <w:highlight w:val="none"/>
              </w:rPr>
            </w:pPr>
            <w:r>
              <w:rPr>
                <w:color w:val="000000" w:themeColor="text1"/>
                <w:sz w:val="20"/>
                <w:szCs w:val="20"/>
                <w:highlight w:val="none"/>
                <w:lang w:bidi="ar"/>
              </w:rPr>
              <w:t xml:space="preserve">提醒</w:t>
            </w:r>
            <w:r>
              <w:rPr>
                <w:color w:val="000000" w:themeColor="text1"/>
                <w:highlight w:val="none"/>
              </w:rPr>
            </w:r>
            <w:r/>
          </w:p>
        </w:tc>
      </w:tr>
    </w:tbl>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利用大模型实现对国资出租合同的批量自动化对比分析，对国有房产、土地等不动产资产的价值及运营状况进行实时监测和预警。</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（4）风险处置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根据智能合约设定的规则，分析资产和资产管理人员可能存在的预警和报警信息，支持查看、导出具体的预警和报警内容。风险点警示规则可动态调整，并设置逐级审核生效制度。</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风险可由市资产监管部门按权限推送资产管理部门处置，市纪委监委可选择将风险警示另行推送至纪工委、监督检查室、派驻纪检监察室核查，形成风险闭环管理。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相关人员处置审核后，通知报备到相关的监管部门。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履职监督方或者资产权属方可将监督过程中</w:t>
      </w:r>
      <w:r>
        <w:rPr>
          <w:rFonts w:hint="eastAsia" w:ascii="宋体" w:hAnsi="宋体" w:eastAsia="宋体" w:cs="宋体"/>
          <w:color w:val="000000" w:themeColor="text1"/>
          <w:sz w:val="24"/>
          <w:szCs w:val="24"/>
          <w:highlight w:val="none"/>
          <w:lang w:eastAsia="zh-CN"/>
        </w:rPr>
        <w:t xml:space="preserve">问题</w:t>
      </w:r>
      <w:r>
        <w:rPr>
          <w:rFonts w:hint="eastAsia" w:ascii="宋体" w:hAnsi="宋体" w:cs="宋体"/>
          <w:color w:val="000000" w:themeColor="text1"/>
          <w:sz w:val="24"/>
          <w:szCs w:val="24"/>
          <w:highlight w:val="none"/>
        </w:rPr>
        <w:t xml:space="preserve">进行向上移交。</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（5）履责监督</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增加各部门在日常履责过程中发现的风险点的上传入口。对履责上传问题进行分类展示，可以根据处置状态筛选查看业务问题的处置情况。</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可将履责问题精准分配至相关业务责任部门；待完成甄办流程后，相关业务部门即可获取对应的业务问题清单。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相关业务责任部门对督办问题处置完成后经过领导审批，业务问题即可关闭，形成处置闭环。</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（6）绩效洞察</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通过关键字搜索系统中的街道、载体、单元、合同、企业、个人等信息进行搜索。</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根据监督要求自定义查询条件，对数据进行可视化筛选并</w:t>
      </w:r>
      <w:r>
        <w:rPr>
          <w:rFonts w:hint="eastAsia" w:ascii="宋体" w:hAnsi="宋体" w:eastAsia="宋体" w:cs="宋体"/>
          <w:color w:val="000000" w:themeColor="text1"/>
          <w:sz w:val="24"/>
          <w:szCs w:val="24"/>
          <w:highlight w:val="none"/>
          <w:lang w:eastAsia="zh-CN"/>
        </w:rPr>
        <w:t xml:space="preserve">生成</w:t>
      </w:r>
      <w:r>
        <w:rPr>
          <w:rFonts w:hint="eastAsia" w:ascii="宋体" w:hAnsi="宋体" w:cs="宋体"/>
          <w:color w:val="000000" w:themeColor="text1"/>
          <w:sz w:val="24"/>
          <w:szCs w:val="24"/>
          <w:highlight w:val="none"/>
        </w:rPr>
        <w:t xml:space="preserve">分析表导出，对自定义查询中房产查询进行改造。</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按载体责任人统计载体的基本情况、合同签约情况、合同租金情况、租金收缴情况、资产产出情况。</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按需求呈现管理绩效、运营绩效、收益绩效、监管绩效。</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（7）数据上链</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支持单元信息区块链存证查询；单元基本信息、位置信息、历史记录信息查询，上链信息查询。</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支持合同信息查询；合同历史记录、审批记录、年度应缴信息，缴费记录查询，每一次的历史记录、审批记录、缴费记录都实时记录在链上。</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11、省国资清查表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（1）模板下载</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模板按资产类型（土地、房屋、设备等）、资产价值等对模板进行分类归档，用户可下载并快速定位资产填报所需的模板。</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（2）13张清查表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1）土地清查表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2）房屋清查表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3）设备清查表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4）股权清查表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5）债权清查表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6）基金清查表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7）无形资产清查表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8）特许经营权清查表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9）资金清查表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10）存货清查表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11）基础设施清查表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12）其他固定资产清查表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13）资产（汇总）负债表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（3）三张清单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1）资产底数清单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数据范围限定为省国资系统内单位，支持按国企类型筛选，汇总维度增加省级国资监管口径。</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2）资产问题清单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新增省国资重点关注问题标记，支持省国资部门直接标注督办问题，跟踪整改进度。</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3）盘活利用清单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新增省国资统筹盘活字段，省国资部门可标记省级统筹资产，统一协调盘活资源，展示省级盘活建议、市级落实情况。</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11、统计报表(定制)</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（1）合同录入情况统计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统计国有资产租赁相关合同录入总数、已录入合同数、未录入合同数、类型分布、合同状态等情况。支持报表导出为Excel格式。</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（2）租金收缴表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专项统计国有资产租赁业务的合同信息和租金收缴情况，自动提取租金应收数据，同步租金实收数据，生成租金收缴明细。支持报表导出为Excel格式。</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（3）资产底数清单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在“三张清单”基础上，按定制化统计口径生成资产底数统计报表，支持按用户需求自定义统计维度及统计指标，生成定制化报表。支持报表导出为Excel格式。</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（4）问题资产清单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按定制化需求统计问题资产的类型分布、责任归属、问题严重程度、所属地区、整改状态、整改率等定制统计维度。支持报表导出为Excel格式。</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（5）可盘活利用清单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定制化统计口径梳理可盘活资产的类型、价值、盘活潜力、盘活方向、盘活难度等定制维度对可盘活资产进行分级统计，按行政区划、所属部门统计可盘活资产分布情况，生成专项统计报表及明细。支持报表导出为Excel格式。</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（6）债券项目资产统计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支持从全量资产卡片中，筛选债券类项目并按债券项目编码统计对应的资产。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基于筛选结果，可进行部门切换，可下钻某个债券项目的资产明细。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1）债券项目资产汇总表导出</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支持将筛选后的债券类项目资产统计结果、明细数据导出为Excel（.xlsx/.xls）等常用格式，导出文件自动保留资产卡片核心字段结构。</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2）债券类项目资产汇总合计计算</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自动汇总计算债券类项目资产数量、资产总额等。 </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系统内置数据校验规则，自动核对合计数据与资产卡片明细数据的一致性。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3）多部门债券资产查询</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基于RBAC权限模型，为不同部门配置专属查询权限，支持按部门层级设置数据访问范围，确保数据安全。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12、可视化驾驶舱</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页面布局采用大屏式布局，分区域展示指标（顶部为核心KPI指标卡：总资产、总负债、净资产；左侧为资产类别分布饼图；中间为行政级次资产地图（点击地区显示该地区资产明细）；右侧为问题资产趋势折线图；底部为待办任务提醒）；</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支持按时间范围筛选数据；点击图表可下钻；设置预警阈值；支持全屏展示、数据导出；</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13、系统设置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1）用户管理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系统用户日常管理，支持用户新增、用户维护，支持批量导入用户，支持按部门、角色、状态筛选用户，导出用户列表（Excel格式）。</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用户角色变更时，系统自动更新功能权限、数据权限；用户权限变更记录写入日志。</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2）角色管理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用户角色和数据权限管理，支持角色新增与配置、角色维护。</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3）部门管理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组织架构管理，支持部门新增与层级设置、部门维护。支持部门合并，导出部门架构表。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4）菜单管理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系统菜单管理，支持菜单配置、权限关联。</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5）定时任务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定时任务管理，支持任务新增与配置、任务监控与维护。</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6）字典管理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支持字典类型与字典项配置、字典维护与使用。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7）参数设置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支持配置系统运行的核心通用参数，进行参数生效控制，支持查看参数修改记录。支持参数分类管理，同时对敏感参数进行加密展示。</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8）通知公告</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支持系统管理员进行公告发布与编辑、公告展示与查询。</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9）日志管理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支持登录日志记录与查询、操作日志记录与查询。</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10）工作流引擎接入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支持流程模型创建、节点参数配置、流程测试与发布以及版本管理。</w:t>
      </w:r>
      <w:r>
        <w:rPr>
          <w:color w:val="000000" w:themeColor="text1"/>
          <w:highlight w:val="none"/>
        </w:rPr>
      </w:r>
      <w:r/>
    </w:p>
    <w:p>
      <w:pPr>
        <w:pStyle w:val="885"/>
        <w:ind w:firstLine="48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（二）区块链系统</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（1）智慧国资前置网关</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1)数据存证模块</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支持将智慧国资前置网关数据库存暂存的待上链数据进行上链存证。针对上链的数据支持上链失败的重新提交与数据存证状态验证功能。</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2)数据同步模块</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调用资产管理平台数据接口，获取核心信息以及核心信息的修改和删除记录。为系统中的操作用户、资产管理单位和企业创建区块链账户，通过区块链账户实现核心信息的上链存证。</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同步时间默认为一天同步一次，可以按需调整。</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（2）智慧国资区块链查询系统</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1)首页概况</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展示区块链平台的运行状态信息，包括自上线以来链上的所有存证数量、当前的区块高度以及最新区块的存证数量。</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通过统计图的方式展示最近15天的链上存证数据量趋势。</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实时展示最新的交易区块信息和最新的交易信息，区块信息包括：区块高度、区块哈希、区块内包含的交易数量、区块的关闭时间；交易信息，包括：交易哈希、交易类型、交易时间等。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2)交易区块</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区块展示自区块链平台上线以来的所有区块信息，区块信息以区块关闭的时间倒序排列。区块的信息包括：区块高度、区块哈希、区块内包含的交易数量、区块的关闭时间。通过查看具体的区块信息，可以查询到上一区块的哈希，确保每个区块都是连接着的。此外区块内还包含了上链存证的信息。</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3)交易记录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记录中记录区块链平台上所有的存证信息，以交易确认时间倒序排列，实时展示最新的链上存证交易记录。交易记录包括交易哈希、交易类型、交易确认时间等。通过交易哈希可以查询到该存证交易的具体信息，包括发起存证的区块链账户、存证信息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4)信息查询</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通过区块链账户地址查询区块链平台上区块链账户的基本信息，以及该账户发生过的所有存证信息，存证信息以区块链存证交易的形式记录，每条存证信息都有唯一的交易哈希，通过交易哈希可以查询到该存证的具体存证内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按照存证交易确认的时间倒序显示区块链平台上的存证交易信息。交易信息包括：发生交易的区块链账户、交易类型、交易时间、交易存证的内容。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区块链平台上的每条存证交易都有唯一的哈希，通过该哈希可以查询到区块链平台上的存证信息。</w:t>
      </w:r>
      <w:r>
        <w:rPr>
          <w:color w:val="000000" w:themeColor="text1"/>
          <w:highlight w:val="none"/>
        </w:rPr>
      </w:r>
      <w:r/>
    </w:p>
    <w:p>
      <w:pPr>
        <w:pStyle w:val="885"/>
        <w:ind w:firstLine="48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（三）数据对接服务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通过数据迁移、清洗、映射，确保江阴地区、镇街层级的历史数据与现有系统兼容，同时支撑与省级平台的数据同步。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1、江阴数据迁移</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（1）组织架构数据、用户基础信息、角色配置信息</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组织架构数据：旧系统中已登记的江阴地区行政层级、部门基础信息、部门状态，涵盖江阴市本级所有行政单位、事业单位及市属国企。</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用户基础信息：旧系统中用户的核心身份信息、联系方式、用户状态、最后登录时间，确保覆盖所有具备资产清查操作权限的用户。</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角色配置信息：旧系统中已创建的角色名称、权限范围、角色关联用户列表，确保角色与用户的对应关系完整迁移。</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（2）清查表数据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江阴旧系统中已填报完成的所有清查表，覆盖国有资产全品类，具体包括：常规资产清查表、特殊资产清查表、金融与负债类清查表、自然资源资产清查表。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2、镇街数据迁移</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聚焦无锡下属各镇、街道层级的历史数据整合，覆盖组织架构、用户、清查表、出租合同、缴费等全维度数据。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（1）基础信息（组织架构、用户、角色）</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基础信息迁移流程复用江阴数据迁移的成熟框架，包括数据导出、校验、导入、验证四个核心步骤，确保操作标准化。</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在江阴数据迁移流程基础上新增组织架构层级适配、用户权限精准分配（数据权限、操作权限、特殊权限、角色模板复用）。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（2）清查表数据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覆盖镇街已填报的所有清查表类型，迁移流程包含数据导出、清洗、映射、校验。</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（3）出租合同及缴费数据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覆盖镇街所有出租合同类型，具体包括：正常合同、特殊合同、退租合同。</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覆盖镇街出租资产的全类型缴费数据，具体包括：年度应缴数据、非税缴费数据、银行缴费数据、承兑数据。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3、省资产云平台对接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实现无锡市级国有资产清查系统与江苏省资产云平台的清查表数据互通，通过标准化的数据清洗、映射、同步流程，确保市级数据符合省级平台格式与逻辑要求，支撑数据向上归集，满足省级资产清查汇总、监管与决策需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4、省国资平台数据转换</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聚焦解决无锡市级国资平台与江苏省国资平台的数据口径、格式差异，通过标准化的口径转换、格式适配、校验同步流程，实现市级资产卡片、投资计划、处置单等核心数据向省级平台格式的转换，确保数据符合省级监管要求，支撑省级国资数据汇总、分析与监管决策。</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5、专项数据对接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（1）个别单位问题清单去重导出服务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部分单位问题清单汇总表与明细表存在数据重复，需按单位指定的特殊去重规则完成数据清洗后导出，确保导出数据无冗余、逻辑闭环。</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（2）市级行政事业单位资产清</w:t>
      </w:r>
      <w:r>
        <w:rPr>
          <w:rFonts w:hint="eastAsia" w:ascii="宋体" w:hAnsi="宋体" w:eastAsia="宋体" w:cs="宋体"/>
          <w:color w:val="000000" w:themeColor="text1"/>
          <w:sz w:val="24"/>
          <w:szCs w:val="24"/>
          <w:highlight w:val="none"/>
        </w:rPr>
        <w:t xml:space="preserve">查</w:t>
      </w:r>
      <w:r>
        <w:rPr>
          <w:rFonts w:hint="eastAsia" w:ascii="宋体" w:hAnsi="宋体" w:eastAsia="宋体" w:cs="宋体"/>
          <w:color w:val="000000" w:themeColor="text1"/>
          <w:sz w:val="24"/>
          <w:szCs w:val="24"/>
          <w:highlight w:val="none"/>
          <w:lang w:val="en-US" w:eastAsia="zh-CN"/>
        </w:rPr>
        <w:t xml:space="preserve">数据</w:t>
      </w:r>
      <w:r>
        <w:rPr>
          <w:rFonts w:hint="eastAsia" w:ascii="宋体" w:hAnsi="宋体" w:eastAsia="宋体" w:cs="宋体"/>
          <w:color w:val="000000" w:themeColor="text1"/>
          <w:sz w:val="24"/>
          <w:szCs w:val="24"/>
          <w:highlight w:val="none"/>
        </w:rPr>
        <w:t xml:space="preserve">排</w:t>
      </w:r>
      <w:r>
        <w:rPr>
          <w:rFonts w:hint="eastAsia" w:ascii="宋体" w:hAnsi="宋体" w:cs="宋体"/>
          <w:color w:val="000000" w:themeColor="text1"/>
          <w:sz w:val="24"/>
          <w:szCs w:val="24"/>
          <w:highlight w:val="none"/>
        </w:rPr>
        <w:t xml:space="preserve">序导出服务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提取所有市级行政事业单位的资产清查数据，按资产清查数从大到小排序生成专项报表并导出，用于市级层面资产规模分析与横向对比。</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（3）三张清单未上报单位罗列导出服务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统计截至指定上报截止时间，未完成三张清单上报的所有单位，单独罗列单位信息并导出，用于监管部门督促未上报单位完成任务，确保清单上报全覆盖。</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（4）市本级三张清单汇总表及明细表导出服务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提取市本级所有主体的三张清单数据，分别生成汇总表与明细表，完成导出后用于市本级资产监管分析与存档。</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（5）债券数据导出服务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确认平台是否存储债券相关数据，若存在则按标准字段提取并导出，用于市级国有资产负债结构分析；若不存在则说明数据范围及补充路径，确保需求方清晰了解平台债券数据现状。</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（6）市本级下行政事业单位设备数据导出服务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提取市本级所有行政事业单位的设备类资产数据，生成专项明细报表并导出，用于市本级设备资产配置合理性分析、使用效率评估及闲置设备盘活规划。</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（7）土储中心资产卡片数据导出服务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提取无锡市土地储备中心的所有资产卡片数据，完整导出后用于土储中心专项资产盘点、权属管理及储备土地开发规划，数据需覆盖土储业务相关的全品类资产。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（8）行政事业单位房屋数据导出服务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提取全市所有行政事业单位的房屋类资产数据，生成明细报表并导出，用于全市行政事业单位房屋资产统筹管理、闲置房屋盘活及权属规范化核查。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6、共享数据对接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（1）通用固定资产类数据共享功能</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多表数据整合与标准化共享：整合存货清查明细表、设备类清查明细表、其他固定资产明细表、省国资房屋建筑类清查明细表，统一数据格式与统计标准。共享内容既包含资产基础属性，也涵盖财务核心数据。支持按“资产类型+所属单位+清查周期”组合筛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权限分级与场景化共享：按“业务角色+需求场景”设置四级权限。基层使用部门仅开放本部门资产的基础查询；财务部门可获取全单位资产的财务明细；国资管理部门拥有资产调配相关数据权限；审计部门可查看全维度历史数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动态更新与联动共享：建立数据实时同步机制，当存货清查明细表中“账面数-减值准备”调整、设备类清查明细表“使用状况”变更、房屋建筑类明细表“建筑面积”更新时，系统1小时内同步至共享平台，并向授权部门推送变更提醒（含变更前后对比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（2）投资与债权债务类数据共享功能</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跨表关联与穿透式共享：关联股权债权类清查表、企业私募基金投资情况调查表、省国资债权清查明细表。共享内容包含投资端信息、债权债务端数据。支持一键穿透查询；核查某债务方时，能追溯历史还款记录、坏账计提依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多维度统计与可视化共享：提供按投资类型、债权期限、基金方向的统计分析功能，生成可视化报表。投资类可统计不同基金方向的认缴金额占比、实缴进度；债权类可分析不同债务方性质的账面值分布、坏账率。决策部门可直接导出报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历史追溯与风险标注共享：支持按“时间区间+资产类型”查询历史清查数据、金额变动轨迹。同步共享至风险管控部门。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（3）特殊资产类数据共享功能</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专项数据整合与精准共享：整合基础设施资产清查表、特许经营权清查明细表、土地产权类资产清查明细表、无形资产清查明细表，按资产类型定制共享内容。适配住建、自然资源、知识产权等部门的专项需求。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权属与状态动态监控共享：对特殊资产的关键状态进行实时监控，生成状态看板共享至对应部门。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跨部门协同与问题联动共享：建立“数据共享</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问题反馈</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协同处理”机制，对特殊资产中的问题数据，标注问题类型并关联责任部门，共享至协同平台。支持部门在线认领问题、上传处理进度。</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（4）资金缴纳类数据共享功能</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实时数据整合与全流程共享：打通非税缴款、银行缴费的数据通道，共享内容涵盖核心缴费信息、动态状态。财政部门可实时查看某类业务的整体缴费进度，业务主管部门按合同ID查询企业缴费明细，银行可同步获取缴款状态反馈。</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进度监控共享：生成缴费进度统计表，提供催缴数据支持，导出未缴费单位名单、应缴金额、逾期天数。</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异常数据识别与溯源共享：自动识别异常数据，标注异常类型并附带初步分析，共享至财政、审计部门。支持异常数据溯源，可查看缴费操作日志、银行流水记录。</w:t>
      </w:r>
      <w:r>
        <w:rPr>
          <w:color w:val="000000" w:themeColor="text1"/>
          <w:highlight w:val="none"/>
        </w:rPr>
      </w:r>
      <w:r/>
    </w:p>
    <w:p>
      <w:pPr>
        <w:pStyle w:val="885"/>
        <w:ind w:firstLine="48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（四）资产清查与数据处理服务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1、资产清查与数据初始化服务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（1）全域标准化操作培训</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开展全域标准化操作培训。分区域组织集中培训会，确保覆盖全市9192家单位，每家单位至少2名经办人员参训。</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开展专题培训：资产卡片录入规范培训（45类资产）、清查报表生成培训（13张报表）、状态表填报培训（9张状态表）。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（2）系统账户与权限环境初始化</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建立统一的单位组织架构树，为每家单位创建管理员账户，配置相应的管理权限。</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按照单位职能配置差异化角色权限：查询权限、录入权限、审核权限、统计权限。</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设置业务流程审批节点，明确各级审批权限和流转规则。建立权限审计机制，定</w:t>
      </w:r>
      <w:r>
        <w:rPr>
          <w:rFonts w:hint="eastAsia" w:ascii="宋体" w:hAnsi="宋体" w:cs="宋体"/>
          <w:color w:val="000000" w:themeColor="text1"/>
          <w:sz w:val="24"/>
          <w:szCs w:val="24"/>
          <w:highlight w:val="none"/>
        </w:rPr>
        <w:t xml:space="preserve">期核查权限分配的准确性和合理性。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（3）历史数据迁移与标准化补录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开展数据现状调研，评估各单位历史数据电子化程度和质量状况。</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制定数据迁移标准规范，包括数据格式标准、编码规则、转换规则。</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提供数据迁移工具支持，协助完成历史数据的提取、清洗和转换。</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对纸质资料单位，提供标准化录入模板和详细的填写说明。</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建立数据补录质量检查机制，确保补录数据的准确性和完整性。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编制数据迁移操作指南，指导各单位规范完成数据迁移工作。</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（4）资产集中清查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资产集中清查单位现场协助：专业团队现场全程协助各单位开展资产集中清查工作，确保清查流程规范高效，数据真实可靠。</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资产数据清查表填报指导：提供详细的资产数据清查表填报说明和操作指引，帮助相关人员准确、完整地填写表格内容，避免遗漏和错误。</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特殊资产数据处理支持：针对特殊类型或复杂情况的资产数据，提供专业的技术支持和解决方案，确保数据处理符合要求，保障清查工作的全面性和准确性。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（5）初始化数据质量校验与验收</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建立数据质量校验体系，包括完整性校验、规范性校验、逻辑性校验。</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实施多轮数据质量检查：首轮全面检查、二轮重点核查、三轮抽样复核。</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重点校验资产卡片关键字段：资产名称、规格型号、数量、价值、使用状态等。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核查资产账实一致性，确保账面价值与实际价值相符。</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建立问题数据反馈机制，及时通知相关单位进行数据修正。</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编制数据初始化验收报告，详细记录数据质量状况和整改情况。</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（6）高强度值守与应急数据支持</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提供多渠道技术支持：电话支持、远程协助、工单系统、即时通讯。</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建立常见问题知识库，快速响应典型操作问题。</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制定应急预案，对系统卡顿、数据异常等突发情况提供快速解决方案。</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（7）数据标准与规范体系建设</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制定统一的数据采集标准，明确各类数据的格式要求和填写规范。</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建立数据编码体系，确保资产分类、使用状态等基础数据的规范性。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制定数据质量评价标准，建立可量化的数据质量评估指标体系。</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编制数据管理工作规范，明确各单位在数据采集、审核、维护等方面的职责。</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建立数据标准培训体系，确保各相关方准确理解和执行数据标准。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定期更新和完善数据标准规范，适应业务发展需求。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2、数据安全与维护服务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（1）账号安全全维度治理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聚焦账号访问安全，通过弱口令自动化检测与定期核查机制识别并强制整改风险账号；覆盖账号权限“申请</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变更</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注销”全生命周期管控，依据“最小权限原则”配置权限，结合人事变动及时调整账号状态，所有操作留存日志，确保账号与权限合规可控。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（2）日志审计与风险追溯</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针对数据增删改、敏感数据访问、权限调整等核心操作，构建实时日志采集与结构化存储体系；定期开展异常操作筛查，精准追溯操作主体与行为轨迹；每月生成标准化审计报告，为合规核查与风险处置提供依据，实现操作可追溯、风险早发现。</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（3）安全防护与备份保障</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接口层部署SQL注入防护规则，通过参数化查询、输入校验拦截恶意攻击，定期开展有效性测试与规则优化；建立备份数据验证机制，每月抽取全量备份执行恢复测试，核验数据完整性与可用性，对失效备份及时重建，确保极端场景下数据可快速恢复。</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（4）数据导入支持与模板优化</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数据导入全流程支持；结合业务需求优化Excel导入模板。</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（5）数据调整与跨表问题修复</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数据信息调整与优化；跨表数据问题修复。</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（6）数据格式管理与查询统计支撑</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开展批量数据格式标准化，支持特殊数据状态重置；响应用户自定义查询需求，配置多条件筛选规则、选择展示字段并导出结果，为高频需求保存查询模板。</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（7）历史数据治理与补录</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针对系统内缺失关键信息的历史数据，协助收集补充资料，按规则补全资产编码、完善基础信息；补录完成后逐一条目校验。</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3、区块链数据存证与AI数据服务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（1）数据监测服务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设定全面且细致的数据监测方案对整个区块链网络中各新区块的数据存证情况进行无遗漏巡查。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（2）异常数据处理服务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发现存证失败的数据，快速定位根本原因，输出结论与修复建议，生成根因报告，给出短期应急和长期根治方案。同时，建立完善的日志记录系统，详细记录每一次处理的过程和结果，以便后续复盘和改进。</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（3）AI数据服务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I工作流搭建：基于人工智能技术，为政府资产监管设计端到端的自动化工作流程，涵盖资产出租、资产闲置、资产缴费等全生命周期环节。利用机器学习模型对历史数据进行分析，预测资产使用效率、维护需求及潜在风险。实时监控资产流动中的异常信号，触发自动告警并推送至监管部门核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规则引擎设计：嵌入国家法律法规、地方政策及内部管理制度，构建可配置的规则库。基于角色权限模型，限制不同层级人员的访问范围。</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知识库搭建：整合中央到地方关于国有资产管理的法律法规、实施细则及典型案例记录，提供一键式知识数据的检索与条款解读服务。编制标准化操作手册，涵盖资产入库验收标准、维修保养流程、评估定价方法等内容。整合资产相关数据信息，面向</w:t>
      </w:r>
      <w:r>
        <w:rPr>
          <w:rFonts w:hint="eastAsia" w:ascii="宋体" w:hAnsi="宋体" w:eastAsia="宋体" w:cs="宋体"/>
          <w:color w:val="000000" w:themeColor="text1"/>
          <w:sz w:val="24"/>
          <w:szCs w:val="24"/>
          <w:highlight w:val="none"/>
          <w:lang w:eastAsia="zh-CN"/>
        </w:rPr>
        <w:t xml:space="preserve">公务人员</w:t>
      </w:r>
      <w:r>
        <w:rPr>
          <w:rFonts w:hint="eastAsia" w:ascii="宋体" w:hAnsi="宋体" w:cs="宋体"/>
          <w:color w:val="000000" w:themeColor="text1"/>
          <w:sz w:val="24"/>
          <w:szCs w:val="24"/>
          <w:highlight w:val="none"/>
        </w:rPr>
        <w:t xml:space="preserve">在线咨询，通过NLP技术解析自然语言提问，精准匹配知识库答案。</w:t>
      </w:r>
      <w:r>
        <w:rPr>
          <w:color w:val="000000" w:themeColor="text1"/>
          <w:highlight w:val="none"/>
        </w:rPr>
      </w:r>
      <w:r/>
    </w:p>
    <w:p>
      <w:pPr>
        <w:pStyle w:val="885"/>
        <w:ind w:firstLine="48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（五）网络安全服务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1、应急响应服务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对本项目提供安全事件预警与通告、安全事件分析与处理、安全事件总结等服务，</w:t>
      </w:r>
      <w:r>
        <w:rPr>
          <w:rFonts w:hint="eastAsia" w:ascii="宋体" w:hAnsi="宋体" w:cs="宋体"/>
          <w:color w:val="000000" w:themeColor="text1"/>
          <w:sz w:val="24"/>
          <w:szCs w:val="24"/>
          <w:highlight w:val="none"/>
        </w:rPr>
        <w:t xml:space="preserve">按需输出《应急响应报告》。</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2、应急演练服务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依据有关网络安全应急预案，对本项目开展应急演练1次，输出《应急演练报告》。</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3、资产梳理服务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建立本项目网络资产结构和网络资产清单，输出《网站安全资产梳理报告》。</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4、渗透测试服务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对本项目提供渗透测试2次，输出《渗透测试报告》、《渗透测试复测报告》。</w:t>
      </w:r>
      <w:r>
        <w:rPr>
          <w:color w:val="000000" w:themeColor="text1"/>
          <w:highlight w:val="none"/>
        </w:rPr>
      </w:r>
      <w:r/>
    </w:p>
    <w:p>
      <w:pPr>
        <w:pStyle w:val="885"/>
        <w:ind w:firstLine="48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（六）系统性能要求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1、数据处理能力</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1）支持日均数据处理量10万条以上，峰值可达50万条/日。</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2）实时数据处理延迟低于2秒，批量处理任务可在小时级内完成。</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3）支持500+用户并发访问，100+业务并发处理。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2、响应与并发</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1）支持500用户同时在线，支持约100并发。</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2）网络正常情况下检索信息时间，针对简单信息查询不超过3秒，针对复杂信息查询不超过5秒。</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3、可靠性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平台正常情况下应该能够7×24小时连续稳定运行。</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4、稳定性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平台稳定运行，要求系统以外故障恢复时间不大于6小时。</w:t>
      </w:r>
      <w:r>
        <w:rPr>
          <w:color w:val="000000" w:themeColor="text1"/>
          <w:highlight w:val="none"/>
        </w:rPr>
      </w:r>
      <w:r/>
    </w:p>
    <w:p>
      <w:pPr>
        <w:pStyle w:val="885"/>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三、项目实施服务要求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（一）组织实施要求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中标人应为本项目成立项目组班子，</w:t>
      </w:r>
      <w:r>
        <w:rPr>
          <w:rFonts w:hint="eastAsia" w:ascii="宋体" w:hAnsi="宋体" w:cs="宋体"/>
          <w:color w:val="000000" w:themeColor="text1"/>
          <w:sz w:val="24"/>
          <w:szCs w:val="24"/>
          <w:highlight w:val="none"/>
        </w:rPr>
        <w:t xml:space="preserve">项目实施人员齐全，岗位职责明确，</w:t>
      </w:r>
      <w:r>
        <w:rPr>
          <w:rFonts w:hint="eastAsia" w:ascii="宋体" w:hAnsi="宋体" w:cs="宋体"/>
          <w:color w:val="000000" w:themeColor="text1"/>
          <w:sz w:val="24"/>
          <w:szCs w:val="24"/>
          <w:highlight w:val="none"/>
          <w:lang w:val="en-US" w:eastAsia="zh-CN"/>
        </w:rPr>
        <w:t xml:space="preserve">人数不少于8人，</w:t>
      </w:r>
      <w:r>
        <w:rPr>
          <w:rFonts w:hint="eastAsia" w:ascii="宋体" w:hAnsi="宋体" w:cs="宋体"/>
          <w:color w:val="000000" w:themeColor="text1"/>
          <w:sz w:val="24"/>
          <w:szCs w:val="24"/>
          <w:highlight w:val="none"/>
        </w:rPr>
        <w:t xml:space="preserve">在项目实施期间，积极配合采购人完成与其他项目的应用对接，提供相关工作内容的技术支持。</w:t>
      </w:r>
      <w:r>
        <w:rPr>
          <w:rFonts w:hint="eastAsia" w:ascii="宋体" w:hAnsi="宋体" w:cs="宋体"/>
          <w:color w:val="000000" w:themeColor="text1"/>
          <w:sz w:val="24"/>
          <w:szCs w:val="24"/>
          <w:highlight w:val="none"/>
          <w:lang w:val="en-US" w:eastAsia="zh-CN"/>
        </w:rPr>
        <w:t xml:space="preserve">平台</w:t>
      </w:r>
      <w:r>
        <w:rPr>
          <w:rFonts w:hint="eastAsia" w:ascii="宋体" w:hAnsi="宋体" w:cs="宋体"/>
          <w:color w:val="000000" w:themeColor="text1"/>
          <w:sz w:val="24"/>
          <w:szCs w:val="24"/>
          <w:highlight w:val="none"/>
        </w:rPr>
        <w:t xml:space="preserve">运行期间，出现故障时，工程师要迅速进行诊断，解决</w:t>
      </w:r>
      <w:r>
        <w:rPr>
          <w:rFonts w:hint="eastAsia" w:ascii="宋体" w:hAnsi="宋体" w:eastAsia="宋体" w:cs="宋体"/>
          <w:color w:val="000000" w:themeColor="text1"/>
          <w:sz w:val="24"/>
          <w:szCs w:val="24"/>
          <w:highlight w:val="none"/>
          <w:lang w:eastAsia="zh-CN"/>
        </w:rPr>
        <w:t xml:space="preserve">软件</w:t>
      </w:r>
      <w:r>
        <w:rPr>
          <w:rFonts w:hint="eastAsia" w:ascii="宋体" w:hAnsi="宋体" w:cs="宋体"/>
          <w:color w:val="000000" w:themeColor="text1"/>
          <w:sz w:val="24"/>
          <w:szCs w:val="24"/>
          <w:highlight w:val="none"/>
        </w:rPr>
        <w:t xml:space="preserve">、硬件</w:t>
      </w:r>
      <w:r>
        <w:rPr>
          <w:rFonts w:hint="eastAsia" w:ascii="宋体" w:hAnsi="宋体" w:cs="宋体"/>
          <w:color w:val="000000" w:themeColor="text1"/>
          <w:sz w:val="24"/>
          <w:szCs w:val="24"/>
          <w:highlight w:val="none"/>
          <w:lang w:val="en-US" w:eastAsia="zh-CN"/>
        </w:rPr>
        <w:t xml:space="preserve">等</w:t>
      </w:r>
      <w:r>
        <w:rPr>
          <w:rFonts w:hint="eastAsia" w:ascii="宋体" w:hAnsi="宋体" w:cs="宋体"/>
          <w:color w:val="000000" w:themeColor="text1"/>
          <w:sz w:val="24"/>
          <w:szCs w:val="24"/>
          <w:highlight w:val="none"/>
        </w:rPr>
        <w:t xml:space="preserve">问题。</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2、在项目实施过程中，中标</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cs="宋体"/>
          <w:color w:val="000000" w:themeColor="text1"/>
          <w:sz w:val="24"/>
          <w:szCs w:val="24"/>
          <w:highlight w:val="none"/>
        </w:rPr>
        <w:t xml:space="preserve">项目实施负责人必须参加由采购人召开的项目推进会，定期向采购人汇报工作进度、问题及下阶段工作计划，确保按时完成项目工作。</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3、在</w:t>
      </w:r>
      <w:r>
        <w:rPr>
          <w:rFonts w:hint="eastAsia" w:ascii="仿宋_GB2312"/>
          <w:color w:val="000000" w:themeColor="text1"/>
          <w:sz w:val="24"/>
          <w:szCs w:val="24"/>
          <w:highlight w:val="none"/>
          <w:lang w:val="en-US" w:eastAsia="zh-CN"/>
        </w:rPr>
        <w:t xml:space="preserve">数据采集、数据分析、</w:t>
      </w:r>
      <w:r>
        <w:rPr>
          <w:rFonts w:hint="eastAsia" w:ascii="宋体" w:hAnsi="宋体" w:cs="宋体"/>
          <w:color w:val="000000" w:themeColor="text1"/>
          <w:sz w:val="24"/>
          <w:szCs w:val="24"/>
          <w:highlight w:val="none"/>
          <w:lang w:val="en-US" w:eastAsia="zh-CN"/>
        </w:rPr>
        <w:t xml:space="preserve">数据处理</w:t>
      </w:r>
      <w:r>
        <w:rPr>
          <w:rFonts w:hint="eastAsia" w:ascii="宋体" w:hAnsi="宋体" w:cs="宋体"/>
          <w:color w:val="000000" w:themeColor="text1"/>
          <w:sz w:val="24"/>
          <w:szCs w:val="24"/>
          <w:highlight w:val="none"/>
        </w:rPr>
        <w:t xml:space="preserve">过程中，中标</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cs="宋体"/>
          <w:color w:val="000000" w:themeColor="text1"/>
          <w:sz w:val="24"/>
          <w:szCs w:val="24"/>
          <w:highlight w:val="none"/>
        </w:rPr>
        <w:t xml:space="preserve">必须严守保密规定，确保信息数据的安全性，维护采购人合法权益。未经同意，不得将采购人信息数据向任何无关单位和个人提供和泄露，必须有严格的数据保密措施，如因操作不当导致数据泄密应追究相应法律责任。</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4、执行有关项目建设的国家法律、法规、规范、标准和制度，履行合同规定的义务和职责；遵守</w:t>
      </w:r>
      <w:r>
        <w:rPr>
          <w:rFonts w:hint="eastAsia" w:ascii="宋体" w:hAnsi="宋体" w:eastAsia="宋体" w:cs="宋体"/>
          <w:color w:val="000000" w:themeColor="text1"/>
          <w:sz w:val="24"/>
          <w:szCs w:val="24"/>
          <w:highlight w:val="none"/>
          <w:lang w:eastAsia="zh-CN"/>
        </w:rPr>
        <w:t xml:space="preserve">国家</w:t>
      </w:r>
      <w:r>
        <w:rPr>
          <w:rFonts w:hint="eastAsia" w:ascii="宋体" w:hAnsi="宋体" w:cs="宋体"/>
          <w:color w:val="000000" w:themeColor="text1"/>
          <w:sz w:val="24"/>
          <w:szCs w:val="24"/>
          <w:highlight w:val="none"/>
        </w:rPr>
        <w:t xml:space="preserve">法律和政府的有关条例、规定和办法等。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5、中标人须按要求提供项目成果资料，应根据信息化项目档案管理和验收要求，及时、全面、保质提供相关资料（包括但不限于涉及</w:t>
      </w:r>
      <w:r>
        <w:rPr>
          <w:rFonts w:hint="eastAsia" w:ascii="宋体" w:hAnsi="宋体" w:cs="宋体"/>
          <w:color w:val="000000" w:themeColor="text1"/>
          <w:sz w:val="24"/>
          <w:szCs w:val="24"/>
          <w:highlight w:val="none"/>
          <w:lang w:val="en-US" w:eastAsia="zh-CN"/>
        </w:rPr>
        <w:t xml:space="preserve">平台</w:t>
      </w:r>
      <w:r>
        <w:rPr>
          <w:rFonts w:hint="eastAsia" w:ascii="宋体" w:hAnsi="宋体" w:cs="宋体"/>
          <w:color w:val="000000" w:themeColor="text1"/>
          <w:sz w:val="24"/>
          <w:szCs w:val="24"/>
          <w:highlight w:val="none"/>
        </w:rPr>
        <w:t xml:space="preserve">开发、项目管理、</w:t>
      </w:r>
      <w:r>
        <w:rPr>
          <w:rFonts w:hint="eastAsia" w:ascii="宋体" w:hAnsi="宋体" w:cs="宋体"/>
          <w:color w:val="000000" w:themeColor="text1"/>
          <w:sz w:val="24"/>
          <w:szCs w:val="24"/>
          <w:highlight w:val="none"/>
          <w:lang w:val="en-US" w:eastAsia="zh-CN"/>
        </w:rPr>
        <w:t xml:space="preserve">数据存储、数据处理、</w:t>
      </w:r>
      <w:r>
        <w:rPr>
          <w:rFonts w:hint="eastAsia" w:ascii="宋体" w:hAnsi="宋体" w:cs="宋体"/>
          <w:color w:val="000000" w:themeColor="text1"/>
          <w:sz w:val="24"/>
          <w:szCs w:val="24"/>
          <w:highlight w:val="none"/>
        </w:rPr>
        <w:t xml:space="preserve">实施等文件、会议记录、台账等）。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（二）售后服务要求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1、提供全方位、</w:t>
      </w:r>
      <w:r>
        <w:rPr>
          <w:rFonts w:hint="eastAsia" w:ascii="宋体" w:hAnsi="宋体" w:eastAsia="宋体" w:cs="宋体"/>
          <w:color w:val="000000" w:themeColor="text1"/>
          <w:sz w:val="24"/>
          <w:szCs w:val="24"/>
          <w:highlight w:val="none"/>
          <w:lang w:eastAsia="zh-CN"/>
        </w:rPr>
        <w:t xml:space="preserve">及时</w:t>
      </w:r>
      <w:r>
        <w:rPr>
          <w:rFonts w:hint="eastAsia" w:ascii="宋体" w:hAnsi="宋体" w:cs="宋体"/>
          <w:color w:val="000000" w:themeColor="text1"/>
          <w:sz w:val="24"/>
          <w:szCs w:val="24"/>
          <w:highlight w:val="none"/>
        </w:rPr>
        <w:t xml:space="preserve">有效的技术支持和服务。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2、售后服务内容包含如下内容：</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①软件升级、维护：为</w:t>
      </w:r>
      <w:r>
        <w:rPr>
          <w:rFonts w:hint="eastAsia" w:ascii="宋体" w:hAnsi="宋体" w:cs="宋体"/>
          <w:color w:val="000000" w:themeColor="text1"/>
          <w:sz w:val="24"/>
          <w:szCs w:val="24"/>
          <w:highlight w:val="none"/>
          <w:lang w:val="en-US" w:eastAsia="zh-CN"/>
        </w:rPr>
        <w:t xml:space="preserve">平台</w:t>
      </w:r>
      <w:r>
        <w:rPr>
          <w:rFonts w:hint="eastAsia" w:ascii="宋体" w:hAnsi="宋体" w:cs="宋体"/>
          <w:color w:val="000000" w:themeColor="text1"/>
          <w:sz w:val="24"/>
          <w:szCs w:val="24"/>
          <w:highlight w:val="none"/>
        </w:rPr>
        <w:t xml:space="preserve">软件正常运行做免费维护期内的必要升级工作，为用户及时解决日常运行中出现的问题。在维护服务期内，如中标人提供的软件有升级，中标人应免费向采购人提供相应的升级服务；如发现软件系统有漏洞（包括在系统验收合格后发现的），中标人应免费提供补丁，并完成升级。</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②现场诊断与客户回访：对诊断发现的问题跟踪解决。</w:t>
      </w:r>
      <w:r>
        <w:rPr>
          <w:color w:val="000000" w:themeColor="text1"/>
          <w:highlight w:val="none"/>
        </w:rPr>
      </w:r>
      <w:r/>
    </w:p>
    <w:p>
      <w:pPr>
        <w:pStyle w:val="885"/>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③</w:t>
      </w:r>
      <w:r>
        <w:rPr>
          <w:rFonts w:hint="eastAsia" w:ascii="宋体" w:hAnsi="宋体" w:cs="宋体"/>
          <w:color w:val="000000" w:themeColor="text1"/>
          <w:sz w:val="24"/>
          <w:szCs w:val="24"/>
          <w:highlight w:val="none"/>
          <w:lang w:val="en-US" w:eastAsia="zh-CN"/>
        </w:rPr>
        <w:t xml:space="preserve">数据处理服务</w:t>
      </w:r>
      <w:r>
        <w:rPr>
          <w:rFonts w:hint="eastAsia" w:ascii="宋体" w:hAnsi="宋体" w:cs="宋体"/>
          <w:color w:val="000000" w:themeColor="text1"/>
          <w:sz w:val="24"/>
          <w:szCs w:val="24"/>
          <w:highlight w:val="none"/>
        </w:rPr>
        <w:t xml:space="preserve">：对</w:t>
      </w:r>
      <w:r>
        <w:rPr>
          <w:rFonts w:hint="eastAsia" w:ascii="宋体" w:hAnsi="宋体" w:cs="宋体"/>
          <w:color w:val="000000" w:themeColor="text1"/>
          <w:sz w:val="24"/>
          <w:szCs w:val="24"/>
          <w:highlight w:val="none"/>
          <w:lang w:val="en-US" w:eastAsia="zh-CN"/>
        </w:rPr>
        <w:t xml:space="preserve">委托方提出的数据处理要求提供妥善</w:t>
      </w:r>
      <w:r>
        <w:rPr>
          <w:rFonts w:hint="eastAsia" w:ascii="宋体" w:hAnsi="宋体" w:cs="宋体"/>
          <w:color w:val="000000" w:themeColor="text1"/>
          <w:sz w:val="24"/>
          <w:szCs w:val="24"/>
          <w:highlight w:val="none"/>
        </w:rPr>
        <w:t xml:space="preserve">解决</w:t>
      </w:r>
      <w:r>
        <w:rPr>
          <w:rFonts w:hint="eastAsia" w:ascii="宋体" w:hAnsi="宋体" w:cs="宋体"/>
          <w:color w:val="000000" w:themeColor="text1"/>
          <w:sz w:val="24"/>
          <w:szCs w:val="24"/>
          <w:highlight w:val="none"/>
          <w:lang w:val="en-US" w:eastAsia="zh-CN"/>
        </w:rPr>
        <w:t xml:space="preserve">方案，保障数据处理能达到委托方要求。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中标人应定期征求采购人的意见，反馈采购人的建议，对客户系统运行提供合理化建议。</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（三）培训服务要求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提供完善的</w:t>
      </w:r>
      <w:r>
        <w:rPr>
          <w:rFonts w:hint="eastAsia" w:ascii="宋体" w:hAnsi="宋体" w:cs="宋体"/>
          <w:color w:val="000000" w:themeColor="text1"/>
          <w:sz w:val="24"/>
          <w:szCs w:val="24"/>
          <w:highlight w:val="none"/>
          <w:lang w:val="en-US" w:eastAsia="zh-CN"/>
        </w:rPr>
        <w:t xml:space="preserve">平台</w:t>
      </w:r>
      <w:r>
        <w:rPr>
          <w:rFonts w:hint="eastAsia" w:ascii="宋体" w:hAnsi="宋体" w:cs="宋体"/>
          <w:color w:val="000000" w:themeColor="text1"/>
          <w:sz w:val="24"/>
          <w:szCs w:val="24"/>
          <w:highlight w:val="none"/>
        </w:rPr>
        <w:t xml:space="preserve">系统使用培训服务，包括对系统管理人员、系统使用人员、系统维护人员等进行必要的使用培训。</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1、应按要求分别列出系统正常运行、管理和使用所需要的培训，包括但不限于：培训内容；培训方式；培训次数；培训讲师安排；培训时间安排等。</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2、培训材料应采用中文撰写，培训的人数、时间、地点应根据采购人的实际情况确定。应提供系统操作手册。</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3、培训采用集中培训与现场操作指导相结合的方式进行。</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w:t>
      </w:r>
      <w:r>
        <w:rPr>
          <w:rFonts w:hint="eastAsia" w:ascii="宋体" w:hAnsi="宋体" w:cs="宋体"/>
          <w:color w:val="000000" w:themeColor="text1"/>
          <w:sz w:val="24"/>
          <w:szCs w:val="24"/>
          <w:highlight w:val="none"/>
          <w:lang w:val="en-US" w:eastAsia="zh-CN"/>
        </w:rPr>
        <w:t xml:space="preserve">服务响应</w:t>
      </w:r>
      <w:r>
        <w:rPr>
          <w:rFonts w:hint="eastAsia" w:ascii="宋体" w:hAnsi="宋体" w:cs="宋体"/>
          <w:color w:val="000000" w:themeColor="text1"/>
          <w:sz w:val="24"/>
          <w:szCs w:val="24"/>
          <w:highlight w:val="none"/>
        </w:rPr>
        <w:t xml:space="preserve">要求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质保期内,中标人需提供7×24小时电话、远程响应及现场服务响应,质保期从项目正式验收后开始计算。系统出现故障时，中标人应在0.5小时内做出明确响应安排，4小时内排除故障或采用应急替代方案，出现系统崩溃、安全缺陷等重大问题时,48小时内必须处理完毕并给出书面情况说明和建议。在远程支持难以满足服务要求需现场服务的，具有解决故障能力的工程师应在2小时内到达现场。</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自系统交付使用后,须指定专门运维人员，进行系统日常维护</w:t>
      </w:r>
      <w:r>
        <w:rPr>
          <w:rFonts w:hint="eastAsia" w:ascii="宋体" w:hAnsi="宋体" w:cs="宋体"/>
          <w:color w:val="000000" w:themeColor="text1"/>
          <w:sz w:val="24"/>
          <w:szCs w:val="24"/>
          <w:highlight w:val="none"/>
          <w:lang w:val="en-US" w:eastAsia="zh-CN"/>
        </w:rPr>
        <w:t xml:space="preserve">和数据处理配套服务，</w:t>
      </w:r>
      <w:r>
        <w:rPr>
          <w:rFonts w:hint="eastAsia" w:ascii="宋体" w:hAnsi="宋体" w:cs="宋体"/>
          <w:color w:val="000000" w:themeColor="text1"/>
          <w:sz w:val="24"/>
          <w:szCs w:val="24"/>
          <w:highlight w:val="none"/>
        </w:rPr>
        <w:t xml:space="preserve">随时响应采购人维护需求，如发</w:t>
      </w:r>
      <w:r>
        <w:rPr>
          <w:rFonts w:hint="eastAsia" w:ascii="宋体" w:hAnsi="宋体" w:cs="宋体"/>
          <w:color w:val="000000" w:themeColor="text1"/>
          <w:sz w:val="24"/>
          <w:szCs w:val="24"/>
          <w:highlight w:val="none"/>
        </w:rPr>
        <w:t xml:space="preserve">布系统存在缺陷和漏洞的,须对相关问题提供免费技术维护和升级服务。</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（五）知识产权要求</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应保证采购人在使用本项目软件、服务及其任何部分时不受到第三方关于侵犯专利权、商标权或软件著作权等知识产权的指控。任何第三方如果提出侵权指控，投标人应承担可能发生的一切法律责任和费用。</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（六）工期要求</w:t>
      </w:r>
      <w:r>
        <w:rPr>
          <w:color w:val="000000" w:themeColor="text1"/>
          <w:highlight w:val="none"/>
        </w:rPr>
      </w:r>
      <w:r/>
    </w:p>
    <w:p>
      <w:pPr>
        <w:pStyle w:val="885"/>
        <w:ind w:firstLine="480"/>
        <w:spacing w:line="360" w:lineRule="auto"/>
        <w:rPr>
          <w:rFonts w:hint="eastAsia" w:ascii="宋体" w:hAnsi="宋体"/>
          <w:bCs/>
          <w:color w:val="000000" w:themeColor="text1"/>
          <w:sz w:val="24"/>
          <w:szCs w:val="24"/>
          <w:highlight w:val="none"/>
        </w:rPr>
      </w:pPr>
      <w:r>
        <w:rPr>
          <w:rFonts w:hint="eastAsia" w:ascii="宋体"/>
          <w:bCs/>
          <w:color w:val="000000" w:themeColor="text1"/>
          <w:sz w:val="24"/>
          <w:szCs w:val="24"/>
          <w:highlight w:val="none"/>
        </w:rPr>
        <w:t xml:space="preserve">项目合同签订生效后，7个月内完成</w:t>
      </w:r>
      <w:r>
        <w:rPr>
          <w:rFonts w:hint="eastAsia" w:ascii="宋体"/>
          <w:bCs/>
          <w:color w:val="000000" w:themeColor="text1"/>
          <w:sz w:val="24"/>
          <w:szCs w:val="24"/>
          <w:highlight w:val="none"/>
          <w:lang w:val="en-US" w:eastAsia="zh-CN"/>
        </w:rPr>
        <w:t xml:space="preserve">平台</w:t>
      </w:r>
      <w:r>
        <w:rPr>
          <w:rFonts w:hint="eastAsia" w:ascii="宋体"/>
          <w:bCs/>
          <w:color w:val="000000" w:themeColor="text1"/>
          <w:sz w:val="24"/>
          <w:szCs w:val="24"/>
          <w:highlight w:val="none"/>
        </w:rPr>
        <w:t xml:space="preserve">建设（包含试运行3个月）</w:t>
      </w:r>
      <w:r>
        <w:rPr>
          <w:rFonts w:hint="eastAsia" w:ascii="宋体"/>
          <w:bCs/>
          <w:color w:val="000000" w:themeColor="text1"/>
          <w:sz w:val="24"/>
          <w:szCs w:val="24"/>
          <w:highlight w:val="none"/>
          <w:lang w:eastAsia="zh-CN"/>
        </w:rPr>
        <w:t xml:space="preserve">，</w:t>
      </w:r>
      <w:r>
        <w:rPr>
          <w:rFonts w:hint="eastAsia" w:ascii="宋体"/>
          <w:bCs/>
          <w:color w:val="000000" w:themeColor="text1"/>
          <w:sz w:val="24"/>
          <w:szCs w:val="24"/>
          <w:highlight w:val="none"/>
          <w:lang w:val="en-US" w:eastAsia="zh-CN"/>
        </w:rPr>
        <w:t xml:space="preserve">所有卡片等</w:t>
      </w:r>
      <w:r>
        <w:rPr>
          <w:rFonts w:hint="eastAsia" w:ascii="仿宋_GB2312"/>
          <w:color w:val="000000" w:themeColor="text1"/>
          <w:sz w:val="24"/>
          <w:szCs w:val="24"/>
          <w:highlight w:val="none"/>
          <w:lang w:val="en-US" w:eastAsia="zh-CN"/>
        </w:rPr>
        <w:t xml:space="preserve">数据采集、</w:t>
      </w:r>
      <w:r>
        <w:rPr>
          <w:rFonts w:hint="eastAsia" w:ascii="宋体" w:hAnsi="宋体" w:cs="宋体"/>
          <w:color w:val="000000" w:themeColor="text1"/>
          <w:sz w:val="24"/>
          <w:szCs w:val="24"/>
          <w:highlight w:val="none"/>
          <w:lang w:val="en-US" w:eastAsia="zh-CN"/>
        </w:rPr>
        <w:t xml:space="preserve">处理工作也需在2026年12月31日前完成，后续保持月度、季度、年度和日常相关更新工作</w:t>
      </w:r>
      <w:r>
        <w:rPr>
          <w:rFonts w:hint="eastAsia" w:ascii="宋体"/>
          <w:bCs/>
          <w:color w:val="000000" w:themeColor="text1"/>
          <w:sz w:val="24"/>
          <w:szCs w:val="24"/>
          <w:highlight w:val="none"/>
        </w:rPr>
        <w:t xml:space="preserve">。</w:t>
      </w:r>
      <w:r>
        <w:rPr>
          <w:color w:val="000000" w:themeColor="text1"/>
          <w:highlight w:val="none"/>
        </w:rPr>
      </w:r>
      <w:r/>
    </w:p>
    <w:p>
      <w:pPr>
        <w:pStyle w:val="885"/>
        <w:ind w:firstLine="482"/>
        <w:spacing w:line="360" w:lineRule="auto"/>
        <w:rPr>
          <w:rFonts w:hint="eastAsia" w:ascii="宋体" w:hAnsi="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.履约验收要求</w:t>
      </w:r>
      <w:r>
        <w:rPr>
          <w:color w:val="000000" w:themeColor="text1"/>
          <w:highlight w:val="none"/>
        </w:rPr>
      </w:r>
      <w:r/>
    </w:p>
    <w:p>
      <w:pPr>
        <w:pStyle w:val="885"/>
        <w:ind w:firstLine="480"/>
        <w:spacing w:line="360" w:lineRule="auto"/>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4.1  履约验收主体：无锡市财政局</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4.2  履约验收时间：</w:t>
      </w:r>
      <w:r>
        <w:rPr>
          <w:rFonts w:ascii="宋体" w:hAnsi="宋体"/>
          <w:bCs/>
          <w:color w:val="000000" w:themeColor="text1"/>
          <w:sz w:val="24"/>
          <w:szCs w:val="24"/>
          <w:highlight w:val="none"/>
        </w:rPr>
        <w:t xml:space="preserve">自合同签订生效之日起7个月内完成平台建设（其中，包含试运行3个月，试运行期满后组织项目终验）</w:t>
      </w:r>
      <w:r>
        <w:rPr>
          <w:color w:val="000000" w:themeColor="text1"/>
          <w:highlight w:val="none"/>
        </w:rPr>
      </w:r>
      <w:r/>
    </w:p>
    <w:p>
      <w:pPr>
        <w:pStyle w:val="885"/>
        <w:ind w:firstLine="480"/>
        <w:spacing w:line="360" w:lineRule="auto"/>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4.3  履约验收方式：</w:t>
      </w:r>
      <w:r>
        <w:rPr>
          <w:rFonts w:ascii="宋体" w:hAnsi="宋体"/>
          <w:bCs/>
          <w:color w:val="000000" w:themeColor="text1"/>
          <w:sz w:val="24"/>
          <w:szCs w:val="24"/>
          <w:highlight w:val="none"/>
        </w:rPr>
        <w:t xml:space="preserve">组织专家验收</w:t>
      </w:r>
      <w:r>
        <w:rPr>
          <w:color w:val="000000" w:themeColor="text1"/>
          <w:highlight w:val="none"/>
        </w:rPr>
      </w:r>
      <w:r/>
    </w:p>
    <w:p>
      <w:pPr>
        <w:pStyle w:val="885"/>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4.4  履约验收程序：根据监理单位核查情况，</w:t>
      </w:r>
      <w:r>
        <w:rPr>
          <w:rFonts w:hint="eastAsia" w:ascii="宋体" w:hAnsi="宋体"/>
          <w:bCs/>
          <w:color w:val="000000" w:themeColor="text1"/>
          <w:sz w:val="24"/>
          <w:szCs w:val="24"/>
          <w:highlight w:val="none"/>
          <w:lang w:val="en-US" w:eastAsia="zh-CN"/>
        </w:rPr>
        <w:t xml:space="preserve">结合</w:t>
      </w:r>
      <w:r>
        <w:rPr>
          <w:rFonts w:ascii="宋体" w:hAnsi="宋体"/>
          <w:bCs/>
          <w:color w:val="000000" w:themeColor="text1"/>
          <w:sz w:val="24"/>
          <w:szCs w:val="24"/>
          <w:highlight w:val="none"/>
        </w:rPr>
        <w:t xml:space="preserve">《</w:t>
      </w:r>
      <w:bookmarkStart w:id="193" w:name="OLE_LINK12"/>
      <w:r>
        <w:rPr>
          <w:rFonts w:ascii="宋体" w:hAnsi="宋体"/>
          <w:bCs/>
          <w:color w:val="000000" w:themeColor="text1"/>
          <w:sz w:val="24"/>
          <w:szCs w:val="24"/>
          <w:highlight w:val="none"/>
        </w:rPr>
        <w:t xml:space="preserve">无锡市市级政务信息化项目验收管理办法</w:t>
      </w:r>
      <w:bookmarkEnd w:id="193"/>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对</w:t>
      </w:r>
      <w:r>
        <w:rPr>
          <w:rFonts w:hint="eastAsia" w:ascii="宋体" w:hAnsi="宋体"/>
          <w:bCs/>
          <w:color w:val="000000" w:themeColor="text1"/>
          <w:sz w:val="24"/>
          <w:szCs w:val="24"/>
          <w:highlight w:val="none"/>
        </w:rPr>
        <w:t xml:space="preserve">日常使用、管理反馈</w:t>
      </w:r>
      <w:r>
        <w:rPr>
          <w:rFonts w:hint="eastAsia" w:ascii="宋体" w:hAnsi="宋体"/>
          <w:bCs/>
          <w:color w:val="000000" w:themeColor="text1"/>
          <w:sz w:val="24"/>
          <w:szCs w:val="24"/>
          <w:highlight w:val="none"/>
          <w:lang w:val="en-US" w:eastAsia="zh-CN"/>
        </w:rPr>
        <w:t xml:space="preserve">问题</w:t>
      </w:r>
      <w:r>
        <w:rPr>
          <w:rFonts w:hint="eastAsia" w:ascii="宋体" w:hAnsi="宋体"/>
          <w:bCs/>
          <w:color w:val="000000" w:themeColor="text1"/>
          <w:sz w:val="24"/>
          <w:szCs w:val="24"/>
          <w:highlight w:val="none"/>
        </w:rPr>
        <w:t xml:space="preserve">整改落实情况等开展终验。</w:t>
      </w:r>
      <w:r>
        <w:rPr>
          <w:color w:val="000000" w:themeColor="text1"/>
          <w:highlight w:val="none"/>
        </w:rPr>
      </w:r>
      <w:r/>
    </w:p>
    <w:p>
      <w:pPr>
        <w:pStyle w:val="885"/>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4.5  履约</w:t>
      </w:r>
      <w:r>
        <w:rPr>
          <w:rFonts w:hint="eastAsia" w:ascii="宋体" w:hAnsi="宋体"/>
          <w:bCs/>
          <w:color w:val="000000" w:themeColor="text1"/>
          <w:sz w:val="24"/>
          <w:szCs w:val="24"/>
          <w:highlight w:val="none"/>
        </w:rPr>
        <w:t xml:space="preserve">验收内容和标准：智慧国资监管服务平台和区块链系统完备后，开展数据登记、江阴等地区、镇街数据迁移后，开展试运行，实现与省级平台的数据同步，开展租赁等审批服务；试运行期间若发生与技术要求不符或与初验记录不一致的情况时，中标供应商应配合采购人解决问题，否则不予开展下一步验收。属于中标供应商工作严重失职造成的较大损失的，追究其单位的责任和损失。资产清查与数据处理服务和运行安全符合条件，中标供应商向采购人提交后续验收申请，验收方案由采购人最终确定，并在一个月内由采购人组织验收。根据采购人确定的最终验收方案，完成验收。</w:t>
      </w:r>
      <w:r>
        <w:rPr>
          <w:color w:val="000000" w:themeColor="text1"/>
          <w:highlight w:val="none"/>
        </w:rPr>
      </w:r>
      <w:r/>
    </w:p>
    <w:p>
      <w:pPr>
        <w:pStyle w:val="885"/>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5"/>
        <w:ind w:firstLine="602"/>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rPr>
        <w:br w:type="page" w:clear="all"/>
      </w:r>
      <w:r>
        <w:rPr>
          <w:rFonts w:hint="eastAsia" w:ascii="宋体" w:hAnsi="宋体"/>
          <w:b/>
          <w:color w:val="000000" w:themeColor="text1"/>
          <w:sz w:val="30"/>
          <w:szCs w:val="30"/>
          <w:highlight w:val="none"/>
        </w:rPr>
        <w:t xml:space="preserve">第二部分  有关说明</w:t>
      </w:r>
      <w:r>
        <w:rPr>
          <w:color w:val="000000" w:themeColor="text1"/>
          <w:highlight w:val="none"/>
        </w:rPr>
      </w:r>
      <w:r/>
    </w:p>
    <w:p>
      <w:pPr>
        <w:pStyle w:val="885"/>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投标总报价包括满足本项目服务要求的从项目中标起到项目正式交付以及服务期内所发生的一切费用。</w:t>
      </w:r>
      <w:r>
        <w:rPr>
          <w:color w:val="000000" w:themeColor="text1"/>
          <w:highlight w:val="none"/>
        </w:rPr>
      </w:r>
      <w:r/>
    </w:p>
    <w:p>
      <w:pPr>
        <w:pStyle w:val="885"/>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进口产品是指通过中国海关报关验放进入中国境内且产自关境外的产品。</w:t>
      </w:r>
      <w:r>
        <w:rPr>
          <w:color w:val="000000" w:themeColor="text1"/>
          <w:highlight w:val="none"/>
        </w:rPr>
      </w:r>
      <w:r/>
    </w:p>
    <w:p>
      <w:pPr>
        <w:pStyle w:val="885"/>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color w:val="000000" w:themeColor="text1"/>
          <w:highlight w:val="none"/>
        </w:rPr>
      </w:r>
      <w:r/>
    </w:p>
    <w:p>
      <w:pPr>
        <w:pStyle w:val="885"/>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服务期</w:t>
      </w:r>
      <w:r>
        <w:rPr>
          <w:rFonts w:hint="eastAsia" w:ascii="宋体" w:hAnsi="宋体"/>
          <w:bCs/>
          <w:color w:val="000000" w:themeColor="text1"/>
          <w:sz w:val="24"/>
          <w:szCs w:val="24"/>
          <w:highlight w:val="none"/>
        </w:rPr>
        <w:t xml:space="preserve">/完工期：</w:t>
      </w:r>
      <w:r>
        <w:rPr>
          <w:rFonts w:hint="eastAsia" w:ascii="宋体" w:hAnsi="宋体"/>
          <w:bCs/>
          <w:color w:val="000000" w:themeColor="text1"/>
          <w:sz w:val="24"/>
          <w:szCs w:val="24"/>
          <w:highlight w:val="none"/>
          <w:lang w:val="en-US" w:eastAsia="zh-CN"/>
        </w:rPr>
        <w:t xml:space="preserve">自合同签订生效之日起三年。其中合同签订生效之日起</w:t>
      </w:r>
      <w:r>
        <w:rPr>
          <w:rFonts w:hint="eastAsia" w:ascii="宋体"/>
          <w:bCs/>
          <w:color w:val="000000" w:themeColor="text1"/>
          <w:sz w:val="24"/>
          <w:szCs w:val="24"/>
          <w:highlight w:val="none"/>
        </w:rPr>
        <w:t xml:space="preserve">7个月内完成</w:t>
      </w:r>
      <w:r>
        <w:rPr>
          <w:rFonts w:hint="eastAsia" w:ascii="宋体"/>
          <w:bCs/>
          <w:color w:val="000000" w:themeColor="text1"/>
          <w:sz w:val="24"/>
          <w:szCs w:val="24"/>
          <w:highlight w:val="none"/>
          <w:lang w:val="en-US" w:eastAsia="zh-CN"/>
        </w:rPr>
        <w:t xml:space="preserve">平台</w:t>
      </w:r>
      <w:r>
        <w:rPr>
          <w:rFonts w:hint="eastAsia" w:ascii="宋体"/>
          <w:bCs/>
          <w:color w:val="000000" w:themeColor="text1"/>
          <w:sz w:val="24"/>
          <w:szCs w:val="24"/>
          <w:highlight w:val="none"/>
        </w:rPr>
        <w:t xml:space="preserve">建设（包含</w:t>
      </w:r>
      <w:r>
        <w:rPr>
          <w:rFonts w:hint="eastAsia" w:ascii="宋体"/>
          <w:bCs/>
          <w:color w:val="000000" w:themeColor="text1"/>
          <w:sz w:val="24"/>
          <w:szCs w:val="24"/>
          <w:highlight w:val="none"/>
        </w:rPr>
        <w:t xml:space="preserve">试运行3个月</w:t>
      </w:r>
      <w:r>
        <w:rPr>
          <w:rFonts w:hint="eastAsia" w:ascii="宋体"/>
          <w:bCs/>
          <w:color w:val="000000" w:themeColor="text1"/>
          <w:sz w:val="24"/>
          <w:szCs w:val="24"/>
          <w:highlight w:val="none"/>
        </w:rPr>
        <w:t xml:space="preserve">）</w:t>
      </w:r>
      <w:r>
        <w:rPr>
          <w:rFonts w:hint="eastAsia" w:ascii="宋体"/>
          <w:bCs/>
          <w:color w:val="000000" w:themeColor="text1"/>
          <w:sz w:val="24"/>
          <w:szCs w:val="24"/>
          <w:highlight w:val="none"/>
          <w:lang w:eastAsia="zh-CN"/>
        </w:rPr>
        <w:t xml:space="preserve">。</w:t>
      </w:r>
      <w:r>
        <w:rPr>
          <w:rFonts w:hint="eastAsia" w:ascii="宋体"/>
          <w:bCs/>
          <w:color w:val="000000" w:themeColor="text1"/>
          <w:sz w:val="24"/>
          <w:szCs w:val="24"/>
          <w:highlight w:val="none"/>
          <w:lang w:val="en-US" w:eastAsia="zh-CN"/>
        </w:rPr>
        <w:t xml:space="preserve">服务期内应</w:t>
      </w:r>
      <w:r>
        <w:rPr>
          <w:rFonts w:hint="eastAsia" w:ascii="宋体"/>
          <w:bCs/>
          <w:color w:val="000000" w:themeColor="text1"/>
          <w:sz w:val="24"/>
          <w:szCs w:val="24"/>
          <w:highlight w:val="none"/>
        </w:rPr>
        <w:t xml:space="preserve">免费原厂质保服务，涵盖功能缺陷修复、版本兼容性适配及必要升级等技术支持和维护服务</w:t>
      </w:r>
      <w:r>
        <w:rPr>
          <w:rFonts w:hint="eastAsia" w:ascii="宋体"/>
          <w:bCs/>
          <w:color w:val="000000" w:themeColor="text1"/>
          <w:sz w:val="24"/>
          <w:szCs w:val="24"/>
          <w:highlight w:val="none"/>
          <w:lang w:val="en-US" w:eastAsia="zh-CN"/>
        </w:rPr>
        <w:t xml:space="preserve">等。</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w:t>
      </w:r>
      <w:r>
        <w:rPr>
          <w:rFonts w:hint="eastAsia" w:ascii="宋体" w:hAnsi="宋体" w:eastAsia="宋体" w:cs="Times New Roman"/>
          <w:bCs/>
          <w:color w:val="000000" w:themeColor="text1"/>
          <w:sz w:val="24"/>
          <w:szCs w:val="24"/>
          <w:highlight w:val="none"/>
          <w:lang w:val="en-US" w:eastAsia="zh-CN"/>
        </w:rPr>
        <w:t xml:space="preserve">合同签订生效之日起30个工作日内支付</w:t>
      </w:r>
      <w:r>
        <w:rPr>
          <w:rFonts w:hint="eastAsia" w:ascii="宋体" w:hAnsi="宋体" w:eastAsia="宋体" w:cs="Times New Roman"/>
          <w:bCs/>
          <w:color w:val="000000" w:themeColor="text1"/>
          <w:sz w:val="24"/>
          <w:szCs w:val="24"/>
          <w:highlight w:val="none"/>
        </w:rPr>
        <w:t xml:space="preserve">30</w:t>
      </w:r>
      <w:r>
        <w:rPr>
          <w:rFonts w:hint="eastAsia" w:ascii="宋体" w:hAnsi="宋体"/>
          <w:bCs/>
          <w:color w:val="000000" w:themeColor="text1"/>
          <w:sz w:val="24"/>
          <w:szCs w:val="24"/>
          <w:highlight w:val="none"/>
        </w:rPr>
        <w:t xml:space="preserve">%，第二年</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2027.12.31）</w:t>
      </w:r>
      <w:r>
        <w:rPr>
          <w:rFonts w:hint="eastAsia" w:ascii="宋体" w:hAnsi="宋体"/>
          <w:bCs/>
          <w:color w:val="000000" w:themeColor="text1"/>
          <w:sz w:val="24"/>
          <w:szCs w:val="24"/>
          <w:highlight w:val="none"/>
        </w:rPr>
        <w:t xml:space="preserve">过程验收</w:t>
      </w:r>
      <w:r>
        <w:rPr>
          <w:rFonts w:hint="eastAsia" w:ascii="宋体" w:hAnsi="宋体"/>
          <w:bCs/>
          <w:color w:val="000000" w:themeColor="text1"/>
          <w:sz w:val="24"/>
          <w:szCs w:val="24"/>
          <w:highlight w:val="none"/>
          <w:lang w:val="en-US" w:eastAsia="zh-CN"/>
        </w:rPr>
        <w:t xml:space="preserve">合格后付款</w:t>
      </w:r>
      <w:r>
        <w:rPr>
          <w:rFonts w:hint="eastAsia" w:ascii="宋体" w:hAnsi="宋体"/>
          <w:bCs/>
          <w:color w:val="000000" w:themeColor="text1"/>
          <w:sz w:val="24"/>
          <w:szCs w:val="24"/>
          <w:highlight w:val="none"/>
        </w:rPr>
        <w:t xml:space="preserve">30%，第三年</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2028.12.31）</w:t>
      </w:r>
      <w:r>
        <w:rPr>
          <w:rFonts w:hint="eastAsia" w:ascii="宋体" w:hAnsi="宋体"/>
          <w:bCs/>
          <w:color w:val="000000" w:themeColor="text1"/>
          <w:sz w:val="24"/>
          <w:szCs w:val="24"/>
          <w:highlight w:val="none"/>
        </w:rPr>
        <w:t xml:space="preserve">支付尾款。</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themeColor="text1"/>
          <w:sz w:val="24"/>
          <w:szCs w:val="24"/>
          <w:highlight w:val="none"/>
        </w:rPr>
        <w:t xml:space="preserve">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color w:val="000000" w:themeColor="text1"/>
          <w:highlight w:val="none"/>
        </w:rPr>
      </w:r>
      <w:r/>
    </w:p>
    <w:p>
      <w:pPr>
        <w:pStyle w:val="885"/>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highlight w:val="none"/>
        </w:rPr>
      </w:r>
      <w:r/>
    </w:p>
    <w:p>
      <w:pPr>
        <w:pStyle w:val="885"/>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color w:val="000000" w:themeColor="text1"/>
          <w:highlight w:val="none"/>
        </w:rPr>
      </w:r>
      <w:r/>
    </w:p>
    <w:p>
      <w:pPr>
        <w:pStyle w:val="885"/>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highlight w:val="none"/>
        </w:rPr>
      </w:r>
      <w:r/>
    </w:p>
    <w:p>
      <w:pPr>
        <w:pStyle w:val="885"/>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color w:val="000000" w:themeColor="text1"/>
          <w:highlight w:val="none"/>
        </w:rPr>
      </w:r>
      <w:r/>
    </w:p>
    <w:p>
      <w:pPr>
        <w:pStyle w:val="885"/>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color w:val="000000" w:themeColor="text1"/>
          <w:highlight w:val="none"/>
        </w:rPr>
      </w:r>
      <w:r/>
    </w:p>
    <w:p>
      <w:pPr>
        <w:pStyle w:val="885"/>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color w:val="000000" w:themeColor="text1"/>
          <w:highlight w:val="none"/>
        </w:rPr>
      </w:r>
      <w:r/>
    </w:p>
    <w:p>
      <w:pPr>
        <w:pStyle w:val="885"/>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color w:val="000000" w:themeColor="text1"/>
          <w:highlight w:val="none"/>
        </w:rPr>
      </w:r>
      <w:r/>
    </w:p>
    <w:p>
      <w:pPr>
        <w:pStyle w:val="885"/>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color w:val="000000" w:themeColor="text1"/>
          <w:highlight w:val="none"/>
        </w:rPr>
      </w:r>
      <w:r/>
    </w:p>
    <w:p>
      <w:pPr>
        <w:pStyle w:val="885"/>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color w:val="000000" w:themeColor="text1"/>
          <w:highlight w:val="none"/>
        </w:rPr>
      </w:r>
      <w:r/>
    </w:p>
    <w:p>
      <w:pPr>
        <w:pStyle w:val="885"/>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4" w:name="OLE_LINK2"/>
      <w:r>
        <w:rPr>
          <w:color w:val="000000" w:themeColor="text1"/>
          <w:highlight w:val="none"/>
        </w:rPr>
      </w:r>
      <w:bookmarkStart w:id="195" w:name="OLE_LINK1"/>
      <w:r>
        <w:rPr>
          <w:rFonts w:hint="eastAsia" w:ascii="宋体"/>
          <w:bCs/>
          <w:color w:val="000000" w:themeColor="text1"/>
          <w:sz w:val="24"/>
          <w:szCs w:val="24"/>
          <w:highlight w:val="none"/>
        </w:rPr>
        <w:t xml:space="preserve">《保障中小企业款项支付条例》（中华人民共和国国务院令第802号）</w:t>
      </w:r>
      <w:bookmarkEnd w:id="194"/>
      <w:r>
        <w:rPr>
          <w:color w:val="000000" w:themeColor="text1"/>
          <w:highlight w:val="none"/>
        </w:rPr>
      </w:r>
      <w:bookmarkEnd w:id="195"/>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color w:val="000000" w:themeColor="text1"/>
          <w:highlight w:val="none"/>
        </w:rPr>
      </w:r>
      <w:r/>
    </w:p>
    <w:p>
      <w:pPr>
        <w:pStyle w:val="885"/>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color w:val="000000" w:themeColor="text1"/>
          <w:highlight w:val="none"/>
        </w:rPr>
      </w:r>
      <w:r/>
    </w:p>
    <w:p>
      <w:pPr>
        <w:pStyle w:val="885"/>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r/>
    </w:p>
    <w:p>
      <w:pPr>
        <w:pStyle w:val="885"/>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6" w:name="_Toc120614281"/>
      <w:r>
        <w:rPr>
          <w:rFonts w:hint="eastAsia" w:ascii="黑体" w:hAnsi="黑体" w:eastAsia="黑体"/>
          <w:color w:val="000000" w:themeColor="text1"/>
          <w:sz w:val="36"/>
          <w:szCs w:val="36"/>
          <w:highlight w:val="none"/>
        </w:rPr>
        <w:t xml:space="preserve">第五章  评标方法与评标标准</w:t>
      </w:r>
      <w:r>
        <w:rPr>
          <w:color w:val="000000" w:themeColor="text1"/>
          <w:highlight w:val="none"/>
        </w:rPr>
      </w:r>
      <w:r/>
    </w:p>
    <w:p>
      <w:pPr>
        <w:pStyle w:val="975"/>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color w:val="000000" w:themeColor="text1"/>
          <w:highlight w:val="none"/>
        </w:rPr>
      </w:r>
      <w:r/>
    </w:p>
    <w:p>
      <w:pPr>
        <w:pStyle w:val="975"/>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color w:val="000000" w:themeColor="text1"/>
          <w:highlight w:val="none"/>
        </w:rPr>
      </w:r>
      <w:r/>
    </w:p>
    <w:p>
      <w:pPr>
        <w:pStyle w:val="975"/>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color w:val="000000" w:themeColor="text1"/>
          <w:highlight w:val="none"/>
        </w:rPr>
      </w:r>
      <w:r/>
    </w:p>
    <w:p>
      <w:pPr>
        <w:pStyle w:val="975"/>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color w:val="000000" w:themeColor="text1"/>
          <w:highlight w:val="none"/>
        </w:rPr>
      </w:r>
      <w:r/>
    </w:p>
    <w:p>
      <w:pPr>
        <w:pStyle w:val="975"/>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000000" w:themeColor="text1"/>
          <w:highlight w:val="none"/>
        </w:rPr>
      </w:r>
      <w:r/>
    </w:p>
    <w:p>
      <w:pPr>
        <w:pStyle w:val="975"/>
        <w:spacing w:before="0" w:after="0" w:line="500" w:lineRule="exact"/>
        <w:rPr>
          <w:rFonts w:hint="eastAsia" w:ascii="宋体" w:hAnsi="宋体" w:cs="Arial"/>
          <w:color w:val="000000" w:themeColor="text1"/>
          <w:highlight w:val="none"/>
        </w:rPr>
      </w:pPr>
      <w:r>
        <w:rPr>
          <w:rFonts w:hint="eastAsia" w:ascii="宋体" w:hAnsi="宋体" w:cs="Arial"/>
          <w:color w:val="000000" w:themeColor="text1"/>
          <w:highlight w:val="none"/>
        </w:rPr>
      </w:r>
      <w:r>
        <w:rPr>
          <w:color w:val="000000" w:themeColor="text1"/>
          <w:highlight w:val="none"/>
        </w:rPr>
      </w:r>
      <w:r/>
    </w:p>
    <w:p>
      <w:pPr>
        <w:pStyle w:val="975"/>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rPr>
          <w:color w:val="000000" w:themeColor="text1"/>
          <w:highlight w:val="none"/>
        </w:rPr>
      </w:r>
      <w:r/>
    </w:p>
    <w:p>
      <w:pPr>
        <w:pStyle w:val="975"/>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color w:val="000000" w:themeColor="text1"/>
          <w:highlight w:val="none"/>
        </w:rPr>
      </w:r>
      <w:r/>
    </w:p>
    <w:p>
      <w:pPr>
        <w:pStyle w:val="885"/>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color w:val="000000" w:themeColor="text1"/>
          <w:highlight w:val="none"/>
        </w:rPr>
      </w:r>
      <w:r/>
    </w:p>
    <w:p>
      <w:pPr>
        <w:pStyle w:val="885"/>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color w:val="000000" w:themeColor="text1"/>
          <w:highlight w:val="none"/>
        </w:rPr>
      </w:r>
      <w:r/>
    </w:p>
    <w:p>
      <w:pPr>
        <w:pStyle w:val="885"/>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rPr>
          <w:color w:val="000000" w:themeColor="text1"/>
          <w:highlight w:val="none"/>
        </w:rPr>
      </w:r>
      <w:r/>
    </w:p>
    <w:p>
      <w:pPr>
        <w:pStyle w:val="885"/>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color w:val="000000" w:themeColor="text1"/>
          <w:highlight w:val="none"/>
        </w:rPr>
      </w:r>
      <w:r/>
    </w:p>
    <w:p>
      <w:pPr>
        <w:pStyle w:val="885"/>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rPr>
          <w:color w:val="000000" w:themeColor="text1"/>
          <w:highlight w:val="none"/>
        </w:rPr>
      </w:r>
      <w:r/>
    </w:p>
    <w:p>
      <w:pPr>
        <w:pStyle w:val="885"/>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color w:val="000000" w:themeColor="text1"/>
          <w:highlight w:val="none"/>
        </w:rPr>
      </w:r>
      <w:r/>
    </w:p>
    <w:p>
      <w:pPr>
        <w:pStyle w:val="885"/>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color w:val="000000" w:themeColor="text1"/>
          <w:highlight w:val="none"/>
        </w:rPr>
      </w:r>
      <w:r/>
    </w:p>
    <w:p>
      <w:pPr>
        <w:pStyle w:val="975"/>
        <w:ind w:firstLine="360"/>
        <w:spacing w:before="0" w:after="0" w:line="500" w:lineRule="exact"/>
        <w:rPr>
          <w:rFonts w:hint="eastAsia" w:ascii="宋体" w:hAnsi="宋体"/>
          <w:color w:val="000000" w:themeColor="text1"/>
          <w:highlight w:val="none"/>
          <w:shd w:val="clear" w:color="ffffff" w:fill="d9d9d9"/>
        </w:rPr>
      </w:pPr>
      <w:r>
        <w:rPr>
          <w:color w:val="000000" w:themeColor="text1"/>
          <w:highlight w:val="none"/>
        </w:rPr>
        <w:br w:type="page" w:clear="all"/>
      </w:r>
      <w:r>
        <w:rPr>
          <w:rFonts w:hint="eastAsia" w:ascii="宋体" w:hAnsi="宋体"/>
          <w:b/>
          <w:color w:val="000000" w:themeColor="text1"/>
          <w:sz w:val="28"/>
          <w:szCs w:val="28"/>
          <w:highlight w:val="none"/>
        </w:rPr>
        <w:t xml:space="preserve">二、评分标准</w:t>
      </w:r>
      <w:r>
        <w:rPr>
          <w:color w:val="000000" w:themeColor="text1"/>
          <w:highlight w:val="none"/>
        </w:rPr>
      </w:r>
      <w:r/>
    </w:p>
    <w:p>
      <w:pPr>
        <w:pStyle w:val="885"/>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10</w:t>
      </w:r>
      <w:r>
        <w:rPr>
          <w:rFonts w:hint="eastAsia" w:ascii="宋体" w:hAnsi="宋体"/>
          <w:b/>
          <w:bCs/>
          <w:color w:val="000000" w:themeColor="text1"/>
          <w:sz w:val="24"/>
          <w:szCs w:val="24"/>
          <w:highlight w:val="none"/>
        </w:rPr>
        <w:t xml:space="preserve">分）：</w:t>
      </w:r>
      <w:r>
        <w:rPr>
          <w:color w:val="000000" w:themeColor="text1"/>
          <w:highlight w:val="none"/>
        </w:rPr>
      </w:r>
      <w:r/>
    </w:p>
    <w:p>
      <w:pPr>
        <w:pStyle w:val="885"/>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themeColor="text1"/>
          <w:highlight w:val="none"/>
        </w:rPr>
      </w:r>
      <w:r/>
    </w:p>
    <w:p>
      <w:pPr>
        <w:pStyle w:val="885"/>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因落实政府采购政策进行价格调整的，以调整后的价格计算评标基准价和投标报价。关于价格扣除详见本章第二部分“一、落实政府采购政策的价格调整”。</w:t>
      </w:r>
      <w:r>
        <w:rPr>
          <w:color w:val="000000" w:themeColor="text1"/>
          <w:highlight w:val="none"/>
        </w:rPr>
      </w:r>
      <w:r/>
    </w:p>
    <w:p>
      <w:pPr>
        <w:pStyle w:val="885"/>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项目人员配置情况（</w:t>
      </w:r>
      <w:r>
        <w:rPr>
          <w:rFonts w:hint="eastAsia" w:ascii="宋体" w:hAnsi="宋体"/>
          <w:b/>
          <w:bCs/>
          <w:color w:val="000000" w:themeColor="text1"/>
          <w:sz w:val="24"/>
          <w:szCs w:val="24"/>
          <w:highlight w:val="none"/>
          <w:lang w:val="en-US" w:eastAsia="zh-CN"/>
        </w:rPr>
        <w:t xml:space="preserve">14</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以下人员不得兼任。</w:t>
      </w:r>
      <w:r>
        <w:rPr>
          <w:color w:val="000000" w:themeColor="text1"/>
          <w:highlight w:val="none"/>
        </w:rPr>
      </w:r>
      <w:r/>
    </w:p>
    <w:p>
      <w:pPr>
        <w:pStyle w:val="885"/>
        <w:ind w:firstLine="480"/>
        <w:spacing w:line="360" w:lineRule="auto"/>
        <w:tabs>
          <w:tab w:val="left" w:pos="525" w:leader="none"/>
          <w:tab w:val="left" w:pos="945" w:leader="none"/>
          <w:tab w:val="left" w:pos="1155" w:leader="none"/>
          <w:tab w:val="left" w:pos="3823"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2.1项目经理（</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分）：投标人为本项目配置一名项目经理，该项目经理须具备相关专业能力，具有</w:t>
      </w:r>
      <w:r>
        <w:rPr>
          <w:rFonts w:ascii="Times New Roman" w:hAnsi="Times New Roman" w:eastAsia="宋体" w:cs="Times New Roman"/>
          <w:color w:val="000000" w:themeColor="text1"/>
          <w:sz w:val="24"/>
          <w:highlight w:val="none"/>
        </w:rPr>
        <w:t xml:space="preserve">信息系统项目管理师（高级）</w:t>
      </w:r>
      <w:r>
        <w:rPr>
          <w:rFonts w:hint="eastAsia" w:ascii="宋体" w:hAnsi="宋体"/>
          <w:color w:val="000000" w:themeColor="text1"/>
          <w:sz w:val="24"/>
          <w:highlight w:val="none"/>
        </w:rPr>
        <w:t xml:space="preserve">证书</w:t>
      </w:r>
      <w:r>
        <w:rPr>
          <w:rFonts w:hint="eastAsia" w:ascii="宋体" w:hAnsi="宋体" w:eastAsia="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得1分、信创规划管理师（高级）证书</w:t>
      </w:r>
      <w:r>
        <w:rPr>
          <w:rFonts w:hint="eastAsia" w:ascii="宋体" w:hAnsi="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得1分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IT服务项目经理证书</w:t>
      </w:r>
      <w:r>
        <w:rPr>
          <w:rFonts w:hint="eastAsia" w:ascii="宋体" w:hAnsi="宋体" w:eastAsia="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得1分、网络工程师证书</w:t>
      </w:r>
      <w:r>
        <w:rPr>
          <w:rFonts w:hint="eastAsia" w:ascii="宋体" w:hAnsi="宋体" w:eastAsia="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w:t>
      </w:r>
      <w:r>
        <w:rPr>
          <w:rFonts w:hint="eastAsia" w:ascii="宋体" w:hAnsi="宋体"/>
          <w:color w:val="000000" w:themeColor="text1"/>
          <w:sz w:val="24"/>
          <w:highlight w:val="none"/>
          <w:lang w:val="en-US" w:eastAsia="zh-CN"/>
        </w:rPr>
        <w:t xml:space="preserve">0.5</w:t>
      </w:r>
      <w:r>
        <w:rPr>
          <w:rFonts w:hint="eastAsia" w:ascii="宋体" w:hAnsi="宋体"/>
          <w:color w:val="000000" w:themeColor="text1"/>
          <w:sz w:val="24"/>
          <w:highlight w:val="none"/>
        </w:rPr>
        <w:t xml:space="preserve">分、通信专业技术人员</w:t>
      </w:r>
      <w:r>
        <w:rPr>
          <w:rFonts w:hint="eastAsia" w:ascii="宋体" w:hAnsi="宋体" w:eastAsia="宋体"/>
          <w:color w:val="000000" w:themeColor="text1"/>
          <w:sz w:val="24"/>
          <w:highlight w:val="none"/>
          <w:lang w:val="en-US" w:eastAsia="zh-CN"/>
        </w:rPr>
        <w:t xml:space="preserve">职业资格</w:t>
      </w:r>
      <w:r>
        <w:rPr>
          <w:rFonts w:hint="eastAsia" w:ascii="宋体" w:hAnsi="宋体"/>
          <w:color w:val="000000" w:themeColor="text1"/>
          <w:sz w:val="24"/>
          <w:highlight w:val="none"/>
        </w:rPr>
        <w:t xml:space="preserve">证书</w:t>
      </w:r>
      <w:r>
        <w:rPr>
          <w:rFonts w:hint="eastAsia" w:eastAsia="宋体"/>
          <w:color w:val="000000" w:themeColor="text1"/>
          <w:highlight w:val="none"/>
          <w:lang w:val="en-US" w:eastAsia="zh-CN"/>
        </w:rPr>
        <w:t xml:space="preserve">的</w:t>
      </w:r>
      <w:r>
        <w:rPr>
          <w:rFonts w:hint="eastAsia" w:ascii="宋体" w:hAnsi="宋体"/>
          <w:color w:val="000000" w:themeColor="text1"/>
          <w:sz w:val="24"/>
          <w:highlight w:val="none"/>
        </w:rPr>
        <w:t xml:space="preserve">得</w:t>
      </w:r>
      <w:r>
        <w:rPr>
          <w:rFonts w:hint="eastAsia" w:ascii="宋体" w:hAnsi="宋体"/>
          <w:color w:val="000000" w:themeColor="text1"/>
          <w:sz w:val="24"/>
          <w:highlight w:val="none"/>
          <w:lang w:val="en-US" w:eastAsia="zh-CN"/>
        </w:rPr>
        <w:t xml:space="preserve">0.5</w:t>
      </w:r>
      <w:r>
        <w:rPr>
          <w:rFonts w:hint="eastAsia" w:ascii="宋体" w:hAnsi="宋体"/>
          <w:color w:val="000000" w:themeColor="text1"/>
          <w:sz w:val="24"/>
          <w:highlight w:val="none"/>
        </w:rPr>
        <w:t xml:space="preserve">分，最高得</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分。须提供相关证书扫描件，否则不得分。</w:t>
      </w:r>
      <w:r>
        <w:rPr>
          <w:color w:val="000000" w:themeColor="text1"/>
          <w:highlight w:val="none"/>
        </w:rPr>
      </w:r>
      <w:r/>
    </w:p>
    <w:p>
      <w:pPr>
        <w:pStyle w:val="885"/>
        <w:ind w:firstLine="480"/>
        <w:spacing w:line="360" w:lineRule="auto"/>
        <w:tabs>
          <w:tab w:val="left" w:pos="525" w:leader="none"/>
          <w:tab w:val="left" w:pos="945" w:leader="none"/>
          <w:tab w:val="left" w:pos="1155" w:leader="none"/>
          <w:tab w:val="left" w:pos="3823"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2.2技术负责人（</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分）：投标人为本项目配备技术负责人一名，该负责人具有电子信息工程高级专业技术资格证书</w:t>
      </w:r>
      <w:r>
        <w:rPr>
          <w:rFonts w:hint="eastAsia" w:ascii="宋体" w:hAnsi="宋体"/>
          <w:color w:val="000000" w:themeColor="text1"/>
          <w:sz w:val="24"/>
          <w:highlight w:val="none"/>
          <w:lang w:val="en-US" w:eastAsia="zh-CN"/>
        </w:rPr>
        <w:t xml:space="preserve">的得1分、</w:t>
      </w:r>
      <w:r>
        <w:rPr>
          <w:rFonts w:ascii="Times New Roman" w:hAnsi="Times New Roman" w:eastAsia="宋体" w:cs="Times New Roman"/>
          <w:color w:val="000000" w:themeColor="text1"/>
          <w:sz w:val="24"/>
          <w:highlight w:val="none"/>
        </w:rPr>
        <w:t xml:space="preserve">信息系统项目管理师（高级）</w:t>
      </w:r>
      <w:r>
        <w:rPr>
          <w:rFonts w:hint="eastAsia" w:ascii="Times New Roman" w:hAnsi="Times New Roman" w:eastAsia="宋体" w:cs="Times New Roman"/>
          <w:color w:val="000000" w:themeColor="text1"/>
          <w:sz w:val="24"/>
          <w:highlight w:val="none"/>
          <w:lang w:val="en-US" w:eastAsia="zh-CN"/>
        </w:rPr>
        <w:t xml:space="preserve">证书的</w:t>
      </w:r>
      <w:r>
        <w:rPr>
          <w:rFonts w:hint="eastAsia" w:ascii="宋体" w:hAnsi="宋体"/>
          <w:color w:val="000000" w:themeColor="text1"/>
          <w:sz w:val="24"/>
          <w:highlight w:val="none"/>
        </w:rPr>
        <w:t xml:space="preserve">得1分、系统架构师（高级）证书</w:t>
      </w:r>
      <w:r>
        <w:rPr>
          <w:rFonts w:hint="eastAsia" w:ascii="宋体" w:hAnsi="宋体" w:eastAsia="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得1分，最高得</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分。须提供相关证书扫描件，否则不得分。</w:t>
      </w:r>
      <w:r>
        <w:rPr>
          <w:color w:val="000000" w:themeColor="text1"/>
          <w:highlight w:val="none"/>
        </w:rPr>
      </w:r>
      <w:r/>
    </w:p>
    <w:p>
      <w:pPr>
        <w:pStyle w:val="885"/>
        <w:ind w:firstLine="480"/>
        <w:spacing w:line="360" w:lineRule="auto"/>
        <w:tabs>
          <w:tab w:val="left" w:pos="525" w:leader="none"/>
          <w:tab w:val="left" w:pos="945" w:leader="none"/>
          <w:tab w:val="left" w:pos="1155" w:leader="none"/>
          <w:tab w:val="left" w:pos="3823"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2.3安全负责人（2分）：投标人为本项目配备安全负责人一名，该负责人具有IT服务项目经理证书</w:t>
      </w:r>
      <w:r>
        <w:rPr>
          <w:rFonts w:hint="eastAsia" w:ascii="宋体" w:hAnsi="宋体" w:eastAsia="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得1分、</w:t>
      </w:r>
      <w:r>
        <w:rPr>
          <w:rFonts w:ascii="宋体" w:hAnsi="宋体" w:cs="宋体"/>
          <w:color w:val="000000" w:themeColor="text1"/>
          <w:sz w:val="24"/>
          <w:szCs w:val="24"/>
          <w:highlight w:val="none"/>
        </w:rPr>
        <w:t xml:space="preserve">电子信息工程中级</w:t>
      </w:r>
      <w:r>
        <w:rPr>
          <w:rFonts w:hint="eastAsia" w:ascii="宋体" w:hAnsi="宋体" w:cs="宋体"/>
          <w:color w:val="000000" w:themeColor="text1"/>
          <w:sz w:val="24"/>
          <w:szCs w:val="24"/>
          <w:highlight w:val="none"/>
        </w:rPr>
        <w:t xml:space="preserve">及</w:t>
      </w:r>
      <w:r>
        <w:rPr>
          <w:rFonts w:ascii="宋体" w:hAnsi="宋体" w:cs="宋体"/>
          <w:color w:val="000000" w:themeColor="text1"/>
          <w:sz w:val="24"/>
          <w:szCs w:val="24"/>
          <w:highlight w:val="none"/>
        </w:rPr>
        <w:t xml:space="preserve">以上专业技术</w:t>
      </w:r>
      <w:r>
        <w:rPr>
          <w:rFonts w:ascii="宋体" w:hAnsi="宋体" w:eastAsia="宋体" w:cs="宋体"/>
          <w:color w:val="000000" w:themeColor="text1"/>
          <w:sz w:val="24"/>
          <w:szCs w:val="24"/>
          <w:highlight w:val="none"/>
        </w:rPr>
        <w:t xml:space="preserve">资格</w:t>
      </w:r>
      <w:r>
        <w:rPr>
          <w:rFonts w:hint="eastAsia" w:ascii="宋体" w:hAnsi="宋体"/>
          <w:color w:val="000000" w:themeColor="text1"/>
          <w:sz w:val="24"/>
          <w:highlight w:val="none"/>
        </w:rPr>
        <w:t xml:space="preserve">证书</w:t>
      </w:r>
      <w:r>
        <w:rPr>
          <w:rFonts w:hint="eastAsia" w:ascii="宋体" w:hAnsi="宋体" w:eastAsia="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w:t>
      </w:r>
      <w:r>
        <w:rPr>
          <w:rFonts w:hint="eastAsia" w:ascii="宋体" w:hAnsi="宋体"/>
          <w:color w:val="000000" w:themeColor="text1"/>
          <w:sz w:val="24"/>
          <w:highlight w:val="none"/>
          <w:lang w:val="en-US" w:eastAsia="zh-CN"/>
        </w:rPr>
        <w:t xml:space="preserve">0.5</w:t>
      </w:r>
      <w:r>
        <w:rPr>
          <w:rFonts w:hint="eastAsia" w:ascii="宋体" w:hAnsi="宋体"/>
          <w:color w:val="000000" w:themeColor="text1"/>
          <w:sz w:val="24"/>
          <w:highlight w:val="none"/>
        </w:rPr>
        <w:t xml:space="preserve">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注册信息安全专业人员（CISP）证书</w:t>
      </w:r>
      <w:r>
        <w:rPr>
          <w:rFonts w:hint="eastAsia" w:ascii="宋体" w:hAnsi="宋体"/>
          <w:color w:val="000000" w:themeColor="text1"/>
          <w:sz w:val="24"/>
          <w:highlight w:val="none"/>
          <w:lang w:val="en-US" w:eastAsia="zh-CN"/>
        </w:rPr>
        <w:t xml:space="preserve">的得0.5分，本项</w:t>
      </w:r>
      <w:r>
        <w:rPr>
          <w:rFonts w:hint="eastAsia" w:ascii="宋体" w:hAnsi="宋体"/>
          <w:color w:val="000000" w:themeColor="text1"/>
          <w:sz w:val="24"/>
          <w:highlight w:val="none"/>
        </w:rPr>
        <w:t xml:space="preserve">最高得2分。须提供相关证书扫描件，否则不得分。</w:t>
      </w:r>
      <w:r>
        <w:rPr>
          <w:color w:val="000000" w:themeColor="text1"/>
          <w:highlight w:val="none"/>
        </w:rPr>
      </w:r>
      <w:r/>
    </w:p>
    <w:p>
      <w:pPr>
        <w:pStyle w:val="964"/>
        <w:ind w:firstLine="480"/>
        <w:rPr>
          <w:rFonts w:ascii="宋体" w:hAnsi="宋体"/>
          <w:color w:val="000000" w:themeColor="text1"/>
          <w:sz w:val="24"/>
          <w:highlight w:val="none"/>
        </w:rPr>
      </w:pPr>
      <w:r>
        <w:rPr>
          <w:rFonts w:hint="eastAsia" w:ascii="宋体" w:hAnsi="宋体"/>
          <w:color w:val="000000" w:themeColor="text1"/>
          <w:sz w:val="24"/>
          <w:highlight w:val="none"/>
        </w:rPr>
        <w:t xml:space="preserve">2.4项目组成员（5分）：投标人为本项目配备专职运维人员和数据处理人员应具备相关专业能力，具有</w:t>
      </w:r>
      <w:r>
        <w:rPr>
          <w:color w:val="000000" w:themeColor="text1"/>
          <w:sz w:val="24"/>
          <w:highlight w:val="none"/>
        </w:rPr>
        <w:t xml:space="preserve">信息系统项目管理师（高级）</w:t>
      </w:r>
      <w:r>
        <w:rPr>
          <w:rFonts w:hint="eastAsia" w:ascii="宋体" w:hAnsi="宋体"/>
          <w:color w:val="000000" w:themeColor="text1"/>
          <w:sz w:val="24"/>
          <w:highlight w:val="none"/>
        </w:rPr>
        <w:t xml:space="preserve">证书</w:t>
      </w:r>
      <w:r>
        <w:rPr>
          <w:rFonts w:hint="eastAsia" w:ascii="宋体" w:hAnsi="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得1分、信创集成项目管理师（高级）证书</w:t>
      </w:r>
      <w:r>
        <w:rPr>
          <w:rFonts w:hint="eastAsia" w:ascii="宋体" w:hAnsi="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得1分、IT服务项目经理</w:t>
      </w:r>
      <w:r>
        <w:rPr>
          <w:rFonts w:hint="eastAsia" w:ascii="宋体" w:hAnsi="宋体"/>
          <w:color w:val="000000" w:themeColor="text1"/>
          <w:sz w:val="24"/>
          <w:highlight w:val="none"/>
        </w:rPr>
        <w:t xml:space="preserve">证书</w:t>
      </w:r>
      <w:r>
        <w:rPr>
          <w:rFonts w:hint="eastAsia" w:ascii="宋体" w:hAnsi="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得1分、系统集成项目管理工程师（中级）证书</w:t>
      </w:r>
      <w:r>
        <w:rPr>
          <w:rFonts w:hint="eastAsia" w:ascii="宋体" w:hAnsi="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得0.5分、IT服务工程师证书</w:t>
      </w:r>
      <w:r>
        <w:rPr>
          <w:rFonts w:hint="eastAsia" w:ascii="宋体" w:hAnsi="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得0.5分，项目组多位成员具有同一类证书累计不得超过2分，本项最高得5分。须提供相关证书扫描件，否则不得分。</w:t>
      </w:r>
      <w:r>
        <w:rPr>
          <w:rFonts w:hint="eastAsia" w:ascii="宋体" w:hAnsi="宋体"/>
          <w:color w:val="000000" w:themeColor="text1"/>
          <w:sz w:val="24"/>
          <w:highlight w:val="none"/>
        </w:rPr>
        <w:t xml:space="preserve">  </w:t>
      </w:r>
      <w:r>
        <w:rPr>
          <w:color w:val="000000" w:themeColor="text1"/>
          <w:highlight w:val="none"/>
        </w:rPr>
      </w:r>
      <w:r/>
    </w:p>
    <w:p>
      <w:pPr>
        <w:pStyle w:val="885"/>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投标人综合情况</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9</w:t>
      </w:r>
      <w:r>
        <w:rPr>
          <w:rFonts w:hint="eastAsia" w:ascii="宋体" w:hAnsi="宋体"/>
          <w:b/>
          <w:bCs/>
          <w:color w:val="000000" w:themeColor="text1"/>
          <w:sz w:val="24"/>
          <w:szCs w:val="24"/>
          <w:highlight w:val="none"/>
        </w:rPr>
        <w:t xml:space="preserve">分）：</w:t>
      </w:r>
      <w:r>
        <w:rPr>
          <w:color w:val="000000" w:themeColor="text1"/>
          <w:highlight w:val="none"/>
        </w:rPr>
      </w:r>
      <w:r/>
    </w:p>
    <w:p>
      <w:pPr>
        <w:pStyle w:val="885"/>
        <w:ind w:firstLine="480"/>
        <w:spacing w:line="360" w:lineRule="auto"/>
        <w:tabs>
          <w:tab w:val="left" w:pos="525" w:leader="none"/>
          <w:tab w:val="left" w:pos="945" w:leader="none"/>
          <w:tab w:val="left" w:pos="1155" w:leader="none"/>
          <w:tab w:val="left" w:pos="382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3.1体系认证证书（</w:t>
      </w: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分）：投标人具有有效的信息安全管理体系认证证书、信息技术服务管理体系认证证书、隐私信息管理体系认证证书，每提供一类证书得1分，最高得4分。</w:t>
      </w:r>
      <w:r>
        <w:rPr>
          <w:rFonts w:hint="eastAsia" w:ascii="宋体" w:hAnsi="宋体"/>
          <w:color w:val="000000" w:themeColor="text1"/>
          <w:sz w:val="24"/>
          <w:highlight w:val="none"/>
        </w:rPr>
        <w:t xml:space="preserve">须提供相关证书扫描件，否则不得分。</w:t>
      </w:r>
      <w:r>
        <w:rPr>
          <w:color w:val="000000" w:themeColor="text1"/>
          <w:highlight w:val="none"/>
        </w:rPr>
      </w:r>
      <w:r/>
    </w:p>
    <w:p>
      <w:pPr>
        <w:pStyle w:val="885"/>
        <w:ind w:firstLine="480"/>
        <w:spacing w:line="360" w:lineRule="auto"/>
        <w:tabs>
          <w:tab w:val="left" w:pos="525" w:leader="none"/>
          <w:tab w:val="left" w:pos="945" w:leader="none"/>
          <w:tab w:val="left" w:pos="1155" w:leader="none"/>
          <w:tab w:val="left" w:pos="3823" w:leader="none"/>
        </w:tabs>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w:t>
      </w: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rPr>
        <w:t xml:space="preserve">业</w:t>
      </w:r>
      <w:r>
        <w:rPr>
          <w:rFonts w:hint="eastAsia" w:ascii="宋体" w:hAnsi="宋体" w:eastAsia="宋体" w:cs="Times New Roman"/>
          <w:color w:val="000000" w:themeColor="text1"/>
          <w:sz w:val="24"/>
          <w:szCs w:val="24"/>
          <w:highlight w:val="none"/>
        </w:rPr>
        <w:t xml:space="preserve">绩（</w:t>
      </w: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rPr>
        <w:t xml:space="preserve">分）</w:t>
      </w:r>
      <w:r>
        <w:rPr>
          <w:rFonts w:hint="eastAsia" w:ascii="宋体" w:hAnsi="宋体" w:eastAsia="宋体" w:cs="Times New Roman"/>
          <w:color w:val="000000" w:themeColor="text1"/>
          <w:sz w:val="24"/>
          <w:szCs w:val="24"/>
          <w:highlight w:val="none"/>
        </w:rPr>
        <w:t xml:space="preserve">：</w:t>
      </w:r>
      <w:r>
        <w:rPr>
          <w:rFonts w:hint="eastAsia" w:ascii="宋体" w:hAnsi="宋体" w:eastAsia="宋体" w:cs="Times New Roman"/>
          <w:color w:val="000000" w:themeColor="text1"/>
          <w:sz w:val="24"/>
          <w:szCs w:val="24"/>
          <w:highlight w:val="none"/>
        </w:rPr>
        <w:t xml:space="preserve">投标人自2023年1月1日以来（以合同签订日期为准），具有与本项目同类信息化项目案例的，每提供一个有效业</w:t>
      </w:r>
      <w:r>
        <w:rPr>
          <w:rFonts w:hint="eastAsia" w:ascii="宋体" w:hAnsi="宋体" w:eastAsia="宋体" w:cs="Times New Roman"/>
          <w:color w:val="000000" w:themeColor="text1"/>
          <w:sz w:val="24"/>
          <w:szCs w:val="24"/>
          <w:highlight w:val="none"/>
        </w:rPr>
        <w:t xml:space="preserve">绩得</w:t>
      </w:r>
      <w:r>
        <w:rPr>
          <w:rFonts w:hint="eastAsia" w:ascii="宋体" w:hAnsi="宋体" w:eastAsia="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rPr>
        <w:t xml:space="preserve">分</w:t>
      </w:r>
      <w:r>
        <w:rPr>
          <w:rFonts w:hint="eastAsia" w:ascii="宋体" w:hAnsi="宋体" w:eastAsia="宋体" w:cs="Times New Roman"/>
          <w:color w:val="000000" w:themeColor="text1"/>
          <w:sz w:val="24"/>
          <w:szCs w:val="24"/>
          <w:highlight w:val="none"/>
        </w:rPr>
        <w:t xml:space="preserve">，最高得</w:t>
      </w: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rPr>
        <w:t xml:space="preserve">分。合同扫描</w:t>
      </w:r>
      <w:r>
        <w:rPr>
          <w:rFonts w:hint="eastAsia" w:ascii="宋体" w:hAnsi="宋体" w:eastAsia="宋体" w:cs="Times New Roman"/>
          <w:color w:val="000000" w:themeColor="text1"/>
          <w:sz w:val="24"/>
          <w:szCs w:val="24"/>
          <w:highlight w:val="none"/>
        </w:rPr>
        <w:t xml:space="preserve">件上传至投标系统中，否则不得分。</w:t>
      </w:r>
      <w:r>
        <w:rPr>
          <w:color w:val="000000" w:themeColor="text1"/>
          <w:highlight w:val="none"/>
        </w:rPr>
      </w:r>
      <w:r/>
    </w:p>
    <w:p>
      <w:pPr>
        <w:pStyle w:val="885"/>
        <w:ind w:firstLine="480"/>
        <w:spacing w:line="360" w:lineRule="auto"/>
        <w:tabs>
          <w:tab w:val="left" w:pos="525" w:leader="none"/>
          <w:tab w:val="left" w:pos="945" w:leader="none"/>
          <w:tab w:val="left" w:pos="1155" w:leader="none"/>
          <w:tab w:val="left" w:pos="3823" w:leader="none"/>
        </w:tabs>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3.4软件著作权证书（</w:t>
      </w: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分）</w:t>
      </w:r>
      <w:r>
        <w:rPr>
          <w:rFonts w:hint="eastAsia" w:ascii="宋体" w:hAnsi="宋体"/>
          <w:color w:val="000000" w:themeColor="text1"/>
          <w:sz w:val="24"/>
          <w:szCs w:val="24"/>
          <w:highlight w:val="none"/>
        </w:rPr>
        <w:t xml:space="preserve">：投标人具有</w:t>
      </w:r>
      <w:r>
        <w:rPr>
          <w:rFonts w:hint="eastAsia" w:ascii="宋体" w:hAnsi="宋体"/>
          <w:color w:val="000000" w:themeColor="text1"/>
          <w:sz w:val="24"/>
          <w:szCs w:val="24"/>
          <w:highlight w:val="none"/>
        </w:rPr>
        <w:t xml:space="preserve">包含资产管理、区块链资产监管、区块链国资国企监管相关类型的软件著作权登记证书</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每有一个得1分，</w:t>
      </w:r>
      <w:r>
        <w:rPr>
          <w:rFonts w:hint="eastAsia" w:ascii="宋体" w:hAnsi="宋体"/>
          <w:color w:val="000000" w:themeColor="text1"/>
          <w:sz w:val="24"/>
          <w:szCs w:val="24"/>
          <w:highlight w:val="none"/>
        </w:rPr>
        <w:t xml:space="preserve">最高得</w:t>
      </w: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分。</w:t>
      </w:r>
      <w:r>
        <w:rPr>
          <w:rFonts w:hint="eastAsia" w:ascii="宋体" w:hAnsi="宋体"/>
          <w:color w:val="000000" w:themeColor="text1"/>
          <w:sz w:val="24"/>
          <w:highlight w:val="none"/>
        </w:rPr>
        <w:t xml:space="preserve">须提供软件著作权登记证书扫描件并加盖投标人公章，著作权证书名称与上述所列有所不同，但实质内容相关或功能类同的，可视为等同，所提供的软件著作权登记证书上的著作权人须为投标人，否则不得分</w:t>
      </w:r>
      <w:r>
        <w:rPr>
          <w:rFonts w:hint="eastAsia" w:ascii="宋体" w:hAnsi="宋体" w:eastAsia="宋体"/>
          <w:color w:val="000000" w:themeColor="text1"/>
          <w:sz w:val="24"/>
          <w:highlight w:val="none"/>
          <w:lang w:eastAsia="zh-CN"/>
        </w:rPr>
        <w:t xml:space="preserve">。</w:t>
      </w:r>
      <w:r>
        <w:rPr>
          <w:color w:val="000000" w:themeColor="text1"/>
          <w:highlight w:val="none"/>
        </w:rPr>
      </w:r>
      <w:r/>
    </w:p>
    <w:p>
      <w:pPr>
        <w:pStyle w:val="885"/>
        <w:numPr>
          <w:ilvl w:val="4"/>
          <w:numId w:val="8"/>
        </w:numPr>
        <w:ind w:left="0" w:firstLine="482"/>
        <w:spacing w:line="500" w:lineRule="exact"/>
        <w:tabs>
          <w:tab w:val="left" w:pos="525" w:leader="none"/>
          <w:tab w:val="left" w:pos="945" w:leader="none"/>
          <w:tab w:val="left" w:pos="1155" w:leader="none"/>
        </w:tabs>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演示（</w:t>
      </w:r>
      <w:r>
        <w:rPr>
          <w:rFonts w:hint="eastAsia" w:ascii="宋体" w:hAnsi="宋体"/>
          <w:b/>
          <w:bCs/>
          <w:color w:val="000000" w:themeColor="text1"/>
          <w:sz w:val="24"/>
          <w:szCs w:val="24"/>
          <w:highlight w:val="none"/>
          <w:lang w:val="en-US" w:eastAsia="zh-CN"/>
        </w:rPr>
        <w:t xml:space="preserve">10</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w:t>
      </w:r>
      <w:r>
        <w:rPr>
          <w:rFonts w:hint="eastAsia" w:ascii="宋体" w:hAnsi="宋体"/>
          <w:bCs/>
          <w:color w:val="000000" w:themeColor="text1"/>
          <w:sz w:val="24"/>
          <w:szCs w:val="24"/>
          <w:highlight w:val="none"/>
        </w:rPr>
        <w:t xml:space="preserve">未提供演示视频的不得分。</w:t>
      </w:r>
      <w:r>
        <w:rPr>
          <w:color w:val="000000" w:themeColor="text1"/>
          <w:highlight w:val="none"/>
        </w:rPr>
      </w:r>
      <w:r/>
    </w:p>
    <w:p>
      <w:pPr>
        <w:pStyle w:val="885"/>
        <w:ind w:firstLine="480"/>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4.1 资产卡片功能演示（4分）：</w:t>
      </w:r>
      <w:r>
        <w:rPr>
          <w:rFonts w:hint="eastAsia" w:ascii="宋体" w:hAnsi="宋体"/>
          <w:color w:val="000000" w:themeColor="text1"/>
          <w:sz w:val="24"/>
          <w:szCs w:val="24"/>
          <w:highlight w:val="none"/>
        </w:rPr>
        <w:t xml:space="preserve">①支持资产卡片新增、批量导入、编辑、查询、删除全基础操作；②支持导入数据校验机制，自动识别文档异常数据并弹窗提示；③支持多类资产导入校验至导入办结完整流程管控；④能完整演示一个资产卡片的数据校验到导入完成的全流程操作。</w:t>
      </w:r>
      <w:r>
        <w:rPr>
          <w:rFonts w:hint="eastAsia" w:ascii="宋体" w:hAnsi="宋体"/>
          <w:color w:val="000000" w:themeColor="text1"/>
          <w:sz w:val="24"/>
          <w:highlight w:val="none"/>
        </w:rPr>
        <w:t xml:space="preserve">每演示1项得1分，最高得4分；</w:t>
      </w:r>
      <w:r>
        <w:rPr>
          <w:rFonts w:hint="eastAsia" w:ascii="宋体" w:hAnsi="宋体" w:cs="宋体"/>
          <w:color w:val="000000" w:themeColor="text1"/>
          <w:sz w:val="24"/>
          <w:szCs w:val="24"/>
          <w:highlight w:val="none"/>
        </w:rPr>
        <w:t xml:space="preserve">演示不完整、与本项目需求不匹配或不演示的，对应项不得分。</w:t>
      </w:r>
      <w:r>
        <w:rPr>
          <w:color w:val="000000" w:themeColor="text1"/>
          <w:highlight w:val="none"/>
        </w:rPr>
      </w:r>
      <w:r/>
    </w:p>
    <w:p>
      <w:pPr>
        <w:pStyle w:val="885"/>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4.2 合同管理功能演示（4分）：</w:t>
      </w:r>
      <w:r>
        <w:rPr>
          <w:rFonts w:hint="eastAsia" w:ascii="宋体" w:hAnsi="宋体"/>
          <w:color w:val="000000" w:themeColor="text1"/>
          <w:sz w:val="24"/>
          <w:highlight w:val="none"/>
        </w:rPr>
        <w:t xml:space="preserve">①支持线上管理合同，包括经营性资产的基础信息、租赁期限、分期类型、乙方付款账号、合同附件等合同信息录入的全流程管理；</w:t>
      </w:r>
      <w:r>
        <w:rPr>
          <w:color w:val="000000" w:themeColor="text1"/>
          <w:highlight w:val="none"/>
        </w:rPr>
      </w:r>
      <w:r/>
    </w:p>
    <w:p>
      <w:pPr>
        <w:pStyle w:val="885"/>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②由资产管理员将合同提交送审，审批人员完成合同信息审批；③对于已审核的合同，支持由资产管理员发起线上签署流程；④支持出租方在签署页面通过拖拽电子印章的方式完成合同线上签署。</w:t>
      </w:r>
      <w:r>
        <w:rPr>
          <w:rFonts w:hint="eastAsia" w:ascii="宋体" w:hAnsi="宋体"/>
          <w:color w:val="000000" w:themeColor="text1"/>
          <w:sz w:val="24"/>
          <w:highlight w:val="none"/>
        </w:rPr>
        <w:t xml:space="preserve">每演示1项得1分，最高得4分；</w:t>
      </w:r>
      <w:r>
        <w:rPr>
          <w:rFonts w:hint="eastAsia" w:ascii="宋体" w:hAnsi="宋体" w:cs="宋体"/>
          <w:color w:val="000000" w:themeColor="text1"/>
          <w:sz w:val="24"/>
          <w:szCs w:val="24"/>
          <w:highlight w:val="none"/>
        </w:rPr>
        <w:t xml:space="preserve">演示不完整、与本项目需求不匹配或不演示的，对应项不得分。</w:t>
      </w:r>
      <w:r>
        <w:rPr>
          <w:color w:val="000000" w:themeColor="text1"/>
          <w:highlight w:val="none"/>
        </w:rPr>
      </w:r>
      <w:r/>
    </w:p>
    <w:p>
      <w:pPr>
        <w:pStyle w:val="885"/>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4.3 银行缴费功能演示（2分）：</w:t>
      </w:r>
      <w:r>
        <w:rPr>
          <w:rFonts w:hint="eastAsia" w:ascii="宋体" w:hAnsi="宋体"/>
          <w:color w:val="000000" w:themeColor="text1"/>
          <w:sz w:val="24"/>
          <w:highlight w:val="none"/>
        </w:rPr>
        <w:t xml:space="preserve">①支持自动匹配更新缴费金额和缴费状态，针对缴费信息、金额与应缴信息不一致的已缴记录，可通过手动匹配进行已缴费用记录及租金预缴单关联</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②完成缴费更新列表中的缴费状态与已缴金额，可查看收入金额、交易时间、缴费年度等交易信息。</w:t>
      </w:r>
      <w:r>
        <w:rPr>
          <w:rFonts w:hint="eastAsia" w:ascii="宋体" w:hAnsi="宋体"/>
          <w:color w:val="000000" w:themeColor="text1"/>
          <w:sz w:val="24"/>
          <w:highlight w:val="none"/>
        </w:rPr>
        <w:t xml:space="preserve">每演示1项得1分，最高得2分；</w:t>
      </w:r>
      <w:r>
        <w:rPr>
          <w:rFonts w:hint="eastAsia" w:ascii="宋体" w:hAnsi="宋体" w:cs="宋体"/>
          <w:color w:val="000000" w:themeColor="text1"/>
          <w:sz w:val="24"/>
          <w:szCs w:val="24"/>
          <w:highlight w:val="none"/>
        </w:rPr>
        <w:t xml:space="preserve">演示不完整、与本项目需求不匹配或不演示的，对应项不得分。</w:t>
      </w:r>
      <w:r>
        <w:rPr>
          <w:rFonts w:hint="eastAsia" w:ascii="宋体" w:hAnsi="宋体"/>
          <w:color w:val="000000" w:themeColor="text1"/>
          <w:sz w:val="24"/>
          <w:highlight w:val="none"/>
        </w:rPr>
        <w:t xml:space="preserve">  </w:t>
      </w:r>
      <w:r>
        <w:rPr>
          <w:color w:val="000000" w:themeColor="text1"/>
          <w:highlight w:val="none"/>
        </w:rPr>
      </w:r>
      <w:r/>
    </w:p>
    <w:p>
      <w:pPr>
        <w:pStyle w:val="885"/>
        <w:numPr>
          <w:ilvl w:val="4"/>
          <w:numId w:val="8"/>
        </w:numPr>
        <w:ind w:left="0" w:firstLine="482"/>
        <w:spacing w:line="360" w:lineRule="auto"/>
        <w:tabs>
          <w:tab w:val="left" w:pos="525" w:leader="none"/>
          <w:tab w:val="left" w:pos="945" w:leader="none"/>
          <w:tab w:val="left" w:pos="1155" w:leader="none"/>
          <w:tab w:val="left" w:pos="2250" w:leader="none"/>
          <w:tab w:val="left" w:pos="382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项目方案（5</w:t>
      </w:r>
      <w:r>
        <w:rPr>
          <w:rFonts w:hint="eastAsia" w:ascii="宋体" w:hAnsi="宋体"/>
          <w:b/>
          <w:bCs/>
          <w:color w:val="000000" w:themeColor="text1"/>
          <w:sz w:val="24"/>
          <w:szCs w:val="24"/>
          <w:highlight w:val="none"/>
          <w:lang w:val="en-US" w:eastAsia="zh-CN"/>
        </w:rPr>
        <w:t xml:space="preserve">7</w:t>
      </w:r>
      <w:r>
        <w:rPr>
          <w:rFonts w:hint="eastAsia" w:ascii="宋体" w:hAnsi="宋体"/>
          <w:b/>
          <w:bCs/>
          <w:color w:val="000000" w:themeColor="text1"/>
          <w:sz w:val="24"/>
          <w:szCs w:val="24"/>
          <w:highlight w:val="none"/>
        </w:rPr>
        <w:t xml:space="preserve">分）:</w:t>
      </w:r>
      <w:r>
        <w:rPr>
          <w:rFonts w:hint="eastAsia" w:ascii="宋体" w:hAnsi="宋体"/>
          <w:color w:val="000000" w:themeColor="text1"/>
          <w:sz w:val="24"/>
          <w:highlight w:val="none"/>
        </w:rPr>
        <w:t xml:space="preserve">考察投标人项目技术方案，在响应采购文件需求的基础上对下列各部分进行评价，要求体现科学合理性、条理性、可行性、完善性、针对性，无方案不得分。</w:t>
      </w:r>
      <w:r>
        <w:rPr>
          <w:color w:val="000000" w:themeColor="text1"/>
          <w:highlight w:val="none"/>
        </w:rPr>
      </w:r>
      <w:r/>
    </w:p>
    <w:p>
      <w:pPr>
        <w:pStyle w:val="885"/>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szCs w:val="24"/>
          <w:highlight w:val="none"/>
        </w:rPr>
        <w:t xml:space="preserve">5.1 需求分析（6分）：①</w:t>
      </w:r>
      <w:r>
        <w:rPr>
          <w:rFonts w:hint="eastAsia" w:ascii="宋体" w:hAnsi="宋体"/>
          <w:color w:val="000000" w:themeColor="text1"/>
          <w:sz w:val="24"/>
          <w:szCs w:val="20"/>
          <w:highlight w:val="none"/>
        </w:rPr>
        <w:t xml:space="preserve">国资智慧监管数据治理现状分析清晰，治理方案有针对性，</w:t>
      </w:r>
      <w:r>
        <w:rPr>
          <w:rFonts w:hint="eastAsia" w:ascii="宋体" w:hAnsi="宋体"/>
          <w:color w:val="000000" w:themeColor="text1"/>
          <w:sz w:val="24"/>
          <w:szCs w:val="24"/>
          <w:highlight w:val="none"/>
        </w:rPr>
        <w:t xml:space="preserve">卡片分类设计合理，治理分析、统计应用，全面、针对性强、可行性强，</w:t>
      </w:r>
      <w:r>
        <w:rPr>
          <w:rFonts w:hint="eastAsia" w:ascii="宋体" w:hAnsi="宋体"/>
          <w:color w:val="000000" w:themeColor="text1"/>
          <w:sz w:val="24"/>
          <w:szCs w:val="20"/>
          <w:highlight w:val="none"/>
        </w:rPr>
        <w:t xml:space="preserve">能准确查找、统计、导出</w:t>
      </w:r>
      <w:r>
        <w:rPr>
          <w:rFonts w:hint="eastAsia" w:ascii="宋体" w:hAnsi="宋体"/>
          <w:color w:val="000000" w:themeColor="text1"/>
          <w:sz w:val="24"/>
          <w:szCs w:val="24"/>
          <w:highlight w:val="none"/>
        </w:rPr>
        <w:t xml:space="preserve">；②</w:t>
      </w:r>
      <w:r>
        <w:rPr>
          <w:rFonts w:hint="eastAsia" w:ascii="宋体" w:hAnsi="宋体"/>
          <w:color w:val="000000" w:themeColor="text1"/>
          <w:sz w:val="24"/>
          <w:szCs w:val="20"/>
          <w:highlight w:val="none"/>
        </w:rPr>
        <w:t xml:space="preserve">业务功能及流程需求</w:t>
      </w:r>
      <w:r>
        <w:rPr>
          <w:rFonts w:hint="eastAsia" w:ascii="宋体" w:hAnsi="宋体"/>
          <w:color w:val="000000" w:themeColor="text1"/>
          <w:sz w:val="24"/>
          <w:szCs w:val="24"/>
          <w:highlight w:val="none"/>
        </w:rPr>
        <w:t xml:space="preserve">分析，国资管理的流程各方责任清晰、预警及时、统计准备；③功能及性能需求分析，能围绕国资智慧监管的总体目标，系统性、可视性、层次性显化监管效能。</w:t>
      </w:r>
      <w:r>
        <w:rPr>
          <w:color w:val="000000" w:themeColor="text1"/>
          <w:highlight w:val="none"/>
        </w:rPr>
      </w:r>
      <w:r/>
    </w:p>
    <w:p>
      <w:pPr>
        <w:pStyle w:val="885"/>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3项全部方案的，得6分；方案较完整，科学合理性较强，设计较清晰详细，能够符合本项目需求，能够提供上述2-3项方案的，得4分；方案完整性一般，科学合理性一般，设计清晰详细程度一般，能够符合本项目需求，能够提供上述1-3项方案的，得2分；方案完整性、科学合理性、设计的清晰详细程度等只能基本满足要求，能够提供上述1-3项方案的，得1分；无方案或者未按要求提供方案的不得分。</w:t>
      </w:r>
      <w:r>
        <w:rPr>
          <w:color w:val="000000" w:themeColor="text1"/>
          <w:highlight w:val="none"/>
        </w:rPr>
      </w:r>
      <w:r/>
    </w:p>
    <w:p>
      <w:pPr>
        <w:pStyle w:val="885"/>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szCs w:val="24"/>
          <w:highlight w:val="none"/>
        </w:rPr>
        <w:t xml:space="preserve">5.2 总体技术方案（12分）：①系统架构；②技术路线；③功能设计方案。</w:t>
      </w:r>
      <w:r>
        <w:rPr>
          <w:color w:val="000000" w:themeColor="text1"/>
          <w:highlight w:val="none"/>
        </w:rPr>
      </w:r>
      <w:r/>
    </w:p>
    <w:p>
      <w:pPr>
        <w:pStyle w:val="885"/>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3项全部方案的，得12分；方案较完整，科学合理性较强，设计较清晰详细，能够符合本项目需求，能够提供上述2-3项方案的，得9分；方案完整性一般，科学合理性一般，设计清晰详细程度一般，能够符合本项目需求，能够提供上述1-3项方案的，得6分；方案完整性、科学合理性、设计的清晰详细程度等只能基本满足要求，能够提供上述1-3项方案的，得3分；无方案或者未按要求提供方案的不得分。</w:t>
      </w:r>
      <w:r>
        <w:rPr>
          <w:color w:val="000000" w:themeColor="text1"/>
          <w:highlight w:val="none"/>
        </w:rPr>
      </w:r>
      <w:r/>
    </w:p>
    <w:p>
      <w:pPr>
        <w:pStyle w:val="885"/>
        <w:ind w:firstLine="480"/>
        <w:spacing w:line="360" w:lineRule="auto"/>
        <w:tabs>
          <w:tab w:val="left" w:pos="510" w:leader="none"/>
          <w:tab w:val="left" w:pos="945" w:leader="none"/>
          <w:tab w:val="left" w:pos="1155" w:leader="none"/>
          <w:tab w:val="left" w:pos="382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5.3 数据对接和迁移方案（12分）：①江阴及镇街数据对接；②省资产云平台对接；③省国资平台数据转换；④其他数据对接。</w:t>
      </w:r>
      <w:r>
        <w:rPr>
          <w:color w:val="000000" w:themeColor="text1"/>
          <w:highlight w:val="none"/>
        </w:rPr>
      </w:r>
      <w:r/>
    </w:p>
    <w:p>
      <w:pPr>
        <w:pStyle w:val="885"/>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4项全部方案的，得12分；方案较完整，科学合理性较强，设计较清晰详细，能够符合本项目需求，能够提供上述2-4项方案的，得9分；方案完整性一般，科学合理性一般，设计清晰详细程度一般，能够符合本项目需求，能够提供上述1-4项方案的，得6分；方案完整性、科学合理性、设计的清晰详细程度等只能基本满足要求，能够提供上述1-4项方案的，得3分；无方案或者未按要求提供方案的不得分。</w:t>
      </w:r>
      <w:r>
        <w:rPr>
          <w:color w:val="000000" w:themeColor="text1"/>
          <w:highlight w:val="none"/>
        </w:rPr>
      </w:r>
      <w:r/>
    </w:p>
    <w:p>
      <w:pPr>
        <w:pStyle w:val="964"/>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5.4 资产清查与数据处理服务方案（12分）：①资产清查与数据初始化服务；②数据安全与维护服务；③区块链数据存证与AI数据服务。</w:t>
      </w:r>
      <w:r>
        <w:rPr>
          <w:color w:val="000000" w:themeColor="text1"/>
          <w:highlight w:val="none"/>
        </w:rPr>
      </w:r>
      <w:r/>
    </w:p>
    <w:p>
      <w:pPr>
        <w:pStyle w:val="96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3项全部方案的，得12分；方案较完整，科学合理性较强，设计较清晰详细，能够符合本项目需求，能够提供上述2-3项方案的，得9分；方案完整性一般，科学合理性一般，设计清晰详细程度一般，能够符合本项目需求，能够提供上述1-3项方案的，得6分；方案完整性、科学合理性、设计的清晰详细程度等只能基本满足要求，能够提供上述1-3项方案的，得3分；无方案或者未按要求提供方案的不得分。</w:t>
      </w:r>
      <w:r>
        <w:rPr>
          <w:color w:val="000000" w:themeColor="text1"/>
          <w:highlight w:val="none"/>
        </w:rPr>
      </w:r>
      <w:r/>
    </w:p>
    <w:p>
      <w:pPr>
        <w:pStyle w:val="96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szCs w:val="24"/>
          <w:highlight w:val="none"/>
        </w:rPr>
        <w:t xml:space="preserve">5.5 项目组织实施方案</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分）</w:t>
      </w:r>
      <w:r>
        <w:rPr>
          <w:rFonts w:hint="eastAsia" w:ascii="宋体" w:hAnsi="宋体"/>
          <w:color w:val="000000" w:themeColor="text1"/>
          <w:sz w:val="24"/>
          <w:szCs w:val="24"/>
          <w:highlight w:val="none"/>
        </w:rPr>
        <w:t xml:space="preserve">：①项目实施方案；②人员组织安排；③质量保证措施；④实施工期管理。</w:t>
      </w:r>
      <w:r>
        <w:rPr>
          <w:color w:val="000000" w:themeColor="text1"/>
          <w:highlight w:val="none"/>
        </w:rPr>
      </w:r>
      <w:r/>
    </w:p>
    <w:p>
      <w:pPr>
        <w:pStyle w:val="885"/>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方案完整，科学合理，设计清晰详细，完全符合本项目需求，且能够提供上述4项全部方案的，得</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分；方案较完整，科学合理性较强，设计较清晰详细，能够符合本项目需求，能够提供上述2-4项方案的，得</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分；方案完整性一般，科学合理性一般，设计清晰详细程度一般，能够符合本项目需求，能够提供上述1-4项方案的，得2分；方案完整性、科学合理性、设计的清晰详细程度等只能基本满足要求，能够提供上述1-4项方案的，得1分；无方案或者未按要求提供方案的不得分。</w:t>
      </w:r>
      <w:r>
        <w:rPr>
          <w:color w:val="000000" w:themeColor="text1"/>
          <w:highlight w:val="none"/>
        </w:rPr>
      </w:r>
      <w:r/>
    </w:p>
    <w:p>
      <w:pPr>
        <w:pStyle w:val="964"/>
        <w:ind w:firstLine="480"/>
        <w:spacing w:line="360" w:lineRule="auto"/>
        <w:rPr>
          <w:color w:val="000000" w:themeColor="text1"/>
          <w:highlight w:val="none"/>
        </w:rPr>
      </w:pPr>
      <w:r>
        <w:rPr>
          <w:rFonts w:hint="eastAsia" w:ascii="宋体" w:hAnsi="宋体"/>
          <w:color w:val="000000" w:themeColor="text1"/>
          <w:sz w:val="24"/>
          <w:szCs w:val="24"/>
          <w:highlight w:val="none"/>
        </w:rPr>
        <w:t xml:space="preserve">5.6 售后及培训服务方案</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分）：</w:t>
      </w:r>
      <w:r>
        <w:rPr>
          <w:rFonts w:hint="eastAsia" w:ascii="宋体" w:hAnsi="宋体"/>
          <w:color w:val="000000" w:themeColor="text1"/>
          <w:sz w:val="24"/>
          <w:szCs w:val="24"/>
          <w:highlight w:val="none"/>
        </w:rPr>
        <w:t xml:space="preserve">①售后服务体系；②售后服务方案及内容；③售后服务方式及响应；④培训方案。</w:t>
      </w:r>
      <w:r>
        <w:rPr>
          <w:color w:val="000000" w:themeColor="text1"/>
          <w:highlight w:val="none"/>
        </w:rPr>
      </w:r>
      <w:r/>
    </w:p>
    <w:p>
      <w:pPr>
        <w:pStyle w:val="885"/>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方案完整，科学合理，设计清晰详细，完全符合本项目需求，且能够提供上述4项全部方案的，得</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分；方案较完整，科学合理性较强，设计较清晰详细，能够符合本项目需求，能够提供上述2-4项方案的，得</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分；方案完整性一般，科学合理性一般，设计清晰详细程度一般，能够符合本项目需求，能够提供上述1-4项方案的，得2分；方案完整性、科学合理性、设计的清晰详细程度等只能基本满足要求，能够提供上述1-4项方案的，得1分；无方案或者未按要求提供方案的不得分。</w:t>
      </w:r>
      <w:r>
        <w:rPr>
          <w:color w:val="000000" w:themeColor="text1"/>
          <w:highlight w:val="none"/>
        </w:rPr>
      </w:r>
      <w:r/>
    </w:p>
    <w:p>
      <w:pPr>
        <w:pStyle w:val="885"/>
        <w:ind w:firstLine="638"/>
        <w:jc w:val="left"/>
        <w:spacing w:line="360" w:lineRule="auto"/>
        <w:tabs>
          <w:tab w:val="left" w:pos="0"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5.7  服务成效落实举措</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围绕</w:t>
      </w:r>
      <w:r>
        <w:rPr>
          <w:rFonts w:hint="eastAsia" w:ascii="宋体" w:hAnsi="宋体"/>
          <w:color w:val="000000" w:themeColor="text1"/>
          <w:sz w:val="24"/>
          <w:szCs w:val="24"/>
          <w:highlight w:val="none"/>
        </w:rPr>
        <w:t xml:space="preserve">①</w:t>
      </w:r>
      <w:r>
        <w:rPr>
          <w:rFonts w:hint="eastAsia" w:ascii="宋体" w:hAnsi="宋体"/>
          <w:bCs/>
          <w:color w:val="000000" w:themeColor="text1"/>
          <w:sz w:val="24"/>
          <w:szCs w:val="24"/>
          <w:highlight w:val="none"/>
        </w:rPr>
        <w:t xml:space="preserve">国资信息安全和数据档案管理；</w:t>
      </w:r>
      <w:r>
        <w:rPr>
          <w:rFonts w:hint="eastAsia" w:ascii="宋体" w:hAnsi="宋体"/>
          <w:color w:val="000000" w:themeColor="text1"/>
          <w:sz w:val="24"/>
          <w:szCs w:val="24"/>
          <w:highlight w:val="none"/>
        </w:rPr>
        <w:t xml:space="preserve">②</w:t>
      </w:r>
      <w:r>
        <w:rPr>
          <w:rFonts w:hint="eastAsia" w:ascii="宋体" w:hAnsi="宋体"/>
          <w:bCs/>
          <w:color w:val="000000" w:themeColor="text1"/>
          <w:sz w:val="24"/>
          <w:szCs w:val="24"/>
          <w:highlight w:val="none"/>
        </w:rPr>
        <w:t xml:space="preserve">部委办局意见建议整改情况；</w:t>
      </w:r>
      <w:r>
        <w:rPr>
          <w:rFonts w:hint="eastAsia" w:ascii="宋体" w:hAnsi="宋体"/>
          <w:color w:val="000000" w:themeColor="text1"/>
          <w:sz w:val="24"/>
          <w:szCs w:val="24"/>
          <w:highlight w:val="none"/>
        </w:rPr>
        <w:t xml:space="preserve">③</w:t>
      </w:r>
      <w:r>
        <w:rPr>
          <w:rFonts w:hint="eastAsia" w:ascii="宋体" w:hAnsi="宋体"/>
          <w:bCs/>
          <w:color w:val="000000" w:themeColor="text1"/>
          <w:sz w:val="24"/>
          <w:szCs w:val="24"/>
          <w:highlight w:val="none"/>
        </w:rPr>
        <w:t xml:space="preserve">数据保障响应时间等3个方面制定服务成效考核举措。</w:t>
      </w:r>
      <w:r>
        <w:rPr>
          <w:color w:val="000000" w:themeColor="text1"/>
          <w:highlight w:val="none"/>
        </w:rPr>
      </w:r>
      <w:r/>
    </w:p>
    <w:p>
      <w:pPr>
        <w:pStyle w:val="885"/>
        <w:ind w:firstLine="480"/>
        <w:jc w:val="left"/>
        <w:spacing w:line="500" w:lineRule="exact"/>
        <w:tabs>
          <w:tab w:val="left" w:pos="1440" w:leader="none"/>
        </w:tabs>
        <w:rPr>
          <w:rFonts w:hint="eastAsia" w:ascii="黑体" w:hAnsi="黑体" w:eastAsia="黑体"/>
          <w:color w:val="000000" w:themeColor="text1"/>
          <w:sz w:val="36"/>
          <w:szCs w:val="36"/>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方案完整，科学合理，设计清晰详细，完全符合本项目需求，且能够提供上述3项全部方案的，得</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分；方案较完整，科学合理性较强，设计较清晰详细，能够符合本项目需求，能够提供上述2-3项方案的，得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分；方案完整性一般，科学合理性一般，设计清晰详细程度一般，能够符合本项目需求，能够提供上述1-3项方案的，得</w:t>
      </w: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rPr>
        <w:t xml:space="preserve">分；无方案或者未按要求提供方案的不得分。</w:t>
      </w:r>
      <w:r>
        <w:rPr>
          <w:rFonts w:ascii="宋体" w:hAnsi="宋体"/>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6"/>
      <w:r>
        <w:rPr>
          <w:rFonts w:hint="eastAsia" w:ascii="黑体" w:hAnsi="黑体" w:eastAsia="黑体"/>
          <w:color w:val="000000" w:themeColor="text1"/>
          <w:sz w:val="36"/>
          <w:szCs w:val="36"/>
          <w:highlight w:val="none"/>
        </w:rPr>
        <w:t xml:space="preserve">投标文件内容与格式</w:t>
      </w:r>
      <w:r>
        <w:rPr>
          <w:color w:val="000000" w:themeColor="text1"/>
          <w:highlight w:val="none"/>
        </w:rPr>
      </w:r>
      <w:r/>
    </w:p>
    <w:p>
      <w:pPr>
        <w:pStyle w:val="975"/>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197" w:name="_Hlt26671244"/>
      <w:r>
        <w:rPr>
          <w:color w:val="000000" w:themeColor="text1"/>
          <w:highlight w:val="none"/>
        </w:rPr>
      </w:r>
      <w:bookmarkEnd w:id="197"/>
      <w:r>
        <w:rPr>
          <w:color w:val="000000" w:themeColor="text1"/>
          <w:highlight w:val="none"/>
        </w:rPr>
      </w:r>
      <w:bookmarkStart w:id="198" w:name="_Toc26554094"/>
      <w:r>
        <w:rPr>
          <w:color w:val="000000" w:themeColor="text1"/>
          <w:highlight w:val="none"/>
        </w:rPr>
      </w:r>
      <w:bookmarkStart w:id="199" w:name="_Toc120614282"/>
      <w:r>
        <w:rPr>
          <w:color w:val="000000" w:themeColor="text1"/>
          <w:highlight w:val="none"/>
        </w:rPr>
      </w:r>
      <w:bookmarkStart w:id="200" w:name="_Toc49090576"/>
      <w:r>
        <w:rPr>
          <w:color w:val="000000" w:themeColor="text1"/>
          <w:highlight w:val="none"/>
        </w:rPr>
      </w:r>
      <w:bookmarkStart w:id="201" w:name="_Hlt26955039"/>
      <w:r>
        <w:rPr>
          <w:color w:val="000000" w:themeColor="text1"/>
          <w:highlight w:val="none"/>
        </w:rPr>
      </w:r>
      <w:bookmarkEnd w:id="201"/>
      <w:r>
        <w:rPr>
          <w:rFonts w:hint="eastAsia" w:cs="Arial"/>
          <w:b/>
          <w:color w:val="000000" w:themeColor="text1"/>
          <w:sz w:val="30"/>
          <w:szCs w:val="30"/>
          <w:highlight w:val="none"/>
        </w:rPr>
        <w:t xml:space="preserve">第一部分  投标文件内容</w:t>
      </w:r>
      <w:r>
        <w:rPr>
          <w:color w:val="000000" w:themeColor="text1"/>
          <w:highlight w:val="none"/>
        </w:rPr>
      </w:r>
      <w:r/>
    </w:p>
    <w:p>
      <w:pPr>
        <w:pStyle w:val="975"/>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color w:val="000000" w:themeColor="text1"/>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5"/>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r/>
          </w:p>
        </w:tc>
        <w:tc>
          <w:tcPr>
            <w:tcW w:w="6104" w:type="dxa"/>
            <w:vAlign w:val="center"/>
            <w:textDirection w:val="lrTb"/>
            <w:noWrap w:val="false"/>
          </w:tcPr>
          <w:p>
            <w:pPr>
              <w:pStyle w:val="975"/>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r/>
          </w:p>
        </w:tc>
        <w:tc>
          <w:tcPr>
            <w:tcW w:w="2449" w:type="dxa"/>
            <w:vAlign w:val="center"/>
            <w:textDirection w:val="lrTb"/>
            <w:noWrap w:val="false"/>
          </w:tcPr>
          <w:p>
            <w:pPr>
              <w:pStyle w:val="975"/>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r/>
          </w:p>
        </w:tc>
      </w:tr>
      <w:tr>
        <w:trPr>
          <w:trHeight w:val="1335"/>
        </w:trPr>
        <w:tc>
          <w:tcPr>
            <w:tcW w:w="719" w:type="dxa"/>
            <w:vAlign w:val="center"/>
            <w:textDirection w:val="lrTb"/>
            <w:noWrap w:val="false"/>
          </w:tcPr>
          <w:p>
            <w:pPr>
              <w:pStyle w:val="975"/>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color w:val="000000" w:themeColor="text1"/>
                <w:highlight w:val="none"/>
              </w:rPr>
            </w:r>
            <w:r/>
          </w:p>
        </w:tc>
        <w:tc>
          <w:tcPr>
            <w:tcW w:w="2449" w:type="dxa"/>
            <w:vAlign w:val="center"/>
            <w:vMerge w:val="restart"/>
            <w:textDirection w:val="lrTb"/>
            <w:noWrap w:val="false"/>
          </w:tcPr>
          <w:p>
            <w:pPr>
              <w:pStyle w:val="975"/>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color w:val="000000" w:themeColor="text1"/>
                <w:highlight w:val="none"/>
              </w:rPr>
            </w:r>
            <w:r/>
          </w:p>
        </w:tc>
      </w:tr>
      <w:tr>
        <w:trPr>
          <w:trHeight w:val="812"/>
        </w:trPr>
        <w:tc>
          <w:tcPr>
            <w:tcW w:w="719" w:type="dxa"/>
            <w:vAlign w:val="center"/>
            <w:textDirection w:val="lrTb"/>
            <w:noWrap w:val="false"/>
          </w:tcPr>
          <w:p>
            <w:pPr>
              <w:pStyle w:val="975"/>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color w:val="000000" w:themeColor="text1"/>
                <w:highlight w:val="none"/>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5"/>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3"/>
                <w:rFonts w:hint="eastAsia" w:ascii="宋体" w:hAnsi="宋体" w:cs="宋体"/>
                <w:color w:val="000000" w:themeColor="text1"/>
                <w:sz w:val="24"/>
                <w:szCs w:val="24"/>
                <w:highlight w:val="none"/>
              </w:rPr>
              <w:t xml:space="preserve">。</w:t>
            </w:r>
            <w:r>
              <w:rPr>
                <w:color w:val="000000" w:themeColor="text1"/>
                <w:highlight w:val="none"/>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5"/>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color w:val="000000" w:themeColor="text1"/>
                <w:highlight w:val="none"/>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5"/>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color w:val="000000" w:themeColor="text1"/>
                <w:highlight w:val="none"/>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5"/>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color w:val="000000" w:themeColor="text1"/>
                <w:highlight w:val="none"/>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5"/>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W w:w="6104" w:type="dxa"/>
            <w:vAlign w:val="center"/>
            <w:textDirection w:val="lrTb"/>
            <w:noWrap w:val="false"/>
          </w:tcPr>
          <w:p>
            <w:pPr>
              <w:pStyle w:val="975"/>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rPr>
                <w:color w:val="000000" w:themeColor="text1"/>
                <w:highlight w:val="none"/>
              </w:rPr>
            </w:r>
            <w:r/>
          </w:p>
        </w:tc>
        <w:tc>
          <w:tcPr>
            <w:tcW w:w="2449" w:type="dxa"/>
            <w:vAlign w:val="center"/>
            <w:textDirection w:val="lrTb"/>
            <w:noWrap w:val="false"/>
          </w:tcPr>
          <w:p>
            <w:pPr>
              <w:pStyle w:val="975"/>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rPr>
                <w:color w:val="000000" w:themeColor="text1"/>
                <w:highlight w:val="none"/>
              </w:rPr>
            </w:r>
            <w:r/>
          </w:p>
        </w:tc>
      </w:tr>
      <w:tr>
        <w:trPr>
          <w:trHeight w:val="726"/>
        </w:trPr>
        <w:tc>
          <w:tcPr>
            <w:tcW w:w="719" w:type="dxa"/>
            <w:vAlign w:val="center"/>
            <w:textDirection w:val="lrTb"/>
            <w:noWrap w:val="false"/>
          </w:tcPr>
          <w:p>
            <w:pPr>
              <w:pStyle w:val="975"/>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color w:val="000000" w:themeColor="text1"/>
                <w:highlight w:val="none"/>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rPr>
                <w:color w:val="000000" w:themeColor="text1"/>
                <w:highlight w:val="none"/>
              </w:rPr>
            </w:r>
            <w:r/>
          </w:p>
        </w:tc>
        <w:tc>
          <w:tcPr>
            <w:tcW w:w="2449" w:type="dxa"/>
            <w:vAlign w:val="center"/>
            <w:textDirection w:val="lrTb"/>
            <w:noWrap w:val="false"/>
          </w:tcPr>
          <w:p>
            <w:pPr>
              <w:pStyle w:val="975"/>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color w:val="000000" w:themeColor="text1"/>
                <w:highlight w:val="none"/>
              </w:rPr>
            </w:r>
            <w:r/>
          </w:p>
        </w:tc>
      </w:tr>
      <w:tr>
        <w:trPr>
          <w:trHeight w:val="632"/>
        </w:trPr>
        <w:tc>
          <w:tcPr>
            <w:tcW w:w="719" w:type="dxa"/>
            <w:vAlign w:val="center"/>
            <w:textDirection w:val="lrTb"/>
            <w:noWrap w:val="false"/>
          </w:tcPr>
          <w:p>
            <w:pPr>
              <w:pStyle w:val="975"/>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color w:val="000000" w:themeColor="text1"/>
                <w:highlight w:val="none"/>
              </w:rPr>
            </w:r>
            <w:r/>
          </w:p>
        </w:tc>
        <w:tc>
          <w:tcPr>
            <w:gridSpan w:val="2"/>
            <w:tcW w:w="8553" w:type="dxa"/>
            <w:vAlign w:val="center"/>
            <w:textDirection w:val="lrTb"/>
            <w:noWrap w:val="false"/>
          </w:tcPr>
          <w:p>
            <w:pPr>
              <w:pStyle w:val="975"/>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rPr>
                <w:color w:val="000000" w:themeColor="text1"/>
                <w:highlight w:val="none"/>
              </w:rPr>
            </w:r>
            <w:r/>
          </w:p>
        </w:tc>
      </w:tr>
    </w:tbl>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pStyle w:val="885"/>
        <w:numPr>
          <w:ilvl w:val="0"/>
          <w:numId w:val="9"/>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highlight w:val="none"/>
        </w:rPr>
      </w:r>
      <w:r/>
    </w:p>
    <w:p>
      <w:pPr>
        <w:pStyle w:val="885"/>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color w:val="000000" w:themeColor="text1"/>
          <w:highlight w:val="none"/>
        </w:rPr>
      </w:r>
      <w:r/>
    </w:p>
    <w:p>
      <w:pPr>
        <w:pStyle w:val="885"/>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color w:val="000000" w:themeColor="text1"/>
          <w:highlight w:val="none"/>
        </w:rPr>
      </w:r>
      <w:r/>
    </w:p>
    <w:p>
      <w:pPr>
        <w:pStyle w:val="885"/>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color w:val="000000" w:themeColor="text1"/>
          <w:highlight w:val="none"/>
        </w:rPr>
      </w:r>
      <w:r/>
    </w:p>
    <w:p>
      <w:pPr>
        <w:pStyle w:val="885"/>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color w:val="000000" w:themeColor="text1"/>
          <w:highlight w:val="none"/>
        </w:rPr>
      </w:r>
      <w:r/>
    </w:p>
    <w:p>
      <w:pPr>
        <w:pStyle w:val="885"/>
        <w:rPr>
          <w:b/>
          <w:color w:val="000000" w:themeColor="text1"/>
          <w:sz w:val="28"/>
          <w:szCs w:val="28"/>
          <w:highlight w:val="none"/>
        </w:rPr>
      </w:pPr>
      <w:r>
        <w:rPr>
          <w:rFonts w:hint="eastAsia"/>
          <w:b/>
          <w:color w:val="000000" w:themeColor="text1"/>
          <w:sz w:val="28"/>
          <w:szCs w:val="28"/>
          <w:highlight w:val="none"/>
        </w:rPr>
        <w:t xml:space="preserve">（一）符合性证明文件</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5"/>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color w:val="000000" w:themeColor="text1"/>
                <w:highlight w:val="none"/>
              </w:rPr>
            </w:r>
            <w:r/>
          </w:p>
        </w:tc>
        <w:tc>
          <w:tcPr>
            <w:tcW w:w="6095" w:type="dxa"/>
            <w:vAlign w:val="center"/>
            <w:textDirection w:val="lrTb"/>
            <w:noWrap w:val="false"/>
          </w:tcPr>
          <w:p>
            <w:pPr>
              <w:pStyle w:val="975"/>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r/>
          </w:p>
        </w:tc>
        <w:tc>
          <w:tcPr>
            <w:tcW w:w="1979" w:type="dxa"/>
            <w:vAlign w:val="center"/>
            <w:textDirection w:val="lrTb"/>
            <w:noWrap w:val="false"/>
          </w:tcPr>
          <w:p>
            <w:pPr>
              <w:pStyle w:val="975"/>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color w:val="000000" w:themeColor="text1"/>
                <w:highlight w:val="none"/>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color w:val="000000" w:themeColor="text1"/>
                <w:highlight w:val="none"/>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color w:val="000000" w:themeColor="text1"/>
                <w:highlight w:val="none"/>
              </w:rPr>
            </w:r>
            <w:r/>
          </w:p>
        </w:tc>
        <w:tc>
          <w:tcPr>
            <w:tcW w:w="1979" w:type="dxa"/>
            <w:vAlign w:val="center"/>
            <w:vMerge w:val="restart"/>
            <w:textDirection w:val="lrTb"/>
            <w:noWrap w:val="false"/>
          </w:tcPr>
          <w:p>
            <w:pPr>
              <w:pStyle w:val="975"/>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color w:val="000000" w:themeColor="text1"/>
                <w:highlight w:val="none"/>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color w:val="000000" w:themeColor="text1"/>
                <w:highlight w:val="none"/>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color w:val="000000" w:themeColor="text1"/>
                <w:highlight w:val="none"/>
              </w:rPr>
            </w:r>
            <w:r/>
          </w:p>
        </w:tc>
        <w:tc>
          <w:tcPr>
            <w:tcW w:w="1979" w:type="dxa"/>
            <w:vAlign w:val="center"/>
            <w:vMerge w:val="continue"/>
            <w:textDirection w:val="lrTb"/>
            <w:noWrap w:val="false"/>
          </w:tcPr>
          <w:p>
            <w:pPr>
              <w:pStyle w:val="975"/>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color w:val="000000" w:themeColor="text1"/>
                <w:highlight w:val="none"/>
              </w:rPr>
            </w:r>
            <w:r/>
          </w:p>
        </w:tc>
        <w:tc>
          <w:tcPr>
            <w:tcW w:w="1979" w:type="dxa"/>
            <w:vAlign w:val="center"/>
            <w:vMerge w:val="restart"/>
            <w:textDirection w:val="lrTb"/>
            <w:noWrap w:val="false"/>
          </w:tcPr>
          <w:p>
            <w:pPr>
              <w:pStyle w:val="975"/>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color w:val="000000" w:themeColor="text1"/>
                <w:highlight w:val="none"/>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color w:val="000000" w:themeColor="text1"/>
                <w:highlight w:val="none"/>
              </w:rPr>
            </w:r>
            <w:r/>
          </w:p>
        </w:tc>
        <w:tc>
          <w:tcPr>
            <w:tcW w:w="1979" w:type="dxa"/>
            <w:vAlign w:val="center"/>
            <w:vMerge w:val="continue"/>
            <w:textDirection w:val="lrTb"/>
            <w:noWrap w:val="false"/>
          </w:tcPr>
          <w:p>
            <w:pPr>
              <w:pStyle w:val="975"/>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color w:val="000000" w:themeColor="text1"/>
                <w:highlight w:val="none"/>
              </w:rPr>
            </w:r>
            <w:r/>
          </w:p>
        </w:tc>
        <w:tc>
          <w:tcPr>
            <w:tcW w:w="6095" w:type="dxa"/>
            <w:vAlign w:val="center"/>
            <w:textDirection w:val="lrTb"/>
            <w:noWrap w:val="false"/>
          </w:tcPr>
          <w:p>
            <w:pPr>
              <w:pStyle w:val="975"/>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color w:val="000000" w:themeColor="text1"/>
                <w:highlight w:val="none"/>
              </w:rPr>
            </w:r>
            <w:r/>
          </w:p>
        </w:tc>
        <w:tc>
          <w:tcPr>
            <w:tcW w:w="1979" w:type="dxa"/>
            <w:vAlign w:val="center"/>
            <w:vMerge w:val="restart"/>
            <w:textDirection w:val="lrTb"/>
            <w:noWrap w:val="false"/>
          </w:tcPr>
          <w:p>
            <w:pPr>
              <w:pStyle w:val="975"/>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color w:val="000000" w:themeColor="text1"/>
                <w:highlight w:val="none"/>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color w:val="000000" w:themeColor="text1"/>
                <w:highlight w:val="none"/>
              </w:rPr>
            </w:r>
            <w:r/>
          </w:p>
        </w:tc>
        <w:tc>
          <w:tcPr>
            <w:tcW w:w="6095" w:type="dxa"/>
            <w:vAlign w:val="center"/>
            <w:textDirection w:val="lrTb"/>
            <w:noWrap w:val="false"/>
          </w:tcPr>
          <w:p>
            <w:pPr>
              <w:pStyle w:val="975"/>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color w:val="000000" w:themeColor="text1"/>
                <w:highlight w:val="none"/>
              </w:rPr>
            </w:r>
            <w:r/>
          </w:p>
        </w:tc>
        <w:tc>
          <w:tcPr>
            <w:tcW w:w="1979" w:type="dxa"/>
            <w:vAlign w:val="center"/>
            <w:vMerge w:val="continue"/>
            <w:textDirection w:val="lrTb"/>
            <w:noWrap w:val="false"/>
          </w:tcPr>
          <w:p>
            <w:pPr>
              <w:pStyle w:val="975"/>
              <w:ind w:firstLine="0"/>
              <w:jc w:val="center"/>
              <w:spacing w:before="0" w:after="0" w:line="240" w:lineRule="auto"/>
              <w:rPr>
                <w:rFonts w:hint="eastAsia" w:cs="Arial"/>
              </w:rPr>
            </w:pPr>
            <w:r>
              <w:rPr>
                <w:rFonts w:hint="eastAsia" w:cs="Arial"/>
              </w:rPr>
            </w:r>
            <w:r/>
          </w:p>
        </w:tc>
      </w:tr>
    </w:tbl>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pStyle w:val="885"/>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color w:val="000000" w:themeColor="text1"/>
          <w:highlight w:val="none"/>
        </w:rPr>
      </w:r>
      <w:r/>
    </w:p>
    <w:p>
      <w:pPr>
        <w:pStyle w:val="885"/>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color w:val="000000" w:themeColor="text1"/>
          <w:highlight w:val="none"/>
        </w:rPr>
      </w:r>
      <w:r/>
    </w:p>
    <w:p>
      <w:pPr>
        <w:pStyle w:val="885"/>
        <w:numPr>
          <w:ilvl w:val="0"/>
          <w:numId w:val="10"/>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color w:val="000000" w:themeColor="text1"/>
          <w:highlight w:val="none"/>
        </w:rPr>
      </w:r>
      <w:r/>
    </w:p>
    <w:p>
      <w:pPr>
        <w:pStyle w:val="885"/>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r/>
    </w:p>
    <w:p>
      <w:pPr>
        <w:pStyle w:val="885"/>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color w:val="000000" w:themeColor="text1"/>
          <w:highlight w:val="none"/>
        </w:rPr>
      </w:r>
      <w:r/>
    </w:p>
    <w:p>
      <w:pPr>
        <w:pStyle w:val="885"/>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color w:val="000000" w:themeColor="text1"/>
          <w:highlight w:val="none"/>
        </w:rPr>
      </w:r>
      <w:r/>
    </w:p>
    <w:p>
      <w:pPr>
        <w:pStyle w:val="885"/>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color w:val="000000" w:themeColor="text1"/>
          <w:highlight w:val="none"/>
        </w:rPr>
      </w:r>
      <w:r/>
    </w:p>
    <w:p>
      <w:pPr>
        <w:pStyle w:val="885"/>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color w:val="000000" w:themeColor="text1"/>
          <w:highlight w:val="none"/>
        </w:rPr>
      </w:r>
      <w:r/>
    </w:p>
    <w:p>
      <w:pPr>
        <w:pStyle w:val="975"/>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color w:val="000000" w:themeColor="text1"/>
          <w:highlight w:val="none"/>
        </w:rPr>
      </w:r>
      <w:r/>
    </w:p>
    <w:p>
      <w:pPr>
        <w:pStyle w:val="885"/>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5"/>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5"/>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color w:val="000000" w:themeColor="text1"/>
          <w:highlight w:val="none"/>
        </w:rPr>
      </w:r>
      <w:r/>
    </w:p>
    <w:p>
      <w:pPr>
        <w:pStyle w:val="885"/>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5"/>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5"/>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5"/>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5"/>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lang w:eastAsia="zh-CN"/>
        </w:rPr>
        <w:t xml:space="preserve">JSZC-320200-JZCG-G2026-0065</w:t>
      </w:r>
      <w:r>
        <w:rPr>
          <w:color w:val="000000" w:themeColor="text1"/>
          <w:highlight w:val="none"/>
        </w:rPr>
      </w:r>
      <w:r/>
    </w:p>
    <w:p>
      <w:pPr>
        <w:pStyle w:val="885"/>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lang w:eastAsia="zh-CN"/>
        </w:rPr>
        <w:t xml:space="preserve">无锡市国资监管服务项目</w:t>
      </w:r>
      <w:r>
        <w:rPr>
          <w:color w:val="000000" w:themeColor="text1"/>
          <w:highlight w:val="none"/>
        </w:rPr>
      </w:r>
      <w:r/>
    </w:p>
    <w:p>
      <w:pPr>
        <w:pStyle w:val="885"/>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color w:val="000000" w:themeColor="text1"/>
          <w:highlight w:val="none"/>
        </w:rPr>
      </w:r>
      <w:r/>
    </w:p>
    <w:p>
      <w:pPr>
        <w:pStyle w:val="885"/>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color w:val="000000" w:themeColor="text1"/>
          <w:highlight w:val="none"/>
        </w:rPr>
      </w:r>
      <w:r/>
    </w:p>
    <w:p>
      <w:pPr>
        <w:pStyle w:val="885"/>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color w:val="000000" w:themeColor="text1"/>
          <w:highlight w:val="none"/>
        </w:rPr>
      </w:r>
      <w:r/>
    </w:p>
    <w:p>
      <w:pPr>
        <w:pStyle w:val="885"/>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color w:val="000000" w:themeColor="text1"/>
          <w:highlight w:val="none"/>
        </w:rPr>
      </w:r>
      <w:r/>
    </w:p>
    <w:p>
      <w:pPr>
        <w:pStyle w:val="973"/>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lang w:eastAsia="zh-CN"/>
        </w:rPr>
        <w:t xml:space="preserve">JSZC-320200-JZCG-G2026-0065</w:t>
      </w:r>
      <w:r>
        <w:rPr>
          <w:rFonts w:hint="eastAsia" w:ascii="宋体" w:hAnsi="宋体"/>
          <w:bCs/>
          <w:color w:val="000000" w:themeColor="text1"/>
          <w:sz w:val="24"/>
          <w:szCs w:val="24"/>
          <w:highlight w:val="none"/>
        </w:rPr>
        <w:t xml:space="preserve">项目，兹授权：</w:t>
      </w:r>
      <w:r>
        <w:rPr>
          <w:color w:val="000000" w:themeColor="text1"/>
          <w:highlight w:val="none"/>
        </w:rPr>
      </w:r>
      <w:r/>
    </w:p>
    <w:p>
      <w:pPr>
        <w:pStyle w:val="973"/>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r/>
    </w:p>
    <w:p>
      <w:pPr>
        <w:pStyle w:val="973"/>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r/>
    </w:p>
    <w:p>
      <w:pPr>
        <w:pStyle w:val="973"/>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color w:val="000000" w:themeColor="text1"/>
          <w:highlight w:val="none"/>
        </w:rPr>
      </w:r>
      <w:r/>
    </w:p>
    <w:p>
      <w:pPr>
        <w:pStyle w:val="973"/>
        <w:ind w:firstLine="480"/>
        <w:tabs>
          <w:tab w:val="left" w:pos="360" w:leader="none"/>
        </w:tabs>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color w:val="000000" w:themeColor="text1"/>
          <w:highlight w:val="none"/>
        </w:rPr>
      </w:r>
      <w:r/>
    </w:p>
    <w:p>
      <w:pPr>
        <w:pStyle w:val="973"/>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color w:val="000000" w:themeColor="text1"/>
          <w:highlight w:val="none"/>
        </w:rPr>
      </w:r>
      <w:r/>
    </w:p>
    <w:p>
      <w:pPr>
        <w:pStyle w:val="973"/>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color w:val="000000" w:themeColor="text1"/>
          <w:highlight w:val="none"/>
        </w:rPr>
      </w:r>
      <w:r/>
    </w:p>
    <w:p>
      <w:pPr>
        <w:pStyle w:val="973"/>
        <w:ind w:firstLine="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color w:val="000000" w:themeColor="text1"/>
          <w:highlight w:val="none"/>
        </w:rPr>
      </w:r>
      <w:r/>
    </w:p>
    <w:p>
      <w:pPr>
        <w:pStyle w:val="973"/>
        <w:ind w:firstLine="0"/>
        <w:tabs>
          <w:tab w:val="left" w:pos="360" w:leader="none"/>
        </w:tabs>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color w:val="000000" w:themeColor="text1"/>
          <w:highlight w:val="none"/>
        </w:rPr>
      </w:r>
      <w:r/>
    </w:p>
    <w:p>
      <w:pPr>
        <w:pStyle w:val="973"/>
        <w:ind w:firstLine="0"/>
        <w:tabs>
          <w:tab w:val="left" w:pos="360" w:leader="none"/>
        </w:tabs>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r/>
    </w:p>
    <w:p>
      <w:pPr>
        <w:pStyle w:val="973"/>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t xml:space="preserve">说明：</w:t>
      </w:r>
      <w:r>
        <w:rPr>
          <w:color w:val="000000" w:themeColor="text1"/>
          <w:highlight w:val="none"/>
        </w:rPr>
      </w:r>
      <w:r/>
    </w:p>
    <w:p>
      <w:pPr>
        <w:pStyle w:val="973"/>
        <w:numPr>
          <w:ilvl w:val="0"/>
          <w:numId w:val="11"/>
        </w:numPr>
        <w:ind w:firstLine="420"/>
        <w:spacing w:line="360" w:lineRule="auto"/>
        <w:tabs>
          <w:tab w:val="left" w:pos="3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color w:val="000000" w:themeColor="text1"/>
          <w:highlight w:val="none"/>
        </w:rPr>
      </w:r>
      <w:r/>
    </w:p>
    <w:p>
      <w:pPr>
        <w:pStyle w:val="973"/>
        <w:numPr>
          <w:ilvl w:val="0"/>
          <w:numId w:val="11"/>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color w:val="000000" w:themeColor="text1"/>
          <w:highlight w:val="none"/>
        </w:rPr>
      </w:r>
      <w:r/>
    </w:p>
    <w:p>
      <w:pPr>
        <w:pStyle w:val="973"/>
        <w:numPr>
          <w:ilvl w:val="0"/>
          <w:numId w:val="11"/>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color w:val="000000" w:themeColor="text1"/>
          <w:highlight w:val="none"/>
        </w:rPr>
      </w:r>
      <w:r/>
    </w:p>
    <w:p>
      <w:pPr>
        <w:pStyle w:val="973"/>
        <w:numPr>
          <w:ilvl w:val="0"/>
          <w:numId w:val="11"/>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color w:val="000000" w:themeColor="text1"/>
          <w:highlight w:val="none"/>
        </w:rPr>
      </w:r>
      <w:r/>
    </w:p>
    <w:p>
      <w:pPr>
        <w:pStyle w:val="973"/>
        <w:ind w:firstLine="0"/>
        <w:tabs>
          <w:tab w:val="left" w:pos="360" w:leader="none"/>
        </w:tabs>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color w:val="000000" w:themeColor="text1"/>
          <w:highlight w:val="none"/>
        </w:rPr>
      </w:r>
      <w:r/>
    </w:p>
    <w:p>
      <w:pPr>
        <w:pStyle w:val="885"/>
        <w:jc w:val="center"/>
        <w:rPr>
          <w:rFonts w:ascii="黑体" w:eastAsia="黑体"/>
          <w:bCs/>
          <w:color w:val="000000" w:themeColor="text1"/>
          <w:sz w:val="28"/>
          <w:szCs w:val="28"/>
          <w:highlight w:val="none"/>
        </w:rPr>
        <w:outlineLvl w:val="0"/>
      </w:pPr>
      <w:r>
        <w:rPr>
          <w:color w:val="000000" w:themeColor="text1"/>
          <w:highlight w:val="none"/>
        </w:rPr>
      </w:r>
      <w:bookmarkStart w:id="202" w:name="报价方关于资格的声明函（格式）"/>
      <w:r>
        <w:rPr>
          <w:color w:val="000000" w:themeColor="text1"/>
          <w:highlight w:val="none"/>
        </w:rPr>
      </w:r>
      <w:bookmarkEnd w:id="202"/>
      <w:r>
        <w:rPr>
          <w:rFonts w:hint="eastAsia" w:ascii="黑体" w:eastAsia="黑体"/>
          <w:bCs/>
          <w:color w:val="000000" w:themeColor="text1"/>
          <w:sz w:val="28"/>
          <w:szCs w:val="28"/>
          <w:highlight w:val="none"/>
        </w:rPr>
        <w:t xml:space="preserve">资格声明函</w:t>
      </w:r>
      <w:r>
        <w:rPr>
          <w:color w:val="000000" w:themeColor="text1"/>
          <w:highlight w:val="none"/>
        </w:rPr>
      </w:r>
      <w:r/>
    </w:p>
    <w:p>
      <w:pPr>
        <w:pStyle w:val="885"/>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5"/>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color w:val="000000" w:themeColor="text1"/>
          <w:highlight w:val="none"/>
        </w:rPr>
      </w:r>
      <w:r/>
    </w:p>
    <w:p>
      <w:pPr>
        <w:pStyle w:val="885"/>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lang w:eastAsia="zh-CN"/>
        </w:rPr>
        <w:t xml:space="preserve">JSZC-320200-JZCG-G2026-0065</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color w:val="000000" w:themeColor="text1"/>
          <w:highlight w:val="none"/>
        </w:rPr>
      </w:r>
      <w:r/>
    </w:p>
    <w:p>
      <w:pPr>
        <w:pStyle w:val="885"/>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color w:val="000000" w:themeColor="text1"/>
          <w:highlight w:val="none"/>
        </w:rPr>
      </w:r>
      <w:r/>
    </w:p>
    <w:p>
      <w:pPr>
        <w:pStyle w:val="885"/>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color w:val="000000" w:themeColor="text1"/>
          <w:highlight w:val="none"/>
        </w:rPr>
      </w:r>
      <w:r/>
    </w:p>
    <w:p>
      <w:pPr>
        <w:pStyle w:val="885"/>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000000" w:themeColor="text1"/>
          <w:highlight w:val="none"/>
        </w:rPr>
      </w:r>
      <w:r/>
    </w:p>
    <w:p>
      <w:pPr>
        <w:pStyle w:val="885"/>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color w:val="000000" w:themeColor="text1"/>
          <w:highlight w:val="none"/>
        </w:rPr>
      </w:r>
      <w:r/>
    </w:p>
    <w:p>
      <w:pPr>
        <w:pStyle w:val="885"/>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5"/>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85"/>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四、政府采购政策相关声明函（给定格式）：</w:t>
      </w:r>
      <w:r>
        <w:rPr>
          <w:color w:val="000000" w:themeColor="text1"/>
          <w:highlight w:val="none"/>
        </w:rPr>
      </w:r>
      <w:r/>
    </w:p>
    <w:p>
      <w:pPr>
        <w:pStyle w:val="885"/>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000000" w:themeColor="text1"/>
          <w:highlight w:val="none"/>
        </w:rPr>
      </w:r>
      <w:r/>
    </w:p>
    <w:p>
      <w:pPr>
        <w:pStyle w:val="885"/>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color w:val="000000" w:themeColor="text1"/>
          <w:highlight w:val="none"/>
        </w:rPr>
      </w:r>
      <w:r/>
    </w:p>
    <w:p>
      <w:pPr>
        <w:pStyle w:val="885"/>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pStyle w:val="885"/>
        <w:ind w:firstLine="420"/>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5"/>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r/>
    </w:p>
    <w:p>
      <w:pPr>
        <w:pStyle w:val="885"/>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r/>
    </w:p>
    <w:p>
      <w:pPr>
        <w:pStyle w:val="885"/>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r/>
    </w:p>
    <w:p>
      <w:pPr>
        <w:pStyle w:val="885"/>
        <w:spacing w:line="360" w:lineRule="auto"/>
        <w:rPr>
          <w:rFonts w:hint="eastAsia" w:ascii="宋体" w:hAnsi="宋体" w:cs="宋体"/>
          <w:b/>
          <w:color w:val="000000" w:themeColor="text1"/>
          <w:sz w:val="28"/>
          <w:szCs w:val="28"/>
          <w:highlight w:val="none"/>
        </w:rPr>
      </w:pPr>
      <w:r>
        <w:rPr>
          <w:rFonts w:hint="eastAsia"/>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color w:val="000000" w:themeColor="text1"/>
          <w:highlight w:val="none"/>
        </w:rPr>
      </w:r>
      <w:r/>
    </w:p>
    <w:p>
      <w:pPr>
        <w:pStyle w:val="885"/>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r/>
    </w:p>
    <w:p>
      <w:pPr>
        <w:pStyle w:val="885"/>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color w:val="000000" w:themeColor="text1"/>
          <w:highlight w:val="none"/>
        </w:rPr>
      </w:r>
      <w:r/>
    </w:p>
    <w:p>
      <w:pPr>
        <w:pStyle w:val="885"/>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85"/>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885"/>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885"/>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5"/>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5"/>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highlight w:val="none"/>
        </w:rPr>
      </w:r>
      <w:r/>
    </w:p>
    <w:p>
      <w:pPr>
        <w:pStyle w:val="885"/>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pStyle w:val="885"/>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color w:val="000000" w:themeColor="text1"/>
          <w:highlight w:val="none"/>
        </w:rPr>
      </w:r>
      <w:r/>
    </w:p>
    <w:p>
      <w:pPr>
        <w:pStyle w:val="885"/>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r/>
    </w:p>
    <w:p>
      <w:pPr>
        <w:pStyle w:val="885"/>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color w:val="000000" w:themeColor="text1"/>
          <w:highlight w:val="none"/>
        </w:rPr>
      </w:r>
      <w:r/>
    </w:p>
    <w:p>
      <w:pPr>
        <w:pStyle w:val="885"/>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color w:val="000000" w:themeColor="text1"/>
          <w:highlight w:val="none"/>
        </w:rPr>
      </w:r>
      <w:r/>
    </w:p>
    <w:p>
      <w:pPr>
        <w:pStyle w:val="885"/>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5"/>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lang w:eastAsia="zh-CN"/>
        </w:rPr>
        <w:t xml:space="preserve">JSZC-320200-JZCG-G2026-0065</w:t>
      </w:r>
      <w:r>
        <w:rPr>
          <w:rFonts w:hint="eastAsia" w:ascii="宋体" w:hAnsi="宋体"/>
          <w:bCs/>
          <w:color w:val="000000" w:themeColor="text1"/>
          <w:sz w:val="24"/>
          <w:szCs w:val="24"/>
          <w:highlight w:val="none"/>
        </w:rPr>
        <w:t xml:space="preserve">招标文件，经仔细阅读和研究，我方决定参加此项目的投标。</w:t>
      </w:r>
      <w:r>
        <w:rPr>
          <w:color w:val="000000" w:themeColor="text1"/>
          <w:highlight w:val="none"/>
        </w:rPr>
      </w:r>
      <w:r/>
    </w:p>
    <w:p>
      <w:pPr>
        <w:pStyle w:val="885"/>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1"/>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color w:val="000000" w:themeColor="text1"/>
          <w:highlight w:val="none"/>
        </w:rPr>
      </w:r>
      <w:r/>
    </w:p>
    <w:p>
      <w:pPr>
        <w:pStyle w:val="885"/>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5"/>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color w:val="000000" w:themeColor="text1"/>
          <w:highlight w:val="none"/>
        </w:rPr>
      </w:r>
      <w:r/>
    </w:p>
    <w:p>
      <w:pPr>
        <w:pStyle w:val="885"/>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color w:val="000000" w:themeColor="text1"/>
          <w:highlight w:val="none"/>
        </w:rPr>
      </w:r>
      <w:r/>
    </w:p>
    <w:p>
      <w:pPr>
        <w:pStyle w:val="885"/>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85"/>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color w:val="000000" w:themeColor="text1"/>
          <w:highlight w:val="none"/>
        </w:rPr>
      </w:r>
      <w:r/>
    </w:p>
    <w:p>
      <w:pPr>
        <w:pStyle w:val="885"/>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color w:val="000000" w:themeColor="text1"/>
          <w:highlight w:val="none"/>
        </w:rPr>
      </w:r>
      <w:r/>
    </w:p>
    <w:p>
      <w:pPr>
        <w:pStyle w:val="885"/>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lang w:eastAsia="zh-CN"/>
        </w:rPr>
        <w:t xml:space="preserve">JSZC-320200-JZCG-G2026-0065</w:t>
      </w:r>
      <w:r>
        <w:rPr>
          <w:rFonts w:hint="eastAsia" w:ascii="宋体" w:hAnsi="宋体"/>
          <w:color w:val="000000" w:themeColor="text1"/>
          <w:sz w:val="24"/>
          <w:szCs w:val="24"/>
          <w:highlight w:val="none"/>
        </w:rPr>
        <w:t xml:space="preserve">在此承诺：</w:t>
      </w:r>
      <w:r>
        <w:rPr>
          <w:color w:val="000000" w:themeColor="text1"/>
          <w:highlight w:val="none"/>
        </w:rPr>
      </w:r>
      <w:r/>
    </w:p>
    <w:p>
      <w:pPr>
        <w:pStyle w:val="885"/>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对本项目所提供的货物均为原厂全新合格产品，提供的服务符合招标文件要求。</w:t>
      </w:r>
      <w:r>
        <w:rPr>
          <w:color w:val="000000" w:themeColor="text1"/>
          <w:highlight w:val="none"/>
        </w:rPr>
      </w:r>
      <w:r/>
    </w:p>
    <w:p>
      <w:pPr>
        <w:pStyle w:val="885"/>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rPr>
          <w:color w:val="000000" w:themeColor="text1"/>
          <w:highlight w:val="none"/>
        </w:rPr>
      </w:r>
      <w:r/>
    </w:p>
    <w:p>
      <w:pPr>
        <w:pStyle w:val="885"/>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000000" w:themeColor="text1"/>
          <w:highlight w:val="none"/>
        </w:rPr>
      </w:r>
      <w:r/>
    </w:p>
    <w:p>
      <w:pPr>
        <w:pStyle w:val="885"/>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color w:val="000000" w:themeColor="text1"/>
          <w:highlight w:val="none"/>
        </w:rPr>
      </w:r>
      <w:r/>
    </w:p>
    <w:p>
      <w:pPr>
        <w:pStyle w:val="885"/>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rPr>
          <w:color w:val="000000" w:themeColor="text1"/>
          <w:highlight w:val="none"/>
        </w:rPr>
      </w:r>
      <w:r/>
    </w:p>
    <w:p>
      <w:pPr>
        <w:pStyle w:val="885"/>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color w:val="000000" w:themeColor="text1"/>
          <w:highlight w:val="none"/>
        </w:rPr>
      </w:r>
      <w:r/>
    </w:p>
    <w:p>
      <w:pPr>
        <w:pStyle w:val="885"/>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r/>
    </w:p>
    <w:p>
      <w:pPr>
        <w:pStyle w:val="885"/>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rPr>
          <w:color w:val="000000" w:themeColor="text1"/>
          <w:highlight w:val="none"/>
        </w:rPr>
      </w:r>
      <w:r/>
    </w:p>
    <w:p>
      <w:pPr>
        <w:pStyle w:val="885"/>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r/>
    </w:p>
    <w:p>
      <w:pPr>
        <w:pStyle w:val="885"/>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color w:val="000000" w:themeColor="text1"/>
          <w:highlight w:val="none"/>
        </w:rPr>
      </w:r>
      <w:r/>
    </w:p>
    <w:p>
      <w:pPr>
        <w:pStyle w:val="885"/>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5"/>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85"/>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color w:val="000000" w:themeColor="text1"/>
          <w:highlight w:val="none"/>
        </w:rPr>
      </w:r>
      <w:r/>
    </w:p>
    <w:p>
      <w:pPr>
        <w:pStyle w:val="885"/>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r/>
    </w:p>
    <w:p>
      <w:pPr>
        <w:pStyle w:val="885"/>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color w:val="000000" w:themeColor="text1"/>
          <w:highlight w:val="none"/>
        </w:rPr>
      </w:r>
      <w:r/>
    </w:p>
    <w:p>
      <w:pPr>
        <w:pStyle w:val="885"/>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5"/>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rPr>
          <w:color w:val="000000" w:themeColor="text1"/>
          <w:highlight w:val="none"/>
        </w:rPr>
      </w:r>
      <w:r/>
    </w:p>
    <w:p>
      <w:pPr>
        <w:pStyle w:val="885"/>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85"/>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JSZC-320200-JZCG-G2026-0065</w:t>
      </w:r>
      <w:r>
        <w:rPr>
          <w:color w:val="000000" w:themeColor="text1"/>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5"/>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color w:val="000000" w:themeColor="text1"/>
                <w:highlight w:val="none"/>
              </w:rPr>
            </w:r>
            <w:r/>
          </w:p>
        </w:tc>
        <w:tc>
          <w:tcPr>
            <w:tcW w:w="3188" w:type="dxa"/>
            <w:vAlign w:val="center"/>
            <w:textDirection w:val="lrTb"/>
            <w:noWrap w:val="false"/>
          </w:tcPr>
          <w:p>
            <w:pPr>
              <w:pStyle w:val="885"/>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投标总报价（小写）</w:t>
            </w:r>
            <w:r>
              <w:rPr>
                <w:color w:val="000000" w:themeColor="text1"/>
                <w:highlight w:val="none"/>
              </w:rPr>
            </w:r>
            <w:r/>
          </w:p>
        </w:tc>
      </w:tr>
      <w:tr>
        <w:trPr>
          <w:cantSplit/>
          <w:trHeight w:val="1630"/>
        </w:trPr>
        <w:tc>
          <w:tcPr>
            <w:tcW w:w="5697" w:type="dxa"/>
            <w:vAlign w:val="center"/>
            <w:textDirection w:val="lrTb"/>
            <w:noWrap w:val="false"/>
          </w:tcPr>
          <w:p>
            <w:pPr>
              <w:pStyle w:val="1001"/>
              <w:jc w:val="center"/>
              <w:spacing w:line="400" w:lineRule="exact"/>
              <w:rPr>
                <w:rFonts w:hint="eastAsia" w:hAnsi="宋体" w:eastAsia="宋体"/>
                <w:bCs/>
                <w:color w:val="000000" w:themeColor="text1"/>
                <w:szCs w:val="24"/>
                <w:highlight w:val="none"/>
              </w:rPr>
            </w:pPr>
            <w:r>
              <w:rPr>
                <w:rFonts w:hint="eastAsia" w:hAnsi="宋体"/>
                <w:bCs/>
                <w:color w:val="000000" w:themeColor="text1"/>
                <w:szCs w:val="24"/>
                <w:highlight w:val="none"/>
                <w:lang w:eastAsia="zh-CN"/>
              </w:rPr>
              <w:t xml:space="preserve">无锡市国资监管服务项目</w:t>
            </w:r>
            <w:r>
              <w:rPr>
                <w:color w:val="000000" w:themeColor="text1"/>
                <w:highlight w:val="none"/>
              </w:rPr>
            </w:r>
            <w:r/>
          </w:p>
        </w:tc>
        <w:tc>
          <w:tcPr>
            <w:tcW w:w="3188" w:type="dxa"/>
            <w:vAlign w:val="center"/>
            <w:textDirection w:val="lrTb"/>
            <w:noWrap w:val="false"/>
          </w:tcPr>
          <w:p>
            <w:pPr>
              <w:pStyle w:val="1001"/>
              <w:jc w:val="center"/>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r/>
          </w:p>
        </w:tc>
      </w:tr>
      <w:tr>
        <w:trPr>
          <w:cantSplit/>
          <w:trHeight w:val="780"/>
        </w:trPr>
        <w:tc>
          <w:tcPr>
            <w:gridSpan w:val="2"/>
            <w:tcW w:w="8885" w:type="dxa"/>
            <w:vAlign w:val="center"/>
            <w:textDirection w:val="lrTb"/>
            <w:noWrap w:val="false"/>
          </w:tcPr>
          <w:p>
            <w:pPr>
              <w:pStyle w:val="885"/>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rPr>
                <w:color w:val="000000" w:themeColor="text1"/>
                <w:highlight w:val="none"/>
              </w:rPr>
            </w:r>
            <w:r/>
          </w:p>
        </w:tc>
      </w:tr>
    </w:tbl>
    <w:p>
      <w:pPr>
        <w:pStyle w:val="885"/>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5"/>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85"/>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85"/>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color w:val="000000" w:themeColor="text1"/>
          <w:highlight w:val="none"/>
        </w:rPr>
      </w:r>
      <w:r/>
    </w:p>
    <w:p>
      <w:pPr>
        <w:pStyle w:val="885"/>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九、分项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rPr>
          <w:color w:val="000000" w:themeColor="text1"/>
          <w:highlight w:val="none"/>
        </w:rPr>
      </w:r>
      <w:r/>
    </w:p>
    <w:p>
      <w:pPr>
        <w:pStyle w:val="885"/>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r/>
    </w:p>
    <w:p>
      <w:pPr>
        <w:pStyle w:val="885"/>
        <w:jc w:val="center"/>
        <w:spacing w:line="400" w:lineRule="exact"/>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分项报价表</w:t>
      </w:r>
      <w:r>
        <w:rPr>
          <w:color w:val="000000" w:themeColor="text1"/>
          <w:highlight w:val="none"/>
        </w:rPr>
      </w:r>
      <w:r/>
    </w:p>
    <w:p>
      <w:pPr>
        <w:pStyle w:val="885"/>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JSZC-320200-JZCG-G2026-0065</w:t>
      </w:r>
      <w:r>
        <w:rPr>
          <w:color w:val="000000" w:themeColor="text1"/>
          <w:highlight w:val="none"/>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5"/>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highlight w:val="none"/>
              </w:rPr>
            </w:r>
            <w:r/>
          </w:p>
        </w:tc>
        <w:tc>
          <w:tcPr>
            <w:tcMar>
              <w:left w:w="15" w:type="dxa"/>
              <w:top w:w="15" w:type="dxa"/>
              <w:right w:w="15" w:type="dxa"/>
              <w:bottom w:w="0" w:type="dxa"/>
            </w:tcMar>
            <w:tcW w:w="4930" w:type="dxa"/>
            <w:vAlign w:val="center"/>
            <w:textDirection w:val="lrTb"/>
            <w:noWrap/>
          </w:tcPr>
          <w:p>
            <w:pPr>
              <w:pStyle w:val="885"/>
              <w:jc w:val="center"/>
              <w:spacing w:before="5"/>
              <w:rPr>
                <w:color w:val="000000" w:themeColor="text1"/>
                <w:sz w:val="18"/>
                <w:highlight w:val="none"/>
              </w:rPr>
            </w:pPr>
            <w:r>
              <w:rPr>
                <w:color w:val="000000" w:themeColor="text1"/>
                <w:sz w:val="18"/>
                <w:highlight w:val="none"/>
              </w:rPr>
              <w:t xml:space="preserve">服务内容</w:t>
            </w:r>
            <w:r>
              <w:rPr>
                <w:color w:val="000000" w:themeColor="text1"/>
                <w:highlight w:val="none"/>
              </w:rPr>
            </w:r>
            <w:r/>
          </w:p>
        </w:tc>
        <w:tc>
          <w:tcPr>
            <w:tcW w:w="851" w:type="dxa"/>
            <w:vAlign w:val="center"/>
            <w:textDirection w:val="lrTb"/>
            <w:noWrap w:val="false"/>
          </w:tcPr>
          <w:p>
            <w:pPr>
              <w:pStyle w:val="885"/>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highlight w:val="none"/>
              </w:rPr>
            </w:r>
            <w:r/>
          </w:p>
        </w:tc>
        <w:tc>
          <w:tcPr>
            <w:tcMar>
              <w:left w:w="15" w:type="dxa"/>
              <w:top w:w="15" w:type="dxa"/>
              <w:right w:w="15" w:type="dxa"/>
              <w:bottom w:w="0" w:type="dxa"/>
            </w:tcMar>
            <w:tcW w:w="850" w:type="dxa"/>
            <w:vAlign w:val="center"/>
            <w:textDirection w:val="lrTb"/>
            <w:noWrap/>
          </w:tcPr>
          <w:p>
            <w:pPr>
              <w:pStyle w:val="885"/>
              <w:jc w:val="center"/>
              <w:spacing w:before="5"/>
              <w:rPr>
                <w:color w:val="000000" w:themeColor="text1"/>
                <w:sz w:val="18"/>
                <w:highlight w:val="none"/>
              </w:rPr>
            </w:pPr>
            <w:r>
              <w:rPr>
                <w:rFonts w:hint="eastAsia"/>
                <w:color w:val="000000" w:themeColor="text1"/>
                <w:sz w:val="18"/>
                <w:highlight w:val="none"/>
              </w:rPr>
              <w:t xml:space="preserve">单位</w:t>
            </w:r>
            <w:r>
              <w:rPr>
                <w:color w:val="000000" w:themeColor="text1"/>
                <w:highlight w:val="none"/>
              </w:rPr>
            </w:r>
            <w:r/>
          </w:p>
        </w:tc>
        <w:tc>
          <w:tcPr>
            <w:tcW w:w="1134" w:type="dxa"/>
            <w:vAlign w:val="center"/>
            <w:textDirection w:val="lrTb"/>
            <w:noWrap w:val="false"/>
          </w:tcPr>
          <w:p>
            <w:pPr>
              <w:pStyle w:val="885"/>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highlight w:val="none"/>
              </w:rPr>
            </w:r>
            <w:r/>
          </w:p>
        </w:tc>
        <w:tc>
          <w:tcPr>
            <w:tcW w:w="1276" w:type="dxa"/>
            <w:vAlign w:val="center"/>
            <w:textDirection w:val="lrTb"/>
            <w:noWrap w:val="false"/>
          </w:tcPr>
          <w:p>
            <w:pPr>
              <w:pStyle w:val="885"/>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934"/>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color w:val="000000" w:themeColor="text1"/>
                <w:highlight w:val="none"/>
              </w:rPr>
            </w:r>
            <w:r/>
          </w:p>
        </w:tc>
        <w:tc>
          <w:tcPr>
            <w:tcMar>
              <w:left w:w="15" w:type="dxa"/>
              <w:top w:w="15" w:type="dxa"/>
              <w:right w:w="15" w:type="dxa"/>
              <w:bottom w:w="0" w:type="dxa"/>
            </w:tcMar>
            <w:tcW w:w="4930" w:type="dxa"/>
            <w:vAlign w:val="center"/>
            <w:textDirection w:val="lrTb"/>
            <w:noWrap/>
          </w:tcPr>
          <w:p>
            <w:pPr>
              <w:pStyle w:val="885"/>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851"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850" w:type="dxa"/>
            <w:vAlign w:val="center"/>
            <w:textDirection w:val="lrTb"/>
            <w:noWrap/>
          </w:tcPr>
          <w:p>
            <w:pPr>
              <w:pStyle w:val="885"/>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1134"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5"/>
              <w:jc w:val="center"/>
              <w:rPr>
                <w:rFonts w:ascii="宋体"/>
                <w:color w:val="000000" w:themeColor="text1"/>
                <w:sz w:val="18"/>
                <w:highlight w:val="none"/>
              </w:rPr>
            </w:pPr>
            <w:r>
              <w:rPr>
                <w:rFonts w:hint="eastAsia" w:ascii="宋体"/>
                <w:color w:val="000000" w:themeColor="text1"/>
                <w:sz w:val="18"/>
                <w:highlight w:val="none"/>
              </w:rPr>
              <w:t xml:space="preserve">2</w:t>
            </w:r>
            <w:r>
              <w:rPr>
                <w:color w:val="000000" w:themeColor="text1"/>
                <w:highlight w:val="none"/>
              </w:rPr>
            </w:r>
            <w:r/>
          </w:p>
        </w:tc>
        <w:tc>
          <w:tcPr>
            <w:tcMar>
              <w:left w:w="15" w:type="dxa"/>
              <w:top w:w="15" w:type="dxa"/>
              <w:right w:w="15" w:type="dxa"/>
              <w:bottom w:w="0" w:type="dxa"/>
            </w:tcMar>
            <w:tcW w:w="4930" w:type="dxa"/>
            <w:vAlign w:val="center"/>
            <w:textDirection w:val="lrTb"/>
            <w:noWrap/>
          </w:tcPr>
          <w:p>
            <w:pPr>
              <w:pStyle w:val="885"/>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851"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850" w:type="dxa"/>
            <w:vAlign w:val="center"/>
            <w:textDirection w:val="lrTb"/>
            <w:noWrap/>
          </w:tcPr>
          <w:p>
            <w:pPr>
              <w:pStyle w:val="885"/>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1134"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5"/>
              <w:jc w:val="center"/>
              <w:rPr>
                <w:rFonts w:ascii="宋体"/>
                <w:color w:val="000000" w:themeColor="text1"/>
                <w:sz w:val="18"/>
                <w:highlight w:val="none"/>
              </w:rPr>
            </w:pPr>
            <w:r>
              <w:rPr>
                <w:rFonts w:ascii="宋体"/>
                <w:color w:val="000000" w:themeColor="text1"/>
                <w:sz w:val="18"/>
                <w:highlight w:val="none"/>
              </w:rPr>
            </w:r>
            <w:r>
              <w:rPr>
                <w:color w:val="000000" w:themeColor="text1"/>
                <w:highlight w:val="none"/>
              </w:rPr>
            </w:r>
            <w:r/>
          </w:p>
        </w:tc>
        <w:tc>
          <w:tcPr>
            <w:tcMar>
              <w:left w:w="15" w:type="dxa"/>
              <w:top w:w="15" w:type="dxa"/>
              <w:right w:w="15" w:type="dxa"/>
              <w:bottom w:w="0" w:type="dxa"/>
            </w:tcMar>
            <w:tcW w:w="4930" w:type="dxa"/>
            <w:vAlign w:val="center"/>
            <w:textDirection w:val="lrTb"/>
            <w:noWrap/>
          </w:tcPr>
          <w:p>
            <w:pPr>
              <w:pStyle w:val="885"/>
              <w:jc w:val="center"/>
              <w:rPr>
                <w:rFonts w:hint="eastAsia" w:ascii="黑体" w:eastAsia="黑体"/>
                <w:b/>
                <w:bCs/>
                <w:color w:val="000000" w:themeColor="text1"/>
                <w:highlight w:val="none"/>
              </w:rPr>
            </w:pPr>
            <w:r>
              <w:rPr>
                <w:rFonts w:ascii="黑体" w:eastAsia="黑体"/>
                <w:b/>
                <w:bCs/>
                <w:color w:val="000000" w:themeColor="text1"/>
                <w:highlight w:val="none"/>
              </w:rPr>
              <w:t xml:space="preserve">……</w:t>
            </w:r>
            <w:r>
              <w:rPr>
                <w:color w:val="000000" w:themeColor="text1"/>
                <w:highlight w:val="none"/>
              </w:rPr>
            </w:r>
            <w:r/>
          </w:p>
        </w:tc>
        <w:tc>
          <w:tcPr>
            <w:tcW w:w="851"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850" w:type="dxa"/>
            <w:vAlign w:val="center"/>
            <w:textDirection w:val="lrTb"/>
            <w:noWrap/>
          </w:tcPr>
          <w:p>
            <w:pPr>
              <w:pStyle w:val="885"/>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r/>
          </w:p>
        </w:tc>
        <w:tc>
          <w:tcPr>
            <w:tcW w:w="1134"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bl>
    <w:p>
      <w:pPr>
        <w:pStyle w:val="885"/>
        <w:spacing w:before="5" w:line="560" w:lineRule="atLeast"/>
        <w:rPr>
          <w:b/>
          <w:bCs/>
          <w:color w:val="000000" w:themeColor="text1"/>
          <w:sz w:val="24"/>
          <w:szCs w:val="24"/>
          <w:highlight w:val="none"/>
        </w:rPr>
      </w:pPr>
      <w:r>
        <w:rPr>
          <w:rFonts w:hint="eastAsia"/>
          <w:b/>
          <w:bCs/>
          <w:color w:val="000000" w:themeColor="text1"/>
          <w:sz w:val="24"/>
          <w:szCs w:val="24"/>
          <w:highlight w:val="none"/>
        </w:rPr>
        <w:t xml:space="preserve">投标人名称（盖章）：</w:t>
      </w:r>
      <w:r>
        <w:rPr>
          <w:color w:val="000000" w:themeColor="text1"/>
          <w:highlight w:val="none"/>
        </w:rPr>
      </w:r>
      <w:r/>
    </w:p>
    <w:p>
      <w:pPr>
        <w:pStyle w:val="885"/>
        <w:spacing w:line="400" w:lineRule="exact"/>
        <w:rPr>
          <w:rFonts w:hint="eastAsia" w:ascii="宋体" w:hAnsi="宋体"/>
          <w:b/>
          <w:color w:val="000000" w:themeColor="text1"/>
          <w:highlight w:val="none"/>
        </w:rPr>
        <w:outlineLvl w:val="0"/>
      </w:pPr>
      <w:r>
        <w:rPr>
          <w:rFonts w:hint="eastAsia" w:ascii="宋体" w:hAnsi="宋体"/>
          <w:b/>
          <w:color w:val="000000" w:themeColor="text1"/>
          <w:highlight w:val="none"/>
        </w:rPr>
      </w:r>
      <w:r>
        <w:rPr>
          <w:color w:val="000000" w:themeColor="text1"/>
          <w:highlight w:val="none"/>
        </w:rPr>
      </w:r>
      <w:r/>
    </w:p>
    <w:p>
      <w:pPr>
        <w:pStyle w:val="885"/>
        <w:spacing w:line="400" w:lineRule="exact"/>
        <w:rPr>
          <w:rFonts w:ascii="宋体"/>
          <w:bCs/>
          <w:color w:val="000000" w:themeColor="text1"/>
          <w:highlight w:val="none"/>
        </w:rPr>
        <w:outlineLvl w:val="0"/>
      </w:pPr>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ascii="宋体" w:hAnsi="宋体"/>
          <w:bCs/>
          <w:color w:val="000000" w:themeColor="text1"/>
          <w:highlight w:val="none"/>
        </w:rPr>
        <w:t xml:space="preserve">1</w:t>
      </w:r>
      <w:r>
        <w:rPr>
          <w:rFonts w:hint="eastAsia" w:ascii="宋体" w:hAnsi="宋体"/>
          <w:bCs/>
          <w:color w:val="000000" w:themeColor="text1"/>
          <w:highlight w:val="none"/>
        </w:rPr>
        <w:t xml:space="preserve">）</w:t>
      </w:r>
      <w:r>
        <w:rPr>
          <w:rFonts w:hint="eastAsia" w:ascii="宋体"/>
          <w:bCs/>
          <w:color w:val="000000" w:themeColor="text1"/>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color w:val="000000" w:themeColor="text1"/>
          <w:highlight w:val="none"/>
        </w:rPr>
      </w:r>
      <w:r/>
    </w:p>
    <w:p>
      <w:pPr>
        <w:pStyle w:val="885"/>
        <w:ind w:firstLine="315"/>
        <w:spacing w:line="400" w:lineRule="exact"/>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）“采购需求”中如有明确要求进行分项报价的，投标人应当根据相应要求在上表中详细填写。</w:t>
      </w:r>
      <w:r>
        <w:rPr>
          <w:color w:val="000000" w:themeColor="text1"/>
          <w:highlight w:val="none"/>
        </w:rPr>
      </w:r>
      <w:r/>
    </w:p>
    <w:p>
      <w:pPr>
        <w:pStyle w:val="885"/>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3</w:t>
      </w:r>
      <w:r>
        <w:rPr>
          <w:rFonts w:hint="eastAsia" w:ascii="宋体" w:hAnsi="宋体"/>
          <w:bCs/>
          <w:color w:val="000000" w:themeColor="text1"/>
          <w:highlight w:val="none"/>
        </w:rPr>
        <w:t xml:space="preserve">）表格不够可自行延长。</w:t>
      </w:r>
      <w:r>
        <w:rPr>
          <w:color w:val="000000" w:themeColor="text1"/>
          <w:highlight w:val="none"/>
        </w:rPr>
      </w:r>
      <w:r/>
    </w:p>
    <w:p>
      <w:pPr>
        <w:pStyle w:val="885"/>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r/>
    </w:p>
    <w:p>
      <w:pPr>
        <w:pStyle w:val="885"/>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r/>
    </w:p>
    <w:p>
      <w:pPr>
        <w:pStyle w:val="885"/>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r/>
    </w:p>
    <w:p>
      <w:pPr>
        <w:pStyle w:val="885"/>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r/>
    </w:p>
    <w:p>
      <w:pPr>
        <w:pStyle w:val="885"/>
        <w:ind w:firstLine="315"/>
        <w:spacing w:line="400" w:lineRule="exact"/>
        <w:rPr>
          <w:rFonts w:ascii="宋体" w:hAnsi="宋体"/>
          <w:bCs/>
          <w:color w:val="000000" w:themeColor="text1"/>
          <w:highlight w:val="none"/>
        </w:rPr>
        <w:outlineLvl w:val="0"/>
      </w:pPr>
      <w:r>
        <w:rPr>
          <w:rFonts w:ascii="宋体" w:hAnsi="宋体"/>
          <w:bCs/>
          <w:color w:val="000000" w:themeColor="text1"/>
          <w:highlight w:val="none"/>
        </w:rPr>
      </w:r>
      <w:r>
        <w:rPr>
          <w:color w:val="000000" w:themeColor="text1"/>
          <w:highlight w:val="none"/>
        </w:rPr>
      </w:r>
      <w:r/>
    </w:p>
    <w:p>
      <w:pPr>
        <w:pStyle w:val="885"/>
        <w:spacing w:line="360" w:lineRule="auto"/>
        <w:rPr>
          <w:rFonts w:hint="eastAsia"/>
          <w:b/>
          <w:color w:val="000000" w:themeColor="text1"/>
          <w:sz w:val="28"/>
          <w:szCs w:val="28"/>
          <w:highlight w:val="none"/>
        </w:rPr>
      </w:pPr>
      <w:r>
        <w:rPr>
          <w:rFonts w:ascii="宋体" w:hAnsi="宋体"/>
          <w:bCs/>
          <w:color w:val="000000" w:themeColor="text1"/>
          <w:highlight w:val="none"/>
        </w:rPr>
        <w:br w:type="page" w:clear="all"/>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Start w:id="203" w:name="_Toc120614284"/>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color w:val="000000" w:themeColor="text1"/>
          <w:highlight w:val="none"/>
        </w:rPr>
      </w:r>
      <w:r/>
    </w:p>
    <w:p>
      <w:pPr>
        <w:pStyle w:val="885"/>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5"/>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color w:val="000000" w:themeColor="text1"/>
          <w:highlight w:val="none"/>
        </w:rPr>
      </w:r>
      <w:r/>
    </w:p>
    <w:p>
      <w:pPr>
        <w:pStyle w:val="885"/>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5"/>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5"/>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JSZC-320200-JZCG-G2026-0065</w:t>
      </w:r>
      <w:r>
        <w:rPr>
          <w:color w:val="000000" w:themeColor="text1"/>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bl>
    <w:p>
      <w:pPr>
        <w:pStyle w:val="885"/>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5"/>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r/>
    </w:p>
    <w:p>
      <w:pPr>
        <w:pStyle w:val="885"/>
        <w:ind w:firstLine="420"/>
        <w:rPr>
          <w:rFonts w:ascii="宋体" w:hAnsi="宋体"/>
          <w:bCs/>
          <w:color w:val="000000" w:themeColor="text1"/>
          <w:sz w:val="24"/>
          <w:szCs w:val="24"/>
          <w:highlight w:val="none"/>
        </w:rPr>
        <w:outlineLvl w:val="0"/>
      </w:pPr>
      <w:r>
        <w:rPr>
          <w:color w:val="000000" w:themeColor="text1"/>
          <w:highlight w:val="none"/>
        </w:rPr>
      </w:r>
      <w:bookmarkEnd w:id="189"/>
      <w:r>
        <w:rPr>
          <w:color w:val="000000" w:themeColor="text1"/>
          <w:highlight w:val="none"/>
        </w:rPr>
      </w:r>
      <w:bookmarkEnd w:id="190"/>
      <w:r>
        <w:rPr>
          <w:color w:val="000000" w:themeColor="text1"/>
          <w:highlight w:val="none"/>
        </w:rPr>
      </w:r>
      <w:bookmarkEnd w:id="203"/>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color w:val="000000" w:themeColor="text1"/>
          <w:highlight w:val="none"/>
        </w:rPr>
      </w:r>
      <w:r/>
    </w:p>
    <w:p>
      <w:pPr>
        <w:pStyle w:val="885"/>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针对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采购需求</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的内容不得有负偏离</w:t>
      </w:r>
      <w:r>
        <w:rPr>
          <w:rFonts w:hint="eastAsia" w:ascii="宋体" w:hAnsi="宋体"/>
          <w:bCs/>
          <w:color w:val="000000" w:themeColor="text1"/>
          <w:sz w:val="24"/>
          <w:szCs w:val="24"/>
          <w:highlight w:val="none"/>
          <w:lang w:eastAsia="zh-CN"/>
        </w:rPr>
        <w:t xml:space="preserve">；</w:t>
      </w:r>
      <w:r>
        <w:rPr>
          <w:color w:val="000000" w:themeColor="text1"/>
          <w:highlight w:val="none"/>
        </w:rPr>
      </w:r>
      <w:r/>
    </w:p>
    <w:p>
      <w:pPr>
        <w:pStyle w:val="885"/>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如无任何技术偏离，请于本表 “偏离说明”中注明“无偏离”；</w:t>
      </w:r>
      <w:r>
        <w:rPr>
          <w:color w:val="000000" w:themeColor="text1"/>
          <w:highlight w:val="none"/>
        </w:rPr>
      </w:r>
      <w:r/>
    </w:p>
    <w:p>
      <w:pPr>
        <w:pStyle w:val="885"/>
        <w:ind w:firstLine="420"/>
        <w:rPr>
          <w:rFonts w:hint="eastAsia" w:ascii="宋体" w:hAnsi="宋体" w:eastAsia="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）如有技术</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偏离项，请于本表中列明</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偏离内容，如需要可自行延长，其余无偏离内容</w:t>
      </w:r>
      <w:r>
        <w:rPr>
          <w:rFonts w:hint="eastAsia" w:ascii="宋体" w:hAnsi="宋体"/>
          <w:bCs/>
          <w:color w:val="000000" w:themeColor="text1"/>
          <w:sz w:val="24"/>
          <w:szCs w:val="24"/>
          <w:highlight w:val="none"/>
          <w:lang w:val="en-US" w:eastAsia="zh-CN"/>
        </w:rPr>
        <w:t xml:space="preserve">无需</w:t>
      </w:r>
      <w:r>
        <w:rPr>
          <w:rFonts w:hint="eastAsia" w:ascii="宋体" w:hAnsi="宋体"/>
          <w:bCs/>
          <w:color w:val="000000" w:themeColor="text1"/>
          <w:sz w:val="24"/>
          <w:szCs w:val="24"/>
          <w:highlight w:val="none"/>
        </w:rPr>
        <w:t xml:space="preserve">赘述</w:t>
      </w:r>
      <w:bookmarkStart w:id="204" w:name="_格式2__法定代表人授权书"/>
      <w:r>
        <w:rPr>
          <w:color w:val="000000" w:themeColor="text1"/>
          <w:highlight w:val="none"/>
        </w:rPr>
      </w:r>
      <w:bookmarkEnd w:id="204"/>
      <w:r>
        <w:rPr>
          <w:color w:val="000000" w:themeColor="text1"/>
          <w:highlight w:val="none"/>
        </w:rPr>
      </w:r>
      <w:bookmarkStart w:id="205" w:name="_Hlt26671374"/>
      <w:r>
        <w:rPr>
          <w:color w:val="000000" w:themeColor="text1"/>
          <w:highlight w:val="none"/>
        </w:rPr>
      </w:r>
      <w:bookmarkEnd w:id="205"/>
      <w:r>
        <w:rPr>
          <w:color w:val="000000" w:themeColor="text1"/>
          <w:highlight w:val="none"/>
        </w:rPr>
      </w:r>
      <w:bookmarkStart w:id="206" w:name="_Hlt26609389"/>
      <w:r>
        <w:rPr>
          <w:color w:val="000000" w:themeColor="text1"/>
          <w:highlight w:val="none"/>
        </w:rPr>
      </w:r>
      <w:bookmarkEnd w:id="206"/>
      <w:r>
        <w:rPr>
          <w:color w:val="000000" w:themeColor="text1"/>
          <w:highlight w:val="none"/>
        </w:rPr>
      </w:r>
      <w:bookmarkStart w:id="207" w:name="_Hlt26955066"/>
      <w:r>
        <w:rPr>
          <w:color w:val="000000" w:themeColor="text1"/>
          <w:highlight w:val="none"/>
        </w:rPr>
      </w:r>
      <w:bookmarkEnd w:id="207"/>
      <w:r>
        <w:rPr>
          <w:rFonts w:hint="eastAsia" w:ascii="宋体" w:hAnsi="宋体"/>
          <w:bCs/>
          <w:color w:val="000000" w:themeColor="text1"/>
          <w:sz w:val="24"/>
          <w:szCs w:val="24"/>
          <w:highlight w:val="none"/>
          <w:lang w:eastAsia="zh-CN"/>
        </w:rPr>
        <w:t xml:space="preserve">。</w:t>
      </w:r>
      <w:r>
        <w:rPr>
          <w:color w:val="000000" w:themeColor="text1"/>
          <w:highlight w:val="none"/>
        </w:rPr>
      </w:r>
      <w:r/>
    </w:p>
    <w:p>
      <w:pPr>
        <w:pStyle w:val="885"/>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r/>
    </w:p>
    <w:p>
      <w:pPr>
        <w:pStyle w:val="885"/>
        <w:spacing w:line="360" w:lineRule="auto"/>
        <w:rPr>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十一、项目人员配置清单（格式）</w:t>
      </w:r>
      <w:r>
        <w:rPr>
          <w:color w:val="000000" w:themeColor="text1"/>
          <w:highlight w:val="none"/>
        </w:rPr>
      </w:r>
      <w:r/>
    </w:p>
    <w:p>
      <w:pPr>
        <w:pStyle w:val="885"/>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85"/>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rPr>
          <w:color w:val="000000" w:themeColor="text1"/>
          <w:highlight w:val="none"/>
        </w:rPr>
      </w:r>
      <w:r/>
    </w:p>
    <w:p>
      <w:pPr>
        <w:pStyle w:val="885"/>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85"/>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JSZC-320200-JZCG-G2026-0065</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5"/>
              <w:jc w:val="center"/>
              <w:rPr>
                <w:b/>
                <w:color w:val="000000" w:themeColor="text1"/>
                <w:sz w:val="24"/>
                <w:highlight w:val="none"/>
              </w:rPr>
            </w:pPr>
            <w:r>
              <w:rPr>
                <w:rFonts w:hint="eastAsia"/>
                <w:b/>
                <w:color w:val="000000" w:themeColor="text1"/>
                <w:sz w:val="24"/>
                <w:highlight w:val="none"/>
              </w:rPr>
              <w:t xml:space="preserve">序号</w:t>
            </w:r>
            <w:r>
              <w:rPr>
                <w:color w:val="000000" w:themeColor="text1"/>
                <w:highlight w:val="none"/>
              </w:rPr>
            </w:r>
            <w:r/>
          </w:p>
        </w:tc>
        <w:tc>
          <w:tcPr>
            <w:tcW w:w="1476" w:type="dxa"/>
            <w:vAlign w:val="center"/>
            <w:textDirection w:val="lrTb"/>
            <w:noWrap w:val="false"/>
          </w:tcPr>
          <w:p>
            <w:pPr>
              <w:pStyle w:val="885"/>
              <w:jc w:val="center"/>
              <w:rPr>
                <w:b/>
                <w:color w:val="000000" w:themeColor="text1"/>
                <w:sz w:val="24"/>
                <w:highlight w:val="none"/>
              </w:rPr>
            </w:pPr>
            <w:r>
              <w:rPr>
                <w:rFonts w:hint="eastAsia"/>
                <w:b/>
                <w:color w:val="000000" w:themeColor="text1"/>
                <w:sz w:val="24"/>
                <w:highlight w:val="none"/>
              </w:rPr>
              <w:t xml:space="preserve">姓名</w:t>
            </w:r>
            <w:r>
              <w:rPr>
                <w:color w:val="000000" w:themeColor="text1"/>
                <w:highlight w:val="none"/>
              </w:rPr>
            </w:r>
            <w:r/>
          </w:p>
        </w:tc>
        <w:tc>
          <w:tcPr>
            <w:tcW w:w="720" w:type="dxa"/>
            <w:vAlign w:val="center"/>
            <w:textDirection w:val="lrTb"/>
            <w:noWrap w:val="false"/>
          </w:tcPr>
          <w:p>
            <w:pPr>
              <w:pStyle w:val="885"/>
              <w:jc w:val="center"/>
              <w:rPr>
                <w:b/>
                <w:color w:val="000000" w:themeColor="text1"/>
                <w:sz w:val="24"/>
                <w:highlight w:val="none"/>
              </w:rPr>
            </w:pPr>
            <w:r>
              <w:rPr>
                <w:rFonts w:hint="eastAsia"/>
                <w:b/>
                <w:color w:val="000000" w:themeColor="text1"/>
                <w:sz w:val="24"/>
                <w:highlight w:val="none"/>
              </w:rPr>
              <w:t xml:space="preserve">年龄</w:t>
            </w:r>
            <w:r>
              <w:rPr>
                <w:color w:val="000000" w:themeColor="text1"/>
                <w:highlight w:val="none"/>
              </w:rPr>
            </w:r>
            <w:r/>
          </w:p>
        </w:tc>
        <w:tc>
          <w:tcPr>
            <w:tcW w:w="2520" w:type="dxa"/>
            <w:vAlign w:val="center"/>
            <w:textDirection w:val="lrTb"/>
            <w:noWrap w:val="false"/>
          </w:tcPr>
          <w:p>
            <w:pPr>
              <w:pStyle w:val="885"/>
              <w:jc w:val="center"/>
              <w:rPr>
                <w:b/>
                <w:color w:val="000000" w:themeColor="text1"/>
                <w:sz w:val="24"/>
                <w:highlight w:val="none"/>
              </w:rPr>
            </w:pPr>
            <w:r>
              <w:rPr>
                <w:rFonts w:hint="eastAsia"/>
                <w:b/>
                <w:color w:val="000000" w:themeColor="text1"/>
                <w:sz w:val="24"/>
                <w:highlight w:val="none"/>
              </w:rPr>
              <w:t xml:space="preserve">本项目职责</w:t>
            </w:r>
            <w:r>
              <w:rPr>
                <w:color w:val="000000" w:themeColor="text1"/>
                <w:highlight w:val="none"/>
              </w:rPr>
            </w:r>
            <w:r/>
          </w:p>
        </w:tc>
        <w:tc>
          <w:tcPr>
            <w:tcW w:w="3274" w:type="dxa"/>
            <w:vAlign w:val="center"/>
            <w:textDirection w:val="lrTb"/>
            <w:noWrap w:val="false"/>
          </w:tcPr>
          <w:p>
            <w:pPr>
              <w:pStyle w:val="885"/>
              <w:jc w:val="center"/>
              <w:rPr>
                <w:b/>
                <w:color w:val="000000" w:themeColor="text1"/>
                <w:sz w:val="24"/>
                <w:highlight w:val="none"/>
              </w:rPr>
            </w:pPr>
            <w:r>
              <w:rPr>
                <w:rFonts w:hint="eastAsia"/>
                <w:b/>
                <w:color w:val="000000" w:themeColor="text1"/>
                <w:sz w:val="24"/>
                <w:highlight w:val="none"/>
              </w:rPr>
              <w:t xml:space="preserve">人员证书名称</w:t>
            </w:r>
            <w:r>
              <w:rPr>
                <w:color w:val="000000" w:themeColor="text1"/>
                <w:highlight w:val="none"/>
              </w:rPr>
            </w:r>
            <w:r/>
          </w:p>
        </w:tc>
      </w:tr>
      <w:tr>
        <w:trPr>
          <w:trHeight w:val="680"/>
        </w:trPr>
        <w:tc>
          <w:tcPr>
            <w:tcW w:w="70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0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0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0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0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bl>
    <w:p>
      <w:pPr>
        <w:pStyle w:val="885"/>
        <w:rPr>
          <w:b/>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5"/>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r/>
    </w:p>
    <w:p>
      <w:pPr>
        <w:pStyle w:val="885"/>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rPr>
          <w:color w:val="000000" w:themeColor="text1"/>
          <w:highlight w:val="none"/>
        </w:rPr>
      </w:r>
      <w:r/>
    </w:p>
    <w:p>
      <w:pPr>
        <w:pStyle w:val="885"/>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themeColor="text1"/>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５</w:t>
    </w:r>
    <w:r>
      <w:rPr>
        <w:rFonts w:ascii="宋体" w:hAnsi="宋体"/>
      </w:rPr>
      <w:fldChar w:fldCharType="end"/>
    </w:r>
    <w:r>
      <w:rPr>
        <w:rStyle w:val="959"/>
        <w:rFonts w:ascii="宋体" w:hAnsi="宋体"/>
      </w:rPr>
    </w:r>
    <w:r/>
  </w:p>
  <w:p>
    <w:pPr>
      <w:pStyle w:val="932"/>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7"/>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5">
    <w:multiLevelType w:val="hybridMultilevel"/>
    <w:lvl w:ilvl="0">
      <w:start w:val="1"/>
      <w:numFmt w:val="decimal"/>
      <w:pStyle w:val="984"/>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6">
    <w:multiLevelType w:val="hybridMultilevel"/>
    <w:lvl w:ilvl="0">
      <w:start w:val="1"/>
      <w:numFmt w:val="bullet"/>
      <w:isLgl w:val="false"/>
      <w:suff w:val="tab"/>
      <w:lvlText w:val=""/>
      <w:lvlJc w:val="left"/>
      <w:pPr>
        <w:pStyle w:val="885"/>
        <w:ind w:left="920" w:hanging="440"/>
      </w:pPr>
      <w:rPr>
        <w:rFonts w:ascii="Wingdings" w:hAnsi="Wingdings"/>
      </w:rPr>
    </w:lvl>
    <w:lvl w:ilvl="1">
      <w:start w:val="1"/>
      <w:numFmt w:val="bullet"/>
      <w:isLgl w:val="false"/>
      <w:suff w:val="tab"/>
      <w:lvlText w:val=""/>
      <w:lvlJc w:val="left"/>
      <w:pPr>
        <w:pStyle w:val="885"/>
        <w:ind w:left="1360" w:hanging="440"/>
      </w:pPr>
      <w:rPr>
        <w:rFonts w:ascii="Wingdings" w:hAnsi="Wingdings"/>
      </w:rPr>
    </w:lvl>
    <w:lvl w:ilvl="2">
      <w:start w:val="1"/>
      <w:numFmt w:val="bullet"/>
      <w:isLgl w:val="false"/>
      <w:suff w:val="tab"/>
      <w:lvlText w:val=""/>
      <w:lvlJc w:val="left"/>
      <w:pPr>
        <w:pStyle w:val="885"/>
        <w:ind w:left="1800" w:hanging="440"/>
      </w:pPr>
      <w:rPr>
        <w:rFonts w:ascii="Wingdings" w:hAnsi="Wingdings"/>
      </w:rPr>
    </w:lvl>
    <w:lvl w:ilvl="3">
      <w:start w:val="1"/>
      <w:numFmt w:val="bullet"/>
      <w:isLgl w:val="false"/>
      <w:suff w:val="tab"/>
      <w:lvlText w:val=""/>
      <w:lvlJc w:val="left"/>
      <w:pPr>
        <w:pStyle w:val="885"/>
        <w:ind w:left="2240" w:hanging="440"/>
      </w:pPr>
      <w:rPr>
        <w:rFonts w:ascii="Wingdings" w:hAnsi="Wingdings"/>
      </w:rPr>
    </w:lvl>
    <w:lvl w:ilvl="4">
      <w:start w:val="1"/>
      <w:numFmt w:val="bullet"/>
      <w:isLgl w:val="false"/>
      <w:suff w:val="tab"/>
      <w:lvlText w:val=""/>
      <w:lvlJc w:val="left"/>
      <w:pPr>
        <w:pStyle w:val="885"/>
        <w:ind w:left="2680" w:hanging="440"/>
      </w:pPr>
      <w:rPr>
        <w:rFonts w:ascii="Wingdings" w:hAnsi="Wingdings"/>
      </w:rPr>
    </w:lvl>
    <w:lvl w:ilvl="5">
      <w:start w:val="1"/>
      <w:numFmt w:val="bullet"/>
      <w:isLgl w:val="false"/>
      <w:suff w:val="tab"/>
      <w:lvlText w:val=""/>
      <w:lvlJc w:val="left"/>
      <w:pPr>
        <w:pStyle w:val="885"/>
        <w:ind w:left="3120" w:hanging="440"/>
      </w:pPr>
      <w:rPr>
        <w:rFonts w:ascii="Wingdings" w:hAnsi="Wingdings"/>
      </w:rPr>
    </w:lvl>
    <w:lvl w:ilvl="6">
      <w:start w:val="1"/>
      <w:numFmt w:val="bullet"/>
      <w:isLgl w:val="false"/>
      <w:suff w:val="tab"/>
      <w:lvlText w:val=""/>
      <w:lvlJc w:val="left"/>
      <w:pPr>
        <w:pStyle w:val="885"/>
        <w:ind w:left="3560" w:hanging="440"/>
      </w:pPr>
      <w:rPr>
        <w:rFonts w:ascii="Wingdings" w:hAnsi="Wingdings"/>
      </w:rPr>
    </w:lvl>
    <w:lvl w:ilvl="7">
      <w:start w:val="1"/>
      <w:numFmt w:val="bullet"/>
      <w:isLgl w:val="false"/>
      <w:suff w:val="tab"/>
      <w:lvlText w:val=""/>
      <w:lvlJc w:val="left"/>
      <w:pPr>
        <w:pStyle w:val="885"/>
        <w:ind w:left="4000" w:hanging="440"/>
      </w:pPr>
      <w:rPr>
        <w:rFonts w:ascii="Wingdings" w:hAnsi="Wingdings"/>
      </w:rPr>
    </w:lvl>
    <w:lvl w:ilvl="8">
      <w:start w:val="1"/>
      <w:numFmt w:val="bullet"/>
      <w:isLgl w:val="false"/>
      <w:suff w:val="tab"/>
      <w:lvlText w:val=""/>
      <w:lvlJc w:val="left"/>
      <w:pPr>
        <w:pStyle w:val="885"/>
        <w:ind w:left="4440" w:hanging="440"/>
      </w:pPr>
      <w:rPr>
        <w:rFonts w:ascii="Wingdings" w:hAnsi="Wingdings"/>
      </w:rPr>
    </w:lvl>
  </w:abstractNum>
  <w:abstractNum w:abstractNumId="7">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8">
    <w:multiLevelType w:val="hybridMultilevel"/>
    <w:lvl w:ilvl="0">
      <w:start w:val="1"/>
      <w:numFmt w:val="decimal"/>
      <w:isLgl w:val="false"/>
      <w:suff w:val="tab"/>
      <w:lvlText w:val="%1."/>
      <w:lvlJc w:val="left"/>
      <w:pPr>
        <w:pStyle w:val="885"/>
        <w:ind w:left="510" w:hanging="360"/>
        <w:tabs>
          <w:tab w:val="num" w:pos="510" w:leader="none"/>
        </w:tabs>
      </w:pPr>
      <w:rPr>
        <w:rFonts w:hint="eastAsia" w:cs="Times New Roman"/>
      </w:rPr>
    </w:lvl>
    <w:lvl w:ilvl="1">
      <w:start w:val="1"/>
      <w:numFmt w:val="decimal"/>
      <w:isLgl w:val="false"/>
      <w:suff w:val="tab"/>
      <w:lvlText w:val="%2．"/>
      <w:lvlJc w:val="left"/>
      <w:pPr>
        <w:pStyle w:val="885"/>
        <w:ind w:left="1290" w:hanging="720"/>
        <w:tabs>
          <w:tab w:val="num" w:pos="1290" w:leader="none"/>
        </w:tabs>
      </w:pPr>
      <w:rPr>
        <w:rFonts w:hint="eastAsia" w:cs="Times New Roman"/>
      </w:rPr>
    </w:lvl>
    <w:lvl w:ilvl="2">
      <w:start w:val="3"/>
      <w:numFmt w:val="decimal"/>
      <w:isLgl w:val="false"/>
      <w:suff w:val="tab"/>
      <w:lvlText w:val="（%3）"/>
      <w:lvlJc w:val="left"/>
      <w:pPr>
        <w:pStyle w:val="885"/>
        <w:ind w:left="1140" w:hanging="720"/>
        <w:tabs>
          <w:tab w:val="num" w:pos="1140" w:leader="none"/>
        </w:tabs>
      </w:pPr>
      <w:rPr>
        <w:rFonts w:hint="eastAsia" w:cs="Times New Roman"/>
      </w:rPr>
    </w:lvl>
    <w:lvl w:ilvl="3">
      <w:start w:val="1"/>
      <w:numFmt w:val="decimal"/>
      <w:isLgl w:val="false"/>
      <w:suff w:val="tab"/>
      <w:lvlText w:val="（%4）"/>
      <w:lvlJc w:val="left"/>
      <w:pPr>
        <w:pStyle w:val="88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5"/>
        <w:ind w:left="2250" w:hanging="420"/>
        <w:tabs>
          <w:tab w:val="num" w:pos="2250" w:leader="none"/>
        </w:tabs>
      </w:pPr>
      <w:rPr>
        <w:rFonts w:hint="eastAsia"/>
        <w:b/>
        <w:lang w:val="en-US"/>
      </w:rPr>
    </w:lvl>
    <w:lvl w:ilvl="5">
      <w:start w:val="10"/>
      <w:numFmt w:val="japaneseCounting"/>
      <w:isLgl w:val="false"/>
      <w:suff w:val="tab"/>
      <w:lvlText w:val="（%6）"/>
      <w:lvlJc w:val="left"/>
      <w:pPr>
        <w:pStyle w:val="885"/>
        <w:ind w:left="2970" w:hanging="720"/>
      </w:pPr>
      <w:rPr>
        <w:rFonts w:cs="Times New Roman"/>
      </w:rPr>
    </w:lvl>
    <w:lvl w:ilvl="6">
      <w:start w:val="1"/>
      <w:numFmt w:val="decimal"/>
      <w:isLgl w:val="false"/>
      <w:suff w:val="tab"/>
      <w:lvlText w:val="（%7）"/>
      <w:lvlJc w:val="left"/>
      <w:pPr>
        <w:pStyle w:val="88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5"/>
        <w:ind w:left="3510" w:hanging="420"/>
        <w:tabs>
          <w:tab w:val="num" w:pos="3510" w:leader="none"/>
        </w:tabs>
      </w:pPr>
      <w:rPr>
        <w:rFonts w:cs="Times New Roman"/>
      </w:rPr>
    </w:lvl>
    <w:lvl w:ilvl="8">
      <w:start w:val="1"/>
      <w:numFmt w:val="lowerRoman"/>
      <w:isLgl w:val="false"/>
      <w:suff w:val="tab"/>
      <w:lvlText w:val="%9."/>
      <w:lvlJc w:val="right"/>
      <w:pPr>
        <w:pStyle w:val="885"/>
        <w:ind w:left="3930" w:hanging="420"/>
        <w:tabs>
          <w:tab w:val="num" w:pos="3930" w:leader="none"/>
        </w:tabs>
      </w:pPr>
      <w:rPr>
        <w:rFonts w:cs="Times New Roman"/>
      </w:rPr>
    </w:lvl>
  </w:abstractNum>
  <w:abstractNum w:abstractNumId="9">
    <w:multiLevelType w:val="hybridMultilevel"/>
    <w:lvl w:ilvl="0">
      <w:start w:val="1"/>
      <w:numFmt w:val="japaneseCounting"/>
      <w:isLgl w:val="false"/>
      <w:suff w:val="tab"/>
      <w:lvlText w:val="%1、"/>
      <w:lvlJc w:val="left"/>
      <w:pPr>
        <w:pStyle w:val="88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5"/>
        <w:ind w:left="840" w:hanging="420"/>
        <w:tabs>
          <w:tab w:val="num" w:pos="840" w:leader="none"/>
        </w:tabs>
      </w:pPr>
      <w:rPr>
        <w:rFonts w:cs="Times New Roman"/>
      </w:rPr>
    </w:lvl>
    <w:lvl w:ilvl="2">
      <w:start w:val="10"/>
      <w:numFmt w:val="decimal"/>
      <w:isLgl w:val="false"/>
      <w:suff w:val="tab"/>
      <w:lvlText w:val="%3."/>
      <w:lvlJc w:val="left"/>
      <w:pPr>
        <w:pStyle w:val="885"/>
        <w:ind w:left="1200" w:hanging="360"/>
        <w:tabs>
          <w:tab w:val="num" w:pos="120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1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5"/>
  </w:num>
  <w:num w:numId="4">
    <w:abstractNumId w:val="11"/>
  </w:num>
  <w:num w:numId="5">
    <w:abstractNumId w:val="6"/>
  </w:num>
  <w:num w:numId="6">
    <w:abstractNumId w:val="4"/>
  </w:num>
  <w:num w:numId="7">
    <w:abstractNumId w:val="1"/>
  </w:num>
  <w:num w:numId="8">
    <w:abstractNumId w:val="8"/>
  </w:num>
  <w:num w:numId="9">
    <w:abstractNumId w:val="2"/>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rFonts w:ascii="Times New Roman" w:hAnsi="Times New Roman"/>
      <w:sz w:val="21"/>
      <w:szCs w:val="21"/>
      <w:lang w:val="en-US" w:eastAsia="zh-CN" w:bidi="ar-SA"/>
    </w:rPr>
  </w:style>
  <w:style w:type="paragraph" w:styleId="886">
    <w:name w:val="标题 1"/>
    <w:basedOn w:val="885"/>
    <w:next w:val="885"/>
    <w:link w:val="897"/>
    <w:qFormat/>
    <w:pPr>
      <w:jc w:val="center"/>
      <w:keepNext/>
      <w:outlineLvl w:val="0"/>
    </w:pPr>
    <w:rPr>
      <w:rFonts w:ascii="楷体_GB2312" w:eastAsia="楷体_GB2312"/>
      <w:sz w:val="28"/>
      <w:szCs w:val="28"/>
    </w:rPr>
  </w:style>
  <w:style w:type="paragraph" w:styleId="887">
    <w:name w:val="标题 2"/>
    <w:basedOn w:val="885"/>
    <w:next w:val="899"/>
    <w:link w:val="898"/>
    <w:qFormat/>
    <w:pPr>
      <w:jc w:val="center"/>
      <w:keepLines/>
      <w:keepNext/>
      <w:spacing w:before="260" w:after="260" w:line="416" w:lineRule="auto"/>
      <w:outlineLvl w:val="1"/>
    </w:pPr>
    <w:rPr>
      <w:rFonts w:ascii="Arial" w:hAnsi="Arial" w:eastAsia="幼圆"/>
      <w:b/>
      <w:bCs/>
      <w:sz w:val="44"/>
      <w:szCs w:val="44"/>
    </w:rPr>
  </w:style>
  <w:style w:type="paragraph" w:styleId="888">
    <w:name w:val="标题 3"/>
    <w:basedOn w:val="885"/>
    <w:next w:val="899"/>
    <w:link w:val="901"/>
    <w:qFormat/>
    <w:pPr>
      <w:keepLines/>
      <w:keepNext/>
      <w:spacing w:before="260" w:after="260" w:line="416" w:lineRule="auto"/>
      <w:outlineLvl w:val="2"/>
    </w:pPr>
    <w:rPr>
      <w:b/>
      <w:bCs/>
      <w:sz w:val="32"/>
      <w:szCs w:val="32"/>
    </w:rPr>
  </w:style>
  <w:style w:type="paragraph" w:styleId="889">
    <w:name w:val="标题 4"/>
    <w:basedOn w:val="885"/>
    <w:next w:val="899"/>
    <w:link w:val="902"/>
    <w:qFormat/>
    <w:pPr>
      <w:keepLines/>
      <w:keepNext/>
      <w:spacing w:before="280" w:after="290" w:line="376" w:lineRule="auto"/>
      <w:outlineLvl w:val="3"/>
    </w:pPr>
    <w:rPr>
      <w:rFonts w:ascii="Arial" w:hAnsi="Arial" w:eastAsia="黑体"/>
      <w:b/>
      <w:bCs/>
      <w:sz w:val="28"/>
      <w:szCs w:val="28"/>
    </w:rPr>
  </w:style>
  <w:style w:type="paragraph" w:styleId="890">
    <w:name w:val="标题 5"/>
    <w:basedOn w:val="885"/>
    <w:next w:val="899"/>
    <w:link w:val="903"/>
    <w:qFormat/>
    <w:pPr>
      <w:keepNext/>
      <w:outlineLvl w:val="4"/>
    </w:pPr>
    <w:rPr>
      <w:rFonts w:ascii="宋体"/>
      <w:color w:val="000000"/>
      <w:sz w:val="28"/>
      <w:szCs w:val="28"/>
    </w:rPr>
  </w:style>
  <w:style w:type="paragraph" w:styleId="891">
    <w:name w:val="标题 6"/>
    <w:basedOn w:val="885"/>
    <w:next w:val="885"/>
    <w:link w:val="904"/>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05"/>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06"/>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07"/>
    <w:qFormat/>
    <w:pPr>
      <w:numPr>
        <w:ilvl w:val="8"/>
        <w:numId w:val="1"/>
      </w:numPr>
      <w:keepLines/>
      <w:keepNext/>
      <w:spacing w:before="240" w:after="64" w:line="320" w:lineRule="auto"/>
      <w:outlineLvl w:val="8"/>
    </w:pPr>
    <w:rPr>
      <w:rFonts w:ascii="Arial" w:hAnsi="Arial" w:eastAsia="黑体"/>
      <w:sz w:val="20"/>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character" w:styleId="897">
    <w:name w:val="标题 1 Char"/>
    <w:next w:val="897"/>
    <w:link w:val="886"/>
    <w:rPr>
      <w:rFonts w:ascii="楷体_GB2312" w:hAnsi="Times New Roman" w:eastAsia="楷体_GB2312" w:cs="Times New Roman"/>
      <w:sz w:val="28"/>
      <w:szCs w:val="28"/>
    </w:rPr>
  </w:style>
  <w:style w:type="character" w:styleId="898">
    <w:name w:val="标题 2 Char"/>
    <w:next w:val="898"/>
    <w:link w:val="887"/>
    <w:rPr>
      <w:rFonts w:ascii="Arial" w:hAnsi="Arial" w:eastAsia="幼圆" w:cs="Arial"/>
      <w:b/>
      <w:bCs/>
      <w:sz w:val="44"/>
      <w:szCs w:val="44"/>
    </w:rPr>
  </w:style>
  <w:style w:type="paragraph" w:styleId="899">
    <w:name w:val="正文缩进"/>
    <w:basedOn w:val="885"/>
    <w:next w:val="899"/>
    <w:link w:val="900"/>
    <w:pPr>
      <w:ind w:firstLine="420"/>
    </w:pPr>
    <w:rPr>
      <w:sz w:val="20"/>
    </w:rPr>
  </w:style>
  <w:style w:type="character" w:styleId="900">
    <w:name w:val="正文缩进 Char"/>
    <w:next w:val="900"/>
    <w:link w:val="899"/>
    <w:rPr>
      <w:rFonts w:ascii="Times New Roman" w:hAnsi="Times New Roman" w:eastAsia="宋体" w:cs="Times New Roman"/>
      <w:szCs w:val="21"/>
    </w:rPr>
  </w:style>
  <w:style w:type="character" w:styleId="901">
    <w:name w:val="标题 3 Char"/>
    <w:next w:val="901"/>
    <w:link w:val="888"/>
    <w:rPr>
      <w:rFonts w:ascii="Times New Roman" w:hAnsi="Times New Roman" w:eastAsia="宋体" w:cs="Times New Roman"/>
      <w:b/>
      <w:bCs/>
      <w:sz w:val="32"/>
      <w:szCs w:val="32"/>
    </w:rPr>
  </w:style>
  <w:style w:type="character" w:styleId="902">
    <w:name w:val="标题 4 Char"/>
    <w:next w:val="902"/>
    <w:link w:val="889"/>
    <w:rPr>
      <w:rFonts w:ascii="Arial" w:hAnsi="Arial" w:eastAsia="黑体" w:cs="Arial"/>
      <w:b/>
      <w:bCs/>
      <w:sz w:val="28"/>
      <w:szCs w:val="28"/>
    </w:rPr>
  </w:style>
  <w:style w:type="character" w:styleId="903">
    <w:name w:val="标题 5 Char"/>
    <w:next w:val="903"/>
    <w:link w:val="890"/>
    <w:rPr>
      <w:rFonts w:ascii="宋体" w:hAnsi="Times New Roman" w:eastAsia="宋体" w:cs="Times New Roman"/>
      <w:color w:val="000000"/>
      <w:sz w:val="28"/>
      <w:szCs w:val="28"/>
    </w:rPr>
  </w:style>
  <w:style w:type="character" w:styleId="904">
    <w:name w:val="标题 6 Char"/>
    <w:next w:val="904"/>
    <w:link w:val="891"/>
    <w:rPr>
      <w:rFonts w:ascii="Arial" w:hAnsi="Arial" w:eastAsia="黑体" w:cs="Times New Roman"/>
      <w:b/>
      <w:bCs/>
      <w:sz w:val="24"/>
      <w:szCs w:val="24"/>
    </w:rPr>
  </w:style>
  <w:style w:type="character" w:styleId="905">
    <w:name w:val="标题 7 Char"/>
    <w:next w:val="905"/>
    <w:link w:val="892"/>
    <w:rPr>
      <w:rFonts w:ascii="Times New Roman" w:hAnsi="Times New Roman" w:eastAsia="宋体" w:cs="Times New Roman"/>
      <w:b/>
      <w:bCs/>
      <w:sz w:val="24"/>
      <w:szCs w:val="24"/>
    </w:rPr>
  </w:style>
  <w:style w:type="character" w:styleId="906">
    <w:name w:val="标题 8 Char"/>
    <w:next w:val="906"/>
    <w:link w:val="893"/>
    <w:rPr>
      <w:rFonts w:ascii="Arial" w:hAnsi="Arial" w:eastAsia="黑体" w:cs="Times New Roman"/>
      <w:sz w:val="24"/>
      <w:szCs w:val="24"/>
    </w:rPr>
  </w:style>
  <w:style w:type="character" w:styleId="907">
    <w:name w:val="标题 9 Char"/>
    <w:next w:val="907"/>
    <w:link w:val="894"/>
    <w:rPr>
      <w:rFonts w:ascii="Arial" w:hAnsi="Arial" w:eastAsia="黑体" w:cs="Times New Roman"/>
      <w:szCs w:val="21"/>
    </w:rPr>
  </w:style>
  <w:style w:type="paragraph" w:styleId="908">
    <w:name w:val="列表 3"/>
    <w:basedOn w:val="885"/>
    <w:next w:val="908"/>
    <w:link w:val="885"/>
    <w:pPr>
      <w:ind w:left="100" w:hanging="200"/>
    </w:pPr>
  </w:style>
  <w:style w:type="paragraph" w:styleId="909">
    <w:name w:val="目录 7"/>
    <w:basedOn w:val="885"/>
    <w:next w:val="885"/>
    <w:link w:val="885"/>
    <w:semiHidden/>
    <w:pPr>
      <w:ind w:left="1260"/>
      <w:jc w:val="left"/>
    </w:pPr>
  </w:style>
  <w:style w:type="paragraph" w:styleId="910">
    <w:name w:val="文档结构图"/>
    <w:basedOn w:val="885"/>
    <w:next w:val="910"/>
    <w:link w:val="911"/>
    <w:semiHidden/>
    <w:pPr>
      <w:shd w:val="clear" w:color="auto" w:fill="000080"/>
    </w:pPr>
    <w:rPr>
      <w:sz w:val="20"/>
    </w:rPr>
  </w:style>
  <w:style w:type="character" w:styleId="911">
    <w:name w:val="文档结构图 Char"/>
    <w:next w:val="911"/>
    <w:link w:val="910"/>
    <w:semiHidden/>
    <w:rPr>
      <w:rFonts w:ascii="Times New Roman" w:hAnsi="Times New Roman" w:eastAsia="宋体" w:cs="Times New Roman"/>
      <w:szCs w:val="21"/>
      <w:shd w:val="clear" w:color="auto" w:fill="000080"/>
    </w:rPr>
  </w:style>
  <w:style w:type="paragraph" w:styleId="912">
    <w:name w:val="批注文字"/>
    <w:basedOn w:val="885"/>
    <w:next w:val="912"/>
    <w:link w:val="913"/>
    <w:semiHidden/>
    <w:pPr>
      <w:jc w:val="left"/>
    </w:pPr>
    <w:rPr>
      <w:sz w:val="20"/>
    </w:rPr>
  </w:style>
  <w:style w:type="character" w:styleId="913">
    <w:name w:val="批注文字 Char"/>
    <w:next w:val="913"/>
    <w:link w:val="912"/>
    <w:semiHidden/>
    <w:rPr>
      <w:rFonts w:ascii="Times New Roman" w:hAnsi="Times New Roman" w:eastAsia="宋体" w:cs="Times New Roman"/>
      <w:szCs w:val="21"/>
    </w:rPr>
  </w:style>
  <w:style w:type="paragraph" w:styleId="914">
    <w:name w:val="正文文本 3"/>
    <w:basedOn w:val="885"/>
    <w:next w:val="914"/>
    <w:link w:val="915"/>
    <w:rPr>
      <w:rFonts w:ascii="仿宋_GB2312" w:hAnsi="Arial" w:eastAsia="仿宋_GB2312"/>
      <w:sz w:val="32"/>
      <w:szCs w:val="32"/>
    </w:rPr>
  </w:style>
  <w:style w:type="character" w:styleId="915">
    <w:name w:val="正文文本 3 Char"/>
    <w:next w:val="915"/>
    <w:link w:val="914"/>
    <w:rPr>
      <w:rFonts w:ascii="仿宋_GB2312" w:hAnsi="Arial" w:eastAsia="仿宋_GB2312" w:cs="Times New Roman"/>
      <w:sz w:val="32"/>
      <w:szCs w:val="32"/>
    </w:rPr>
  </w:style>
  <w:style w:type="paragraph" w:styleId="916">
    <w:name w:val="正文文本"/>
    <w:basedOn w:val="885"/>
    <w:next w:val="916"/>
    <w:link w:val="917"/>
    <w:rPr>
      <w:rFonts w:ascii="楷体_GB2312" w:hAnsi="Arial" w:eastAsia="楷体_GB2312"/>
      <w:sz w:val="28"/>
      <w:szCs w:val="28"/>
    </w:rPr>
  </w:style>
  <w:style w:type="character" w:styleId="917">
    <w:name w:val="正文文本 Char"/>
    <w:next w:val="917"/>
    <w:link w:val="916"/>
    <w:rPr>
      <w:rFonts w:ascii="楷体_GB2312" w:hAnsi="Arial" w:eastAsia="楷体_GB2312" w:cs="Times New Roman"/>
      <w:sz w:val="28"/>
      <w:szCs w:val="28"/>
    </w:rPr>
  </w:style>
  <w:style w:type="paragraph" w:styleId="918">
    <w:name w:val="正文文本缩进"/>
    <w:basedOn w:val="885"/>
    <w:next w:val="918"/>
    <w:link w:val="919"/>
    <w:pPr>
      <w:ind w:firstLine="645"/>
    </w:pPr>
    <w:rPr>
      <w:rFonts w:ascii="楷体_GB2312" w:eastAsia="楷体_GB2312"/>
      <w:sz w:val="32"/>
      <w:szCs w:val="32"/>
    </w:rPr>
  </w:style>
  <w:style w:type="character" w:styleId="919">
    <w:name w:val="正文文本缩进 Char"/>
    <w:next w:val="919"/>
    <w:link w:val="918"/>
    <w:rPr>
      <w:rFonts w:ascii="楷体_GB2312" w:hAnsi="Times New Roman" w:eastAsia="楷体_GB2312" w:cs="Times New Roman"/>
      <w:sz w:val="32"/>
      <w:szCs w:val="32"/>
    </w:rPr>
  </w:style>
  <w:style w:type="paragraph" w:styleId="920">
    <w:name w:val="列表 2"/>
    <w:basedOn w:val="885"/>
    <w:next w:val="920"/>
    <w:link w:val="885"/>
    <w:pPr>
      <w:ind w:left="100" w:hanging="200"/>
    </w:pPr>
  </w:style>
  <w:style w:type="paragraph" w:styleId="921">
    <w:name w:val="目录 5"/>
    <w:basedOn w:val="885"/>
    <w:next w:val="885"/>
    <w:link w:val="885"/>
    <w:semiHidden/>
    <w:pPr>
      <w:ind w:left="840"/>
      <w:jc w:val="left"/>
    </w:pPr>
  </w:style>
  <w:style w:type="paragraph" w:styleId="922">
    <w:name w:val="目录 3"/>
    <w:basedOn w:val="885"/>
    <w:next w:val="885"/>
    <w:link w:val="885"/>
    <w:semiHidden/>
    <w:pPr>
      <w:ind w:left="420"/>
      <w:jc w:val="left"/>
    </w:pPr>
    <w:rPr>
      <w:i/>
      <w:iCs/>
      <w:szCs w:val="24"/>
    </w:rPr>
  </w:style>
  <w:style w:type="paragraph" w:styleId="923">
    <w:name w:val="纯文本"/>
    <w:basedOn w:val="885"/>
    <w:next w:val="923"/>
    <w:link w:val="924"/>
    <w:rPr>
      <w:rFonts w:ascii="宋体" w:hAnsi="Courier New"/>
      <w:sz w:val="20"/>
    </w:rPr>
  </w:style>
  <w:style w:type="character" w:styleId="924">
    <w:name w:val="纯文本 Char"/>
    <w:next w:val="924"/>
    <w:link w:val="923"/>
    <w:rPr>
      <w:rFonts w:ascii="宋体" w:hAnsi="Courier New" w:eastAsia="宋体" w:cs="Courier New"/>
      <w:szCs w:val="21"/>
    </w:rPr>
  </w:style>
  <w:style w:type="paragraph" w:styleId="925">
    <w:name w:val="目录 8"/>
    <w:basedOn w:val="885"/>
    <w:next w:val="885"/>
    <w:link w:val="885"/>
    <w:semiHidden/>
    <w:pPr>
      <w:ind w:left="1470"/>
      <w:jc w:val="left"/>
    </w:pPr>
  </w:style>
  <w:style w:type="paragraph" w:styleId="926">
    <w:name w:val="日期"/>
    <w:basedOn w:val="885"/>
    <w:next w:val="885"/>
    <w:link w:val="927"/>
    <w:rPr>
      <w:sz w:val="24"/>
      <w:szCs w:val="24"/>
    </w:rPr>
  </w:style>
  <w:style w:type="character" w:styleId="927">
    <w:name w:val="日期 Char"/>
    <w:next w:val="927"/>
    <w:link w:val="926"/>
    <w:rPr>
      <w:rFonts w:ascii="Times New Roman" w:hAnsi="Times New Roman" w:eastAsia="宋体" w:cs="Times New Roman"/>
      <w:sz w:val="24"/>
      <w:szCs w:val="24"/>
    </w:rPr>
  </w:style>
  <w:style w:type="paragraph" w:styleId="928">
    <w:name w:val="正文文本缩进 2"/>
    <w:basedOn w:val="885"/>
    <w:next w:val="928"/>
    <w:link w:val="929"/>
    <w:pPr>
      <w:ind w:left="630" w:firstLine="645"/>
    </w:pPr>
    <w:rPr>
      <w:rFonts w:ascii="Arial" w:hAnsi="Arial" w:eastAsia="仿宋_GB2312"/>
      <w:sz w:val="32"/>
      <w:szCs w:val="32"/>
    </w:rPr>
  </w:style>
  <w:style w:type="character" w:styleId="929">
    <w:name w:val="正文文本缩进 2 Char"/>
    <w:next w:val="929"/>
    <w:link w:val="928"/>
    <w:rPr>
      <w:rFonts w:ascii="Arial" w:hAnsi="Arial" w:eastAsia="仿宋_GB2312" w:cs="Arial"/>
      <w:sz w:val="32"/>
      <w:szCs w:val="32"/>
    </w:rPr>
  </w:style>
  <w:style w:type="paragraph" w:styleId="930">
    <w:name w:val="批注框文本"/>
    <w:basedOn w:val="885"/>
    <w:next w:val="930"/>
    <w:link w:val="931"/>
    <w:semiHidden/>
    <w:rPr>
      <w:sz w:val="18"/>
      <w:szCs w:val="18"/>
    </w:rPr>
  </w:style>
  <w:style w:type="character" w:styleId="931">
    <w:name w:val="批注框文本 Char"/>
    <w:next w:val="931"/>
    <w:link w:val="930"/>
    <w:semiHidden/>
    <w:rPr>
      <w:rFonts w:ascii="Times New Roman" w:hAnsi="Times New Roman" w:eastAsia="宋体" w:cs="Times New Roman"/>
      <w:sz w:val="18"/>
      <w:szCs w:val="18"/>
    </w:rPr>
  </w:style>
  <w:style w:type="paragraph" w:styleId="932">
    <w:name w:val="页脚"/>
    <w:basedOn w:val="885"/>
    <w:next w:val="932"/>
    <w:link w:val="933"/>
    <w:pPr>
      <w:jc w:val="left"/>
      <w:tabs>
        <w:tab w:val="center" w:pos="4153" w:leader="none"/>
        <w:tab w:val="right" w:pos="8306" w:leader="none"/>
      </w:tabs>
    </w:pPr>
    <w:rPr>
      <w:sz w:val="18"/>
      <w:szCs w:val="18"/>
    </w:rPr>
  </w:style>
  <w:style w:type="character" w:styleId="933">
    <w:name w:val="页脚 Char"/>
    <w:next w:val="933"/>
    <w:link w:val="932"/>
    <w:rPr>
      <w:rFonts w:ascii="Times New Roman" w:hAnsi="Times New Roman" w:eastAsia="宋体" w:cs="Times New Roman"/>
      <w:sz w:val="18"/>
      <w:szCs w:val="18"/>
    </w:rPr>
  </w:style>
  <w:style w:type="paragraph" w:styleId="934">
    <w:name w:val="页眉"/>
    <w:basedOn w:val="885"/>
    <w:next w:val="934"/>
    <w:link w:val="935"/>
    <w:uiPriority w:val="99"/>
    <w:qFormat/>
    <w:pPr>
      <w:jc w:val="center"/>
      <w:tabs>
        <w:tab w:val="center" w:pos="4153" w:leader="none"/>
        <w:tab w:val="right" w:pos="8306" w:leader="none"/>
      </w:tabs>
      <w:pBdr>
        <w:bottom w:val="single" w:color="000000" w:sz="6" w:space="1"/>
      </w:pBdr>
    </w:pPr>
    <w:rPr>
      <w:sz w:val="18"/>
      <w:szCs w:val="18"/>
    </w:rPr>
  </w:style>
  <w:style w:type="character" w:styleId="935">
    <w:name w:val="页眉 Char"/>
    <w:next w:val="935"/>
    <w:link w:val="934"/>
    <w:uiPriority w:val="99"/>
    <w:qFormat/>
    <w:rPr>
      <w:rFonts w:ascii="Times New Roman" w:hAnsi="Times New Roman" w:eastAsia="宋体" w:cs="Times New Roman"/>
      <w:sz w:val="18"/>
      <w:szCs w:val="18"/>
    </w:rPr>
  </w:style>
  <w:style w:type="paragraph" w:styleId="936">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37">
    <w:name w:val="目录 4"/>
    <w:basedOn w:val="885"/>
    <w:next w:val="885"/>
    <w:link w:val="885"/>
    <w:semiHidden/>
    <w:pPr>
      <w:ind w:left="630"/>
      <w:jc w:val="left"/>
    </w:pPr>
  </w:style>
  <w:style w:type="paragraph" w:styleId="938">
    <w:name w:val="列表"/>
    <w:basedOn w:val="885"/>
    <w:next w:val="938"/>
    <w:link w:val="885"/>
    <w:pPr>
      <w:ind w:left="200" w:hanging="200"/>
    </w:pPr>
  </w:style>
  <w:style w:type="paragraph" w:styleId="939">
    <w:name w:val="目录 6"/>
    <w:basedOn w:val="885"/>
    <w:next w:val="885"/>
    <w:link w:val="885"/>
    <w:semiHidden/>
    <w:pPr>
      <w:ind w:left="1050"/>
      <w:jc w:val="left"/>
    </w:pPr>
  </w:style>
  <w:style w:type="paragraph" w:styleId="940">
    <w:name w:val="正文文本缩进 3"/>
    <w:basedOn w:val="885"/>
    <w:next w:val="940"/>
    <w:link w:val="941"/>
    <w:pPr>
      <w:ind w:left="645" w:firstLine="645"/>
    </w:pPr>
    <w:rPr>
      <w:rFonts w:ascii="Arial" w:hAnsi="Arial" w:eastAsia="仿宋_GB2312"/>
      <w:color w:val="ffff00"/>
      <w:sz w:val="32"/>
      <w:szCs w:val="32"/>
    </w:rPr>
  </w:style>
  <w:style w:type="character" w:styleId="941">
    <w:name w:val="正文文本缩进 3 Char"/>
    <w:next w:val="941"/>
    <w:link w:val="940"/>
    <w:rPr>
      <w:rFonts w:ascii="Arial" w:hAnsi="Arial" w:eastAsia="仿宋_GB2312" w:cs="Arial"/>
      <w:color w:val="ffff00"/>
      <w:sz w:val="32"/>
      <w:szCs w:val="32"/>
    </w:rPr>
  </w:style>
  <w:style w:type="paragraph" w:styleId="942">
    <w:name w:val="图表目录"/>
    <w:basedOn w:val="885"/>
    <w:next w:val="885"/>
    <w:link w:val="885"/>
    <w:semiHidden/>
    <w:pPr>
      <w:ind w:left="840" w:hanging="420"/>
    </w:pPr>
  </w:style>
  <w:style w:type="paragraph" w:styleId="943">
    <w:name w:val="目录 2"/>
    <w:basedOn w:val="885"/>
    <w:next w:val="885"/>
    <w:link w:val="885"/>
    <w:semiHidden/>
    <w:pPr>
      <w:ind w:left="210"/>
      <w:jc w:val="left"/>
    </w:pPr>
    <w:rPr>
      <w:smallCaps/>
      <w:szCs w:val="24"/>
    </w:rPr>
  </w:style>
  <w:style w:type="paragraph" w:styleId="944">
    <w:name w:val="目录 9"/>
    <w:basedOn w:val="885"/>
    <w:next w:val="885"/>
    <w:link w:val="885"/>
    <w:semiHidden/>
    <w:pPr>
      <w:ind w:left="1680"/>
      <w:jc w:val="left"/>
    </w:pPr>
  </w:style>
  <w:style w:type="paragraph" w:styleId="945">
    <w:name w:val="正文文本 2"/>
    <w:basedOn w:val="885"/>
    <w:next w:val="945"/>
    <w:link w:val="946"/>
    <w:pPr>
      <w:jc w:val="center"/>
      <w:widowControl/>
    </w:pPr>
    <w:rPr>
      <w:rFonts w:ascii="楷体_GB2312" w:eastAsia="楷体_GB2312"/>
      <w:sz w:val="28"/>
      <w:szCs w:val="28"/>
    </w:rPr>
  </w:style>
  <w:style w:type="character" w:styleId="946">
    <w:name w:val="正文文本 2 Char"/>
    <w:next w:val="946"/>
    <w:link w:val="945"/>
    <w:rPr>
      <w:rFonts w:ascii="楷体_GB2312" w:hAnsi="Times New Roman" w:eastAsia="楷体_GB2312" w:cs="Times New Roman"/>
      <w:sz w:val="28"/>
      <w:szCs w:val="28"/>
    </w:rPr>
  </w:style>
  <w:style w:type="paragraph" w:styleId="947">
    <w:name w:val="HTML 预设格式"/>
    <w:basedOn w:val="885"/>
    <w:next w:val="947"/>
    <w:link w:val="948"/>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8">
    <w:name w:val="HTML 预设格式 Char"/>
    <w:basedOn w:val="895"/>
    <w:next w:val="948"/>
    <w:link w:val="947"/>
    <w:uiPriority w:val="99"/>
    <w:semiHidden/>
    <w:rPr>
      <w:rFonts w:ascii="宋体" w:hAnsi="宋体" w:cs="宋体"/>
      <w:sz w:val="24"/>
      <w:szCs w:val="24"/>
    </w:rPr>
  </w:style>
  <w:style w:type="paragraph" w:styleId="949">
    <w:name w:val="普通(网站)"/>
    <w:basedOn w:val="885"/>
    <w:next w:val="949"/>
    <w:link w:val="885"/>
    <w:uiPriority w:val="99"/>
    <w:pPr>
      <w:jc w:val="left"/>
      <w:spacing w:before="100" w:beforeAutospacing="1" w:after="100" w:afterAutospacing="1"/>
      <w:widowControl/>
    </w:pPr>
    <w:rPr>
      <w:rFonts w:ascii="宋体" w:hAnsi="宋体" w:cs="宋体"/>
      <w:sz w:val="24"/>
      <w:szCs w:val="24"/>
    </w:rPr>
  </w:style>
  <w:style w:type="paragraph" w:styleId="950">
    <w:name w:val="索引 1"/>
    <w:basedOn w:val="885"/>
    <w:next w:val="885"/>
    <w:link w:val="885"/>
    <w:semiHidden/>
    <w:pPr>
      <w:spacing w:line="240" w:lineRule="atLeast"/>
    </w:pPr>
    <w:rPr>
      <w:b/>
      <w:bCs/>
    </w:rPr>
  </w:style>
  <w:style w:type="paragraph" w:styleId="951">
    <w:name w:val="批注主题"/>
    <w:basedOn w:val="912"/>
    <w:next w:val="912"/>
    <w:link w:val="952"/>
    <w:semiHidden/>
    <w:rPr>
      <w:b/>
      <w:bCs/>
    </w:rPr>
  </w:style>
  <w:style w:type="character" w:styleId="952">
    <w:name w:val="批注主题 Char"/>
    <w:next w:val="952"/>
    <w:link w:val="951"/>
    <w:semiHidden/>
    <w:rPr>
      <w:rFonts w:ascii="Times New Roman" w:hAnsi="Times New Roman" w:eastAsia="宋体" w:cs="Times New Roman"/>
      <w:b/>
      <w:bCs/>
      <w:szCs w:val="21"/>
    </w:rPr>
  </w:style>
  <w:style w:type="paragraph" w:styleId="953">
    <w:name w:val="正文首行缩进"/>
    <w:basedOn w:val="885"/>
    <w:next w:val="953"/>
    <w:link w:val="954"/>
    <w:pPr>
      <w:ind w:firstLine="200"/>
      <w:spacing w:line="360" w:lineRule="auto"/>
    </w:pPr>
    <w:rPr>
      <w:rFonts w:ascii="仿宋_GB2312" w:eastAsia="仿宋_GB2312"/>
      <w:sz w:val="30"/>
      <w:szCs w:val="30"/>
    </w:rPr>
  </w:style>
  <w:style w:type="character" w:styleId="954">
    <w:name w:val="正文首行缩进 Char"/>
    <w:next w:val="954"/>
    <w:link w:val="953"/>
    <w:rPr>
      <w:rFonts w:ascii="仿宋_GB2312" w:hAnsi="Times New Roman" w:eastAsia="仿宋_GB2312" w:cs="Times New Roman"/>
      <w:sz w:val="30"/>
      <w:szCs w:val="30"/>
    </w:rPr>
  </w:style>
  <w:style w:type="paragraph" w:styleId="955">
    <w:name w:val="正文首行缩进 2"/>
    <w:basedOn w:val="918"/>
    <w:next w:val="955"/>
    <w:link w:val="956"/>
    <w:pPr>
      <w:ind w:firstLine="420"/>
      <w:spacing w:line="360" w:lineRule="auto"/>
    </w:pPr>
    <w:rPr>
      <w:rFonts w:ascii="宋体" w:hAnsi="宋体" w:eastAsia="宋体"/>
      <w:szCs w:val="20"/>
    </w:rPr>
  </w:style>
  <w:style w:type="character" w:styleId="956">
    <w:name w:val="正文首行缩进 2 Char"/>
    <w:next w:val="956"/>
    <w:link w:val="955"/>
    <w:rPr>
      <w:rFonts w:ascii="宋体" w:hAnsi="宋体" w:eastAsia="宋体" w:cs="Times New Roman"/>
      <w:sz w:val="32"/>
      <w:szCs w:val="20"/>
    </w:rPr>
  </w:style>
  <w:style w:type="table" w:styleId="957">
    <w:name w:val="网格型"/>
    <w:basedOn w:val="896"/>
    <w:next w:val="957"/>
    <w:link w:val="885"/>
    <w:pPr>
      <w:jc w:val="both"/>
      <w:widowControl w:val="off"/>
    </w:pPr>
    <w:rPr>
      <w:rFonts w:ascii="Times New Roman" w:hAnsi="Times New Roman" w:eastAsia="宋体" w:cs="Times New Roman"/>
      <w:sz w:val="20"/>
      <w:szCs w:val="20"/>
    </w:rPr>
    <w:tblPr/>
  </w:style>
  <w:style w:type="character" w:styleId="958">
    <w:name w:val="要点"/>
    <w:next w:val="958"/>
    <w:link w:val="885"/>
    <w:qFormat/>
    <w:rPr>
      <w:b/>
      <w:bCs/>
    </w:rPr>
  </w:style>
  <w:style w:type="character" w:styleId="959">
    <w:name w:val="页码"/>
    <w:next w:val="959"/>
    <w:link w:val="885"/>
  </w:style>
  <w:style w:type="character" w:styleId="960">
    <w:name w:val="已访问的超链接"/>
    <w:next w:val="960"/>
    <w:link w:val="885"/>
    <w:rPr>
      <w:color w:val="800080"/>
      <w:u w:val="single"/>
    </w:rPr>
  </w:style>
  <w:style w:type="character" w:styleId="961">
    <w:name w:val="HTML 打字机"/>
    <w:next w:val="961"/>
    <w:link w:val="885"/>
    <w:uiPriority w:val="99"/>
    <w:rPr>
      <w:rFonts w:ascii="宋体" w:hAnsi="宋体" w:eastAsia="宋体" w:cs="宋体"/>
      <w:sz w:val="24"/>
      <w:szCs w:val="24"/>
    </w:rPr>
  </w:style>
  <w:style w:type="character" w:styleId="962">
    <w:name w:val="超链接"/>
    <w:next w:val="962"/>
    <w:link w:val="885"/>
    <w:rPr>
      <w:color w:val="0000ff"/>
      <w:u w:val="single"/>
    </w:rPr>
  </w:style>
  <w:style w:type="character" w:styleId="963">
    <w:name w:val="批注引用"/>
    <w:next w:val="963"/>
    <w:link w:val="885"/>
    <w:semiHidden/>
    <w:rPr>
      <w:sz w:val="21"/>
      <w:szCs w:val="21"/>
    </w:rPr>
  </w:style>
  <w:style w:type="paragraph" w:styleId="964">
    <w:name w:val="正文文本11"/>
    <w:basedOn w:val="885"/>
    <w:next w:val="964"/>
    <w:link w:val="885"/>
    <w:qFormat/>
    <w:rPr>
      <w:sz w:val="18"/>
      <w:szCs w:val="20"/>
    </w:rPr>
  </w:style>
  <w:style w:type="character" w:styleId="965">
    <w:name w:val="font5 Char"/>
    <w:next w:val="965"/>
    <w:link w:val="885"/>
    <w:rPr>
      <w:rFonts w:ascii="宋体" w:hAnsi="宋体" w:eastAsia="宋体"/>
      <w:sz w:val="28"/>
      <w:szCs w:val="28"/>
      <w:lang w:val="en-US" w:eastAsia="zh-CN" w:bidi="ar-SA"/>
    </w:rPr>
  </w:style>
  <w:style w:type="character" w:styleId="966">
    <w:name w:val="二级目录 Char"/>
    <w:next w:val="966"/>
    <w:link w:val="967"/>
    <w:rPr>
      <w:b/>
      <w:sz w:val="30"/>
      <w:szCs w:val="28"/>
      <w:lang w:val="en-US" w:eastAsia="zh-CN" w:bidi="ar-SA"/>
    </w:rPr>
  </w:style>
  <w:style w:type="paragraph" w:styleId="967">
    <w:name w:val="二级目录"/>
    <w:next w:val="885"/>
    <w:link w:val="966"/>
    <w:pPr>
      <w:numPr>
        <w:ilvl w:val="0"/>
        <w:numId w:val="2"/>
      </w:numPr>
      <w:tabs>
        <w:tab w:val="left" w:pos="907" w:leader="none"/>
        <w:tab w:val="left" w:pos="1145" w:leader="none"/>
      </w:tabs>
      <w:outlineLvl w:val="1"/>
    </w:pPr>
    <w:rPr>
      <w:b/>
      <w:sz w:val="30"/>
      <w:szCs w:val="28"/>
      <w:lang w:val="en-US" w:eastAsia="zh-CN" w:bidi="ar-SA"/>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85"/>
    <w:next w:val="969"/>
    <w:link w:val="968"/>
    <w:qFormat/>
    <w:pPr>
      <w:contextualSpacing/>
      <w:ind w:left="720"/>
      <w:jc w:val="left"/>
      <w:widowControl/>
    </w:pPr>
    <w:rPr>
      <w:rFonts w:ascii="Calibri" w:hAnsi="Calibri"/>
      <w:sz w:val="24"/>
      <w:szCs w:val="24"/>
      <w:lang w:eastAsia="en-US" w:bidi="en-US"/>
    </w:rPr>
  </w:style>
  <w:style w:type="paragraph" w:styleId="970">
    <w:name w:val="Body Text(ch)"/>
    <w:basedOn w:val="885"/>
    <w:next w:val="916"/>
    <w:link w:val="885"/>
    <w:pPr>
      <w:spacing w:after="120"/>
    </w:pPr>
    <w:rPr>
      <w:rFonts w:ascii="宋体" w:hAnsi="Arial"/>
      <w:bCs/>
      <w:iCs/>
      <w:szCs w:val="24"/>
    </w:rPr>
  </w:style>
  <w:style w:type="paragraph" w:styleId="971">
    <w:name w:val="xl27"/>
    <w:basedOn w:val="885"/>
    <w:next w:val="971"/>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6"/>
    <w:basedOn w:val="885"/>
    <w:next w:val="972"/>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name w:val="Char"/>
    <w:basedOn w:val="885"/>
    <w:next w:val="973"/>
    <w:link w:val="885"/>
    <w:pPr>
      <w:ind w:firstLine="200"/>
      <w:tabs>
        <w:tab w:val="left" w:pos="360" w:leader="none"/>
      </w:tabs>
    </w:pPr>
    <w:rPr>
      <w:sz w:val="28"/>
      <w:szCs w:val="30"/>
    </w:rPr>
  </w:style>
  <w:style w:type="paragraph" w:styleId="974">
    <w:name w:val=" Char"/>
    <w:basedOn w:val="910"/>
    <w:next w:val="974"/>
    <w:link w:val="885"/>
    <w:rPr>
      <w:rFonts w:ascii="Tahoma" w:hAnsi="Tahoma"/>
      <w:sz w:val="24"/>
      <w:szCs w:val="24"/>
    </w:rPr>
  </w:style>
  <w:style w:type="paragraph" w:styleId="975">
    <w:name w:val="普通正文"/>
    <w:basedOn w:val="885"/>
    <w:next w:val="975"/>
    <w:link w:val="885"/>
    <w:pPr>
      <w:ind w:firstLine="480"/>
      <w:jc w:val="left"/>
      <w:spacing w:before="120" w:after="120" w:line="360" w:lineRule="auto"/>
    </w:pPr>
    <w:rPr>
      <w:rFonts w:ascii="Arial" w:hAnsi="Arial"/>
      <w:sz w:val="24"/>
      <w:szCs w:val="24"/>
    </w:rPr>
  </w:style>
  <w:style w:type="paragraph" w:styleId="976">
    <w:name w:val="table_lines"/>
    <w:basedOn w:val="885"/>
    <w:next w:val="976"/>
    <w:link w:val="885"/>
    <w:pPr>
      <w:jc w:val="left"/>
      <w:widowControl/>
    </w:pPr>
    <w:rPr>
      <w:sz w:val="20"/>
      <w:szCs w:val="20"/>
      <w:lang w:val="de-DE" w:eastAsia="de-DE"/>
    </w:rPr>
  </w:style>
  <w:style w:type="paragraph" w:styleId="977">
    <w:name w:val="附录1"/>
    <w:next w:val="977"/>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8">
    <w:name w:val="font7"/>
    <w:basedOn w:val="885"/>
    <w:next w:val="978"/>
    <w:link w:val="885"/>
    <w:pPr>
      <w:jc w:val="left"/>
      <w:spacing w:before="100" w:beforeAutospacing="1" w:after="100" w:afterAutospacing="1"/>
      <w:widowControl/>
    </w:pPr>
    <w:rPr>
      <w:rFonts w:hint="eastAsia" w:ascii="宋体" w:hAnsi="宋体"/>
      <w:sz w:val="18"/>
      <w:szCs w:val="18"/>
    </w:rPr>
  </w:style>
  <w:style w:type="paragraph" w:styleId="979">
    <w:name w:val=" Char Char Char Char"/>
    <w:basedOn w:val="910"/>
    <w:next w:val="979"/>
    <w:link w:val="885"/>
    <w:pPr>
      <w:spacing w:line="360" w:lineRule="auto"/>
    </w:pPr>
    <w:rPr>
      <w:rFonts w:ascii="Tahoma" w:hAnsi="Tahoma"/>
      <w:sz w:val="24"/>
      <w:szCs w:val="24"/>
    </w:rPr>
  </w:style>
  <w:style w:type="paragraph" w:styleId="980">
    <w:name w:val="列出段落"/>
    <w:basedOn w:val="885"/>
    <w:next w:val="980"/>
    <w:link w:val="885"/>
    <w:uiPriority w:val="99"/>
    <w:qFormat/>
    <w:pPr>
      <w:contextualSpacing/>
      <w:ind w:left="720"/>
      <w:jc w:val="left"/>
      <w:widowControl/>
    </w:pPr>
    <w:rPr>
      <w:rFonts w:ascii="Calibri" w:hAnsi="Calibri"/>
      <w:sz w:val="24"/>
      <w:szCs w:val="24"/>
      <w:lang w:eastAsia="en-US" w:bidi="en-US"/>
    </w:rPr>
  </w:style>
  <w:style w:type="paragraph" w:styleId="981">
    <w:name w:val="4"/>
    <w:basedOn w:val="885"/>
    <w:next w:val="940"/>
    <w:link w:val="885"/>
    <w:pPr>
      <w:ind w:firstLine="420"/>
      <w:spacing w:line="360" w:lineRule="auto"/>
    </w:pPr>
    <w:rPr>
      <w:color w:val="ff0000"/>
      <w:sz w:val="24"/>
      <w:szCs w:val="24"/>
    </w:rPr>
  </w:style>
  <w:style w:type="paragraph" w:styleId="982">
    <w:name w:val="普通 (Web)"/>
    <w:basedOn w:val="885"/>
    <w:next w:val="982"/>
    <w:link w:val="885"/>
    <w:pPr>
      <w:jc w:val="left"/>
      <w:spacing w:before="100" w:beforeAutospacing="1" w:after="100" w:afterAutospacing="1"/>
      <w:widowControl/>
    </w:pPr>
    <w:rPr>
      <w:rFonts w:ascii="宋体" w:hAnsi="宋体"/>
      <w:sz w:val="24"/>
      <w:szCs w:val="24"/>
    </w:rPr>
  </w:style>
  <w:style w:type="paragraph" w:styleId="983">
    <w:name w:val=" Char Char Char Char Char Char Char Char Char Char"/>
    <w:basedOn w:val="885"/>
    <w:next w:val="983"/>
    <w:link w:val="885"/>
    <w:pPr>
      <w:spacing w:line="360" w:lineRule="auto"/>
    </w:pPr>
    <w:rPr>
      <w:sz w:val="24"/>
      <w:szCs w:val="20"/>
    </w:rPr>
  </w:style>
  <w:style w:type="paragraph" w:styleId="984">
    <w:name w:val="样式1"/>
    <w:basedOn w:val="885"/>
    <w:next w:val="984"/>
    <w:link w:val="885"/>
    <w:pPr>
      <w:numPr>
        <w:ilvl w:val="0"/>
        <w:numId w:val="3"/>
      </w:numPr>
      <w:tabs>
        <w:tab w:val="left" w:pos="709" w:leader="none"/>
      </w:tabs>
    </w:pPr>
    <w:rPr>
      <w:rFonts w:ascii="宋体" w:hAnsi="宋体"/>
    </w:rPr>
  </w:style>
  <w:style w:type="paragraph" w:styleId="985">
    <w:name w:val="font6"/>
    <w:basedOn w:val="885"/>
    <w:next w:val="985"/>
    <w:link w:val="885"/>
    <w:pPr>
      <w:jc w:val="left"/>
      <w:spacing w:before="100" w:beforeAutospacing="1" w:after="100" w:afterAutospacing="1"/>
      <w:widowControl/>
    </w:pPr>
    <w:rPr>
      <w:rFonts w:hint="eastAsia" w:ascii="宋体" w:hAnsi="宋体"/>
      <w:sz w:val="28"/>
      <w:szCs w:val="28"/>
      <w:u w:val="single"/>
    </w:rPr>
  </w:style>
  <w:style w:type="paragraph" w:styleId="986">
    <w:name w:val="xl25"/>
    <w:basedOn w:val="885"/>
    <w:next w:val="986"/>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name w:val="标题3"/>
    <w:basedOn w:val="885"/>
    <w:next w:val="885"/>
    <w:link w:val="885"/>
    <w:pPr>
      <w:ind w:firstLine="624"/>
      <w:spacing w:line="590" w:lineRule="atLeast"/>
    </w:pPr>
    <w:rPr>
      <w:rFonts w:ascii="方正黑体_GBK" w:eastAsia="方正黑体_GBK"/>
      <w:sz w:val="32"/>
      <w:szCs w:val="32"/>
    </w:rPr>
  </w:style>
  <w:style w:type="paragraph" w:styleId="989">
    <w:name w:val="xl24"/>
    <w:basedOn w:val="885"/>
    <w:next w:val="989"/>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9"/>
    <w:basedOn w:val="885"/>
    <w:next w:val="990"/>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name w:val="Char Char Char Char Char Char Char Char"/>
    <w:basedOn w:val="885"/>
    <w:next w:val="991"/>
    <w:link w:val="885"/>
    <w:pPr>
      <w:jc w:val="left"/>
      <w:spacing w:after="160" w:line="240" w:lineRule="exact"/>
      <w:widowControl/>
    </w:pPr>
    <w:rPr>
      <w:rFonts w:ascii="Verdana" w:hAnsi="Verdana"/>
      <w:sz w:val="20"/>
      <w:szCs w:val="20"/>
      <w:lang w:eastAsia="en-US"/>
    </w:rPr>
  </w:style>
  <w:style w:type="paragraph" w:styleId="992">
    <w:name w:val="xl28"/>
    <w:basedOn w:val="885"/>
    <w:next w:val="992"/>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name w:val=" Char Char Char Char Char Char Char Char"/>
    <w:basedOn w:val="885"/>
    <w:next w:val="993"/>
    <w:link w:val="885"/>
    <w:pPr>
      <w:jc w:val="left"/>
      <w:spacing w:after="160" w:line="240" w:lineRule="exact"/>
      <w:widowControl/>
    </w:pPr>
    <w:rPr>
      <w:rFonts w:ascii="Verdana" w:hAnsi="Verdana"/>
      <w:sz w:val="20"/>
      <w:szCs w:val="20"/>
      <w:lang w:eastAsia="en-US"/>
    </w:rPr>
  </w:style>
  <w:style w:type="paragraph" w:styleId="994">
    <w:name w:val="xl30"/>
    <w:basedOn w:val="885"/>
    <w:next w:val="994"/>
    <w:link w:val="885"/>
    <w:pPr>
      <w:jc w:val="center"/>
      <w:spacing w:before="100" w:beforeAutospacing="1" w:after="100" w:afterAutospacing="1"/>
      <w:widowControl/>
    </w:pPr>
    <w:rPr>
      <w:rFonts w:ascii="宋体" w:hAnsi="宋体"/>
      <w:b/>
      <w:bCs/>
      <w:sz w:val="36"/>
      <w:szCs w:val="36"/>
    </w:rPr>
  </w:style>
  <w:style w:type="paragraph" w:styleId="995">
    <w:name w:val="Char Char Char Char"/>
    <w:basedOn w:val="910"/>
    <w:next w:val="995"/>
    <w:link w:val="885"/>
    <w:pPr>
      <w:spacing w:line="360" w:lineRule="auto"/>
    </w:pPr>
    <w:rPr>
      <w:rFonts w:ascii="Tahoma" w:hAnsi="Tahoma"/>
      <w:sz w:val="24"/>
      <w:szCs w:val="24"/>
    </w:rPr>
  </w:style>
  <w:style w:type="paragraph" w:styleId="996">
    <w:name w:val="table_1stline"/>
    <w:basedOn w:val="885"/>
    <w:next w:val="996"/>
    <w:link w:val="885"/>
    <w:pPr>
      <w:jc w:val="left"/>
      <w:spacing w:before="120"/>
      <w:widowControl/>
    </w:pPr>
    <w:rPr>
      <w:bCs/>
      <w:sz w:val="20"/>
      <w:szCs w:val="20"/>
      <w:lang w:val="de-DE" w:eastAsia="de-DE"/>
    </w:rPr>
  </w:style>
  <w:style w:type="paragraph" w:styleId="997">
    <w:name w:val="font5"/>
    <w:basedOn w:val="885"/>
    <w:next w:val="997"/>
    <w:link w:val="885"/>
    <w:pPr>
      <w:jc w:val="left"/>
      <w:spacing w:before="100" w:beforeAutospacing="1" w:after="100" w:afterAutospacing="1"/>
      <w:widowControl/>
    </w:pPr>
    <w:rPr>
      <w:rFonts w:hint="eastAsia" w:ascii="宋体" w:hAnsi="宋体"/>
      <w:sz w:val="28"/>
      <w:szCs w:val="28"/>
    </w:rPr>
  </w:style>
  <w:style w:type="paragraph" w:styleId="998">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name w:val="修订"/>
    <w:next w:val="999"/>
    <w:link w:val="885"/>
    <w:uiPriority w:val="99"/>
    <w:semiHidden/>
    <w:rPr>
      <w:rFonts w:ascii="Times New Roman" w:hAnsi="Times New Roman"/>
      <w:sz w:val="21"/>
      <w:szCs w:val="21"/>
      <w:lang w:val="en-US" w:eastAsia="zh-CN" w:bidi="ar-SA"/>
    </w:rPr>
  </w:style>
  <w:style w:type="paragraph" w:styleId="1000">
    <w:name w:val="无间隔"/>
    <w:next w:val="1000"/>
    <w:link w:val="885"/>
    <w:uiPriority w:val="99"/>
    <w:qFormat/>
    <w:pPr>
      <w:jc w:val="both"/>
      <w:widowControl w:val="off"/>
    </w:pPr>
    <w:rPr>
      <w:rFonts w:ascii="Times New Roman" w:hAnsi="Times New Roman"/>
      <w:sz w:val="21"/>
      <w:szCs w:val="21"/>
      <w:lang w:val="en-US" w:eastAsia="zh-CN" w:bidi="ar-SA"/>
    </w:rPr>
  </w:style>
  <w:style w:type="paragraph" w:styleId="1001">
    <w:name w:val="普通文字"/>
    <w:basedOn w:val="885"/>
    <w:next w:val="885"/>
    <w:link w:val="885"/>
    <w:uiPriority w:val="99"/>
    <w:rPr>
      <w:rFonts w:ascii="宋体" w:hAnsi="Times New Roman" w:eastAsia="宋体" w:cs="Times New Roman"/>
      <w:sz w:val="24"/>
      <w:szCs w:val="20"/>
      <w:u w:val="none"/>
    </w:rPr>
  </w:style>
  <w:style w:type="paragraph" w:styleId="1002">
    <w:name w:val="目录 111"/>
    <w:basedOn w:val="885"/>
    <w:next w:val="885"/>
    <w:link w:val="885"/>
    <w:uiPriority w:val="39"/>
    <w:unhideWhenUsed/>
    <w:qFormat/>
    <w:pPr>
      <w:jc w:val="left"/>
      <w:spacing w:after="100" w:line="259" w:lineRule="auto"/>
      <w:widowControl/>
    </w:pPr>
    <w:rPr>
      <w:rFonts w:ascii="Calibri" w:hAnsi="Calibri" w:eastAsia="宋体"/>
      <w:sz w:val="22"/>
      <w:szCs w:val="22"/>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75</cp:revision>
  <dcterms:created xsi:type="dcterms:W3CDTF">2023-03-16T02:16:00Z</dcterms:created>
  <dcterms:modified xsi:type="dcterms:W3CDTF">2026-07-24T02:44:12Z</dcterms:modified>
</cp:coreProperties>
</file>