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lang w:eastAsia="zh-CN"/>
        </w:rPr>
      </w:r>
      <w:r/>
    </w:p>
    <w:p>
      <w:pPr>
        <w:pStyle w:val="751"/>
        <w:jc w:val="center"/>
        <w:spacing w:line="360" w:lineRule="auto"/>
        <w:rPr>
          <w:rFonts w:hint="eastAsia" w:ascii="仿宋" w:hAnsi="仿宋" w:eastAsia="仿宋" w:cs="仿宋"/>
          <w:b/>
          <w:bCs/>
          <w:color w:val="auto"/>
          <w:sz w:val="44"/>
          <w:szCs w:val="44"/>
          <w:highlight w:val="none"/>
          <w:lang w:eastAsia="zh-CN"/>
        </w:rPr>
      </w:pPr>
      <w:r>
        <w:rPr>
          <w:rFonts w:hint="eastAsia" w:ascii="仿宋" w:hAnsi="仿宋" w:eastAsia="仿宋" w:cs="仿宋"/>
          <w:b/>
          <w:bCs/>
          <w:color w:val="auto"/>
          <w:sz w:val="44"/>
          <w:szCs w:val="44"/>
          <w:highlight w:val="none"/>
          <w:lang w:eastAsia="zh-CN"/>
        </w:rPr>
        <w:t xml:space="preserve">江苏航运职业技术学院职业教育专业</w:t>
      </w:r>
      <w:r/>
    </w:p>
    <w:p>
      <w:pPr>
        <w:pStyle w:val="751"/>
        <w:jc w:val="center"/>
        <w:spacing w:line="360" w:lineRule="auto"/>
        <w:rPr>
          <w:rFonts w:hint="eastAsia" w:ascii="仿宋" w:hAnsi="仿宋" w:eastAsia="仿宋" w:cs="仿宋"/>
          <w:b/>
          <w:bCs/>
          <w:color w:val="auto"/>
          <w:highlight w:val="none"/>
        </w:rPr>
      </w:pPr>
      <w:r>
        <w:rPr>
          <w:rFonts w:hint="eastAsia" w:ascii="仿宋" w:hAnsi="仿宋" w:eastAsia="仿宋" w:cs="仿宋"/>
          <w:b/>
          <w:bCs/>
          <w:color w:val="auto"/>
          <w:sz w:val="44"/>
          <w:szCs w:val="44"/>
          <w:highlight w:val="none"/>
          <w:lang w:eastAsia="zh-CN"/>
        </w:rPr>
        <w:t xml:space="preserve">领域垂类模型建设项目</w:t>
      </w:r>
      <w:r/>
    </w:p>
    <w:p>
      <w:pPr>
        <w:jc w:val="center"/>
        <w:spacing w:line="360" w:lineRule="auto"/>
        <w:rPr>
          <w:rFonts w:hint="eastAsia" w:ascii="仿宋" w:hAnsi="仿宋" w:eastAsia="仿宋" w:cs="仿宋"/>
          <w:b/>
          <w:bCs w:val="0"/>
          <w:color w:val="auto"/>
          <w:sz w:val="72"/>
          <w:szCs w:val="72"/>
          <w:highlight w:val="none"/>
        </w:rPr>
      </w:pPr>
      <w:r>
        <w:rPr>
          <w:rFonts w:hint="eastAsia" w:ascii="仿宋" w:hAnsi="仿宋" w:eastAsia="仿宋" w:cs="仿宋"/>
          <w:b/>
          <w:bCs w:val="0"/>
          <w:color w:val="auto"/>
          <w:sz w:val="72"/>
          <w:szCs w:val="72"/>
          <w:highlight w:val="none"/>
        </w:rPr>
        <w:t xml:space="preserve">政府采购招标文件</w:t>
      </w:r>
      <w:r/>
    </w:p>
    <w:p>
      <w:pPr>
        <w:pStyle w:val="944"/>
        <w:spacing w:line="360" w:lineRule="auto"/>
        <w:rPr>
          <w:rFonts w:hint="eastAsia" w:ascii="仿宋" w:hAnsi="仿宋" w:eastAsia="仿宋" w:cs="仿宋"/>
          <w:b w:val="0"/>
          <w:bCs/>
          <w:color w:val="auto"/>
          <w:sz w:val="36"/>
          <w:szCs w:val="36"/>
          <w:highlight w:val="none"/>
        </w:rPr>
      </w:pPr>
      <w:r>
        <w:rPr>
          <w:rFonts w:hint="eastAsia" w:ascii="仿宋" w:hAnsi="仿宋" w:eastAsia="仿宋" w:cs="仿宋"/>
          <w:b w:val="0"/>
          <w:bCs/>
          <w:color w:val="auto"/>
          <w:sz w:val="36"/>
          <w:szCs w:val="36"/>
          <w:highlight w:val="none"/>
        </w:rPr>
      </w:r>
      <w:r/>
    </w:p>
    <w:p>
      <w:pPr>
        <w:pStyle w:val="944"/>
        <w:jc w:val="both"/>
        <w:spacing w:line="360" w:lineRule="auto"/>
        <w:rPr>
          <w:rFonts w:hint="eastAsia" w:ascii="仿宋" w:hAnsi="仿宋" w:eastAsia="仿宋" w:cs="仿宋"/>
          <w:b w:val="0"/>
          <w:bCs/>
          <w:color w:val="auto"/>
          <w:sz w:val="36"/>
          <w:szCs w:val="36"/>
          <w:highlight w:val="none"/>
        </w:rPr>
      </w:pPr>
      <w:r>
        <w:rPr>
          <w:rFonts w:hint="eastAsia" w:ascii="仿宋" w:hAnsi="仿宋" w:eastAsia="仿宋" w:cs="仿宋"/>
          <w:b w:val="0"/>
          <w:bCs/>
          <w:color w:val="auto"/>
          <w:sz w:val="36"/>
          <w:szCs w:val="36"/>
          <w:highlight w:val="none"/>
        </w:rPr>
        <w:t xml:space="preserve">项目编号：JSZC-320690-JZCG-G2026-0004</w:t>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5" o:title=""/>
          </v:shape>
          <o:OLEObject DrawAspect="Content" r:id="rId16" ObjectID="_1525043" ProgID="MS_ClipArt_Gallery" ShapeID="_x0000_i3" Type="Embed"/>
        </w:object>
      </w:r>
      <w:r/>
    </w:p>
    <w:p>
      <w:pPr>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pacing w:val="-12"/>
          <w:sz w:val="28"/>
          <w:szCs w:val="28"/>
          <w:highlight w:val="none"/>
        </w:rPr>
      </w:pPr>
      <w:r>
        <w:rPr>
          <w:rFonts w:hint="eastAsia" w:ascii="仿宋" w:hAnsi="仿宋" w:eastAsia="仿宋" w:cs="仿宋"/>
          <w:bCs/>
          <w:color w:val="auto"/>
          <w:spacing w:val="-12"/>
          <w:sz w:val="28"/>
          <w:szCs w:val="28"/>
          <w:highlight w:val="none"/>
        </w:rPr>
      </w:r>
      <w:r/>
    </w:p>
    <w:p>
      <w:pPr>
        <w:ind w:firstLine="2362"/>
        <w:spacing w:line="360" w:lineRule="auto"/>
        <w:rPr>
          <w:rFonts w:hint="eastAsia" w:ascii="仿宋" w:hAnsi="仿宋" w:eastAsia="仿宋" w:cs="仿宋"/>
          <w:b/>
          <w:bCs w:val="0"/>
          <w:color w:val="auto"/>
          <w:spacing w:val="-12"/>
          <w:sz w:val="36"/>
          <w:szCs w:val="36"/>
          <w:highlight w:val="none"/>
          <w:lang w:eastAsia="zh-CN"/>
        </w:rPr>
      </w:pPr>
      <w:r>
        <w:rPr>
          <w:rFonts w:hint="eastAsia" w:ascii="仿宋" w:hAnsi="仿宋" w:eastAsia="仿宋" w:cs="仿宋"/>
          <w:b/>
          <w:bCs w:val="0"/>
          <w:color w:val="auto"/>
          <w:spacing w:val="-12"/>
          <w:sz w:val="36"/>
          <w:szCs w:val="36"/>
          <w:highlight w:val="none"/>
        </w:rPr>
        <w:t xml:space="preserve">采购</w:t>
      </w:r>
      <w:r>
        <w:rPr>
          <w:rFonts w:hint="eastAsia" w:ascii="仿宋" w:hAnsi="仿宋" w:eastAsia="仿宋" w:cs="仿宋"/>
          <w:b/>
          <w:bCs w:val="0"/>
          <w:color w:val="auto"/>
          <w:spacing w:val="-12"/>
          <w:sz w:val="36"/>
          <w:szCs w:val="36"/>
          <w:highlight w:val="none"/>
          <w:lang w:val="en-US" w:eastAsia="zh-CN"/>
        </w:rPr>
        <w:t xml:space="preserve">单位</w:t>
      </w:r>
      <w:r>
        <w:rPr>
          <w:rFonts w:hint="eastAsia" w:ascii="仿宋" w:hAnsi="仿宋" w:eastAsia="仿宋" w:cs="仿宋"/>
          <w:b/>
          <w:bCs w:val="0"/>
          <w:color w:val="auto"/>
          <w:spacing w:val="-12"/>
          <w:sz w:val="36"/>
          <w:szCs w:val="36"/>
          <w:highlight w:val="none"/>
        </w:rPr>
        <w:t xml:space="preserve">: </w:t>
      </w:r>
      <w:r>
        <w:rPr>
          <w:rFonts w:hint="eastAsia" w:ascii="仿宋" w:hAnsi="仿宋" w:eastAsia="仿宋" w:cs="仿宋"/>
          <w:b/>
          <w:bCs w:val="0"/>
          <w:color w:val="auto"/>
          <w:spacing w:val="-12"/>
          <w:sz w:val="36"/>
          <w:szCs w:val="36"/>
          <w:highlight w:val="none"/>
          <w:lang w:eastAsia="zh-CN"/>
        </w:rPr>
        <w:t xml:space="preserve">江苏航运职业技术学院</w:t>
      </w:r>
      <w:r/>
    </w:p>
    <w:p>
      <w:pPr>
        <w:ind w:firstLine="2362"/>
        <w:spacing w:line="360" w:lineRule="auto"/>
        <w:rPr>
          <w:rFonts w:hint="eastAsia" w:ascii="仿宋" w:hAnsi="仿宋" w:eastAsia="仿宋" w:cs="仿宋"/>
          <w:b/>
          <w:bCs w:val="0"/>
          <w:color w:val="auto"/>
          <w:sz w:val="36"/>
          <w:szCs w:val="36"/>
          <w:highlight w:val="none"/>
          <w:u w:val="single"/>
        </w:rPr>
      </w:pPr>
      <w:r>
        <w:rPr>
          <w:rFonts w:hint="eastAsia" w:ascii="仿宋" w:hAnsi="仿宋" w:eastAsia="仿宋" w:cs="仿宋"/>
          <w:b/>
          <w:bCs w:val="0"/>
          <w:color w:val="auto"/>
          <w:spacing w:val="-12"/>
          <w:sz w:val="36"/>
          <w:szCs w:val="36"/>
          <w:highlight w:val="none"/>
        </w:rPr>
        <w:t xml:space="preserve">日   期 : 2026年</w:t>
      </w:r>
      <w:r>
        <w:rPr>
          <w:rFonts w:hint="eastAsia" w:ascii="仿宋" w:hAnsi="仿宋" w:eastAsia="仿宋" w:cs="仿宋"/>
          <w:b/>
          <w:bCs w:val="0"/>
          <w:color w:val="auto"/>
          <w:spacing w:val="-12"/>
          <w:sz w:val="36"/>
          <w:szCs w:val="36"/>
          <w:highlight w:val="none"/>
          <w:lang w:val="en-US" w:eastAsia="zh-CN"/>
        </w:rPr>
        <w:t xml:space="preserve">7</w:t>
      </w:r>
      <w:r>
        <w:rPr>
          <w:rFonts w:hint="eastAsia" w:ascii="仿宋" w:hAnsi="仿宋" w:eastAsia="仿宋" w:cs="仿宋"/>
          <w:b/>
          <w:bCs w:val="0"/>
          <w:color w:val="auto"/>
          <w:spacing w:val="-12"/>
          <w:sz w:val="36"/>
          <w:szCs w:val="36"/>
          <w:highlight w:val="none"/>
        </w:rPr>
        <w:t xml:space="preserve">月</w:t>
      </w:r>
      <w:r/>
    </w:p>
    <w:p>
      <w:pPr>
        <w:jc w:val="both"/>
        <w:spacing w:line="288" w:lineRule="auto"/>
        <w:widowControl/>
        <w:rPr>
          <w:rFonts w:hint="eastAsia" w:ascii="仿宋" w:hAnsi="仿宋" w:eastAsia="仿宋" w:cs="仿宋"/>
          <w:bCs/>
          <w:color w:val="auto"/>
          <w:sz w:val="32"/>
          <w:szCs w:val="32"/>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28"/>
          <w:szCs w:val="28"/>
          <w:highlight w:val="none"/>
          <w:lang w:val="en-US" w:eastAsia="zh-CN"/>
        </w:rPr>
        <w:t xml:space="preserve">                           </w:t>
      </w:r>
      <w:r>
        <w:rPr>
          <w:rFonts w:hint="eastAsia" w:ascii="仿宋" w:hAnsi="仿宋" w:eastAsia="仿宋" w:cs="仿宋"/>
          <w:bCs/>
          <w:color w:val="auto"/>
          <w:sz w:val="32"/>
          <w:szCs w:val="32"/>
          <w:highlight w:val="none"/>
        </w:rPr>
        <w:t xml:space="preserve">招标文件备案表</w:t>
      </w:r>
      <w:r/>
    </w:p>
    <w:tbl>
      <w:tblPr>
        <w:tblStyle w:val="745"/>
        <w:tblW w:w="87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740"/>
      </w:tblGrid>
      <w:tr>
        <w:trPr>
          <w:jc w:val="center"/>
          <w:trHeight w:val="3197"/>
        </w:trPr>
        <w:tc>
          <w:tcPr>
            <w:tcBorders>
              <w:top w:val="single" w:color="auto" w:sz="4" w:space="0"/>
              <w:bottom w:val="single" w:color="auto" w:sz="4" w:space="0"/>
            </w:tcBorders>
            <w:tcW w:w="8740" w:type="dxa"/>
            <w:textDirection w:val="lrTb"/>
            <w:noWrap w:val="false"/>
          </w:tcPr>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777"/>
              <w:ind w:left="520"/>
              <w:spacing w:line="288" w:lineRule="auto"/>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5280"/>
              <w:spacing w:line="288" w:lineRule="auto"/>
              <w:tabs>
                <w:tab w:val="left" w:pos="507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695" w:firstLine="4320"/>
              <w:spacing w:line="360" w:lineRule="auto"/>
              <w:tabs>
                <w:tab w:val="left" w:pos="5070" w:leader="none"/>
              </w:tabs>
              <w:rPr>
                <w:rFonts w:hint="eastAsia" w:ascii="仿宋" w:hAnsi="仿宋" w:eastAsia="仿宋" w:cs="仿宋"/>
                <w:bCs/>
                <w:color w:val="auto"/>
                <w:sz w:val="24"/>
                <w:highlight w:val="none"/>
              </w:rPr>
            </w:pPr>
            <w:r>
              <w:rPr>
                <w:rFonts w:hint="eastAsia" w:ascii="仿宋" w:hAnsi="仿宋" w:eastAsia="仿宋" w:cs="仿宋"/>
                <w:color w:val="auto"/>
                <w:sz w:val="24"/>
                <w:szCs w:val="24"/>
                <w:highlight w:val="none"/>
              </w:rPr>
              <w:t xml:space="preserve">编制人：</w:t>
            </w:r>
            <w:r>
              <w:rPr>
                <w:rFonts w:hint="eastAsia" w:ascii="仿宋" w:hAnsi="仿宋" w:eastAsia="仿宋" w:cs="仿宋"/>
                <w:bCs/>
                <w:color w:val="auto"/>
                <w:sz w:val="24"/>
                <w:highlight w:val="none"/>
              </w:rPr>
              <w:t xml:space="preserve">             </w:t>
            </w:r>
            <w:r/>
          </w:p>
          <w:p>
            <w:pPr>
              <w:jc w:val="cente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日期： 2026年</w:t>
            </w:r>
            <w:r>
              <w:rPr>
                <w:rFonts w:hint="eastAsia" w:ascii="仿宋" w:hAnsi="仿宋" w:eastAsia="仿宋" w:cs="仿宋"/>
                <w:bCs/>
                <w:color w:val="auto"/>
                <w:sz w:val="24"/>
                <w:highlight w:val="none"/>
                <w:lang w:val="en-US" w:eastAsia="zh-CN"/>
              </w:rPr>
              <w:t xml:space="preserve">7</w:t>
            </w:r>
            <w:r>
              <w:rPr>
                <w:rFonts w:hint="eastAsia" w:ascii="仿宋" w:hAnsi="仿宋" w:eastAsia="仿宋" w:cs="仿宋"/>
                <w:bCs/>
                <w:color w:val="auto"/>
                <w:sz w:val="24"/>
                <w:highlight w:val="none"/>
              </w:rPr>
              <w:t xml:space="preserve">月</w:t>
            </w:r>
            <w:r>
              <w:rPr>
                <w:rFonts w:hint="eastAsia" w:ascii="仿宋" w:hAnsi="仿宋" w:eastAsia="仿宋" w:cs="仿宋"/>
                <w:bCs/>
                <w:color w:val="auto"/>
                <w:sz w:val="24"/>
                <w:highlight w:val="none"/>
                <w:lang w:val="en-US" w:eastAsia="zh-CN"/>
              </w:rPr>
              <w:t xml:space="preserve">20</w:t>
            </w:r>
            <w:r>
              <w:rPr>
                <w:rFonts w:hint="eastAsia" w:ascii="仿宋" w:hAnsi="仿宋" w:eastAsia="仿宋" w:cs="仿宋"/>
                <w:bCs/>
                <w:color w:val="auto"/>
                <w:sz w:val="24"/>
                <w:highlight w:val="none"/>
              </w:rPr>
              <w:t xml:space="preserve">日</w:t>
            </w:r>
            <w:r/>
          </w:p>
        </w:tc>
      </w:tr>
      <w:tr>
        <w:trPr>
          <w:jc w:val="center"/>
          <w:trHeight w:val="7302"/>
        </w:trPr>
        <w:tc>
          <w:tcPr>
            <w:tcBorders>
              <w:top w:val="single" w:color="auto" w:sz="4" w:space="0"/>
              <w:bottom w:val="single" w:color="auto" w:sz="4" w:space="0"/>
            </w:tcBorders>
            <w:tcW w:w="8740" w:type="dxa"/>
            <w:textDirection w:val="lrTb"/>
            <w:noWrap w:val="false"/>
          </w:tcPr>
          <w:p>
            <w:pPr>
              <w:pStyle w:val="777"/>
              <w:ind w:left="520" w:firstLine="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72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72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120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招标人(盖章)             法定代表人(签字或盖章)</w:t>
            </w: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788"/>
              <w:ind w:left="0" w:firstLine="0"/>
              <w:spacing w:line="28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56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56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56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56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日期：2026年</w:t>
            </w:r>
            <w:r>
              <w:rPr>
                <w:rFonts w:hint="eastAsia" w:ascii="仿宋" w:hAnsi="仿宋" w:eastAsia="仿宋" w:cs="仿宋"/>
                <w:bCs/>
                <w:color w:val="auto"/>
                <w:sz w:val="24"/>
                <w:highlight w:val="none"/>
                <w:lang w:val="en-US" w:eastAsia="zh-CN"/>
              </w:rPr>
              <w:t xml:space="preserve">7</w:t>
            </w:r>
            <w:r>
              <w:rPr>
                <w:rFonts w:hint="eastAsia" w:ascii="仿宋" w:hAnsi="仿宋" w:eastAsia="仿宋" w:cs="仿宋"/>
                <w:bCs/>
                <w:color w:val="auto"/>
                <w:sz w:val="24"/>
                <w:highlight w:val="none"/>
              </w:rPr>
              <w:t xml:space="preserve">月</w:t>
            </w:r>
            <w:r>
              <w:rPr>
                <w:rFonts w:hint="eastAsia" w:ascii="仿宋" w:hAnsi="仿宋" w:eastAsia="仿宋" w:cs="仿宋"/>
                <w:bCs/>
                <w:color w:val="auto"/>
                <w:sz w:val="24"/>
                <w:highlight w:val="none"/>
                <w:lang w:val="en-US" w:eastAsia="zh-CN"/>
              </w:rPr>
              <w:t xml:space="preserve">20</w:t>
            </w:r>
            <w:r>
              <w:rPr>
                <w:rFonts w:hint="eastAsia" w:ascii="仿宋" w:hAnsi="仿宋" w:eastAsia="仿宋" w:cs="仿宋"/>
                <w:bCs/>
                <w:color w:val="auto"/>
                <w:sz w:val="24"/>
                <w:highlight w:val="none"/>
              </w:rPr>
              <w:t xml:space="preserve">日</w:t>
            </w: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bl>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br w:type="page" w:clear="all"/>
      </w:r>
      <w:r/>
    </w:p>
    <w:p>
      <w:pPr>
        <w:jc w:val="center"/>
        <w:spacing w:line="360" w:lineRule="auto"/>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r>
      <w:r/>
    </w:p>
    <w:p>
      <w:pPr>
        <w:jc w:val="center"/>
        <w:spacing w:line="360" w:lineRule="auto"/>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目 录</w:t>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640"/>
        <w:spacing w:line="360" w:lineRule="auto"/>
        <w:tabs>
          <w:tab w:val="left" w:pos="7740" w:leader="none"/>
        </w:tabs>
        <w:rPr>
          <w:rFonts w:hint="eastAsia" w:ascii="仿宋" w:hAnsi="仿宋" w:eastAsia="仿宋" w:cs="仿宋"/>
          <w:bCs/>
          <w:color w:val="auto"/>
          <w:spacing w:val="2"/>
          <w:sz w:val="32"/>
          <w:szCs w:val="32"/>
          <w:highlight w:val="none"/>
        </w:rPr>
      </w:pPr>
      <w:r>
        <w:rPr>
          <w:rFonts w:hint="eastAsia" w:ascii="仿宋" w:hAnsi="仿宋" w:eastAsia="仿宋" w:cs="仿宋"/>
          <w:bCs/>
          <w:color w:val="auto"/>
          <w:sz w:val="32"/>
          <w:szCs w:val="32"/>
          <w:highlight w:val="none"/>
        </w:rPr>
        <w:t xml:space="preserve">第一部分  投标邀请</w:t>
      </w:r>
      <w:r/>
    </w:p>
    <w:p>
      <w:pPr>
        <w:ind w:firstLine="640"/>
        <w:spacing w:line="360" w:lineRule="auto"/>
        <w:tabs>
          <w:tab w:val="left" w:pos="7740" w:leader="none"/>
        </w:tabs>
        <w:rPr>
          <w:rFonts w:hint="eastAsia" w:ascii="仿宋" w:hAnsi="仿宋" w:eastAsia="仿宋" w:cs="仿宋"/>
          <w:bCs/>
          <w:color w:val="auto"/>
          <w:spacing w:val="2"/>
          <w:sz w:val="32"/>
          <w:szCs w:val="32"/>
          <w:highlight w:val="none"/>
        </w:rPr>
      </w:pPr>
      <w:r>
        <w:rPr>
          <w:rFonts w:hint="eastAsia" w:ascii="仿宋" w:hAnsi="仿宋" w:eastAsia="仿宋" w:cs="仿宋"/>
          <w:bCs/>
          <w:color w:val="auto"/>
          <w:sz w:val="32"/>
          <w:szCs w:val="32"/>
          <w:highlight w:val="none"/>
        </w:rPr>
        <w:t xml:space="preserve">第二部分  投标须知</w:t>
      </w:r>
      <w:r/>
    </w:p>
    <w:p>
      <w:pPr>
        <w:ind w:firstLine="640"/>
        <w:spacing w:line="360" w:lineRule="auto"/>
        <w:tabs>
          <w:tab w:val="left" w:pos="7740" w:leader="none"/>
        </w:tabs>
        <w:rPr>
          <w:rFonts w:hint="eastAsia" w:ascii="仿宋" w:hAnsi="仿宋" w:eastAsia="仿宋" w:cs="仿宋"/>
          <w:bCs/>
          <w:color w:val="auto"/>
          <w:spacing w:val="2"/>
          <w:sz w:val="32"/>
          <w:szCs w:val="32"/>
          <w:highlight w:val="none"/>
        </w:rPr>
      </w:pPr>
      <w:r>
        <w:rPr>
          <w:rFonts w:hint="eastAsia" w:ascii="仿宋" w:hAnsi="仿宋" w:eastAsia="仿宋" w:cs="仿宋"/>
          <w:bCs/>
          <w:color w:val="auto"/>
          <w:sz w:val="32"/>
          <w:szCs w:val="32"/>
          <w:highlight w:val="none"/>
        </w:rPr>
        <w:t xml:space="preserve">第三部分  项目需求</w:t>
      </w:r>
      <w:r/>
    </w:p>
    <w:p>
      <w:pPr>
        <w:ind w:firstLine="640"/>
        <w:spacing w:line="360" w:lineRule="auto"/>
        <w:tabs>
          <w:tab w:val="left" w:pos="7740" w:leader="none"/>
        </w:tabs>
        <w:rPr>
          <w:rFonts w:hint="eastAsia" w:ascii="仿宋" w:hAnsi="仿宋" w:eastAsia="仿宋" w:cs="仿宋"/>
          <w:bCs/>
          <w:color w:val="auto"/>
          <w:spacing w:val="2"/>
          <w:sz w:val="32"/>
          <w:szCs w:val="32"/>
          <w:highlight w:val="none"/>
        </w:rPr>
      </w:pPr>
      <w:r>
        <w:rPr>
          <w:rFonts w:hint="eastAsia" w:ascii="仿宋" w:hAnsi="仿宋" w:eastAsia="仿宋" w:cs="仿宋"/>
          <w:bCs/>
          <w:color w:val="auto"/>
          <w:sz w:val="32"/>
          <w:szCs w:val="32"/>
          <w:highlight w:val="none"/>
        </w:rPr>
        <w:t xml:space="preserve">第四部分  开标和评标</w:t>
      </w:r>
      <w:r/>
    </w:p>
    <w:p>
      <w:pPr>
        <w:ind w:firstLine="640"/>
        <w:spacing w:line="360" w:lineRule="auto"/>
        <w:tabs>
          <w:tab w:val="left" w:pos="7740" w:leader="none"/>
        </w:tabs>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第五部分  投标文件组成</w:t>
      </w:r>
      <w:r/>
    </w:p>
    <w:p>
      <w:pPr>
        <w:ind w:firstLine="640"/>
        <w:spacing w:line="360" w:lineRule="auto"/>
        <w:tabs>
          <w:tab w:val="left" w:pos="7740" w:leader="none"/>
        </w:tabs>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第六部分  政府采购合同</w:t>
      </w:r>
      <w:r/>
    </w:p>
    <w:p>
      <w:pPr>
        <w:ind w:firstLine="640"/>
        <w:spacing w:line="360" w:lineRule="auto"/>
        <w:tabs>
          <w:tab w:val="left" w:pos="7740" w:leader="none"/>
        </w:tabs>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spacing w:line="360" w:lineRule="auto"/>
        <w:tabs>
          <w:tab w:val="left" w:pos="7740" w:leader="none"/>
        </w:tabs>
        <w:rPr>
          <w:rFonts w:hint="eastAsia" w:ascii="仿宋" w:hAnsi="仿宋" w:eastAsia="仿宋" w:cs="仿宋"/>
          <w:bCs/>
          <w:color w:val="auto"/>
          <w:spacing w:val="2"/>
          <w:sz w:val="28"/>
          <w:szCs w:val="28"/>
          <w:highlight w:val="none"/>
        </w:rPr>
      </w:pPr>
      <w:r>
        <w:rPr>
          <w:rFonts w:hint="eastAsia" w:ascii="仿宋" w:hAnsi="仿宋" w:eastAsia="仿宋" w:cs="仿宋"/>
          <w:bCs/>
          <w:color w:val="auto"/>
          <w:spacing w:val="2"/>
          <w:sz w:val="28"/>
          <w:szCs w:val="28"/>
          <w:highlight w:val="none"/>
        </w:rPr>
      </w:r>
      <w:r/>
    </w:p>
    <w:p>
      <w:pPr>
        <w:spacing w:line="360" w:lineRule="auto"/>
        <w:tabs>
          <w:tab w:val="left" w:pos="7740" w:leader="none"/>
        </w:tabs>
        <w:rPr>
          <w:rFonts w:hint="eastAsia" w:ascii="仿宋" w:hAnsi="仿宋" w:eastAsia="仿宋" w:cs="仿宋"/>
          <w:bCs/>
          <w:color w:val="auto"/>
          <w:spacing w:val="2"/>
          <w:sz w:val="28"/>
          <w:szCs w:val="28"/>
          <w:highlight w:val="none"/>
        </w:rPr>
      </w:pPr>
      <w:r>
        <w:rPr>
          <w:rFonts w:hint="eastAsia" w:ascii="仿宋" w:hAnsi="仿宋" w:eastAsia="仿宋" w:cs="仿宋"/>
          <w:bCs/>
          <w:color w:val="auto"/>
          <w:spacing w:val="2"/>
          <w:sz w:val="28"/>
          <w:szCs w:val="28"/>
          <w:highlight w:val="none"/>
        </w:rPr>
      </w:r>
      <w:r/>
    </w:p>
    <w:p>
      <w:pPr>
        <w:spacing w:line="360" w:lineRule="auto"/>
        <w:tabs>
          <w:tab w:val="left" w:pos="774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ind w:firstLine="1800"/>
        <w:jc w:val="both"/>
        <w:spacing w:line="360"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36"/>
          <w:szCs w:val="36"/>
          <w:highlight w:val="none"/>
        </w:rPr>
        <w:t xml:space="preserve">第一部分  </w:t>
      </w:r>
      <w:bookmarkStart w:id="0" w:name="OLE_LINK7"/>
      <w:r/>
      <w:bookmarkStart w:id="1" w:name="OLE_LINK5"/>
      <w:r>
        <w:rPr>
          <w:rFonts w:hint="eastAsia" w:ascii="仿宋" w:hAnsi="仿宋" w:eastAsia="仿宋" w:cs="仿宋"/>
          <w:bCs/>
          <w:color w:val="auto"/>
          <w:sz w:val="36"/>
          <w:szCs w:val="36"/>
          <w:highlight w:val="none"/>
        </w:rPr>
        <w:t xml:space="preserve">投标邀请</w:t>
      </w:r>
      <w:r/>
    </w:p>
    <w:p>
      <w:pPr>
        <w:ind w:firstLine="560"/>
        <w:spacing w:line="360" w:lineRule="auto"/>
        <w:rPr>
          <w:rFonts w:hint="eastAsia" w:ascii="仿宋" w:hAnsi="仿宋" w:eastAsia="仿宋" w:cs="仿宋"/>
          <w:bCs/>
          <w:color w:val="auto"/>
          <w:sz w:val="28"/>
          <w:szCs w:val="28"/>
          <w:highlight w:val="none"/>
        </w:rPr>
        <w:pBdr>
          <w:top w:val="single" w:color="000000" w:sz="4" w:space="1"/>
          <w:left w:val="single" w:color="000000" w:sz="4" w:space="4"/>
          <w:bottom w:val="single" w:color="000000" w:sz="4" w:space="1"/>
          <w:right w:val="single" w:color="000000" w:sz="4" w:space="4"/>
        </w:pBdr>
      </w:pPr>
      <w:r/>
      <w:bookmarkStart w:id="2" w:name="OLE_LINK6"/>
      <w:r>
        <w:rPr>
          <w:rFonts w:hint="eastAsia" w:ascii="仿宋" w:hAnsi="仿宋" w:eastAsia="仿宋" w:cs="仿宋"/>
          <w:bCs/>
          <w:color w:val="auto"/>
          <w:sz w:val="28"/>
          <w:szCs w:val="28"/>
          <w:highlight w:val="none"/>
        </w:rPr>
        <w:t xml:space="preserve">项目概况</w:t>
      </w:r>
      <w:r/>
    </w:p>
    <w:p>
      <w:pPr>
        <w:ind w:firstLine="560"/>
        <w:spacing w:line="360" w:lineRule="auto"/>
        <w:rPr>
          <w:rFonts w:hint="eastAsia" w:ascii="仿宋" w:hAnsi="仿宋" w:eastAsia="仿宋" w:cs="仿宋"/>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color w:val="auto"/>
          <w:sz w:val="28"/>
          <w:szCs w:val="28"/>
          <w:highlight w:val="none"/>
          <w:lang w:eastAsia="zh-CN"/>
        </w:rPr>
        <w:t xml:space="preserve">江苏航运职业技术学院职业教育专业领域垂类模型建设项目</w:t>
      </w:r>
      <w:r>
        <w:rPr>
          <w:rFonts w:hint="eastAsia" w:ascii="仿宋" w:hAnsi="仿宋" w:eastAsia="仿宋" w:cs="仿宋"/>
          <w:bCs/>
          <w:color w:val="auto"/>
          <w:sz w:val="28"/>
          <w:szCs w:val="28"/>
          <w:highlight w:val="none"/>
        </w:rPr>
        <w:t xml:space="preserve">的潜在投标人应在江苏政府采购网获取招标文件，并于2026年</w:t>
      </w:r>
      <w:r>
        <w:rPr>
          <w:rFonts w:hint="eastAsia" w:ascii="仿宋" w:hAnsi="仿宋" w:eastAsia="仿宋" w:cs="仿宋"/>
          <w:bCs/>
          <w:color w:val="auto"/>
          <w:sz w:val="28"/>
          <w:szCs w:val="28"/>
          <w:highlight w:val="none"/>
          <w:lang w:val="en-US" w:eastAsia="zh-CN"/>
        </w:rPr>
        <w:t xml:space="preserve">8</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lang w:val="en-US" w:eastAsia="zh-CN"/>
        </w:rPr>
        <w:t xml:space="preserve"> 12</w:t>
      </w:r>
      <w:r>
        <w:rPr>
          <w:rFonts w:hint="eastAsia" w:ascii="仿宋" w:hAnsi="仿宋" w:eastAsia="仿宋" w:cs="仿宋"/>
          <w:bCs/>
          <w:color w:val="auto"/>
          <w:sz w:val="28"/>
          <w:szCs w:val="28"/>
          <w:highlight w:val="none"/>
        </w:rPr>
        <w:t xml:space="preserve">日 9点30分（北京时间）前递交投标文件。</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一、项目基本情况</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1、项目编号：JSZC-320690-JZCG-G2026-0004   </w:t>
      </w:r>
      <w:r/>
    </w:p>
    <w:p>
      <w:pPr>
        <w:ind w:firstLine="560"/>
        <w:spacing w:line="36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2、项目名称：</w:t>
      </w:r>
      <w:r>
        <w:rPr>
          <w:rFonts w:hint="eastAsia" w:ascii="仿宋" w:hAnsi="仿宋" w:eastAsia="仿宋" w:cs="仿宋"/>
          <w:bCs/>
          <w:color w:val="auto"/>
          <w:sz w:val="28"/>
          <w:szCs w:val="28"/>
          <w:highlight w:val="none"/>
          <w:lang w:eastAsia="zh-CN"/>
        </w:rPr>
        <w:t xml:space="preserve">江苏航运职业技术学院职业教育专业领域垂类模型建设项目</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3、采购方式：公开招标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4、项目类型：服务</w:t>
      </w:r>
      <w:r/>
    </w:p>
    <w:p>
      <w:pPr>
        <w:ind w:firstLine="560"/>
        <w:spacing w:line="36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5、所属行业：</w:t>
      </w:r>
      <w:r>
        <w:rPr>
          <w:rFonts w:hint="eastAsia" w:ascii="仿宋" w:hAnsi="仿宋" w:eastAsia="仿宋" w:cs="仿宋"/>
          <w:bCs/>
          <w:color w:val="auto"/>
          <w:sz w:val="28"/>
          <w:szCs w:val="28"/>
          <w:highlight w:val="none"/>
          <w:lang w:eastAsia="zh-CN"/>
        </w:rPr>
        <w:t xml:space="preserve">软件和信息技术服务业</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6、预算金额：</w:t>
      </w:r>
      <w:r>
        <w:rPr>
          <w:rFonts w:hint="eastAsia" w:ascii="仿宋" w:hAnsi="仿宋" w:eastAsia="仿宋" w:cs="仿宋"/>
          <w:bCs/>
          <w:color w:val="auto"/>
          <w:sz w:val="28"/>
          <w:szCs w:val="28"/>
          <w:highlight w:val="none"/>
          <w:lang w:val="en-US" w:eastAsia="zh-CN"/>
        </w:rPr>
        <w:t xml:space="preserve">200.00万元</w:t>
      </w:r>
      <w:r/>
    </w:p>
    <w:p>
      <w:pPr>
        <w:pStyle w:val="736"/>
        <w:ind w:firstLine="560"/>
        <w:spacing w:before="0"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7、最高限价：</w:t>
      </w:r>
      <w:r>
        <w:rPr>
          <w:rFonts w:hint="eastAsia" w:ascii="仿宋" w:hAnsi="仿宋" w:eastAsia="仿宋" w:cs="仿宋"/>
          <w:color w:val="auto"/>
          <w:sz w:val="28"/>
          <w:szCs w:val="28"/>
          <w:highlight w:val="none"/>
        </w:rPr>
        <w:t xml:space="preserve">188.04万元</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eastAsia="zh-CN"/>
        </w:rPr>
        <w:t xml:space="preserve">投标</w:t>
      </w:r>
      <w:r>
        <w:rPr>
          <w:rFonts w:hint="eastAsia" w:ascii="仿宋" w:hAnsi="仿宋" w:eastAsia="仿宋" w:cs="仿宋"/>
          <w:bCs/>
          <w:color w:val="auto"/>
          <w:sz w:val="28"/>
          <w:szCs w:val="28"/>
          <w:highlight w:val="none"/>
        </w:rPr>
        <w:t xml:space="preserve">报价超过最高限价的为无效报价，按照无效投标处理。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8、采购需求：</w:t>
      </w:r>
      <w:bookmarkStart w:id="3" w:name="OLE_LINK20"/>
      <w:r>
        <w:rPr>
          <w:rFonts w:hint="eastAsia" w:ascii="仿宋" w:hAnsi="仿宋" w:eastAsia="仿宋" w:cs="仿宋"/>
          <w:bCs/>
          <w:color w:val="auto"/>
          <w:sz w:val="28"/>
          <w:szCs w:val="28"/>
          <w:highlight w:val="none"/>
        </w:rPr>
        <w:t xml:space="preserve">详见项目需求</w:t>
      </w:r>
      <w:bookmarkEnd w:id="3"/>
      <w:r>
        <w:rPr>
          <w:rFonts w:hint="eastAsia" w:ascii="仿宋" w:hAnsi="仿宋" w:eastAsia="仿宋" w:cs="仿宋"/>
          <w:bCs/>
          <w:color w:val="auto"/>
          <w:sz w:val="28"/>
          <w:szCs w:val="28"/>
          <w:highlight w:val="none"/>
        </w:rPr>
        <w:t xml:space="preserve">。</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9、合同履行期限：</w:t>
      </w:r>
      <w:r>
        <w:rPr>
          <w:rFonts w:hint="eastAsia" w:ascii="仿宋" w:hAnsi="仿宋" w:eastAsia="仿宋" w:cs="仿宋"/>
          <w:bCs/>
          <w:color w:val="auto"/>
          <w:sz w:val="28"/>
          <w:szCs w:val="28"/>
          <w:highlight w:val="none"/>
          <w:lang w:eastAsia="zh-CN"/>
        </w:rPr>
        <w:t xml:space="preserve">自合同签订之日起至2026年9月15日前应完成本项目合同及标书条款要求。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10、本项目是否接受联合体：不接受。</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11、本项目不接受分包。</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二、申请人的资格要求</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1、满足《中华人民共和国政府采购法》第二十二条规定；</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
          <w:bCs w:val="0"/>
          <w:color w:val="auto"/>
          <w:sz w:val="28"/>
          <w:szCs w:val="28"/>
          <w:highlight w:val="none"/>
        </w:rPr>
      </w:pPr>
      <w:r>
        <w:rPr>
          <w:rFonts w:hint="eastAsia" w:ascii="仿宋" w:hAnsi="仿宋" w:eastAsia="仿宋" w:cs="仿宋"/>
          <w:bCs/>
          <w:color w:val="auto"/>
          <w:sz w:val="28"/>
          <w:szCs w:val="28"/>
          <w:highlight w:val="none"/>
        </w:rPr>
        <w:t xml:space="preserve">2、落实政府采购政策需满足的资格要求：</w:t>
      </w:r>
      <w:r>
        <w:rPr>
          <w:rFonts w:hint="eastAsia" w:ascii="仿宋" w:hAnsi="仿宋" w:eastAsia="仿宋" w:cs="仿宋"/>
          <w:b/>
          <w:bCs w:val="0"/>
          <w:color w:val="auto"/>
          <w:sz w:val="28"/>
          <w:szCs w:val="28"/>
          <w:highlight w:val="none"/>
        </w:rPr>
        <w:t xml:space="preserve">本项目为专门面向中小微企业采购项目（须按照财库〔2020〕46号文要求提供中小企业声明函，格式见附件）</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本项目采购标的对应的中小企业划分标准所属行业为</w:t>
      </w:r>
      <w:r>
        <w:rPr>
          <w:rFonts w:hint="eastAsia" w:ascii="仿宋" w:hAnsi="仿宋" w:eastAsia="仿宋" w:cs="仿宋"/>
          <w:bCs/>
          <w:color w:val="auto"/>
          <w:sz w:val="28"/>
          <w:szCs w:val="28"/>
          <w:highlight w:val="none"/>
          <w:u w:val="single"/>
          <w:lang w:eastAsia="zh-CN"/>
        </w:rPr>
        <w:t xml:space="preserve">软件和信息技术服务业</w:t>
      </w:r>
      <w:r>
        <w:rPr>
          <w:rFonts w:hint="eastAsia" w:ascii="仿宋" w:hAnsi="仿宋" w:eastAsia="仿宋" w:cs="仿宋"/>
          <w:bCs/>
          <w:color w:val="auto"/>
          <w:sz w:val="28"/>
          <w:szCs w:val="2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注明：（1）中小企业应当按照财库（2020）46号文《政府采购促进中小企业发展管理办法》和“工信部联企业〔2011〕300号通知中的《中小企业划型标准规定》为准。如实填写并提交《中小企业声明函》。</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（2）残疾人福利性单位按照《关于促进残疾人就业政府采购政策的通知》（财库〔2017〕141号）有关规定执行。</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（3）监狱企业按照《关于政府采购支持监狱企业发展有关问题的通知》（财库【2014】68号）有关规定执行。</w:t>
      </w:r>
      <w:r/>
    </w:p>
    <w:p>
      <w:pPr>
        <w:ind w:firstLine="562"/>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
          <w:bCs w:val="0"/>
          <w:color w:val="auto"/>
          <w:sz w:val="28"/>
          <w:szCs w:val="28"/>
          <w:highlight w:val="none"/>
          <w:u w:val="single"/>
        </w:rPr>
      </w:pPr>
      <w:r>
        <w:rPr>
          <w:rFonts w:hint="eastAsia" w:ascii="仿宋" w:hAnsi="仿宋" w:eastAsia="仿宋" w:cs="仿宋"/>
          <w:b/>
          <w:bCs w:val="0"/>
          <w:color w:val="auto"/>
          <w:sz w:val="28"/>
          <w:szCs w:val="28"/>
          <w:highlight w:val="none"/>
          <w:u w:val="single"/>
        </w:rPr>
        <w:t xml:space="preserve">备注：本项目专门面向中小企业，不享受价格扣除优惠政策。</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投标单位法定代表人参加的，必须提供法定代表人身份证明及法定代表人本人身份证扫描件格式按第五部分）；非法定代表人参加的，必须提供法定代表人签字或盖章的授权委托书及法定代表人、被授权人的两人身份证的扫描件（格式按第五部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4、在“信用中国”网站（https://www.creditchina.gov.cn）查询，无被列入</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"https://zxgk.court.gov.cn/shixin/"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失信被执行人</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"https://www.creditchina.gov.cn/zhuanxiangchaxun/zhongdashuishouweifaanjian/"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重大税收违法失信主体名单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"https://www.creditchina.gov.cn/zhuanxiangchaxun/zhengfucaigouyanzhongweifashixinmingdan/"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政府采购严重违法失信行为记录名单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"https://www.creditchina.gov.cn/xinxigongshi/shixinheimingdan/"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严重失信主体名单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"https://www.creditchina.gov.cn/xinxigongshi/zhongdianguanzhushixinmingdan/"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经营（活动）异常名录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及其他不符合《中华人民共和国政府采购法》第二十二条规定条件的信用记录。（投标文件中无需提供证明材料）。</w:t>
      </w:r>
      <w:r/>
    </w:p>
    <w:p>
      <w:pPr>
        <w:pStyle w:val="751"/>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5、本项目的特定资格要求：</w:t>
      </w:r>
      <w:r>
        <w:rPr>
          <w:rFonts w:hint="eastAsia" w:ascii="仿宋" w:hAnsi="仿宋" w:eastAsia="仿宋" w:cs="仿宋"/>
          <w:bCs/>
          <w:color w:val="auto"/>
          <w:sz w:val="28"/>
          <w:szCs w:val="28"/>
          <w:highlight w:val="none"/>
          <w:lang w:val="en-US" w:eastAsia="zh-CN"/>
        </w:rPr>
        <w:t xml:space="preserve">/。</w:t>
      </w:r>
      <w:r/>
    </w:p>
    <w:p>
      <w:pPr>
        <w:pStyle w:val="751"/>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符合法律、法规规定的其他条件。</w:t>
      </w:r>
      <w:r/>
    </w:p>
    <w:p>
      <w:pPr>
        <w:pStyle w:val="751"/>
        <w:ind w:firstLine="560"/>
        <w:spacing w:line="36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val="en-US" w:eastAsia="zh-CN"/>
        </w:rPr>
        <w:t xml:space="preserve">7</w:t>
      </w:r>
      <w:r>
        <w:rPr>
          <w:rFonts w:hint="eastAsia" w:ascii="仿宋" w:hAnsi="仿宋" w:eastAsia="仿宋" w:cs="仿宋"/>
          <w:bCs/>
          <w:color w:val="auto"/>
          <w:sz w:val="28"/>
          <w:szCs w:val="28"/>
          <w:highlight w:val="none"/>
        </w:rPr>
        <w:t xml:space="preserve">、拒绝以下投标单位参与投标</w:t>
      </w:r>
      <w:r>
        <w:rPr>
          <w:rFonts w:hint="eastAsia" w:ascii="仿宋" w:hAnsi="仿宋" w:eastAsia="仿宋" w:cs="仿宋"/>
          <w:bCs/>
          <w:color w:val="auto"/>
          <w:sz w:val="28"/>
          <w:szCs w:val="28"/>
          <w:highlight w:val="none"/>
          <w:lang w:eastAsia="zh-CN"/>
        </w:rPr>
        <w:t xml:space="preserve">：</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投标单位之间存在下列互为关联关系的情形之一的，不得同时参加本项目投标：</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（1）法定代表人为同一个人的两个及两个以上法人，母公司、全资子公司及其控股公司，都不得在同一采购项目相同标段中同时投标，一经发现，将视同围标处理。</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（2）单位负责人为同一人或者存在直接控股、管理关系的不同投标单位，不得参加同一合同项下的采购活动。</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（3）为采购项目提供整体设计、规范编制或者项目管理、监理、检测等服务的投标单位，不得再参加该采购项目的其他采购活动。</w:t>
      </w:r>
      <w:r/>
    </w:p>
    <w:p>
      <w:pPr>
        <w:pStyle w:val="790"/>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rPr>
        <w:t xml:space="preserve">以上未详尽部分见招标文件第五部分</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三、获取采购文件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1.时间：自招标文件公告发布之日起5个工作日</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2.地点：网上注册登记成功后系统内免费下载</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3.获取方式：本项目采用网上注册登记方式。</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3.1潜在投标单位访问电子招标响应交易平台的网络地址和方法：</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“苏采云”系统用户注册--获取“CA数字证书”--CA绑定与登录--网上报</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名--下载采购文件（后缀名为“.kedt”）--将后缀名为“.kedt”的采购文件</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导入政府采购客户端工具--制作响应文件--导出加密的响应文件（后缀名为</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zip）--通过“苏采云”系统上传响应文件。具体见江苏政府采购网—资料下载中《江苏省政府采购管理交易系统（苏采云）投标单位操作手册》。</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3.2潜在投标单位访问“苏采云”系统的网络地址和方法：“苏采云”系统的网址：http://jszfcg.jsczt.cn/。</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3.3“CA数字证书”的获取：</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单位需办理CA锁，“苏采云”系统目前仅支持政务CA、方正签章，省内各地区办理的用于“苏采云”平台的政务CA、方正签章全省通用。“CA数字证书”的办理方法详见江苏政府采购网—资料下载中《江苏省政府采购数字证书（投标单位）CA及电子签章办理指南》。</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3.4采购文件（后缀名为“.kedt”）、投标单位操作手册及政府采购客户端工具可通过“苏采云”系统--已报名项目--报名详情页面内相应链接进行下载。</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请潜在投标单位提前安装相应的控件（详见《江苏省政府采购管理交易系统（苏采云）投标单位操作手册》）并使用谷歌浏览器登录“苏采云”系统参与不见面开评标。</w:t>
      </w:r>
      <w:r/>
    </w:p>
    <w:p>
      <w:pPr>
        <w:ind w:firstLine="482"/>
        <w:spacing w:line="360" w:lineRule="auto"/>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注：如潜在投标单位未按上述要求操作，将自行承担所产生的风险。</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四、提交响应文件截止时间、投标时间和地点</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1.2026年</w:t>
      </w:r>
      <w:r>
        <w:rPr>
          <w:rFonts w:hint="eastAsia" w:ascii="仿宋" w:hAnsi="仿宋" w:eastAsia="仿宋" w:cs="仿宋"/>
          <w:bCs/>
          <w:color w:val="auto"/>
          <w:sz w:val="28"/>
          <w:szCs w:val="28"/>
          <w:highlight w:val="none"/>
          <w:lang w:val="en-US" w:eastAsia="zh-CN"/>
        </w:rPr>
        <w:t xml:space="preserve">8</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lang w:val="en-US" w:eastAsia="zh-CN"/>
        </w:rPr>
        <w:t xml:space="preserve">12</w:t>
      </w:r>
      <w:r>
        <w:rPr>
          <w:rFonts w:hint="eastAsia" w:ascii="仿宋" w:hAnsi="仿宋" w:eastAsia="仿宋" w:cs="仿宋"/>
          <w:bCs/>
          <w:color w:val="auto"/>
          <w:sz w:val="28"/>
          <w:szCs w:val="28"/>
          <w:highlight w:val="none"/>
        </w:rPr>
        <w:t xml:space="preserve">日9点30分（北京时间）。逾时，交易系统将拒绝接受上传响应文件电子文档。</w:t>
      </w:r>
      <w:r/>
    </w:p>
    <w:p>
      <w:pPr>
        <w:ind w:firstLine="560"/>
        <w:spacing w:line="360" w:lineRule="auto"/>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注：各投标单位请关注开标大厅交流区，在开标结束后，请勿离开开标大厅。</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2.线上开标地点：“苏采云”系统（网址：http://jszfcg.jsczt.cn/）“开标大厅”。</w:t>
      </w:r>
      <w:r/>
    </w:p>
    <w:p>
      <w:pPr>
        <w:ind w:firstLine="480"/>
        <w:spacing w:line="360" w:lineRule="auto"/>
        <w:rPr>
          <w:rFonts w:hint="eastAsia" w:ascii="仿宋" w:hAnsi="仿宋" w:eastAsia="仿宋" w:cs="仿宋"/>
          <w:bCs/>
          <w:i/>
          <w:color w:val="auto"/>
          <w:sz w:val="28"/>
          <w:szCs w:val="28"/>
          <w:highlight w:val="none"/>
        </w:rPr>
      </w:pPr>
      <w:r>
        <w:rPr>
          <w:rFonts w:hint="eastAsia" w:ascii="仿宋" w:hAnsi="仿宋" w:eastAsia="仿宋" w:cs="仿宋"/>
          <w:bCs/>
          <w:color w:val="auto"/>
          <w:sz w:val="28"/>
          <w:szCs w:val="28"/>
          <w:highlight w:val="none"/>
        </w:rPr>
        <w:t xml:space="preserve">3.响应文件的解密：开标当天各投标单位及时登录不见面开标大厅，响应文件递交截止时间后，</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将在系统内公布投标投标单位名单，然后通过开标会议区发出响应文件解密的指令，投标投标单位在开标室按规定时间自行实施远程解密，</w:t>
      </w:r>
      <w:r>
        <w:rPr>
          <w:rFonts w:hint="eastAsia" w:ascii="仿宋" w:hAnsi="仿宋" w:eastAsia="仿宋" w:cs="仿宋"/>
          <w:b/>
          <w:bCs w:val="0"/>
          <w:color w:val="auto"/>
          <w:sz w:val="28"/>
          <w:szCs w:val="28"/>
          <w:highlight w:val="none"/>
          <w:u w:val="single"/>
        </w:rPr>
        <w:t xml:space="preserve">投标投标单位解密限定在开标后30分钟之内完成。</w:t>
      </w:r>
      <w:r>
        <w:rPr>
          <w:rFonts w:hint="eastAsia" w:ascii="仿宋" w:hAnsi="仿宋" w:eastAsia="仿宋" w:cs="仿宋"/>
          <w:bCs/>
          <w:color w:val="auto"/>
          <w:sz w:val="28"/>
          <w:szCs w:val="28"/>
          <w:highlight w:val="none"/>
          <w:u w:val="single"/>
        </w:rPr>
        <w:t xml:space="preserve">因投标投标单位网络与电源不稳定、未按操作手册要求配置软硬件、解密锁发生故障或用错、故意不在要求时限内完成解密等自身原因，导致响应文件在规定时间内未能解密、解密失败或解密超时，视为投标投标单位撤销其响应文件，系统内响应文件将被退回</w:t>
      </w:r>
      <w:r>
        <w:rPr>
          <w:rFonts w:hint="eastAsia" w:ascii="仿宋" w:hAnsi="仿宋" w:eastAsia="仿宋" w:cs="仿宋"/>
          <w:bCs/>
          <w:color w:val="auto"/>
          <w:sz w:val="28"/>
          <w:szCs w:val="28"/>
          <w:highlight w:val="none"/>
        </w:rPr>
        <w:t xml:space="preserve">；因</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原因或网上招投标平台发生故障，导致无法按时完成响应文件解密或开、评标工作无法进行的，可根据实际情况相应延迟解密时间或调整开、评标时间。</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五、公告期限</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自本公告发布之日起5个工作日。</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六、其他补充事宜</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1.投标保证金：免收。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2.项目开标活动模式：不见面远程开标模式，投标人在各自地点通过不见面交易系统参加开标会。</w:t>
      </w:r>
      <w:r/>
    </w:p>
    <w:p>
      <w:pPr>
        <w:ind w:firstLine="560"/>
        <w:spacing w:line="360" w:lineRule="auto"/>
        <w:rPr>
          <w:rFonts w:hint="eastAsia" w:ascii="仿宋" w:hAnsi="仿宋" w:eastAsia="仿宋" w:cs="仿宋"/>
          <w:bCs/>
          <w:color w:val="auto"/>
          <w:sz w:val="28"/>
          <w:szCs w:val="28"/>
          <w:highlight w:val="none"/>
          <w:lang w:bidi="ar"/>
        </w:rPr>
      </w:pPr>
      <w:r>
        <w:rPr>
          <w:rFonts w:hint="eastAsia" w:ascii="仿宋" w:hAnsi="仿宋" w:eastAsia="仿宋" w:cs="仿宋"/>
          <w:bCs/>
          <w:color w:val="auto"/>
          <w:sz w:val="28"/>
          <w:szCs w:val="28"/>
          <w:highlight w:val="none"/>
        </w:rPr>
        <w:t xml:space="preserve">3.项目样品：无</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4.对项目需求部分（投标单位资格要求、项目需求）的询问、质疑请向</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提出，由</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负责答复；对项目招标文件其它部分的询问请向招标文件制作人或项目开标评标经办人提出；对在“电子交易平台”操作阶段的询问请向交易系统软件维护人员提出。</w:t>
      </w:r>
      <w:r/>
    </w:p>
    <w:p>
      <w:pPr>
        <w:ind w:firstLine="560"/>
        <w:spacing w:line="360" w:lineRule="auto"/>
        <w:rPr>
          <w:rFonts w:hint="eastAsia" w:ascii="仿宋" w:hAnsi="仿宋" w:eastAsia="仿宋" w:cs="仿宋"/>
          <w:bCs/>
          <w:color w:val="auto"/>
          <w:sz w:val="28"/>
          <w:szCs w:val="28"/>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Cs/>
          <w:color w:val="auto"/>
          <w:sz w:val="28"/>
          <w:szCs w:val="28"/>
          <w:highlight w:val="none"/>
        </w:rPr>
        <w:t xml:space="preserve">5.有关本次采购的事项若存在变动或修改，敬请及时关注“江苏政府采购网”发布的信息更正公告。</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投标单位应依照规定提交各类声明函、承诺函，不再同时提供原件备查或提供有关部门出具的相关证明文件。但中标投标单位应做好提交声明函、承诺函相应原件的核查准备；核查后发现虚假或违背承诺的，依照相关法律法规规定处理。</w:t>
      </w:r>
      <w:r/>
    </w:p>
    <w:p>
      <w:pPr>
        <w:ind w:firstLine="480"/>
        <w:spacing w:line="360" w:lineRule="auto"/>
        <w:shd w:val="clear" w:color="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投标单位认为招标文件使自己的权益受到损害的，可以自获取招标文件之日或者招标公告期限届满之日(公告期限届满后获取招标文件的，以公告期限届满之日为准)起7个工作日内，对招标文件需求的以书面形式向</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提出质疑，对其他内容的以书面形式向</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和代理机构提出质疑。质疑函范本详见本招标文件后附格式。</w:t>
      </w:r>
      <w:r/>
    </w:p>
    <w:p>
      <w:pPr>
        <w:ind w:firstLine="562"/>
        <w:spacing w:line="360" w:lineRule="auto"/>
        <w:shd w:val="clear" w:color="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七、对本次招标提出询问，请按以下方式联系。</w:t>
      </w:r>
      <w:r/>
    </w:p>
    <w:p>
      <w:pPr>
        <w:ind w:firstLine="560"/>
        <w:spacing w:line="360" w:lineRule="auto"/>
        <w:shd w:val="clear" w:color="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信息</w:t>
      </w:r>
      <w:r/>
    </w:p>
    <w:p>
      <w:pPr>
        <w:ind w:firstLine="840"/>
        <w:jc w:val="left"/>
        <w:spacing w:line="500" w:lineRule="exact"/>
        <w:shd w:val="clear" w:color="auto"/>
        <w:widowControl/>
        <w:rPr>
          <w:rFonts w:hint="eastAsia" w:ascii="仿宋" w:hAnsi="仿宋" w:eastAsia="仿宋" w:cs="仿宋"/>
          <w:color w:val="auto"/>
          <w:sz w:val="28"/>
          <w:szCs w:val="28"/>
          <w:highlight w:val="none"/>
        </w:rPr>
      </w:pPr>
      <w:r/>
      <w:bookmarkStart w:id="4" w:name="_Toc28359097"/>
      <w:r/>
      <w:bookmarkStart w:id="5" w:name="_Toc35393638"/>
      <w:r/>
      <w:bookmarkStart w:id="6" w:name="_Toc28359020"/>
      <w:r/>
      <w:bookmarkStart w:id="7" w:name="_Toc35393807"/>
      <w:r>
        <w:rPr>
          <w:rFonts w:hint="eastAsia" w:ascii="仿宋" w:hAnsi="仿宋" w:eastAsia="仿宋" w:cs="仿宋"/>
          <w:color w:val="auto"/>
          <w:sz w:val="28"/>
          <w:szCs w:val="28"/>
          <w:highlight w:val="none"/>
        </w:rPr>
        <w:t xml:space="preserve">名称：江苏航运职业技术学院　　　　　　　　　　　　</w:t>
      </w:r>
      <w:bookmarkEnd w:id="4"/>
      <w:bookmarkEnd w:id="5"/>
      <w:bookmarkEnd w:id="6"/>
      <w:bookmarkEnd w:id="7"/>
      <w:r/>
    </w:p>
    <w:p>
      <w:pPr>
        <w:ind w:firstLine="840"/>
        <w:jc w:val="left"/>
        <w:spacing w:line="500" w:lineRule="exact"/>
        <w:shd w:val="clear" w:color="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地址：江苏省南通市经济技术开发区通盛大道185号</w:t>
      </w:r>
      <w:r/>
    </w:p>
    <w:p>
      <w:pPr>
        <w:ind w:firstLine="840"/>
        <w:jc w:val="left"/>
        <w:spacing w:line="500" w:lineRule="exact"/>
        <w:shd w:val="clear" w:color="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联系人：王老师   </w:t>
      </w:r>
      <w:r/>
    </w:p>
    <w:p>
      <w:pPr>
        <w:ind w:firstLine="840"/>
        <w:jc w:val="left"/>
        <w:spacing w:line="500" w:lineRule="exact"/>
        <w:shd w:val="clear" w:color="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联系方式：18862745385</w:t>
      </w:r>
      <w:r/>
    </w:p>
    <w:p>
      <w:pPr>
        <w:ind w:firstLine="560"/>
        <w:spacing w:line="360" w:lineRule="auto"/>
        <w:rPr>
          <w:rFonts w:hint="eastAsia"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lang w:eastAsia="zh-CN"/>
        </w:rPr>
        <w:t xml:space="preserve">.软件技术支持：0519-86722801</w:t>
      </w:r>
      <w:r/>
    </w:p>
    <w:p>
      <w:pPr>
        <w:ind w:firstLine="8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附件:</w:t>
      </w:r>
      <w:r/>
    </w:p>
    <w:p>
      <w:pPr>
        <w:ind w:firstLine="11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招标文件</w:t>
      </w:r>
      <w:r/>
    </w:p>
    <w:p>
      <w:pPr>
        <w:ind w:firstLine="11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信用承诺</w:t>
      </w:r>
      <w:r/>
    </w:p>
    <w:p>
      <w:pPr>
        <w:ind w:firstLine="11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3、“苏采云”系统投标单位操作手册</w:t>
      </w:r>
      <w:r/>
    </w:p>
    <w:p>
      <w:pPr>
        <w:ind w:firstLine="1120"/>
        <w:spacing w:line="360" w:lineRule="auto"/>
        <w:rPr>
          <w:rFonts w:hint="eastAsia" w:ascii="仿宋" w:hAnsi="仿宋" w:eastAsia="仿宋" w:cs="仿宋"/>
          <w:bCs/>
          <w:color w:val="auto"/>
          <w:sz w:val="36"/>
          <w:szCs w:val="36"/>
          <w:highlight w:val="none"/>
        </w:rPr>
      </w:pPr>
      <w:r>
        <w:rPr>
          <w:rFonts w:hint="eastAsia" w:ascii="仿宋" w:hAnsi="仿宋" w:eastAsia="仿宋" w:cs="仿宋"/>
          <w:bCs/>
          <w:color w:val="auto"/>
          <w:sz w:val="28"/>
          <w:szCs w:val="28"/>
          <w:highlight w:val="none"/>
        </w:rPr>
        <w:t xml:space="preserve">4、政采贷和履约保函（保险）告知函</w:t>
      </w: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36"/>
          <w:szCs w:val="36"/>
          <w:highlight w:val="none"/>
        </w:rPr>
        <w:t xml:space="preserve">第二部分  投标须知</w:t>
      </w:r>
      <w:r/>
    </w:p>
    <w:p>
      <w:pPr>
        <w:pStyle w:val="941"/>
        <w:spacing w:before="0" w:after="0" w:line="360" w:lineRule="auto"/>
        <w:rPr>
          <w:rFonts w:hint="eastAsia" w:ascii="仿宋" w:hAnsi="仿宋" w:eastAsia="仿宋" w:cs="仿宋"/>
          <w:b w:val="0"/>
          <w:color w:val="auto"/>
          <w:sz w:val="28"/>
          <w:szCs w:val="28"/>
          <w:highlight w:val="none"/>
        </w:rPr>
      </w:pPr>
      <w:r/>
      <w:bookmarkStart w:id="8" w:name="_Toc16938519"/>
      <w:r/>
      <w:bookmarkStart w:id="9" w:name="_Toc20823275"/>
      <w:r/>
      <w:bookmarkStart w:id="10" w:name="_Toc120614214"/>
      <w:r/>
      <w:bookmarkStart w:id="11" w:name="_Toc513029203"/>
      <w:r>
        <w:rPr>
          <w:rFonts w:hint="eastAsia" w:ascii="仿宋" w:hAnsi="仿宋" w:eastAsia="仿宋" w:cs="仿宋"/>
          <w:b w:val="0"/>
          <w:color w:val="auto"/>
          <w:sz w:val="28"/>
          <w:szCs w:val="28"/>
          <w:highlight w:val="none"/>
        </w:rPr>
        <w:t xml:space="preserve">（一）总则</w:t>
      </w:r>
      <w:bookmarkEnd w:id="8"/>
      <w:r/>
      <w:bookmarkEnd w:id="9"/>
      <w:r/>
      <w:bookmarkEnd w:id="10"/>
      <w:r/>
      <w:bookmarkEnd w:id="11"/>
      <w:r/>
      <w:r/>
    </w:p>
    <w:p>
      <w:pPr>
        <w:pStyle w:val="942"/>
        <w:ind w:firstLine="560"/>
        <w:jc w:val="both"/>
        <w:spacing w:line="360" w:lineRule="auto"/>
        <w:rPr>
          <w:rFonts w:hint="eastAsia" w:ascii="仿宋" w:hAnsi="仿宋" w:eastAsia="仿宋" w:cs="仿宋"/>
          <w:bCs/>
          <w:color w:val="auto"/>
          <w:sz w:val="28"/>
          <w:szCs w:val="28"/>
          <w:highlight w:val="none"/>
        </w:rPr>
      </w:pPr>
      <w:r/>
      <w:bookmarkStart w:id="12" w:name="_Hlt16619475"/>
      <w:r/>
      <w:bookmarkEnd w:id="12"/>
      <w:r/>
      <w:bookmarkStart w:id="13" w:name="_Toc458694821"/>
      <w:r/>
      <w:bookmarkStart w:id="14" w:name="_Toc16938520"/>
      <w:r/>
      <w:bookmarkStart w:id="15" w:name="_Toc20823276"/>
      <w:r/>
      <w:bookmarkStart w:id="16" w:name="_Toc513029204"/>
      <w:r>
        <w:rPr>
          <w:rFonts w:hint="eastAsia" w:ascii="仿宋" w:hAnsi="仿宋" w:eastAsia="仿宋" w:cs="仿宋"/>
          <w:bCs/>
          <w:color w:val="auto"/>
          <w:sz w:val="28"/>
          <w:szCs w:val="28"/>
          <w:highlight w:val="none"/>
        </w:rPr>
        <w:t xml:space="preserve">1</w:t>
      </w:r>
      <w:bookmarkEnd w:id="13"/>
      <w:r>
        <w:rPr>
          <w:rFonts w:hint="eastAsia" w:ascii="仿宋" w:hAnsi="仿宋" w:eastAsia="仿宋" w:cs="仿宋"/>
          <w:bCs/>
          <w:color w:val="auto"/>
          <w:sz w:val="28"/>
          <w:szCs w:val="28"/>
          <w:highlight w:val="none"/>
        </w:rPr>
        <w:t xml:space="preserve">.招标方式</w:t>
      </w:r>
      <w:bookmarkEnd w:id="14"/>
      <w:r/>
      <w:bookmarkEnd w:id="15"/>
      <w:r/>
      <w:bookmarkEnd w:id="16"/>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本次招标采取公开招标方式，本招标文件仅适用于招标公告中所述项目。</w:t>
      </w:r>
      <w:r/>
    </w:p>
    <w:p>
      <w:pPr>
        <w:pStyle w:val="942"/>
        <w:ind w:firstLine="560"/>
        <w:jc w:val="both"/>
        <w:spacing w:line="360" w:lineRule="auto"/>
        <w:rPr>
          <w:rFonts w:hint="eastAsia" w:ascii="仿宋" w:hAnsi="仿宋" w:eastAsia="仿宋" w:cs="仿宋"/>
          <w:bCs/>
          <w:color w:val="auto"/>
          <w:sz w:val="28"/>
          <w:szCs w:val="28"/>
          <w:highlight w:val="none"/>
        </w:rPr>
      </w:pPr>
      <w:r/>
      <w:bookmarkStart w:id="17" w:name="_Toc513029205"/>
      <w:r/>
      <w:bookmarkStart w:id="18" w:name="_Toc16938521"/>
      <w:r/>
      <w:bookmarkStart w:id="19" w:name="_Toc20823277"/>
      <w:r>
        <w:rPr>
          <w:rFonts w:hint="eastAsia" w:ascii="仿宋" w:hAnsi="仿宋" w:eastAsia="仿宋" w:cs="仿宋"/>
          <w:bCs/>
          <w:color w:val="auto"/>
          <w:sz w:val="28"/>
          <w:szCs w:val="28"/>
          <w:highlight w:val="none"/>
        </w:rPr>
        <w:t xml:space="preserve">2.合格的投标人</w:t>
      </w:r>
      <w:bookmarkEnd w:id="17"/>
      <w:r/>
      <w:bookmarkEnd w:id="18"/>
      <w:r/>
      <w:bookmarkEnd w:id="19"/>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2.1满足招标公告中投标单位的资格要求的规定。</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 满足本文件实质性条款的规定。</w:t>
      </w:r>
      <w:r/>
    </w:p>
    <w:p>
      <w:pPr>
        <w:pStyle w:val="942"/>
        <w:ind w:firstLine="560"/>
        <w:jc w:val="both"/>
        <w:spacing w:line="360" w:lineRule="auto"/>
        <w:rPr>
          <w:rFonts w:hint="eastAsia" w:ascii="仿宋" w:hAnsi="仿宋" w:eastAsia="仿宋" w:cs="仿宋"/>
          <w:bCs/>
          <w:color w:val="auto"/>
          <w:sz w:val="28"/>
          <w:szCs w:val="28"/>
          <w:highlight w:val="none"/>
        </w:rPr>
      </w:pPr>
      <w:r/>
      <w:bookmarkStart w:id="20" w:name="_Toc16938522"/>
      <w:r/>
      <w:bookmarkStart w:id="21" w:name="_Toc20823278"/>
      <w:r/>
      <w:bookmarkStart w:id="22" w:name="_Toc513029206"/>
      <w:r>
        <w:rPr>
          <w:rFonts w:hint="eastAsia" w:ascii="仿宋" w:hAnsi="仿宋" w:eastAsia="仿宋" w:cs="仿宋"/>
          <w:bCs/>
          <w:color w:val="auto"/>
          <w:sz w:val="28"/>
          <w:szCs w:val="28"/>
          <w:highlight w:val="none"/>
        </w:rPr>
        <w:t xml:space="preserve">3.适用法律</w:t>
      </w:r>
      <w:bookmarkEnd w:id="20"/>
      <w:r/>
      <w:bookmarkEnd w:id="21"/>
      <w:r/>
      <w:bookmarkEnd w:id="22"/>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 本次招标及由此产生的合同受中华人民共和国有关的法律法规制约和保护。</w:t>
      </w:r>
      <w:r/>
    </w:p>
    <w:p>
      <w:pPr>
        <w:pStyle w:val="942"/>
        <w:ind w:firstLine="560"/>
        <w:jc w:val="both"/>
        <w:spacing w:line="360" w:lineRule="auto"/>
        <w:rPr>
          <w:rFonts w:hint="eastAsia" w:ascii="仿宋" w:hAnsi="仿宋" w:eastAsia="仿宋" w:cs="仿宋"/>
          <w:bCs/>
          <w:color w:val="auto"/>
          <w:sz w:val="28"/>
          <w:szCs w:val="28"/>
          <w:highlight w:val="none"/>
        </w:rPr>
      </w:pPr>
      <w:r/>
      <w:bookmarkStart w:id="23" w:name="_Toc513029207"/>
      <w:r/>
      <w:bookmarkStart w:id="24" w:name="_Toc462564067"/>
      <w:r/>
      <w:bookmarkStart w:id="25" w:name="_Toc16938523"/>
      <w:r/>
      <w:bookmarkStart w:id="26" w:name="_Toc20823279"/>
      <w:r>
        <w:rPr>
          <w:rFonts w:hint="eastAsia" w:ascii="仿宋" w:hAnsi="仿宋" w:eastAsia="仿宋" w:cs="仿宋"/>
          <w:bCs/>
          <w:color w:val="auto"/>
          <w:sz w:val="28"/>
          <w:szCs w:val="28"/>
          <w:highlight w:val="none"/>
        </w:rPr>
        <w:t xml:space="preserve">4.投标费用</w:t>
      </w:r>
      <w:bookmarkEnd w:id="23"/>
      <w:r/>
      <w:bookmarkEnd w:id="24"/>
      <w:r/>
      <w:bookmarkEnd w:id="25"/>
      <w:r/>
      <w:bookmarkEnd w:id="26"/>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 投标单位应自行承担所有与参加招标有关的费用，无论招标过程中的做法和结果如何，</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在任何情况下均无义务和责任承担这些费用。</w:t>
      </w:r>
      <w:r/>
    </w:p>
    <w:p>
      <w:pPr>
        <w:ind w:firstLine="56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4.2本</w:t>
      </w:r>
      <w:r>
        <w:rPr>
          <w:rFonts w:hint="eastAsia" w:ascii="仿宋" w:hAnsi="仿宋" w:eastAsia="仿宋" w:cs="仿宋"/>
          <w:color w:val="auto"/>
          <w:sz w:val="28"/>
          <w:szCs w:val="28"/>
          <w:highlight w:val="none"/>
          <w:lang w:val="en-US" w:eastAsia="zh-CN"/>
        </w:rPr>
        <w:t xml:space="preserve">项目</w:t>
      </w:r>
      <w:r>
        <w:rPr>
          <w:rFonts w:hint="eastAsia" w:ascii="仿宋" w:hAnsi="仿宋" w:eastAsia="仿宋" w:cs="仿宋"/>
          <w:color w:val="auto"/>
          <w:sz w:val="28"/>
          <w:szCs w:val="28"/>
          <w:highlight w:val="none"/>
          <w:lang w:eastAsia="zh-CN"/>
        </w:rPr>
        <w:t xml:space="preserve">招标人</w:t>
      </w:r>
      <w:r>
        <w:rPr>
          <w:rFonts w:hint="eastAsia" w:ascii="仿宋" w:hAnsi="仿宋" w:eastAsia="仿宋" w:cs="仿宋"/>
          <w:color w:val="auto"/>
          <w:sz w:val="28"/>
          <w:szCs w:val="28"/>
          <w:highlight w:val="none"/>
        </w:rPr>
        <w:t xml:space="preserve">不收取标书工本费与中标服务费。</w:t>
      </w:r>
      <w:r/>
    </w:p>
    <w:p>
      <w:pPr>
        <w:pStyle w:val="94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5.招标文件的约束力</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 投标人一旦参加本项目采购活动，即被认为接受了本招标文件的规定和约束。</w:t>
      </w:r>
      <w:r/>
    </w:p>
    <w:p>
      <w:pPr>
        <w:pStyle w:val="94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6.招标文件的解释</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6.1招标文件需求部分（投标单位资格要求、项目需求）由</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解释，其它部分由</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解释。</w:t>
      </w:r>
      <w:r/>
    </w:p>
    <w:p>
      <w:pPr>
        <w:pStyle w:val="941"/>
        <w:spacing w:before="0" w:after="0" w:line="360" w:lineRule="auto"/>
        <w:rPr>
          <w:rFonts w:hint="eastAsia" w:ascii="仿宋" w:hAnsi="仿宋" w:eastAsia="仿宋" w:cs="仿宋"/>
          <w:b w:val="0"/>
          <w:color w:val="auto"/>
          <w:sz w:val="28"/>
          <w:szCs w:val="28"/>
          <w:highlight w:val="none"/>
        </w:rPr>
      </w:pPr>
      <w:r/>
      <w:bookmarkStart w:id="27" w:name="_Toc20823281"/>
      <w:r/>
      <w:bookmarkStart w:id="28" w:name="_Toc513029209"/>
      <w:r/>
      <w:bookmarkStart w:id="29" w:name="_Toc120614215"/>
      <w:r/>
      <w:bookmarkStart w:id="30" w:name="_Toc16938525"/>
      <w:r>
        <w:rPr>
          <w:rFonts w:hint="eastAsia" w:ascii="仿宋" w:hAnsi="仿宋" w:eastAsia="仿宋" w:cs="仿宋"/>
          <w:b w:val="0"/>
          <w:color w:val="auto"/>
          <w:sz w:val="28"/>
          <w:szCs w:val="28"/>
          <w:highlight w:val="none"/>
        </w:rPr>
        <w:t xml:space="preserve">（二）招标文件</w:t>
      </w:r>
      <w:bookmarkEnd w:id="27"/>
      <w:r/>
      <w:bookmarkEnd w:id="28"/>
      <w:r/>
      <w:bookmarkEnd w:id="29"/>
      <w:r/>
      <w:bookmarkEnd w:id="30"/>
      <w:r/>
      <w:r/>
    </w:p>
    <w:p>
      <w:pPr>
        <w:pStyle w:val="942"/>
        <w:ind w:firstLine="560"/>
        <w:jc w:val="both"/>
        <w:spacing w:line="360" w:lineRule="auto"/>
        <w:rPr>
          <w:rFonts w:hint="eastAsia" w:ascii="仿宋" w:hAnsi="仿宋" w:eastAsia="仿宋" w:cs="仿宋"/>
          <w:bCs/>
          <w:color w:val="auto"/>
          <w:sz w:val="28"/>
          <w:szCs w:val="28"/>
          <w:highlight w:val="none"/>
        </w:rPr>
      </w:pPr>
      <w:r/>
      <w:bookmarkStart w:id="31" w:name="_Toc20823282"/>
      <w:r/>
      <w:bookmarkStart w:id="32" w:name="_Toc513029210"/>
      <w:r/>
      <w:bookmarkStart w:id="33" w:name="_Toc16938526"/>
      <w:r>
        <w:rPr>
          <w:rFonts w:hint="eastAsia" w:ascii="仿宋" w:hAnsi="仿宋" w:eastAsia="仿宋" w:cs="仿宋"/>
          <w:bCs/>
          <w:color w:val="auto"/>
          <w:sz w:val="28"/>
          <w:szCs w:val="28"/>
          <w:highlight w:val="none"/>
        </w:rPr>
        <w:t xml:space="preserve">1.招标文件构成</w:t>
      </w:r>
      <w:bookmarkEnd w:id="31"/>
      <w:r/>
      <w:bookmarkEnd w:id="32"/>
      <w:r/>
      <w:bookmarkEnd w:id="33"/>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招标文件由以下部分组成：</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（1）投标邀请</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（2）投标须知</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（3）项目需求</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（4）开标和评标</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（5）投标文件组成</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（6）附件（如有）</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请仔细检查招标文件是否齐全，如有缺漏请立即与</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联系解决。</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2"/>
        <w:ind w:firstLine="560"/>
        <w:jc w:val="both"/>
        <w:spacing w:line="360" w:lineRule="auto"/>
        <w:rPr>
          <w:rFonts w:hint="eastAsia" w:ascii="仿宋" w:hAnsi="仿宋" w:eastAsia="仿宋" w:cs="仿宋"/>
          <w:bCs/>
          <w:color w:val="auto"/>
          <w:sz w:val="28"/>
          <w:szCs w:val="28"/>
          <w:highlight w:val="none"/>
        </w:rPr>
      </w:pPr>
      <w:r/>
      <w:bookmarkStart w:id="34" w:name="_Toc20823283"/>
      <w:r/>
      <w:bookmarkStart w:id="35" w:name="_Toc513029211"/>
      <w:r/>
      <w:bookmarkStart w:id="36" w:name="_Toc462564070"/>
      <w:r/>
      <w:bookmarkStart w:id="37" w:name="_Toc16938527"/>
      <w:r>
        <w:rPr>
          <w:rFonts w:hint="eastAsia" w:ascii="仿宋" w:hAnsi="仿宋" w:eastAsia="仿宋" w:cs="仿宋"/>
          <w:bCs/>
          <w:color w:val="auto"/>
          <w:sz w:val="28"/>
          <w:szCs w:val="28"/>
          <w:highlight w:val="none"/>
        </w:rPr>
        <w:t xml:space="preserve">2.招标文件的澄清</w:t>
      </w:r>
      <w:bookmarkEnd w:id="34"/>
      <w:r/>
      <w:bookmarkEnd w:id="35"/>
      <w:r/>
      <w:bookmarkEnd w:id="36"/>
      <w:r/>
      <w:bookmarkEnd w:id="37"/>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任何要求对招标文件进行澄清的投标人，应在投标截止期十日前按招标公告中的通讯地址，以书面形式通知</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有权对发出的招标文件进行必要的澄清或修改</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视情组织答疑会</w:t>
      </w:r>
      <w:r/>
    </w:p>
    <w:p>
      <w:pPr>
        <w:pStyle w:val="942"/>
        <w:ind w:firstLine="560"/>
        <w:jc w:val="both"/>
        <w:spacing w:line="360" w:lineRule="auto"/>
        <w:rPr>
          <w:rFonts w:hint="eastAsia" w:ascii="仿宋" w:hAnsi="仿宋" w:eastAsia="仿宋" w:cs="仿宋"/>
          <w:bCs/>
          <w:color w:val="auto"/>
          <w:sz w:val="28"/>
          <w:szCs w:val="28"/>
          <w:highlight w:val="none"/>
        </w:rPr>
      </w:pPr>
      <w:r/>
      <w:bookmarkStart w:id="38" w:name="_Toc20823284"/>
      <w:r/>
      <w:bookmarkStart w:id="39" w:name="_Toc462564071"/>
      <w:r/>
      <w:bookmarkStart w:id="40" w:name="_Toc513029212"/>
      <w:r/>
      <w:bookmarkStart w:id="41" w:name="_Toc16938528"/>
      <w:r>
        <w:rPr>
          <w:rFonts w:hint="eastAsia" w:ascii="仿宋" w:hAnsi="仿宋" w:eastAsia="仿宋" w:cs="仿宋"/>
          <w:bCs/>
          <w:color w:val="auto"/>
          <w:sz w:val="28"/>
          <w:szCs w:val="28"/>
          <w:highlight w:val="none"/>
        </w:rPr>
        <w:t xml:space="preserve">3.招标文件的修改</w:t>
      </w:r>
      <w:bookmarkEnd w:id="38"/>
      <w:r/>
      <w:bookmarkEnd w:id="39"/>
      <w:r/>
      <w:bookmarkEnd w:id="40"/>
      <w:r/>
      <w:bookmarkEnd w:id="41"/>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 在投标截止时间前，</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可以对招标文件进行修改。</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 </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有权按照法定的要求推迟投标截止日期和开标日期。</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 招标文件的修改将在江苏政府采购网公布，补充文件将作为招标文件的组成部分，并对投标人具有约束力。</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5.投标人对</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提供的采购文件所做出的推论、解释和结论，</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概不负责。投标单位由于对采购文件的任何推论和误解以及</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对有关问题的口头解释所造成的后果，均由各潜在投标人自负。</w:t>
      </w:r>
      <w:r/>
    </w:p>
    <w:p>
      <w:pPr>
        <w:pStyle w:val="941"/>
        <w:spacing w:before="0" w:after="0" w:line="360" w:lineRule="auto"/>
        <w:rPr>
          <w:rFonts w:hint="eastAsia" w:ascii="仿宋" w:hAnsi="仿宋" w:eastAsia="仿宋" w:cs="仿宋"/>
          <w:b w:val="0"/>
          <w:color w:val="auto"/>
          <w:sz w:val="28"/>
          <w:szCs w:val="28"/>
          <w:highlight w:val="none"/>
        </w:rPr>
      </w:pPr>
      <w:r/>
      <w:bookmarkStart w:id="42" w:name="_Toc20823285"/>
      <w:r/>
      <w:bookmarkStart w:id="43" w:name="_Toc513029213"/>
      <w:r/>
      <w:bookmarkStart w:id="44" w:name="_Toc462564072"/>
      <w:r/>
      <w:bookmarkStart w:id="45" w:name="_Toc16938529"/>
      <w:r/>
      <w:bookmarkStart w:id="46" w:name="_Toc120614216"/>
      <w:r>
        <w:rPr>
          <w:rFonts w:hint="eastAsia" w:ascii="仿宋" w:hAnsi="仿宋" w:eastAsia="仿宋" w:cs="仿宋"/>
          <w:b w:val="0"/>
          <w:color w:val="auto"/>
          <w:sz w:val="28"/>
          <w:szCs w:val="28"/>
          <w:highlight w:val="none"/>
        </w:rPr>
        <w:t xml:space="preserve">（三）投标文件的编制</w:t>
      </w:r>
      <w:bookmarkEnd w:id="42"/>
      <w:r/>
      <w:bookmarkEnd w:id="43"/>
      <w:r/>
      <w:bookmarkEnd w:id="44"/>
      <w:r/>
      <w:bookmarkEnd w:id="45"/>
      <w:r/>
      <w:bookmarkEnd w:id="46"/>
      <w:r/>
      <w:r/>
    </w:p>
    <w:p>
      <w:pPr>
        <w:pStyle w:val="942"/>
        <w:ind w:firstLine="560"/>
        <w:jc w:val="both"/>
        <w:spacing w:line="360" w:lineRule="auto"/>
        <w:rPr>
          <w:rFonts w:hint="eastAsia" w:ascii="仿宋" w:hAnsi="仿宋" w:eastAsia="仿宋" w:cs="仿宋"/>
          <w:bCs/>
          <w:color w:val="auto"/>
          <w:sz w:val="28"/>
          <w:szCs w:val="28"/>
          <w:highlight w:val="none"/>
        </w:rPr>
      </w:pPr>
      <w:r/>
      <w:bookmarkStart w:id="47" w:name="_Toc513029214"/>
      <w:r/>
      <w:bookmarkStart w:id="48" w:name="_Toc16938530"/>
      <w:r/>
      <w:bookmarkStart w:id="49" w:name="_Toc20823286"/>
      <w:r/>
      <w:bookmarkStart w:id="50" w:name="_Toc462564073"/>
      <w:r>
        <w:rPr>
          <w:rFonts w:hint="eastAsia" w:ascii="仿宋" w:hAnsi="仿宋" w:eastAsia="仿宋" w:cs="仿宋"/>
          <w:bCs/>
          <w:color w:val="auto"/>
          <w:sz w:val="28"/>
          <w:szCs w:val="28"/>
          <w:highlight w:val="none"/>
        </w:rPr>
        <w:t xml:space="preserve">1.投标文件的语言及度量衡单位</w:t>
      </w:r>
      <w:bookmarkEnd w:id="47"/>
      <w:r/>
      <w:bookmarkEnd w:id="48"/>
      <w:r/>
      <w:bookmarkEnd w:id="49"/>
      <w:r/>
      <w:bookmarkEnd w:id="50"/>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投标人提交的投标文件以及投标人与</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就有关投标的所有来往通知、函件和文件均应使用简体中文。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 除技术性能另有规定外，投标文件所使用的度量衡单位，均须采用国家法定计量单位。</w:t>
      </w:r>
      <w:r/>
    </w:p>
    <w:p>
      <w:pPr>
        <w:pStyle w:val="942"/>
        <w:ind w:firstLine="560"/>
        <w:jc w:val="both"/>
        <w:spacing w:line="360" w:lineRule="auto"/>
        <w:rPr>
          <w:rFonts w:hint="eastAsia" w:ascii="仿宋" w:hAnsi="仿宋" w:eastAsia="仿宋" w:cs="仿宋"/>
          <w:bCs/>
          <w:color w:val="auto"/>
          <w:sz w:val="28"/>
          <w:szCs w:val="28"/>
          <w:highlight w:val="none"/>
        </w:rPr>
      </w:pPr>
      <w:r/>
      <w:bookmarkStart w:id="51" w:name="_Toc513029215"/>
      <w:r/>
      <w:bookmarkStart w:id="52" w:name="_Toc16938531"/>
      <w:r/>
      <w:bookmarkStart w:id="53" w:name="_Toc462564074"/>
      <w:r/>
      <w:bookmarkStart w:id="54" w:name="_Toc20823287"/>
      <w:r>
        <w:rPr>
          <w:rFonts w:hint="eastAsia" w:ascii="仿宋" w:hAnsi="仿宋" w:eastAsia="仿宋" w:cs="仿宋"/>
          <w:bCs/>
          <w:color w:val="auto"/>
          <w:sz w:val="28"/>
          <w:szCs w:val="28"/>
          <w:highlight w:val="none"/>
        </w:rPr>
        <w:t xml:space="preserve">2.投标文件构成</w:t>
      </w:r>
      <w:bookmarkEnd w:id="51"/>
      <w:r/>
      <w:bookmarkEnd w:id="52"/>
      <w:r/>
      <w:bookmarkEnd w:id="53"/>
      <w:r/>
      <w:bookmarkEnd w:id="54"/>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投标人编写的投标文件应包括资格审查证明材料文件，符合性审查材料文件、商务、技术标文件，价格标文件。投标单位按“第五部分 投标文件组成”要求编写投标文件</w:t>
      </w:r>
      <w:r/>
    </w:p>
    <w:p>
      <w:pPr>
        <w:pStyle w:val="942"/>
        <w:ind w:firstLine="560"/>
        <w:jc w:val="both"/>
        <w:spacing w:line="360" w:lineRule="auto"/>
        <w:rPr>
          <w:rFonts w:hint="eastAsia" w:ascii="仿宋" w:hAnsi="仿宋" w:eastAsia="仿宋" w:cs="仿宋"/>
          <w:bCs/>
          <w:color w:val="auto"/>
          <w:sz w:val="28"/>
          <w:szCs w:val="28"/>
          <w:highlight w:val="none"/>
        </w:rPr>
      </w:pPr>
      <w:r/>
      <w:bookmarkStart w:id="55" w:name="_Hlt26670360"/>
      <w:r/>
      <w:bookmarkEnd w:id="55"/>
      <w:r/>
      <w:bookmarkStart w:id="56" w:name="_Hlt26954838"/>
      <w:r/>
      <w:bookmarkEnd w:id="56"/>
      <w:r/>
      <w:bookmarkStart w:id="57" w:name="_Hlt26668975"/>
      <w:r/>
      <w:bookmarkEnd w:id="57"/>
      <w:r/>
      <w:bookmarkStart w:id="58" w:name="_Toc49090511"/>
      <w:r/>
      <w:bookmarkStart w:id="59" w:name="_Toc14577360"/>
      <w:r>
        <w:rPr>
          <w:rFonts w:hint="eastAsia" w:ascii="仿宋" w:hAnsi="仿宋" w:eastAsia="仿宋" w:cs="仿宋"/>
          <w:bCs/>
          <w:color w:val="auto"/>
          <w:sz w:val="28"/>
          <w:szCs w:val="28"/>
          <w:highlight w:val="none"/>
        </w:rPr>
        <w:t xml:space="preserve">3.投标有效期</w:t>
      </w:r>
      <w:bookmarkEnd w:id="58"/>
      <w:r/>
      <w:bookmarkEnd w:id="59"/>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3.1投标有效期为招标文件规定的开标之日后</w:t>
      </w:r>
      <w:r>
        <w:rPr>
          <w:rFonts w:hint="eastAsia" w:ascii="仿宋" w:hAnsi="仿宋" w:eastAsia="仿宋" w:cs="仿宋"/>
          <w:bCs/>
          <w:color w:val="auto"/>
          <w:sz w:val="28"/>
          <w:szCs w:val="28"/>
          <w:highlight w:val="none"/>
          <w:u w:val="single"/>
        </w:rPr>
        <w:t xml:space="preserve">六十（60）天</w:t>
      </w:r>
      <w:r>
        <w:rPr>
          <w:rFonts w:hint="eastAsia" w:ascii="仿宋" w:hAnsi="仿宋" w:eastAsia="仿宋" w:cs="仿宋"/>
          <w:bCs/>
          <w:color w:val="auto"/>
          <w:sz w:val="28"/>
          <w:szCs w:val="28"/>
          <w:highlight w:val="none"/>
        </w:rPr>
        <w:t xml:space="preserve">。投标有效期比规定短的将被视为非响应性投标而予以拒绝。</w:t>
      </w:r>
      <w:r/>
    </w:p>
    <w:p>
      <w:pPr>
        <w:pStyle w:val="94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4.投标有效期的延长</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4.1在特殊情况下，</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或的这一要求而放弃投标，同意延长投标有效期的投标人既不能要求也不允许修改其投标文件。受投标有效期约束的所有权利与义务均延长至新的有效期。</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5.电子响应文件其他要求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5.1电子招标投标交易平台（即“苏采云”系统）相关要求是本采购文件的组成部分。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5.2投标人应对CA证书妥善保管，如被他人盗用投标，因此带来的结果均由投标单位自行承担。</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5.3投标人应当对采购文件提出的实质性要求和条件作出实质性响应，并在电子投标系统逐条应答。</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941"/>
        <w:spacing w:before="0" w:after="0" w:line="360" w:lineRule="auto"/>
        <w:rPr>
          <w:rFonts w:hint="eastAsia" w:ascii="仿宋" w:hAnsi="仿宋" w:eastAsia="仿宋" w:cs="仿宋"/>
          <w:b w:val="0"/>
          <w:color w:val="auto"/>
          <w:sz w:val="28"/>
          <w:szCs w:val="28"/>
          <w:highlight w:val="none"/>
        </w:rPr>
      </w:pPr>
      <w:r/>
      <w:bookmarkStart w:id="60" w:name="_Hlt26954852"/>
      <w:r/>
      <w:bookmarkEnd w:id="60"/>
      <w:r/>
      <w:bookmarkStart w:id="61" w:name="_Hlt26954739"/>
      <w:r/>
      <w:bookmarkEnd w:id="61"/>
      <w:r/>
      <w:bookmarkStart w:id="62" w:name="_Toc20823296"/>
      <w:r/>
      <w:bookmarkStart w:id="63" w:name="_Toc120614217"/>
      <w:r/>
      <w:bookmarkStart w:id="64" w:name="_Toc16938540"/>
      <w:r/>
      <w:bookmarkStart w:id="65" w:name="_Toc513029224"/>
      <w:r>
        <w:rPr>
          <w:rFonts w:hint="eastAsia" w:ascii="仿宋" w:hAnsi="仿宋" w:eastAsia="仿宋" w:cs="仿宋"/>
          <w:b w:val="0"/>
          <w:color w:val="auto"/>
          <w:sz w:val="28"/>
          <w:szCs w:val="28"/>
          <w:highlight w:val="none"/>
        </w:rPr>
        <w:t xml:space="preserve">（四）投标文件的递交</w:t>
      </w:r>
      <w:bookmarkEnd w:id="62"/>
      <w:r/>
      <w:bookmarkEnd w:id="63"/>
      <w:r/>
      <w:bookmarkEnd w:id="64"/>
      <w:r/>
      <w:bookmarkEnd w:id="65"/>
      <w:r/>
      <w:r/>
    </w:p>
    <w:p>
      <w:pPr>
        <w:pStyle w:val="942"/>
        <w:ind w:firstLine="560"/>
        <w:jc w:val="both"/>
        <w:spacing w:line="360" w:lineRule="auto"/>
        <w:rPr>
          <w:rFonts w:hint="eastAsia" w:ascii="仿宋" w:hAnsi="仿宋" w:eastAsia="仿宋" w:cs="仿宋"/>
          <w:bCs/>
          <w:color w:val="auto"/>
          <w:sz w:val="28"/>
          <w:szCs w:val="28"/>
          <w:highlight w:val="none"/>
        </w:rPr>
      </w:pPr>
      <w:r/>
      <w:bookmarkStart w:id="66" w:name="_Toc513029225"/>
      <w:r/>
      <w:bookmarkStart w:id="67" w:name="_Toc20823297"/>
      <w:r/>
      <w:bookmarkStart w:id="68" w:name="_Toc462564084"/>
      <w:r/>
      <w:bookmarkStart w:id="69" w:name="_Toc16938541"/>
      <w:r>
        <w:rPr>
          <w:rFonts w:hint="eastAsia" w:ascii="仿宋" w:hAnsi="仿宋" w:eastAsia="仿宋" w:cs="仿宋"/>
          <w:bCs/>
          <w:color w:val="auto"/>
          <w:sz w:val="28"/>
          <w:szCs w:val="28"/>
          <w:highlight w:val="none"/>
        </w:rPr>
        <w:t xml:space="preserve">1.投标文件</w:t>
      </w:r>
      <w:bookmarkEnd w:id="66"/>
      <w:r/>
      <w:bookmarkEnd w:id="67"/>
      <w:r/>
      <w:bookmarkEnd w:id="68"/>
      <w:r/>
      <w:bookmarkEnd w:id="69"/>
      <w:r>
        <w:rPr>
          <w:rFonts w:hint="eastAsia" w:ascii="仿宋" w:hAnsi="仿宋" w:eastAsia="仿宋" w:cs="仿宋"/>
          <w:bCs/>
          <w:color w:val="auto"/>
          <w:sz w:val="28"/>
          <w:szCs w:val="28"/>
          <w:highlight w:val="none"/>
        </w:rPr>
        <w:t xml:space="preserve">的递交</w:t>
      </w:r>
      <w:r/>
    </w:p>
    <w:p>
      <w:pPr>
        <w:ind w:firstLine="556"/>
        <w:spacing w:line="360" w:lineRule="auto"/>
        <w:rPr>
          <w:rFonts w:hint="eastAsia" w:ascii="仿宋" w:hAnsi="仿宋" w:eastAsia="仿宋" w:cs="仿宋"/>
          <w:bCs/>
          <w:color w:val="auto"/>
          <w:sz w:val="28"/>
          <w:szCs w:val="28"/>
          <w:highlight w:val="none"/>
        </w:rPr>
      </w:pPr>
      <w:r/>
      <w:bookmarkStart w:id="70" w:name="_Toc513029226"/>
      <w:r/>
      <w:bookmarkStart w:id="71" w:name="_Toc20823298"/>
      <w:r/>
      <w:bookmarkStart w:id="72" w:name="_Toc16938542"/>
      <w:r>
        <w:rPr>
          <w:rFonts w:hint="eastAsia" w:ascii="仿宋" w:hAnsi="仿宋" w:eastAsia="仿宋" w:cs="仿宋"/>
          <w:bCs/>
          <w:color w:val="auto"/>
          <w:sz w:val="28"/>
          <w:szCs w:val="28"/>
          <w:highlight w:val="none"/>
        </w:rPr>
        <w:t xml:space="preserve">1.1线上提交与接收地点：投标单位应当通过“苏采云”系统提交数据电文形式的响应文件（即电子投标），“苏采云”系统自动接收。</w:t>
      </w:r>
      <w:r/>
    </w:p>
    <w:p>
      <w:pPr>
        <w:ind w:firstLine="556"/>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2.投标截止日期</w:t>
      </w:r>
      <w:bookmarkEnd w:id="70"/>
      <w:r/>
      <w:bookmarkEnd w:id="71"/>
      <w:r/>
      <w:bookmarkEnd w:id="72"/>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投标人上传电子投标文件的时间不得迟于招标公告中规定的投标截止时间。</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 </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73" w:name="_Toc20823299"/>
      <w:r/>
      <w:bookmarkStart w:id="74" w:name="_Toc16938543"/>
      <w:r/>
      <w:bookmarkStart w:id="75" w:name="_Toc513029227"/>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3.投标文件的密封（加密）要求：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3.2投标人须通过“苏采云”系统提供的政府采购客户端工具（使用“CA数字证书”）加盖电子签章。</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说明：投标人应在用CA数字证书以及自备的能够登录“苏采云”系统的笔记本电脑，在达到开标时间后，使用CA数字证书解密各自投标文件。</w:t>
      </w:r>
      <w:r/>
    </w:p>
    <w:p>
      <w:pPr>
        <w:pStyle w:val="94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3.3投标人未按规定加密的投标文件，“苏采云”系统应当拒收并提示。</w:t>
      </w:r>
      <w:r/>
    </w:p>
    <w:p>
      <w:pPr>
        <w:pStyle w:val="94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4.投标文件</w:t>
      </w:r>
      <w:bookmarkEnd w:id="73"/>
      <w:r/>
      <w:bookmarkEnd w:id="74"/>
      <w:r/>
      <w:bookmarkEnd w:id="75"/>
      <w:r>
        <w:rPr>
          <w:rFonts w:hint="eastAsia" w:ascii="仿宋" w:hAnsi="仿宋" w:eastAsia="仿宋" w:cs="仿宋"/>
          <w:bCs/>
          <w:color w:val="auto"/>
          <w:sz w:val="28"/>
          <w:szCs w:val="28"/>
          <w:highlight w:val="none"/>
        </w:rPr>
        <w:t xml:space="preserve">的拒收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 </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拒绝接收在其规定的投标截止时间后上传的任何投标文件。</w:t>
      </w:r>
      <w:r/>
    </w:p>
    <w:p>
      <w:pPr>
        <w:pStyle w:val="942"/>
        <w:ind w:firstLine="560"/>
        <w:jc w:val="both"/>
        <w:spacing w:line="360" w:lineRule="auto"/>
        <w:rPr>
          <w:rFonts w:hint="eastAsia" w:ascii="仿宋" w:hAnsi="仿宋" w:eastAsia="仿宋" w:cs="仿宋"/>
          <w:bCs/>
          <w:color w:val="auto"/>
          <w:sz w:val="28"/>
          <w:szCs w:val="28"/>
          <w:highlight w:val="none"/>
        </w:rPr>
      </w:pPr>
      <w:r/>
      <w:bookmarkStart w:id="76" w:name="_Toc20823300"/>
      <w:r/>
      <w:bookmarkStart w:id="77" w:name="_Toc16938544"/>
      <w:r/>
      <w:bookmarkStart w:id="78" w:name="_Toc513029228"/>
      <w:r>
        <w:rPr>
          <w:rFonts w:hint="eastAsia" w:ascii="仿宋" w:hAnsi="仿宋" w:eastAsia="仿宋" w:cs="仿宋"/>
          <w:bCs/>
          <w:color w:val="auto"/>
          <w:sz w:val="28"/>
          <w:szCs w:val="28"/>
          <w:highlight w:val="none"/>
        </w:rPr>
        <w:t xml:space="preserve">5.投标文件的撤回和修改</w:t>
      </w:r>
      <w:bookmarkEnd w:id="76"/>
      <w:r/>
      <w:bookmarkEnd w:id="77"/>
      <w:r/>
      <w:bookmarkEnd w:id="78"/>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 投标文件的撤回</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5.1.1 电子投标文件的撤回</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投标人可在投标截止时间前，撤回其电子投标文件，具体操作方法见《江苏省政府采购（投标单位）CA数字证书及电子签章办理指南》。</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5.1.2 投标人撤回电子投标文件，则认为其不再参与本项目投标活动。</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 投标文件的修改</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投标人可在投标截止时间前，对其电子投标文件进行修改》。</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5.3 在投标截止时间之后，投标人不得对其电子投标文件作任何修改。</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5.4 在投标截止时间至招标文件中规定的投标有效期满之间的这段时间内，投标人不得撤回其投标。</w:t>
      </w:r>
      <w:r/>
    </w:p>
    <w:p>
      <w:pPr>
        <w:pStyle w:val="941"/>
        <w:spacing w:before="0" w:after="0" w:line="360" w:lineRule="auto"/>
        <w:rPr>
          <w:rFonts w:hint="eastAsia" w:ascii="仿宋" w:hAnsi="仿宋" w:eastAsia="仿宋" w:cs="仿宋"/>
          <w:b w:val="0"/>
          <w:color w:val="auto"/>
          <w:sz w:val="28"/>
          <w:szCs w:val="28"/>
          <w:highlight w:val="none"/>
        </w:rPr>
      </w:pPr>
      <w:r/>
      <w:bookmarkStart w:id="79" w:name="_Toc16938545"/>
      <w:r/>
      <w:bookmarkStart w:id="80" w:name="_Toc20823301"/>
      <w:r/>
      <w:bookmarkStart w:id="81" w:name="_Toc120614218"/>
      <w:r/>
      <w:bookmarkStart w:id="82" w:name="_Toc513029229"/>
      <w:r>
        <w:rPr>
          <w:rFonts w:hint="eastAsia" w:ascii="仿宋" w:hAnsi="仿宋" w:eastAsia="仿宋" w:cs="仿宋"/>
          <w:b w:val="0"/>
          <w:color w:val="auto"/>
          <w:sz w:val="28"/>
          <w:szCs w:val="28"/>
          <w:highlight w:val="none"/>
        </w:rPr>
        <w:t xml:space="preserve">（五）开标与评标</w:t>
      </w:r>
      <w:bookmarkEnd w:id="79"/>
      <w:r/>
      <w:bookmarkEnd w:id="80"/>
      <w:r/>
      <w:bookmarkEnd w:id="81"/>
      <w:r/>
      <w:bookmarkEnd w:id="82"/>
      <w:r/>
      <w:r/>
    </w:p>
    <w:p>
      <w:pPr>
        <w:pStyle w:val="942"/>
        <w:ind w:firstLine="560"/>
        <w:jc w:val="both"/>
        <w:spacing w:line="360" w:lineRule="auto"/>
        <w:rPr>
          <w:rFonts w:hint="eastAsia" w:ascii="仿宋" w:hAnsi="仿宋" w:eastAsia="仿宋" w:cs="仿宋"/>
          <w:bCs/>
          <w:color w:val="auto"/>
          <w:sz w:val="28"/>
          <w:szCs w:val="28"/>
          <w:highlight w:val="none"/>
        </w:rPr>
      </w:pPr>
      <w:r/>
      <w:bookmarkStart w:id="83" w:name="_Toc513029230"/>
      <w:r/>
      <w:bookmarkStart w:id="84" w:name="_Toc20823302"/>
      <w:r/>
      <w:bookmarkStart w:id="85" w:name="_Toc16938546"/>
      <w:r>
        <w:rPr>
          <w:rFonts w:hint="eastAsia" w:ascii="仿宋" w:hAnsi="仿宋" w:eastAsia="仿宋" w:cs="仿宋"/>
          <w:bCs/>
          <w:color w:val="auto"/>
          <w:sz w:val="28"/>
          <w:szCs w:val="28"/>
          <w:highlight w:val="none"/>
        </w:rPr>
        <w:t xml:space="preserve">1.开标</w:t>
      </w:r>
      <w:bookmarkEnd w:id="83"/>
      <w:r/>
      <w:bookmarkEnd w:id="84"/>
      <w:r/>
      <w:bookmarkEnd w:id="85"/>
      <w:r/>
      <w:r/>
    </w:p>
    <w:p>
      <w:pPr>
        <w:ind w:firstLine="556"/>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将在招标公告中规定的时间和地点组织公开开标。</w:t>
      </w:r>
      <w:r/>
    </w:p>
    <w:p>
      <w:pPr>
        <w:ind w:firstLine="556"/>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开标当天投标人及时登录不见面开标大厅，投标文件递交截止时间后，</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将在系统内公布投标人名单，然后通过开标会议区发出投标文件解密的指令，投标人在开标室按规定时间自行实施远程解密，</w:t>
      </w:r>
      <w:r>
        <w:rPr>
          <w:rFonts w:hint="eastAsia" w:ascii="仿宋" w:hAnsi="仿宋" w:eastAsia="仿宋" w:cs="仿宋"/>
          <w:b/>
          <w:bCs w:val="0"/>
          <w:color w:val="auto"/>
          <w:sz w:val="28"/>
          <w:szCs w:val="28"/>
          <w:highlight w:val="none"/>
          <w:u w:val="single"/>
        </w:rPr>
        <w:t xml:space="preserve">投标人解密限定在开标后30分钟之内完成</w:t>
      </w:r>
      <w:r>
        <w:rPr>
          <w:rFonts w:hint="eastAsia" w:ascii="仿宋" w:hAnsi="仿宋" w:eastAsia="仿宋" w:cs="仿宋"/>
          <w:bCs/>
          <w:color w:val="auto"/>
          <w:sz w:val="28"/>
          <w:szCs w:val="28"/>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原因或网上招投标平台发生故障，导致无法按时完成投标文件解密或开、评标工作无法进行的，可根据实际情况相应延迟解密时间或调整开、评标时间。</w:t>
      </w:r>
      <w:r/>
    </w:p>
    <w:p>
      <w:pPr>
        <w:ind w:firstLine="556"/>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w:t>
      </w:r>
      <w:r>
        <w:rPr>
          <w:rFonts w:hint="eastAsia" w:ascii="仿宋" w:hAnsi="仿宋" w:eastAsia="仿宋" w:cs="仿宋"/>
          <w:b/>
          <w:bCs w:val="0"/>
          <w:color w:val="auto"/>
          <w:sz w:val="28"/>
          <w:szCs w:val="28"/>
          <w:highlight w:val="none"/>
        </w:rPr>
        <w:t xml:space="preserve">开标仪式由</w:t>
      </w:r>
      <w:r>
        <w:rPr>
          <w:rFonts w:hint="eastAsia" w:ascii="仿宋" w:hAnsi="仿宋" w:eastAsia="仿宋" w:cs="仿宋"/>
          <w:b/>
          <w:bCs w:val="0"/>
          <w:color w:val="auto"/>
          <w:sz w:val="28"/>
          <w:szCs w:val="28"/>
          <w:highlight w:val="none"/>
          <w:lang w:val="en-US" w:eastAsia="zh-CN"/>
        </w:rPr>
        <w:t xml:space="preserve">招标人</w:t>
      </w:r>
      <w:r>
        <w:rPr>
          <w:rFonts w:hint="eastAsia" w:ascii="仿宋" w:hAnsi="仿宋" w:eastAsia="仿宋" w:cs="仿宋"/>
          <w:b/>
          <w:bCs w:val="0"/>
          <w:color w:val="auto"/>
          <w:sz w:val="28"/>
          <w:szCs w:val="28"/>
          <w:highlight w:val="none"/>
        </w:rPr>
        <w:t xml:space="preserve">组织，在不见面交易系统中进行开标，并公布各投标人的《开标一览表》。</w:t>
      </w:r>
      <w:r/>
    </w:p>
    <w:p>
      <w:pPr>
        <w:pStyle w:val="942"/>
        <w:ind w:firstLine="560"/>
        <w:jc w:val="both"/>
        <w:spacing w:line="360" w:lineRule="auto"/>
        <w:rPr>
          <w:rFonts w:hint="eastAsia" w:ascii="仿宋" w:hAnsi="仿宋" w:eastAsia="仿宋" w:cs="仿宋"/>
          <w:bCs/>
          <w:color w:val="auto"/>
          <w:sz w:val="28"/>
          <w:szCs w:val="28"/>
          <w:highlight w:val="none"/>
        </w:rPr>
      </w:pPr>
      <w:r/>
      <w:bookmarkStart w:id="86" w:name="_Toc16938547"/>
      <w:r/>
      <w:bookmarkStart w:id="87" w:name="_Toc20823303"/>
      <w:r/>
      <w:bookmarkStart w:id="88" w:name="_Toc513029231"/>
      <w:r>
        <w:rPr>
          <w:rFonts w:hint="eastAsia" w:ascii="仿宋" w:hAnsi="仿宋" w:eastAsia="仿宋" w:cs="仿宋"/>
          <w:bCs/>
          <w:color w:val="auto"/>
          <w:sz w:val="28"/>
          <w:szCs w:val="28"/>
          <w:highlight w:val="none"/>
        </w:rPr>
        <w:t xml:space="preserve">2.评标委员会</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开标后，</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将立即组织评标委员会（以下简称评委会）进行评标。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 评委会由有关技术、经济等方面的专家组成，且人员构成符合政府采购有关规定。</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2.3评委会独立工作，负责评审所有投标文件并确定中标侯选人。</w:t>
      </w:r>
      <w:r/>
    </w:p>
    <w:p>
      <w:pPr>
        <w:pStyle w:val="94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3.评标过程的保密与公正</w:t>
      </w:r>
      <w:bookmarkEnd w:id="86"/>
      <w:r/>
      <w:bookmarkEnd w:id="87"/>
      <w:r/>
      <w:bookmarkEnd w:id="88"/>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3.1公开开标后，直至向中标的投标人授予合同时止，凡是与审查、澄清、评价和比较投标的有关资料以及授标建议等，</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、评委、采购代理机构均不得向投标人或与评标无关的其他人员透露。</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3.2在评标过程中，投标人不得以任何行为影响评标过程，否则其投标文件将被作为无效投标文件。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3.3在评标期间，</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将设专门人员与投标人联系。</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3.4</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和评标委员会不向未中标的投标人解释未中标原因，也不公布评标过程中的相关细节。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3.5采用综合评分法的项目，公布评标结果时一并公布所有投标人的评审得分及排序情况。</w:t>
      </w:r>
      <w:r/>
    </w:p>
    <w:p>
      <w:pPr>
        <w:pStyle w:val="942"/>
        <w:ind w:firstLine="560"/>
        <w:jc w:val="both"/>
        <w:spacing w:line="360" w:lineRule="auto"/>
        <w:rPr>
          <w:rFonts w:hint="eastAsia" w:ascii="仿宋" w:hAnsi="仿宋" w:eastAsia="仿宋" w:cs="仿宋"/>
          <w:bCs/>
          <w:color w:val="auto"/>
          <w:sz w:val="28"/>
          <w:szCs w:val="28"/>
          <w:highlight w:val="none"/>
        </w:rPr>
      </w:pPr>
      <w:r/>
      <w:bookmarkStart w:id="89" w:name="_Toc20823304"/>
      <w:r/>
      <w:bookmarkStart w:id="90" w:name="_Toc513029232"/>
      <w:r/>
      <w:bookmarkStart w:id="91" w:name="_Toc16938548"/>
      <w:r>
        <w:rPr>
          <w:rFonts w:hint="eastAsia" w:ascii="仿宋" w:hAnsi="仿宋" w:eastAsia="仿宋" w:cs="仿宋"/>
          <w:bCs/>
          <w:color w:val="auto"/>
          <w:sz w:val="28"/>
          <w:szCs w:val="28"/>
          <w:highlight w:val="none"/>
        </w:rPr>
        <w:t xml:space="preserve">4.投标的澄清</w:t>
      </w:r>
      <w:bookmarkEnd w:id="89"/>
      <w:r/>
      <w:bookmarkEnd w:id="90"/>
      <w:r/>
      <w:bookmarkEnd w:id="91"/>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4.3 接到评委会澄清要求的投标人如未按规定做出澄清，其风险由投标人自行承担。</w:t>
      </w:r>
      <w:r/>
    </w:p>
    <w:p>
      <w:pPr>
        <w:pStyle w:val="942"/>
        <w:ind w:firstLine="560"/>
        <w:jc w:val="both"/>
        <w:spacing w:line="360" w:lineRule="auto"/>
        <w:rPr>
          <w:rFonts w:hint="eastAsia" w:ascii="仿宋" w:hAnsi="仿宋" w:eastAsia="仿宋" w:cs="仿宋"/>
          <w:bCs/>
          <w:color w:val="auto"/>
          <w:sz w:val="28"/>
          <w:szCs w:val="28"/>
          <w:highlight w:val="none"/>
        </w:rPr>
      </w:pPr>
      <w:r/>
      <w:bookmarkStart w:id="92" w:name="_Toc16938549"/>
      <w:r/>
      <w:bookmarkStart w:id="93" w:name="_Toc513029233"/>
      <w:r/>
      <w:bookmarkStart w:id="94" w:name="_Toc20823305"/>
      <w:r>
        <w:rPr>
          <w:rFonts w:hint="eastAsia" w:ascii="仿宋" w:hAnsi="仿宋" w:eastAsia="仿宋" w:cs="仿宋"/>
          <w:bCs/>
          <w:color w:val="auto"/>
          <w:sz w:val="28"/>
          <w:szCs w:val="28"/>
          <w:highlight w:val="none"/>
        </w:rPr>
        <w:t xml:space="preserve">5.对投标文件的初审</w:t>
      </w:r>
      <w:bookmarkEnd w:id="92"/>
      <w:r/>
      <w:bookmarkEnd w:id="93"/>
      <w:r/>
      <w:bookmarkEnd w:id="94"/>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5.1投标文件初审分为资格审查和符合性审查。</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5.1.1 资格审查：依据法律法规和招标文件的规定，由</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对投标文件中的资格证明文件进行审查。资格审查的结论，</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以书面形式向评委会进行反馈。</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在进行资格性审查的同时，评标委员会从“信用中国”网站查询投标单位的信用记录，以确定投标单位是否具备资格。</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接受联合体的项目，两个以上的自然人、法人或者其他组织组成一个联合体，以一个投标单位的身份共同参加政府采购活动的,联合体成员中任何一方存在不良信用记录的，视同联合体存在不良应用记录。</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5.1.3 未通过资格审查或符合性审查的投标人，</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告知未通过资格审查或符合性审查的原因，评审结束后，</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将不再告知未通过资格审查或符合性审查的原因。</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5.3如果投标文件实质上没有响应招标文件的要求，评委会将予以拒绝，投标人不得通过修改或撤销不合要求的偏离或保留而使其投标成为实质性响应的投标。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5.4评委会将对确定为实质性响应的投标进行进一步审核，看其是否有计算上或累加上的算术错误，修正错误的原则如下：</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（1）投标文件中开标一览表内容与投标文件中相应内容不一致的，以开标一览表为准。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（2）大写金额和小写金额不一致的，以大写金额为准。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（3）单价金额小数点或者百分比有明显错位的，以开标一览表的总价为准，并修改单价。</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（4）总价金额与按单价汇总金额不一致的，以单价金额计算结果为准。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同时出现两种以上错误的，按照前款规定的顺序修正。</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5.5评委会将按上述修正错误的方法调整投标文件中的投标报价，并告知投标人，调整后的价格应对投标人具有约束力。如果投标人不接受修正后的价格，则其投标将被拒绝。</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5.6评委会将允许修正投标文件中不构成重大偏离的、微小的、非正规的、不一致的或不规则的地方，但这些修改不能影响任何投标人相应的名次排列。</w:t>
      </w:r>
      <w:r/>
    </w:p>
    <w:p>
      <w:pPr>
        <w:ind w:firstLine="560"/>
        <w:spacing w:line="360" w:lineRule="auto"/>
        <w:rPr>
          <w:rFonts w:hint="eastAsia" w:ascii="仿宋" w:hAnsi="仿宋" w:eastAsia="仿宋" w:cs="仿宋"/>
          <w:bCs/>
          <w:color w:val="auto"/>
          <w:sz w:val="28"/>
          <w:szCs w:val="28"/>
          <w:highlight w:val="none"/>
        </w:rPr>
      </w:pPr>
      <w:r/>
      <w:bookmarkStart w:id="95" w:name="_Toc16938550"/>
      <w:r/>
      <w:bookmarkStart w:id="96" w:name="_Toc513029234"/>
      <w:r/>
      <w:bookmarkStart w:id="97" w:name="_Toc20823306"/>
      <w:r>
        <w:rPr>
          <w:rFonts w:hint="eastAsia" w:ascii="仿宋" w:hAnsi="仿宋" w:eastAsia="仿宋" w:cs="仿宋"/>
          <w:bCs/>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5.8 投标人在开、评标全过程中应保持通讯畅通，并安排专人与</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及评标委员会联系。</w:t>
      </w:r>
      <w:bookmarkEnd w:id="95"/>
      <w:r/>
      <w:bookmarkEnd w:id="96"/>
      <w:r/>
      <w:bookmarkEnd w:id="97"/>
      <w:r/>
      <w:r/>
    </w:p>
    <w:p>
      <w:pPr>
        <w:pStyle w:val="94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6.无效投标条款和废标条款</w:t>
      </w:r>
      <w:r/>
    </w:p>
    <w:p>
      <w:pPr>
        <w:ind w:firstLine="560"/>
        <w:spacing w:line="360" w:lineRule="auto"/>
        <w:rPr>
          <w:rFonts w:hint="eastAsia" w:ascii="仿宋" w:hAnsi="仿宋" w:eastAsia="仿宋" w:cs="仿宋"/>
          <w:bCs/>
          <w:color w:val="auto"/>
          <w:sz w:val="28"/>
          <w:szCs w:val="28"/>
          <w:highlight w:val="none"/>
        </w:rPr>
      </w:pPr>
      <w:r/>
      <w:bookmarkStart w:id="98" w:name="_Toc20823307"/>
      <w:r/>
      <w:bookmarkStart w:id="99" w:name="_Toc513029235"/>
      <w:r/>
      <w:bookmarkStart w:id="100" w:name="_Toc16938551"/>
      <w:r>
        <w:rPr>
          <w:rFonts w:hint="eastAsia" w:ascii="仿宋" w:hAnsi="仿宋" w:eastAsia="仿宋" w:cs="仿宋"/>
          <w:bCs/>
          <w:color w:val="auto"/>
          <w:sz w:val="28"/>
          <w:szCs w:val="28"/>
          <w:highlight w:val="none"/>
        </w:rPr>
        <w:t xml:space="preserve">6.1无效投标条款</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 投标人在规定的时间内未成功解密电子投标文件的。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6.1.2 投标人未按照招标文件要求上传电子投标文件的。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6.1.3同一投标人提交两个（含两个）以上不同的投标报价的。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6.1.4投标人不具备招标文件中规定资格要求的。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6.1.5投标人的报价超过了采购预算或最高限价的。</w:t>
      </w:r>
      <w:r/>
    </w:p>
    <w:p>
      <w:pPr>
        <w:ind w:firstLine="560"/>
        <w:spacing w:line="360" w:lineRule="auto"/>
        <w:rPr>
          <w:rFonts w:hint="eastAsia" w:ascii="仿宋" w:hAnsi="仿宋" w:eastAsia="仿宋" w:cs="仿宋"/>
          <w:bCs/>
          <w:i/>
          <w:color w:val="auto"/>
          <w:sz w:val="28"/>
          <w:szCs w:val="28"/>
          <w:highlight w:val="none"/>
          <w:u w:val="single"/>
        </w:rPr>
      </w:pPr>
      <w:r>
        <w:rPr>
          <w:rFonts w:hint="eastAsia" w:ascii="仿宋" w:hAnsi="仿宋" w:eastAsia="仿宋" w:cs="仿宋"/>
          <w:bCs/>
          <w:color w:val="auto"/>
          <w:sz w:val="28"/>
          <w:szCs w:val="28"/>
          <w:highlight w:val="none"/>
        </w:rPr>
        <w:t xml:space="preserve">6.1.6未通过符合性检查的。</w:t>
      </w:r>
      <w:r/>
    </w:p>
    <w:p>
      <w:pPr>
        <w:ind w:firstLine="420"/>
        <w:spacing w:line="360" w:lineRule="auto"/>
        <w:rPr>
          <w:rFonts w:hint="eastAsia" w:ascii="仿宋" w:hAnsi="仿宋" w:eastAsia="仿宋" w:cs="仿宋"/>
          <w:bCs/>
          <w:i/>
          <w:color w:val="auto"/>
          <w:sz w:val="28"/>
          <w:szCs w:val="28"/>
          <w:highlight w:val="none"/>
          <w:u w:val="single"/>
        </w:rPr>
      </w:pPr>
      <w:r>
        <w:rPr>
          <w:rFonts w:hint="eastAsia" w:ascii="仿宋" w:hAnsi="仿宋" w:eastAsia="仿宋" w:cs="仿宋"/>
          <w:bCs/>
          <w:color w:val="auto"/>
          <w:sz w:val="28"/>
          <w:szCs w:val="28"/>
          <w:highlight w:val="none"/>
        </w:rPr>
        <w:t xml:space="preserve"> 6.1.7不符合招标文件中规定的其他实质性要求和条件的。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6.1.8 在“信用中国”网站（https://www.creditchina.gov.cn）查询，被列入</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"https://zxgk.court.gov.cn/shixin/"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失信被执行人</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"https://www.creditchina.gov.cn/zhuanxiangchaxun/zhongdashuishouweifaanjian/"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重大税收违法失信主体名单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"https://www.creditchina.gov.cn/zhuanxiangchaxun/zhengfucaigouyanzhongweifashixinmingdan/"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政府采购严重违法失信行为记录名单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"https://www.creditchina.gov.cn/xinxigongshi/shixinheimingdan/"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严重失信主体名单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"https://www.creditchina.gov.cn/xinxigongshi/zhongdianguanzhushixinmingdan/"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经营（活动）异常名录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及其他不符合《中华人民共和国政府采购法》第二十二条规定条件的信用记录。（投标文件中无需提供证明材料）。</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6.1.9 投标文件含有</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不能接受的附加条件的。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6.1.10投标文件未按照招标文件要求加盖电子签章。</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6.1.11不同的投标人投标文件制作机器码、文件创建标识码一致的。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6.1.12投标人的商务、技术部分得分相差悬殊，评标委员会认为得分畸低者没有实质性响应的。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6.1.13其他法律、法规及本招标文件规定的属无效投标的情形。</w:t>
      </w:r>
      <w:r/>
    </w:p>
    <w:p>
      <w:pPr>
        <w:pStyle w:val="773"/>
        <w:ind w:firstLine="560"/>
        <w:spacing w:before="0" w:beforeAutospacing="0" w:after="0" w:afterAutospacing="0" w:line="360" w:lineRule="auto"/>
        <w:rPr>
          <w:rFonts w:hint="eastAsia" w:ascii="仿宋" w:hAnsi="仿宋" w:eastAsia="仿宋" w:cs="仿宋"/>
          <w:b/>
          <w:bCs/>
          <w:color w:val="auto"/>
          <w:sz w:val="28"/>
          <w:szCs w:val="28"/>
          <w:highlight w:val="none"/>
        </w:rPr>
      </w:pPr>
      <w:r>
        <w:rPr>
          <w:rFonts w:hint="eastAsia" w:ascii="仿宋" w:hAnsi="仿宋" w:eastAsia="仿宋" w:cs="仿宋"/>
          <w:bCs/>
          <w:color w:val="auto"/>
          <w:sz w:val="28"/>
          <w:szCs w:val="28"/>
          <w:highlight w:val="none"/>
        </w:rPr>
        <w:t xml:space="preserve">6.1.14</w:t>
      </w:r>
      <w:r>
        <w:rPr>
          <w:rFonts w:hint="eastAsia" w:ascii="仿宋" w:hAnsi="仿宋" w:eastAsia="仿宋" w:cs="仿宋"/>
          <w:b/>
          <w:bCs/>
          <w:color w:val="auto"/>
          <w:sz w:val="28"/>
          <w:szCs w:val="28"/>
          <w:highlight w:val="none"/>
        </w:rPr>
        <w:t xml:space="preserve">评标小组认为投标单位的报价出现（财库〔2026〕2号文）规定的异常低价情 形之一的，将通过“不见面交易系统 ”启动异常低价投标（响应）审查程序，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773"/>
        <w:ind w:firstLine="646"/>
        <w:jc w:val="both"/>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b/>
          <w:bCs/>
          <w:color w:val="auto"/>
          <w:sz w:val="28"/>
          <w:szCs w:val="28"/>
          <w:highlight w:val="none"/>
        </w:rPr>
        <w:t xml:space="preserve">评标小组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标小组应当将其作为无效投标（响应）处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6.2废标条款：</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6.2.1符合专业条件的投标单位或者对招标文件作实质响应的投标单位不足三家的。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6.2.2出现影响采购公正的违法、违规行为的。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6.2.3因重大变故，采购任务取消的。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6.2.4评标委员会认定招标文件存在歧义、重大缺陷导致评审工作无法进行。</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6.2.5 因系统故障原因造成开标不成功的。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6.3 投标截止时间结束后参加投标的投标单位不足三家的处理：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6.3.1如出现投标截止时间结束后参加投标的投标单位或者在评标期间对招标文件做出实质响应的投标单位不足三家情况，按政府采购相关规定执行。</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7.投标文件线上格式要求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7.1投标人应当通过“苏采云”系统提交数据电文形式的投标文件（即电子投标）。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7.2通过“苏采云”系统提交政府采购客户端工具导出加密的投标文件（后缀名为zip）。投标文件不得超过150M！</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7.3本项目采用线上投标，即投标人的投标文件从政府采购客户端工具制作通过“苏采云”系统提交，未提供线上投标文件的，投标无效。</w:t>
      </w:r>
      <w:bookmarkEnd w:id="98"/>
      <w:r/>
      <w:bookmarkEnd w:id="99"/>
      <w:r/>
      <w:bookmarkEnd w:id="100"/>
      <w:r/>
      <w:r/>
    </w:p>
    <w:p>
      <w:pPr>
        <w:pStyle w:val="941"/>
        <w:spacing w:before="0" w:after="0" w:line="360" w:lineRule="auto"/>
        <w:rPr>
          <w:rFonts w:hint="eastAsia" w:ascii="仿宋" w:hAnsi="仿宋" w:eastAsia="仿宋" w:cs="仿宋"/>
          <w:b w:val="0"/>
          <w:color w:val="auto"/>
          <w:sz w:val="28"/>
          <w:szCs w:val="28"/>
          <w:highlight w:val="none"/>
        </w:rPr>
      </w:pPr>
      <w:r/>
      <w:bookmarkStart w:id="101" w:name="_Toc120614219"/>
      <w:r>
        <w:rPr>
          <w:rFonts w:hint="eastAsia" w:ascii="仿宋" w:hAnsi="仿宋" w:eastAsia="仿宋" w:cs="仿宋"/>
          <w:b w:val="0"/>
          <w:color w:val="auto"/>
          <w:sz w:val="28"/>
          <w:szCs w:val="28"/>
          <w:highlight w:val="none"/>
        </w:rPr>
        <w:t xml:space="preserve">（六）定标</w:t>
      </w:r>
      <w:bookmarkEnd w:id="101"/>
      <w:r/>
      <w:r/>
    </w:p>
    <w:p>
      <w:pPr>
        <w:pStyle w:val="942"/>
        <w:ind w:firstLine="560"/>
        <w:jc w:val="both"/>
        <w:spacing w:line="360" w:lineRule="auto"/>
        <w:rPr>
          <w:rFonts w:hint="eastAsia" w:ascii="仿宋" w:hAnsi="仿宋" w:eastAsia="仿宋" w:cs="仿宋"/>
          <w:bCs/>
          <w:color w:val="auto"/>
          <w:sz w:val="28"/>
          <w:szCs w:val="28"/>
          <w:highlight w:val="none"/>
        </w:rPr>
      </w:pPr>
      <w:r/>
      <w:bookmarkStart w:id="102" w:name="_Toc16938554"/>
      <w:r/>
      <w:bookmarkStart w:id="103" w:name="_Toc20823310"/>
      <w:r>
        <w:rPr>
          <w:rFonts w:hint="eastAsia" w:ascii="仿宋" w:hAnsi="仿宋" w:eastAsia="仿宋" w:cs="仿宋"/>
          <w:bCs/>
          <w:color w:val="auto"/>
          <w:sz w:val="28"/>
          <w:szCs w:val="28"/>
          <w:highlight w:val="none"/>
        </w:rPr>
        <w:t xml:space="preserve">1.确定</w:t>
      </w:r>
      <w:bookmarkEnd w:id="102"/>
      <w:r/>
      <w:bookmarkEnd w:id="103"/>
      <w:r>
        <w:rPr>
          <w:rFonts w:hint="eastAsia" w:ascii="仿宋" w:hAnsi="仿宋" w:eastAsia="仿宋" w:cs="仿宋"/>
          <w:bCs/>
          <w:color w:val="auto"/>
          <w:sz w:val="28"/>
          <w:szCs w:val="28"/>
          <w:highlight w:val="none"/>
        </w:rPr>
        <w:t xml:space="preserve">中标单位</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1.1中标候选人的选取原则和数量见招标文件第四部分规定。 </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应根据评标委员会推荐的中标候选投标单位确定中标单位。</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1.3 </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将在“江苏政府采购网”发布中标公告，公告期限为1个工作日。</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1.4若有充分证据证明，中标人出现下列情况之一的，一经查实，将被取消中标资格：</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1.4.1提供虚假材料谋取中标的。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1.4.2向</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行贿或者评审专家提供其他不正当利益的。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1.4.3恶意竞争，投标总报价明显低于其自身合理成本且又无法提供证明的。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1.4.4属于本文件规定的无效条件，但在评标过程中又未被评委会发现的。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1.4.5与</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或者其他投标单位恶意串通的。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1.4.6采取不正当手段诋毁、排挤其他投标单位的。</w:t>
      </w:r>
      <w:r/>
    </w:p>
    <w:p>
      <w:pPr>
        <w:ind w:firstLine="560"/>
        <w:spacing w:line="360" w:lineRule="auto"/>
        <w:rPr>
          <w:rFonts w:hint="eastAsia" w:ascii="仿宋" w:hAnsi="仿宋" w:eastAsia="仿宋" w:cs="仿宋"/>
          <w:bCs/>
          <w:color w:val="auto"/>
          <w:sz w:val="28"/>
          <w:szCs w:val="28"/>
          <w:highlight w:val="none"/>
        </w:rPr>
      </w:pPr>
      <w:r/>
      <w:bookmarkStart w:id="104" w:name="_Toc200451960"/>
      <w:r>
        <w:rPr>
          <w:rFonts w:hint="eastAsia" w:ascii="仿宋" w:hAnsi="仿宋" w:eastAsia="仿宋" w:cs="仿宋"/>
          <w:bCs/>
          <w:color w:val="auto"/>
          <w:sz w:val="28"/>
          <w:szCs w:val="28"/>
          <w:highlight w:val="none"/>
        </w:rPr>
        <w:t xml:space="preserve">1.5有下列情形之一的，视为投标人串通投标，投标无效：</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1.5.1不同投标人的投标文件由同一单位或者个人编制；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1.5.2不同投标人委托同一单位或者个人办理投标事宜；</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1.5.3不同投标人的投标文件载明的项目管理成员或者联系人员为同一人；</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1.5.4不同投标人的投标文件异常一致或者投标报价呈规律性差异；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1.5.5不同投标人的投标文件相互混装；</w:t>
      </w:r>
      <w:r/>
    </w:p>
    <w:p>
      <w:pPr>
        <w:pStyle w:val="94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2.质疑处理</w:t>
      </w:r>
      <w:bookmarkEnd w:id="104"/>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提出质疑的投标单位应当是参与所质疑项目采购活动的投标单位。潜在投标单位依法获取其可质疑的采购文件的，可以对采购文件提出质疑。</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2.2投标单位认为采购文件、采购过程和采购结果使自己的权益受到损害的，可以在知道或应知其权益受到损害之日起七个工作日内，以书面形式向</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提出质疑。上述应知其权益受到损害之日，是指：</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u w:val="single"/>
        </w:rPr>
        <w:t xml:space="preserve">本项目招标公告期限届满后获取招标文件的，以公告期限届满之日为准）</w:t>
      </w:r>
      <w:r/>
    </w:p>
    <w:p>
      <w:pPr>
        <w:ind w:firstLine="560"/>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2.2.1对可以质疑的采购文件提出质疑的，为收到采购文件之日或者采购文件公告期限届满之日；</w:t>
      </w:r>
      <w:r/>
    </w:p>
    <w:p>
      <w:pPr>
        <w:ind w:firstLine="560"/>
        <w:jc w:val="left"/>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注明：本项目5个工作日后仍可下载招标文件，但不作为投标投标单位权益受到损害的证明材料和依据。</w:t>
      </w:r>
      <w:r/>
    </w:p>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2.2.2对采购过程提出质疑的，为各采购程序环节结束之日；</w:t>
      </w:r>
      <w:r/>
    </w:p>
    <w:p>
      <w:pPr>
        <w:ind w:firstLine="560"/>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2.2.3对中标或者成交结果提出质疑的，为中标或者成交结果公告期限届满之日。</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投标单位应当在法定质疑期内一次性提出针对同一采购程序环节的质疑。</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2.3质疑函必须按照本招标文件中《质疑函范本》要求的格式和内容进行填写。投标单位如组成联合体参加投标，则《质疑函范本》中要求签字、盖章、加盖公章之处，联合体各方均须按要求签字、盖章、加盖公章。</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2.4质疑答复依据《政府采购质疑和投诉办法》（财政部令第94号）。</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质疑接收人及联系方式，见招标文件第一部分。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2.5以下情形的质疑不予受理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2.5.1内容不符合《政府采购质疑和投诉办法》第十二条规定的质疑。</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2.5.2超出政府采购法定期限的质疑。</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2.5.3未参加投标活动的投标单位或在投标活动中自身权益未受到损害的投标单位所提出的质疑。</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2.5.4投标单位组成联合体参加投标，联合体中任何一方或多方未按要求签字、盖章、加盖公章的质疑。</w:t>
      </w:r>
      <w:r/>
    </w:p>
    <w:p>
      <w:pPr>
        <w:ind w:firstLine="546"/>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2.6投标单位提出书面质疑必须有理、有据，不得捏造事实、提供虚假材料进行恶意质疑。否则，一经查实，</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有权依据政府采购的有关规定，报请政府采购监管部门对该投标单位进行相应的行政处罚和记录该投标单位的失信信息。</w:t>
      </w:r>
      <w:r/>
    </w:p>
    <w:p>
      <w:pPr>
        <w:pStyle w:val="94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3.中标通知书</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3.l 中标结果确定后，</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将向中标投标单位发出中标通知书。</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3.2中标通知书将是合同的一个组成部分。对</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和中标投标单位均具有法律效力。中标通知书发出后，</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改变中标结果的，或者中标投标单位放弃中标项目的，应当依法承担法律责任。</w:t>
      </w:r>
      <w:r/>
    </w:p>
    <w:p>
      <w:pPr>
        <w:pStyle w:val="941"/>
        <w:spacing w:before="0" w:after="0" w:line="360" w:lineRule="auto"/>
        <w:rPr>
          <w:rFonts w:hint="eastAsia" w:ascii="仿宋" w:hAnsi="仿宋" w:eastAsia="仿宋" w:cs="仿宋"/>
          <w:b w:val="0"/>
          <w:color w:val="auto"/>
          <w:sz w:val="28"/>
          <w:szCs w:val="28"/>
          <w:highlight w:val="none"/>
        </w:rPr>
      </w:pPr>
      <w:r/>
      <w:bookmarkStart w:id="105" w:name="_Toc513029236"/>
      <w:r/>
      <w:bookmarkStart w:id="106" w:name="_Toc20823308"/>
      <w:r/>
      <w:bookmarkStart w:id="107" w:name="_Toc16938552"/>
      <w:r/>
      <w:bookmarkStart w:id="108" w:name="_Toc120614220"/>
      <w:r>
        <w:rPr>
          <w:rFonts w:hint="eastAsia" w:ascii="仿宋" w:hAnsi="仿宋" w:eastAsia="仿宋" w:cs="仿宋"/>
          <w:b w:val="0"/>
          <w:color w:val="auto"/>
          <w:sz w:val="28"/>
          <w:szCs w:val="28"/>
          <w:highlight w:val="none"/>
        </w:rPr>
        <w:t xml:space="preserve">（七）授予合同</w:t>
      </w:r>
      <w:bookmarkEnd w:id="105"/>
      <w:r/>
      <w:bookmarkEnd w:id="106"/>
      <w:r/>
      <w:bookmarkEnd w:id="107"/>
      <w:r/>
      <w:bookmarkEnd w:id="108"/>
      <w:r/>
      <w:r/>
    </w:p>
    <w:p>
      <w:pPr>
        <w:pStyle w:val="942"/>
        <w:ind w:firstLine="560"/>
        <w:jc w:val="both"/>
        <w:spacing w:line="360" w:lineRule="auto"/>
        <w:rPr>
          <w:rFonts w:hint="eastAsia" w:ascii="仿宋" w:hAnsi="仿宋" w:eastAsia="仿宋" w:cs="仿宋"/>
          <w:bCs/>
          <w:color w:val="auto"/>
          <w:sz w:val="28"/>
          <w:szCs w:val="28"/>
          <w:highlight w:val="none"/>
        </w:rPr>
      </w:pPr>
      <w:r/>
      <w:bookmarkStart w:id="109" w:name="_Toc20823309"/>
      <w:r/>
      <w:bookmarkStart w:id="110" w:name="_Toc513029237"/>
      <w:r/>
      <w:bookmarkStart w:id="111" w:name="_Toc16938553"/>
      <w:r>
        <w:rPr>
          <w:rFonts w:hint="eastAsia" w:ascii="仿宋" w:hAnsi="仿宋" w:eastAsia="仿宋" w:cs="仿宋"/>
          <w:bCs/>
          <w:color w:val="auto"/>
          <w:sz w:val="28"/>
          <w:szCs w:val="28"/>
          <w:highlight w:val="none"/>
        </w:rPr>
        <w:t xml:space="preserve">1.签订合同</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1.l中标人应当在中标通知书发出之日起三十日内，按照招标文件确定的事项与</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签订政府采购合同。</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1.2招标文件、中标人的投标文件及招标过程中有关澄清、承诺文件均应作为合同附件。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1.3签订合同后，中标人不得将货物及其他相关服务进行转包。未经</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同意，中标人也不得采用分包的形式履行合同，否则</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有权终止合同，中标人的履约保证金将不予退还。政府采购合同分包履行的，中标、中标单位就采购项目和分包项目向</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负责，分包投标单位就分包项目承担责任。转包或分包造成</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损失的，中标人应承担相应赔偿责任。</w:t>
      </w:r>
      <w:r/>
    </w:p>
    <w:p>
      <w:pPr>
        <w:pStyle w:val="94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2.货物和服务的追加、减少和添购。</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2.1政府采购合同履行中，</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需追加与合同标的相同的货物和服务的，在不改变合同其他条款的前提下，可以与中标人协商签订补充合同，但所有补充合同的采购金额不超过原合同金额10%。</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2.2采购结束后，</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若由于各种客观原因，必须对采购项目所牵涉的货物和服务进行适当的减少时，在双方协商一致的前提下，可以按照招标采购时的价格水平做相应的调减，并据此签订补充合同。</w:t>
      </w:r>
      <w:bookmarkEnd w:id="109"/>
      <w:r/>
      <w:bookmarkEnd w:id="110"/>
      <w:r/>
      <w:bookmarkEnd w:id="111"/>
      <w:r/>
      <w:r/>
    </w:p>
    <w:p>
      <w:pPr>
        <w:pStyle w:val="942"/>
        <w:ind w:firstLine="562"/>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3.政府采购履约保证资金、合同信用融资扶持政策</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3.1中标投标单位如需获得履约保证金支持，可在江苏政府采购网直接线上办理线上履约保证保险申请，详情请见江苏政府采购网首页 “易企服”综合服务平台-金融产品全周期-履约保证保险专栏。</w:t>
      </w:r>
      <w:r/>
    </w:p>
    <w:p>
      <w:pPr>
        <w:pStyle w:val="942"/>
        <w:ind w:firstLine="551"/>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3.2根据《关于转发江苏省财政厅、中国人民银行南京分行&lt;关于深入推进政府采购线上合同信用融资工作的通知&gt;的通知》（通财购〔2021〕41号），对政府采购中标投标单位提出“政采贷”融资申请的，</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应当依法按时在“苏采云”系统中录入并公开政府采购合同信息，勾选“融资贷款”选项，并在合同签订、验收付款、账号维护等环节提供必要便利，持续降低参与政府采购的中小企业融资成本。中标投标单位如需获得合同信用融资支持，可凭政府采购合同办理“政采贷”融资贷款，详情请见江苏政府采购网 “易企服”综合服务平台-金融产品全周期-贷款产品专栏。</w:t>
      </w:r>
      <w:r/>
    </w:p>
    <w:p>
      <w:pPr>
        <w:ind w:firstLine="42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根据《关于深入开展南通市政府采购线上合同信用融资业务的通知》（通财购〔2022〕68号），中标（成交）投标单位可通过中征应收账款融资服务平台（简称“中征平台”）办理“政采贷”融资贷款，具体业务操作流程如下： </w:t>
      </w:r>
      <w:r/>
    </w:p>
    <w:p>
      <w:pPr>
        <w:ind w:firstLine="42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3.3.1确定融资意向。中标(成交) 投标单位取得中标 (成交 ) 通知书后，联系意向金融机构，商治融资事项，确定融资意向。</w:t>
      </w:r>
      <w:r/>
    </w:p>
    <w:p>
      <w:pPr>
        <w:ind w:firstLine="42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3.3.2签订采购合同。中标(成交 ) 投标单位与</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签订政府采购合同时，应将自身融资需求告知</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或其委托的采购代理机构，提醒 (或协助 ) 其当天在“苏采云”上传合同的同时将“投标单位是否融资”选为“是”</w:t>
      </w:r>
      <w:r/>
    </w:p>
    <w:p>
      <w:pPr>
        <w:ind w:firstLine="42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3.3.3提交融资申请。中标(成交) 投标单位登录“中征平台”进行用户注册，查看“政采贷”融资产品，向确定合作的金融机构提交融资申请。</w:t>
      </w:r>
      <w:r/>
    </w:p>
    <w:p>
      <w:pPr>
        <w:ind w:firstLine="42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3.3.4确认回款账户。金融机构填写需要锁定的回款账户信息后中标(成交)投标单位应登录“中征平台”确认账户信息，以实现回款账户的锁定。</w:t>
      </w:r>
      <w:r/>
    </w:p>
    <w:p>
      <w:pPr>
        <w:jc w:val="center"/>
        <w:spacing w:line="360" w:lineRule="auto"/>
        <w:rPr>
          <w:rFonts w:hint="eastAsia" w:ascii="仿宋" w:hAnsi="仿宋" w:eastAsia="仿宋" w:cs="仿宋"/>
          <w:color w:val="auto"/>
          <w:highlight w:val="none"/>
        </w:rPr>
        <w:outlineLvl w:val="0"/>
      </w:pPr>
      <w:r>
        <w:rPr>
          <w:rFonts w:hint="eastAsia" w:ascii="仿宋" w:hAnsi="仿宋" w:eastAsia="仿宋" w:cs="仿宋"/>
          <w:bCs/>
          <w:color w:val="auto"/>
          <w:sz w:val="28"/>
          <w:szCs w:val="28"/>
          <w:highlight w:val="none"/>
        </w:rPr>
        <w:br w:type="page" w:clear="all"/>
      </w:r>
      <w:r>
        <w:rPr>
          <w:rFonts w:hint="eastAsia" w:ascii="仿宋" w:hAnsi="仿宋" w:eastAsia="仿宋" w:cs="仿宋"/>
          <w:b/>
          <w:color w:val="auto"/>
          <w:sz w:val="36"/>
          <w:szCs w:val="36"/>
          <w:highlight w:val="none"/>
        </w:rPr>
        <w:t xml:space="preserve">第三部分 项目需求</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投标人不能简单照搬照抄招标文件项目需求说明中的技术、商务要求，必须作实事求是的响应。如投标人提供的货物和服务同</w:t>
      </w:r>
      <w:r>
        <w:rPr>
          <w:rFonts w:hint="eastAsia" w:ascii="仿宋" w:hAnsi="仿宋" w:eastAsia="仿宋" w:cs="仿宋"/>
          <w:b/>
          <w:bCs/>
          <w:color w:val="auto"/>
          <w:sz w:val="28"/>
          <w:szCs w:val="28"/>
          <w:highlight w:val="none"/>
          <w:lang w:eastAsia="zh-CN"/>
        </w:rPr>
        <w:t xml:space="preserve">招标人</w:t>
      </w:r>
      <w:r>
        <w:rPr>
          <w:rFonts w:hint="eastAsia" w:ascii="仿宋" w:hAnsi="仿宋" w:eastAsia="仿宋" w:cs="仿宋"/>
          <w:b/>
          <w:bCs/>
          <w:color w:val="auto"/>
          <w:sz w:val="28"/>
          <w:szCs w:val="28"/>
          <w:highlight w:val="none"/>
        </w:rPr>
        <w:t xml:space="preserve">提出的项目需求说明中的技术、商务要求不同的，必须在《商务部分正负偏离表》和《技术部分正负偏离表》上明示。</w:t>
      </w:r>
      <w:r/>
    </w:p>
    <w:p>
      <w:pPr>
        <w:ind w:firstLine="281"/>
        <w:jc w:val="left"/>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一、采购标的需实现的功能或者目标, 以及为落实政府采购政策需满足的要求：</w:t>
      </w:r>
      <w:r/>
    </w:p>
    <w:tbl>
      <w:tblPr>
        <w:tblStyle w:val="745"/>
        <w:tblW w:w="4994"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 w:type="dxa"/>
          <w:top w:w="0" w:type="dxa"/>
          <w:right w:w="10" w:type="dxa"/>
          <w:bottom w:w="0" w:type="dxa"/>
        </w:tblCellMar>
        <w:tblLook w:val="04A0" w:firstRow="1" w:lastRow="0" w:firstColumn="1" w:lastColumn="0" w:noHBand="0" w:noVBand="1"/>
      </w:tblPr>
      <w:tblGrid>
        <w:gridCol w:w="644"/>
        <w:gridCol w:w="2242"/>
        <w:gridCol w:w="1883"/>
        <w:gridCol w:w="661"/>
        <w:gridCol w:w="749"/>
        <w:gridCol w:w="1021"/>
        <w:gridCol w:w="1166"/>
      </w:tblGrid>
      <w:tr>
        <w:trPr>
          <w:jc w:val="center"/>
          <w:trHeight w:val="1266"/>
        </w:trPr>
        <w:tc>
          <w:tcPr>
            <w:tcMar>
              <w:left w:w="20" w:type="dxa"/>
              <w:top w:w="20" w:type="dxa"/>
              <w:right w:w="20" w:type="dxa"/>
              <w:bottom w:w="20" w:type="dxa"/>
            </w:tcMar>
            <w:tcW w:w="385"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序号</w:t>
            </w:r>
            <w:r/>
          </w:p>
        </w:tc>
        <w:tc>
          <w:tcPr>
            <w:tcMar>
              <w:left w:w="20" w:type="dxa"/>
              <w:top w:w="20" w:type="dxa"/>
              <w:right w:w="20" w:type="dxa"/>
              <w:bottom w:w="20" w:type="dxa"/>
            </w:tcMar>
            <w:tcW w:w="1340"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采购标的</w:t>
            </w:r>
            <w:r/>
          </w:p>
        </w:tc>
        <w:tc>
          <w:tcPr>
            <w:tcMar>
              <w:left w:w="20" w:type="dxa"/>
              <w:top w:w="20" w:type="dxa"/>
              <w:right w:w="20" w:type="dxa"/>
              <w:bottom w:w="20" w:type="dxa"/>
            </w:tcMar>
            <w:tcW w:w="1125"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对应中小企业划分标准所属行业</w:t>
            </w:r>
            <w:r/>
          </w:p>
        </w:tc>
        <w:tc>
          <w:tcPr>
            <w:tcBorders>
              <w:left w:val="single" w:color="auto" w:sz="4" w:space="0"/>
            </w:tcBorders>
            <w:tcMar>
              <w:left w:w="20" w:type="dxa"/>
              <w:top w:w="20" w:type="dxa"/>
              <w:right w:w="20" w:type="dxa"/>
              <w:bottom w:w="20" w:type="dxa"/>
            </w:tcMar>
            <w:tcW w:w="395" w:type="pct"/>
            <w:vAlign w:val="center"/>
            <w:textDirection w:val="lrTb"/>
            <w:noWrap w:val="false"/>
          </w:tcPr>
          <w:p>
            <w:pPr>
              <w:jc w:val="center"/>
              <w:spacing w:line="4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数量</w:t>
            </w:r>
            <w:r/>
          </w:p>
        </w:tc>
        <w:tc>
          <w:tcPr>
            <w:tcMar>
              <w:left w:w="20" w:type="dxa"/>
              <w:top w:w="20" w:type="dxa"/>
              <w:right w:w="20" w:type="dxa"/>
              <w:bottom w:w="20" w:type="dxa"/>
            </w:tcMar>
            <w:tcW w:w="448"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单位</w:t>
            </w:r>
            <w:r/>
          </w:p>
        </w:tc>
        <w:tc>
          <w:tcPr>
            <w:tcMar>
              <w:left w:w="20" w:type="dxa"/>
              <w:top w:w="20" w:type="dxa"/>
              <w:right w:w="20" w:type="dxa"/>
              <w:bottom w:w="20" w:type="dxa"/>
            </w:tcMar>
            <w:tcW w:w="610"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是否主要标的</w:t>
            </w:r>
            <w:r/>
          </w:p>
        </w:tc>
        <w:tc>
          <w:tcPr>
            <w:tcMar>
              <w:left w:w="20" w:type="dxa"/>
              <w:top w:w="20" w:type="dxa"/>
              <w:right w:w="20" w:type="dxa"/>
              <w:bottom w:w="20" w:type="dxa"/>
            </w:tcMar>
            <w:tcW w:w="697" w:type="pct"/>
            <w:vAlign w:val="center"/>
            <w:textDirection w:val="lrTb"/>
            <w:noWrap w:val="false"/>
          </w:tcPr>
          <w:p>
            <w:pPr>
              <w:jc w:val="center"/>
              <w:spacing w:line="4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是否强制节能</w:t>
            </w:r>
            <w:r/>
          </w:p>
        </w:tc>
      </w:tr>
      <w:tr>
        <w:trPr>
          <w:jc w:val="center"/>
          <w:trHeight w:val="692"/>
        </w:trPr>
        <w:tc>
          <w:tcPr>
            <w:tcMar>
              <w:left w:w="20" w:type="dxa"/>
              <w:top w:w="20" w:type="dxa"/>
              <w:right w:w="20" w:type="dxa"/>
              <w:bottom w:w="20" w:type="dxa"/>
            </w:tcMar>
            <w:tcW w:w="385"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p>
        </w:tc>
        <w:tc>
          <w:tcPr>
            <w:tcMar>
              <w:left w:w="20" w:type="dxa"/>
              <w:top w:w="20" w:type="dxa"/>
              <w:right w:w="20" w:type="dxa"/>
              <w:bottom w:w="20" w:type="dxa"/>
            </w:tcMar>
            <w:tcW w:w="1340" w:type="pct"/>
            <w:vAlign w:val="center"/>
            <w:textDirection w:val="lrTb"/>
            <w:noWrap w:val="false"/>
          </w:tcPr>
          <w:p>
            <w:pPr>
              <w:jc w:val="center"/>
              <w:spacing w:line="48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人工智能大模型教研应用平台</w:t>
            </w:r>
            <w:r/>
          </w:p>
        </w:tc>
        <w:tc>
          <w:tcPr>
            <w:tcMar>
              <w:left w:w="20" w:type="dxa"/>
              <w:top w:w="20" w:type="dxa"/>
              <w:right w:w="20" w:type="dxa"/>
              <w:bottom w:w="20" w:type="dxa"/>
            </w:tcMar>
            <w:tcW w:w="1125" w:type="pct"/>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软件和信息技术服务业</w:t>
            </w:r>
            <w:r/>
          </w:p>
        </w:tc>
        <w:tc>
          <w:tcPr>
            <w:tcBorders>
              <w:left w:val="single" w:color="auto" w:sz="4" w:space="0"/>
            </w:tcBorders>
            <w:tcMar>
              <w:left w:w="20" w:type="dxa"/>
              <w:top w:w="20" w:type="dxa"/>
              <w:right w:w="20" w:type="dxa"/>
              <w:bottom w:w="20" w:type="dxa"/>
            </w:tcMar>
            <w:tcW w:w="395"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Mar>
              <w:left w:w="20" w:type="dxa"/>
              <w:top w:w="20" w:type="dxa"/>
              <w:right w:w="20" w:type="dxa"/>
              <w:bottom w:w="20" w:type="dxa"/>
            </w:tcMar>
            <w:tcW w:w="448" w:type="pct"/>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套</w:t>
            </w:r>
            <w:r/>
          </w:p>
        </w:tc>
        <w:tc>
          <w:tcPr>
            <w:tcMar>
              <w:left w:w="20" w:type="dxa"/>
              <w:top w:w="20" w:type="dxa"/>
              <w:right w:w="20" w:type="dxa"/>
              <w:bottom w:w="20" w:type="dxa"/>
            </w:tcMar>
            <w:tcW w:w="610" w:type="pct"/>
            <w:vAlign w:val="center"/>
            <w:textDirection w:val="lrTb"/>
            <w:noWrap w:val="false"/>
          </w:tcPr>
          <w:p>
            <w:pPr>
              <w:jc w:val="center"/>
              <w:spacing w:line="4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是</w:t>
            </w:r>
            <w:r/>
          </w:p>
        </w:tc>
        <w:tc>
          <w:tcPr>
            <w:tcMar>
              <w:left w:w="20" w:type="dxa"/>
              <w:top w:w="20" w:type="dxa"/>
              <w:right w:w="20" w:type="dxa"/>
              <w:bottom w:w="20" w:type="dxa"/>
            </w:tcMar>
            <w:tcW w:w="697" w:type="pct"/>
            <w:vAlign w:val="center"/>
            <w:textDirection w:val="lrTb"/>
            <w:noWrap w:val="false"/>
          </w:tcPr>
          <w:p>
            <w:pPr>
              <w:jc w:val="center"/>
              <w:spacing w:line="460" w:lineRule="exact"/>
              <w:rPr>
                <w:rFonts w:hint="eastAsia" w:ascii="仿宋" w:hAnsi="仿宋" w:eastAsia="仿宋" w:cs="仿宋"/>
                <w:b/>
                <w:color w:val="auto"/>
                <w:sz w:val="24"/>
                <w:highlight w:val="none"/>
              </w:rPr>
            </w:pPr>
            <w:r>
              <w:rPr>
                <w:rFonts w:hint="eastAsia" w:ascii="仿宋" w:hAnsi="仿宋" w:eastAsia="仿宋" w:cs="仿宋"/>
                <w:bCs/>
                <w:color w:val="auto"/>
                <w:sz w:val="24"/>
                <w:highlight w:val="none"/>
              </w:rPr>
              <w:t xml:space="preserve">否</w:t>
            </w:r>
            <w:r/>
          </w:p>
        </w:tc>
      </w:tr>
      <w:tr>
        <w:trPr>
          <w:jc w:val="center"/>
          <w:trHeight w:val="710"/>
        </w:trPr>
        <w:tc>
          <w:tcPr>
            <w:tcMar>
              <w:left w:w="20" w:type="dxa"/>
              <w:top w:w="20" w:type="dxa"/>
              <w:right w:w="20" w:type="dxa"/>
              <w:bottom w:w="20" w:type="dxa"/>
            </w:tcMar>
            <w:tcW w:w="385"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2</w:t>
            </w:r>
            <w:r/>
          </w:p>
        </w:tc>
        <w:tc>
          <w:tcPr>
            <w:tcMar>
              <w:left w:w="20" w:type="dxa"/>
              <w:top w:w="20" w:type="dxa"/>
              <w:right w:w="20" w:type="dxa"/>
              <w:bottom w:w="20" w:type="dxa"/>
            </w:tcMar>
            <w:tcW w:w="1340" w:type="pct"/>
            <w:vAlign w:val="center"/>
            <w:textDirection w:val="lrTb"/>
            <w:noWrap w:val="false"/>
          </w:tcPr>
          <w:p>
            <w:pPr>
              <w:jc w:val="cente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配套基础课程资源包</w:t>
            </w:r>
            <w:r/>
          </w:p>
        </w:tc>
        <w:tc>
          <w:tcPr>
            <w:tcMar>
              <w:left w:w="20" w:type="dxa"/>
              <w:top w:w="20" w:type="dxa"/>
              <w:right w:w="20" w:type="dxa"/>
              <w:bottom w:w="20" w:type="dxa"/>
            </w:tcMar>
            <w:tcW w:w="1125" w:type="pct"/>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软件和信息技术服务业</w:t>
            </w:r>
            <w:r/>
          </w:p>
        </w:tc>
        <w:tc>
          <w:tcPr>
            <w:tcBorders>
              <w:left w:val="single" w:color="auto" w:sz="4" w:space="0"/>
            </w:tcBorders>
            <w:tcMar>
              <w:left w:w="20" w:type="dxa"/>
              <w:top w:w="20" w:type="dxa"/>
              <w:right w:w="20" w:type="dxa"/>
              <w:bottom w:w="20" w:type="dxa"/>
            </w:tcMar>
            <w:tcW w:w="395"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Mar>
              <w:left w:w="20" w:type="dxa"/>
              <w:top w:w="20" w:type="dxa"/>
              <w:right w:w="20" w:type="dxa"/>
              <w:bottom w:w="20" w:type="dxa"/>
            </w:tcMar>
            <w:tcW w:w="448" w:type="pct"/>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批</w:t>
            </w:r>
            <w:r/>
          </w:p>
        </w:tc>
        <w:tc>
          <w:tcPr>
            <w:tcMar>
              <w:left w:w="20" w:type="dxa"/>
              <w:top w:w="20" w:type="dxa"/>
              <w:right w:w="20" w:type="dxa"/>
              <w:bottom w:w="20" w:type="dxa"/>
            </w:tcMar>
            <w:tcW w:w="610"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否</w:t>
            </w:r>
            <w:r/>
          </w:p>
        </w:tc>
        <w:tc>
          <w:tcPr>
            <w:tcMar>
              <w:left w:w="20" w:type="dxa"/>
              <w:top w:w="20" w:type="dxa"/>
              <w:right w:w="20" w:type="dxa"/>
              <w:bottom w:w="20" w:type="dxa"/>
            </w:tcMar>
            <w:tcW w:w="697" w:type="pct"/>
            <w:vAlign w:val="center"/>
            <w:textDirection w:val="lrTb"/>
            <w:noWrap w:val="false"/>
          </w:tcPr>
          <w:p>
            <w:pPr>
              <w:jc w:val="center"/>
              <w:spacing w:line="4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否</w:t>
            </w:r>
            <w:r/>
          </w:p>
        </w:tc>
      </w:tr>
      <w:tr>
        <w:trPr>
          <w:jc w:val="center"/>
          <w:trHeight w:val="710"/>
        </w:trPr>
        <w:tc>
          <w:tcPr>
            <w:tcMar>
              <w:left w:w="20" w:type="dxa"/>
              <w:top w:w="20" w:type="dxa"/>
              <w:right w:w="20" w:type="dxa"/>
              <w:bottom w:w="20" w:type="dxa"/>
            </w:tcMar>
            <w:tcW w:w="385"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Mar>
              <w:left w:w="20" w:type="dxa"/>
              <w:top w:w="20" w:type="dxa"/>
              <w:right w:w="20" w:type="dxa"/>
              <w:bottom w:w="20" w:type="dxa"/>
            </w:tcMar>
            <w:tcW w:w="1340" w:type="pct"/>
            <w:vAlign w:val="center"/>
            <w:textDirection w:val="lrTb"/>
            <w:noWrap w:val="false"/>
          </w:tcPr>
          <w:p>
            <w:pPr>
              <w:jc w:val="center"/>
              <w:spacing w:line="48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大模型创新教研开发与应用平台算力服务套餐</w:t>
            </w:r>
            <w:r/>
          </w:p>
        </w:tc>
        <w:tc>
          <w:tcPr>
            <w:tcMar>
              <w:left w:w="20" w:type="dxa"/>
              <w:top w:w="20" w:type="dxa"/>
              <w:right w:w="20" w:type="dxa"/>
              <w:bottom w:w="20" w:type="dxa"/>
            </w:tcMar>
            <w:tcW w:w="1125" w:type="pct"/>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软件和信息技术服务业</w:t>
            </w:r>
            <w:r/>
          </w:p>
        </w:tc>
        <w:tc>
          <w:tcPr>
            <w:tcBorders>
              <w:left w:val="single" w:color="auto" w:sz="4" w:space="0"/>
            </w:tcBorders>
            <w:tcMar>
              <w:left w:w="20" w:type="dxa"/>
              <w:top w:w="20" w:type="dxa"/>
              <w:right w:w="20" w:type="dxa"/>
              <w:bottom w:w="20" w:type="dxa"/>
            </w:tcMar>
            <w:tcW w:w="395"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Mar>
              <w:left w:w="20" w:type="dxa"/>
              <w:top w:w="20" w:type="dxa"/>
              <w:right w:w="20" w:type="dxa"/>
              <w:bottom w:w="20" w:type="dxa"/>
            </w:tcMar>
            <w:tcW w:w="448" w:type="pct"/>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批</w:t>
            </w:r>
            <w:r/>
          </w:p>
        </w:tc>
        <w:tc>
          <w:tcPr>
            <w:tcMar>
              <w:left w:w="20" w:type="dxa"/>
              <w:top w:w="20" w:type="dxa"/>
              <w:right w:w="20" w:type="dxa"/>
              <w:bottom w:w="20" w:type="dxa"/>
            </w:tcMar>
            <w:tcW w:w="610"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否</w:t>
            </w:r>
            <w:r/>
          </w:p>
        </w:tc>
        <w:tc>
          <w:tcPr>
            <w:tcMar>
              <w:left w:w="20" w:type="dxa"/>
              <w:top w:w="20" w:type="dxa"/>
              <w:right w:w="20" w:type="dxa"/>
              <w:bottom w:w="20" w:type="dxa"/>
            </w:tcMar>
            <w:tcW w:w="697" w:type="pct"/>
            <w:vAlign w:val="center"/>
            <w:textDirection w:val="lrTb"/>
            <w:noWrap w:val="false"/>
          </w:tcPr>
          <w:p>
            <w:pPr>
              <w:jc w:val="center"/>
              <w:spacing w:line="4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否</w:t>
            </w:r>
            <w:r/>
          </w:p>
        </w:tc>
      </w:tr>
      <w:tr>
        <w:trPr>
          <w:jc w:val="center"/>
          <w:trHeight w:val="710"/>
        </w:trPr>
        <w:tc>
          <w:tcPr>
            <w:tcMar>
              <w:left w:w="20" w:type="dxa"/>
              <w:top w:w="20" w:type="dxa"/>
              <w:right w:w="20" w:type="dxa"/>
              <w:bottom w:w="20" w:type="dxa"/>
            </w:tcMar>
            <w:tcW w:w="385"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Mar>
              <w:left w:w="20" w:type="dxa"/>
              <w:top w:w="20" w:type="dxa"/>
              <w:right w:w="20" w:type="dxa"/>
              <w:bottom w:w="20" w:type="dxa"/>
            </w:tcMar>
            <w:tcW w:w="1340" w:type="pct"/>
            <w:vAlign w:val="center"/>
            <w:textDirection w:val="lrTb"/>
            <w:noWrap w:val="false"/>
          </w:tcPr>
          <w:p>
            <w:pPr>
              <w:jc w:val="center"/>
              <w:spacing w:line="48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汽车专业垂类产教融合数据服务应用平台</w:t>
            </w:r>
            <w:r/>
          </w:p>
        </w:tc>
        <w:tc>
          <w:tcPr>
            <w:tcMar>
              <w:left w:w="20" w:type="dxa"/>
              <w:top w:w="20" w:type="dxa"/>
              <w:right w:w="20" w:type="dxa"/>
              <w:bottom w:w="20" w:type="dxa"/>
            </w:tcMar>
            <w:tcW w:w="1125" w:type="pct"/>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软件和信息技术服务业</w:t>
            </w:r>
            <w:r/>
          </w:p>
        </w:tc>
        <w:tc>
          <w:tcPr>
            <w:tcBorders>
              <w:left w:val="single" w:color="auto" w:sz="4" w:space="0"/>
            </w:tcBorders>
            <w:tcMar>
              <w:left w:w="20" w:type="dxa"/>
              <w:top w:w="20" w:type="dxa"/>
              <w:right w:w="20" w:type="dxa"/>
              <w:bottom w:w="20" w:type="dxa"/>
            </w:tcMar>
            <w:tcW w:w="395"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Mar>
              <w:left w:w="20" w:type="dxa"/>
              <w:top w:w="20" w:type="dxa"/>
              <w:right w:w="20" w:type="dxa"/>
              <w:bottom w:w="20" w:type="dxa"/>
            </w:tcMar>
            <w:tcW w:w="448" w:type="pct"/>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年</w:t>
            </w:r>
            <w:r/>
          </w:p>
        </w:tc>
        <w:tc>
          <w:tcPr>
            <w:tcMar>
              <w:left w:w="20" w:type="dxa"/>
              <w:top w:w="20" w:type="dxa"/>
              <w:right w:w="20" w:type="dxa"/>
              <w:bottom w:w="20" w:type="dxa"/>
            </w:tcMar>
            <w:tcW w:w="610" w:type="pct"/>
            <w:vAlign w:val="center"/>
            <w:textDirection w:val="lrTb"/>
            <w:noWrap w:val="false"/>
          </w:tcPr>
          <w:p>
            <w:pPr>
              <w:jc w:val="center"/>
              <w:spacing w:line="4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是</w:t>
            </w:r>
            <w:r/>
          </w:p>
        </w:tc>
        <w:tc>
          <w:tcPr>
            <w:tcMar>
              <w:left w:w="20" w:type="dxa"/>
              <w:top w:w="20" w:type="dxa"/>
              <w:right w:w="20" w:type="dxa"/>
              <w:bottom w:w="20" w:type="dxa"/>
            </w:tcMar>
            <w:tcW w:w="697" w:type="pct"/>
            <w:vAlign w:val="center"/>
            <w:textDirection w:val="lrTb"/>
            <w:noWrap w:val="false"/>
          </w:tcPr>
          <w:p>
            <w:pPr>
              <w:jc w:val="center"/>
              <w:spacing w:line="46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否</w:t>
            </w:r>
            <w:r/>
          </w:p>
        </w:tc>
      </w:tr>
      <w:tr>
        <w:trPr>
          <w:jc w:val="center"/>
          <w:trHeight w:val="710"/>
        </w:trPr>
        <w:tc>
          <w:tcPr>
            <w:tcMar>
              <w:left w:w="20" w:type="dxa"/>
              <w:top w:w="20" w:type="dxa"/>
              <w:right w:w="20" w:type="dxa"/>
              <w:bottom w:w="20" w:type="dxa"/>
            </w:tcMar>
            <w:tcW w:w="385"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Mar>
              <w:left w:w="20" w:type="dxa"/>
              <w:top w:w="20" w:type="dxa"/>
              <w:right w:w="20" w:type="dxa"/>
              <w:bottom w:w="20" w:type="dxa"/>
            </w:tcMar>
            <w:tcW w:w="1340" w:type="pct"/>
            <w:vAlign w:val="center"/>
            <w:textDirection w:val="lrTb"/>
            <w:noWrap w:val="false"/>
          </w:tcPr>
          <w:p>
            <w:pPr>
              <w:jc w:val="cente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高级数字人及数字分身定制</w:t>
            </w:r>
            <w:r/>
          </w:p>
        </w:tc>
        <w:tc>
          <w:tcPr>
            <w:tcMar>
              <w:left w:w="20" w:type="dxa"/>
              <w:top w:w="20" w:type="dxa"/>
              <w:right w:w="20" w:type="dxa"/>
              <w:bottom w:w="20" w:type="dxa"/>
            </w:tcMar>
            <w:tcW w:w="1125" w:type="pct"/>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软件和信息技术服务业</w:t>
            </w:r>
            <w:r/>
          </w:p>
        </w:tc>
        <w:tc>
          <w:tcPr>
            <w:tcBorders>
              <w:left w:val="single" w:color="auto" w:sz="4" w:space="0"/>
            </w:tcBorders>
            <w:tcMar>
              <w:left w:w="20" w:type="dxa"/>
              <w:top w:w="20" w:type="dxa"/>
              <w:right w:w="20" w:type="dxa"/>
              <w:bottom w:w="20" w:type="dxa"/>
            </w:tcMar>
            <w:tcW w:w="395"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Mar>
              <w:left w:w="20" w:type="dxa"/>
              <w:top w:w="20" w:type="dxa"/>
              <w:right w:w="20" w:type="dxa"/>
              <w:bottom w:w="20" w:type="dxa"/>
            </w:tcMar>
            <w:tcW w:w="448" w:type="pct"/>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批</w:t>
            </w:r>
            <w:r/>
          </w:p>
        </w:tc>
        <w:tc>
          <w:tcPr>
            <w:tcMar>
              <w:left w:w="20" w:type="dxa"/>
              <w:top w:w="20" w:type="dxa"/>
              <w:right w:w="20" w:type="dxa"/>
              <w:bottom w:w="20" w:type="dxa"/>
            </w:tcMar>
            <w:tcW w:w="610"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否</w:t>
            </w:r>
            <w:r/>
          </w:p>
        </w:tc>
        <w:tc>
          <w:tcPr>
            <w:tcMar>
              <w:left w:w="20" w:type="dxa"/>
              <w:top w:w="20" w:type="dxa"/>
              <w:right w:w="20" w:type="dxa"/>
              <w:bottom w:w="20" w:type="dxa"/>
            </w:tcMar>
            <w:tcW w:w="697" w:type="pct"/>
            <w:vAlign w:val="center"/>
            <w:textDirection w:val="lrTb"/>
            <w:noWrap w:val="false"/>
          </w:tcPr>
          <w:p>
            <w:pPr>
              <w:jc w:val="center"/>
              <w:spacing w:line="46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否</w:t>
            </w:r>
            <w:r/>
          </w:p>
        </w:tc>
      </w:tr>
      <w:tr>
        <w:trPr>
          <w:jc w:val="center"/>
          <w:trHeight w:val="710"/>
        </w:trPr>
        <w:tc>
          <w:tcPr>
            <w:tcMar>
              <w:left w:w="20" w:type="dxa"/>
              <w:top w:w="20" w:type="dxa"/>
              <w:right w:w="20" w:type="dxa"/>
              <w:bottom w:w="20" w:type="dxa"/>
            </w:tcMar>
            <w:tcW w:w="385"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Mar>
              <w:left w:w="20" w:type="dxa"/>
              <w:top w:w="20" w:type="dxa"/>
              <w:right w:w="20" w:type="dxa"/>
              <w:bottom w:w="20" w:type="dxa"/>
            </w:tcMar>
            <w:tcW w:w="1340" w:type="pct"/>
            <w:vAlign w:val="center"/>
            <w:textDirection w:val="lrTb"/>
            <w:noWrap w:val="false"/>
          </w:tcPr>
          <w:p>
            <w:pPr>
              <w:pStyle w:val="736"/>
              <w:jc w:val="center"/>
              <w:keepLines w:val="0"/>
              <w:keepNext w:val="0"/>
              <w:spacing w:before="0" w:after="0" w:line="440" w:lineRule="exact"/>
              <w:widowControl/>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汽车专业群智能体定制开发</w:t>
            </w:r>
            <w:r/>
          </w:p>
        </w:tc>
        <w:tc>
          <w:tcPr>
            <w:tcMar>
              <w:left w:w="20" w:type="dxa"/>
              <w:top w:w="20" w:type="dxa"/>
              <w:right w:w="20" w:type="dxa"/>
              <w:bottom w:w="20" w:type="dxa"/>
            </w:tcMar>
            <w:tcW w:w="1125" w:type="pct"/>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软件和信息技术服务业</w:t>
            </w:r>
            <w:r/>
          </w:p>
        </w:tc>
        <w:tc>
          <w:tcPr>
            <w:tcBorders>
              <w:left w:val="single" w:color="auto" w:sz="4" w:space="0"/>
            </w:tcBorders>
            <w:tcMar>
              <w:left w:w="20" w:type="dxa"/>
              <w:top w:w="20" w:type="dxa"/>
              <w:right w:w="20" w:type="dxa"/>
              <w:bottom w:w="20" w:type="dxa"/>
            </w:tcMar>
            <w:tcW w:w="395" w:type="pct"/>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Cs w:val="21"/>
                <w:highlight w:val="none"/>
              </w:rPr>
              <w:t xml:space="preserve">1</w:t>
            </w:r>
            <w:r/>
          </w:p>
        </w:tc>
        <w:tc>
          <w:tcPr>
            <w:tcMar>
              <w:left w:w="20" w:type="dxa"/>
              <w:top w:w="20" w:type="dxa"/>
              <w:right w:w="20" w:type="dxa"/>
              <w:bottom w:w="20" w:type="dxa"/>
            </w:tcMar>
            <w:tcW w:w="448" w:type="pct"/>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Cs w:val="21"/>
                <w:highlight w:val="none"/>
              </w:rPr>
              <w:t xml:space="preserve">套</w:t>
            </w:r>
            <w:r/>
          </w:p>
        </w:tc>
        <w:tc>
          <w:tcPr>
            <w:tcMar>
              <w:left w:w="20" w:type="dxa"/>
              <w:top w:w="20" w:type="dxa"/>
              <w:right w:w="20" w:type="dxa"/>
              <w:bottom w:w="20" w:type="dxa"/>
            </w:tcMar>
            <w:tcW w:w="610"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否</w:t>
            </w:r>
            <w:r/>
          </w:p>
        </w:tc>
        <w:tc>
          <w:tcPr>
            <w:tcMar>
              <w:left w:w="20" w:type="dxa"/>
              <w:top w:w="20" w:type="dxa"/>
              <w:right w:w="20" w:type="dxa"/>
              <w:bottom w:w="20" w:type="dxa"/>
            </w:tcMar>
            <w:tcW w:w="697"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否</w:t>
            </w:r>
            <w:r/>
          </w:p>
        </w:tc>
      </w:tr>
      <w:tr>
        <w:trPr>
          <w:jc w:val="center"/>
          <w:trHeight w:val="710"/>
        </w:trPr>
        <w:tc>
          <w:tcPr>
            <w:tcMar>
              <w:left w:w="20" w:type="dxa"/>
              <w:top w:w="20" w:type="dxa"/>
              <w:right w:w="20" w:type="dxa"/>
              <w:bottom w:w="20" w:type="dxa"/>
            </w:tcMar>
            <w:tcW w:w="385"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Mar>
              <w:left w:w="20" w:type="dxa"/>
              <w:top w:w="20" w:type="dxa"/>
              <w:right w:w="20" w:type="dxa"/>
              <w:bottom w:w="20" w:type="dxa"/>
            </w:tcMar>
            <w:tcW w:w="1340" w:type="pct"/>
            <w:vAlign w:val="center"/>
            <w:textDirection w:val="lrTb"/>
            <w:noWrap w:val="false"/>
          </w:tcPr>
          <w:p>
            <w:pPr>
              <w:jc w:val="cente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课程资源活化</w:t>
            </w:r>
            <w:r/>
          </w:p>
        </w:tc>
        <w:tc>
          <w:tcPr>
            <w:tcMar>
              <w:left w:w="20" w:type="dxa"/>
              <w:top w:w="20" w:type="dxa"/>
              <w:right w:w="20" w:type="dxa"/>
              <w:bottom w:w="20" w:type="dxa"/>
            </w:tcMar>
            <w:tcW w:w="1125" w:type="pct"/>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软件和信息技术服务业</w:t>
            </w:r>
            <w:r/>
          </w:p>
        </w:tc>
        <w:tc>
          <w:tcPr>
            <w:tcBorders>
              <w:left w:val="single" w:color="auto" w:sz="4" w:space="0"/>
            </w:tcBorders>
            <w:tcMar>
              <w:left w:w="20" w:type="dxa"/>
              <w:top w:w="20" w:type="dxa"/>
              <w:right w:w="20" w:type="dxa"/>
              <w:bottom w:w="20" w:type="dxa"/>
            </w:tcMar>
            <w:tcW w:w="395"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Mar>
              <w:left w:w="20" w:type="dxa"/>
              <w:top w:w="20" w:type="dxa"/>
              <w:right w:w="20" w:type="dxa"/>
              <w:bottom w:w="20" w:type="dxa"/>
            </w:tcMar>
            <w:tcW w:w="448" w:type="pct"/>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Cs w:val="21"/>
                <w:highlight w:val="none"/>
              </w:rPr>
              <w:t xml:space="preserve">套</w:t>
            </w:r>
            <w:r/>
          </w:p>
        </w:tc>
        <w:tc>
          <w:tcPr>
            <w:tcMar>
              <w:left w:w="20" w:type="dxa"/>
              <w:top w:w="20" w:type="dxa"/>
              <w:right w:w="20" w:type="dxa"/>
              <w:bottom w:w="20" w:type="dxa"/>
            </w:tcMar>
            <w:tcW w:w="610"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否</w:t>
            </w:r>
            <w:r/>
          </w:p>
        </w:tc>
        <w:tc>
          <w:tcPr>
            <w:tcMar>
              <w:left w:w="20" w:type="dxa"/>
              <w:top w:w="20" w:type="dxa"/>
              <w:right w:w="20" w:type="dxa"/>
              <w:bottom w:w="20" w:type="dxa"/>
            </w:tcMar>
            <w:tcW w:w="697"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否</w:t>
            </w:r>
            <w:r/>
          </w:p>
        </w:tc>
      </w:tr>
      <w:tr>
        <w:trPr>
          <w:jc w:val="center"/>
          <w:trHeight w:val="710"/>
        </w:trPr>
        <w:tc>
          <w:tcPr>
            <w:tcMar>
              <w:left w:w="20" w:type="dxa"/>
              <w:top w:w="20" w:type="dxa"/>
              <w:right w:w="20" w:type="dxa"/>
              <w:bottom w:w="20" w:type="dxa"/>
            </w:tcMar>
            <w:tcW w:w="385"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tcMar>
              <w:left w:w="20" w:type="dxa"/>
              <w:top w:w="20" w:type="dxa"/>
              <w:right w:w="20" w:type="dxa"/>
              <w:bottom w:w="20" w:type="dxa"/>
            </w:tcMar>
            <w:tcW w:w="1340" w:type="pct"/>
            <w:vAlign w:val="center"/>
            <w:textDirection w:val="lrTb"/>
            <w:noWrap w:val="false"/>
          </w:tcPr>
          <w:p>
            <w:pPr>
              <w:jc w:val="cente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汽车专业领域垂类模型建设课程开发中心文化设计布置</w:t>
            </w:r>
            <w:r/>
          </w:p>
        </w:tc>
        <w:tc>
          <w:tcPr>
            <w:tcMar>
              <w:left w:w="20" w:type="dxa"/>
              <w:top w:w="20" w:type="dxa"/>
              <w:right w:w="20" w:type="dxa"/>
              <w:bottom w:w="20" w:type="dxa"/>
            </w:tcMar>
            <w:tcW w:w="1125" w:type="pct"/>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软件和信息技术服务业</w:t>
            </w:r>
            <w:r/>
          </w:p>
        </w:tc>
        <w:tc>
          <w:tcPr>
            <w:tcBorders>
              <w:left w:val="single" w:color="auto" w:sz="4" w:space="0"/>
            </w:tcBorders>
            <w:tcMar>
              <w:left w:w="20" w:type="dxa"/>
              <w:top w:w="20" w:type="dxa"/>
              <w:right w:w="20" w:type="dxa"/>
              <w:bottom w:w="20" w:type="dxa"/>
            </w:tcMar>
            <w:tcW w:w="395" w:type="pct"/>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Cs w:val="21"/>
                <w:highlight w:val="none"/>
              </w:rPr>
              <w:t xml:space="preserve">1</w:t>
            </w:r>
            <w:r/>
          </w:p>
        </w:tc>
        <w:tc>
          <w:tcPr>
            <w:tcMar>
              <w:left w:w="20" w:type="dxa"/>
              <w:top w:w="20" w:type="dxa"/>
              <w:right w:w="20" w:type="dxa"/>
              <w:bottom w:w="20" w:type="dxa"/>
            </w:tcMar>
            <w:tcW w:w="448" w:type="pct"/>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Cs w:val="21"/>
                <w:highlight w:val="none"/>
              </w:rPr>
              <w:t xml:space="preserve">批</w:t>
            </w:r>
            <w:r/>
          </w:p>
        </w:tc>
        <w:tc>
          <w:tcPr>
            <w:tcMar>
              <w:left w:w="20" w:type="dxa"/>
              <w:top w:w="20" w:type="dxa"/>
              <w:right w:w="20" w:type="dxa"/>
              <w:bottom w:w="20" w:type="dxa"/>
            </w:tcMar>
            <w:tcW w:w="610"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否</w:t>
            </w:r>
            <w:r/>
          </w:p>
        </w:tc>
        <w:tc>
          <w:tcPr>
            <w:tcMar>
              <w:left w:w="20" w:type="dxa"/>
              <w:top w:w="20" w:type="dxa"/>
              <w:right w:w="20" w:type="dxa"/>
              <w:bottom w:w="20" w:type="dxa"/>
            </w:tcMar>
            <w:tcW w:w="697" w:type="pct"/>
            <w:vAlign w:val="center"/>
            <w:textDirection w:val="lrTb"/>
            <w:noWrap w:val="false"/>
          </w:tcPr>
          <w:p>
            <w:pPr>
              <w:jc w:val="cente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否</w:t>
            </w:r>
            <w:r/>
          </w:p>
        </w:tc>
      </w:tr>
    </w:tbl>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二、采购标的需执行的国家相关标准、行业标准、地方标准或者其他标准、规范：</w:t>
      </w:r>
      <w:r/>
    </w:p>
    <w:p>
      <w:pPr>
        <w:ind w:firstLine="599"/>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各环节均须遵循国家相关法律法规、江苏省地方及相关行业的规范标准、采购文件的技术规范的有关要求执行，如果在合同履行过程中有新的国家或行业（部）规范和标准出台的，则投标单位应确保其合同标的物达到并符合新的国家或行业（部）规范和标准，因此而增加的费用及风险由投标单位自行承担。</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须对所投产品、方案、技术、服务等拥有合法的占有和处置权。在法律范围内，如果出现文字、图片、商标和技术等侵权行为而造成的纠纷和产生的一切费用，招标人概不负责，由此给招标人造成损失的，中标人应承担相应后果，并负责赔偿。中标人为执行本项目合同而提供的技术资料等归招标人所有。</w:t>
      </w:r>
      <w:r/>
    </w:p>
    <w:p>
      <w:pPr>
        <w:spacing w:line="360" w:lineRule="auto"/>
        <w:rPr>
          <w:rFonts w:hint="eastAsia" w:ascii="仿宋" w:hAnsi="仿宋" w:eastAsia="仿宋" w:cs="仿宋"/>
          <w:color w:val="auto"/>
          <w:highlight w:val="none"/>
        </w:rPr>
      </w:pPr>
      <w:r>
        <w:rPr>
          <w:rFonts w:hint="eastAsia" w:ascii="仿宋" w:hAnsi="仿宋" w:eastAsia="仿宋" w:cs="仿宋"/>
          <w:b/>
          <w:bCs/>
          <w:color w:val="auto"/>
          <w:sz w:val="28"/>
          <w:szCs w:val="28"/>
          <w:highlight w:val="none"/>
        </w:rPr>
        <w:t xml:space="preserve">三、采购标的需满足的质量、安全、技术规格、物理特性等要求。</w:t>
      </w:r>
      <w:r/>
    </w:p>
    <w:tbl>
      <w:tblPr>
        <w:tblStyle w:val="74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797"/>
        <w:gridCol w:w="5934"/>
        <w:gridCol w:w="690"/>
        <w:gridCol w:w="674"/>
      </w:tblGrid>
      <w:tr>
        <w:trPr>
          <w:jc w:val="center"/>
        </w:trPr>
        <w:tc>
          <w:tcPr>
            <w:tcW w:w="427"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b/>
                <w:bCs/>
                <w:color w:val="auto"/>
                <w:szCs w:val="21"/>
                <w:highlight w:val="none"/>
              </w:rPr>
              <w:t xml:space="preserve">序号</w:t>
            </w:r>
            <w:r/>
          </w:p>
        </w:tc>
        <w:tc>
          <w:tcPr>
            <w:tcW w:w="797"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b/>
                <w:bCs/>
                <w:color w:val="auto"/>
                <w:szCs w:val="21"/>
                <w:highlight w:val="none"/>
                <w:u w:val="none"/>
              </w:rPr>
              <w:t xml:space="preserve">设备名称</w:t>
            </w:r>
            <w:r/>
          </w:p>
        </w:tc>
        <w:tc>
          <w:tcPr>
            <w:tcW w:w="5934"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b/>
                <w:bCs/>
                <w:color w:val="auto"/>
                <w:szCs w:val="21"/>
                <w:highlight w:val="none"/>
                <w:u w:val="none"/>
              </w:rPr>
              <w:t xml:space="preserve">技术标准及技术要求</w:t>
            </w:r>
            <w:r/>
          </w:p>
        </w:tc>
        <w:tc>
          <w:tcPr>
            <w:tcW w:w="69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b/>
                <w:bCs/>
                <w:color w:val="auto"/>
                <w:szCs w:val="21"/>
                <w:highlight w:val="none"/>
              </w:rPr>
              <w:t xml:space="preserve">数量</w:t>
            </w:r>
            <w:r/>
          </w:p>
        </w:tc>
        <w:tc>
          <w:tcPr>
            <w:tcW w:w="674" w:type="dxa"/>
            <w:vAlign w:val="center"/>
            <w:textDirection w:val="lrTb"/>
            <w:noWrap w:val="false"/>
          </w:tcPr>
          <w:p>
            <w:pPr>
              <w:spacing w:line="276" w:lineRule="auto"/>
              <w:rPr>
                <w:rFonts w:hint="eastAsia" w:ascii="仿宋" w:hAnsi="仿宋" w:eastAsia="仿宋" w:cs="仿宋"/>
                <w:color w:val="auto"/>
                <w:szCs w:val="21"/>
                <w:highlight w:val="none"/>
                <w:u w:val="none"/>
              </w:rPr>
            </w:pPr>
            <w:r>
              <w:rPr>
                <w:rFonts w:hint="eastAsia" w:ascii="仿宋" w:hAnsi="仿宋" w:eastAsia="仿宋" w:cs="仿宋"/>
                <w:b/>
                <w:bCs/>
                <w:color w:val="auto"/>
                <w:szCs w:val="21"/>
                <w:highlight w:val="none"/>
              </w:rPr>
              <w:t xml:space="preserve">单位</w:t>
            </w:r>
            <w:r/>
          </w:p>
        </w:tc>
      </w:tr>
      <w:tr>
        <w:trPr>
          <w:jc w:val="center"/>
        </w:trPr>
        <w:tc>
          <w:tcPr>
            <w:tcW w:w="427" w:type="dxa"/>
            <w:vAlign w:val="center"/>
            <w:textDirection w:val="lrTb"/>
            <w:noWrap w:val="false"/>
          </w:tcPr>
          <w:p>
            <w:pPr>
              <w:jc w:val="cente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797" w:type="dxa"/>
            <w:vAlign w:val="center"/>
            <w:textDirection w:val="lrTb"/>
            <w:noWrap w:val="false"/>
          </w:tcPr>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 w:val="24"/>
                <w:highlight w:val="none"/>
              </w:rPr>
              <w:t xml:space="preserve">人工智能大模型教研应用平台</w:t>
            </w:r>
            <w:r/>
          </w:p>
        </w:tc>
        <w:tc>
          <w:tcPr>
            <w:tcW w:w="5934" w:type="dxa"/>
            <w:vAlign w:val="center"/>
            <w:textDirection w:val="lrTb"/>
            <w:noWrap w:val="false"/>
          </w:tcPr>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大模型创新教研开发与应用平台是依托前沿人工智能大模型技术打造的智能教研平台，深度融合AI的先进能力，创新开发大量智能体和工作流，具备智能互动、自动批阅、智能搜索与推荐、AIGC备课助教工具以及数字人等一系列创新功能。通过AI技术显著提升教学质量与效率，为每一位学生提供更高水平的个性化教育体验，真正实现“AI+教育”的深度融合。</w:t>
            </w:r>
            <w:r/>
          </w:p>
          <w:p>
            <w:pPr>
              <w:pStyle w:val="75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2.平台包含管理员和师生账号。可根据使用需求给不同的用户分配不同的权限。满足二级学院或全校师生教学使用需求，可满足500人同时并发和使用。</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3.平台包含智能陪伴、智能学习、智能备课、智能科研、智能图谱、数据中台等功能。</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3.1智能陪伴：配套AI同学智能体，可全时段为学生提供对话式互动服务。AI同学可协助用户进行学科知识答疑、生活常识与拓展答疑、工具技能答疑；能进行情绪疏导，给予理性疏导与鼓励；可制定学习计划，根据输入的核心目标、时间周期拆解成可落地的小任务并分配任务时长；可快速查询平台功能，实现快速跳转；可进行外部查询，给予总结以及外部资源跳转链接。</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3.2智能学习：配套AI汽车专业课程导师智能体，可全时段为学生提供互动式的学习辅导，知识库深度覆盖汽车等核心技术领域。AI汽车专业导师可帮助用户快速了解课程学习的方法、获取课程学习推荐和学习辅导帮助等；具备基于图谱关系的个性化资源推荐，由AI构建个性化学习图谱，通过图谱体系一键调用学习资源；基于用户个人学习效果，结合资源标签体系，由AI精准推荐个性化学习路径和多模态学习资源。</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★（1）AI导师支持至少包含中、英2种语言切换交互，可通过至少2种语言自由输入和输出。</w:t>
            </w:r>
            <w:r>
              <w:rPr>
                <w:rFonts w:hint="eastAsia" w:ascii="仿宋" w:hAnsi="仿宋" w:eastAsia="仿宋" w:cs="仿宋"/>
                <w:b/>
                <w:bCs/>
                <w:color w:val="auto"/>
                <w:szCs w:val="21"/>
                <w:highlight w:val="none"/>
              </w:rPr>
              <w:t xml:space="preserve">投标文件中提供功能截图（加盖公章）及相关演示视频；视频时长不超过5分钟。</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（2）课程主页可实时显示报名人数、分享量、点赞量和收藏量。</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（3）课程具备课程简介、课程目录、讨论区、课程学习、知识测验、课后作业、学情分析等功能。</w:t>
            </w:r>
            <w:r>
              <w:rPr>
                <w:rFonts w:hint="eastAsia" w:ascii="仿宋" w:hAnsi="仿宋" w:eastAsia="仿宋" w:cs="仿宋"/>
                <w:b/>
                <w:bCs/>
                <w:color w:val="auto"/>
                <w:szCs w:val="21"/>
                <w:highlight w:val="none"/>
              </w:rPr>
              <w:t xml:space="preserve">投标文件中提供功能截图（加盖公章）及相关演示视频；视频时长不超过5分钟。</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（4）课程具备AI导师智能体，可以智能解读课程概要知识，解答课程学习任务中各种专业问题，提供专业、精准的回复。</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（5）具备重点或复杂的学习资源的知识导读AI智能构建功能。</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（6）具备对视频资源的AI自动化切片功能，用户可按照学习需求，快速跳转至指定视频片段，提高学习效率。</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（7）具备重点或复杂的学习资源的知识图谱AI智能构建功能。</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（8）具备互动式讨论区功能。支持“@”相关智能体和提问功能。讨论区回复支持图文和视频形式。</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（9）具备AI快速批阅功能。测验和作业中的主、客观试题均具备AI批阅功能，智能分析并在作业中给出不同比例分数；AI智能体还可对作业的简答题给出参考得分。</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（10）具备AI批注功能。AI可以为测验和作业中的错题给出智能批注，包含错因分析和解题示范，并智能推荐梯度训练试题。</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（11）具备AI点评功能。AI为整个知识测验和作业的作答结果生成智能点评，包含总体表现、测验数据看板、题型与错误关联性和针对性改进建议等。</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▲（12）具备AI强化推荐学习功能。AI可根据错误题目推荐强化学习资源，用户可一键观看。</w:t>
            </w:r>
            <w:r>
              <w:rPr>
                <w:rFonts w:hint="eastAsia" w:ascii="仿宋" w:hAnsi="仿宋" w:eastAsia="仿宋" w:cs="仿宋"/>
                <w:b/>
                <w:bCs/>
                <w:color w:val="auto"/>
                <w:szCs w:val="21"/>
                <w:highlight w:val="none"/>
              </w:rPr>
              <w:t xml:space="preserve">投标文件中提供功能截图（加盖公章）及相关演示视频；视频时长不超过5分钟。</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（13）具备AI智能生成强化测验和巩固测验功能。AI可根据作答结果生成强化测验或巩固测验。</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（14）具备AI专家智能体。在测验或作业的解析页面，用户可通过与AI专家多轮对话获得做题技巧、学习提升方法等内容。</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（15）具备学习统计功能，可查看本人学习进度、章节学习进度、知识点掌握统计、测试合格率统计详情。</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（16）具备AI学情分析报告功能。智能分析学习情况，生成学习改进建议。</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17）具备能力层、问题层、技能层、知识层4层结构的立体化课程体系，可视化展示对应层次的能力点、问题点、技能点和知识点标签及数量，各层级之间的体系关系数量；图层支持隐藏与显示切换操作；课程体系支持自动旋转与暂停旋转的控制操作；标签支持显示与隐藏操作。</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18）知识图谱提供大纲视图，以思维导图的形式构建课程项目结构、任务结构及知识点结构，知识点展示所包含的知识点标签。知识点提供重点、难点、思政、原理、概述、导入、总结包括不少于7个维度，可统计课程在各个维度包含的标签数量。</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19）知识图谱提供网状视图，以知识点网络的形式展示课程所包含的所有知识点以及知识点与知识点之间的关系，关系包含整部、依赖、共生、并列、递进，且支持关系的显示/隐藏控制；知识点可查看详情、所关联的多模态资源和知识测验；多模态资源可直接查看，知识测验可直接答题，达到边学习边测验的目的；支持全屏查看图谱，可通过不限于节点关键词搜索节点等方式进行显示。</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20）知识图谱提供环状视图，采用从课程到知识点由内向外扩散的形式展示课程、项目、任务和知识点的关系，并清晰统计知识点下重点、难点、思政、原理、概述、导入、总结、案例和流程等9个维度的标签数量。</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3.3智能备课：配套智能创课、AI教案生成、AI工单生成、AI课件生成、AI出题、AI数字人等功能。</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具备智能创课功能。凭借大模型强大的智能算法能力，通过提示词可一键快速生成一门完整的汽车相关数字课程。AI可自动生成课程，自动梳理各章节内容，规划课程设计，生成学习课件、教案和实训工单等教学资料，并根据目录大纲内容，自动匹配相关的平台资源进行整合。</w:t>
            </w:r>
            <w:r>
              <w:rPr>
                <w:rFonts w:hint="eastAsia" w:ascii="仿宋" w:hAnsi="仿宋" w:eastAsia="仿宋" w:cs="仿宋"/>
                <w:b/>
                <w:bCs/>
                <w:color w:val="auto"/>
                <w:szCs w:val="21"/>
                <w:highlight w:val="none"/>
              </w:rPr>
              <w:t xml:space="preserve">投标文件中提供功能截图（加盖公章）及相关演示视频；视频时长不超过5分钟。</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具备AI教案生成功能。可通过自然语言提示词如任务名称、教学内容和学时自动生成教案；还可通过上传doc、docx、pdf、ppt、pptx、png、jpg、jpeg格式附件生成教案。附件支持上传文档或从文档库调用，上传文档支持将文件直接拖拽至对话区。生成的教案中可根据近期的热点内容生成对应主题的思政教学案例，并用红色进行标注；此外还需提供思政案例的原文网页链接。生成的教案支持在线预览、在线编辑；支持以word格式下载到本地；支持全文一键复制；支持添加至文档库等功能。</w:t>
            </w:r>
            <w:r>
              <w:rPr>
                <w:rFonts w:hint="eastAsia" w:ascii="仿宋" w:hAnsi="仿宋" w:eastAsia="仿宋" w:cs="仿宋"/>
                <w:b/>
                <w:bCs/>
                <w:color w:val="auto"/>
                <w:szCs w:val="21"/>
                <w:highlight w:val="none"/>
              </w:rPr>
              <w:t xml:space="preserve">投标文件中提供功能截图（加盖公章）及相关演示视频；视频时长不超过5分钟。</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具备AI工单生成功能。可通过自然语言提示词如任务名称、教学内容自动生成工单。还可通过上传学习材料生成实训工单。学习材料支持本地上传或从文档库调用。生成的工单支持在线预览、在线编辑；支持以word格式下载到本地；支持全文一键复制；支持添加至文档库等功能。</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具备AI课件生成功能。可通过自然语言提示词自动生成课件。课件生成过程中支持对课件大纲进行调整；具备鼠标拖曳调整目录层级、新增条目、新增子条目、删除条目、编辑条目等功能。生成的课件支持编辑大纲、重新生成、替换单页、一键换肤等功能。替换单页支持单页PPT的布局调整替换；一键换肤支持整体风格替换。同时，生成的课件还支持保存至课件库或下载至本地。</w:t>
            </w:r>
            <w:r>
              <w:rPr>
                <w:rFonts w:hint="eastAsia" w:ascii="仿宋" w:hAnsi="仿宋" w:eastAsia="仿宋" w:cs="仿宋"/>
                <w:b/>
                <w:bCs/>
                <w:color w:val="auto"/>
                <w:szCs w:val="21"/>
                <w:highlight w:val="none"/>
              </w:rPr>
              <w:t xml:space="preserve">投标文件中提供功能截图（加盖公章）及相关演示视频；视频时长不超过5分钟。</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具备AI出题功能。可通过自然语言提示词自动生成对应需求的试题，试题类型包括单选题、多选题、判断题、填空题、问答题。生成的试题内容包含试题类型、题目、答案、解析和知识点标签等，生成的内容均支持人工修改。生成的试题还可添加到备选试题库中，支持一键添加至备选和单个试题的添加至备选。通过AI生成的试题，具有AI标识，符合伦理规范。</w:t>
            </w:r>
            <w:r>
              <w:rPr>
                <w:rFonts w:hint="eastAsia" w:ascii="仿宋" w:hAnsi="仿宋" w:eastAsia="仿宋" w:cs="仿宋"/>
                <w:b/>
                <w:bCs/>
                <w:color w:val="auto"/>
                <w:szCs w:val="21"/>
                <w:highlight w:val="none"/>
              </w:rPr>
              <w:t xml:space="preserve">投标文件中提供功能截图（加盖公章）及相关演示视频；视频时长不超过5分钟。</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具备AI数字人功能。平台能够将AI虚拟人物形象与课件有机融合，利用AI智能语音，快速生成高品质教学视频。数字人课件具备智能一键生成讲稿功能，与课件内容快速匹配，节约备课时间；同时支持数字人形象复刻、声音复刻定制后植入平台。</w:t>
            </w:r>
            <w:r>
              <w:rPr>
                <w:rFonts w:hint="eastAsia" w:ascii="仿宋" w:hAnsi="仿宋" w:eastAsia="仿宋" w:cs="仿宋"/>
                <w:b/>
                <w:bCs/>
                <w:color w:val="auto"/>
                <w:szCs w:val="21"/>
                <w:highlight w:val="none"/>
              </w:rPr>
              <w:t xml:space="preserve">投标文件中提供功能截图（加盖公章）及相关演示视频；视频时长不超过5分钟。</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(7）课程建设的统计功能详实，包括课程数量、课程分布、课程互动等统计数据，以数据驱动课程质量持续提升。</w:t>
            </w:r>
            <w:r/>
          </w:p>
          <w:p>
            <w:pPr>
              <w:jc w:val="left"/>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 xml:space="preserve">▲(8）具备备课功能。可完成创建新的课程、上架/下架课程、关联智能体、关联图谱、课程编辑等操作。同时，可查看学习课程的人数等数据。</w:t>
            </w:r>
            <w:r>
              <w:rPr>
                <w:rFonts w:hint="eastAsia" w:ascii="仿宋" w:hAnsi="仿宋" w:eastAsia="仿宋" w:cs="仿宋"/>
                <w:b/>
                <w:bCs/>
                <w:color w:val="auto"/>
                <w:szCs w:val="21"/>
                <w:highlight w:val="none"/>
              </w:rPr>
              <w:t xml:space="preserve">投标文件中提供功能截图（加盖公章）及相关演示视频；视频时长不超过5分钟。</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(9）具备资源建设模块。具备资源数量统计、知识点覆盖量统计、资源被课程引用占比统计、资源被课程引用排行数据等信息。</w:t>
            </w:r>
            <w:r/>
          </w:p>
          <w:p>
            <w:pPr>
              <w:jc w:val="left"/>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 xml:space="preserve">▲(10）具备资源管理模块。可对视频、音频、文档、课件、图片、仿真等类型资源进行增、删、改、查，启用/禁用等操作。资源管理中可对每个资源关联多标签值。关联标签支持AI关联和人工关联，并支持管理配置。</w:t>
            </w:r>
            <w:r>
              <w:rPr>
                <w:rFonts w:hint="eastAsia" w:ascii="仿宋" w:hAnsi="仿宋" w:eastAsia="仿宋" w:cs="仿宋"/>
                <w:b/>
                <w:bCs/>
                <w:color w:val="auto"/>
                <w:szCs w:val="21"/>
                <w:highlight w:val="none"/>
              </w:rPr>
              <w:t xml:space="preserve">投标文件中提供功能截图（加盖公章）及相关演示视频；视频时长不超过5分钟。</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3.4智能科研：配套AI知科研相关功能。能够结合用户的兴趣和汽车专业领域，协助用户筛选出具有研究价值和可行性的选题意见；提供论文写作指导，覆盖论文结构、逻辑论证、语言表达等方面；能根据用户需求进行论文润色。</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3.5智能图谱：配套图谱设置和图谱管理功能。可构建图谱节点以及节点间的关联关系。</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(1）具备关系管理功能。支持自定义创建节点关系，设定节点关系名称、设定节点关系指向等功能。系统内置整部、依赖、递进、共生和并列5种节点关系以供快捷使用。</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具备图谱模板管理功能。支持知识点、技能点、问题点、能力点个性化图谱图层配置；支持名称位置、文字颜色、图层背景色、图像显示效果、图层边框样式、节点名称位置、节点文字颜色、节点形状、节点形状底色等配置；支持图谱关系的个性化配置，包括节点关系的连线类型、连线样式、连线颜色、文字颜色、文字背景色等配置。</w:t>
            </w:r>
            <w:r>
              <w:rPr>
                <w:rFonts w:hint="eastAsia" w:ascii="仿宋" w:hAnsi="仿宋" w:eastAsia="仿宋" w:cs="仿宋"/>
                <w:b/>
                <w:bCs/>
                <w:color w:val="auto"/>
                <w:szCs w:val="21"/>
                <w:highlight w:val="none"/>
              </w:rPr>
              <w:t xml:space="preserve">投标文件中提供功能截图（加盖公章）及相关演示视频；视频时长不超过5分钟。</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▲(3）支持图谱进行新建、预览、编辑、删除、提交、审核并发布。其中所有管理权限均可依托权限管理由用户自行分配，达到对图谱内容把控的需求。</w:t>
            </w:r>
            <w:r>
              <w:rPr>
                <w:rFonts w:hint="eastAsia" w:ascii="仿宋" w:hAnsi="仿宋" w:eastAsia="仿宋" w:cs="仿宋"/>
                <w:b/>
                <w:bCs/>
                <w:color w:val="auto"/>
                <w:szCs w:val="21"/>
                <w:highlight w:val="none"/>
              </w:rPr>
              <w:t xml:space="preserve">投标文件中提供功能截图（加盖公章）及相关演示视频；视频时长不超过5分钟。</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具备手创图谱和课创图谱功能。手创图谱包括添加节点、节点属性设置、添加关系、关系属性设置等操作，创建过程汇总支持随时预览图谱、自定义图层分层、下载图片、图谱模板应用等。课创图谱可根据课程内容，由AI进行问题、知识、技能和能力图谱创建，包含节点生成、节点间关联关系匹配生成，生成过程实时渲染。AI生成后的图谱支持用户进行二次编辑。</w:t>
            </w:r>
            <w:r/>
          </w:p>
          <w:p>
            <w:pPr>
              <w:jc w:val="left"/>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 xml:space="preserve">★(5）具备图谱与课程关联的功能。知识图谱作为课程知识体系可在学习课堂中展现，并支持与学情联动；具备AI分析能力，AI基于用户薄弱点进行知识图谱中的元知识溯源，溯源的知识图谱中包含薄弱知识点及相关知识点的学习视频，智能形成个性化、可视化的学习轨迹。</w:t>
            </w:r>
            <w:r>
              <w:rPr>
                <w:rFonts w:hint="eastAsia" w:ascii="仿宋" w:hAnsi="仿宋" w:eastAsia="仿宋" w:cs="仿宋"/>
                <w:b/>
                <w:bCs/>
                <w:color w:val="auto"/>
                <w:szCs w:val="21"/>
                <w:highlight w:val="none"/>
              </w:rPr>
              <w:t xml:space="preserve">投标文件中提供功能截图（加盖公章）及相关演示视频；视频时长不超过5分钟。</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3.6数据中台：配备用户管理、标签管理、角色管理、服务管理等功能。为数据应用提供全流程能力保障。</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(1）用户管理，可以进行账号的添加和编辑、启用/禁用,设置权限、身份认证，用户分组管理等。</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(2）标签管理，可以进行标签和标签值的创建、查看、修改和删除，支持标签的批量启用/批量禁用。支持AI生成标签值，且具备人工审核AI标签功能。</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(3）角色管理，可根据需求进行角色的增、删、改、查，平台默认教师、学员、游客和租户管理员的角色。</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(4）服务管理，包括数据看板，可以清晰查看各项算力消耗值，如tokens使用量、音/视频流量使用量、空间使用量统计等。</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(5）课程学习进度管理，可以对理论学时学完规则、点播音视频学完规则、教学点学完进度规则等设置不同比例。</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(6）提示词管理，可以进行提示词的创建、查看、编辑、删除、启用/禁用、上移、下移操作，支持按照启用状态、分类、操作时间、提示词、操作人进行提示词查询。</w:t>
            </w:r>
            <w:r/>
          </w:p>
          <w:p>
            <w:pPr>
              <w:jc w:val="left"/>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 xml:space="preserve"> ▲4具备个性化资源推荐功能，可通过一句话描述学习需求，系统通过AI能力给出对应的多模态的学习资源或个性化学习图谱，匹配的多模态资源包括视频、音频、文档、PPT、图片类型。</w:t>
            </w:r>
            <w:r>
              <w:rPr>
                <w:rFonts w:hint="eastAsia" w:ascii="仿宋" w:hAnsi="仿宋" w:eastAsia="仿宋" w:cs="仿宋"/>
                <w:b/>
                <w:bCs/>
                <w:color w:val="auto"/>
                <w:szCs w:val="21"/>
                <w:highlight w:val="none"/>
              </w:rPr>
              <w:t xml:space="preserve">投标文件中提供功能截图（加盖公章）及相关演示视频；视频时长不超过5分钟。</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5.提供至少三门AI化课程内容，重点涵盖纯电动汽车结构与检修、新能源汽车概论、汽车电工电子技术等 AI 化课程，课程范围不局限于以上三门，并配套对应课程资源及课程智能体，其中AI化的三门重点课程具体要求如下：</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Style w:val="779"/>
                <w:rFonts w:hint="eastAsia" w:ascii="仿宋" w:hAnsi="仿宋" w:eastAsia="仿宋" w:cs="仿宋"/>
                <w:b w:val="0"/>
                <w:bCs w:val="0"/>
                <w:color w:val="auto"/>
                <w:szCs w:val="21"/>
                <w:highlight w:val="none"/>
                <w:shd w:val="clear" w:color="auto" w:fill="ffffff"/>
              </w:rPr>
              <w:t xml:space="preserve">纯电动汽车结构与检修</w:t>
            </w:r>
            <w:r>
              <w:rPr>
                <w:rFonts w:hint="eastAsia" w:ascii="仿宋" w:hAnsi="仿宋" w:eastAsia="仿宋" w:cs="仿宋"/>
                <w:color w:val="auto"/>
                <w:szCs w:val="21"/>
                <w:highlight w:val="none"/>
              </w:rPr>
              <w:t xml:space="preserve">》：需按课程章节体系划分模块，内容涵盖教学目标、教学重难点、教学流程、知识点解析等核心内容；课件：与电子教案配套，采用PPT或其他通用格式，设计合理、图文并茂，突出课程核心知识点与实践应用要点；任务工单不少于25份。各类资源需符合《纯电动汽车结构与检修》课程教学大纲要求，内容准确、逻辑清晰，具备可编辑、可复用特性。</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rPr>
                <w:rStyle w:val="779"/>
                <w:rFonts w:hint="eastAsia" w:ascii="仿宋" w:hAnsi="仿宋" w:eastAsia="仿宋" w:cs="仿宋"/>
                <w:b w:val="0"/>
                <w:bCs w:val="0"/>
                <w:color w:val="auto"/>
                <w:szCs w:val="21"/>
                <w:highlight w:val="none"/>
                <w:shd w:val="clear" w:color="auto" w:fill="ffffff"/>
              </w:rPr>
              <w:t xml:space="preserve">《新能源汽车概论》</w:t>
            </w:r>
            <w:r>
              <w:rPr>
                <w:rFonts w:hint="eastAsia" w:ascii="仿宋" w:hAnsi="仿宋" w:eastAsia="仿宋" w:cs="仿宋"/>
                <w:color w:val="auto"/>
                <w:szCs w:val="21"/>
                <w:highlight w:val="none"/>
              </w:rPr>
              <w:t xml:space="preserve">：需按课程章节体系划分模块，内容涵盖教学目标、教学重难点、教学流程、知识点解析等核心内容；课件：与电子教案配套，采用PPT或其他通用格式，设计合理、图文并茂，突出课程核心知识点与实践应用要点；任务工单不少于25份：每份工单需包含任务目标、操作步骤、考核要点等核心内容；各类资源需分别符合对应课程教学大纲要求，内容准确、逻辑清晰，具备可编辑、可复用特性。</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（3）《</w:t>
            </w:r>
            <w:r>
              <w:rPr>
                <w:rStyle w:val="779"/>
                <w:rFonts w:hint="eastAsia" w:ascii="仿宋" w:hAnsi="仿宋" w:eastAsia="仿宋" w:cs="仿宋"/>
                <w:b w:val="0"/>
                <w:bCs w:val="0"/>
                <w:color w:val="auto"/>
                <w:szCs w:val="21"/>
                <w:highlight w:val="none"/>
                <w:shd w:val="clear" w:color="auto" w:fill="ffffff"/>
              </w:rPr>
              <w:t xml:space="preserve">汽车电工电子技术</w:t>
            </w:r>
            <w:r>
              <w:rPr>
                <w:rFonts w:hint="eastAsia" w:ascii="仿宋" w:hAnsi="仿宋" w:eastAsia="仿宋" w:cs="仿宋"/>
                <w:color w:val="auto"/>
                <w:szCs w:val="21"/>
                <w:highlight w:val="none"/>
              </w:rPr>
              <w:t xml:space="preserve">》：需按课程章节体系划分模块，内容涵盖教学目标、教学重难点、教学流程、知识点解析等核心内容；课件：与电子教案配套，采用PPT或其他通用格式，设计合理、图文并茂，突出课程核心知识点与实践应用要点；任务工单不少于25份：需结合课程实训及理论教学内容，设计针对性任务工单，明确任务要求、操作步骤、考核标准等。</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5.1以上每门课程中的学习资源提供对应的知识导读和知识图谱。</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5.2智能体提供学习提示，辅助学员快速向智能体提问获得相关回答。</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5.3具备课程下的测验和作业辅助智能体，可由AI智能体进行批改，给出错误试题AI批注并推荐相关学习资源。对整个测验或作业，给出完整的AI分析点评。</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需辅助院校在2026年9月15日</w:t>
            </w:r>
            <w:r>
              <w:rPr>
                <w:rFonts w:hint="eastAsia" w:ascii="仿宋" w:hAnsi="仿宋" w:eastAsia="仿宋" w:cs="仿宋"/>
                <w:color w:val="auto"/>
                <w:szCs w:val="21"/>
                <w:highlight w:val="none"/>
              </w:rPr>
              <w:t xml:space="preserve">之前完成以上三门课程的全部相关内容建设，具体包括但不限于：课程核心内容的梳理完善以及课程相关学习资源的视频制作（涵盖课程知识点讲解、实训操作演示等内容，画面清晰、讲解规范）、动画制作（针对复杂知识点、结构原理等内容制作可视化动画，助力学员理解），同时完成所有资源与平台的适配对接、知识图谱构建及课程智能体关联调试，确保课程可正常上线使用，满足院校教学需求。其中，每门课程需制作至少30个对应课程视频与10个对应课程三维动画，视频和动画时长每个不能低于5分钟。投标单位需确保院校提供的所有课程资源版权仍归院校所有。</w:t>
            </w:r>
            <w:r/>
          </w:p>
          <w:p>
            <w:pPr>
              <w:jc w:val="left"/>
              <w:spacing w:line="276" w:lineRule="auto"/>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6.系统安全与兼容性保障。平台构建全面网络安全管控体系，实现数据加密传输与存储、细粒度权限管理，保障用户信息和教学数据安全。</w:t>
            </w:r>
            <w:r/>
          </w:p>
        </w:tc>
        <w:tc>
          <w:tcPr>
            <w:tcW w:w="690" w:type="dxa"/>
            <w:vAlign w:val="center"/>
            <w:textDirection w:val="lrTb"/>
            <w:noWrap w:val="false"/>
          </w:tcPr>
          <w:p>
            <w:pPr>
              <w:jc w:val="cente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674" w:type="dxa"/>
            <w:vAlign w:val="center"/>
            <w:textDirection w:val="lrTb"/>
            <w:noWrap w:val="false"/>
          </w:tcPr>
          <w:p>
            <w:pPr>
              <w:jc w:val="cente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套</w:t>
            </w:r>
            <w:r/>
          </w:p>
        </w:tc>
      </w:tr>
      <w:tr>
        <w:trPr>
          <w:jc w:val="center"/>
        </w:trPr>
        <w:tc>
          <w:tcPr>
            <w:tcW w:w="427" w:type="dxa"/>
            <w:vAlign w:val="center"/>
            <w:textDirection w:val="lrTb"/>
            <w:noWrap w:val="false"/>
          </w:tcPr>
          <w:p>
            <w:pPr>
              <w:jc w:val="cente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W w:w="797" w:type="dxa"/>
            <w:vAlign w:val="center"/>
            <w:textDirection w:val="lrTb"/>
            <w:noWrap w:val="false"/>
          </w:tcPr>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配套基础课程资源包 </w:t>
            </w:r>
            <w:r/>
          </w:p>
        </w:tc>
        <w:tc>
          <w:tcPr>
            <w:tcW w:w="5934" w:type="dxa"/>
            <w:vAlign w:val="top"/>
            <w:textDirection w:val="lrTb"/>
            <w:noWrap w:val="false"/>
          </w:tcPr>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基础课程资源包至少包含纯电动汽车电池与电池管理检修、智能网联汽车技术概论、纯电动汽车电机及控制系统检修</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三门课程，课程技术标准要求如下：</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（一）纯电动汽车电池与电池管理检修课程：</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1.本课程设计有纯电动汽车高压断电流程实训、动力电池漏电检测及单体维护、动力电池系统整体拆装实训、动力电池系统内部结构认知、动力电池继电器盒结构认知、动力电池系统模组更换实训、车辆无法行驶且报警、车辆跛行限速且能量回收关闭、车辆SOC为零且提示尽快进行充电、车辆无法行驶且READY熄灭、车辆高压掉电且报动力电池断开、车辆无法行驶且仪表报绝缘故障等不低于12个任务。</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2.本课程内至少包含有课程标准、教学指导、考核评价、学习指南、实训工单、学习材料、课件、理论试题、视频、动画、图片等多种类型教学资源。</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3.课程标准：逻辑清晰的阐述课程定位、教学目标、学习项目设计、学习任务划分以及考核方式等总体设计内容。</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4.教学指导至少包含课程性质与任务、教学内容、教学要求、课时分配。</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5.考核评价至少包含动力电池系统基础认知、动力电池主要部件拆装、动力电池典型故障诊断的过程评价表。</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6.实训工单：课程下设计有实训工单，至少包含纯电动汽车高压断电流程实训、动力电池漏电检测及单体维护、动力电池系统整体拆装实训、动力电池系统内部结构认知、动力电池继电器盒结构认知、动力电池系统模组更换实训、车辆无法行驶且报警、车辆跛行限速且能量回收关闭、车辆SOC为零且提示尽快进行充电、车辆高压掉电且报动力电池断开、车辆无法行驶且READY熄灭、车辆无法行驶且仪表报绝缘故障。</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7.学习材料：课程下设计有学习材料，至少包含纯电动汽车高压断流程实训、 动力电池漏电检测及单体维护、动力电池系统整体拆装实训、动力电池系统内部结构认知、动力电池继电器盒结构认知、动力电池系统模组更换实训、动力电池典型故障诊断。</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8.课件：针对任务，设计有讲解PPT，至少包含纯电动汽车高压断流程实训、动力电池典型故障诊断、动力电池继电器盒结构认知、动力电池漏电检测及单体维护、动力电池系统模组更换实训、动力电池系统内部结构认知、动力电池系统整体拆装实训。</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9.课程资源视频：课程下提供视频，至少包含高压防护用具介绍、高压断电操作流程、新能源汽车作业十不准、动力电池整体拆装流程、液压举升机介绍、市面上销售的电池管理系统介绍、动力电池继电器盒拆装流程、动力电池系统模组更换流程、车辆无法行驶且报警故障诊断、车辆跛行限速且能量回收关闭故障诊断、车辆SOC为零且提示尽快进行充电故障诊断、车辆无法行驶且READY熄灭故障诊断、车辆高压掉电且报动力电池断开故障诊断、车辆无法行驶且仪表报绝缘故障故障诊断。</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10.课程动画资源：课程下提供动画，至少包含检修开关拆卸方法、锂离子电池的充电原理、电池单体物理结构介绍、动力电池技术参数介绍、北汽新能源EV160200纯电动汽车动力电池主要零部件识别、动力电池系统内部高压电流流向、动力电池包各部件介绍、动力电池系统高</w:t>
            </w:r>
            <w:r>
              <w:rPr>
                <w:rFonts w:hint="eastAsia" w:ascii="仿宋" w:hAnsi="仿宋" w:eastAsia="仿宋" w:cs="仿宋"/>
                <w:color w:val="auto"/>
                <w:szCs w:val="21"/>
                <w:highlight w:val="none"/>
                <w:u w:val="none"/>
              </w:rPr>
              <w:t xml:space="preserve">低压线束连接、动力电池系统BMS端口认知、集中式电池管理系统简介、动力电池系统组装、霍尔效应及应用实例、能量耗散型均衡原理、非能量耗散型均衡原理、动力电池系统互锁线路介绍、动力电池继电器盒结构认知、动力电池继电器盒工作原理、动力电池系统模组结构认知、锂离子电池失效模式简介、锂离子电池的分类、车辆无法行驶且报警情境再现、车辆跛行限速且能量回收关闭情境再现、车辆SOC为零且提示尽快进行充电情境再现、车辆无法行驶且READY熄灭情境再现、车辆高压掉电且报动力电池断开情境再现、车辆无法行驶且仪表报绝缘故障情境再现。</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11.课程技术资料：课程下提供原理图相关材料和技术资料，至少包含继电器盒内部电路原理图、动力电池系统高压上电原理图、低压上电策略、动力电池低压连接、动力电池系统布局图、动力电池高压连接、动力电池高低压插件解锁方法。</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12.理论试题：课程下试题可自行设置生成。</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13.AI出题模块可根据用户的需求由AI进行自动出题，AI出具的试题支持保存至试题库中并可组成试卷关联至课程内使用。</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14.课程可实时显示报名人数、分享量、点赞量和收藏量。提供课程简介、知识图谱、课程目录、讨论区、课程学习、小知助教、知识测验、课后作业、学情分析等功能。</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15.课程主页含AI智能体，用户可通过AI快速了解课程概要知识。</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16.课程主页可查看知识图谱，以结构化图谱整合课程知识点、技能点、问题点、能力点，为用户提供清晰的知识框架与能力导向的认知路径。</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17.课程学习过程中，不同的任务安排不同的学习提示，小知导师智能体应能对每个学习提示做出精准回复。</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18.重点或复杂的学习资源提供知识导读功能，通过智能体对视频、文档等类型资源进行理解与分析，帮助用户快速了解资源重点内容。</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19.针对视频资源，智能体可根据视频内容将视频切片，用户可根据自身学习需求，快速跳转至对应的视频内容时间段上进行观看学习，提高学习效率。</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20.重点或复杂的学习资源提供知识图谱功能，智能体通过其对资源的理解将学习资源归纳成知识图谱，方便快速理清资源的结构。</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21.讨论区支持指定提问，包括向智能体提问和向主讲老师提问功能。支持“@” 相关智能体。讨论区回复支持图文和视频形式。</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测验和作业中的主、客观试题具备智能体快速批阅功能。智能体可根据作业中多选题漏选和错选情况给出不同比例分数（即不同得分值）；智能体还可根据其自身的理解分析能力，对简答题的答案给出参考得分分数。</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23.智能体具备为测验和作业中的错题给出AI批注，包含错因分析和解题示范，并智能推荐梯度训练题。</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24.智能体具备为整个知识测验和作业的作答结果生成AI点评，包含总体表现、测验数据看板、题型与错误关联性和针对性改进建议。其中数据看板中包含丰富的统计图，如知识点掌握分析图、知识点词云分析图等；同时，AI智能体还可根据测验和作业中的错误题目推荐学习资源，用户可直接快速的观看资源，强化学习；除此之外，AI智能体还可根据测验和作业的作答结果生成强化测验或巩固测验，其中强化测验主要覆盖错误试题的知识点，巩固测验覆盖正确试题的知识点。</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25.在测验或作业的解析页面具备智能体多轮对话互动功能，用户可通过对话获得做题技巧等内容。</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26.课程学习过程中，学情分析中学习统计可以清晰看到本人学习进度、章节学习进度、知识点掌握统计、测试合格率统计详情。同时可由AI生成学情分析报告，以供快速了解学习改进建议。</w:t>
            </w:r>
            <w:r/>
          </w:p>
          <w:p>
            <w:pPr>
              <w:jc w:val="left"/>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（二）智能网联汽车技术概论：</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本课程设计有不限于智能网联汽车技术综述、车载雷达传感器技术及应用、车载视觉传感器技术与应用、智能网联汽车通信技术、车载网络技术与应用、高精度定位与导航系统、先进驾驶辅助系统与智能座舱的应用等项目。</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2.本课程内至少包含有课程标准、教学指导、考核评价、学习指南、学习材料、课件、理论试题、视频、动画等多种类型教学资源。</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3.课程标准：逻辑清晰的阐述课程定位、教学目标、学习项目设计、学习任务划分以及考核方式等设计内容。</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4.教学指导至少包含课程性质与任务、教学内容、教学要求、课时分配。</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考核评价至少包含智能网联汽车技术综述、车载雷达传感器技术及应用、车载视觉传感器技术与应用、智能网联汽车通信技术、车载网络技术与应用、高精度定位与导航系统、先进驾驶辅助系统与智能座舱的应用的过程评价表。</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学习材料：课程下设计有学习材料，至少包含智能网联汽车技术综述、车载雷达传感器技术及应用、车载视觉传感器技术与应用、智能网联汽车通信技术、车载网络技术与应用、高精度定位与导航系统、先进驾驶辅助系统与智能座舱的应用。</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课件：针对任务，设计有讲解PPT，至少包含智能网联汽车技术综述、车载雷达传感器技术及应用、车载视觉传感器技术与应用、智能网联汽车通信技术、车载网络技术与应用、高精度定位与导航系统、先进驾驶辅助系统与智能座舱的应用。</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8.课程资源视频：课程下提供至少包含国外智能网联汽车发展现状、我国智能网联汽车技术发展现状、百度无人车、世界智能驾驶挑战赛、汽车智能座舱介绍的资源视频。</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9.课程动画资源：课程下提供动画，至少包含智能交通系统介绍、智能汽车介绍、无人驾驶汽车介绍、车联网介绍、美国关于智能网</w:t>
            </w:r>
            <w:r>
              <w:rPr>
                <w:rFonts w:hint="eastAsia" w:ascii="仿宋" w:hAnsi="仿宋" w:eastAsia="仿宋" w:cs="仿宋"/>
                <w:color w:val="auto"/>
                <w:szCs w:val="21"/>
                <w:highlight w:val="none"/>
              </w:rPr>
              <w:t xml:space="preserve">联汽车的技术分级、智能网联汽车的系统构成、超声波雷达简介、毫米波雷达简介、毫米波雷达工作原理、激光雷达简介、激光雷达测距原理、图像传感器简介、车载视觉传感器的作用与分类、单目摄像头简介、红外摄像头的应用、环境感知系统、道路识别系统、车牌识别系统、行人识别系统、交通标志识别系统、交通信号灯识别技术、 无线通信技术介绍、蓝牙技术介绍、ZigBee技术介绍、Wi-Fi技术介绍、UWB技术介绍、IrDA技术介绍、RFID技术介绍、卫星通信技术介绍、微波通讯技术介绍、NFC技术介绍、VLC技术介绍、DSRC技术介绍、</w:t>
            </w:r>
            <w:r>
              <w:rPr>
                <w:rFonts w:hint="eastAsia" w:ascii="仿宋" w:hAnsi="仿宋" w:eastAsia="仿宋" w:cs="仿宋"/>
                <w:color w:val="auto"/>
                <w:szCs w:val="21"/>
                <w:highlight w:val="none"/>
              </w:rPr>
              <w:t xml:space="preserve">移动通信技术介绍、常用数据总线标准协议、传统汽车网络架构类型、智能网联汽车网络架构、车载自组织网络介绍、高精度地图、导航中的路径规划技术介绍、GPS系统的组成、差分全球导航定位系统介绍、北斗卫星导航定位系统介绍、AOA蜂窝无线定位技术、TOA蜂窝无线定位技术、TDOA蜂窝无线定位技术、车载导航定位系统组成、电子罗盘简介、IMU传感器简介、转角传感器简介、视觉导航定位技术介绍、ADAS系统的国内外发展现状及发展趋势、ADAS系统国内现行的法规政策、ADAS的组成及工作原理、控制层产业链分析、传感层产业链分析。</w:t>
            </w:r>
            <w:r/>
          </w:p>
          <w:p>
            <w:pPr>
              <w:spacing w:line="276" w:lineRule="auto"/>
              <w:rPr>
                <w:rFonts w:hint="eastAsia" w:ascii="仿宋" w:hAnsi="仿宋" w:eastAsia="仿宋" w:cs="仿宋"/>
                <w:strike/>
                <w:color w:val="auto"/>
                <w:szCs w:val="21"/>
                <w:highlight w:val="none"/>
              </w:rPr>
            </w:pPr>
            <w:r>
              <w:rPr>
                <w:rFonts w:hint="eastAsia" w:ascii="仿宋" w:hAnsi="仿宋" w:eastAsia="仿宋" w:cs="仿宋"/>
                <w:color w:val="auto"/>
                <w:szCs w:val="21"/>
                <w:highlight w:val="none"/>
              </w:rPr>
              <w:t xml:space="preserve">10.理论试题：课程下试题可自行设置。</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11.AI出题模块可根据用户的需求由AI进行自动出题，AI出具的试题支持保存至试题库中并可组成试卷关联至课程内使用。</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12.课程可实时显示报名人数、分享量、点赞量和收藏量。提供课程简介、知识图谱、课程目录、讨论区、课程学习、小知助教、知识测验、课后作业、学情分析等功能。</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13.课程主页含AI智能体，用户可通过AI快速了解课程概要知识。</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14.课程主页可查看知识图谱，以结构化图谱整合课程知识点、技能点、问题点、能力点，为用户提供清晰的知识框架与能力导向的认知路径。</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15.课程学习过程中，不同的任务安排不同的学习提示，小知导师智能体应能对每个学习提示做出精准回复。</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16.重点或复杂的学习资源提供知识导读功能，通过智能体对视频、文档等类型资源进行理解与分析，帮助用户快速了解资源重点内容。</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17.针对视频资源，智能体可根据视频内容将视频切片，用户可根据自身学习需求，快速跳转至对应的视频内容时间段上进行观看学习，提高学习效率。</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18.重点或复杂的学习资源提供知识图谱功能，智能体通过其对资源的理解将学习资源归纳成知识图谱，方便快速理清资源的结构。</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19.讨论区支持指定提问，包括向智能体提问和向主讲老师提问功能。支持“@”相关智能体。讨论区回复支持图文和视频形式。</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20.测验和作业中的主、客观试题具备智能体快速批阅功能。智能体可根据作业中多选题漏选和错选情况给出不同比例分数（即不同得分值）；智能体还可根据其自身的理解分析能力，对简答题的答案给出参考得分分数。</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21.智能体具备为测验和作业中的错题给出AI批注，包含错因分析和解题示范，并智能推荐梯度训练题。</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智能体具备为整个知识测验和作业的作答结果生成AI点评，包含总体表现、测验数据看板、题型与错误关联性和针对性改进建议。其中数据看板中包含丰富的统计图，如知识点掌握分析图、知识点词云分析图等；同时，AI智能体还可根据测验和作业中的错误题目推荐学习资源，用户可直接快速的观看资源，强化学习；除此之外，AI智能体还可根据测验和作业的作答结果生成强化测验或巩固测验，其中强化测验主要覆盖错误试题的知识点，巩固测验覆盖正确试题的知识点。</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23.在测验或作业的解析页面具备智能体多轮对话互动功能，用户可通过对话获得做题技巧等内容。</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24.课程学习过程中，学情分析中学习统计可以清晰看到本人学习进度、章节学习进度、知识点掌握统计、测试合格率统计详情。同时可由AI生成学情分析报告，以供快速了解学习改进建议。</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（三）纯电动汽车电机及控制系统检修：</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本课程设计有纯电动汽车动力系统认知、纯电动汽车冷却系统认知、电机控制器构造及原理认知、驱动电机构造及原理认知、减速器构造及原理认知、电机控制器拆装流程、动力总成拆装流程、电动水泵拆装流程、车辆行驶过程中报驱动电机系统故障、车辆无法行驶且能量回收关闭、车辆显示驱动电机全功率、车辆无法行驶且风扇高速运转、车辆行驶过程中仪表报电机过热故障、仪表显示正常但车辆无法行驶、车辆无法行驶且剧烈抖动、车辆行驶过程中底盘异响等至少 15个任务。</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2.本课程内至少包含有课程标准、教学指导、考核评价、学习指南、实训工单、学习材料、课件、理论试题、视频、动画、图片等多种类型教学资源。</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3.课程标准：逻辑清晰的阐述课程定位、课程目标、实训项目设计及建议学时、实训任务划分以及考核方式等设计内容。</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4.教学指导至少包含课程性质与任务、教学内容、教学要求、课时分配。</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5.考核评价至少包含系统结构原理、部件拆装流程、常见故障检修的过程评价表。</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实训工单：课程下设计有实训工单，至少包含纯电动汽车动力系统认知、纯电动汽车冷却系统认知、电机控制器构造及原理认知、驱动电机构造及原理认知、减速器构造及原理认知、电机控制器拆装流程、动力总成拆装流程、电动水泵拆装流程、车辆行驶过程中报驱动电机系统故障、车辆无法行驶且能量回收关闭、车辆显示驱动电机全功率、车无法行驶且风扇高速运转、车辆行驶过程中仪表报电机过热故障、仪表显示正常但车辆无法行驶、车辆无法行驶且剧烈抖动、车辆行驶过程中底盘异响。</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学习材料：课程下设计有学习材料，至少包含纯电动汽车动力系统认知、纯电动汽车冷却系统认知、电机控制器构造及原理认知、驱动电机构造及原理认知、减速器构造及原理认知、电机控制器拆装流程、动力总成拆装流程、电动水泵拆装流程、 动力系统常见故障检测与维修。</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8.课件：针对任务，设计有讲解PPT，至少包含纯电动汽车动力系统认知、纯电动汽车冷却系统认知、电机控制器构造及原理认知、驱动电机构造及原理认知、减速器构造及原理认知、电机控制器拆装流程、动力总成拆装流程、电动水泵拆装流程、动力系统常见故障检测与维修。</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9.课程资源视频：课程下提供视频，至少包含电机控制器的拆装流程、冷却液的更换、动力总成的拆解流程、动力总成的装</w:t>
            </w:r>
            <w:r>
              <w:rPr>
                <w:rFonts w:hint="eastAsia" w:ascii="仿宋" w:hAnsi="仿宋" w:eastAsia="仿宋" w:cs="仿宋"/>
                <w:color w:val="auto"/>
                <w:szCs w:val="21"/>
                <w:highlight w:val="none"/>
              </w:rPr>
              <w:t xml:space="preserve">配流程、动力总成拆装注意事项、车辆行驶过程中报驱动电机系统故障诊断排查、电机温度传感器断路故障检修、制动信号断路故障检修、加速踏板电源信号1断路故障检修、DC-DC-MCU唤醒输入信号断路故障检修、旋变传感器工作异常故障检修；同时至少包含比亚迪秦100车型相关故障检修案例，包括但不局限于：制动信号断路故障检修、加速踏板电源信号1断路故障检修、车辆无法行驶且能量回收关闭诊断排查、车辆无法行驶且报高压断开故障诊断、车辆无法行驶且报制动系                               统故障诊断、档</w:t>
            </w:r>
            <w:r>
              <w:rPr>
                <w:rFonts w:hint="eastAsia" w:ascii="仿宋" w:hAnsi="仿宋" w:eastAsia="仿宋" w:cs="仿宋"/>
                <w:color w:val="auto"/>
                <w:szCs w:val="21"/>
                <w:highlight w:val="none"/>
              </w:rPr>
              <w:t xml:space="preserve">位IG电源断路故障检修、车辆无法行驶且能量回收关闭诊断排查、车辆无法行驶且报高压断开故障诊断、档位IG电源断路故障检修、车辆显示驱动电机全功率诊断排查、车辆无法行驶且风扇高速运转诊断排查、车辆无法行驶且风扇高速运转故障诊断、车辆行驶过程仪表报电机过热故障诊断排查、水泵电源正断路故障检修、水泵电源正断路故障检修、仪表显示正常但车辆无法行驶诊断排查、车辆启动后无法挂挡行驶故障诊断、仪表显示正常但车辆无法行驶诊断排查、车辆启动后无法挂挡行驶故障诊断、车辆无法行驶且剧烈抖动诊断排查、车辆行驶过程中底盘异响诊断排查。</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课程动画资源：课程下提供动画，至少包含动力系统构成、冷却系统构成、冷却系统工作原理、电机控制器结构组成、IGBT驱动模块介绍、逆变器工作原理、电动汽车常用的驱动电机、驱动电机概述、三相异步电机的结构展示、三相异步电机工作原理、直流无刷电机结构、能量回收工作</w:t>
            </w:r>
            <w:r>
              <w:rPr>
                <w:rFonts w:hint="eastAsia" w:ascii="仿宋" w:hAnsi="仿宋" w:eastAsia="仿宋" w:cs="仿宋"/>
                <w:color w:val="auto"/>
                <w:szCs w:val="21"/>
                <w:highlight w:val="none"/>
              </w:rPr>
              <w:t xml:space="preserve">原理、永磁同步电机驱动原理、绕组的卷绕方法、永磁同步电机机械特性、减速器结构展示、电机控制器使用注意事项、电机控制器接插件的插拔方法、电动水泵的拆装流程、电动水泵的结构、电动水泵的工作原理、电动水泵排空气的方法、旋转变压器的功用及分类、车辆行驶过程中报驱动电机系统故障、驱动电机系统控制策略简介、车辆无法行驶且能量回收关闭、车辆显示驱动电机全功率、车辆无法行驶且风扇高速运转、车辆行驶过程仪表报电机过热故障、仪表显示正常但车辆无法行驶、车辆无法行驶且剧烈抖动、车辆行驶过程中底盘异响、减速器无动力传递故障的检查。</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11.课程图片资源：课程下提供图片，包含冷却系统、电机控制器端口介绍、电机控制器控制原理电路图、能量回收电路图、驱动电机工作原理示意图、驱动电机系统结构、永磁同步电机的铭牌、减速器标识、电机控制器拆装零部件、电机控制器低压35PIN针脚定义、驱动系统故障指示灯、电机低压19PIN针脚定义。</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12.理论试题：课程下试题可自行设置。</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13.AI出题模块可根据用户的需求由AI进行自动出题，AI出具的试题支持保存至试题库中并可组成试卷关联至课程内使用。</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14.课程可实时显示报名人数、分享量、点赞量和收藏量。提供课程简介、知识图谱、课程目录、讨论区、课程学习、小知助教、知识测验、课后作业、学情分析等功能。</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15.课程主页含AI智能体，用户可通过AI快速了解课程概要知识。</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16.课程主页可查看知识图谱，以结构化图谱整合课程知识点、技能点、问题点、能力点，为用户提供清晰的知识框架与能力导向的认知路径。</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17.课程学习过程中，不同的任务安排不同的学习提示，小知导师智能体应能对每个学习提示做出精准回复。</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18.重点或复杂的学习资源提供知识导读功能，通过智能体对视频、文档等类型资源进行理解与分析，帮助用户快速了解资源重点内容。</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19.针对视频资源，智能体可根据视频内容将视频切片，用户可根据自身学习需求，快速跳转至对应的视频内容时间段上进行观看学习，提高学习效率。</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20.重点或复杂的学习资源提供知识图谱功能，智能体通过其对资源的理解将学习资源归纳成知识图谱，方便快速理清资源的结构。</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21.讨论区支持指定提问，包括向智能体提问和向主讲老师提问功能。支持“@” 相关智能体。讨论区回复支持图文和视频形式。</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测验和作业中的主、客观试题具备智能体快速批阅功能。智能体可根据作业中多选题漏选和错选情况给出不同比例分数（即不同得分值）；智能体还可根据其自身的理解分析能力，对简答题的答案给出参考得分分数。</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23.智能体具备为测验和作业中的错题给出AI批注，包含错因分析和解题示范，并智能推荐梯度训练题。</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24.智能体具备为整个知识测验和作业的作答结果生成AI点评，包含总体表现、测验数据看板、题型与错误关联性和针对性改进建议。其中数据看板中包含丰富的统计图，如知识点掌握分析图、知识点词云分析图等；同时，AI智能体还可根据测验和作业中的错误题目推荐学习资源，用户可直接快速的观看资源，强化学习；除此之外，AI智能体还可根据测验和作业的作答结果生成强化测验或巩固测验，其中强化测验主要覆盖错误试题的知识点，巩固测验覆盖正确试题的知识点。</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25.在测验或作业的解析页面具备智能体多轮对话互动功能，用户可通过对话获得做题技巧等内容。</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26.课程学习过程中，学情分析中学习统计可以清晰看到本人学习进度、章节学习进度、知识点掌握统计、测试合格率统计详情。同时可由AI生成学情分析报告，以供快速了解学习改进建议。</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以上课程资源内容搭建及使用基于“人工智能大模型教研应用平台”。</w:t>
            </w:r>
            <w:r/>
          </w:p>
        </w:tc>
        <w:tc>
          <w:tcPr>
            <w:tcW w:w="690" w:type="dxa"/>
            <w:vAlign w:val="center"/>
            <w:textDirection w:val="lrTb"/>
            <w:noWrap w:val="false"/>
          </w:tcPr>
          <w:p>
            <w:pPr>
              <w:jc w:val="cente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674" w:type="dxa"/>
            <w:vAlign w:val="center"/>
            <w:textDirection w:val="lrTb"/>
            <w:noWrap w:val="false"/>
          </w:tcPr>
          <w:p>
            <w:pPr>
              <w:jc w:val="cente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批</w:t>
            </w:r>
            <w:r/>
          </w:p>
        </w:tc>
      </w:tr>
      <w:tr>
        <w:trPr>
          <w:jc w:val="center"/>
          <w:trHeight w:val="7932"/>
        </w:trPr>
        <w:tc>
          <w:tcPr>
            <w:tcW w:w="427"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3</w:t>
            </w:r>
            <w:r/>
          </w:p>
        </w:tc>
        <w:tc>
          <w:tcPr>
            <w:tcW w:w="797" w:type="dxa"/>
            <w:vAlign w:val="center"/>
            <w:textDirection w:val="lrTb"/>
            <w:noWrap w:val="false"/>
          </w:tcPr>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大模型创新教研开发与应用平台算力服务套餐</w:t>
            </w:r>
            <w:r/>
          </w:p>
        </w:tc>
        <w:tc>
          <w:tcPr>
            <w:tcW w:w="5934" w:type="dxa"/>
            <w:vAlign w:val="top"/>
            <w:textDirection w:val="lrTb"/>
            <w:noWrap w:val="false"/>
          </w:tcPr>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充值计费，包含以下内容（自充值时间起，累计有效期5年）：</w:t>
            </w:r>
            <w:r/>
          </w:p>
          <w:p>
            <w:pPr>
              <w:pStyle w:val="777"/>
              <w:ind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在有效期内，若使用频次超过充值量，可不限量充值，且不收取费用（</w:t>
            </w:r>
            <w:r>
              <w:rPr>
                <w:rFonts w:hint="eastAsia" w:ascii="仿宋" w:hAnsi="仿宋" w:eastAsia="仿宋" w:cs="仿宋"/>
                <w:b/>
                <w:bCs/>
                <w:color w:val="auto"/>
                <w:szCs w:val="21"/>
                <w:highlight w:val="none"/>
              </w:rPr>
              <w:t xml:space="preserve">投标时需出具算力承诺，承诺书加盖公章，格式自拟</w:t>
            </w:r>
            <w:r>
              <w:rPr>
                <w:rFonts w:hint="eastAsia" w:ascii="仿宋" w:hAnsi="仿宋" w:eastAsia="仿宋" w:cs="仿宋"/>
                <w:color w:val="auto"/>
                <w:szCs w:val="21"/>
                <w:highlight w:val="none"/>
              </w:rPr>
              <w:t xml:space="preserve">）：</w:t>
            </w:r>
            <w:r/>
          </w:p>
          <w:tbl>
            <w:tblPr>
              <w:tblStyle w:val="7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950"/>
              <w:gridCol w:w="1168"/>
              <w:gridCol w:w="1553"/>
            </w:tblGrid>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b/>
                      <w:bCs/>
                      <w:color w:val="auto"/>
                      <w:szCs w:val="21"/>
                      <w:highlight w:val="none"/>
                    </w:rPr>
                    <w:t xml:space="preserve">序号</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b/>
                      <w:bCs/>
                      <w:color w:val="auto"/>
                      <w:szCs w:val="21"/>
                      <w:highlight w:val="none"/>
                    </w:rPr>
                    <w:t xml:space="preserve">名称</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b/>
                      <w:bCs/>
                      <w:color w:val="auto"/>
                      <w:szCs w:val="21"/>
                      <w:highlight w:val="none"/>
                    </w:rPr>
                    <w:t xml:space="preserve">单位</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b/>
                      <w:bCs/>
                      <w:color w:val="auto"/>
                      <w:szCs w:val="21"/>
                      <w:highlight w:val="none"/>
                    </w:rPr>
                    <w:t xml:space="preserve">数量</w:t>
                  </w:r>
                  <w:r/>
                </w:p>
              </w:tc>
            </w:tr>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token（输入）</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千 tokens</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3,000,000</w:t>
                  </w:r>
                  <w:r/>
                </w:p>
              </w:tc>
            </w:tr>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2</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token（输出）</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千 tokens</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3,000,000</w:t>
                  </w:r>
                  <w:r/>
                </w:p>
              </w:tc>
            </w:tr>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3</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音 / 视频总流量</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GB</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200,000</w:t>
                  </w:r>
                  <w:r/>
                </w:p>
              </w:tc>
            </w:tr>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4</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音 / 视频总空间 - 场景</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GB</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1500</w:t>
                  </w:r>
                  <w:r/>
                </w:p>
              </w:tc>
            </w:tr>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5</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音 / 视频总空间</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GB</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500</w:t>
                  </w:r>
                  <w:r/>
                </w:p>
              </w:tc>
            </w:tr>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6</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图片 / 文档 / PPT / 仿真空间</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GB</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400</w:t>
                  </w:r>
                  <w:r/>
                </w:p>
              </w:tc>
            </w:tr>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7</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音频转文字</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小时</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4000</w:t>
                  </w:r>
                  <w:r/>
                </w:p>
              </w:tc>
            </w:tr>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8</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流式语音识别</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小时</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2000</w:t>
                  </w:r>
                  <w:r/>
                </w:p>
              </w:tc>
            </w:tr>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9</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大模型语音合成</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万字符</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2000</w:t>
                  </w:r>
                  <w:r/>
                </w:p>
              </w:tc>
            </w:tr>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10</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PPT 生成大纲次数</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次</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10000</w:t>
                  </w:r>
                  <w:r/>
                </w:p>
              </w:tc>
            </w:tr>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11</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生成 PPT 次数</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次</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10000</w:t>
                  </w:r>
                  <w:r/>
                </w:p>
              </w:tc>
            </w:tr>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12</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PPT 应用大纲</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次</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10000</w:t>
                  </w:r>
                  <w:r/>
                </w:p>
              </w:tc>
            </w:tr>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13</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PPT 一键换肤</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次</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30000</w:t>
                  </w:r>
                  <w:r/>
                </w:p>
              </w:tc>
            </w:tr>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14</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替换单页 PPT</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次</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30000</w:t>
                  </w:r>
                  <w:r/>
                </w:p>
              </w:tc>
            </w:tr>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15</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数字人录课</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小时</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160</w:t>
                  </w:r>
                  <w:r/>
                </w:p>
              </w:tc>
            </w:tr>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16</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数字人 AI 助手</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次</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1000</w:t>
                  </w:r>
                  <w:r/>
                </w:p>
              </w:tc>
            </w:tr>
            <w:tr>
              <w:trPr/>
              <w:tc>
                <w:tcPr>
                  <w:tcW w:w="765"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17</w:t>
                  </w:r>
                  <w:r/>
                </w:p>
              </w:tc>
              <w:tc>
                <w:tcPr>
                  <w:tcW w:w="195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联网搜索</w:t>
                  </w:r>
                  <w:r/>
                </w:p>
              </w:tc>
              <w:tc>
                <w:tcPr>
                  <w:tcW w:w="1168"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次</w:t>
                  </w:r>
                  <w:r/>
                </w:p>
              </w:tc>
              <w:tc>
                <w:tcPr>
                  <w:tcW w:w="1553"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40000</w:t>
                  </w:r>
                  <w:r/>
                </w:p>
              </w:tc>
            </w:tr>
          </w:tbl>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r>
            <w:r/>
          </w:p>
        </w:tc>
        <w:tc>
          <w:tcPr>
            <w:tcW w:w="69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w:t>
            </w:r>
            <w:r/>
          </w:p>
        </w:tc>
        <w:tc>
          <w:tcPr>
            <w:tcW w:w="674"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批</w:t>
            </w:r>
            <w:r/>
          </w:p>
        </w:tc>
      </w:tr>
      <w:tr>
        <w:trPr>
          <w:jc w:val="center"/>
        </w:trPr>
        <w:tc>
          <w:tcPr>
            <w:tcW w:w="427"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4</w:t>
            </w:r>
            <w:r/>
          </w:p>
        </w:tc>
        <w:tc>
          <w:tcPr>
            <w:tcW w:w="797" w:type="dxa"/>
            <w:vAlign w:val="center"/>
            <w:textDirection w:val="lrTb"/>
            <w:noWrap w:val="false"/>
          </w:tcPr>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汽车专业垂类产教融合数据服务应用平台</w:t>
            </w:r>
            <w:r/>
          </w:p>
        </w:tc>
        <w:tc>
          <w:tcPr>
            <w:tcW w:w="5934" w:type="dxa"/>
            <w:vAlign w:val="top"/>
            <w:textDirection w:val="lrTb"/>
            <w:noWrap w:val="false"/>
          </w:tcPr>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平台功能整体分为五大模块：产业数据看板模块、人才培养方案诊断模块、人才培养方案编制模块、就业指导模块、行业数据展示模块，各模块协同运转形成核心服务能力。</w:t>
            </w:r>
            <w:r>
              <w:rPr>
                <w:rFonts w:hint="eastAsia" w:ascii="仿宋" w:hAnsi="仿宋" w:eastAsia="仿宋" w:cs="仿宋"/>
                <w:color w:val="auto"/>
                <w:szCs w:val="21"/>
                <w:highlight w:val="none"/>
              </w:rPr>
              <w:br/>
            </w:r>
            <w:r>
              <w:rPr>
                <w:rFonts w:hint="eastAsia" w:ascii="仿宋" w:hAnsi="仿宋" w:eastAsia="仿宋" w:cs="仿宋"/>
                <w:color w:val="auto"/>
                <w:szCs w:val="21"/>
                <w:highlight w:val="none"/>
              </w:rPr>
              <w:t xml:space="preserve">一、产业数据看板模块</w:t>
            </w:r>
            <w:r>
              <w:rPr>
                <w:rFonts w:hint="eastAsia" w:ascii="仿宋" w:hAnsi="仿宋" w:eastAsia="仿宋" w:cs="仿宋"/>
                <w:color w:val="auto"/>
                <w:szCs w:val="21"/>
                <w:highlight w:val="none"/>
              </w:rPr>
              <w:br/>
            </w:r>
            <w:r>
              <w:rPr>
                <w:rFonts w:hint="eastAsia" w:ascii="仿宋" w:hAnsi="仿宋" w:eastAsia="仿宋" w:cs="仿宋"/>
                <w:color w:val="auto"/>
                <w:szCs w:val="21"/>
                <w:highlight w:val="none"/>
              </w:rPr>
              <w:t xml:space="preserve">1.总览：支持多维度数据筛选功能，可展示区域内企业总数及上市企业数量、支持支持实时展示产业景气度数值及变化趋势，辅助判断行业整体活力与发展态势。</w:t>
            </w:r>
            <w:r>
              <w:rPr>
                <w:rFonts w:hint="eastAsia" w:ascii="仿宋" w:hAnsi="仿宋" w:eastAsia="仿宋" w:cs="仿宋"/>
                <w:color w:val="auto"/>
                <w:szCs w:val="21"/>
                <w:highlight w:val="none"/>
              </w:rPr>
              <w:br/>
            </w:r>
            <w:r>
              <w:rPr>
                <w:rFonts w:hint="eastAsia" w:ascii="仿宋" w:hAnsi="仿宋" w:eastAsia="仿宋" w:cs="仿宋"/>
                <w:color w:val="auto"/>
                <w:szCs w:val="21"/>
                <w:highlight w:val="none"/>
              </w:rPr>
              <w:t xml:space="preserve">2.产业链关系图谱：支持构建新能源汽车、汽车电子、燃油汽车产业链的上中下游生态图谱，支持点击下钻查看节点详细</w:t>
            </w:r>
            <w:r>
              <w:rPr>
                <w:rFonts w:hint="eastAsia" w:ascii="仿宋" w:hAnsi="仿宋" w:eastAsia="仿宋" w:cs="仿宋"/>
                <w:color w:val="auto"/>
                <w:highlight w:val="none"/>
              </w:rPr>
              <w:t xml:space="preserve">信息。</w:t>
            </w:r>
            <w:r>
              <w:rPr>
                <w:rFonts w:hint="eastAsia" w:ascii="仿宋" w:hAnsi="仿宋" w:eastAsia="仿宋" w:cs="仿宋"/>
                <w:color w:val="auto"/>
                <w:highlight w:val="none"/>
              </w:rPr>
              <w:br/>
            </w:r>
            <w:r>
              <w:rPr>
                <w:rFonts w:hint="eastAsia" w:ascii="仿宋" w:hAnsi="仿宋" w:eastAsia="仿宋" w:cs="仿宋"/>
                <w:color w:val="auto"/>
                <w:highlight w:val="none"/>
              </w:rPr>
              <w:t xml:space="preserve">3.产业节点热度排行：支持按照企业招聘需求或企业营收情况排行，支持下钻至具体企业，查看其基本信息、财务状况、主营产品结构及招聘岗位信息等。</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4.岗位需求统计图：支持统计产业链下招聘需求量排名前10的岗位，并提供查看更多入口。</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5.岗位需求与薪资关系图： 支持统计产业链内招聘需求量最大的岗位，并可查看对应薪资，辅助分析岗位需求量与薪资水平的关联趋势。</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6.需求词云：支持统计产业链下招聘岗位所9700的高频核心能力，涵盖知识、技能、素养、能力等维度。</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7.产业地图分布：用标记点直观展示企业在区域地图上的分布，清晰呈现区域内企业布局。</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二、人才培养方案诊断模块</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1.首页：提供人才培养方案岗位图谱及人培方案诊断结果总览数据展示</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2.开始诊断：本功能旨在帮助用户高效完成人才培养方案的诊断与优化，整个过程由AI辅助，分为以下七个步骤：</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（1）方案上传：支持上传人才培养方案文档，由AI辅助完成文档解析与信息提取。</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（2）岗位筛选：支持岗位人工筛选与AI自动岗位筛选，确定目标岗位。</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（3）岗位群生成：支持按岗位分类结合用户输入条件，由AI辅助智能生成岗位群。</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（4）培养目标生成：结合岗位群信息及用户输入信息，由AI辅助自动生成培养目标与培养规格。</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（5）岗位图谱：由AI辅助智能生成岗位图谱，直观呈现岗位体系与能力关联。</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（6）课程设置：依托岗位图谱，由AI辅助智能搭建教学课程名称与课程目标。</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（7）教学设置：由AI辅助完成教学环节配置，支撑课程体系落地实施。</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通过以上七个步骤，系统可智能识别原方案中的冗余与薄弱环节，并提供针对性的优化建议。</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3.智能诊断报告：系统输出可视化诊断报告，清晰识别人才培养方案中的冗余内容与薄弱缺失环节，同步提供可落地的优化方向与改进建议。</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三、人才培养方案编制模块</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1.新建人才培养方案：支持用户输入信息，系统结合信息内容自动生成涵盖培养目标、课程体系、教学配置的完整方案草案。</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2.修订人才培养方案：支持选取人培方案及诊断报告，可结合诊断报告内容为现有方案提供精准AI智能批注与针对性修订建议。</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3.文件列表：支持展示用户新建或修订的人才培养方案列表，支持下载至本地。</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四、就业指导模块</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1.AI就业指导智能助手：支持用户问答、语音录入、文本文件上传识别方式提供个性化就业建议。</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2.行业新闻与政策：一站式聚合行业资讯热度趋势、前沿产业动态及权威政策文件，支持分类展示与快速查阅，助力用户及时把握行业导向。</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3.行业热度：实时呈现近 30 天行业景气度指数，支持手动切换时间范围，可视化展示热门企业排行与核心岗位标签，直观反映行业供需热度与发展趋势。</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4.热力分布：通过全国地图热力图叠加区域及省份TOP10榜单，多维度直观呈现企业布局与岗位需求的地域分布特征。</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5.智能总结：由 AI 自动提炼产业格局、企业分布、人才需求、求职策略等关键信息，输出包含核心结论的结构化总结，高效辅助决策。</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五、行业数据展示模块</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1.企业信息数据：覆盖全国汽车产业链相关企业，展示企业所属产业链、节点、招聘岗位等信息，支持按地点、产业链节点、企业类型筛选。</w:t>
            </w:r>
            <w:r/>
          </w:p>
          <w:p>
            <w:pPr>
              <w:pStyle w:val="800"/>
              <w:numPr>
                <w:ilvl w:val="1"/>
                <w:numId w:val="0"/>
              </w:num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2.岗位信息数据：汇聚海量汽车产业招聘岗位，展示岗位薪资、招聘人数、能力要求等信息，支持按岗位名称、企业、薪资范围等筛选。</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3.新闻/政策数据：整合汽车产业最新资讯与政策法规，支持按标题、时间、产业链节点筛选。</w:t>
            </w:r>
            <w:r/>
          </w:p>
          <w:p>
            <w:pPr>
              <w:pStyle w:val="800"/>
              <w:ind w:firstLine="0"/>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六、非功能性描述</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1.数据来源与更新机制：</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（1）平台产业数据来源于权威产业数据服务，平台每日完成数据同步与更新，确保数据的及时性与准确性。</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（2）数据更新采用T+1模式，即当日传输的数据于次日完成更新并生效。</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2.服务提供方式：</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（1）平台以SaaS模式提供服务，用户无需部署本地环境，通过浏览器即可访问使用。</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（2）支持多租户架构，各用户数据独立隔离，保障数据安全与隐私。</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3.平台性能</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（1）系统支持高并发访问，页面平均响应时间不超过3秒。</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（2）数据查询与统计操作在常规数据量下，响应时间控制在5秒以内。</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（3）平台具备弹性扩展能力，可根据用户规模与使用量动态调整资源，保障服务稳定性。</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4.数据安全与可靠性</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（1）平台采用数据加密传输与存储，保障数据在传输与存储过程中的安全性。</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（2）提供每日自动备份机制，确保数据可恢复性。</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（3）系统可用性不低于99.5%，支持7×24小时持续运行。</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5.访问方式</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（1）支持主流浏览器访问（Chrome、Firefox、Edge等），无需安装插件。</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（2）提供统一的登录入口，支持账号密码登录。</w:t>
            </w:r>
            <w:r/>
          </w:p>
          <w:p>
            <w:pPr>
              <w:spacing w:line="276"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备注：该平台需承诺平台数据真实可靠，并出具加盖公章的承诺证明文件。</w:t>
            </w:r>
            <w:r/>
          </w:p>
        </w:tc>
        <w:tc>
          <w:tcPr>
            <w:tcW w:w="69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5</w:t>
            </w:r>
            <w:r/>
          </w:p>
        </w:tc>
        <w:tc>
          <w:tcPr>
            <w:tcW w:w="674"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年</w:t>
            </w:r>
            <w:r/>
          </w:p>
        </w:tc>
      </w:tr>
      <w:tr>
        <w:trPr>
          <w:jc w:val="center"/>
        </w:trPr>
        <w:tc>
          <w:tcPr>
            <w:tcW w:w="427"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5</w:t>
            </w:r>
            <w:r/>
          </w:p>
        </w:tc>
        <w:tc>
          <w:tcPr>
            <w:tcW w:w="797" w:type="dxa"/>
            <w:vAlign w:val="center"/>
            <w:textDirection w:val="lrTb"/>
            <w:noWrap w:val="false"/>
          </w:tcPr>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高级数字人及数字分身定制</w:t>
            </w:r>
            <w:r/>
          </w:p>
        </w:tc>
        <w:tc>
          <w:tcPr>
            <w:tcW w:w="5934" w:type="dxa"/>
            <w:vAlign w:val="top"/>
            <w:textDirection w:val="lrTb"/>
            <w:noWrap w:val="false"/>
          </w:tcPr>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根据用户真人形象和声音进行数字人形象声音定制，并合成整体人物形象，用于AI数字人视频录制，节约录课时间和人力成本。确保意识形态安全，保护人像版权。</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1.数字分身建模包含真人视频建模和真人声音建模，通过建模将人物外貌形象和声音形象进行整合形成人物专属定制形象。</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2.用户真人数字分身视频建模通过提供的定制人物视频，克隆形象单元作为专属人物外貌形象。</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4.用户真人声音建模通过提供的定制人物音频，克隆音频作为专属人物的声音形象。</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5.用户真人数字分身定制周期：10-15个工作日。</w:t>
            </w:r>
            <w:r/>
          </w:p>
        </w:tc>
        <w:tc>
          <w:tcPr>
            <w:tcW w:w="69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w:t>
            </w:r>
            <w:r/>
          </w:p>
        </w:tc>
        <w:tc>
          <w:tcPr>
            <w:tcW w:w="674"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批</w:t>
            </w:r>
            <w:r/>
          </w:p>
        </w:tc>
      </w:tr>
      <w:tr>
        <w:trPr>
          <w:jc w:val="center"/>
        </w:trPr>
        <w:tc>
          <w:tcPr>
            <w:tcW w:w="427"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6</w:t>
            </w:r>
            <w:r/>
          </w:p>
        </w:tc>
        <w:tc>
          <w:tcPr>
            <w:tcW w:w="797" w:type="dxa"/>
            <w:vAlign w:val="center"/>
            <w:textDirection w:val="lrTb"/>
            <w:noWrap w:val="false"/>
          </w:tcPr>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汽车专业群智能体定制开发</w:t>
            </w:r>
            <w:r/>
          </w:p>
        </w:tc>
        <w:tc>
          <w:tcPr>
            <w:tcW w:w="5934" w:type="dxa"/>
            <w:vAlign w:val="top"/>
            <w:textDirection w:val="lrTb"/>
            <w:noWrap w:val="false"/>
          </w:tcPr>
          <w:p>
            <w:pPr>
              <w:pStyle w:val="1087"/>
              <w:rPr>
                <w:rFonts w:hint="eastAsia" w:ascii="仿宋" w:hAnsi="仿宋" w:eastAsia="仿宋" w:cs="仿宋"/>
                <w:color w:val="auto"/>
                <w:sz w:val="21"/>
                <w:szCs w:val="21"/>
                <w:highlight w:val="none"/>
                <w:u w:val="none"/>
              </w:rPr>
            </w:pPr>
            <w:r>
              <w:rPr>
                <w:rFonts w:hint="eastAsia" w:ascii="仿宋" w:hAnsi="仿宋" w:eastAsia="仿宋" w:cs="仿宋"/>
                <w:color w:val="auto"/>
                <w:sz w:val="21"/>
                <w:szCs w:val="21"/>
                <w:highlight w:val="none"/>
                <w:u w:val="none"/>
              </w:rPr>
              <w:t xml:space="preserve">智能体基本功能至少包含：</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1.知识辅导智能体：覆盖新能源汽车技术专业核心教学知识内容，依托基础模型，以及丰富的专业知识库实现专业教学智能体调优、测试、初步开发及迭代优化；具备教学辅导、知识答疑、学习资源推荐的能力，支撑智能化教学辅助。</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2.技能指导智能体：面向新能源汽车维修实训场景，支持学生输入故障现象，自动分析故障成因，梳理标准化诊断流程，输出维修指导建议。</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3.汽车专业问答智能体：接入发动机、底盘、电控等专业文献库，随时解答专业疑问。</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以上为智能体基本功能参考范围，最终集成新能源汽车专业群智能体平台，具体需求根据客户实际需求确定开发。</w:t>
            </w:r>
            <w:r/>
          </w:p>
        </w:tc>
        <w:tc>
          <w:tcPr>
            <w:tcW w:w="69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w:t>
            </w:r>
            <w:r/>
          </w:p>
        </w:tc>
        <w:tc>
          <w:tcPr>
            <w:tcW w:w="674"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套</w:t>
            </w:r>
            <w:r/>
          </w:p>
        </w:tc>
      </w:tr>
      <w:tr>
        <w:trPr>
          <w:jc w:val="center"/>
        </w:trPr>
        <w:tc>
          <w:tcPr>
            <w:tcW w:w="427"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7</w:t>
            </w:r>
            <w:r/>
          </w:p>
        </w:tc>
        <w:tc>
          <w:tcPr>
            <w:tcW w:w="797" w:type="dxa"/>
            <w:vAlign w:val="center"/>
            <w:textDirection w:val="lrTb"/>
            <w:noWrap w:val="false"/>
          </w:tcPr>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课程资源活化</w:t>
            </w:r>
            <w:r/>
          </w:p>
        </w:tc>
        <w:tc>
          <w:tcPr>
            <w:tcW w:w="5934" w:type="dxa"/>
            <w:vAlign w:val="top"/>
            <w:textDirection w:val="lrTb"/>
            <w:noWrap w:val="false"/>
          </w:tcPr>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1.资源收集与整理：需通过需求分析明确课程目标与知识范围；收集与知识内容相关的教材、顶层文件、教学资料以及外部文献等资源。</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2.构建标签体系：对院校提供的资源构建标签体系，包含提取标签及标签值、在平台中构建标签及标签值。</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3.构建智能图谱：围绕院校提供的资源，构建课程智能图谱，包含课程体系节点、关系，设定节点关系名称、节点关系指向等。根据课程知识、技能、问题、能力等的内部逻辑设置整部、依赖、递进、共生和并列等关系以供构建课程体系的逻辑依存关系。</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4.知识图谱提供知识图谱、问题图谱、能力图谱、技能图谱四种形式。 </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（1）图谱提供大纲视图，以思维导图的形式构建课程项目结构、任务结构及知识点结构，知识点展示所包含的知识点标签； </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2）图谱提供网状视图，以知识点网络的形式展示课程所包含的所有知识点以及知识点与知识点之间的关系，关系包含整部、依赖、共生、并列、递进，且支持关系的显示/隐藏控制；知识点可查看详情、所关联的多模态资源和知识测验；多模态资源可直接查看，知识测验可直接答题，达到边学习边测验的目的；支持全屏查看图谱，可通过节点关键词搜索节点并进行高亮显示； </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（3）图谱提供环状视图，采用从课程到知识点由内向外扩散的形式展示课程、项目、任务和知识点的关系； </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（4）平台提供图谱关系说明、关系指向及案例，方便梳理知识图谱的关系。</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5.资源上传与解析：上传院校提供的资源进行AI解析；重点或复杂的学习资源提供知识导读功能，通过智能体对视频、文档等类型资源进行理解与分析，帮助用户快速了解资源重点内容。</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6.资源打标：对院校提供的资源从知识点、技能点、问题点、能力点、教学资料分类、视频资源形式、内容深度层次、教学实施维度等进行打标，用于支撑个性化人推荐。</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7.智能体构建：围绕院校提供的资源通过文本预处理、知识库构建、问答库构建、智能体搭建形成课程的认知智能导师。具备课程学习方法指导、课程学习推荐和学习辅导帮助等功能；还可基于图谱关系进行个性化资源推荐。</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8.围绕院校提供的资源构建课程AI智能体提示词，提高学生课程学习的便捷性。</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9.构建课程学习进度指标：根据教学大纲，设置课程学习进度，理论学时学完规则、点播音视频学完规则、教学点学完进度规则等。</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10.构建测验和作业中的主、客观试题智能体快速批阅功能。</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（1）智能体可根据作业中多选题漏选和错选情况给出不同比例分数（即不同得分值）；</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（2）智能体可根据其自身的理解分析能力，对简答题的答案给出参考得分分数；</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（3）智能体具备为测验和作业中的错题给出AI批注，包含错因分析和解题示范，并智能推荐梯度训练题；</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（4）智能体具备为整个知识测验和作业的作答结果生成AI点评，包含总体表现、测验数据看板、题型与错误关联性和针对性改进建议。</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（5）具备智能体多轮对话互动功能，用户可通过对话获得做题技巧等内容。</w:t>
            </w:r>
            <w:r/>
          </w:p>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11.构建智能学情分析体系：构建学习、测验、作业的学情分析智能体，用于分析学生整门课程的学习情况与掌握程度。</w:t>
            </w:r>
            <w:r/>
          </w:p>
        </w:tc>
        <w:tc>
          <w:tcPr>
            <w:tcW w:w="69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3</w:t>
            </w:r>
            <w:r/>
          </w:p>
        </w:tc>
        <w:tc>
          <w:tcPr>
            <w:tcW w:w="674"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套</w:t>
            </w:r>
            <w:r/>
          </w:p>
        </w:tc>
      </w:tr>
      <w:tr>
        <w:trPr>
          <w:jc w:val="center"/>
        </w:trPr>
        <w:tc>
          <w:tcPr>
            <w:tcW w:w="427"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 xml:space="preserve">8</w:t>
            </w:r>
            <w:r/>
          </w:p>
        </w:tc>
        <w:tc>
          <w:tcPr>
            <w:tcW w:w="797" w:type="dxa"/>
            <w:vAlign w:val="center"/>
            <w:textDirection w:val="lrTb"/>
            <w:noWrap w:val="false"/>
          </w:tcPr>
          <w:p>
            <w:pP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汽车专业领域垂类模型建设课程开发中心文化设计布置</w:t>
            </w:r>
            <w:r/>
          </w:p>
        </w:tc>
        <w:tc>
          <w:tcPr>
            <w:tcW w:w="5934" w:type="dxa"/>
            <w:vAlign w:val="center"/>
            <w:textDirection w:val="lrTb"/>
            <w:noWrap w:val="false"/>
          </w:tcPr>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包含AI课程开发建设中心整体文化氛围设计及实施，实施前须出具设计效果。</w:t>
            </w:r>
            <w:r/>
          </w:p>
          <w:p>
            <w:pPr>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其中文化氛围渲染包含：至少6幅（包含）尺寸不低于60*80cm（宽*高）的玻璃展板，2幅尺寸不低于60*40（宽*高）不锈钢广告牌；教研工位、研讨桌配备定制的汽车专业主题桌面立牌、项目专业术语文化铭牌等，强化日常教研的专业文化氛围。 </w:t>
            </w:r>
            <w:r/>
          </w:p>
          <w:p>
            <w:pPr>
              <w:spacing w:line="276" w:lineRule="auto"/>
              <w:rPr>
                <w:rFonts w:hint="eastAsia" w:ascii="仿宋" w:hAnsi="仿宋" w:eastAsia="仿宋" w:cs="仿宋"/>
                <w:color w:val="auto"/>
                <w:sz w:val="12"/>
                <w:szCs w:val="12"/>
                <w:highlight w:val="none"/>
                <w:shd w:val="clear" w:color="auto" w:fill="ffffff"/>
              </w:rPr>
            </w:pPr>
            <w:r>
              <w:rPr>
                <w:rFonts w:hint="eastAsia" w:ascii="仿宋" w:hAnsi="仿宋" w:eastAsia="仿宋" w:cs="仿宋"/>
                <w:color w:val="auto"/>
                <w:szCs w:val="21"/>
                <w:highlight w:val="none"/>
              </w:rPr>
              <w:t xml:space="preserve">内部文化设计依托汽车产业技术发展史、产教融合合作成果、AI智慧课程建设成果、新能源与智能汽车专业知识科普，彰显项目服务汽车职业教育、推进智慧课程建设与产教深度融合的建设理念。</w:t>
            </w:r>
            <w:r>
              <w:rPr>
                <w:rFonts w:hint="eastAsia" w:ascii="仿宋" w:hAnsi="仿宋" w:eastAsia="仿宋" w:cs="仿宋"/>
                <w:color w:val="auto"/>
                <w:sz w:val="12"/>
                <w:szCs w:val="12"/>
                <w:highlight w:val="none"/>
                <w:shd w:val="clear" w:color="auto" w:fill="ffffff"/>
              </w:rPr>
              <w:t xml:space="preserve"> </w:t>
            </w:r>
            <w:r/>
          </w:p>
          <w:p>
            <w:pPr>
              <w:spacing w:line="276" w:lineRule="auto"/>
              <w:rPr>
                <w:rFonts w:hint="eastAsia" w:ascii="仿宋" w:hAnsi="仿宋" w:eastAsia="仿宋" w:cs="仿宋"/>
                <w:color w:val="auto"/>
                <w:sz w:val="12"/>
                <w:szCs w:val="12"/>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以上内容须采购人确认后方可进行实施，否则有权采购人拒绝支付本项目合同金额。</w:t>
            </w:r>
            <w:r/>
          </w:p>
        </w:tc>
        <w:tc>
          <w:tcPr>
            <w:tcW w:w="690"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1</w:t>
            </w:r>
            <w:r/>
          </w:p>
        </w:tc>
        <w:tc>
          <w:tcPr>
            <w:tcW w:w="674" w:type="dxa"/>
            <w:vAlign w:val="center"/>
            <w:textDirection w:val="lrTb"/>
            <w:noWrap w:val="false"/>
          </w:tcPr>
          <w:p>
            <w:pPr>
              <w:jc w:val="center"/>
              <w:spacing w:line="276" w:lineRule="auto"/>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 xml:space="preserve">批</w:t>
            </w:r>
            <w:r/>
          </w:p>
        </w:tc>
      </w:tr>
    </w:tbl>
    <w:p>
      <w:pPr>
        <w:jc w:val="left"/>
        <w:spacing w:line="360" w:lineRule="auto"/>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四、采购标的数量、采购项目交付或者实施的时间和地点。</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1、服务时间：</w:t>
      </w:r>
      <w:r>
        <w:rPr>
          <w:rFonts w:hint="eastAsia" w:ascii="仿宋" w:hAnsi="仿宋" w:eastAsia="仿宋" w:cs="仿宋"/>
          <w:bCs/>
          <w:color w:val="auto"/>
          <w:sz w:val="28"/>
          <w:szCs w:val="28"/>
          <w:highlight w:val="none"/>
          <w:lang w:eastAsia="zh-CN"/>
        </w:rPr>
        <w:t xml:space="preserve">自合同签订之日起至2026年9月15日前应完成本项目合同及标书条款要求。</w:t>
      </w:r>
      <w:r/>
    </w:p>
    <w:p>
      <w:pPr>
        <w:ind w:firstLine="560"/>
        <w:jc w:val="left"/>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2、服务地点：</w:t>
      </w:r>
      <w:r>
        <w:rPr>
          <w:rFonts w:hint="eastAsia" w:ascii="仿宋" w:hAnsi="仿宋" w:eastAsia="仿宋" w:cs="仿宋"/>
          <w:color w:val="auto"/>
          <w:sz w:val="28"/>
          <w:szCs w:val="28"/>
          <w:highlight w:val="none"/>
          <w:lang w:eastAsia="zh-CN"/>
        </w:rPr>
        <w:t xml:space="preserve">招标人</w:t>
      </w:r>
      <w:r>
        <w:rPr>
          <w:rFonts w:hint="eastAsia" w:ascii="仿宋" w:hAnsi="仿宋" w:eastAsia="仿宋" w:cs="仿宋"/>
          <w:color w:val="auto"/>
          <w:sz w:val="28"/>
          <w:szCs w:val="28"/>
          <w:highlight w:val="none"/>
        </w:rPr>
        <w:t xml:space="preserve">指定的</w:t>
      </w:r>
      <w:r>
        <w:rPr>
          <w:rFonts w:hint="eastAsia" w:ascii="仿宋" w:hAnsi="仿宋" w:eastAsia="仿宋" w:cs="仿宋"/>
          <w:color w:val="auto"/>
          <w:sz w:val="28"/>
          <w:szCs w:val="28"/>
          <w:highlight w:val="none"/>
          <w:lang w:val="en-US" w:eastAsia="zh-CN"/>
        </w:rPr>
        <w:t xml:space="preserve">地点</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五、采购标的需满足的服务标准、期限、效率等要求。</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1.中标人提供五年质保，质保期内免费升级更新，平台终身维护使用，其他按有关规定执行(国际标准、国家标准、行业标准或企业标准)。</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2.产品使用中，接到采购方电话通知后，在一小时内提供技术指导或远程维护，如需要在12小时（省外单位48小时）内派出技术人员到达用户现场进行相关服务。</w:t>
      </w:r>
      <w:r/>
    </w:p>
    <w:p>
      <w:pPr>
        <w:pStyle w:val="757"/>
        <w:ind w:firstLine="560"/>
        <w:spacing w:line="460" w:lineRule="exact"/>
        <w:tabs>
          <w:tab w:val="left" w:pos="7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3.质保期结束后，平台基础功能（院校自己已建有的资源）仍能正常使用，平台核心功能（智能互动、自动批阅、智能搜索与推荐、AIGC 备课助教工具、数字人等）均可在有算力的条件下持续正常使用，同时平台将持续保障专业教学资源的实时更新，确保教学科研业务不受影响。</w:t>
      </w:r>
      <w:r/>
    </w:p>
    <w:p>
      <w:pPr>
        <w:pStyle w:val="757"/>
        <w:ind w:firstLine="560"/>
        <w:spacing w:line="460" w:lineRule="exact"/>
        <w:tabs>
          <w:tab w:val="left" w:pos="7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五年后平台算力服务可采用季度采购、分批充值的模式执行：</w:t>
      </w:r>
      <w:r/>
    </w:p>
    <w:p>
      <w:pPr>
        <w:pStyle w:val="757"/>
        <w:ind w:firstLine="560"/>
        <w:spacing w:line="460" w:lineRule="exact"/>
        <w:tabs>
          <w:tab w:val="left" w:pos="7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（1）收费方式：按季度采购算力流量，首次采购不低于1个季度，后续可根据实际使用情况采购。</w:t>
      </w:r>
      <w:r/>
    </w:p>
    <w:p>
      <w:pPr>
        <w:pStyle w:val="757"/>
        <w:ind w:firstLine="560"/>
        <w:spacing w:line="460" w:lineRule="exact"/>
        <w:tabs>
          <w:tab w:val="left" w:pos="7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（2）费用上限：单季度算力采购费用标准不超过人民币 20,000 元/季度，具体费用以当期实际采购量及双方确认的价格为准。</w:t>
      </w:r>
      <w:r/>
    </w:p>
    <w:p>
      <w:pPr>
        <w:pStyle w:val="757"/>
        <w:ind w:firstLine="560"/>
        <w:spacing w:line="460" w:lineRule="exact"/>
        <w:tabs>
          <w:tab w:val="left" w:pos="7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（3）服务保障：每次充值的算力额度使用完毕前，平台将提供稳定的服务支持，不影响教学使用；额度使用完毕后，可通过下一批次充值延续服务，以此顺延循环。</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六、验收标准</w:t>
      </w:r>
      <w:r/>
    </w:p>
    <w:p>
      <w:pPr>
        <w:ind w:firstLine="560"/>
        <w:jc w:val="left"/>
        <w:spacing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预验收：合同签订后，9月15日前，中标人完成全部建设内容、系统部署、资源上线、功能调试及资料整理，向招标人提交完整验收申请材料（含实施文档、测试报告、功能说明、培训记录、相关视频与截图佐证材料等）。招标人组织预验收，对系统功能完整性、技术参数符合性、课程资源质量、平台稳定性、数据对接情况、文化布置完成度等逐项核验；预验收合格后，出具预验收合格报告。</w:t>
      </w:r>
      <w:r/>
    </w:p>
    <w:p>
      <w:pPr>
        <w:ind w:firstLine="560"/>
        <w:jc w:val="left"/>
        <w:spacing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2.试运行：预验收合格后，系统进入为期 2 个月的试运行期。试运行期间，中标人须提供全程技术值守、问题响应、功能优化与数据保障服务，确保平台稳定运行、各项功能正常可用、课程资源可正常教学使用、数据服务持续更新、智能体与数字人服务稳定有效。试运行期间需提供相关运行调试记录。试运行结束后，招标人组织正式验收，验收合格出具正式验收报告。</w:t>
      </w:r>
      <w:r/>
    </w:p>
    <w:p>
      <w:pPr>
        <w:ind w:firstLine="560"/>
        <w:jc w:val="left"/>
        <w:spacing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验收不合格的处理：验收过程中，若发现平台未达到专家评审意见或招标人要求的，中标人须在招标人给出整改意见后1周内完成整改；若整改后仍不符合要求，项目将不予验收，按验收不通过处理；招标人有权单方终止合同，并要求中标人退回前期所有款项，中标人需承担由此给招标人造成的全部损失。</w:t>
      </w:r>
      <w:r/>
    </w:p>
    <w:p>
      <w:pPr>
        <w:pStyle w:val="751"/>
        <w:ind w:firstLine="56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中标</w:t>
      </w:r>
      <w:r>
        <w:rPr>
          <w:rFonts w:hint="eastAsia" w:ascii="仿宋" w:hAnsi="仿宋" w:eastAsia="仿宋" w:cs="仿宋"/>
          <w:color w:val="auto"/>
          <w:sz w:val="28"/>
          <w:szCs w:val="28"/>
          <w:highlight w:val="none"/>
        </w:rPr>
        <w:t xml:space="preserve">单位不得将</w:t>
      </w:r>
      <w:r>
        <w:rPr>
          <w:rFonts w:hint="eastAsia" w:ascii="仿宋" w:hAnsi="仿宋" w:eastAsia="仿宋" w:cs="仿宋"/>
          <w:color w:val="auto"/>
          <w:sz w:val="28"/>
          <w:szCs w:val="28"/>
          <w:highlight w:val="none"/>
          <w:lang w:eastAsia="zh-CN"/>
        </w:rPr>
        <w:t xml:space="preserve">招标人</w:t>
      </w:r>
      <w:r>
        <w:rPr>
          <w:rFonts w:hint="eastAsia" w:ascii="仿宋" w:hAnsi="仿宋" w:eastAsia="仿宋" w:cs="仿宋"/>
          <w:color w:val="auto"/>
          <w:sz w:val="28"/>
          <w:szCs w:val="28"/>
          <w:highlight w:val="none"/>
        </w:rPr>
        <w:t xml:space="preserve">委托的</w:t>
      </w:r>
      <w:r>
        <w:rPr>
          <w:rFonts w:hint="eastAsia" w:ascii="仿宋" w:hAnsi="仿宋" w:eastAsia="仿宋" w:cs="仿宋"/>
          <w:color w:val="auto"/>
          <w:sz w:val="28"/>
          <w:szCs w:val="28"/>
          <w:highlight w:val="none"/>
          <w:lang w:val="en-US" w:eastAsia="zh-CN"/>
        </w:rPr>
        <w:t xml:space="preserve">本项目</w:t>
      </w:r>
      <w:r>
        <w:rPr>
          <w:rFonts w:hint="eastAsia" w:ascii="仿宋" w:hAnsi="仿宋" w:eastAsia="仿宋" w:cs="仿宋"/>
          <w:color w:val="auto"/>
          <w:sz w:val="28"/>
          <w:szCs w:val="28"/>
          <w:highlight w:val="none"/>
        </w:rPr>
        <w:t xml:space="preserve">业务转包给第三方，一经发现，本合同立即终止，并且成交投标单位必须承担相应的责任。</w:t>
      </w:r>
      <w:r/>
    </w:p>
    <w:p>
      <w:pPr>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rPr>
        <w:t xml:space="preserve">七、</w:t>
      </w:r>
      <w:r>
        <w:rPr>
          <w:rFonts w:hint="eastAsia" w:ascii="仿宋" w:hAnsi="仿宋" w:eastAsia="仿宋" w:cs="仿宋"/>
          <w:b/>
          <w:bCs/>
          <w:color w:val="auto"/>
          <w:sz w:val="28"/>
          <w:szCs w:val="28"/>
          <w:highlight w:val="none"/>
          <w:lang w:val="en-US" w:eastAsia="zh-CN" w:bidi="ar-SA"/>
        </w:rPr>
        <w:t xml:space="preserve">采购标的其他技术、服务等要求。</w:t>
      </w:r>
      <w:r/>
    </w:p>
    <w:p>
      <w:pPr>
        <w:ind w:firstLine="560"/>
        <w:jc w:val="left"/>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本项目发生以下情况一切安全责任均由中标单位负责，招标人不承担任何责任：中标单位人员在岗履行工作职责期间，发生自身的人身伤害、伤亡；中标单位违反国家相关法规，与聘用人员发生纠纷，均由中标单位负责调解与处理；中标单位在所有服务中违反国家相关法规或行业规范，因过失造成他人人身伤亡等，均由中标单位负责处理并承担经济和道义上的责任，招标人不承担任何责任。</w:t>
      </w:r>
      <w:r/>
    </w:p>
    <w:p>
      <w:pPr>
        <w:pStyle w:val="773"/>
        <w:ind w:firstLine="560"/>
        <w:pageBreakBefore w:val="0"/>
        <w:spacing w:before="0" w:beforeAutospacing="0" w:after="0" w:afterAutospacing="0" w:line="44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本项目各阶段具体服务点及服务内容及要求，请各投标单位自行查勘现场并结合招标文件内容后进行合理报价，若成交后中标单位以各种理由在招标文件规定的时间内不予签订合同及实施的，招标人将上报有关监管部门后将其列入信用黑名单，视情节轻重该单位将1-3年之内不能参加南通市政府采购相关活动。</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rPr>
        <w:t xml:space="preserve">安装、调试、培训要求：项目实施阶段安排专业技术人员现场实施，中标方对使用方进行免费使用培训。</w:t>
      </w:r>
      <w:r/>
    </w:p>
    <w:p>
      <w:pPr>
        <w:ind w:firstLine="560"/>
        <w:pageBreakBefore w:val="0"/>
        <w:spacing w:line="440" w:lineRule="exact"/>
        <w:widowControl w:val="off"/>
        <w:rPr>
          <w:rFonts w:hint="eastAsia" w:ascii="仿宋" w:hAnsi="仿宋" w:eastAsia="仿宋" w:cs="仿宋"/>
          <w:b/>
          <w:bCs/>
          <w:color w:val="auto"/>
          <w:sz w:val="28"/>
          <w:szCs w:val="28"/>
          <w:highlight w:val="none"/>
          <w:lang w:val="zh-CN"/>
        </w:rPr>
      </w:pPr>
      <w:r>
        <w:rPr>
          <w:rFonts w:hint="eastAsia" w:ascii="仿宋" w:hAnsi="仿宋" w:eastAsia="仿宋" w:cs="仿宋"/>
          <w:color w:val="auto"/>
          <w:sz w:val="28"/>
          <w:szCs w:val="28"/>
          <w:highlight w:val="none"/>
          <w:lang w:val="en-US" w:eastAsia="zh-CN" w:bidi="ar-SA"/>
        </w:rPr>
        <w:t xml:space="preserve">4、投标单位及团队人员应当对项目实施过程中获知的资料文件、 数据信息和项目过程中形成的阶段性数据、文件、成果等严格保密。 投标人应妥善保管招标人提供的资料、数据等，并在项目实施完毕后立即归还或按要求销毁，不得擅自复制或留存。</w:t>
      </w:r>
      <w:r/>
    </w:p>
    <w:p>
      <w:pPr>
        <w:jc w:val="left"/>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八、付款方式</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合同签订生效之日起，本项目安装调试完成后，于9月15日前预验收合格，采购人支付合同总额的60%。预验收合格后进入试运行期，试运行满2个月后完成正式验收，正式验收合格且经审计合格后，采购人支付剩余40％尾款。</w:t>
      </w:r>
      <w:r/>
    </w:p>
    <w:p>
      <w:pPr>
        <w:ind w:firstLine="56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付款前，</w:t>
      </w:r>
      <w:r>
        <w:rPr>
          <w:rFonts w:hint="eastAsia" w:ascii="仿宋" w:hAnsi="仿宋" w:eastAsia="仿宋" w:cs="仿宋"/>
          <w:color w:val="auto"/>
          <w:sz w:val="28"/>
          <w:szCs w:val="28"/>
          <w:highlight w:val="none"/>
        </w:rPr>
        <w:t xml:space="preserve">中标单位须</w:t>
      </w:r>
      <w:r>
        <w:rPr>
          <w:rFonts w:hint="eastAsia" w:ascii="仿宋" w:hAnsi="仿宋" w:eastAsia="仿宋" w:cs="仿宋"/>
          <w:color w:val="auto"/>
          <w:sz w:val="28"/>
          <w:szCs w:val="28"/>
          <w:highlight w:val="none"/>
          <w:lang w:val="zh-CN"/>
        </w:rPr>
        <w:t xml:space="preserve">提供与待付款金额一致的增值税发票</w:t>
      </w:r>
      <w:r>
        <w:rPr>
          <w:rFonts w:hint="eastAsia" w:ascii="仿宋" w:hAnsi="仿宋" w:eastAsia="仿宋" w:cs="仿宋"/>
          <w:color w:val="auto"/>
          <w:sz w:val="28"/>
          <w:szCs w:val="28"/>
          <w:highlight w:val="none"/>
        </w:rPr>
        <w:t xml:space="preserve">及相应的收款账户信息</w:t>
      </w:r>
      <w:r>
        <w:rPr>
          <w:rFonts w:hint="eastAsia" w:ascii="仿宋" w:hAnsi="仿宋" w:eastAsia="仿宋" w:cs="仿宋"/>
          <w:color w:val="auto"/>
          <w:sz w:val="28"/>
          <w:szCs w:val="28"/>
          <w:highlight w:val="none"/>
          <w:lang w:val="zh-CN"/>
        </w:rPr>
        <w:t xml:space="preserve">，如因</w:t>
      </w:r>
      <w:r>
        <w:rPr>
          <w:rFonts w:hint="eastAsia" w:ascii="仿宋" w:hAnsi="仿宋" w:eastAsia="仿宋" w:cs="仿宋"/>
          <w:color w:val="auto"/>
          <w:sz w:val="28"/>
          <w:szCs w:val="28"/>
          <w:highlight w:val="none"/>
        </w:rPr>
        <w:t xml:space="preserve">中标单位</w:t>
      </w:r>
      <w:r>
        <w:rPr>
          <w:rFonts w:hint="eastAsia" w:ascii="仿宋" w:hAnsi="仿宋" w:eastAsia="仿宋" w:cs="仿宋"/>
          <w:color w:val="auto"/>
          <w:sz w:val="28"/>
          <w:szCs w:val="28"/>
          <w:highlight w:val="none"/>
          <w:lang w:val="zh-CN"/>
        </w:rPr>
        <w:t xml:space="preserve">未及时提供发票或提供的信息有误或提供虚假发票，</w:t>
      </w:r>
      <w:r>
        <w:rPr>
          <w:rFonts w:hint="eastAsia" w:ascii="仿宋" w:hAnsi="仿宋" w:eastAsia="仿宋" w:cs="仿宋"/>
          <w:color w:val="auto"/>
          <w:sz w:val="28"/>
          <w:szCs w:val="28"/>
          <w:highlight w:val="none"/>
          <w:lang w:eastAsia="zh-CN"/>
        </w:rPr>
        <w:t xml:space="preserve">招标人</w:t>
      </w:r>
      <w:r>
        <w:rPr>
          <w:rFonts w:hint="eastAsia" w:ascii="仿宋" w:hAnsi="仿宋" w:eastAsia="仿宋" w:cs="仿宋"/>
          <w:color w:val="auto"/>
          <w:sz w:val="28"/>
          <w:szCs w:val="28"/>
          <w:highlight w:val="none"/>
          <w:lang w:val="zh-CN"/>
        </w:rPr>
        <w:t xml:space="preserve">有权对发票金额等值货款拒绝支付且不承担任何责任。</w:t>
      </w:r>
      <w:r/>
    </w:p>
    <w:p>
      <w:pPr>
        <w:ind w:firstLine="562"/>
        <w:jc w:val="left"/>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注明：对报价触发异常低价投标（响应）审查程序后仍中标（成交）的投标单位，</w:t>
      </w:r>
      <w:r>
        <w:rPr>
          <w:rFonts w:hint="eastAsia" w:ascii="仿宋" w:hAnsi="仿宋" w:eastAsia="仿宋" w:cs="仿宋"/>
          <w:b/>
          <w:bCs/>
          <w:color w:val="auto"/>
          <w:sz w:val="28"/>
          <w:szCs w:val="28"/>
          <w:highlight w:val="none"/>
          <w:lang w:eastAsia="zh-CN"/>
        </w:rPr>
        <w:t xml:space="preserve">招标人</w:t>
      </w:r>
      <w:r>
        <w:rPr>
          <w:rFonts w:hint="eastAsia" w:ascii="仿宋" w:hAnsi="仿宋" w:eastAsia="仿宋" w:cs="仿宋"/>
          <w:b/>
          <w:bCs/>
          <w:color w:val="auto"/>
          <w:sz w:val="28"/>
          <w:szCs w:val="28"/>
          <w:highlight w:val="none"/>
        </w:rPr>
        <w:t xml:space="preserve">要重点关注其履约承诺、实际履约情况等。对可以分期实施的采购项目，实行分期考核、分期验收、分期支付，及时掌握投标单位履约进展。如投标单位中标（成交）后无正当理由拒不签订本项目采购合同的，依法予以处理；如投标单位不履行合同或者未按合同约定履行合同导致验收不合格的，</w:t>
      </w:r>
      <w:r>
        <w:rPr>
          <w:rFonts w:hint="eastAsia" w:ascii="仿宋" w:hAnsi="仿宋" w:eastAsia="仿宋" w:cs="仿宋"/>
          <w:b/>
          <w:bCs/>
          <w:color w:val="auto"/>
          <w:sz w:val="28"/>
          <w:szCs w:val="28"/>
          <w:highlight w:val="none"/>
          <w:lang w:eastAsia="zh-CN"/>
        </w:rPr>
        <w:t xml:space="preserve">招标人</w:t>
      </w:r>
      <w:r>
        <w:rPr>
          <w:rFonts w:hint="eastAsia" w:ascii="仿宋" w:hAnsi="仿宋" w:eastAsia="仿宋" w:cs="仿宋"/>
          <w:b/>
          <w:bCs/>
          <w:color w:val="auto"/>
          <w:sz w:val="28"/>
          <w:szCs w:val="28"/>
          <w:highlight w:val="none"/>
        </w:rPr>
        <w:t xml:space="preserve">应当依法追究其违约责任。</w:t>
      </w:r>
      <w:r/>
    </w:p>
    <w:p>
      <w:pPr>
        <w:numPr>
          <w:ilvl w:val="0"/>
          <w:numId w:val="2"/>
        </w:numPr>
        <w:jc w:val="left"/>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履约保证金：</w:t>
      </w:r>
      <w:r/>
    </w:p>
    <w:p>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本项目成交后的履约保证金为项目成交价的10%，成交供应商的履约保证金须在成交通知书发出之日起至合同签订前汇入采购单位账户（应当以支票、汇票或者金融机构、担保机构出具</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无任何附件条件见索即付</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color w:val="auto"/>
          <w:sz w:val="28"/>
          <w:szCs w:val="28"/>
          <w:highlight w:val="none"/>
        </w:rPr>
        <w:t xml:space="preserve">保函等非现金形式提交），成交供应商凭成交通知书与采购单位签订合同。超期或未有协商，则视为自动放弃成交资格。</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2、本项目质保期5年，成交供应商全部履约合同义务后，经采购单位验收合格无质量问题的，采购人一次性退还履约保证金；</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3、发生以下情况的，履约保证金不予退还或部分退还：</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a.签订合同后，成交供应商不履行合同义务的，采购单位有权全额扣除履约保证金，全额不予退还，同时采购单位亦有权终止合同，中标供应商还须承担相应的法律赔偿责任。</w:t>
      </w:r>
      <w:r/>
    </w:p>
    <w:p>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w:t>
      </w:r>
      <w:r>
        <w:rPr>
          <w:rFonts w:hint="eastAsia" w:ascii="仿宋" w:hAnsi="仿宋" w:eastAsia="仿宋" w:cs="仿宋"/>
          <w:b/>
          <w:bCs/>
          <w:color w:val="auto"/>
          <w:sz w:val="28"/>
          <w:szCs w:val="28"/>
          <w:highlight w:val="none"/>
        </w:rPr>
        <w:t xml:space="preserve">非单一产品采购项目，采购标的中的核心产品：</w:t>
      </w:r>
      <w:r>
        <w:rPr>
          <w:rFonts w:hint="eastAsia" w:ascii="仿宋" w:hAnsi="仿宋" w:eastAsia="仿宋" w:cs="仿宋"/>
          <w:b/>
          <w:bCs/>
          <w:color w:val="auto"/>
          <w:sz w:val="28"/>
          <w:szCs w:val="28"/>
          <w:highlight w:val="none"/>
          <w:lang w:val="en-US" w:eastAsia="zh-CN"/>
        </w:rPr>
        <w:t xml:space="preserve">/</w:t>
      </w:r>
      <w:r/>
    </w:p>
    <w:p>
      <w:pPr>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十一、</w:t>
      </w:r>
      <w:r>
        <w:rPr>
          <w:rFonts w:hint="eastAsia" w:ascii="仿宋" w:hAnsi="仿宋" w:eastAsia="仿宋" w:cs="仿宋"/>
          <w:b/>
          <w:bCs/>
          <w:color w:val="auto"/>
          <w:sz w:val="28"/>
          <w:szCs w:val="28"/>
          <w:highlight w:val="none"/>
        </w:rPr>
        <w:t xml:space="preserve">采购需求中必须满足的实质性要求（请单独列出）：无</w:t>
      </w:r>
      <w:r/>
    </w:p>
    <w:p>
      <w:pPr>
        <w:spacing w:line="500" w:lineRule="exact"/>
        <w:rPr>
          <w:rFonts w:hint="eastAsia" w:ascii="仿宋" w:hAnsi="仿宋" w:eastAsia="仿宋" w:cs="仿宋"/>
          <w:b/>
          <w:color w:val="auto"/>
          <w:sz w:val="28"/>
          <w:szCs w:val="28"/>
          <w:highlight w:val="none"/>
        </w:rPr>
      </w:pPr>
      <w:r>
        <w:rPr>
          <w:rFonts w:hint="eastAsia" w:ascii="仿宋" w:hAnsi="仿宋" w:eastAsia="仿宋" w:cs="仿宋"/>
          <w:b/>
          <w:bCs/>
          <w:color w:val="auto"/>
          <w:sz w:val="28"/>
          <w:szCs w:val="28"/>
          <w:highlight w:val="none"/>
          <w:lang w:val="en-US" w:eastAsia="zh-CN"/>
        </w:rPr>
        <w:t xml:space="preserve">十二</w:t>
      </w:r>
      <w:bookmarkEnd w:id="0"/>
      <w:r/>
      <w:bookmarkEnd w:id="1"/>
      <w:r/>
      <w:bookmarkEnd w:id="2"/>
      <w:r>
        <w:rPr>
          <w:rFonts w:hint="eastAsia" w:ascii="仿宋" w:hAnsi="仿宋" w:eastAsia="仿宋" w:cs="仿宋"/>
          <w:b/>
          <w:bCs/>
          <w:color w:val="auto"/>
          <w:sz w:val="28"/>
          <w:szCs w:val="28"/>
          <w:highlight w:val="none"/>
          <w:lang w:val="en-US" w:eastAsia="zh-CN"/>
        </w:rPr>
        <w:t xml:space="preserve">、</w:t>
      </w:r>
      <w:r>
        <w:rPr>
          <w:rFonts w:hint="eastAsia" w:ascii="仿宋" w:hAnsi="仿宋" w:eastAsia="仿宋" w:cs="仿宋"/>
          <w:b/>
          <w:color w:val="auto"/>
          <w:sz w:val="28"/>
          <w:szCs w:val="28"/>
          <w:highlight w:val="none"/>
        </w:rPr>
        <w:t xml:space="preserve">演示讲解</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bCs/>
          <w:color w:val="auto"/>
          <w:sz w:val="28"/>
          <w:szCs w:val="28"/>
          <w:highlight w:val="none"/>
        </w:rPr>
        <w:t xml:space="preserve">投标人须进行演示讲解，演示讲解方式为视频录制（要求演示视频为真实系统的操作录屏，拒绝PPT讲解视频或其他动画视频。所有演示视频文件压缩后总时长不超过40分钟且大小控制在300M内（视频文件直接上传至系统）。演示视频未提供或者无法打开的视为未实质性响应。</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演示内容如下（带“★”部分为核心技术指标，共4项，不接受负偏离；带“▲”部分为重要技术指标，共11项，有一项负偏离扣4分，超过5条</w:t>
      </w:r>
      <w:r>
        <w:rPr>
          <w:rFonts w:hint="eastAsia" w:ascii="仿宋" w:hAnsi="仿宋" w:eastAsia="仿宋" w:cs="仿宋"/>
          <w:bCs/>
          <w:color w:val="auto"/>
          <w:sz w:val="28"/>
          <w:szCs w:val="28"/>
          <w:highlight w:val="none"/>
        </w:rPr>
        <w:t xml:space="preserve">（含）负偏离，则作为无效响应；</w:t>
      </w:r>
      <w:r>
        <w:rPr>
          <w:rFonts w:hint="eastAsia" w:ascii="仿宋" w:hAnsi="仿宋" w:eastAsia="仿宋" w:cs="仿宋"/>
          <w:color w:val="auto"/>
          <w:sz w:val="28"/>
          <w:szCs w:val="28"/>
          <w:highlight w:val="none"/>
        </w:rPr>
        <w:t xml:space="preserve">所需演示的内容需在投标文件中提供功能截图（加盖公章）及相关演示视频）：</w:t>
      </w:r>
      <w:r/>
    </w:p>
    <w:p>
      <w:pPr>
        <w:ind w:firstLine="56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人工智能大模型教研应用平台</w:t>
      </w:r>
      <w:r/>
    </w:p>
    <w:p>
      <w:pPr>
        <w:ind w:firstLine="560"/>
        <w:jc w:val="left"/>
        <w:spacing w:line="276"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color w:val="auto"/>
          <w:sz w:val="28"/>
          <w:szCs w:val="28"/>
          <w:highlight w:val="none"/>
        </w:rPr>
        <w:instrText xml:space="preserve"> = 1 \* GB3 </w:instrText>
      </w:r>
      <w:r>
        <w:rPr>
          <w:rFonts w:hint="eastAsia" w:ascii="仿宋" w:hAnsi="仿宋" w:eastAsia="仿宋" w:cs="仿宋"/>
          <w:bCs/>
          <w:color w:val="auto"/>
          <w:sz w:val="28"/>
          <w:szCs w:val="28"/>
          <w:highlight w:val="none"/>
        </w:rPr>
        <w:fldChar w:fldCharType="separate"/>
      </w:r>
      <w:r>
        <w:rPr>
          <w:rFonts w:hint="eastAsia" w:ascii="仿宋" w:hAnsi="仿宋" w:eastAsia="仿宋" w:cs="仿宋"/>
          <w:bCs/>
          <w:color w:val="auto"/>
          <w:sz w:val="28"/>
          <w:szCs w:val="28"/>
          <w:highlight w:val="none"/>
        </w:rPr>
        <w:t xml:space="preserve">①</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★AI导师支持至少包含中、英2种语言切换交互，可通过至少2种语言自由输入和输出。</w:t>
      </w:r>
      <w:r/>
    </w:p>
    <w:p>
      <w:pPr>
        <w:ind w:firstLine="560"/>
        <w:jc w:val="left"/>
        <w:spacing w:line="276"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color w:val="auto"/>
          <w:sz w:val="28"/>
          <w:szCs w:val="28"/>
          <w:highlight w:val="none"/>
        </w:rPr>
        <w:instrText xml:space="preserve"> = 2 \* GB3 </w:instrText>
      </w:r>
      <w:r>
        <w:rPr>
          <w:rFonts w:hint="eastAsia" w:ascii="仿宋" w:hAnsi="仿宋" w:eastAsia="仿宋" w:cs="仿宋"/>
          <w:bCs/>
          <w:color w:val="auto"/>
          <w:sz w:val="28"/>
          <w:szCs w:val="28"/>
          <w:highlight w:val="none"/>
        </w:rPr>
        <w:fldChar w:fldCharType="separate"/>
      </w:r>
      <w:r>
        <w:rPr>
          <w:rFonts w:hint="eastAsia" w:ascii="仿宋" w:hAnsi="仿宋" w:eastAsia="仿宋" w:cs="仿宋"/>
          <w:bCs/>
          <w:color w:val="auto"/>
          <w:sz w:val="28"/>
          <w:szCs w:val="28"/>
          <w:highlight w:val="none"/>
        </w:rPr>
        <w:t xml:space="preserve">②</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▲课程具备课程简介、课程目录、讨论区、课程学习、知识测验、课后作业、学情分析等功能。</w:t>
      </w:r>
      <w:r/>
    </w:p>
    <w:p>
      <w:pPr>
        <w:ind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③▲具备智能创课功能。凭借大模型强大的智能算法能力，通过提示词可一键快速生成一门完整的汽车相关数字课程。AI可自动生成课程，自动梳理各章节内容，规划课程设计，生成学习课件、教案和实训工单等教学资料，并根据目录大纲内容，自动匹配相关的平台资源进行整合。</w:t>
      </w:r>
      <w:r/>
    </w:p>
    <w:p>
      <w:pPr>
        <w:ind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④▲具备AI教案生成功能。可通过自然语言提示词如任务名称、教学内容和学时自动生成教案；还可通过上传doc、docx、pdf、ppt、pptx、png、jpg、jpeg格式附件生成教案。附件支持上传文档或从文档库调用，上传文档支持将文件直接拖拽至对话区。生成的教案中可根据近期的热点内容生成对应主题的思政教学案例，并用红色进行标注；此外还需提供思政案例的原文网页链接。生成的教案支持在线预览、在线编辑；支持以word格式下载到本地；支持全文一键复制；支持添加至文档库等功能。</w:t>
      </w:r>
      <w:r/>
    </w:p>
    <w:p>
      <w:pPr>
        <w:ind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⑤▲具备AI工单生成功能。可通过自然语言提示词如任务名称、教学内容自动生成工单。还可通过上传学习材料生成实训工单。学习材料支持本地上传或从文档库调用。生成的工单支持在线预览、在线编辑；支持以word格式下载到本地；支持全文一键复制；支持添加至文档库等功能。</w:t>
      </w:r>
      <w:r/>
    </w:p>
    <w:p>
      <w:pPr>
        <w:ind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⑥▲具备AI课件生成功能。可通过自然语言提示词自动生成课件。课件生成过程中支持对课件大纲进行调整；具备鼠标拖曳调整目录层级、新增条目、新增子条目、删除条目、编辑条目等功能。生成的课件支持编辑大纲、重新生成、替换单页、一键换肤等功能。替换单页支持单页PPT的布局调整替换；一键换肤支持整体风格替换。同时，生成的课件还支持保存至课件库或下载至本地。</w:t>
      </w:r>
      <w:r/>
    </w:p>
    <w:p>
      <w:pPr>
        <w:ind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⑦★具备AI出题功能。可通过自然语言提示词自动生成对应需求的试题，试题类型包括单选题、多选题、判断题、填空题、问答题。生成的试题内容包含试题类型、题目、答案、解析和知识点标签等，生成的内容均支持人工修改。生成的试题还可添加到备选试题库中，支持一键添加至备选和单个试题的添加至备选。通过AI生成的试题，具有AI标识，符合伦理规范。</w:t>
      </w:r>
      <w:r/>
    </w:p>
    <w:p>
      <w:pPr>
        <w:ind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⑧★具备AI数字人功能。平台能够将AI虚拟人物形象与课件有机融合，利用AI智能语音，快速生成高品质教学视频。数字人课件具备智能一键生成讲稿功能，与课件内容快速匹配，节约备课时间；同时支持数字人形象复刻、声音复刻定制后植入平台。</w:t>
      </w:r>
      <w:r/>
    </w:p>
    <w:p>
      <w:pPr>
        <w:ind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⑨▲具备备课功能。可完成创建新的课程、上架/下架课程、关联智能体、关联图谱、课程编辑等操作。同时，可查看学习课程的人数等数据。投标文件中提供功能截图（加盖公章）及相关演示视频；视频时长不超过5分钟。</w:t>
      </w:r>
      <w:r/>
    </w:p>
    <w:p>
      <w:pPr>
        <w:ind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⑩▲具备资源管理模块。可对视频、音频、文档、课件、图片、仿真等类型资源进行增、删、改、查，启用/禁用等操作。资源管理中可对每个资源关联多标签值。关联标签支持AI关联和人工关联，并支持管理配置。</w:t>
      </w:r>
      <w:r/>
    </w:p>
    <w:p>
      <w:pPr>
        <w:ind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⑪▲具备图谱模板管理功能。支持知识点、技能点、问题点、能力点个性化图谱图层配置；支持名称位置、文字颜色、图层背景色、图像显示效果、图层边框样式、节点名称位置、节点文字颜色、节点形状、节点形状底色等配置；支持图谱关系的个性化配置，包括节点关系的连线类型、连线样式、连线颜色、文字颜色、文字背景色等配置。</w:t>
      </w:r>
      <w:r/>
    </w:p>
    <w:p>
      <w:pPr>
        <w:ind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⑫▲支持图谱进行新建、预览、编辑、删除、提交、审核并发布。其中所有管理权限均可依托权限管理由用户自行分配，达到对图谱内容把控的需求。</w:t>
      </w:r>
      <w:r/>
    </w:p>
    <w:p>
      <w:pPr>
        <w:ind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⑬★具备图谱与课程关联的功能。知识图谱作为课程知识体系可在学习课堂中展现，并支持与学情联动；具备AI分析能力，AI基于用户薄弱点进行知识图谱中的元知识溯源，溯源的知识图谱中包含薄弱知识点及相关知识点的学习视频，智能形成个性化、可视化的学习轨迹。</w:t>
      </w:r>
      <w:r/>
    </w:p>
    <w:p>
      <w:pPr>
        <w:ind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⑭▲具备个性化资源推荐功能，可通过一句话描述学习需求，系统通过AI能力给出对应的多模态的学习资源或个性化学习图谱，匹配的多模态资源包括视频、音频、文档、PPT、图片类型。</w:t>
      </w:r>
      <w:r/>
    </w:p>
    <w:p>
      <w:pPr>
        <w:ind w:firstLine="56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⑮▲具备AI强化推荐学习功能。AI可根据错误题目推荐强化学习资源，用户可一键观看。</w:t>
      </w:r>
      <w:r/>
    </w:p>
    <w:p>
      <w:pPr>
        <w:ind w:firstLine="560"/>
        <w:jc w:val="left"/>
        <w:rPr>
          <w:rFonts w:hint="eastAsia" w:ascii="仿宋" w:hAnsi="仿宋" w:eastAsia="仿宋" w:cs="仿宋"/>
          <w:bCs/>
          <w:color w:val="auto"/>
          <w:sz w:val="36"/>
          <w:szCs w:val="36"/>
          <w:highlight w:val="none"/>
        </w:rPr>
      </w:pPr>
      <w:r>
        <w:rPr>
          <w:rFonts w:hint="eastAsia" w:ascii="仿宋" w:hAnsi="仿宋" w:eastAsia="仿宋" w:cs="仿宋"/>
          <w:bCs/>
          <w:color w:val="auto"/>
          <w:sz w:val="28"/>
          <w:szCs w:val="28"/>
          <w:highlight w:val="none"/>
        </w:rPr>
        <w:t xml:space="preserve">注：其中带★参数不接受负偏离，带▲参数负偏离超过5条（含），则作为无效响应。</w:t>
      </w:r>
      <w:r/>
    </w:p>
    <w:p>
      <w:pPr>
        <w:ind w:firstLine="562"/>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 xml:space="preserve">十三、</w:t>
      </w:r>
      <w:r>
        <w:rPr>
          <w:rFonts w:hint="eastAsia" w:ascii="仿宋" w:hAnsi="仿宋" w:eastAsia="仿宋" w:cs="仿宋"/>
          <w:b/>
          <w:bCs w:val="0"/>
          <w:color w:val="auto"/>
          <w:sz w:val="28"/>
          <w:szCs w:val="28"/>
          <w:highlight w:val="none"/>
        </w:rPr>
        <w:t xml:space="preserve">政府采购中实施本国产品标准及相关政策</w:t>
      </w:r>
      <w:r/>
    </w:p>
    <w:p>
      <w:pPr>
        <w:ind w:firstLine="480"/>
        <w:spacing w:line="4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1.本项目对采购本国产品给予政策支持，具体内容见招标文件第四章具体内容。</w:t>
      </w:r>
      <w:r/>
    </w:p>
    <w:p>
      <w:pPr>
        <w:ind w:firstLine="480"/>
        <w:spacing w:line="4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9"/>
        <w:rPr>
          <w:rFonts w:hint="eastAsia" w:ascii="仿宋" w:hAnsi="仿宋" w:eastAsia="仿宋" w:cs="仿宋"/>
          <w:color w:val="auto"/>
          <w:spacing w:val="-1"/>
          <w:sz w:val="28"/>
          <w:szCs w:val="28"/>
          <w:highlight w:val="none"/>
        </w:rPr>
      </w:pPr>
      <w:r>
        <w:rPr>
          <w:rFonts w:hint="eastAsia" w:ascii="仿宋" w:hAnsi="仿宋" w:eastAsia="仿宋" w:cs="仿宋"/>
          <w:bCs/>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1"/>
        <w:ind w:left="44"/>
        <w:spacing w:before="46" w:line="288" w:lineRule="auto"/>
        <w:rPr>
          <w:rFonts w:hint="eastAsia" w:ascii="仿宋" w:hAnsi="仿宋" w:eastAsia="仿宋" w:cs="仿宋"/>
          <w:bCs/>
          <w:color w:val="auto"/>
          <w:sz w:val="28"/>
          <w:szCs w:val="28"/>
          <w:highlight w:val="none"/>
          <w:lang w:val="en-US" w:eastAsia="zh-CN" w:bidi="ar-SA"/>
        </w:rPr>
        <w:outlineLvl w:val="4"/>
      </w:pPr>
      <w:r>
        <w:rPr>
          <w:rFonts w:hint="eastAsia" w:ascii="仿宋" w:hAnsi="仿宋" w:eastAsia="仿宋" w:cs="仿宋"/>
          <w:bCs/>
          <w:color w:val="auto"/>
          <w:sz w:val="28"/>
          <w:szCs w:val="28"/>
          <w:highlight w:val="none"/>
          <w:lang w:val="en-US" w:eastAsia="zh-CN" w:bidi="ar-SA"/>
        </w:rPr>
        <w:t xml:space="preserve">十四、本项目不接受进口产品投标。</w:t>
      </w:r>
      <w:r/>
    </w:p>
    <w:p>
      <w:pPr>
        <w:pStyle w:val="751"/>
        <w:ind w:left="44"/>
        <w:spacing w:before="142" w:line="288" w:lineRule="auto"/>
        <w:rPr>
          <w:rFonts w:hint="eastAsia" w:ascii="仿宋" w:hAnsi="仿宋" w:eastAsia="仿宋" w:cs="仿宋"/>
          <w:color w:val="auto"/>
          <w:sz w:val="28"/>
          <w:szCs w:val="28"/>
          <w:highlight w:val="none"/>
        </w:rPr>
        <w:outlineLvl w:val="4"/>
      </w:pPr>
      <w:r>
        <w:rPr>
          <w:rFonts w:hint="eastAsia" w:ascii="仿宋" w:hAnsi="仿宋" w:eastAsia="仿宋" w:cs="仿宋"/>
          <w:b/>
          <w:bCs/>
          <w:color w:val="auto"/>
          <w:spacing w:val="-4"/>
          <w:sz w:val="28"/>
          <w:szCs w:val="28"/>
          <w:highlight w:val="none"/>
          <w:lang w:val="en-US" w:eastAsia="zh-CN"/>
        </w:rPr>
        <w:t xml:space="preserve">十五、</w:t>
      </w:r>
      <w:r>
        <w:rPr>
          <w:rFonts w:hint="eastAsia" w:ascii="仿宋" w:hAnsi="仿宋" w:eastAsia="仿宋" w:cs="仿宋"/>
          <w:b/>
          <w:bCs/>
          <w:color w:val="auto"/>
          <w:spacing w:val="-4"/>
          <w:sz w:val="28"/>
          <w:szCs w:val="28"/>
          <w:highlight w:val="none"/>
        </w:rPr>
        <w:t xml:space="preserve">样品：无</w:t>
      </w:r>
      <w:r/>
    </w:p>
    <w:p>
      <w:pPr>
        <w:spacing w:line="288" w:lineRule="auto"/>
        <w:rPr>
          <w:rFonts w:hint="eastAsia" w:ascii="仿宋" w:hAnsi="仿宋" w:eastAsia="仿宋" w:cs="仿宋"/>
          <w:color w:val="auto"/>
          <w:sz w:val="28"/>
          <w:szCs w:val="28"/>
          <w:highlight w:val="none"/>
        </w:rPr>
        <w:sectPr>
          <w:footerReference w:type="default" r:id="rId11"/>
          <w:footnotePr/>
          <w:endnotePr/>
          <w:type w:val="nextPage"/>
          <w:pgSz w:w="11906" w:h="16839" w:orient="portrait"/>
          <w:pgMar w:top="1431" w:right="1785" w:bottom="1176" w:left="1785" w:header="0" w:footer="989" w:gutter="0"/>
          <w:cols w:num="1" w:sep="0" w:space="720" w:equalWidth="1"/>
          <w:docGrid w:linePitch="360"/>
        </w:sectPr>
      </w:pPr>
      <w:r>
        <w:rPr>
          <w:rFonts w:hint="eastAsia" w:ascii="仿宋" w:hAnsi="仿宋" w:eastAsia="仿宋" w:cs="仿宋"/>
          <w:color w:val="auto"/>
          <w:sz w:val="28"/>
          <w:szCs w:val="28"/>
          <w:highlight w:val="none"/>
        </w:rPr>
      </w:r>
      <w:r/>
    </w:p>
    <w:p>
      <w:pPr>
        <w:ind w:firstLine="1807"/>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t xml:space="preserve">第四部分  开标和评标</w:t>
      </w:r>
      <w:r/>
    </w:p>
    <w:p>
      <w:pPr>
        <w:pStyle w:val="1011"/>
        <w:ind w:left="0" w:right="0" w:firstLine="562"/>
        <w:jc w:val="left"/>
        <w:spacing w:before="0" w:after="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一、开标</w:t>
      </w:r>
      <w:r/>
    </w:p>
    <w:p>
      <w:pPr>
        <w:ind w:firstLine="537"/>
        <w:spacing w:line="360" w:lineRule="auto"/>
        <w:tabs>
          <w:tab w:val="left" w:pos="3585"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不见面远程开标模式：投标单位在各自地点通过“苏采云”不见面交易系统参加开标会。</w:t>
      </w:r>
      <w:r/>
    </w:p>
    <w:p>
      <w:pPr>
        <w:pStyle w:val="1011"/>
        <w:ind w:left="0" w:right="0" w:firstLine="562"/>
        <w:jc w:val="left"/>
        <w:spacing w:before="0" w:after="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二、评标流程和评标标准</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采用综合评分法。分资格审查、符合性审查、商务技术标、价格标四部分评审，总分值为100分，加分和减分因素除外。</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首先由</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对投标单位资格进行审查，然后评标委员会对符合资格的投标单位的投标文件进行符合性审查，最后评标委员会对符合性审查合格的投标文件商务、技术部分进行评估，综合比较与评价。待商务技术标评审结束后，进行价格标的评审。投标单位商务、技术部分和价格部分的合计分值，为该投标单位的评标总得分。</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pStyle w:val="773"/>
        <w:ind w:firstLine="562"/>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（一）本项目如出现以下情形的，评标小组将启动政府采购启动异常低价投标（响应）审查程序：</w:t>
      </w:r>
      <w:r/>
    </w:p>
    <w:p>
      <w:pPr>
        <w:pStyle w:val="773"/>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1.投标（响应）报价低于全部通过符合性审查投标单位投标（响应）报价平均值50%的，即投标（响应）报价&lt;全部通过符合性审查投标单位投标（响应）报价平均值×50%；</w:t>
      </w:r>
      <w:r/>
    </w:p>
    <w:p>
      <w:pPr>
        <w:pStyle w:val="773"/>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2.投标（响应）报价低于通过符合性审查的次低报价投标单位投标（响应）报价50%的，即投标（响应）报价&lt;通过符合性审查的次低报价投标单位投标（响应）报价×50%；</w:t>
      </w:r>
      <w:r/>
    </w:p>
    <w:p>
      <w:pPr>
        <w:pStyle w:val="773"/>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3.投标（响应）报价低于采购项目最高限价45%的，即投标（响应）报价&lt;采购项目最高限价×45%；</w:t>
      </w:r>
      <w:r/>
    </w:p>
    <w:p>
      <w:pPr>
        <w:pStyle w:val="773"/>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4.评审委员会基于专业判断，认为投标单位报价过低，有可能影响产品质量或者不能诚信履约的其他情形。</w:t>
      </w:r>
      <w:r/>
    </w:p>
    <w:p>
      <w:pPr>
        <w:pStyle w:val="773"/>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二）评审委员会启动异常低价投标（响应）审查后，属于前述第1项至第4项情形的，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773"/>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审委员会应当将其作为无效投标（响应）处理。</w:t>
      </w:r>
      <w:r/>
    </w:p>
    <w:p>
      <w:pPr>
        <w:pStyle w:val="773"/>
        <w:ind w:firstLine="646"/>
        <w:jc w:val="both"/>
        <w:spacing w:before="0" w:beforeAutospacing="0" w:after="0" w:afterAutospacing="0"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 xml:space="preserve">招标人</w:t>
      </w:r>
      <w:r>
        <w:rPr>
          <w:rFonts w:hint="eastAsia" w:ascii="仿宋" w:hAnsi="仿宋" w:eastAsia="仿宋" w:cs="仿宋"/>
          <w:b/>
          <w:color w:val="auto"/>
          <w:sz w:val="28"/>
          <w:szCs w:val="28"/>
          <w:highlight w:val="none"/>
        </w:rPr>
        <w:t xml:space="preserve">、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73"/>
        <w:ind w:firstLine="646"/>
        <w:jc w:val="both"/>
        <w:spacing w:before="0" w:beforeAutospacing="0" w:after="0" w:afterAutospacing="0"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异常低价投标（响应）审查的启动原因、审查意见和审查结果应当在评审报告中记录，并随投标单位提供的相关书面说明及证明材料，以及评审委员会有关互联网浏览、查询历史一并归档。</w:t>
      </w:r>
      <w:r/>
    </w:p>
    <w:p>
      <w:pPr>
        <w:pStyle w:val="773"/>
        <w:ind w:firstLine="646"/>
        <w:jc w:val="both"/>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三、评委在认真审阅投标文件的基础上，根据各投标文件的响应程度独立评判，不得统一打分。</w:t>
      </w:r>
      <w:r/>
    </w:p>
    <w:p>
      <w:pPr>
        <w:ind w:firstLine="41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（代表）对投标单位资格进行审查。</w:t>
      </w:r>
      <w:r/>
    </w:p>
    <w:p>
      <w:pPr>
        <w:pStyle w:val="1015"/>
        <w:ind w:firstLine="577"/>
        <w:spacing w:line="360" w:lineRule="auto"/>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 xml:space="preserve">投标单位资格不合格的，其投标文件判定为无效投标文件。</w:t>
      </w:r>
      <w:r/>
    </w:p>
    <w:p>
      <w:pPr>
        <w:ind w:firstLine="413"/>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（二）评标委员会对符合资格投标单位的投标文件进行符合性审查。</w:t>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符合性审查要求</w:t>
      </w:r>
      <w:r/>
    </w:p>
    <w:tbl>
      <w:tblPr>
        <w:tblStyle w:val="745"/>
        <w:tblW w:w="7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4"/>
      </w:tblGrid>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没有《招标文件》不允许的附加条件。</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zh-CN"/>
              </w:rPr>
              <w:t xml:space="preserve">按《招标文件》要求</w:t>
            </w:r>
            <w:r>
              <w:rPr>
                <w:rFonts w:hint="eastAsia" w:ascii="仿宋" w:hAnsi="仿宋" w:eastAsia="仿宋" w:cs="仿宋"/>
                <w:bCs/>
                <w:color w:val="auto"/>
                <w:sz w:val="28"/>
                <w:szCs w:val="28"/>
                <w:highlight w:val="none"/>
              </w:rPr>
              <w:t xml:space="preserve">提供承诺书</w:t>
            </w:r>
            <w:r>
              <w:rPr>
                <w:rFonts w:hint="eastAsia" w:ascii="仿宋" w:hAnsi="仿宋" w:eastAsia="仿宋" w:cs="仿宋"/>
                <w:bCs/>
                <w:color w:val="auto"/>
                <w:sz w:val="28"/>
                <w:szCs w:val="28"/>
                <w:highlight w:val="none"/>
                <w:lang w:val="zh-CN"/>
              </w:rPr>
              <w:t xml:space="preserve">。</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没有无效投标条款。</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没有串通投标情形。</w:t>
            </w:r>
            <w:r/>
          </w:p>
        </w:tc>
      </w:tr>
    </w:tbl>
    <w:p>
      <w:pPr>
        <w:pStyle w:val="1015"/>
        <w:ind w:firstLine="577"/>
        <w:spacing w:line="360" w:lineRule="auto"/>
        <w:rPr>
          <w:rFonts w:hint="eastAsia" w:ascii="仿宋" w:hAnsi="仿宋" w:eastAsia="仿宋" w:cs="仿宋"/>
          <w:b/>
          <w:bCs/>
          <w:color w:val="auto"/>
          <w:sz w:val="28"/>
          <w:highlight w:val="none"/>
          <w:u w:val="single"/>
        </w:rPr>
      </w:pPr>
      <w:r>
        <w:rPr>
          <w:rFonts w:hint="eastAsia" w:ascii="仿宋" w:hAnsi="仿宋" w:eastAsia="仿宋" w:cs="仿宋"/>
          <w:b/>
          <w:bCs/>
          <w:color w:val="auto"/>
          <w:sz w:val="28"/>
          <w:highlight w:val="none"/>
          <w:u w:val="single"/>
        </w:rPr>
        <w:t xml:space="preserve">未通过符合性审查的投标文件，将被判为不满足招标文件实质性要求。</w:t>
      </w:r>
      <w:r/>
    </w:p>
    <w:p>
      <w:pPr>
        <w:pStyle w:val="1043"/>
        <w:numPr>
          <w:ilvl w:val="0"/>
          <w:numId w:val="3"/>
        </w:numPr>
        <w:ind w:firstLine="280"/>
        <w:spacing w:before="0" w:beforeAutospacing="0" w:after="0" w:afterAutospacing="0" w:line="360" w:lineRule="auto"/>
        <w:rPr>
          <w:rFonts w:hint="eastAsia" w:ascii="仿宋" w:hAnsi="仿宋" w:eastAsia="仿宋" w:cs="仿宋"/>
          <w:bCs/>
          <w:color w:val="auto"/>
          <w:sz w:val="28"/>
          <w:szCs w:val="28"/>
          <w:highlight w:val="none"/>
          <w:lang w:eastAsia="en-US"/>
        </w:rPr>
      </w:pPr>
      <w:r>
        <w:rPr>
          <w:rFonts w:hint="eastAsia" w:ascii="仿宋" w:hAnsi="仿宋" w:eastAsia="仿宋" w:cs="仿宋"/>
          <w:bCs/>
          <w:color w:val="auto"/>
          <w:sz w:val="28"/>
          <w:szCs w:val="28"/>
          <w:highlight w:val="none"/>
          <w:lang w:eastAsia="en-US"/>
        </w:rPr>
        <w:t xml:space="preserve">综合评分评审标准</w:t>
      </w:r>
      <w:r/>
    </w:p>
    <w:p>
      <w:pPr>
        <w:ind w:firstLine="482"/>
        <w:spacing w:line="360" w:lineRule="auto"/>
        <w:rPr>
          <w:rFonts w:hint="eastAsia" w:ascii="仿宋" w:hAnsi="仿宋" w:eastAsia="仿宋" w:cs="仿宋"/>
          <w:bCs/>
          <w:color w:val="auto"/>
          <w:sz w:val="28"/>
          <w:szCs w:val="28"/>
          <w:highlight w:val="none"/>
          <w:lang w:eastAsia="en-US"/>
        </w:rPr>
      </w:pP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一）商务技术标评分：（70分）</w:t>
      </w:r>
      <w:r/>
    </w:p>
    <w:tbl>
      <w:tblPr>
        <w:tblStyle w:val="745"/>
        <w:tblpPr w:horzAnchor="page" w:tblpX="800" w:vertAnchor="text" w:tblpY="558" w:leftFromText="180" w:topFromText="0" w:rightFromText="180" w:bottomFromText="0"/>
        <w:tblW w:w="95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7"/>
        <w:gridCol w:w="734"/>
        <w:gridCol w:w="7439"/>
        <w:gridCol w:w="876"/>
      </w:tblGrid>
      <w:tr>
        <w:trPr/>
        <w:tc>
          <w:tcPr>
            <w:tcW w:w="0" w:type="auto"/>
            <w:vAlign w:val="center"/>
            <w:textDirection w:val="lrTb"/>
            <w:noWrap w:val="false"/>
          </w:tcPr>
          <w:p>
            <w:pPr>
              <w:ind w:left="0" w:right="0" w:firstLine="0"/>
              <w:jc w:val="both"/>
              <w:rPr>
                <w:rFonts w:hint="eastAsia" w:ascii="仿宋" w:hAnsi="仿宋" w:eastAsia="仿宋" w:cs="仿宋"/>
                <w:b/>
                <w:color w:val="auto"/>
                <w:szCs w:val="21"/>
                <w:highlight w:val="none"/>
              </w:rPr>
            </w:pPr>
            <w:r>
              <w:rPr>
                <w:rFonts w:hint="eastAsia" w:ascii="仿宋" w:hAnsi="仿宋" w:eastAsia="仿宋" w:cs="仿宋"/>
                <w:b/>
                <w:bCs/>
                <w:color w:val="auto"/>
                <w:szCs w:val="21"/>
                <w:highlight w:val="none"/>
              </w:rPr>
              <w:t xml:space="preserve">序号</w:t>
            </w:r>
            <w:r/>
          </w:p>
        </w:tc>
        <w:tc>
          <w:tcPr>
            <w:tcW w:w="0" w:type="auto"/>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b/>
                <w:bCs/>
                <w:color w:val="auto"/>
                <w:szCs w:val="21"/>
                <w:highlight w:val="none"/>
              </w:rPr>
              <w:t xml:space="preserve">评分因素</w:t>
            </w:r>
            <w:r/>
          </w:p>
        </w:tc>
        <w:tc>
          <w:tcPr>
            <w:tcW w:w="0" w:type="auto"/>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b/>
                <w:bCs/>
                <w:color w:val="auto"/>
                <w:szCs w:val="21"/>
                <w:highlight w:val="none"/>
              </w:rPr>
              <w:t xml:space="preserve">评审标准</w:t>
            </w:r>
            <w:r/>
          </w:p>
        </w:tc>
        <w:tc>
          <w:tcPr>
            <w:tcW w:w="876" w:type="dxa"/>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b/>
                <w:bCs/>
                <w:color w:val="auto"/>
                <w:szCs w:val="21"/>
                <w:highlight w:val="none"/>
              </w:rPr>
              <w:t xml:space="preserve">分值</w:t>
            </w:r>
            <w:r/>
          </w:p>
        </w:tc>
      </w:tr>
      <w:tr>
        <w:trPr/>
        <w:tc>
          <w:tcPr>
            <w:tcW w:w="0" w:type="auto"/>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1</w:t>
            </w:r>
            <w:r/>
          </w:p>
        </w:tc>
        <w:tc>
          <w:tcPr>
            <w:tcW w:w="0" w:type="auto"/>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技术指标</w:t>
            </w:r>
            <w:r/>
          </w:p>
        </w:tc>
        <w:tc>
          <w:tcPr>
            <w:tcW w:w="0" w:type="auto"/>
            <w:vAlign w:val="center"/>
            <w:textDirection w:val="lrTb"/>
            <w:noWrap w:val="false"/>
          </w:tcPr>
          <w:p>
            <w:pPr>
              <w:ind w:left="0" w:right="0" w:firstLine="0"/>
              <w:tabs>
                <w:tab w:val="left" w:pos="1177" w:leader="none"/>
                <w:tab w:val="left" w:pos="1498"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①投标产品的技术参数完全满足招标文件要求，得44分；</w:t>
            </w:r>
            <w:r/>
          </w:p>
          <w:p>
            <w:pPr>
              <w:ind w:left="0" w:right="0" w:firstLine="0"/>
              <w:tabs>
                <w:tab w:val="left" w:pos="1177" w:leader="none"/>
                <w:tab w:val="left" w:pos="1498"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②带有“★”项为核心技术参数，不接受负偏离，要求提供提供功能截图及演示视频材料；</w:t>
            </w:r>
            <w:r/>
          </w:p>
          <w:p>
            <w:pPr>
              <w:ind w:left="0" w:right="0" w:firstLine="0"/>
              <w:tabs>
                <w:tab w:val="left" w:pos="1177" w:leader="none"/>
                <w:tab w:val="left" w:pos="1498"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③其他带“▲”参数为重要参数，每有1项负偏离扣4分，负偏离超过5条（含），则作为无效响应；</w:t>
            </w:r>
            <w:r/>
          </w:p>
          <w:p>
            <w:pPr>
              <w:ind w:left="0" w:right="0" w:firstLine="0"/>
              <w:tabs>
                <w:tab w:val="left" w:pos="1177" w:leader="none"/>
                <w:tab w:val="left" w:pos="1498"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注：提供《技术要求响应及偏离表》及按要求提供佐证材料，对于要求提供相应佐证材料的技术参数，未按要求提供证明材料的，视为负偏离。</w:t>
            </w:r>
            <w:r/>
          </w:p>
          <w:p>
            <w:pPr>
              <w:ind w:left="0" w:right="0" w:firstLine="0"/>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注：演示视频文件的格式为*.mp4或*.avi，投标人须将视频文件压缩为*.zip文件上传（所有视频文件不得大于300M）。文件上传方式见《操作手册》规定，上传的演示视频将作为投标文件的组成部分，视频时长总计不超过40分钟。</w:t>
            </w:r>
            <w:r/>
          </w:p>
        </w:tc>
        <w:tc>
          <w:tcPr>
            <w:tcW w:w="876" w:type="dxa"/>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44</w:t>
            </w:r>
            <w:r/>
          </w:p>
        </w:tc>
      </w:tr>
      <w:tr>
        <w:trPr>
          <w:trHeight w:val="3913"/>
        </w:trPr>
        <w:tc>
          <w:tcPr>
            <w:tcW w:w="0" w:type="auto"/>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2</w:t>
            </w:r>
            <w:r/>
          </w:p>
        </w:tc>
        <w:tc>
          <w:tcPr>
            <w:tcW w:w="0" w:type="auto"/>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项目实施方案</w:t>
            </w:r>
            <w:r/>
          </w:p>
        </w:tc>
        <w:tc>
          <w:tcPr>
            <w:tcW w:w="0" w:type="auto"/>
            <w:vAlign w:val="center"/>
            <w:textDirection w:val="lrTb"/>
            <w:noWrap w:val="false"/>
          </w:tcPr>
          <w:p>
            <w:pPr>
              <w:ind w:left="0" w:right="0"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投标人针对本项目的实施步骤、运输计划、设计、安装、调试、验收计划、服务和运行验收测试计划、作业时间和资源进度、保证措施、人员安排等编制实施方案。</w:t>
            </w:r>
            <w:r/>
          </w:p>
          <w:p>
            <w:pPr>
              <w:ind w:left="0" w:right="0"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方案内容非常全面具体，实施步骤、运输计划、设计、安装、调试、保证措施、人员安排等科学合理，验收计划、服务和运行验收测试计划、作业时间和资源进度的可行性、可操作性强，措施完善的，得5分；</w:t>
            </w:r>
            <w:r/>
          </w:p>
          <w:p>
            <w:pPr>
              <w:ind w:left="0" w:right="0"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方案内容比较全面具体，实施步骤、运输计划、设计、安装、调试、保证措施、人员安排等比较科学合理，验收计划、服务和运行验收测试计划、作业时间和资源进度的可行性、可操作性比较强，措施相对完善的，得3分；</w:t>
            </w:r>
            <w:r/>
          </w:p>
          <w:p>
            <w:pPr>
              <w:ind w:left="0" w:right="0"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（3）方案内容有缺失，实施步骤、运输计划、设计、安装、调试、保证措施、人员安排等不合理，验收计划、服务和运行验收测试计划、作业时间和资源进度的可行性、可操作性一般，措施不完善的，得1分；</w:t>
            </w:r>
            <w:r/>
          </w:p>
          <w:p>
            <w:pPr>
              <w:ind w:left="0" w:right="0"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（4）未见阐述不得分。</w:t>
            </w:r>
            <w:r/>
          </w:p>
        </w:tc>
        <w:tc>
          <w:tcPr>
            <w:tcW w:w="876" w:type="dxa"/>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5</w:t>
            </w:r>
            <w:r/>
          </w:p>
        </w:tc>
      </w:tr>
      <w:tr>
        <w:trPr/>
        <w:tc>
          <w:tcPr>
            <w:tcW w:w="0" w:type="auto"/>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3</w:t>
            </w:r>
            <w:r/>
          </w:p>
        </w:tc>
        <w:tc>
          <w:tcPr>
            <w:tcW w:w="0" w:type="auto"/>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培训方案</w:t>
            </w:r>
            <w:r/>
          </w:p>
        </w:tc>
        <w:tc>
          <w:tcPr>
            <w:tcW w:w="0" w:type="auto"/>
            <w:vAlign w:val="center"/>
            <w:textDirection w:val="lrTb"/>
            <w:noWrap w:val="false"/>
          </w:tcPr>
          <w:p>
            <w:pPr>
              <w:ind w:left="0" w:right="0"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投标人针对本项目的师资培训计划、培训场次、培训内容、培训方式等编制培训方案，投标人还须明确列出培训计划的具体明细，如培训老师、培训地点、受训人数等。</w:t>
            </w:r>
            <w:r/>
          </w:p>
          <w:p>
            <w:pPr>
              <w:ind w:left="0" w:right="0"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（1）培训方案内容非常全面具体，培训计划、培训场次、培训内容、培训方式等科学合理、措施完善，可行性强，得5分；</w:t>
            </w:r>
            <w:r/>
          </w:p>
          <w:p>
            <w:pPr>
              <w:ind w:left="0" w:right="0"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（2）培训方案内容比较全面具体，培训计划、培训场次、培训内容、培训方式等比较科学合理、措施相对完善，可行性较强，得3分；</w:t>
            </w:r>
            <w:r/>
          </w:p>
          <w:p>
            <w:pPr>
              <w:ind w:left="0" w:right="0"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（3）培训方案内容缺失，培训计划、培训场次、培训内容、培训方式等科学合理性较差、措施不完善，可行性较差，得1分；</w:t>
            </w:r>
            <w:r/>
          </w:p>
          <w:p>
            <w:pPr>
              <w:ind w:left="0" w:right="0"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（4）未见阐述不得分。</w:t>
            </w:r>
            <w:r/>
          </w:p>
        </w:tc>
        <w:tc>
          <w:tcPr>
            <w:tcW w:w="876" w:type="dxa"/>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5</w:t>
            </w:r>
            <w:r/>
          </w:p>
        </w:tc>
      </w:tr>
      <w:tr>
        <w:trPr/>
        <w:tc>
          <w:tcPr>
            <w:tcW w:w="0" w:type="auto"/>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4</w:t>
            </w:r>
            <w:r/>
          </w:p>
        </w:tc>
        <w:tc>
          <w:tcPr>
            <w:tcW w:w="0" w:type="auto"/>
            <w:vAlign w:val="center"/>
            <w:textDirection w:val="lrTb"/>
            <w:noWrap w:val="false"/>
          </w:tcPr>
          <w:p>
            <w:pPr>
              <w:pStyle w:val="1073"/>
              <w:ind w:left="0" w:right="0" w:firstLine="0"/>
              <w:jc w:val="center"/>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lang w:eastAsia="zh-CN"/>
              </w:rPr>
              <w:t xml:space="preserve">售后服务方案</w:t>
            </w:r>
            <w:r/>
          </w:p>
        </w:tc>
        <w:tc>
          <w:tcPr>
            <w:tcW w:w="0" w:type="auto"/>
            <w:vAlign w:val="top"/>
            <w:textDirection w:val="lrTb"/>
            <w:noWrap w:val="false"/>
          </w:tcPr>
          <w:p>
            <w:pPr>
              <w:ind w:left="0" w:right="0"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投标文件提供售后服务方案，包含但不限于服务流程机制、服务内容、售后人员安排、各项售后保障措施、技术支持响应时间、质保期后的延续性服务等。</w:t>
            </w:r>
            <w:r/>
          </w:p>
          <w:p>
            <w:pPr>
              <w:ind w:left="0" w:right="0"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（1）服务流程机制先进合理，服务内容、各项售后保障措施、延续性服务措施详细完善，人员安排及技术支持响应符合项目建设要求，得5分；</w:t>
            </w:r>
            <w:r/>
          </w:p>
          <w:p>
            <w:pPr>
              <w:ind w:left="0" w:right="0"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（2）服务流程机制比较合理，服务内容、各项售后保障措施、延续性服务措施比较详细完善，人员安排及技术支持响应比较符合项目建设要求，得3分；</w:t>
            </w:r>
            <w:r/>
          </w:p>
          <w:p>
            <w:pPr>
              <w:ind w:left="0" w:right="0"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（3）服务流程机制不合理，服务内容、各项售后保障措施、延续性服务措施不够详细完善，人员安排及技术支持响应不符合项目建设要求，得1分；</w:t>
            </w:r>
            <w:r/>
          </w:p>
          <w:p>
            <w:pPr>
              <w:ind w:left="0" w:right="0"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（4）未见阐述不得分。</w:t>
            </w:r>
            <w:r/>
          </w:p>
        </w:tc>
        <w:tc>
          <w:tcPr>
            <w:tcW w:w="876" w:type="dxa"/>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5</w:t>
            </w:r>
            <w:r/>
          </w:p>
        </w:tc>
      </w:tr>
      <w:tr>
        <w:trPr/>
        <w:tc>
          <w:tcPr>
            <w:tcW w:w="0" w:type="auto"/>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5</w:t>
            </w:r>
            <w:r/>
          </w:p>
        </w:tc>
        <w:tc>
          <w:tcPr>
            <w:tcW w:w="0" w:type="auto"/>
            <w:vAlign w:val="center"/>
            <w:textDirection w:val="lrTb"/>
            <w:noWrap w:val="false"/>
          </w:tcPr>
          <w:p>
            <w:pPr>
              <w:ind w:left="0" w:right="0" w:firstLine="0"/>
              <w:jc w:val="center"/>
              <w:rPr>
                <w:rFonts w:hint="eastAsia" w:ascii="仿宋" w:hAnsi="仿宋" w:eastAsia="仿宋" w:cs="仿宋"/>
                <w:b/>
                <w:color w:val="auto"/>
                <w:szCs w:val="21"/>
                <w:highlight w:val="none"/>
                <w:lang w:eastAsia="zh-CN"/>
              </w:rPr>
            </w:pPr>
            <w:r>
              <w:rPr>
                <w:rFonts w:hint="eastAsia" w:ascii="仿宋" w:hAnsi="仿宋" w:eastAsia="仿宋" w:cs="仿宋"/>
                <w:color w:val="auto"/>
                <w:szCs w:val="21"/>
                <w:highlight w:val="none"/>
              </w:rPr>
              <w:t xml:space="preserve">企业</w:t>
            </w:r>
            <w:r>
              <w:rPr>
                <w:rFonts w:hint="eastAsia" w:ascii="仿宋" w:hAnsi="仿宋" w:eastAsia="仿宋" w:cs="仿宋"/>
                <w:color w:val="auto"/>
                <w:szCs w:val="21"/>
                <w:highlight w:val="none"/>
                <w:lang w:val="en-US" w:eastAsia="zh-CN"/>
              </w:rPr>
              <w:t xml:space="preserve">实力</w:t>
            </w:r>
            <w:r/>
          </w:p>
        </w:tc>
        <w:tc>
          <w:tcPr>
            <w:tcW w:w="0" w:type="auto"/>
            <w:vAlign w:val="center"/>
            <w:textDirection w:val="lrTb"/>
            <w:noWrap w:val="false"/>
          </w:tcPr>
          <w:p>
            <w:pPr>
              <w:ind w:left="0" w:right="0" w:firstLine="0"/>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投标人或生产厂家具备人工智能管理体系认证证书得2分（投标时须提供国家市场监督管理总局-全国认证认可信息公共服务平台”网站</w:t>
            </w:r>
            <w:r>
              <w:rPr>
                <w:rFonts w:hint="eastAsia" w:ascii="仿宋" w:hAnsi="仿宋" w:eastAsia="仿宋" w:cs="仿宋"/>
                <w:color w:val="auto"/>
                <w:szCs w:val="21"/>
                <w:highlight w:val="none"/>
                <w:lang w:val="en-US" w:eastAsia="zh-CN"/>
              </w:rPr>
              <w:t xml:space="preserve">认可的认证机构（出具网站该单位截图）出具的认证</w:t>
            </w:r>
            <w:r>
              <w:rPr>
                <w:rFonts w:hint="eastAsia" w:ascii="仿宋" w:hAnsi="仿宋" w:eastAsia="仿宋" w:cs="仿宋"/>
                <w:color w:val="auto"/>
                <w:szCs w:val="21"/>
                <w:highlight w:val="none"/>
              </w:rPr>
              <w:t xml:space="preserve">证书</w:t>
            </w:r>
            <w:r>
              <w:rPr>
                <w:rFonts w:hint="eastAsia" w:ascii="仿宋" w:hAnsi="仿宋" w:eastAsia="仿宋" w:cs="仿宋"/>
                <w:color w:val="auto"/>
                <w:szCs w:val="21"/>
                <w:highlight w:val="none"/>
                <w:lang w:val="en-US" w:eastAsia="zh-CN"/>
              </w:rPr>
              <w:t xml:space="preserve">原件扫描件并</w:t>
            </w:r>
            <w:r>
              <w:rPr>
                <w:rFonts w:hint="eastAsia" w:ascii="仿宋" w:hAnsi="仿宋" w:eastAsia="仿宋" w:cs="仿宋"/>
                <w:color w:val="auto"/>
                <w:szCs w:val="21"/>
                <w:highlight w:val="none"/>
              </w:rPr>
              <w:t xml:space="preserve">加盖投标人公章。）</w:t>
            </w:r>
            <w:r/>
          </w:p>
        </w:tc>
        <w:tc>
          <w:tcPr>
            <w:tcW w:w="876" w:type="dxa"/>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2</w:t>
            </w:r>
            <w:r/>
          </w:p>
        </w:tc>
      </w:tr>
      <w:tr>
        <w:trPr/>
        <w:tc>
          <w:tcPr>
            <w:tcW w:w="0" w:type="auto"/>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6</w:t>
            </w:r>
            <w:r/>
          </w:p>
        </w:tc>
        <w:tc>
          <w:tcPr>
            <w:tcW w:w="0" w:type="auto"/>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技术团队人员</w:t>
            </w:r>
            <w:r/>
          </w:p>
        </w:tc>
        <w:tc>
          <w:tcPr>
            <w:tcW w:w="0" w:type="auto"/>
            <w:vAlign w:val="center"/>
            <w:textDirection w:val="lrTb"/>
            <w:noWrap w:val="false"/>
          </w:tcPr>
          <w:p>
            <w:pPr>
              <w:ind w:left="0" w:right="0"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为保障本项目的实施质量与安全：</w:t>
            </w:r>
            <w:r/>
          </w:p>
          <w:p>
            <w:pPr>
              <w:numPr>
                <w:ilvl w:val="0"/>
                <w:numId w:val="4"/>
              </w:numPr>
              <w:ind w:left="0" w:right="0" w:firstLine="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拟投入本项目的投标人或生产厂家技术服务人员具备汽车专业方向高级技师资格，有1分得1分，最高得3分，未提供不得分。（注：提供由职业技能认定等级机构颁发的职业技能等级证书复印件及技术服务人员</w:t>
            </w:r>
            <w:r>
              <w:rPr>
                <w:rFonts w:hint="eastAsia" w:ascii="仿宋" w:hAnsi="仿宋" w:eastAsia="仿宋" w:cs="仿宋"/>
                <w:color w:val="auto"/>
                <w:szCs w:val="21"/>
                <w:highlight w:val="none"/>
                <w:lang w:val="en-US" w:eastAsia="zh-CN"/>
              </w:rPr>
              <w:t xml:space="preserve">自2026年4月至6月内投标单位为其缴纳</w:t>
            </w:r>
            <w:r>
              <w:rPr>
                <w:rFonts w:hint="eastAsia" w:ascii="仿宋" w:hAnsi="仿宋" w:eastAsia="仿宋" w:cs="仿宋"/>
                <w:color w:val="auto"/>
                <w:szCs w:val="21"/>
                <w:highlight w:val="none"/>
              </w:rPr>
              <w:t xml:space="preserve">任意一个月社保证明</w:t>
            </w:r>
            <w:r>
              <w:rPr>
                <w:rFonts w:hint="eastAsia" w:ascii="仿宋" w:hAnsi="仿宋" w:eastAsia="仿宋" w:cs="仿宋"/>
                <w:color w:val="auto"/>
                <w:szCs w:val="21"/>
                <w:highlight w:val="none"/>
                <w:lang w:val="en-US" w:eastAsia="zh-CN"/>
              </w:rPr>
              <w:t xml:space="preserve">并</w:t>
            </w:r>
            <w:r>
              <w:rPr>
                <w:rFonts w:hint="eastAsia" w:ascii="仿宋" w:hAnsi="仿宋" w:eastAsia="仿宋" w:cs="仿宋"/>
                <w:color w:val="auto"/>
                <w:szCs w:val="21"/>
                <w:highlight w:val="none"/>
              </w:rPr>
              <w:t xml:space="preserve">加盖公章，不提供或提供不符合要求不得分）</w:t>
            </w:r>
            <w:r/>
          </w:p>
        </w:tc>
        <w:tc>
          <w:tcPr>
            <w:tcW w:w="876" w:type="dxa"/>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3</w:t>
            </w:r>
            <w:r/>
          </w:p>
        </w:tc>
      </w:tr>
      <w:tr>
        <w:trPr/>
        <w:tc>
          <w:tcPr>
            <w:tcW w:w="487" w:type="dxa"/>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7</w:t>
            </w:r>
            <w:r/>
          </w:p>
        </w:tc>
        <w:tc>
          <w:tcPr>
            <w:tcW w:w="734" w:type="dxa"/>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业绩</w:t>
            </w:r>
            <w:r/>
          </w:p>
        </w:tc>
        <w:tc>
          <w:tcPr>
            <w:tcW w:w="7439" w:type="dxa"/>
            <w:vAlign w:val="center"/>
            <w:textDirection w:val="lrTb"/>
            <w:noWrap w:val="false"/>
          </w:tcPr>
          <w:p>
            <w:pPr>
              <w:ind w:left="0" w:right="0" w:firstLine="0"/>
              <w:jc w:val="left"/>
              <w:tabs>
                <w:tab w:val="left" w:pos="1177" w:leader="none"/>
                <w:tab w:val="left" w:pos="1498"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投标单位近三年（2023年6月至今，以合同签订时间为准）以来具有汽车专业信息化软件类项目业绩，每提供1份业绩证明文件得1.5分，最高得6分。</w:t>
            </w:r>
            <w:r/>
          </w:p>
          <w:p>
            <w:pPr>
              <w:ind w:left="0" w:right="0" w:firstLine="0"/>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每个业绩证明文件含业绩合同和对应项目任意一张结算发票的扫描件（均加盖公章），不满足的不得分。</w:t>
            </w:r>
            <w:r/>
          </w:p>
        </w:tc>
        <w:tc>
          <w:tcPr>
            <w:tcW w:w="876" w:type="dxa"/>
            <w:vAlign w:val="center"/>
            <w:textDirection w:val="lrTb"/>
            <w:noWrap w:val="false"/>
          </w:tcPr>
          <w:p>
            <w:pPr>
              <w:ind w:left="0" w:right="0" w:firstLine="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6</w:t>
            </w:r>
            <w:r/>
          </w:p>
        </w:tc>
      </w:tr>
      <w:tr>
        <w:trPr>
          <w:trHeight w:val="662"/>
        </w:trPr>
        <w:tc>
          <w:tcPr>
            <w:gridSpan w:val="4"/>
            <w:tcW w:w="9536" w:type="dxa"/>
            <w:vAlign w:val="center"/>
            <w:textDirection w:val="lrTb"/>
            <w:noWrap w:val="false"/>
          </w:tcPr>
          <w:p>
            <w:pPr>
              <w:ind w:firstLine="482"/>
              <w:spacing w:line="360" w:lineRule="auto"/>
              <w:rPr>
                <w:rFonts w:hint="eastAsia" w:ascii="仿宋" w:hAnsi="仿宋" w:eastAsia="仿宋" w:cs="仿宋"/>
                <w:b/>
                <w:bCs/>
                <w:color w:val="auto"/>
                <w:sz w:val="24"/>
                <w:szCs w:val="24"/>
                <w:highlight w:val="none"/>
              </w:rPr>
            </w:pPr>
            <w:r/>
            <w:bookmarkStart w:id="293" w:name="_GoBack"/>
            <w:r>
              <w:rPr>
                <w:rFonts w:hint="eastAsia" w:ascii="仿宋" w:hAnsi="仿宋" w:eastAsia="仿宋" w:cs="仿宋"/>
                <w:b/>
                <w:bCs/>
                <w:color w:val="auto"/>
                <w:sz w:val="24"/>
                <w:szCs w:val="24"/>
                <w:highlight w:val="none"/>
              </w:rPr>
              <w:t xml:space="preserve">注：1.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r/>
          </w:p>
          <w:p>
            <w:pPr>
              <w:ind w:left="0" w:right="0" w:firstLine="0"/>
              <w:jc w:val="center"/>
              <w:rPr>
                <w:rFonts w:hint="eastAsia" w:ascii="仿宋" w:hAnsi="仿宋" w:eastAsia="仿宋" w:cs="仿宋"/>
                <w:color w:val="auto"/>
                <w:szCs w:val="21"/>
                <w:highlight w:val="none"/>
              </w:rPr>
            </w:pP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.评委依据招标文件载明的方法评分，评分四舍五入精确到小数点后两位。</w:t>
            </w:r>
            <w:r/>
          </w:p>
        </w:tc>
      </w:tr>
    </w:tbl>
    <w:p>
      <w:pPr>
        <w:pStyle w:val="101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r>
      <w:r/>
    </w:p>
    <w:p>
      <w:pPr>
        <w:pStyle w:val="101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r>
      <w:r/>
    </w:p>
    <w:p>
      <w:pPr>
        <w:pStyle w:val="101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r>
      <w:r/>
    </w:p>
    <w:p>
      <w:pPr>
        <w:pStyle w:val="101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r>
      <w:r/>
    </w:p>
    <w:p>
      <w:pPr>
        <w:pStyle w:val="101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r>
      <w:r/>
    </w:p>
    <w:p>
      <w:pPr>
        <w:pStyle w:val="101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r>
      <w:r/>
    </w:p>
    <w:p>
      <w:pPr>
        <w:pStyle w:val="101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r>
      <w:r/>
    </w:p>
    <w:p>
      <w:pPr>
        <w:pStyle w:val="101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r>
      <w:r/>
    </w:p>
    <w:p>
      <w:pPr>
        <w:pStyle w:val="101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r>
      <w:r/>
    </w:p>
    <w:p>
      <w:pPr>
        <w:pStyle w:val="101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r>
      <w:r/>
    </w:p>
    <w:p>
      <w:pPr>
        <w:pStyle w:val="101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r>
      <w:r/>
    </w:p>
    <w:p>
      <w:pPr>
        <w:pStyle w:val="101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r>
      <w:r/>
    </w:p>
    <w:p>
      <w:pPr>
        <w:pStyle w:val="101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r>
      <w:r/>
    </w:p>
    <w:p>
      <w:pPr>
        <w:pStyle w:val="101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r>
      <w:r/>
    </w:p>
    <w:p>
      <w:pPr>
        <w:pStyle w:val="101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r>
      <w:r/>
    </w:p>
    <w:p>
      <w:pPr>
        <w:pStyle w:val="101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w:t>
      </w:r>
      <w:r>
        <w:rPr>
          <w:rFonts w:hint="eastAsia" w:ascii="仿宋" w:hAnsi="仿宋" w:eastAsia="仿宋" w:cs="仿宋"/>
          <w:b/>
          <w:color w:val="auto"/>
          <w:sz w:val="24"/>
          <w:szCs w:val="24"/>
          <w:highlight w:val="none"/>
          <w:lang w:val="zh-CN"/>
        </w:rPr>
        <w:t xml:space="preserve">价格标</w:t>
      </w:r>
      <w:r>
        <w:rPr>
          <w:rFonts w:hint="eastAsia" w:ascii="仿宋" w:hAnsi="仿宋" w:eastAsia="仿宋" w:cs="仿宋"/>
          <w:b/>
          <w:color w:val="auto"/>
          <w:sz w:val="24"/>
          <w:szCs w:val="24"/>
          <w:highlight w:val="none"/>
        </w:rPr>
        <w:t xml:space="preserve">评分：（30分）</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1.本次项目最高限价：188.04万元，响应报价超过</w:t>
      </w:r>
      <w:r>
        <w:rPr>
          <w:rFonts w:hint="eastAsia" w:ascii="仿宋" w:hAnsi="仿宋" w:eastAsia="仿宋" w:cs="仿宋"/>
          <w:b/>
          <w:color w:val="auto"/>
          <w:sz w:val="24"/>
          <w:szCs w:val="24"/>
          <w:highlight w:val="none"/>
          <w:lang w:val="en-US" w:eastAsia="zh-CN"/>
        </w:rPr>
        <w:t xml:space="preserve">最高</w:t>
      </w:r>
      <w:r>
        <w:rPr>
          <w:rFonts w:hint="eastAsia" w:ascii="仿宋" w:hAnsi="仿宋" w:eastAsia="仿宋" w:cs="仿宋"/>
          <w:b/>
          <w:color w:val="auto"/>
          <w:sz w:val="24"/>
          <w:szCs w:val="24"/>
          <w:highlight w:val="none"/>
        </w:rPr>
        <w:t xml:space="preserve">限价作无效标处理。</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2.满足招标文件要求且投标报价最低的报价为评标基准价，其价格标得分为满分。</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3.其他投标供应商的价格标得分按照下列公式计算：</w:t>
      </w:r>
      <w:r/>
    </w:p>
    <w:p>
      <w:pPr>
        <w:contextualSpacing/>
        <w:ind w:firstLine="480"/>
        <w:spacing w:line="360" w:lineRule="auto"/>
        <w:rPr>
          <w:rFonts w:hint="eastAsia" w:ascii="仿宋" w:hAnsi="仿宋" w:eastAsia="仿宋" w:cs="仿宋"/>
          <w:color w:val="0000ff"/>
          <w:sz w:val="24"/>
          <w:szCs w:val="24"/>
          <w:highlight w:val="none"/>
        </w:rPr>
      </w:pPr>
      <w:r>
        <w:rPr>
          <w:rFonts w:hint="eastAsia" w:ascii="仿宋" w:hAnsi="仿宋" w:eastAsia="仿宋" w:cs="仿宋"/>
          <w:color w:val="auto"/>
          <w:sz w:val="24"/>
          <w:szCs w:val="24"/>
          <w:highlight w:val="none"/>
        </w:rPr>
        <w:t xml:space="preserve">价格标得分=（评标基准价/投标报价）×30%×100</w:t>
      </w:r>
      <w:bookmarkEnd w:id="293"/>
      <w:r/>
      <w:r/>
    </w:p>
    <w:p>
      <w:pPr>
        <w:pStyle w:val="101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五、政府采购政策功能落实</w:t>
      </w:r>
      <w:r/>
    </w:p>
    <w:p>
      <w:pPr>
        <w:ind w:left="695" w:firstLine="562"/>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
          <w:bCs w:val="0"/>
          <w:color w:val="auto"/>
          <w:sz w:val="28"/>
          <w:szCs w:val="28"/>
          <w:highlight w:val="none"/>
          <w:u w:val="single"/>
          <w:lang w:val="en-US" w:eastAsia="zh-CN" w:bidi="ar-SA"/>
        </w:rPr>
        <w:t xml:space="preserve">1、本项目专门面向中小企业采购的项目或者采购包，不执行价格评审优惠的扶持政策。</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2、根据《江苏省政府采购信用管理暂行办法》的规定，供应商信用评价结果为三星的扣2分，评价结果为二星的扣3分，评价结果为一星的扣4分。</w:t>
      </w:r>
      <w:r/>
    </w:p>
    <w:p>
      <w:pPr>
        <w:ind w:firstLine="57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六、中标人的确定</w:t>
      </w:r>
      <w:r/>
    </w:p>
    <w:p>
      <w:pPr>
        <w:ind w:firstLine="57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评委会汇总各评委评分后，按照得分从高到低的顺序推荐三名中标候选人，并编写评标报告。</w:t>
      </w:r>
      <w:r/>
    </w:p>
    <w:p>
      <w:pPr>
        <w:ind w:firstLine="57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委托评标委员会直接确定排名第一的中标候选人为中标人。</w:t>
      </w:r>
      <w:r/>
    </w:p>
    <w:p>
      <w:pPr>
        <w:ind w:firstLine="557"/>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七、</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代表宣布评标结果。</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八、公告中标结果</w:t>
      </w:r>
      <w:r/>
    </w:p>
    <w:p>
      <w:pPr>
        <w:ind w:firstLine="57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自确定中标人之日起2个工作日内，在江苏政府采购网公告中标结果，公告期限为1个工作日。</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九、发放中标通知书</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公告中标结果的同时，</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向中标投标单位发放中标通知书。</w:t>
      </w:r>
      <w:r/>
    </w:p>
    <w:p>
      <w:pPr>
        <w:ind w:firstLine="554"/>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中标通知书发出后，</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不得违法改变中标结果，中标投标单位无正当理由不得放弃中标。</w:t>
      </w:r>
      <w:r>
        <w:rPr>
          <w:rFonts w:hint="eastAsia" w:ascii="仿宋" w:hAnsi="仿宋" w:eastAsia="仿宋" w:cs="仿宋"/>
          <w:b/>
          <w:color w:val="auto"/>
          <w:sz w:val="28"/>
          <w:szCs w:val="28"/>
          <w:highlight w:val="none"/>
        </w:rPr>
        <w:t xml:space="preserve">中标供应商须提供一份纸质版投标文件正本至采购人处，否则不予签订合同。</w:t>
      </w:r>
      <w:r/>
    </w:p>
    <w:p>
      <w:pPr>
        <w:ind w:firstLine="554"/>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中标单位在中标公示期后、领取中标通知书前必须按要求提供纸质响应文件（资格审查材料、技术标、报价标）叁份及电子格式投标文件（光盘</w:t>
      </w:r>
      <w:r>
        <w:rPr>
          <w:rFonts w:hint="eastAsia" w:ascii="仿宋" w:hAnsi="仿宋" w:eastAsia="仿宋" w:cs="仿宋"/>
          <w:bCs/>
          <w:color w:val="auto"/>
          <w:sz w:val="28"/>
          <w:szCs w:val="28"/>
          <w:highlight w:val="none"/>
          <w:lang w:val="en-US" w:eastAsia="zh-CN"/>
        </w:rPr>
        <w:t xml:space="preserve">叁</w:t>
      </w:r>
      <w:r>
        <w:rPr>
          <w:rFonts w:hint="eastAsia" w:ascii="仿宋" w:hAnsi="仿宋" w:eastAsia="仿宋" w:cs="仿宋"/>
          <w:bCs/>
          <w:color w:val="auto"/>
          <w:sz w:val="28"/>
          <w:szCs w:val="28"/>
          <w:highlight w:val="none"/>
        </w:rPr>
        <w:t xml:space="preserve">份），以供存档。纸质响应文件应使用CA系统打印，且必须保证与评标时的电子标书完全一致，否则不予签订合同。</w:t>
      </w:r>
      <w:r/>
    </w:p>
    <w:p>
      <w:pPr>
        <w:pStyle w:val="757"/>
        <w:ind w:firstLine="56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w:t>
      </w:r>
      <w:r>
        <w:rPr>
          <w:rFonts w:hint="eastAsia" w:ascii="仿宋" w:hAnsi="仿宋" w:eastAsia="仿宋" w:cs="仿宋"/>
          <w:color w:val="auto"/>
          <w:sz w:val="28"/>
          <w:szCs w:val="28"/>
          <w:highlight w:val="none"/>
        </w:rPr>
        <w:t xml:space="preserve">其他</w:t>
      </w:r>
      <w:r/>
    </w:p>
    <w:p>
      <w:pPr>
        <w:pStyle w:val="757"/>
        <w:ind w:firstLine="56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当排名第一的中标候选人无正当理由放弃中标，被查实存在影响中标结果的违法行为等情形，</w:t>
      </w:r>
      <w:r>
        <w:rPr>
          <w:rFonts w:hint="eastAsia" w:ascii="仿宋" w:hAnsi="仿宋" w:eastAsia="仿宋" w:cs="仿宋"/>
          <w:color w:val="auto"/>
          <w:sz w:val="28"/>
          <w:szCs w:val="28"/>
          <w:highlight w:val="none"/>
          <w:lang w:eastAsia="zh-CN"/>
        </w:rPr>
        <w:t xml:space="preserve">招标人</w:t>
      </w:r>
      <w:r>
        <w:rPr>
          <w:rFonts w:hint="eastAsia" w:ascii="仿宋" w:hAnsi="仿宋" w:eastAsia="仿宋" w:cs="仿宋"/>
          <w:color w:val="auto"/>
          <w:sz w:val="28"/>
          <w:szCs w:val="28"/>
          <w:highlight w:val="none"/>
        </w:rPr>
        <w:t xml:space="preserve">有权按照政府采购相关法律法规的规定对其采取惩戒措施，包含但不限于列入采购失信人黑名单等措施。</w:t>
      </w:r>
      <w:r/>
    </w:p>
    <w:p>
      <w:pPr>
        <w:pStyle w:val="757"/>
        <w:ind w:firstLine="56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当排名第一的中标候选人放弃中标、因不可抗力不能履行合同，或者被查实存在影响中标结果的违法行为等情形，不符合中标条件的，</w:t>
      </w:r>
      <w:r>
        <w:rPr>
          <w:rFonts w:hint="eastAsia" w:ascii="仿宋" w:hAnsi="仿宋" w:eastAsia="仿宋" w:cs="仿宋"/>
          <w:color w:val="auto"/>
          <w:sz w:val="28"/>
          <w:szCs w:val="28"/>
          <w:highlight w:val="none"/>
          <w:lang w:eastAsia="zh-CN"/>
        </w:rPr>
        <w:t xml:space="preserve">招标人</w:t>
      </w:r>
      <w:r>
        <w:rPr>
          <w:rFonts w:hint="eastAsia" w:ascii="仿宋" w:hAnsi="仿宋" w:eastAsia="仿宋" w:cs="仿宋"/>
          <w:color w:val="auto"/>
          <w:sz w:val="28"/>
          <w:szCs w:val="28"/>
          <w:highlight w:val="none"/>
        </w:rPr>
        <w:t xml:space="preserve">可以按照评标委员会提出的中标候选人名单排序（按照综合得分由高到低顺序）依次确定其他中标候选人为成交投标单位，也可以重新招标。</w:t>
      </w:r>
      <w:r/>
    </w:p>
    <w:p>
      <w:pPr>
        <w:ind w:firstLine="554"/>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36"/>
          <w:szCs w:val="36"/>
          <w:highlight w:val="none"/>
        </w:rPr>
        <w:t xml:space="preserve">第五部分  投标文件组成</w:t>
      </w:r>
      <w:r/>
    </w:p>
    <w:p>
      <w:pPr>
        <w:ind w:firstLine="555"/>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投标文件由资格审查证明材料、符合性审查材料、商务技术标、价格标、四部分组成。</w:t>
      </w:r>
      <w:r>
        <w:rPr>
          <w:rFonts w:hint="eastAsia" w:ascii="仿宋" w:hAnsi="仿宋" w:eastAsia="仿宋" w:cs="仿宋"/>
          <w:bCs/>
          <w:color w:val="auto"/>
          <w:sz w:val="28"/>
          <w:szCs w:val="28"/>
          <w:highlight w:val="none"/>
          <w:lang w:val="zh-CN"/>
        </w:rPr>
        <w:t xml:space="preserve">请投标单位根据本招标文件的要求在以上</w:t>
      </w:r>
      <w:r>
        <w:rPr>
          <w:rFonts w:hint="eastAsia" w:ascii="仿宋" w:hAnsi="仿宋" w:eastAsia="仿宋" w:cs="仿宋"/>
          <w:bCs/>
          <w:color w:val="auto"/>
          <w:sz w:val="28"/>
          <w:szCs w:val="28"/>
          <w:highlight w:val="none"/>
        </w:rPr>
        <w:t xml:space="preserve">四部分中</w:t>
      </w:r>
      <w:r>
        <w:rPr>
          <w:rFonts w:hint="eastAsia" w:ascii="仿宋" w:hAnsi="仿宋" w:eastAsia="仿宋" w:cs="仿宋"/>
          <w:bCs/>
          <w:color w:val="auto"/>
          <w:sz w:val="28"/>
          <w:szCs w:val="28"/>
          <w:highlight w:val="none"/>
          <w:lang w:val="zh-CN"/>
        </w:rPr>
        <w:t xml:space="preserve">分别上传响应的投标材料。</w:t>
      </w:r>
      <w:r/>
    </w:p>
    <w:p>
      <w:p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一、资格审查证明材料</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1.投标人符合《政府采购法》第二十二条规定条件的承诺函（格式见附件）；</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2.法定代表人身份证明书</w:t>
      </w:r>
      <w:r>
        <w:rPr>
          <w:rFonts w:hint="eastAsia" w:ascii="仿宋" w:hAnsi="仿宋" w:eastAsia="仿宋" w:cs="仿宋"/>
          <w:bCs/>
          <w:color w:val="auto"/>
          <w:sz w:val="28"/>
          <w:szCs w:val="28"/>
          <w:highlight w:val="none"/>
        </w:rPr>
        <w:t xml:space="preserve">及法定代表人身份证扫描件</w:t>
      </w:r>
      <w:r>
        <w:rPr>
          <w:rFonts w:hint="eastAsia" w:ascii="仿宋" w:hAnsi="仿宋" w:eastAsia="仿宋" w:cs="仿宋"/>
          <w:bCs/>
          <w:color w:val="auto"/>
          <w:sz w:val="28"/>
          <w:szCs w:val="28"/>
          <w:highlight w:val="none"/>
          <w:lang w:val="zh-CN"/>
        </w:rPr>
        <w:t xml:space="preserve">（格式见附件）；</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3.法定代表人授权委托书原件，</w:t>
      </w:r>
      <w:r>
        <w:rPr>
          <w:rFonts w:hint="eastAsia" w:ascii="仿宋" w:hAnsi="仿宋" w:eastAsia="仿宋" w:cs="仿宋"/>
          <w:bCs/>
          <w:color w:val="auto"/>
          <w:sz w:val="28"/>
          <w:szCs w:val="28"/>
          <w:highlight w:val="none"/>
        </w:rPr>
        <w:t xml:space="preserve">投标</w:t>
      </w:r>
      <w:r>
        <w:rPr>
          <w:rFonts w:hint="eastAsia" w:ascii="仿宋" w:hAnsi="仿宋" w:eastAsia="仿宋" w:cs="仿宋"/>
          <w:bCs/>
          <w:color w:val="auto"/>
          <w:sz w:val="28"/>
          <w:szCs w:val="28"/>
          <w:highlight w:val="none"/>
          <w:lang w:val="zh-CN"/>
        </w:rPr>
        <w:t xml:space="preserve">代表本人身份证扫描件（格式见附件）；</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 xml:space="preserve">4</w:t>
      </w:r>
      <w:r>
        <w:rPr>
          <w:rFonts w:hint="eastAsia" w:ascii="仿宋" w:hAnsi="仿宋" w:eastAsia="仿宋" w:cs="仿宋"/>
          <w:bCs/>
          <w:color w:val="auto"/>
          <w:sz w:val="28"/>
          <w:szCs w:val="28"/>
          <w:highlight w:val="none"/>
          <w:lang w:val="zh-CN"/>
        </w:rPr>
        <w:t xml:space="preserve">.投标投标单位</w:t>
      </w:r>
      <w:r>
        <w:rPr>
          <w:rFonts w:hint="eastAsia" w:ascii="仿宋" w:hAnsi="仿宋" w:eastAsia="仿宋" w:cs="仿宋"/>
          <w:bCs/>
          <w:color w:val="auto"/>
          <w:sz w:val="28"/>
          <w:szCs w:val="28"/>
          <w:highlight w:val="none"/>
        </w:rPr>
        <w:t xml:space="preserve">未</w:t>
      </w:r>
      <w:r>
        <w:rPr>
          <w:rFonts w:hint="eastAsia" w:ascii="仿宋" w:hAnsi="仿宋" w:eastAsia="仿宋" w:cs="仿宋"/>
          <w:bCs/>
          <w:color w:val="auto"/>
          <w:sz w:val="28"/>
          <w:szCs w:val="28"/>
          <w:highlight w:val="none"/>
          <w:lang w:val="zh-CN"/>
        </w:rPr>
        <w:t xml:space="preserve">被“信用中国”网站列入失信被执行人或重大税收违法案件当事人名单或政府采购严重失信行为记录名单，或查询“信用中国”网站后发现投标投标单位</w:t>
      </w:r>
      <w:r>
        <w:rPr>
          <w:rFonts w:hint="eastAsia" w:ascii="仿宋" w:hAnsi="仿宋" w:eastAsia="仿宋" w:cs="仿宋"/>
          <w:bCs/>
          <w:color w:val="auto"/>
          <w:sz w:val="28"/>
          <w:szCs w:val="28"/>
          <w:highlight w:val="none"/>
        </w:rPr>
        <w:t xml:space="preserve">不</w:t>
      </w:r>
      <w:r>
        <w:rPr>
          <w:rFonts w:hint="eastAsia" w:ascii="仿宋" w:hAnsi="仿宋" w:eastAsia="仿宋" w:cs="仿宋"/>
          <w:bCs/>
          <w:color w:val="auto"/>
          <w:sz w:val="28"/>
          <w:szCs w:val="28"/>
          <w:highlight w:val="none"/>
          <w:lang w:val="zh-CN"/>
        </w:rPr>
        <w:t xml:space="preserve">存在其他不符合资格条件规定的信用记录的（</w:t>
      </w:r>
      <w:r>
        <w:rPr>
          <w:rFonts w:hint="eastAsia" w:ascii="仿宋" w:hAnsi="仿宋" w:eastAsia="仿宋" w:cs="仿宋"/>
          <w:bCs/>
          <w:color w:val="auto"/>
          <w:sz w:val="28"/>
          <w:szCs w:val="28"/>
          <w:highlight w:val="none"/>
          <w:lang w:val="en-US" w:eastAsia="zh-CN"/>
        </w:rPr>
        <w:t xml:space="preserve">投标单位不需提供</w:t>
      </w:r>
      <w:r>
        <w:rPr>
          <w:rFonts w:hint="eastAsia" w:ascii="仿宋" w:hAnsi="仿宋" w:eastAsia="仿宋" w:cs="仿宋"/>
          <w:bCs/>
          <w:color w:val="auto"/>
          <w:sz w:val="28"/>
          <w:szCs w:val="28"/>
          <w:highlight w:val="none"/>
          <w:lang w:val="zh-CN"/>
        </w:rPr>
        <w:t xml:space="preserve">）。</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 xml:space="preserve">5</w:t>
      </w:r>
      <w:r>
        <w:rPr>
          <w:rFonts w:hint="eastAsia" w:ascii="仿宋" w:hAnsi="仿宋" w:eastAsia="仿宋" w:cs="仿宋"/>
          <w:bCs/>
          <w:color w:val="auto"/>
          <w:sz w:val="28"/>
          <w:szCs w:val="28"/>
          <w:highlight w:val="none"/>
          <w:lang w:val="zh-CN"/>
        </w:rPr>
        <w:t xml:space="preserve">.提供中小企业声明函（格式见附件）或残疾人福利性单位声明函（格式见附件）或监狱或戒毒企业证明材料（格式见附件）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.投标单位信用承诺书（格式见</w:t>
      </w:r>
      <w:r>
        <w:rPr>
          <w:rFonts w:hint="eastAsia" w:ascii="仿宋" w:hAnsi="仿宋" w:eastAsia="仿宋" w:cs="仿宋"/>
          <w:bCs/>
          <w:color w:val="auto"/>
          <w:sz w:val="28"/>
          <w:szCs w:val="28"/>
          <w:highlight w:val="none"/>
          <w:lang w:val="zh-CN"/>
        </w:rPr>
        <w:t xml:space="preserve">附件</w:t>
      </w:r>
      <w:r>
        <w:rPr>
          <w:rFonts w:hint="eastAsia" w:ascii="仿宋" w:hAnsi="仿宋" w:eastAsia="仿宋" w:cs="仿宋"/>
          <w:bCs/>
          <w:color w:val="auto"/>
          <w:sz w:val="28"/>
          <w:szCs w:val="28"/>
          <w:highlight w:val="none"/>
        </w:rPr>
        <w:t xml:space="preserve">）</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en-US" w:eastAsia="zh-CN"/>
        </w:rPr>
        <w:t xml:space="preserve">7</w:t>
      </w:r>
      <w:r>
        <w:rPr>
          <w:rFonts w:hint="eastAsia" w:ascii="仿宋" w:hAnsi="仿宋" w:eastAsia="仿宋" w:cs="仿宋"/>
          <w:bCs/>
          <w:color w:val="auto"/>
          <w:sz w:val="28"/>
          <w:szCs w:val="28"/>
          <w:highlight w:val="none"/>
          <w:lang w:val="zh-CN"/>
        </w:rPr>
        <w:t xml:space="preserve">.招标公告资格要求提供相应的佐证材料；</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en-US" w:eastAsia="zh-CN"/>
        </w:rPr>
        <w:t xml:space="preserve">8</w:t>
      </w:r>
      <w:r>
        <w:rPr>
          <w:rFonts w:hint="eastAsia" w:ascii="仿宋" w:hAnsi="仿宋" w:eastAsia="仿宋" w:cs="仿宋"/>
          <w:bCs/>
          <w:color w:val="auto"/>
          <w:sz w:val="28"/>
          <w:szCs w:val="28"/>
          <w:highlight w:val="none"/>
          <w:lang w:val="zh-CN"/>
        </w:rPr>
        <w:t xml:space="preserve">.其它需要提交的资格审查证明材料。</w:t>
      </w:r>
      <w:r/>
    </w:p>
    <w:p>
      <w:pPr>
        <w:ind w:firstLine="562"/>
        <w:spacing w:line="360" w:lineRule="auto"/>
        <w:rPr>
          <w:rFonts w:hint="eastAsia" w:ascii="仿宋" w:hAnsi="仿宋" w:eastAsia="仿宋" w:cs="仿宋"/>
          <w:b/>
          <w:bCs w:val="0"/>
          <w:color w:val="auto"/>
          <w:sz w:val="28"/>
          <w:szCs w:val="28"/>
          <w:highlight w:val="none"/>
          <w:lang w:val="zh-CN"/>
        </w:rPr>
      </w:pPr>
      <w:r>
        <w:rPr>
          <w:rFonts w:hint="eastAsia" w:ascii="仿宋" w:hAnsi="仿宋" w:eastAsia="仿宋" w:cs="仿宋"/>
          <w:b/>
          <w:bCs w:val="0"/>
          <w:color w:val="auto"/>
          <w:sz w:val="28"/>
          <w:szCs w:val="28"/>
          <w:highlight w:val="none"/>
          <w:lang w:val="zh-CN"/>
        </w:rPr>
        <w:t xml:space="preserve">（</w:t>
      </w:r>
      <w:r>
        <w:rPr>
          <w:rFonts w:hint="eastAsia" w:ascii="仿宋" w:hAnsi="仿宋" w:eastAsia="仿宋" w:cs="仿宋"/>
          <w:b/>
          <w:bCs w:val="0"/>
          <w:color w:val="auto"/>
          <w:sz w:val="28"/>
          <w:szCs w:val="28"/>
          <w:highlight w:val="none"/>
        </w:rPr>
        <w:t xml:space="preserve">如采购</w:t>
      </w:r>
      <w:r>
        <w:rPr>
          <w:rFonts w:hint="eastAsia" w:ascii="仿宋" w:hAnsi="仿宋" w:eastAsia="仿宋" w:cs="仿宋"/>
          <w:b/>
          <w:bCs w:val="0"/>
          <w:color w:val="auto"/>
          <w:sz w:val="28"/>
          <w:szCs w:val="28"/>
          <w:highlight w:val="none"/>
          <w:lang w:val="zh-CN"/>
        </w:rPr>
        <w:t xml:space="preserve">文件要求提供的资格审查证明材料中没有对应的接口上传的资料，可以在本部分的其他材料的接口中上传）</w:t>
      </w:r>
      <w:r/>
    </w:p>
    <w:p>
      <w:pPr>
        <w:numPr>
          <w:ilvl w:val="0"/>
          <w:numId w:val="0"/>
        </w:num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en-US" w:eastAsia="zh-CN"/>
        </w:rPr>
        <w:t xml:space="preserve">二、</w:t>
      </w:r>
      <w:r>
        <w:rPr>
          <w:rFonts w:hint="eastAsia" w:ascii="仿宋" w:hAnsi="仿宋" w:eastAsia="仿宋" w:cs="仿宋"/>
          <w:bCs/>
          <w:color w:val="auto"/>
          <w:sz w:val="28"/>
          <w:szCs w:val="28"/>
          <w:highlight w:val="none"/>
          <w:lang w:val="zh-CN"/>
        </w:rPr>
        <w:t xml:space="preserve">符合性审查（</w:t>
      </w:r>
      <w:r>
        <w:rPr>
          <w:rFonts w:hint="eastAsia" w:ascii="仿宋" w:hAnsi="仿宋" w:eastAsia="仿宋" w:cs="仿宋"/>
          <w:bCs/>
          <w:color w:val="auto"/>
          <w:sz w:val="28"/>
          <w:szCs w:val="28"/>
          <w:highlight w:val="none"/>
          <w:lang w:val="en-US" w:eastAsia="zh-CN"/>
        </w:rPr>
        <w:t xml:space="preserve">如有</w:t>
      </w:r>
      <w:r>
        <w:rPr>
          <w:rFonts w:hint="eastAsia" w:ascii="仿宋" w:hAnsi="仿宋" w:eastAsia="仿宋" w:cs="仿宋"/>
          <w:bCs/>
          <w:color w:val="auto"/>
          <w:sz w:val="28"/>
          <w:szCs w:val="28"/>
          <w:highlight w:val="none"/>
          <w:lang w:val="zh-CN"/>
        </w:rPr>
        <w:t xml:space="preserve">）</w:t>
      </w:r>
      <w:r/>
    </w:p>
    <w:p>
      <w:pPr>
        <w:numPr>
          <w:ilvl w:val="0"/>
          <w:numId w:val="0"/>
        </w:num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en-US" w:eastAsia="zh-CN"/>
        </w:rPr>
        <w:t xml:space="preserve">三、</w:t>
      </w:r>
      <w:r>
        <w:rPr>
          <w:rFonts w:hint="eastAsia" w:ascii="仿宋" w:hAnsi="仿宋" w:eastAsia="仿宋" w:cs="仿宋"/>
          <w:bCs/>
          <w:color w:val="auto"/>
          <w:sz w:val="28"/>
          <w:szCs w:val="28"/>
          <w:highlight w:val="none"/>
          <w:lang w:val="zh-CN"/>
        </w:rPr>
        <w:t xml:space="preserve">商务技术标包（应包括但不限于以下内容。不得出现报价，否则作废）</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zh-CN"/>
        </w:rPr>
        <w:t xml:space="preserve">商务部分正负偏离表；（格式见附件）</w:t>
      </w:r>
      <w:r/>
    </w:p>
    <w:p>
      <w:pPr>
        <w:numPr>
          <w:ilvl w:val="0"/>
          <w:numId w:val="0"/>
        </w:num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lang w:val="zh-CN"/>
        </w:rPr>
        <w:t xml:space="preserve">、技术部分正负偏离表；（格式见附件）</w:t>
      </w:r>
      <w:r/>
    </w:p>
    <w:p>
      <w:pPr>
        <w:numPr>
          <w:ilvl w:val="0"/>
          <w:numId w:val="0"/>
        </w:num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val="zh-CN"/>
        </w:rPr>
        <w:t xml:space="preserve">商务技术评分标准中须提供的相关得分佐证材料；</w:t>
      </w:r>
      <w:r/>
    </w:p>
    <w:p>
      <w:pPr>
        <w:numPr>
          <w:ilvl w:val="0"/>
          <w:numId w:val="0"/>
        </w:num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s="仿宋"/>
          <w:bCs/>
          <w:color w:val="auto"/>
          <w:sz w:val="28"/>
          <w:szCs w:val="28"/>
          <w:highlight w:val="none"/>
          <w:lang w:val="zh-CN"/>
        </w:rPr>
        <w:t xml:space="preserve">供应商认为需要提交的其他商务技术材料。</w:t>
      </w:r>
      <w:r/>
    </w:p>
    <w:p>
      <w:pPr>
        <w:numPr>
          <w:ilvl w:val="0"/>
          <w:numId w:val="0"/>
        </w:numPr>
        <w:spacing w:line="360" w:lineRule="auto"/>
        <w:rPr>
          <w:rFonts w:hint="eastAsia" w:ascii="仿宋" w:hAnsi="仿宋" w:eastAsia="仿宋" w:cs="仿宋"/>
          <w:b/>
          <w:bCs w:val="0"/>
          <w:color w:val="auto"/>
          <w:sz w:val="28"/>
          <w:szCs w:val="28"/>
          <w:highlight w:val="none"/>
          <w:lang w:val="zh-CN"/>
        </w:rPr>
      </w:pPr>
      <w:r>
        <w:rPr>
          <w:rFonts w:hint="eastAsia" w:ascii="仿宋" w:hAnsi="仿宋" w:eastAsia="仿宋" w:cs="仿宋"/>
          <w:b/>
          <w:bCs w:val="0"/>
          <w:color w:val="auto"/>
          <w:sz w:val="28"/>
          <w:szCs w:val="28"/>
          <w:highlight w:val="none"/>
          <w:lang w:val="zh-CN"/>
        </w:rPr>
        <w:t xml:space="preserve">（如采购文件要求提供的商务技术标材料中没有对应的接口上传的资料，可以在本部分的其他材料的接口中上传）</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en-US" w:eastAsia="zh-CN"/>
        </w:rPr>
        <w:t xml:space="preserve">四</w:t>
      </w:r>
      <w:r>
        <w:rPr>
          <w:rFonts w:hint="eastAsia" w:ascii="仿宋" w:hAnsi="仿宋" w:eastAsia="仿宋" w:cs="仿宋"/>
          <w:bCs/>
          <w:color w:val="auto"/>
          <w:sz w:val="28"/>
          <w:szCs w:val="28"/>
          <w:highlight w:val="none"/>
          <w:lang w:val="zh-CN"/>
        </w:rPr>
        <w:t xml:space="preserve">、价格标</w:t>
      </w:r>
      <w:r/>
    </w:p>
    <w:p>
      <w:pPr>
        <w:ind w:firstLine="560"/>
        <w:spacing w:line="360" w:lineRule="auto"/>
        <w:rPr>
          <w:rFonts w:hint="eastAsia" w:ascii="仿宋" w:hAnsi="仿宋" w:eastAsia="仿宋" w:cs="仿宋"/>
          <w:color w:val="auto"/>
          <w:highlight w:val="none"/>
        </w:rPr>
      </w:pPr>
      <w:r>
        <w:rPr>
          <w:rFonts w:hint="eastAsia" w:ascii="仿宋" w:hAnsi="仿宋" w:eastAsia="仿宋" w:cs="仿宋"/>
          <w:bCs/>
          <w:color w:val="auto"/>
          <w:sz w:val="28"/>
          <w:szCs w:val="28"/>
          <w:highlight w:val="none"/>
          <w:lang w:val="zh-CN"/>
        </w:rPr>
        <w:t xml:space="preserve">1.开标一览表（格式见附件）；</w:t>
      </w:r>
      <w:r/>
    </w:p>
    <w:p>
      <w:pPr>
        <w:ind w:firstLine="560"/>
        <w:jc w:val="both"/>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lang w:val="zh-CN"/>
        </w:rPr>
        <w:t xml:space="preserve">关于符合本国产品标准的声明函</w:t>
      </w:r>
      <w:r>
        <w:rPr>
          <w:rFonts w:hint="eastAsia" w:ascii="仿宋" w:hAnsi="仿宋" w:eastAsia="仿宋" w:cs="仿宋"/>
          <w:bCs/>
          <w:color w:val="auto"/>
          <w:sz w:val="28"/>
          <w:szCs w:val="28"/>
          <w:highlight w:val="none"/>
          <w:lang w:val="zh-CN" w:eastAsia="zh-CN"/>
        </w:rPr>
        <w:t xml:space="preserve">（</w:t>
      </w:r>
      <w:r>
        <w:rPr>
          <w:rFonts w:hint="eastAsia" w:ascii="仿宋" w:hAnsi="仿宋" w:eastAsia="仿宋" w:cs="仿宋"/>
          <w:bCs/>
          <w:color w:val="auto"/>
          <w:sz w:val="28"/>
          <w:szCs w:val="28"/>
          <w:highlight w:val="none"/>
          <w:lang w:val="en-US" w:eastAsia="zh-CN"/>
        </w:rPr>
        <w:t xml:space="preserve">如有</w:t>
      </w:r>
      <w:r>
        <w:rPr>
          <w:rFonts w:hint="eastAsia" w:ascii="仿宋" w:hAnsi="仿宋" w:eastAsia="仿宋" w:cs="仿宋"/>
          <w:b/>
          <w:color w:val="auto"/>
          <w:sz w:val="30"/>
          <w:szCs w:val="30"/>
          <w:highlight w:val="none"/>
          <w:lang w:eastAsia="zh-CN"/>
        </w:rPr>
        <w:t xml:space="preserve">）</w:t>
      </w:r>
      <w:r/>
    </w:p>
    <w:p>
      <w:pPr>
        <w:rPr>
          <w:rFonts w:hint="eastAsia" w:ascii="仿宋" w:hAnsi="仿宋" w:eastAsia="仿宋" w:cs="仿宋"/>
          <w:b/>
          <w:bCs w:val="0"/>
          <w:color w:val="auto"/>
          <w:sz w:val="28"/>
          <w:szCs w:val="28"/>
          <w:highlight w:val="none"/>
          <w:lang w:val="zh-CN" w:eastAsia="zh-CN" w:bidi="ar-SA"/>
        </w:rPr>
      </w:pPr>
      <w:r>
        <w:rPr>
          <w:rFonts w:hint="eastAsia" w:ascii="仿宋" w:hAnsi="仿宋" w:eastAsia="仿宋" w:cs="仿宋"/>
          <w:b/>
          <w:bCs w:val="0"/>
          <w:color w:val="auto"/>
          <w:sz w:val="28"/>
          <w:szCs w:val="28"/>
          <w:highlight w:val="none"/>
          <w:lang w:val="zh-CN" w:eastAsia="zh-CN" w:bidi="ar-SA"/>
        </w:rPr>
        <w:t xml:space="preserve">（如招标文件要求提供的价格标资料中没有对应的接口上传的资料可以在本部分的其他材料的接口中上传）</w:t>
      </w:r>
      <w:r/>
    </w:p>
    <w:p>
      <w:pPr>
        <w:contextualSpacing/>
        <w:spacing w:line="360" w:lineRule="auto"/>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w:t>
      </w: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投标人符合《中华人民共和国政府采购法》第二十二条规定条件的声明函</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我单位参加</w:t>
      </w:r>
      <w:r>
        <w:rPr>
          <w:rFonts w:hint="eastAsia" w:ascii="仿宋" w:hAnsi="仿宋" w:eastAsia="仿宋" w:cs="仿宋"/>
          <w:bCs/>
          <w:color w:val="auto"/>
          <w:sz w:val="28"/>
          <w:szCs w:val="28"/>
          <w:highlight w:val="none"/>
          <w:u w:val="single"/>
        </w:rPr>
        <w:t xml:space="preserve">________________ _</w:t>
      </w:r>
      <w:r>
        <w:rPr>
          <w:rFonts w:hint="eastAsia" w:ascii="仿宋" w:hAnsi="仿宋" w:eastAsia="仿宋" w:cs="仿宋"/>
          <w:bCs/>
          <w:color w:val="auto"/>
          <w:sz w:val="28"/>
          <w:szCs w:val="28"/>
          <w:highlight w:val="none"/>
        </w:rPr>
        <w:t xml:space="preserve">（项目名称），</w:t>
      </w:r>
      <w:r>
        <w:rPr>
          <w:rFonts w:hint="eastAsia" w:ascii="仿宋" w:hAnsi="仿宋" w:eastAsia="仿宋" w:cs="仿宋"/>
          <w:bCs/>
          <w:color w:val="auto"/>
          <w:sz w:val="28"/>
          <w:szCs w:val="28"/>
          <w:highlight w:val="none"/>
          <w:u w:val="single"/>
        </w:rPr>
        <w:t xml:space="preserve">_______ __________</w:t>
      </w:r>
      <w:r>
        <w:rPr>
          <w:rFonts w:hint="eastAsia" w:ascii="仿宋" w:hAnsi="仿宋" w:eastAsia="仿宋" w:cs="仿宋"/>
          <w:bCs/>
          <w:color w:val="auto"/>
          <w:sz w:val="28"/>
          <w:szCs w:val="28"/>
          <w:highlight w:val="none"/>
        </w:rPr>
        <w:t xml:space="preserve">（项目编号）投标活动。针对《中华人民共和国政府采购法》第二十二条规定做出如下声明：</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1.我单位具有独立承担民事责任的能力；</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2.我单位具有良好的商业信誉和健全的财务会计制度；</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3.我单位具有履行合同所必需的设备和专业技术能力；</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4.我单位有依法缴纳税收和社会保障资金的良好记录；</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我单位参加政府采购活动前三年内，在经营活动中没有重大违法记录；（1.投标单位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6.我单位满足法律、行政法规规定的其他条件。</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承诺人名称（公章）：</w:t>
      </w:r>
      <w:r/>
    </w:p>
    <w:p>
      <w:pPr>
        <w:jc w:val="righ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jc w:val="righ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日期：</w:t>
      </w:r>
      <w:r>
        <w:rPr>
          <w:rFonts w:hint="eastAsia" w:ascii="仿宋" w:hAnsi="仿宋" w:eastAsia="仿宋" w:cs="仿宋"/>
          <w:bCs/>
          <w:color w:val="auto"/>
          <w:sz w:val="28"/>
          <w:szCs w:val="28"/>
          <w:highlight w:val="none"/>
          <w:u w:val="single"/>
        </w:rPr>
        <w:t xml:space="preserve">______</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w:t>
      </w:r>
      <w:r/>
    </w:p>
    <w:p>
      <w:pPr>
        <w:contextualSpacing/>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法定代表人身份证明</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先生/女士： 现任我单位</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职务，为法定代表人，特此证明。</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身份证号码：</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                                               </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联系方式：</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   </w:t>
      </w:r>
      <w:r/>
    </w:p>
    <w:p>
      <w:pPr>
        <w:pStyle w:val="1054"/>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注：提供法定代表人的身份证扫描件盖公章。</w:t>
      </w:r>
      <w:r/>
    </w:p>
    <w:p>
      <w:pPr>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51"/>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法定代表人授权委托书</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本人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（姓名）系</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（授权单位名称）的法定代表人，现委托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（姓名）（身份证号</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）为我方代理人，以我方名义全权处理与本次采购项目（编号：</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）有关的一切事务，其法律后果由我方承担。</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本授权书于</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日起生效。代理人无转委托权。</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代理人(被授权人):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。联系方式：</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      </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授权单位名称（盖章）：</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授权单位法定代表人（签字或盖章）：</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w:t>
      </w:r>
      <w:r/>
    </w:p>
    <w:p>
      <w:pPr>
        <w:jc w:val="righ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righ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w:t>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注：提供投标代表本人身份证扫描件盖公章。</w:t>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jc w:val="center"/>
        <w:spacing w:line="360" w:lineRule="auto"/>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89"/>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89"/>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89"/>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89"/>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52"/>
        <w:spacing w:line="360" w:lineRule="auto"/>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63"/>
        <w:spacing w:line="360" w:lineRule="auto"/>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63"/>
        <w:spacing w:line="360" w:lineRule="auto"/>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center"/>
        <w:spacing w:before="240" w:line="360" w:lineRule="auto"/>
        <w:rPr>
          <w:rFonts w:hint="eastAsia" w:ascii="仿宋" w:hAnsi="仿宋" w:eastAsia="仿宋" w:cs="仿宋"/>
          <w:b/>
          <w:color w:val="auto"/>
          <w:sz w:val="30"/>
          <w:szCs w:val="30"/>
          <w:highlight w:val="none"/>
          <w:lang w:bidi="ar"/>
        </w:rPr>
      </w:pPr>
      <w:r>
        <w:rPr>
          <w:rFonts w:hint="eastAsia" w:ascii="仿宋" w:hAnsi="仿宋" w:eastAsia="仿宋" w:cs="仿宋"/>
          <w:b/>
          <w:color w:val="auto"/>
          <w:sz w:val="30"/>
          <w:szCs w:val="30"/>
          <w:highlight w:val="none"/>
          <w:lang w:bidi="ar"/>
        </w:rPr>
        <w:t xml:space="preserve">投标单位信用承诺书</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为营造公开、公平、公正的公共资源交易环境，树立诚信守法的投标人形象，本人代表本单位作出以下承诺：</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三、严格遵守即时信息公示规定，及时更新公共资源交易中心主体信息库中信息；</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六、自觉接受政府部门、行业组织、社会公众、新闻舆论等监督；</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七、上述承诺已向本单位员工作了宣传教育；</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如有违反上述承诺的不良行为，本单位同意将其予以上网公示。</w:t>
      </w:r>
      <w:r/>
    </w:p>
    <w:p>
      <w:pPr>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4555"/>
        <w:jc w:val="left"/>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投标投标单位全称(盖公章)：</w:t>
      </w:r>
      <w:r/>
    </w:p>
    <w:p>
      <w:pPr>
        <w:ind w:firstLine="4555"/>
        <w:jc w:val="left"/>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法定代表人（签字或盖章）：</w:t>
      </w:r>
      <w:r/>
    </w:p>
    <w:p>
      <w:pPr>
        <w:ind w:firstLine="4555"/>
        <w:jc w:val="left"/>
        <w:spacing w:line="360" w:lineRule="auto"/>
        <w:rPr>
          <w:rFonts w:hint="eastAsia" w:ascii="仿宋" w:hAnsi="仿宋" w:eastAsia="仿宋" w:cs="仿宋"/>
          <w:b/>
          <w:color w:val="auto"/>
          <w:sz w:val="28"/>
          <w:szCs w:val="28"/>
          <w:highlight w:val="none"/>
          <w:lang w:val="zh-CN"/>
        </w:rPr>
      </w:pPr>
      <w:r>
        <w:rPr>
          <w:rFonts w:hint="eastAsia" w:ascii="仿宋" w:hAnsi="仿宋" w:eastAsia="仿宋" w:cs="仿宋"/>
          <w:color w:val="auto"/>
          <w:sz w:val="28"/>
          <w:szCs w:val="28"/>
          <w:highlight w:val="none"/>
          <w:lang w:val="zh-CN"/>
        </w:rPr>
        <w:t xml:space="preserve">时间：  年  月   日</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contextualSpacing/>
        <w:jc w:val="center"/>
        <w:spacing w:line="300" w:lineRule="auto"/>
        <w:tabs>
          <w:tab w:val="left" w:pos="1260" w:leader="none"/>
        </w:tabs>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投标人情况一览表</w:t>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jc w:val="center"/>
          <w:trHeight w:val="397"/>
        </w:trPr>
        <w:tc>
          <w:tcPr>
            <w:gridSpan w:val="2"/>
            <w:tcBorders>
              <w:top w:val="single" w:color="auto" w:sz="4" w:space="0"/>
              <w:left w:val="single" w:color="auto" w:sz="4" w:space="0"/>
            </w:tcBorders>
            <w:tcW w:w="1242" w:type="dxa"/>
            <w:vAlign w:val="center"/>
            <w:textDirection w:val="lrTb"/>
            <w:noWrap w:val="false"/>
          </w:tcPr>
          <w:p>
            <w:pPr>
              <w:jc w:val="cente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单位名称</w:t>
            </w:r>
            <w:r/>
          </w:p>
        </w:tc>
        <w:tc>
          <w:tcPr>
            <w:gridSpan w:val="10"/>
            <w:tcBorders>
              <w:top w:val="single" w:color="auto" w:sz="4" w:space="0"/>
              <w:right w:val="single" w:color="auto" w:sz="4" w:space="0"/>
            </w:tcBorders>
            <w:tcW w:w="7923"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97"/>
        </w:trPr>
        <w:tc>
          <w:tcPr>
            <w:gridSpan w:val="3"/>
            <w:tcBorders>
              <w:left w:val="single" w:color="auto" w:sz="4" w:space="0"/>
              <w:right w:val="single" w:color="auto" w:sz="4" w:space="0"/>
            </w:tcBorders>
            <w:tcW w:w="2093"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单位优势及特长</w:t>
            </w:r>
            <w:r/>
          </w:p>
        </w:tc>
        <w:tc>
          <w:tcPr>
            <w:gridSpan w:val="9"/>
            <w:tcBorders>
              <w:left w:val="single" w:color="auto" w:sz="4" w:space="0"/>
              <w:right w:val="single" w:color="auto" w:sz="4" w:space="0"/>
            </w:tcBorders>
            <w:tcW w:w="7072"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p>
            <w:pPr>
              <w:ind w:left="266" w:hanging="266"/>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概况</w:t>
            </w:r>
            <w:r/>
          </w:p>
        </w:tc>
        <w:tc>
          <w:tcPr>
            <w:gridSpan w:val="2"/>
            <w:tcW w:w="1276" w:type="dxa"/>
            <w:vAlign w:val="center"/>
            <w:textDirection w:val="lrTb"/>
            <w:noWrap w:val="false"/>
          </w:tcPr>
          <w:p>
            <w:pPr>
              <w:jc w:val="cente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职工总数</w:t>
            </w:r>
            <w:r/>
          </w:p>
        </w:tc>
        <w:tc>
          <w:tcPr>
            <w:gridSpan w:val="2"/>
            <w:tcW w:w="1417" w:type="dxa"/>
            <w:vAlign w:val="center"/>
            <w:textDirection w:val="lrTb"/>
            <w:noWrap w:val="false"/>
          </w:tcPr>
          <w:p>
            <w:pPr>
              <w:jc w:val="righ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人</w:t>
            </w:r>
            <w:r/>
          </w:p>
        </w:tc>
        <w:tc>
          <w:tcPr>
            <w:tcW w:w="567" w:type="dxa"/>
            <w:vAlign w:val="center"/>
            <w:vMerge w:val="restart"/>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上一年主要经济指标</w:t>
            </w:r>
            <w:r/>
          </w:p>
        </w:tc>
        <w:tc>
          <w:tcPr>
            <w:tcW w:w="946" w:type="dxa"/>
            <w:vAlign w:val="center"/>
            <w:textDirection w:val="lrTb"/>
            <w:noWrap w:val="false"/>
          </w:tcPr>
          <w:p>
            <w:pPr>
              <w:jc w:val="cente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营业额</w:t>
            </w:r>
            <w:r/>
          </w:p>
        </w:tc>
        <w:tc>
          <w:tcPr>
            <w:gridSpan w:val="2"/>
            <w:tcW w:w="1414"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184" w:type="dxa"/>
            <w:vAlign w:val="center"/>
            <w:textDirection w:val="lrTb"/>
            <w:noWrap w:val="false"/>
          </w:tcPr>
          <w:p>
            <w:pPr>
              <w:jc w:val="cente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实现利润</w:t>
            </w:r>
            <w:r/>
          </w:p>
        </w:tc>
        <w:tc>
          <w:tcPr>
            <w:tcBorders>
              <w:right w:val="single" w:color="auto" w:sz="4" w:space="0"/>
            </w:tcBorders>
            <w:tcW w:w="1544"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流动资金</w:t>
            </w:r>
            <w:r/>
          </w:p>
        </w:tc>
        <w:tc>
          <w:tcPr>
            <w:gridSpan w:val="2"/>
            <w:tcW w:w="1417" w:type="dxa"/>
            <w:vAlign w:val="center"/>
            <w:textDirection w:val="lrTb"/>
            <w:noWrap w:val="false"/>
          </w:tcPr>
          <w:p>
            <w:pPr>
              <w:jc w:val="righ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万元</w:t>
            </w:r>
            <w:r/>
          </w:p>
        </w:tc>
        <w:tc>
          <w:tcPr>
            <w:tcW w:w="567" w:type="dxa"/>
            <w:vAlign w:val="center"/>
            <w:vMerge w:val="continue"/>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6" w:type="dxa"/>
            <w:vAlign w:val="center"/>
            <w:vMerge w:val="restart"/>
            <w:textDirection w:val="lrTb"/>
            <w:noWrap w:val="false"/>
          </w:tcPr>
          <w:p>
            <w:pPr>
              <w:jc w:val="cente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主要</w:t>
            </w:r>
            <w:r/>
          </w:p>
          <w:p>
            <w:pPr>
              <w:jc w:val="cente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jc w:val="center"/>
          <w:trHeight w:val="1116"/>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固定资产</w:t>
            </w:r>
            <w:r/>
          </w:p>
          <w:p>
            <w:pPr>
              <w:jc w:val="cente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（万元）</w:t>
            </w:r>
            <w:r/>
          </w:p>
        </w:tc>
        <w:tc>
          <w:tcPr>
            <w:gridSpan w:val="2"/>
            <w:tcW w:w="1417" w:type="dxa"/>
            <w:vAlign w:val="center"/>
            <w:textDirection w:val="lrTb"/>
            <w:noWrap w:val="false"/>
          </w:tcPr>
          <w:p>
            <w:pPr>
              <w:ind w:right="-133" w:hanging="48"/>
              <w:tabs>
                <w:tab w:val="left" w:pos="-48" w:leader="none"/>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原值：</w:t>
            </w:r>
            <w:r/>
          </w:p>
          <w:p>
            <w:pPr>
              <w:ind w:hanging="48"/>
              <w:jc w:val="right"/>
              <w:tabs>
                <w:tab w:val="left" w:pos="-48" w:leader="none"/>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133" w:hanging="48"/>
              <w:tabs>
                <w:tab w:val="left" w:pos="-48" w:leader="none"/>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净值：</w:t>
            </w:r>
            <w:r/>
          </w:p>
          <w:p>
            <w:pPr>
              <w:ind w:hanging="48"/>
              <w:jc w:val="right"/>
              <w:tabs>
                <w:tab w:val="left" w:pos="-48" w:leader="none"/>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67" w:type="dxa"/>
            <w:vAlign w:val="center"/>
            <w:vMerge w:val="continue"/>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jc w:val="center"/>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占地面积</w:t>
            </w:r>
            <w:r/>
          </w:p>
        </w:tc>
        <w:tc>
          <w:tcPr>
            <w:gridSpan w:val="2"/>
            <w:tcW w:w="1417" w:type="dxa"/>
            <w:vAlign w:val="center"/>
            <w:textDirection w:val="lrTb"/>
            <w:noWrap w:val="false"/>
          </w:tcPr>
          <w:p>
            <w:pPr>
              <w:jc w:val="righ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M</w:t>
            </w:r>
            <w:r>
              <w:rPr>
                <w:rFonts w:hint="eastAsia" w:ascii="仿宋" w:hAnsi="仿宋" w:eastAsia="仿宋" w:cs="仿宋"/>
                <w:color w:val="auto"/>
                <w:sz w:val="24"/>
                <w:highlight w:val="none"/>
                <w:vertAlign w:val="superscript"/>
              </w:rPr>
              <w:t xml:space="preserve">2</w:t>
            </w:r>
            <w:r/>
          </w:p>
        </w:tc>
        <w:tc>
          <w:tcPr>
            <w:tcW w:w="567" w:type="dxa"/>
            <w:vAlign w:val="center"/>
            <w:vMerge w:val="continue"/>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r>
      <w:tr>
        <w:trPr>
          <w:cantSplit/>
          <w:jc w:val="center"/>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w:t>
            </w:r>
            <w:r/>
          </w:p>
          <w:p>
            <w:pPr>
              <w:ind w:left="266" w:hanging="266"/>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w:t>
            </w:r>
            <w:r/>
          </w:p>
          <w:p>
            <w:pPr>
              <w:ind w:left="266" w:hanging="266"/>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产品</w:t>
            </w:r>
            <w:r/>
          </w:p>
          <w:p>
            <w:pPr>
              <w:ind w:left="266" w:hanging="266"/>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本次投标</w:t>
            </w:r>
            <w:r>
              <w:rPr>
                <w:rFonts w:hint="eastAsia" w:ascii="仿宋" w:hAnsi="仿宋" w:eastAsia="仿宋" w:cs="仿宋"/>
                <w:color w:val="auto"/>
                <w:sz w:val="24"/>
                <w:highlight w:val="none"/>
              </w:rPr>
              <w:br/>
            </w:r>
            <w:r>
              <w:rPr>
                <w:rFonts w:hint="eastAsia" w:ascii="仿宋" w:hAnsi="仿宋" w:eastAsia="仿宋" w:cs="仿宋"/>
                <w:color w:val="auto"/>
                <w:sz w:val="24"/>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型    号</w:t>
            </w:r>
            <w:r/>
          </w:p>
        </w:tc>
        <w:tc>
          <w:tcPr>
            <w:tcW w:w="946" w:type="dxa"/>
            <w:vAlign w:val="center"/>
            <w:textDirection w:val="lrTb"/>
            <w:noWrap w:val="false"/>
          </w:tcPr>
          <w:p>
            <w:pPr>
              <w:jc w:val="center"/>
              <w:spacing w:before="60" w:after="60"/>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上年</w:t>
            </w:r>
            <w:r>
              <w:rPr>
                <w:rFonts w:hint="eastAsia" w:ascii="仿宋" w:hAnsi="仿宋" w:eastAsia="仿宋" w:cs="仿宋"/>
                <w:color w:val="auto"/>
                <w:sz w:val="24"/>
                <w:highlight w:val="none"/>
              </w:rPr>
              <w:br/>
            </w:r>
            <w:r>
              <w:rPr>
                <w:rFonts w:hint="eastAsia" w:ascii="仿宋" w:hAnsi="仿宋" w:eastAsia="仿宋" w:cs="仿宋"/>
                <w:color w:val="auto"/>
                <w:sz w:val="24"/>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产品技术</w:t>
            </w:r>
            <w:r/>
          </w:p>
          <w:p>
            <w:pPr>
              <w:jc w:val="center"/>
              <w:spacing w:before="60" w:after="60"/>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先进水平</w:t>
            </w:r>
            <w:r/>
          </w:p>
        </w:tc>
        <w:tc>
          <w:tcPr>
            <w:gridSpan w:val="2"/>
            <w:tcW w:w="1273" w:type="dxa"/>
            <w:vAlign w:val="center"/>
            <w:textDirection w:val="lrTb"/>
            <w:noWrap w:val="false"/>
          </w:tcPr>
          <w:p>
            <w:pPr>
              <w:jc w:val="center"/>
              <w:spacing w:before="60" w:after="60"/>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曾获何级</w:t>
            </w:r>
            <w:r/>
          </w:p>
          <w:p>
            <w:pPr>
              <w:jc w:val="center"/>
              <w:spacing w:before="60" w:after="60"/>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主要用户</w:t>
            </w:r>
            <w:r>
              <w:rPr>
                <w:rFonts w:hint="eastAsia" w:ascii="仿宋" w:hAnsi="仿宋" w:eastAsia="仿宋" w:cs="仿宋"/>
                <w:color w:val="auto"/>
                <w:sz w:val="24"/>
                <w:highlight w:val="none"/>
              </w:rPr>
              <w:br/>
            </w:r>
            <w:r>
              <w:rPr>
                <w:rFonts w:hint="eastAsia" w:ascii="仿宋" w:hAnsi="仿宋" w:eastAsia="仿宋" w:cs="仿宋"/>
                <w:color w:val="auto"/>
                <w:sz w:val="24"/>
                <w:highlight w:val="none"/>
              </w:rPr>
              <w:t xml:space="preserve">名称</w:t>
            </w:r>
            <w:r/>
          </w:p>
        </w:tc>
      </w:tr>
      <w:tr>
        <w:trPr>
          <w:cantSplit/>
          <w:jc w:val="center"/>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3"/>
            <w:tcW w:w="1643"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617"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6"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63"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273"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3"/>
            <w:tcW w:w="1643"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617"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6"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63"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273"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3"/>
            <w:tcW w:w="1643"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617"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6"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63"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273"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3"/>
            <w:tcW w:w="1643"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617"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6"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63"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273"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397"/>
        </w:trPr>
        <w:tc>
          <w:tcPr>
            <w:tcBorders>
              <w:left w:val="single" w:color="auto" w:sz="4" w:space="0"/>
            </w:tcBorders>
            <w:tcW w:w="817" w:type="dxa"/>
            <w:vAlign w:val="center"/>
            <w:vMerge w:val="restart"/>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其它</w:t>
            </w:r>
            <w:r/>
          </w:p>
        </w:tc>
        <w:tc>
          <w:tcPr>
            <w:gridSpan w:val="6"/>
            <w:tcW w:w="4206" w:type="dxa"/>
            <w:vAlign w:val="center"/>
            <w:textDirection w:val="lrTb"/>
            <w:noWrap w:val="false"/>
          </w:tcPr>
          <w:p>
            <w:pPr>
              <w:spacing w:before="60" w:after="60"/>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近3年完成及正在执行的合同中发生的由于投标人违约或部分违约而引起诉讼和受到索赔的案件具体情况及结果（须如实填写，若对此进行隐瞒，尔后又被采购人或采购代理机构发现，或被它人举证成立，其投标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jc w:val="center"/>
          <w:trHeight w:val="3747"/>
        </w:trPr>
        <w:tc>
          <w:tcPr>
            <w:tcBorders>
              <w:left w:val="single" w:color="auto" w:sz="4" w:space="0"/>
              <w:bottom w:val="single" w:color="auto" w:sz="4" w:space="0"/>
            </w:tcBorders>
            <w:tcW w:w="817" w:type="dxa"/>
            <w:vAlign w:val="center"/>
            <w:vMerge w:val="continue"/>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6"/>
            <w:tcBorders>
              <w:bottom w:val="single" w:color="auto" w:sz="4" w:space="0"/>
            </w:tcBorders>
            <w:tcW w:w="4206"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5"/>
            <w:tcBorders>
              <w:bottom w:val="single" w:color="auto" w:sz="4" w:space="0"/>
              <w:right w:val="single" w:color="auto" w:sz="4" w:space="0"/>
            </w:tcBorders>
            <w:tcW w:w="4142" w:type="dxa"/>
            <w:vAlign w:val="center"/>
            <w:textDirection w:val="lrTb"/>
            <w:noWrap w:val="false"/>
          </w:tcPr>
          <w:p>
            <w:pPr>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contextualSpacing/>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695" w:firstLine="562"/>
        <w:jc w:val="center"/>
        <w:spacing w:line="400" w:lineRule="exact"/>
        <w:rPr>
          <w:rFonts w:hint="eastAsia" w:ascii="仿宋" w:hAnsi="仿宋" w:eastAsia="仿宋" w:cs="仿宋"/>
          <w:color w:val="auto"/>
          <w:sz w:val="32"/>
          <w:szCs w:val="32"/>
          <w:highlight w:val="none"/>
        </w:rPr>
      </w:pPr>
      <w:r>
        <w:rPr>
          <w:rFonts w:hint="eastAsia" w:ascii="仿宋" w:hAnsi="仿宋" w:eastAsia="仿宋" w:cs="仿宋"/>
          <w:b/>
          <w:color w:val="auto"/>
          <w:sz w:val="28"/>
          <w:szCs w:val="28"/>
          <w:highlight w:val="none"/>
          <w:lang w:val="zh-CN"/>
        </w:rPr>
        <w:br w:type="page" w:clear="all"/>
      </w:r>
      <w:r/>
    </w:p>
    <w:p>
      <w:pPr>
        <w:ind w:left="695" w:firstLine="643"/>
        <w:jc w:val="center"/>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中小企业声明函</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 号）的规定，本公司</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参加</w:t>
      </w:r>
      <w:r>
        <w:rPr>
          <w:rFonts w:hint="eastAsia" w:ascii="仿宋" w:hAnsi="仿宋" w:eastAsia="仿宋" w:cs="仿宋"/>
          <w:color w:val="auto"/>
          <w:sz w:val="24"/>
          <w:highlight w:val="none"/>
          <w:u w:val="single"/>
          <w:lang w:eastAsia="zh-CN"/>
        </w:rPr>
        <w:t xml:space="preserve">江苏航运职业技术学院</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lang w:eastAsia="zh-CN"/>
        </w:rPr>
        <w:t xml:space="preserve">江苏航运职业技术学院职业教育专业领域垂类模型建设项目</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小微企业、签订分包意向协议的</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小微企业）的具体情况如下：</w:t>
      </w:r>
      <w:r/>
    </w:p>
    <w:p>
      <w:pPr>
        <w:ind w:left="695" w:firstLine="48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软件和信息技术服务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中型企业</w:t>
      </w:r>
      <w:r>
        <w:rPr>
          <w:rFonts w:hint="eastAsia" w:ascii="仿宋" w:hAnsi="仿宋" w:eastAsia="仿宋" w:cs="仿宋"/>
          <w:color w:val="auto"/>
          <w:sz w:val="24"/>
          <w:szCs w:val="24"/>
          <w:highlight w:val="none"/>
          <w:u w:val="single"/>
        </w:rPr>
        <w:t xml:space="preserve"> □小型企业 □微型企业）；</w:t>
      </w:r>
      <w:r/>
    </w:p>
    <w:p>
      <w:pPr>
        <w:ind w:left="695" w:firstLine="48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b/>
          <w:bCs/>
          <w:color w:val="auto"/>
          <w:sz w:val="24"/>
          <w:szCs w:val="24"/>
          <w:highlight w:val="none"/>
          <w:u w:val="single"/>
        </w:rPr>
        <w:t xml:space="preserve">软件和信息技术服务</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中型企业</w:t>
      </w:r>
      <w:r>
        <w:rPr>
          <w:rFonts w:hint="eastAsia" w:ascii="仿宋" w:hAnsi="仿宋" w:eastAsia="仿宋" w:cs="仿宋"/>
          <w:color w:val="auto"/>
          <w:sz w:val="24"/>
          <w:szCs w:val="24"/>
          <w:highlight w:val="none"/>
          <w:u w:val="single"/>
        </w:rPr>
        <w:t xml:space="preserve"> □小型企业 □微型企业）；</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1.从业人员、营业收入、资产总额填报上一年度数据，无上一年度数据的新成立企业可不填报。</w:t>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3.供应商自行勾选承接企业的企业规模类型。</w:t>
      </w:r>
      <w:r/>
    </w:p>
    <w:p>
      <w:pPr>
        <w:ind w:left="695" w:firstLine="482"/>
        <w:spacing w:line="400" w:lineRule="exact"/>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24"/>
          <w:szCs w:val="24"/>
          <w:highlight w:val="none"/>
        </w:rPr>
        <w:br w:type="page" w:clear="all"/>
      </w:r>
      <w:r/>
    </w:p>
    <w:p>
      <w:pPr>
        <w:ind w:left="695" w:firstLine="482"/>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24"/>
          <w:szCs w:val="24"/>
          <w:highlight w:val="none"/>
        </w:rPr>
        <w:t xml:space="preserve">残疾人福利性单位声明函</w:t>
      </w:r>
      <w:r/>
    </w:p>
    <w:p>
      <w:pPr>
        <w:ind w:left="695"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auto"/>
          <w:sz w:val="24"/>
          <w:highlight w:val="none"/>
          <w:u w:val="single"/>
          <w:lang w:eastAsia="zh-CN"/>
        </w:rPr>
        <w:t xml:space="preserve">江苏航运职业技术学院</w:t>
      </w:r>
      <w:r>
        <w:rPr>
          <w:rFonts w:hint="eastAsia" w:ascii="仿宋" w:hAnsi="仿宋" w:eastAsia="仿宋" w:cs="仿宋"/>
          <w:color w:val="auto"/>
          <w:sz w:val="24"/>
          <w:highlight w:val="none"/>
        </w:rPr>
        <w:t xml:space="preserve">单位的采购文件编号为______的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u w:val="single"/>
          <w:lang w:eastAsia="zh-CN"/>
        </w:rPr>
        <w:t xml:space="preserve">江苏航运职业技术学院职业教育专业领域垂类模型建设项目</w:t>
      </w:r>
      <w:r>
        <w:rPr>
          <w:rFonts w:hint="eastAsia" w:ascii="仿宋" w:hAnsi="仿宋" w:eastAsia="仿宋" w:cs="仿宋"/>
          <w:color w:val="auto"/>
          <w:sz w:val="24"/>
          <w:highlight w:val="none"/>
        </w:rPr>
        <w:t xml:space="preserve">采购活动由本单位提供服务。</w:t>
      </w:r>
      <w:r/>
    </w:p>
    <w:p>
      <w:pPr>
        <w:ind w:left="695"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left="695"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2"/>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p>
      <w:pPr>
        <w:ind w:left="695" w:firstLine="482"/>
        <w:spacing w:line="0" w:lineRule="atLeas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1.专门面向中小微型企业采购的项目，供应商为残疾人福利性单位并提供服务的必须提供此声明函，否则将不能通过资格审查。</w:t>
      </w:r>
      <w:r/>
    </w:p>
    <w:p>
      <w:pPr>
        <w:ind w:left="695" w:firstLine="482"/>
        <w:spacing w:line="0" w:lineRule="atLeas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2.非专门面向中小微型企业采购的项目，供应商如不提供此声明函，价格将不做相应扣除。</w:t>
      </w:r>
      <w:r/>
    </w:p>
    <w:p>
      <w:pPr>
        <w:ind w:left="695" w:firstLine="482"/>
        <w:spacing w:line="0" w:lineRule="atLeas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3.中标/</w:t>
      </w:r>
      <w:r>
        <w:rPr>
          <w:rFonts w:hint="eastAsia" w:ascii="仿宋" w:hAnsi="仿宋" w:eastAsia="仿宋" w:cs="仿宋"/>
          <w:b/>
          <w:bCs/>
          <w:color w:val="auto"/>
          <w:sz w:val="24"/>
          <w:highlight w:val="none"/>
          <w:lang w:eastAsia="zh-CN"/>
        </w:rPr>
        <w:t xml:space="preserve">中标</w:t>
      </w:r>
      <w:r>
        <w:rPr>
          <w:rFonts w:hint="eastAsia" w:ascii="仿宋" w:hAnsi="仿宋" w:eastAsia="仿宋" w:cs="仿宋"/>
          <w:b/>
          <w:bCs/>
          <w:color w:val="auto"/>
          <w:sz w:val="24"/>
          <w:highlight w:val="none"/>
        </w:rPr>
        <w:t xml:space="preserve">供应商为残疾人福利性单位的，此声明函将随中标/</w:t>
      </w:r>
      <w:r>
        <w:rPr>
          <w:rFonts w:hint="eastAsia" w:ascii="仿宋" w:hAnsi="仿宋" w:eastAsia="仿宋" w:cs="仿宋"/>
          <w:b/>
          <w:bCs/>
          <w:color w:val="auto"/>
          <w:sz w:val="24"/>
          <w:highlight w:val="none"/>
          <w:lang w:eastAsia="zh-CN"/>
        </w:rPr>
        <w:t xml:space="preserve">中标</w:t>
      </w:r>
      <w:r>
        <w:rPr>
          <w:rFonts w:hint="eastAsia" w:ascii="仿宋" w:hAnsi="仿宋" w:eastAsia="仿宋" w:cs="仿宋"/>
          <w:b/>
          <w:bCs/>
          <w:color w:val="auto"/>
          <w:sz w:val="24"/>
          <w:highlight w:val="none"/>
        </w:rPr>
        <w:t xml:space="preserve">结果同时公告，接受社会监督</w:t>
      </w:r>
      <w:r>
        <w:rPr>
          <w:rFonts w:hint="eastAsia" w:ascii="仿宋" w:hAnsi="仿宋" w:eastAsia="仿宋" w:cs="仿宋"/>
          <w:b/>
          <w:bCs/>
          <w:color w:val="auto"/>
          <w:sz w:val="24"/>
          <w:szCs w:val="24"/>
          <w:highlight w:val="none"/>
        </w:rPr>
        <w:t xml:space="preserve">。</w:t>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供应商全称（加盖CA电子公章）：</w:t>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  期：</w:t>
      </w:r>
      <w:r/>
    </w:p>
    <w:p>
      <w:pPr>
        <w:ind w:left="695" w:firstLine="640"/>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br w:type="page" w:clear="all"/>
      </w:r>
      <w:r/>
    </w:p>
    <w:p>
      <w:pPr>
        <w:ind w:left="695" w:firstLine="643"/>
        <w:jc w:val="center"/>
        <w:spacing w:line="420" w:lineRule="exact"/>
        <w:rPr>
          <w:rFonts w:hint="eastAsia" w:ascii="仿宋" w:hAnsi="仿宋" w:eastAsia="仿宋" w:cs="仿宋"/>
          <w:b/>
          <w:bCs/>
          <w:color w:val="auto"/>
          <w:sz w:val="32"/>
          <w:szCs w:val="32"/>
          <w:highlight w:val="none"/>
        </w:rPr>
        <w:outlineLvl w:val="3"/>
      </w:pPr>
      <w:r>
        <w:rPr>
          <w:rFonts w:hint="eastAsia" w:ascii="仿宋" w:hAnsi="仿宋" w:eastAsia="仿宋" w:cs="仿宋"/>
          <w:b/>
          <w:bCs/>
          <w:color w:val="auto"/>
          <w:sz w:val="32"/>
          <w:szCs w:val="32"/>
          <w:highlight w:val="none"/>
        </w:rPr>
        <w:t xml:space="preserve">监狱和戒毒企业证明材料</w:t>
      </w:r>
      <w:r/>
    </w:p>
    <w:p>
      <w:pPr>
        <w:ind w:left="695" w:firstLine="562"/>
        <w:jc w:val="center"/>
        <w:spacing w:line="4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（格式自拟）</w:t>
      </w:r>
      <w:r/>
    </w:p>
    <w:p>
      <w:pPr>
        <w:ind w:left="695"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695"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2"/>
        <w:spacing w:line="4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p>
      <w:pPr>
        <w:ind w:left="695" w:firstLine="482"/>
        <w:spacing w:line="4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1.专门面向中小微型企业采购的项目，供应商为监狱和戒毒企业并提供服务的必须提供此声明函，否则将不能通过资格审查。</w:t>
      </w:r>
      <w:r/>
    </w:p>
    <w:p>
      <w:pPr>
        <w:ind w:left="695" w:firstLine="482"/>
        <w:spacing w:line="4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2.非专门面向中小微型企业采购的项目，供应商如不提供此声明函，价格将不做相应扣除。</w:t>
      </w:r>
      <w:r/>
    </w:p>
    <w:p>
      <w:pPr>
        <w:ind w:left="695" w:firstLine="482"/>
        <w:spacing w:line="4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3.中标/</w:t>
      </w:r>
      <w:r>
        <w:rPr>
          <w:rFonts w:hint="eastAsia" w:ascii="仿宋" w:hAnsi="仿宋" w:eastAsia="仿宋" w:cs="仿宋"/>
          <w:b/>
          <w:bCs/>
          <w:color w:val="auto"/>
          <w:sz w:val="24"/>
          <w:szCs w:val="24"/>
          <w:highlight w:val="none"/>
          <w:lang w:eastAsia="zh-CN"/>
        </w:rPr>
        <w:t xml:space="preserve">中标</w:t>
      </w:r>
      <w:r>
        <w:rPr>
          <w:rFonts w:hint="eastAsia" w:ascii="仿宋" w:hAnsi="仿宋" w:eastAsia="仿宋" w:cs="仿宋"/>
          <w:b/>
          <w:bCs/>
          <w:color w:val="auto"/>
          <w:sz w:val="24"/>
          <w:szCs w:val="24"/>
          <w:highlight w:val="none"/>
        </w:rPr>
        <w:t xml:space="preserve">供应商为监狱和戒毒企业单位的，此声明函将随中标/</w:t>
      </w:r>
      <w:r>
        <w:rPr>
          <w:rFonts w:hint="eastAsia" w:ascii="仿宋" w:hAnsi="仿宋" w:eastAsia="仿宋" w:cs="仿宋"/>
          <w:b/>
          <w:bCs/>
          <w:color w:val="auto"/>
          <w:sz w:val="24"/>
          <w:szCs w:val="24"/>
          <w:highlight w:val="none"/>
          <w:lang w:eastAsia="zh-CN"/>
        </w:rPr>
        <w:t xml:space="preserve">中标</w:t>
      </w:r>
      <w:r>
        <w:rPr>
          <w:rFonts w:hint="eastAsia" w:ascii="仿宋" w:hAnsi="仿宋" w:eastAsia="仿宋" w:cs="仿宋"/>
          <w:b/>
          <w:bCs/>
          <w:color w:val="auto"/>
          <w:sz w:val="24"/>
          <w:szCs w:val="24"/>
          <w:highlight w:val="none"/>
        </w:rPr>
        <w:t xml:space="preserve">结果同时公告，接受社会监督。</w:t>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供应商全称（加盖CA电子公章）：</w:t>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  期：</w:t>
      </w:r>
      <w:r/>
    </w:p>
    <w:p>
      <w:pPr>
        <w:ind w:left="695" w:firstLine="640"/>
        <w:rPr>
          <w:rFonts w:hint="eastAsia" w:ascii="仿宋" w:hAnsi="仿宋" w:eastAsia="仿宋" w:cs="仿宋"/>
          <w:color w:val="auto"/>
          <w:sz w:val="24"/>
          <w:szCs w:val="24"/>
          <w:highlight w:val="none"/>
        </w:rPr>
      </w:pPr>
      <w:r>
        <w:rPr>
          <w:rFonts w:hint="eastAsia" w:ascii="仿宋" w:hAnsi="仿宋" w:eastAsia="仿宋" w:cs="仿宋"/>
          <w:color w:val="auto"/>
          <w:sz w:val="32"/>
          <w:szCs w:val="32"/>
          <w:highlight w:val="none"/>
        </w:rPr>
        <w:br w:type="page" w:clear="all"/>
      </w:r>
      <w:r/>
    </w:p>
    <w:p>
      <w:pPr>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contextualSpacing/>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商务部分正负偏离表</w:t>
      </w:r>
      <w:r/>
    </w:p>
    <w:p>
      <w:pPr>
        <w:ind w:firstLine="560"/>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（由投标人据实填写，表格不够自行添加）</w:t>
      </w:r>
      <w:r/>
    </w:p>
    <w:tbl>
      <w:tblPr>
        <w:tblStyle w:val="745"/>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2660"/>
        <w:gridCol w:w="2323"/>
        <w:gridCol w:w="2997"/>
        <w:gridCol w:w="1651"/>
      </w:tblGrid>
      <w:tr>
        <w:trPr>
          <w:trHeight w:val="994"/>
        </w:trPr>
        <w:tc>
          <w:tcPr>
            <w:tcW w:w="46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序号</w:t>
            </w:r>
            <w:r/>
          </w:p>
        </w:tc>
        <w:tc>
          <w:tcPr>
            <w:tcW w:w="1254"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货物或服务名称</w:t>
            </w:r>
            <w:r/>
          </w:p>
        </w:tc>
        <w:tc>
          <w:tcPr>
            <w:tcW w:w="1095"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招标文件要求的商务条款</w:t>
            </w:r>
            <w:r/>
          </w:p>
        </w:tc>
        <w:tc>
          <w:tcPr>
            <w:tcW w:w="1413"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投标文件响应情况</w:t>
            </w:r>
            <w:r/>
          </w:p>
        </w:tc>
        <w:tc>
          <w:tcPr>
            <w:tcW w:w="778"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偏离说明</w:t>
            </w:r>
            <w:r/>
          </w:p>
        </w:tc>
      </w:tr>
      <w:tr>
        <w:trPr>
          <w:trHeight w:val="414"/>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548"/>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400"/>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419"/>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bl>
    <w:p>
      <w:pPr>
        <w:contextualSpacing/>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1.投标人提交的投标文件中与招标文件第三部分“项目需求”中的商务部分的要求，应逐条填列在偏离表中。</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2.“偏离说明”一栏选择“正偏离”、“无偏离”、“负偏离”进行填写。正偏离、无偏离的确认和负偏离的是否响应招标文件，由评委认定。</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3.投标人如果虚假响应，将被暂停参加</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组织的政府采购活动。</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4.投标单位若提供其他增值服务，可以在表中自行据实填写。</w:t>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6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6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6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6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6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6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6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6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lang w:val="zh-CN"/>
        </w:rPr>
        <w:br w:type="page" w:clear="all"/>
      </w:r>
      <w:r>
        <w:rPr>
          <w:rFonts w:hint="eastAsia" w:ascii="仿宋" w:hAnsi="仿宋" w:eastAsia="仿宋" w:cs="仿宋"/>
          <w:b/>
          <w:color w:val="auto"/>
          <w:sz w:val="28"/>
          <w:szCs w:val="28"/>
          <w:highlight w:val="none"/>
          <w:lang w:val="en-US" w:eastAsia="zh-CN"/>
        </w:rPr>
        <w:t xml:space="preserve">                            </w:t>
      </w:r>
      <w:r>
        <w:rPr>
          <w:rFonts w:hint="eastAsia" w:ascii="仿宋" w:hAnsi="仿宋" w:eastAsia="仿宋" w:cs="仿宋"/>
          <w:bCs/>
          <w:color w:val="auto"/>
          <w:sz w:val="28"/>
          <w:szCs w:val="28"/>
          <w:highlight w:val="none"/>
        </w:rPr>
        <w:t xml:space="preserve">技术部分正负偏离表</w:t>
      </w:r>
      <w:r/>
    </w:p>
    <w:p>
      <w:pPr>
        <w:ind w:firstLine="560"/>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（由投标人据实填写，表格不够自行添加）</w:t>
      </w:r>
      <w:r/>
    </w:p>
    <w:tbl>
      <w:tblPr>
        <w:tblStyle w:val="745"/>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2660"/>
        <w:gridCol w:w="2323"/>
        <w:gridCol w:w="2997"/>
        <w:gridCol w:w="1651"/>
      </w:tblGrid>
      <w:tr>
        <w:trPr>
          <w:trHeight w:val="994"/>
        </w:trPr>
        <w:tc>
          <w:tcPr>
            <w:tcW w:w="46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序号</w:t>
            </w:r>
            <w:r/>
          </w:p>
        </w:tc>
        <w:tc>
          <w:tcPr>
            <w:tcW w:w="1254"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货物或服务名称</w:t>
            </w:r>
            <w:r/>
          </w:p>
        </w:tc>
        <w:tc>
          <w:tcPr>
            <w:tcW w:w="1095"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招标文件要求的技术要求</w:t>
            </w:r>
            <w:r/>
          </w:p>
        </w:tc>
        <w:tc>
          <w:tcPr>
            <w:tcW w:w="1413"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投标文件响应情况</w:t>
            </w:r>
            <w:r/>
          </w:p>
        </w:tc>
        <w:tc>
          <w:tcPr>
            <w:tcW w:w="778"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偏离说明</w:t>
            </w:r>
            <w:r/>
          </w:p>
        </w:tc>
      </w:tr>
      <w:tr>
        <w:trPr>
          <w:trHeight w:val="414"/>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548"/>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400"/>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419"/>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bl>
    <w:p>
      <w:pPr>
        <w:contextualSpacing/>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1.投标人提交的投标文件中与招标文件第三部分“项目需求”中的技术部分的要求，应逐条填列在偏离表中。</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 “偏离说明”一栏选择“正偏离”、“无偏离”、“负偏离”进行填写。正偏离、无偏离的确认和负偏离的是否响应招标文件，由评委认定。</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3.投标人如果虚假响应，将被暂停参加</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组织的政府采购活动。</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4.投标单位若提供其他增值服务，可以在表中自行据实填写。</w:t>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rPr>
          <w:rStyle w:val="994"/>
          <w:rFonts w:hint="eastAsia" w:ascii="仿宋" w:hAnsi="仿宋" w:eastAsia="仿宋" w:cs="仿宋"/>
          <w:b w:val="0"/>
          <w:color w:val="auto"/>
          <w:sz w:val="28"/>
          <w:szCs w:val="28"/>
          <w:highlight w:val="none"/>
        </w:rPr>
      </w:pPr>
      <w:r>
        <w:rPr>
          <w:rStyle w:val="994"/>
          <w:rFonts w:hint="eastAsia" w:ascii="仿宋" w:hAnsi="仿宋" w:eastAsia="仿宋" w:cs="仿宋"/>
          <w:b w:val="0"/>
          <w:color w:val="auto"/>
          <w:sz w:val="28"/>
          <w:szCs w:val="28"/>
          <w:highlight w:val="none"/>
        </w:rPr>
        <w:br w:type="page" w:clear="all"/>
      </w:r>
      <w:r/>
    </w:p>
    <w:p>
      <w:pPr>
        <w:jc w:val="center"/>
        <w:spacing w:line="360" w:lineRule="auto"/>
        <w:rPr>
          <w:rFonts w:hint="eastAsia" w:ascii="仿宋" w:hAnsi="仿宋" w:eastAsia="仿宋" w:cs="仿宋"/>
          <w:color w:val="auto"/>
          <w:sz w:val="28"/>
          <w:szCs w:val="28"/>
          <w:highlight w:val="none"/>
        </w:rPr>
      </w:pPr>
      <w:r>
        <w:rPr>
          <w:rStyle w:val="994"/>
          <w:rFonts w:hint="eastAsia" w:ascii="仿宋" w:hAnsi="仿宋" w:eastAsia="仿宋" w:cs="仿宋"/>
          <w:b w:val="0"/>
          <w:color w:val="auto"/>
          <w:sz w:val="28"/>
          <w:szCs w:val="28"/>
          <w:highlight w:val="none"/>
        </w:rPr>
        <w:t xml:space="preserve">开标一览表</w:t>
      </w:r>
      <w:r/>
    </w:p>
    <w:p>
      <w:pPr>
        <w:pStyle w:val="99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项目编号： </w:t>
      </w:r>
      <w:r/>
    </w:p>
    <w:p>
      <w:pPr>
        <w:pStyle w:val="99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投标人名称：                                           </w:t>
      </w:r>
      <w:r/>
    </w:p>
    <w:p>
      <w:pPr>
        <w:pStyle w:val="99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货币单位：</w:t>
      </w:r>
      <w:r>
        <w:rPr>
          <w:rFonts w:hint="eastAsia" w:ascii="仿宋" w:hAnsi="仿宋" w:eastAsia="仿宋" w:cs="仿宋"/>
          <w:bCs/>
          <w:color w:val="auto"/>
          <w:sz w:val="28"/>
          <w:szCs w:val="28"/>
          <w:highlight w:val="none"/>
          <w:lang w:val="en-US" w:eastAsia="zh-CN"/>
        </w:rPr>
        <w:t xml:space="preserve">人民币</w:t>
      </w:r>
      <w:r/>
    </w:p>
    <w:tbl>
      <w:tblPr>
        <w:tblStyle w:val="745"/>
        <w:tblW w:w="0" w:type="auto"/>
        <w:tblCellSpacing w:w="15" w:type="dxa"/>
        <w:tblInd w:w="-1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98"/>
      </w:tblGrid>
      <w:tr>
        <w:trPr>
          <w:tblCellSpacing w:w="15" w:type="dxa"/>
        </w:trPr>
        <w:tc>
          <w:tcPr>
            <w:tcW w:w="2892" w:type="dxa"/>
            <w:vAlign w:val="center"/>
            <w:textDirection w:val="lrTb"/>
            <w:noWrap w:val="false"/>
          </w:tcPr>
          <w:p>
            <w:pPr>
              <w:pStyle w:val="990"/>
              <w:spacing w:line="288"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项目名称</w:t>
            </w:r>
            <w:r/>
          </w:p>
        </w:tc>
        <w:tc>
          <w:tcPr>
            <w:tcW w:w="2700" w:type="dxa"/>
            <w:vAlign w:val="center"/>
            <w:textDirection w:val="lrTb"/>
            <w:noWrap w:val="false"/>
          </w:tcPr>
          <w:p>
            <w:pPr>
              <w:pStyle w:val="990"/>
              <w:spacing w:line="288"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项目内容</w:t>
            </w:r>
            <w:r/>
          </w:p>
        </w:tc>
        <w:tc>
          <w:tcPr>
            <w:tcW w:w="3453" w:type="dxa"/>
            <w:vAlign w:val="center"/>
            <w:textDirection w:val="lrTb"/>
            <w:noWrap w:val="false"/>
          </w:tcPr>
          <w:p>
            <w:pPr>
              <w:pStyle w:val="990"/>
              <w:spacing w:line="288"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总价（小写）</w:t>
            </w:r>
            <w:r/>
          </w:p>
        </w:tc>
      </w:tr>
      <w:tr>
        <w:trPr>
          <w:tblCellSpacing w:w="15" w:type="dxa"/>
        </w:trPr>
        <w:tc>
          <w:tcPr>
            <w:tcW w:w="2892" w:type="dxa"/>
            <w:vAlign w:val="center"/>
            <w:textDirection w:val="lrTb"/>
            <w:noWrap w:val="false"/>
          </w:tcPr>
          <w:p>
            <w:pPr>
              <w:pStyle w:val="990"/>
              <w:spacing w:line="288"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项目名称 </w:t>
            </w:r>
            <w:r/>
          </w:p>
        </w:tc>
        <w:tc>
          <w:tcPr>
            <w:tcW w:w="2700" w:type="dxa"/>
            <w:vAlign w:val="center"/>
            <w:textDirection w:val="lrTb"/>
            <w:noWrap w:val="false"/>
          </w:tcPr>
          <w:p>
            <w:pPr>
              <w:pStyle w:val="990"/>
              <w:spacing w:line="288"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详见投标文件</w:t>
            </w:r>
            <w:r/>
          </w:p>
        </w:tc>
        <w:tc>
          <w:tcPr>
            <w:tcW w:w="3453" w:type="dxa"/>
            <w:vAlign w:val="center"/>
            <w:textDirection w:val="lrTb"/>
            <w:noWrap w:val="false"/>
          </w:tcPr>
          <w:p>
            <w:pPr>
              <w:pStyle w:val="990"/>
              <w:spacing w:line="288" w:lineRule="auto"/>
              <w:rPr>
                <w:rFonts w:hint="eastAsia" w:ascii="仿宋" w:hAnsi="仿宋" w:eastAsia="仿宋" w:cs="仿宋"/>
                <w:bCs/>
                <w:color w:val="auto"/>
                <w:highlight w:val="none"/>
              </w:rPr>
            </w:pPr>
            <w:r>
              <w:rPr>
                <w:rFonts w:hint="eastAsia" w:ascii="仿宋" w:hAnsi="仿宋" w:eastAsia="仿宋" w:cs="仿宋"/>
                <w:bCs/>
                <w:color w:val="auto"/>
                <w:highlight w:val="none"/>
              </w:rPr>
              <w:fldChar w:fldCharType="begin"/>
            </w:r>
            <w:r>
              <w:rPr>
                <w:rFonts w:hint="eastAsia" w:ascii="仿宋" w:hAnsi="仿宋" w:eastAsia="仿宋" w:cs="仿宋"/>
                <w:color w:val="auto"/>
                <w:highlight w:val="none"/>
              </w:rPr>
              <w:instrText xml:space="preserve"> CONTROL Forms.HTML:Text.1 \s  \* MERGEFORMAT</w:instrText>
            </w:r>
            <w:r>
              <w:rPr>
                <w:rFonts w:hint="eastAsia" w:ascii="仿宋" w:hAnsi="仿宋" w:eastAsia="仿宋" w:cs="仿宋"/>
                <w:bCs/>
                <w:color w:val="auto"/>
                <w:highlight w:val="none"/>
              </w:rPr>
              <w:fldChar w:fldCharType="separate"/>
            </w:r>
            <w:r>
              <w:rPr>
                <w:rFonts w:hint="eastAsia" w:ascii="仿宋" w:hAnsi="仿宋" w:eastAsia="仿宋" w:cs="仿宋"/>
                <w:bCs/>
                <w:color w:val="auto"/>
                <w:highlight w:val="none"/>
              </w:rPr>
              <mc:AlternateContent>
                <mc:Choice Requires="wpg">
                  <w:drawing>
                    <wp:inline xmlns:wp="http://schemas.openxmlformats.org/drawingml/2006/wordprocessingDrawing" distT="0" distB="0" distL="0" distR="0">
                      <wp:extent cx="685800" cy="228600"/>
                      <wp:effectExtent l="0" t="0" r="0" b="0"/>
                      <wp:docPr id="5"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7"/>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4.0pt;height:18.0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bCs/>
                <w:color w:val="auto"/>
                <w:highlight w:val="none"/>
              </w:rPr>
              <w:fldChar w:fldCharType="end"/>
            </w:r>
            <w:r>
              <w:rPr>
                <w:rFonts w:hint="eastAsia" w:ascii="仿宋" w:hAnsi="仿宋" w:eastAsia="仿宋" w:cs="仿宋"/>
                <w:bCs/>
                <w:color w:val="auto"/>
                <w:highlight w:val="none"/>
              </w:rPr>
              <w:t xml:space="preserve">元</w:t>
            </w:r>
            <w:r/>
          </w:p>
        </w:tc>
      </w:tr>
      <w:tr>
        <w:trPr>
          <w:tblCellSpacing w:w="15" w:type="dxa"/>
        </w:trPr>
        <w:tc>
          <w:tcPr>
            <w:tcW w:w="2892" w:type="dxa"/>
            <w:vAlign w:val="center"/>
            <w:textDirection w:val="lrTb"/>
            <w:noWrap w:val="false"/>
          </w:tcPr>
          <w:p>
            <w:pPr>
              <w:pStyle w:val="990"/>
              <w:spacing w:line="288"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总价（大写）：</w:t>
            </w:r>
            <w:r/>
          </w:p>
        </w:tc>
        <w:tc>
          <w:tcPr>
            <w:gridSpan w:val="2"/>
            <w:tcW w:w="6183" w:type="dxa"/>
            <w:vAlign w:val="center"/>
            <w:textDirection w:val="lrTb"/>
            <w:noWrap w:val="false"/>
          </w:tcPr>
          <w:p>
            <w:pPr>
              <w:pStyle w:val="990"/>
              <w:spacing w:line="288"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大写 </w:t>
            </w:r>
            <w:r/>
          </w:p>
        </w:tc>
      </w:tr>
    </w:tbl>
    <w:p>
      <w:pPr>
        <w:pStyle w:val="99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99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盖章（公章）：</w:t>
      </w:r>
      <w:r/>
    </w:p>
    <w:p>
      <w:pPr>
        <w:pStyle w:val="990"/>
        <w:ind w:firstLine="241"/>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b/>
          <w:color w:val="auto"/>
          <w:highlight w:val="none"/>
        </w:rPr>
        <w:t xml:space="preserve">注</w:t>
      </w:r>
      <w:r>
        <w:rPr>
          <w:rFonts w:hint="eastAsia" w:ascii="仿宋" w:hAnsi="仿宋" w:eastAsia="仿宋" w:cs="仿宋"/>
          <w:b/>
          <w:color w:val="auto"/>
          <w:highlight w:val="none"/>
          <w:lang w:val="en-US" w:eastAsia="zh-CN"/>
        </w:rPr>
        <w:t xml:space="preserve">1、</w:t>
      </w:r>
      <w:r>
        <w:rPr>
          <w:rFonts w:hint="eastAsia" w:ascii="仿宋" w:hAnsi="仿宋" w:eastAsia="仿宋" w:cs="仿宋"/>
          <w:color w:val="auto"/>
          <w:sz w:val="28"/>
          <w:szCs w:val="28"/>
          <w:highlight w:val="none"/>
          <w:lang w:val="en-US" w:eastAsia="zh-CN" w:bidi="ar-SA"/>
        </w:rPr>
        <w:t xml:space="preserve">本项目投标报价精确到小数点后两位。</w:t>
      </w:r>
      <w:r/>
    </w:p>
    <w:p>
      <w:pPr>
        <w:numPr>
          <w:ilvl w:val="0"/>
          <w:numId w:val="0"/>
        </w:numPr>
        <w:ind w:left="420"/>
        <w:jc w:val="left"/>
        <w:keepLines w:val="0"/>
        <w:keepNext w:val="0"/>
        <w:pageBreakBefore w:val="0"/>
        <w:spacing w:line="36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2、开标一览表必须加盖投标单位公章（复印件无效）。</w:t>
      </w:r>
      <w:r/>
    </w:p>
    <w:p>
      <w:pPr>
        <w:numPr>
          <w:ilvl w:val="0"/>
          <w:numId w:val="0"/>
        </w:numPr>
        <w:ind w:left="420"/>
        <w:jc w:val="left"/>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left="695" w:firstLine="640"/>
        <w:jc w:val="center"/>
        <w:spacing w:line="400" w:lineRule="exact"/>
        <w:rPr>
          <w:rFonts w:hint="eastAsia" w:ascii="仿宋" w:hAnsi="仿宋" w:eastAsia="仿宋" w:cs="仿宋"/>
          <w:color w:val="auto"/>
          <w:sz w:val="32"/>
          <w:szCs w:val="32"/>
          <w:highlight w:val="none"/>
        </w:rPr>
      </w:pPr>
      <w:r/>
      <w:bookmarkStart w:id="112" w:name="OLE_LINK16"/>
      <w:r/>
      <w:bookmarkStart w:id="113" w:name="OLE_LINK15"/>
      <w:r/>
      <w:bookmarkEnd w:id="112"/>
      <w:bookmarkEnd w:id="113"/>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8"/>
          <w:szCs w:val="28"/>
          <w:highlight w:val="none"/>
        </w:rPr>
        <w:br w:type="page" w:clear="all"/>
      </w:r>
      <w:r>
        <w:rPr>
          <w:rFonts w:hint="eastAsia" w:ascii="仿宋" w:hAnsi="仿宋" w:eastAsia="仿宋" w:cs="仿宋"/>
          <w:b/>
          <w:color w:val="auto"/>
          <w:sz w:val="30"/>
          <w:szCs w:val="30"/>
          <w:highlight w:val="none"/>
        </w:rPr>
        <w:t xml:space="preserve">关于符合本国产品标准的声明函</w:t>
      </w:r>
      <w:r>
        <w:rPr>
          <w:rFonts w:hint="eastAsia" w:ascii="仿宋" w:hAnsi="仿宋" w:eastAsia="仿宋" w:cs="仿宋"/>
          <w:b/>
          <w:color w:val="auto"/>
          <w:sz w:val="30"/>
          <w:szCs w:val="30"/>
          <w:highlight w:val="none"/>
          <w:lang w:eastAsia="zh-CN"/>
        </w:rPr>
        <w:t xml:space="preserve">（</w:t>
      </w:r>
      <w:r>
        <w:rPr>
          <w:rFonts w:hint="eastAsia" w:ascii="仿宋" w:hAnsi="仿宋" w:eastAsia="仿宋" w:cs="仿宋"/>
          <w:b/>
          <w:color w:val="auto"/>
          <w:sz w:val="30"/>
          <w:szCs w:val="30"/>
          <w:highlight w:val="none"/>
          <w:lang w:val="en-US" w:eastAsia="zh-CN"/>
        </w:rPr>
        <w:t xml:space="preserve">如有</w:t>
      </w:r>
      <w:r>
        <w:rPr>
          <w:rFonts w:hint="eastAsia" w:ascii="仿宋" w:hAnsi="仿宋" w:eastAsia="仿宋" w:cs="仿宋"/>
          <w:b/>
          <w:color w:val="auto"/>
          <w:sz w:val="30"/>
          <w:szCs w:val="30"/>
          <w:highlight w:val="none"/>
          <w:lang w:eastAsia="zh-CN"/>
        </w:rPr>
        <w:t xml:space="preserve">）</w:t>
      </w:r>
      <w:r/>
    </w:p>
    <w:p>
      <w:pPr>
        <w:ind w:firstLine="4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firstLine="4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u w:val="single"/>
        </w:rPr>
        <w:t xml:space="preserve">（产品名称1）</w:t>
      </w:r>
      <w:r>
        <w:rPr>
          <w:rFonts w:hint="eastAsia" w:ascii="仿宋" w:hAnsi="仿宋" w:eastAsia="仿宋" w:cs="仿宋"/>
          <w:color w:val="auto"/>
          <w:sz w:val="20"/>
          <w:highlight w:val="none"/>
          <w:vertAlign w:val="superscript"/>
        </w:rPr>
        <w:t xml:space="preserve">1</w:t>
      </w:r>
      <w:r>
        <w:rPr>
          <w:rFonts w:hint="eastAsia" w:ascii="仿宋" w:hAnsi="仿宋" w:eastAsia="仿宋" w:cs="仿宋"/>
          <w:color w:val="auto"/>
          <w:sz w:val="24"/>
          <w:highlight w:val="none"/>
        </w:rPr>
        <w:t xml:space="preserve">，生产厂为</w:t>
      </w:r>
      <w:r>
        <w:rPr>
          <w:rFonts w:hint="eastAsia" w:ascii="仿宋" w:hAnsi="仿宋" w:eastAsia="仿宋" w:cs="仿宋"/>
          <w:color w:val="auto"/>
          <w:sz w:val="24"/>
          <w:highlight w:val="none"/>
          <w:u w:val="single"/>
        </w:rPr>
        <w:t xml:space="preserve">（厂名）</w:t>
      </w:r>
      <w:r>
        <w:rPr>
          <w:rFonts w:hint="eastAsia" w:ascii="仿宋" w:hAnsi="仿宋" w:eastAsia="仿宋" w:cs="仿宋"/>
          <w:color w:val="auto"/>
          <w:sz w:val="20"/>
          <w:highlight w:val="none"/>
          <w:vertAlign w:val="superscript"/>
        </w:rPr>
        <w:t xml:space="preserve">2</w:t>
      </w:r>
      <w:r>
        <w:rPr>
          <w:rFonts w:hint="eastAsia" w:ascii="仿宋" w:hAnsi="仿宋" w:eastAsia="仿宋" w:cs="仿宋"/>
          <w:color w:val="auto"/>
          <w:sz w:val="24"/>
          <w:highlight w:val="none"/>
        </w:rPr>
        <w:t xml:space="preserve">，厂址为</w:t>
      </w:r>
      <w:r>
        <w:rPr>
          <w:rFonts w:hint="eastAsia" w:ascii="仿宋" w:hAnsi="仿宋" w:eastAsia="仿宋" w:cs="仿宋"/>
          <w:color w:val="auto"/>
          <w:sz w:val="24"/>
          <w:highlight w:val="none"/>
          <w:u w:val="single"/>
        </w:rPr>
        <w:t xml:space="preserve">（生产厂址）</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（产品名称1） </w:t>
      </w:r>
      <w:r>
        <w:rPr>
          <w:rFonts w:hint="eastAsia" w:ascii="仿宋" w:hAnsi="仿宋" w:eastAsia="仿宋" w:cs="仿宋"/>
          <w:color w:val="auto"/>
          <w:sz w:val="24"/>
          <w:highlight w:val="none"/>
        </w:rPr>
        <w:t xml:space="preserve">的中国境内生产的组件成本占比≥</w:t>
      </w:r>
      <w:r>
        <w:rPr>
          <w:rFonts w:hint="eastAsia" w:ascii="仿宋" w:hAnsi="仿宋" w:eastAsia="仿宋" w:cs="仿宋"/>
          <w:color w:val="auto"/>
          <w:sz w:val="24"/>
          <w:highlight w:val="none"/>
          <w:u w:val="single"/>
        </w:rPr>
        <w:t xml:space="preserve">（规定比例）</w:t>
      </w:r>
      <w:r>
        <w:rPr>
          <w:rFonts w:hint="eastAsia" w:ascii="仿宋" w:hAnsi="仿宋" w:eastAsia="仿宋" w:cs="仿宋"/>
          <w:color w:val="auto"/>
          <w:sz w:val="20"/>
          <w:highlight w:val="none"/>
          <w:vertAlign w:val="superscript"/>
        </w:rPr>
        <w:t xml:space="preserve">3</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（产品名称1）</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（关键组件）</w:t>
      </w:r>
      <w:r>
        <w:rPr>
          <w:rFonts w:hint="eastAsia" w:ascii="仿宋" w:hAnsi="仿宋" w:eastAsia="仿宋" w:cs="仿宋"/>
          <w:color w:val="auto"/>
          <w:sz w:val="20"/>
          <w:highlight w:val="none"/>
          <w:vertAlign w:val="superscript"/>
        </w:rPr>
        <w:t xml:space="preserve">4</w:t>
      </w:r>
      <w:r>
        <w:rPr>
          <w:rFonts w:hint="eastAsia" w:ascii="仿宋" w:hAnsi="仿宋" w:eastAsia="仿宋" w:cs="仿宋"/>
          <w:color w:val="auto"/>
          <w:sz w:val="24"/>
          <w:highlight w:val="none"/>
        </w:rPr>
        <w:t xml:space="preserve">在中国境内生产。</w:t>
      </w:r>
      <w:r>
        <w:rPr>
          <w:rFonts w:hint="eastAsia" w:ascii="仿宋" w:hAnsi="仿宋" w:eastAsia="仿宋" w:cs="仿宋"/>
          <w:color w:val="auto"/>
          <w:sz w:val="24"/>
          <w:highlight w:val="none"/>
          <w:u w:val="single"/>
        </w:rPr>
        <w:t xml:space="preserve">（产品名称1）</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（关键工序）</w:t>
      </w:r>
      <w:r>
        <w:rPr>
          <w:rFonts w:hint="eastAsia" w:ascii="仿宋" w:hAnsi="仿宋" w:eastAsia="仿宋" w:cs="仿宋"/>
          <w:color w:val="auto"/>
          <w:sz w:val="20"/>
          <w:highlight w:val="none"/>
          <w:vertAlign w:val="superscript"/>
        </w:rPr>
        <w:t xml:space="preserve">5</w:t>
      </w:r>
      <w:r>
        <w:rPr>
          <w:rFonts w:hint="eastAsia" w:ascii="仿宋" w:hAnsi="仿宋" w:eastAsia="仿宋" w:cs="仿宋"/>
          <w:color w:val="auto"/>
          <w:sz w:val="24"/>
          <w:highlight w:val="none"/>
        </w:rPr>
        <w:t xml:space="preserve">在中国境内完成。</w:t>
      </w:r>
      <w:r/>
    </w:p>
    <w:p>
      <w:pPr>
        <w:ind w:firstLine="4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u w:val="single"/>
        </w:rPr>
        <w:t xml:space="preserve">（产品名称2）</w:t>
      </w:r>
      <w:r>
        <w:rPr>
          <w:rFonts w:hint="eastAsia" w:ascii="仿宋" w:hAnsi="仿宋" w:eastAsia="仿宋" w:cs="仿宋"/>
          <w:color w:val="auto"/>
          <w:sz w:val="24"/>
          <w:highlight w:val="none"/>
        </w:rPr>
        <w:t xml:space="preserve">，生产厂为</w:t>
      </w:r>
      <w:r>
        <w:rPr>
          <w:rFonts w:hint="eastAsia" w:ascii="仿宋" w:hAnsi="仿宋" w:eastAsia="仿宋" w:cs="仿宋"/>
          <w:color w:val="auto"/>
          <w:sz w:val="24"/>
          <w:highlight w:val="none"/>
          <w:u w:val="single"/>
        </w:rPr>
        <w:t xml:space="preserve">（厂名）</w:t>
      </w:r>
      <w:r>
        <w:rPr>
          <w:rFonts w:hint="eastAsia" w:ascii="仿宋" w:hAnsi="仿宋" w:eastAsia="仿宋" w:cs="仿宋"/>
          <w:color w:val="auto"/>
          <w:sz w:val="24"/>
          <w:highlight w:val="none"/>
        </w:rPr>
        <w:t xml:space="preserve">，厂址为</w:t>
      </w:r>
      <w:r>
        <w:rPr>
          <w:rFonts w:hint="eastAsia" w:ascii="仿宋" w:hAnsi="仿宋" w:eastAsia="仿宋" w:cs="仿宋"/>
          <w:color w:val="auto"/>
          <w:sz w:val="24"/>
          <w:highlight w:val="none"/>
          <w:u w:val="single"/>
        </w:rPr>
        <w:t xml:space="preserve">（生产厂址）</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（产品名称2）</w:t>
      </w:r>
      <w:r>
        <w:rPr>
          <w:rFonts w:hint="eastAsia" w:ascii="仿宋" w:hAnsi="仿宋" w:eastAsia="仿宋" w:cs="仿宋"/>
          <w:color w:val="auto"/>
          <w:sz w:val="24"/>
          <w:highlight w:val="none"/>
        </w:rPr>
        <w:t xml:space="preserve">的中国境内生产的组件成本占比≥</w:t>
      </w:r>
      <w:r>
        <w:rPr>
          <w:rFonts w:hint="eastAsia" w:ascii="仿宋" w:hAnsi="仿宋" w:eastAsia="仿宋" w:cs="仿宋"/>
          <w:color w:val="auto"/>
          <w:sz w:val="24"/>
          <w:highlight w:val="none"/>
          <w:u w:val="single"/>
        </w:rPr>
        <w:t xml:space="preserve">（规定比例）</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（产品名称2）</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（关键组件）</w:t>
      </w:r>
      <w:r>
        <w:rPr>
          <w:rFonts w:hint="eastAsia" w:ascii="仿宋" w:hAnsi="仿宋" w:eastAsia="仿宋" w:cs="仿宋"/>
          <w:color w:val="auto"/>
          <w:sz w:val="24"/>
          <w:highlight w:val="none"/>
        </w:rPr>
        <w:t xml:space="preserve">在中国境内生产。</w:t>
      </w:r>
      <w:r>
        <w:rPr>
          <w:rFonts w:hint="eastAsia" w:ascii="仿宋" w:hAnsi="仿宋" w:eastAsia="仿宋" w:cs="仿宋"/>
          <w:color w:val="auto"/>
          <w:sz w:val="24"/>
          <w:highlight w:val="none"/>
          <w:u w:val="single"/>
        </w:rPr>
        <w:t xml:space="preserve">（产品名称1）</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（关键工序）</w:t>
      </w:r>
      <w:r>
        <w:rPr>
          <w:rFonts w:hint="eastAsia" w:ascii="仿宋" w:hAnsi="仿宋" w:eastAsia="仿宋" w:cs="仿宋"/>
          <w:color w:val="auto"/>
          <w:sz w:val="24"/>
          <w:highlight w:val="none"/>
        </w:rPr>
        <w:t xml:space="preserve">在中国境内完成。</w:t>
      </w:r>
      <w:r/>
    </w:p>
    <w:p>
      <w:pPr>
        <w:ind w:firstLine="4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w:t>
      </w:r>
      <w:r/>
    </w:p>
    <w:p>
      <w:pPr>
        <w:ind w:firstLine="4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本公司（单位）对上述声明内容的真实性负责。如有虚假，愿承担相应法律责任。</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right="480" w:firstLine="37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公司（单位）名称（盖章）：　</w:t>
      </w:r>
      <w:r/>
    </w:p>
    <w:p>
      <w:pPr>
        <w:jc w:val="cente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日期：　   年　  月　  日         </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__________________</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1.产品如有型号，请在“产品名称”栏一并填写。</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2.生产厂名与厂址应与生产厂营业执照载明的相关信息保持一致。</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3.该产品的中国境内生产的组件成本占比相关要求实施前，“规定比例”栏可不填，下同。</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4.该产品的关键组件要求实施前，“关键组件”栏可不填，下同。</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5.该产品的关键工序要求实施前，“关键工序”栏可不填，下同。</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6.用斜线划除的地方无需填写。</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质疑函范本</w:t>
      </w:r>
      <w:r/>
    </w:p>
    <w:p>
      <w:pPr>
        <w:spacing w:before="312"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一、质疑投标单位基本信息</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质疑投标单位：</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地址：邮编：</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联系人：联系电话：</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授权代表：</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联系电话：</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地址：邮编：</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质疑项目的名称：</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质疑项目的编号：包号：</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名称：</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采购文件获取日期：</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质疑事项1：</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事实依据：</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法律依据：</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u w:val="single"/>
        </w:rPr>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质疑事项2</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请求：</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签字(签章)：                   公章：                      </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日期：    </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质疑函制作说明：</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1.投标单位提出质疑时，应提交质疑函和必要的证明材料。</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质疑投标单位若委托代理人进行质疑的，质疑函应按要求列明“授权代表”的有关内容，并在附件中提交由质疑投标单位签署的授权委托书。授权委托书应载明代理人的姓名或者名称、代理事项、具体权限、期限和相关事项。</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3.质疑投标单位若对项目的某一分包进行质疑，质疑函中应列明具体分包号。</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4.质疑函的质疑事项应具体、明确，并有必要的事实依据和法律依据。</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5.质疑函的质疑请求应与质疑事项相关。</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6.质疑投标单位为自然人的，质疑函应由本人签字；质疑投标单位为法人或者其他组织的，质疑函应由法定代表人、主要负责人，或者其授权代表签字或者盖章，并加盖公章。</w:t>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spacing w:line="360" w:lineRule="auto"/>
        <w:rPr>
          <w:rFonts w:hint="eastAsia" w:ascii="仿宋" w:hAnsi="仿宋" w:eastAsia="仿宋" w:cs="仿宋"/>
          <w:color w:val="auto"/>
          <w:highlight w:val="none"/>
        </w:rPr>
      </w:pPr>
      <w:r>
        <w:rPr>
          <w:rFonts w:hint="eastAsia" w:ascii="仿宋" w:hAnsi="仿宋" w:eastAsia="仿宋" w:cs="仿宋"/>
          <w:bCs/>
          <w:color w:val="auto"/>
          <w:sz w:val="28"/>
          <w:szCs w:val="28"/>
          <w:highlight w:val="none"/>
        </w:rPr>
        <w:br w:type="page" w:clear="all"/>
      </w:r>
      <w:r/>
    </w:p>
    <w:p>
      <w:pPr>
        <w:ind w:right="105"/>
        <w:jc w:val="center"/>
        <w:spacing w:before="240" w:line="360" w:lineRule="auto"/>
        <w:rPr>
          <w:rFonts w:hint="eastAsia" w:ascii="仿宋" w:hAnsi="仿宋" w:eastAsia="仿宋" w:cs="仿宋"/>
          <w:bCs/>
          <w:color w:val="auto"/>
          <w:sz w:val="72"/>
          <w:szCs w:val="72"/>
          <w:highlight w:val="none"/>
        </w:rPr>
      </w:pPr>
      <w:r>
        <w:rPr>
          <w:rFonts w:hint="eastAsia" w:ascii="仿宋" w:hAnsi="仿宋" w:eastAsia="仿宋" w:cs="仿宋"/>
          <w:bCs/>
          <w:color w:val="auto"/>
          <w:sz w:val="72"/>
          <w:szCs w:val="72"/>
          <w:highlight w:val="none"/>
        </w:rPr>
      </w:r>
      <w:r/>
    </w:p>
    <w:p>
      <w:pPr>
        <w:ind w:left="695" w:firstLine="643"/>
        <w:spacing w:line="480" w:lineRule="auto"/>
        <w:rPr>
          <w:rFonts w:hint="eastAsia" w:ascii="仿宋" w:hAnsi="仿宋" w:eastAsia="仿宋" w:cs="仿宋"/>
          <w:b/>
          <w:color w:val="auto"/>
          <w:sz w:val="32"/>
          <w:szCs w:val="32"/>
          <w:highlight w:val="none"/>
        </w:rPr>
        <w:outlineLvl w:val="0"/>
      </w:pPr>
      <w:r>
        <w:rPr>
          <w:rFonts w:hint="eastAsia" w:ascii="仿宋" w:hAnsi="仿宋" w:eastAsia="仿宋" w:cs="仿宋"/>
          <w:b/>
          <w:bCs/>
          <w:color w:val="auto"/>
          <w:sz w:val="32"/>
          <w:szCs w:val="32"/>
          <w:highlight w:val="none"/>
        </w:rPr>
        <w:t xml:space="preserve"> </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color w:val="auto"/>
          <w:sz w:val="32"/>
          <w:szCs w:val="32"/>
          <w:highlight w:val="none"/>
        </w:rPr>
        <w:t xml:space="preserve">政府采购合同</w:t>
      </w:r>
      <w:r/>
    </w:p>
    <w:p>
      <w:pPr>
        <w:ind w:left="695" w:firstLine="48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合同编号：</w:t>
      </w:r>
      <w:r>
        <w:rPr>
          <w:rFonts w:hint="eastAsia" w:ascii="仿宋" w:hAnsi="仿宋" w:eastAsia="仿宋" w:cs="仿宋"/>
          <w:color w:val="auto"/>
          <w:sz w:val="24"/>
          <w:highlight w:val="none"/>
          <w:u w:val="single"/>
        </w:rPr>
        <w:t xml:space="preserve">           </w:t>
      </w:r>
      <w:r/>
    </w:p>
    <w:p>
      <w:pPr>
        <w:ind w:left="695" w:firstLine="883"/>
        <w:jc w:val="center"/>
        <w:spacing w:line="480"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政府采购合同参考范本</w:t>
      </w:r>
      <w:r/>
    </w:p>
    <w:p>
      <w:pPr>
        <w:ind w:left="695" w:firstLine="482"/>
        <w:jc w:val="center"/>
        <w:spacing w:line="48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（服务类）</w:t>
      </w:r>
      <w:r/>
    </w:p>
    <w:p>
      <w:pPr>
        <w:pStyle w:val="945"/>
        <w:ind w:left="695" w:firstLine="402"/>
        <w:jc w:val="center"/>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 xml:space="preserve">第一部分</w:t>
      </w:r>
      <w:r>
        <w:rPr>
          <w:rFonts w:hint="eastAsia" w:ascii="仿宋" w:hAnsi="仿宋" w:eastAsia="仿宋" w:cs="仿宋"/>
          <w:b/>
          <w:color w:val="auto"/>
          <w:szCs w:val="24"/>
          <w:highlight w:val="none"/>
          <w:lang w:val="en-US" w:eastAsia="zh-CN"/>
        </w:rPr>
        <w:t xml:space="preserve">    </w:t>
      </w:r>
      <w:r>
        <w:rPr>
          <w:rFonts w:hint="eastAsia" w:ascii="仿宋" w:hAnsi="仿宋" w:eastAsia="仿宋" w:cs="仿宋"/>
          <w:b/>
          <w:color w:val="auto"/>
          <w:szCs w:val="24"/>
          <w:highlight w:val="none"/>
        </w:rPr>
        <w:t xml:space="preserve"> 合同书</w:t>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江苏航运职业技术学院职业教育专业领域垂类模型建设项目</w:t>
      </w:r>
      <w:r>
        <w:rPr>
          <w:rFonts w:hint="eastAsia" w:ascii="仿宋" w:hAnsi="仿宋" w:eastAsia="仿宋" w:cs="仿宋"/>
          <w:color w:val="auto"/>
          <w:sz w:val="24"/>
          <w:highlight w:val="none"/>
        </w:rPr>
        <w:t xml:space="preserve">                                   </w:t>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甲方：  </w:t>
      </w:r>
      <w:r>
        <w:rPr>
          <w:rFonts w:hint="eastAsia" w:ascii="仿宋" w:hAnsi="仿宋" w:eastAsia="仿宋" w:cs="仿宋"/>
          <w:color w:val="auto"/>
          <w:sz w:val="24"/>
          <w:highlight w:val="none"/>
          <w:lang w:eastAsia="zh-CN"/>
        </w:rPr>
        <w:t xml:space="preserve">江苏航运职业技术学院</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乙方：</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签订地：</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签订日期：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ind w:left="695" w:firstLine="0"/>
        <w:jc w:val="center"/>
        <w:spacing w:line="600" w:lineRule="exact"/>
        <w:rPr>
          <w:rFonts w:hint="eastAsia" w:ascii="仿宋" w:hAnsi="仿宋" w:eastAsia="仿宋" w:cs="仿宋"/>
          <w:color w:val="auto"/>
          <w:sz w:val="24"/>
          <w:highlight w:val="none"/>
        </w:rPr>
        <w:sectPr>
          <w:headerReference w:type="default" r:id="rId9"/>
          <w:footerReference w:type="default" r:id="rId12"/>
          <w:footnotePr/>
          <w:endnotePr/>
          <w:type w:val="nextPage"/>
          <w:pgSz w:w="11907" w:h="16840" w:orient="portrait"/>
          <w:pgMar w:top="720" w:right="720" w:bottom="720" w:left="720" w:header="851" w:footer="851" w:gutter="0"/>
          <w:cols w:num="1" w:sep="0" w:space="720" w:equalWidth="1"/>
          <w:docGrid w:linePitch="360"/>
        </w:sectPr>
      </w:pPr>
      <w:r>
        <w:rPr>
          <w:rFonts w:hint="eastAsia" w:ascii="仿宋" w:hAnsi="仿宋" w:eastAsia="仿宋" w:cs="仿宋"/>
          <w:color w:val="auto"/>
          <w:sz w:val="24"/>
          <w:highlight w:val="none"/>
        </w:rPr>
      </w:r>
      <w:r/>
    </w:p>
    <w:p>
      <w:pPr>
        <w:ind w:left="695" w:firstLine="96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年</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月</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日</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 xml:space="preserve">招标人</w:t>
      </w:r>
      <w:r>
        <w:rPr>
          <w:rFonts w:hint="eastAsia" w:ascii="仿宋" w:hAnsi="仿宋" w:eastAsia="仿宋" w:cs="仿宋"/>
          <w:color w:val="auto"/>
          <w:sz w:val="24"/>
          <w:highlight w:val="none"/>
          <w:u w:val="single"/>
        </w:rPr>
        <w:t xml:space="preserve">名称）   </w:t>
      </w:r>
      <w:r>
        <w:rPr>
          <w:rFonts w:hint="eastAsia" w:ascii="仿宋" w:hAnsi="仿宋" w:eastAsia="仿宋" w:cs="仿宋"/>
          <w:color w:val="auto"/>
          <w:sz w:val="24"/>
          <w:highlight w:val="none"/>
        </w:rPr>
        <w:t xml:space="preserve">以</w:t>
      </w:r>
      <w:r>
        <w:rPr>
          <w:rFonts w:hint="eastAsia" w:ascii="仿宋" w:hAnsi="仿宋" w:eastAsia="仿宋" w:cs="仿宋"/>
          <w:color w:val="auto"/>
          <w:sz w:val="24"/>
          <w:highlight w:val="none"/>
          <w:u w:val="single"/>
        </w:rPr>
        <w:t xml:space="preserve">   （政府采购方式）  </w:t>
      </w:r>
      <w:r>
        <w:rPr>
          <w:rFonts w:hint="eastAsia" w:ascii="仿宋" w:hAnsi="仿宋" w:eastAsia="仿宋" w:cs="仿宋"/>
          <w:color w:val="auto"/>
          <w:sz w:val="24"/>
          <w:highlight w:val="none"/>
        </w:rPr>
        <w:t xml:space="preserve">对</w:t>
      </w:r>
      <w:r>
        <w:rPr>
          <w:rFonts w:hint="eastAsia" w:ascii="仿宋" w:hAnsi="仿宋" w:eastAsia="仿宋" w:cs="仿宋"/>
          <w:color w:val="auto"/>
          <w:sz w:val="24"/>
          <w:highlight w:val="none"/>
          <w:u w:val="single"/>
        </w:rPr>
        <w:t xml:space="preserve">   （同前页项目名称）   </w:t>
      </w:r>
      <w:r>
        <w:rPr>
          <w:rFonts w:hint="eastAsia" w:ascii="仿宋" w:hAnsi="仿宋" w:eastAsia="仿宋" w:cs="仿宋"/>
          <w:color w:val="auto"/>
          <w:sz w:val="24"/>
          <w:highlight w:val="none"/>
        </w:rPr>
        <w:t xml:space="preserve">项目进行了采购。经</w:t>
      </w:r>
      <w:r>
        <w:rPr>
          <w:rFonts w:hint="eastAsia" w:ascii="仿宋" w:hAnsi="仿宋" w:eastAsia="仿宋" w:cs="仿宋"/>
          <w:color w:val="auto"/>
          <w:sz w:val="24"/>
          <w:highlight w:val="none"/>
          <w:u w:val="single"/>
        </w:rPr>
        <w:t xml:space="preserve">   （相关评定主体名称）   </w:t>
      </w:r>
      <w:r>
        <w:rPr>
          <w:rFonts w:hint="eastAsia" w:ascii="仿宋" w:hAnsi="仿宋" w:eastAsia="仿宋" w:cs="仿宋"/>
          <w:color w:val="auto"/>
          <w:sz w:val="24"/>
          <w:highlight w:val="none"/>
        </w:rPr>
        <w:t xml:space="preserve">评定，</w:t>
      </w:r>
      <w:r>
        <w:rPr>
          <w:rFonts w:hint="eastAsia" w:ascii="仿宋" w:hAnsi="仿宋" w:eastAsia="仿宋" w:cs="仿宋"/>
          <w:color w:val="auto"/>
          <w:sz w:val="24"/>
          <w:highlight w:val="none"/>
          <w:u w:val="single"/>
        </w:rPr>
        <w:t xml:space="preserve">   （中标供应商名称） </w:t>
      </w:r>
      <w:r>
        <w:rPr>
          <w:rFonts w:hint="eastAsia" w:ascii="仿宋" w:hAnsi="仿宋" w:eastAsia="仿宋" w:cs="仿宋"/>
          <w:color w:val="auto"/>
          <w:sz w:val="24"/>
          <w:highlight w:val="none"/>
        </w:rPr>
        <w:t xml:space="preserve">为该项目中标供应商。现于中标通知书发出之日起三十日内，按照采购文件确定的事项签订本合同。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根据《中华人民共和国</w:t>
      </w:r>
      <w:r>
        <w:rPr>
          <w:rFonts w:hint="eastAsia" w:ascii="仿宋" w:hAnsi="仿宋" w:eastAsia="仿宋" w:cs="仿宋"/>
          <w:color w:val="auto"/>
          <w:sz w:val="24"/>
          <w:highlight w:val="none"/>
          <w:lang w:val="en-US" w:eastAsia="zh-CN"/>
        </w:rPr>
        <w:t xml:space="preserve">民法典</w:t>
      </w:r>
      <w:r>
        <w:rPr>
          <w:rFonts w:hint="eastAsia" w:ascii="仿宋" w:hAnsi="仿宋" w:eastAsia="仿宋" w:cs="仿宋"/>
          <w:color w:val="auto"/>
          <w:sz w:val="24"/>
          <w:highlight w:val="none"/>
          <w:lang w:val="zh-CN"/>
        </w:rPr>
        <w:t xml:space="preserve">》、《中华人民共和国政府采购法》等相关法律法规之规定，按照平等、自愿、公平和诚实信用的原则，经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 xml:space="preserve">招标人</w:t>
      </w:r>
      <w:r>
        <w:rPr>
          <w:rFonts w:hint="eastAsia" w:ascii="仿宋" w:hAnsi="仿宋" w:eastAsia="仿宋" w:cs="仿宋"/>
          <w:color w:val="auto"/>
          <w:sz w:val="24"/>
          <w:highlight w:val="none"/>
          <w:u w:val="single"/>
        </w:rPr>
        <w:t xml:space="preserve">名称）   </w:t>
      </w:r>
      <w:r>
        <w:rPr>
          <w:rFonts w:hint="eastAsia" w:ascii="仿宋" w:hAnsi="仿宋" w:eastAsia="仿宋" w:cs="仿宋"/>
          <w:color w:val="auto"/>
          <w:sz w:val="24"/>
          <w:highlight w:val="none"/>
          <w:lang w:val="zh-CN"/>
        </w:rPr>
        <w:t xml:space="preserve">(以下简称：甲方)和</w:t>
      </w:r>
      <w:r>
        <w:rPr>
          <w:rFonts w:hint="eastAsia" w:ascii="仿宋" w:hAnsi="仿宋" w:eastAsia="仿宋" w:cs="仿宋"/>
          <w:color w:val="auto"/>
          <w:sz w:val="24"/>
          <w:highlight w:val="none"/>
          <w:u w:val="single"/>
        </w:rPr>
        <w:t xml:space="preserve">   （中标供应商名称）   </w:t>
      </w:r>
      <w:r>
        <w:rPr>
          <w:rFonts w:hint="eastAsia" w:ascii="仿宋" w:hAnsi="仿宋" w:eastAsia="仿宋" w:cs="仿宋"/>
          <w:color w:val="auto"/>
          <w:sz w:val="24"/>
          <w:highlight w:val="none"/>
          <w:lang w:val="zh-CN"/>
        </w:rPr>
        <w:t xml:space="preserve">(以下简称：乙方)协商一致，约定以下合同</w:t>
      </w:r>
      <w:r>
        <w:rPr>
          <w:rFonts w:hint="eastAsia" w:ascii="仿宋" w:hAnsi="仿宋" w:eastAsia="仿宋" w:cs="仿宋"/>
          <w:color w:val="auto"/>
          <w:sz w:val="24"/>
          <w:highlight w:val="none"/>
        </w:rPr>
        <w:t xml:space="preserve">条款，以兹共同遵守、全面履行。</w:t>
      </w:r>
      <w:r/>
    </w:p>
    <w:p>
      <w:pPr>
        <w:ind w:left="695" w:firstLine="482"/>
        <w:spacing w:line="560" w:lineRule="exact"/>
        <w:rPr>
          <w:rFonts w:hint="eastAsia" w:ascii="仿宋" w:hAnsi="仿宋" w:eastAsia="仿宋" w:cs="仿宋"/>
          <w:color w:val="auto"/>
          <w:sz w:val="24"/>
          <w:highlight w:val="none"/>
        </w:rPr>
        <w:outlineLvl w:val="0"/>
      </w:pPr>
      <w:r/>
      <w:bookmarkStart w:id="114" w:name="_Toc28855"/>
      <w:r/>
      <w:bookmarkStart w:id="115" w:name="_Toc22967"/>
      <w:r/>
      <w:bookmarkStart w:id="116" w:name="_Toc19273"/>
      <w:r/>
      <w:bookmarkStart w:id="117" w:name="_Toc20421"/>
      <w:r/>
      <w:bookmarkStart w:id="118" w:name="_Toc15367"/>
      <w:r>
        <w:rPr>
          <w:rFonts w:hint="eastAsia" w:ascii="仿宋" w:hAnsi="仿宋" w:eastAsia="仿宋" w:cs="仿宋"/>
          <w:b/>
          <w:color w:val="auto"/>
          <w:sz w:val="24"/>
          <w:highlight w:val="none"/>
        </w:rPr>
        <w:t xml:space="preserve">1.1 合同组成部分</w:t>
      </w:r>
      <w:bookmarkEnd w:id="114"/>
      <w:r/>
      <w:bookmarkEnd w:id="115"/>
      <w:r/>
      <w:bookmarkEnd w:id="116"/>
      <w:r/>
      <w:bookmarkEnd w:id="117"/>
      <w:r/>
      <w:bookmarkEnd w:id="118"/>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 本合同及其补充合同、变更协议；</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 中标通知书；</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 投标文件（含澄清或者说明文件）；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1.1.4 招标文件（含澄清或者修改文件）；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1.1.5 其他相关采购文件。</w:t>
      </w:r>
      <w:r/>
    </w:p>
    <w:p>
      <w:pPr>
        <w:ind w:left="695" w:firstLine="482"/>
        <w:spacing w:line="560" w:lineRule="exact"/>
        <w:rPr>
          <w:rFonts w:hint="eastAsia" w:ascii="仿宋" w:hAnsi="仿宋" w:eastAsia="仿宋" w:cs="仿宋"/>
          <w:b/>
          <w:color w:val="auto"/>
          <w:sz w:val="24"/>
          <w:highlight w:val="none"/>
        </w:rPr>
        <w:outlineLvl w:val="0"/>
      </w:pPr>
      <w:r/>
      <w:bookmarkStart w:id="119" w:name="_Toc22185"/>
      <w:r/>
      <w:bookmarkStart w:id="120" w:name="_Toc6773"/>
      <w:r/>
      <w:bookmarkStart w:id="121" w:name="_Toc18585"/>
      <w:r/>
      <w:bookmarkStart w:id="122" w:name="_Toc6311"/>
      <w:r/>
      <w:bookmarkStart w:id="123" w:name="_Toc2918"/>
      <w:r>
        <w:rPr>
          <w:rFonts w:hint="eastAsia" w:ascii="仿宋" w:hAnsi="仿宋" w:eastAsia="仿宋" w:cs="仿宋"/>
          <w:b/>
          <w:color w:val="auto"/>
          <w:sz w:val="24"/>
          <w:highlight w:val="none"/>
        </w:rPr>
        <w:t xml:space="preserve">1.2 标的</w:t>
      </w:r>
      <w:bookmarkEnd w:id="119"/>
      <w:r/>
      <w:bookmarkEnd w:id="120"/>
      <w:r/>
      <w:bookmarkEnd w:id="121"/>
      <w:r/>
      <w:bookmarkEnd w:id="122"/>
      <w:r/>
      <w:bookmarkEnd w:id="123"/>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1.2.1 标的名称：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1.2.2 标的数量：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 标的质量：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124" w:name="_Toc1386"/>
      <w:r/>
      <w:bookmarkStart w:id="125" w:name="_Toc13918"/>
      <w:r/>
      <w:bookmarkStart w:id="126" w:name="_Toc4929"/>
      <w:r/>
      <w:bookmarkStart w:id="127" w:name="_Toc21124"/>
      <w:r/>
      <w:bookmarkStart w:id="128" w:name="_Toc5635"/>
      <w:r>
        <w:rPr>
          <w:rFonts w:hint="eastAsia" w:ascii="仿宋" w:hAnsi="仿宋" w:eastAsia="仿宋" w:cs="仿宋"/>
          <w:b/>
          <w:color w:val="auto"/>
          <w:sz w:val="24"/>
          <w:highlight w:val="none"/>
        </w:rPr>
        <w:t xml:space="preserve">1.3 价款</w:t>
      </w:r>
      <w:bookmarkEnd w:id="124"/>
      <w:r/>
      <w:bookmarkEnd w:id="125"/>
      <w:r/>
      <w:bookmarkEnd w:id="126"/>
      <w:r/>
      <w:bookmarkEnd w:id="127"/>
      <w:r/>
      <w:bookmarkEnd w:id="128"/>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w:t>
      </w:r>
      <w:r>
        <w:rPr>
          <w:rFonts w:hint="eastAsia" w:ascii="仿宋" w:hAnsi="仿宋" w:eastAsia="仿宋" w:cs="仿宋"/>
          <w:color w:val="auto"/>
          <w:sz w:val="24"/>
          <w:highlight w:val="none"/>
          <w:lang w:val="en-US" w:eastAsia="zh-CN"/>
        </w:rPr>
        <w:t xml:space="preserve">中标优惠率</w:t>
      </w:r>
      <w:r>
        <w:rPr>
          <w:rFonts w:hint="eastAsia" w:ascii="仿宋" w:hAnsi="仿宋" w:eastAsia="仿宋" w:cs="仿宋"/>
          <w:color w:val="auto"/>
          <w:sz w:val="24"/>
          <w:highlight w:val="none"/>
        </w:rPr>
        <w:t xml:space="preserve">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lang w:val="en-US" w:eastAsia="zh-CN"/>
        </w:rPr>
        <w:t xml:space="preserve">百分之</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分项价格：</w:t>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973"/>
              <w:jc w:val="both"/>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402" w:type="dxa"/>
            <w:vAlign w:val="center"/>
            <w:textDirection w:val="lrTb"/>
            <w:noWrap w:val="false"/>
          </w:tcPr>
          <w:p>
            <w:pPr>
              <w:pStyle w:val="973"/>
              <w:ind w:left="695" w:firstLine="240"/>
              <w:jc w:val="both"/>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区域</w:t>
            </w:r>
            <w:r>
              <w:rPr>
                <w:rFonts w:hint="eastAsia" w:ascii="仿宋" w:hAnsi="仿宋" w:eastAsia="仿宋" w:cs="仿宋"/>
                <w:color w:val="auto"/>
                <w:sz w:val="24"/>
                <w:szCs w:val="24"/>
                <w:highlight w:val="none"/>
              </w:rPr>
              <w:t xml:space="preserve">名称</w:t>
            </w:r>
            <w:r/>
          </w:p>
        </w:tc>
        <w:tc>
          <w:tcPr>
            <w:tcW w:w="2552" w:type="dxa"/>
            <w:vAlign w:val="center"/>
            <w:textDirection w:val="lrTb"/>
            <w:noWrap w:val="false"/>
          </w:tcPr>
          <w:p>
            <w:pPr>
              <w:pStyle w:val="973"/>
              <w:ind w:left="695" w:firstLine="0"/>
              <w:jc w:val="both"/>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97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97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97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97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97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97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97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97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97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97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97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97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gridSpan w:val="2"/>
            <w:tcW w:w="4603" w:type="dxa"/>
            <w:vAlign w:val="center"/>
            <w:textDirection w:val="lrTb"/>
            <w:noWrap w:val="false"/>
          </w:tcPr>
          <w:p>
            <w:pPr>
              <w:pStyle w:val="973"/>
              <w:ind w:left="695" w:firstLine="0"/>
              <w:jc w:val="both"/>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总价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人民币</w:t>
            </w:r>
            <w:r>
              <w:rPr>
                <w:rFonts w:hint="eastAsia" w:ascii="仿宋" w:hAnsi="仿宋" w:eastAsia="仿宋" w:cs="仿宋"/>
                <w:color w:val="auto"/>
                <w:sz w:val="24"/>
                <w:szCs w:val="24"/>
                <w:highlight w:val="none"/>
                <w:lang w:eastAsia="zh-CN"/>
              </w:rPr>
              <w:t xml:space="preserve">）</w:t>
            </w:r>
            <w:r/>
          </w:p>
        </w:tc>
        <w:tc>
          <w:tcPr>
            <w:tcW w:w="2552" w:type="dxa"/>
            <w:vAlign w:val="center"/>
            <w:textDirection w:val="lrTb"/>
            <w:noWrap w:val="false"/>
          </w:tcPr>
          <w:p>
            <w:pPr>
              <w:pStyle w:val="97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left="695" w:firstLine="482"/>
        <w:spacing w:line="560" w:lineRule="exact"/>
        <w:rPr>
          <w:rFonts w:hint="eastAsia" w:ascii="仿宋" w:hAnsi="仿宋" w:eastAsia="仿宋" w:cs="仿宋"/>
          <w:b/>
          <w:color w:val="auto"/>
          <w:sz w:val="24"/>
          <w:highlight w:val="none"/>
        </w:rPr>
        <w:outlineLvl w:val="0"/>
      </w:pPr>
      <w:r/>
      <w:bookmarkStart w:id="129" w:name="_Toc26916"/>
      <w:r/>
      <w:bookmarkStart w:id="130" w:name="_Toc14993"/>
      <w:r/>
      <w:bookmarkStart w:id="131" w:name="_Toc30158"/>
      <w:r/>
      <w:bookmarkStart w:id="132" w:name="_Toc3654"/>
      <w:r/>
      <w:bookmarkStart w:id="133" w:name="_Toc30506"/>
      <w:r>
        <w:rPr>
          <w:rFonts w:hint="eastAsia" w:ascii="仿宋" w:hAnsi="仿宋" w:eastAsia="仿宋" w:cs="仿宋"/>
          <w:b/>
          <w:color w:val="auto"/>
          <w:sz w:val="24"/>
          <w:highlight w:val="none"/>
        </w:rPr>
        <w:t xml:space="preserve">1.4 付款方式和发票开具方式</w:t>
      </w:r>
      <w:bookmarkEnd w:id="129"/>
      <w:r/>
      <w:bookmarkEnd w:id="130"/>
      <w:r/>
      <w:bookmarkEnd w:id="131"/>
      <w:r/>
      <w:bookmarkEnd w:id="132"/>
      <w:r/>
      <w:bookmarkEnd w:id="133"/>
      <w:r/>
      <w:r/>
    </w:p>
    <w:p>
      <w:pPr>
        <w:ind w:left="695" w:firstLine="480"/>
        <w:spacing w:line="50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highlight w:val="none"/>
        </w:rPr>
        <w:t xml:space="preserve">1.4.1付款方式：</w:t>
      </w:r>
      <w:r/>
    </w:p>
    <w:p>
      <w:pPr>
        <w:numPr>
          <w:ilvl w:val="0"/>
          <w:numId w:val="0"/>
        </w:num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 发票开具方式：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134" w:name="_Toc3625"/>
      <w:r/>
      <w:bookmarkStart w:id="135" w:name="_Toc31421"/>
      <w:r/>
      <w:bookmarkStart w:id="136" w:name="_Toc8772"/>
      <w:r/>
      <w:bookmarkStart w:id="137" w:name="_Toc4760"/>
      <w:r/>
      <w:bookmarkStart w:id="138" w:name="_Toc11108"/>
      <w:r>
        <w:rPr>
          <w:rFonts w:hint="eastAsia" w:ascii="仿宋" w:hAnsi="仿宋" w:eastAsia="仿宋" w:cs="仿宋"/>
          <w:b/>
          <w:color w:val="auto"/>
          <w:sz w:val="24"/>
          <w:highlight w:val="none"/>
        </w:rPr>
        <w:t xml:space="preserve">1.5 履行期限、地点和方式</w:t>
      </w:r>
      <w:bookmarkEnd w:id="134"/>
      <w:r/>
      <w:bookmarkEnd w:id="135"/>
      <w:r/>
      <w:bookmarkEnd w:id="136"/>
      <w:r/>
      <w:bookmarkEnd w:id="137"/>
      <w:r/>
      <w:bookmarkEnd w:id="138"/>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1.5.1 履行期限：</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1.5.2 履行地点：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1.5.3 履行方式：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color w:val="auto"/>
          <w:sz w:val="24"/>
          <w:highlight w:val="none"/>
          <w:u w:val="single"/>
        </w:rPr>
        <w:outlineLvl w:val="0"/>
      </w:pPr>
      <w:r/>
      <w:bookmarkStart w:id="139" w:name="_Toc24662"/>
      <w:r/>
      <w:bookmarkStart w:id="140" w:name="_Toc5698"/>
      <w:r/>
      <w:bookmarkStart w:id="141" w:name="_Toc2375"/>
      <w:r/>
      <w:bookmarkStart w:id="142" w:name="_Toc3079"/>
      <w:r/>
      <w:bookmarkStart w:id="143" w:name="_Toc8586"/>
      <w:r>
        <w:rPr>
          <w:rFonts w:hint="eastAsia" w:ascii="仿宋" w:hAnsi="仿宋" w:eastAsia="仿宋" w:cs="仿宋"/>
          <w:b/>
          <w:color w:val="auto"/>
          <w:sz w:val="24"/>
          <w:highlight w:val="none"/>
        </w:rPr>
        <w:t xml:space="preserve">1.6 违约责任</w:t>
      </w:r>
      <w:bookmarkEnd w:id="139"/>
      <w:r/>
      <w:bookmarkEnd w:id="140"/>
      <w:r/>
      <w:bookmarkEnd w:id="141"/>
      <w:r/>
      <w:bookmarkEnd w:id="142"/>
      <w:r/>
      <w:bookmarkEnd w:id="143"/>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%计算，最高限额为本合同总价的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%；迟延履行的违约金计算数额达到前述最高限额之日起，甲方有权在要求乙方支付违约金的同时，书面通知乙方解除本合同；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%计算，最高限额为本合同总价的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%；迟延付款的违约金计算数额达到前述最高限额之日起，乙方有权在要求甲方支付违约金的同时，书面通知甲方解除本合同；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left="695" w:firstLine="482"/>
        <w:spacing w:line="560" w:lineRule="exact"/>
        <w:rPr>
          <w:rFonts w:hint="eastAsia" w:ascii="仿宋" w:hAnsi="仿宋" w:eastAsia="仿宋" w:cs="仿宋"/>
          <w:b/>
          <w:color w:val="auto"/>
          <w:sz w:val="24"/>
          <w:highlight w:val="none"/>
        </w:rPr>
        <w:outlineLvl w:val="0"/>
      </w:pPr>
      <w:r/>
      <w:bookmarkStart w:id="144" w:name="_Toc32454"/>
      <w:r/>
      <w:bookmarkStart w:id="145" w:name="_Toc18683"/>
      <w:r/>
      <w:bookmarkStart w:id="146" w:name="_Toc9497"/>
      <w:r/>
      <w:bookmarkStart w:id="147" w:name="_Toc26807"/>
      <w:r/>
      <w:bookmarkStart w:id="148" w:name="_Toc30329"/>
      <w:r>
        <w:rPr>
          <w:rFonts w:hint="eastAsia" w:ascii="仿宋" w:hAnsi="仿宋" w:eastAsia="仿宋" w:cs="仿宋"/>
          <w:b/>
          <w:color w:val="auto"/>
          <w:sz w:val="24"/>
          <w:highlight w:val="none"/>
        </w:rPr>
        <w:t xml:space="preserve">1.7 合同争议的解决</w:t>
      </w:r>
      <w:bookmarkEnd w:id="144"/>
      <w:r/>
      <w:bookmarkEnd w:id="145"/>
      <w:r/>
      <w:bookmarkEnd w:id="146"/>
      <w:r/>
      <w:bookmarkEnd w:id="147"/>
      <w:r/>
      <w:bookmarkEnd w:id="148"/>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本合同履行过程中发生的任何争议，双方当事人均可通过和解或者调解解决；不愿和解、调解或者和解、调解不成的，可以选择下列第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种方式解决：</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 将争议提交</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仲裁委员会依申请仲裁时其现行有效的仲裁规则裁决；</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1.7.2 向</w:t>
      </w:r>
      <w:r>
        <w:rPr>
          <w:rFonts w:hint="eastAsia" w:ascii="仿宋" w:hAnsi="仿宋" w:eastAsia="仿宋" w:cs="仿宋"/>
          <w:color w:val="auto"/>
          <w:sz w:val="24"/>
          <w:highlight w:val="none"/>
          <w:u w:val="single"/>
        </w:rPr>
        <w:t xml:space="preserve">   （被告住所地、合同履行地、合同签订地、原告住所地、标的物所在地等与争议有实际联系的地点中选出的人民法院名称）    </w:t>
      </w:r>
      <w:r>
        <w:rPr>
          <w:rFonts w:hint="eastAsia" w:ascii="仿宋" w:hAnsi="仿宋" w:eastAsia="仿宋" w:cs="仿宋"/>
          <w:color w:val="auto"/>
          <w:sz w:val="24"/>
          <w:highlight w:val="none"/>
        </w:rPr>
        <w:t xml:space="preserve">人民法院起诉。</w:t>
      </w:r>
      <w:r/>
    </w:p>
    <w:p>
      <w:pPr>
        <w:ind w:left="695" w:firstLine="482"/>
        <w:spacing w:line="560" w:lineRule="exact"/>
        <w:rPr>
          <w:rFonts w:hint="eastAsia" w:ascii="仿宋" w:hAnsi="仿宋" w:eastAsia="仿宋" w:cs="仿宋"/>
          <w:b/>
          <w:color w:val="auto"/>
          <w:sz w:val="24"/>
          <w:highlight w:val="none"/>
        </w:rPr>
        <w:outlineLvl w:val="0"/>
      </w:pPr>
      <w:r/>
      <w:bookmarkStart w:id="149" w:name="_Toc16417"/>
      <w:r/>
      <w:bookmarkStart w:id="150" w:name="_Toc23784"/>
      <w:r/>
      <w:bookmarkStart w:id="151" w:name="_Toc15827"/>
      <w:r/>
      <w:bookmarkStart w:id="152" w:name="_Toc26227"/>
      <w:r/>
      <w:bookmarkStart w:id="153" w:name="_Toc12273"/>
      <w:r>
        <w:rPr>
          <w:rFonts w:hint="eastAsia" w:ascii="仿宋" w:hAnsi="仿宋" w:eastAsia="仿宋" w:cs="仿宋"/>
          <w:b/>
          <w:color w:val="auto"/>
          <w:sz w:val="24"/>
          <w:highlight w:val="none"/>
        </w:rPr>
        <w:t xml:space="preserve">1.8 合同生效</w:t>
      </w:r>
      <w:bookmarkEnd w:id="149"/>
      <w:r/>
      <w:bookmarkEnd w:id="150"/>
      <w:r/>
      <w:bookmarkEnd w:id="151"/>
      <w:r/>
      <w:bookmarkEnd w:id="152"/>
      <w:r/>
      <w:bookmarkEnd w:id="153"/>
      <w:r/>
      <w:r/>
    </w:p>
    <w:p>
      <w:pPr>
        <w:ind w:left="695" w:firstLine="480"/>
        <w:spacing w:line="56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本合同自双方当事人盖章或者签字时生效。</w:t>
      </w:r>
      <w:r/>
    </w:p>
    <w:p>
      <w:pPr>
        <w:ind w:left="695" w:firstLine="482"/>
        <w:spacing w:line="560" w:lineRule="exact"/>
        <w:rPr>
          <w:rFonts w:hint="eastAsia" w:ascii="仿宋" w:hAnsi="仿宋" w:eastAsia="仿宋" w:cs="仿宋"/>
          <w:color w:val="auto"/>
          <w:sz w:val="24"/>
          <w:highlight w:val="none"/>
          <w:lang w:val="zh-CN"/>
        </w:rPr>
      </w:pPr>
      <w:r>
        <w:rPr>
          <w:rFonts w:hint="eastAsia" w:ascii="仿宋" w:hAnsi="仿宋" w:eastAsia="仿宋" w:cs="仿宋"/>
          <w:b/>
          <w:color w:val="auto"/>
          <w:sz w:val="24"/>
          <w:highlight w:val="none"/>
          <w:lang w:val="zh-CN"/>
        </w:rPr>
        <w:t xml:space="preserve">甲方</w:t>
      </w:r>
      <w:r>
        <w:rPr>
          <w:rFonts w:hint="eastAsia" w:ascii="仿宋" w:hAnsi="仿宋" w:eastAsia="仿宋" w:cs="仿宋"/>
          <w:color w:val="auto"/>
          <w:sz w:val="24"/>
          <w:highlight w:val="none"/>
          <w:lang w:val="zh-CN"/>
        </w:rPr>
        <w:t xml:space="preserve">：                             </w:t>
      </w:r>
      <w:r>
        <w:rPr>
          <w:rFonts w:hint="eastAsia" w:ascii="仿宋" w:hAnsi="仿宋" w:eastAsia="仿宋" w:cs="仿宋"/>
          <w:b/>
          <w:color w:val="auto"/>
          <w:sz w:val="24"/>
          <w:highlight w:val="none"/>
          <w:lang w:val="zh-CN"/>
        </w:rPr>
        <w:t xml:space="preserve">      乙方</w:t>
      </w:r>
      <w:r>
        <w:rPr>
          <w:rFonts w:hint="eastAsia" w:ascii="仿宋" w:hAnsi="仿宋" w:eastAsia="仿宋" w:cs="仿宋"/>
          <w:color w:val="auto"/>
          <w:sz w:val="24"/>
          <w:highlight w:val="none"/>
          <w:lang w:val="zh-CN"/>
        </w:rPr>
        <w:t xml:space="preserve">：</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统一社会信用代码：                        统一社会信用代码或身份证号码：</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住所：                                   住所：</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法定代表人或                             法定代表人</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授权代表（签字）：                        或授权代表（签字）: </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联系人：                                 联系人：</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约定送达地址：                           约定送达地址：</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邮政编码：                               邮政编码：</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电话:                                    电话: </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传真:                                    传真:</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电子邮箱：                               电子邮箱：</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                               开户银行： </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开户名称：                               开户名称： </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开户账号：</w:t>
      </w:r>
      <w:r>
        <w:rPr>
          <w:rFonts w:hint="eastAsia" w:ascii="仿宋" w:hAnsi="仿宋" w:eastAsia="仿宋" w:cs="仿宋"/>
          <w:color w:val="auto"/>
          <w:sz w:val="24"/>
          <w:highlight w:val="none"/>
          <w:lang w:val="zh-CN"/>
        </w:rPr>
        <w:t xml:space="preserve">                               </w:t>
      </w:r>
      <w:r>
        <w:rPr>
          <w:rFonts w:hint="eastAsia" w:ascii="仿宋" w:hAnsi="仿宋" w:eastAsia="仿宋" w:cs="仿宋"/>
          <w:color w:val="auto"/>
          <w:sz w:val="24"/>
          <w:highlight w:val="none"/>
        </w:rPr>
        <w:t xml:space="preserve">开户账号：</w:t>
      </w:r>
      <w:r/>
    </w:p>
    <w:p>
      <w:pPr>
        <w:pStyle w:val="945"/>
        <w:ind w:left="695" w:firstLine="402"/>
        <w:jc w:val="center"/>
        <w:spacing w:line="560" w:lineRule="exact"/>
        <w:rPr>
          <w:rFonts w:hint="eastAsia" w:ascii="仿宋" w:hAnsi="仿宋" w:eastAsia="仿宋" w:cs="仿宋"/>
          <w:b/>
          <w:color w:val="auto"/>
          <w:szCs w:val="24"/>
          <w:highlight w:val="none"/>
        </w:rPr>
      </w:pPr>
      <w:r/>
      <w:bookmarkStart w:id="154" w:name="_Toc331685783"/>
      <w:r>
        <w:rPr>
          <w:rFonts w:hint="eastAsia" w:ascii="仿宋" w:hAnsi="仿宋" w:eastAsia="仿宋" w:cs="仿宋"/>
          <w:b/>
          <w:color w:val="auto"/>
          <w:szCs w:val="24"/>
          <w:highlight w:val="none"/>
        </w:rPr>
        <w:t xml:space="preserve">第二部分 合同一般条款</w:t>
      </w:r>
      <w:bookmarkEnd w:id="154"/>
      <w:r/>
      <w:r/>
    </w:p>
    <w:p>
      <w:pPr>
        <w:ind w:left="695" w:firstLine="482"/>
        <w:spacing w:line="560" w:lineRule="exact"/>
        <w:rPr>
          <w:rFonts w:hint="eastAsia" w:ascii="仿宋" w:hAnsi="仿宋" w:eastAsia="仿宋" w:cs="仿宋"/>
          <w:b/>
          <w:color w:val="auto"/>
          <w:sz w:val="24"/>
          <w:highlight w:val="none"/>
        </w:rPr>
        <w:outlineLvl w:val="0"/>
      </w:pPr>
      <w:r/>
      <w:bookmarkStart w:id="155" w:name="_Toc19680"/>
      <w:r/>
      <w:bookmarkStart w:id="156" w:name="_Toc14021"/>
      <w:r/>
      <w:bookmarkStart w:id="157" w:name="_Toc25079"/>
      <w:r/>
      <w:bookmarkStart w:id="158" w:name="_Ref467379094"/>
      <w:r/>
      <w:bookmarkStart w:id="159" w:name="_Ref467378499"/>
      <w:r/>
      <w:bookmarkStart w:id="160" w:name="_Ref467379101"/>
      <w:r/>
      <w:bookmarkStart w:id="161" w:name="_Toc31297"/>
      <w:r/>
      <w:bookmarkStart w:id="162" w:name="_Toc279701240"/>
      <w:r/>
      <w:bookmarkStart w:id="163" w:name="_Toc487900349"/>
      <w:r/>
      <w:bookmarkStart w:id="164" w:name="_Ref467379109"/>
      <w:r/>
      <w:bookmarkStart w:id="165" w:name="_Ref467378404"/>
      <w:r/>
      <w:bookmarkStart w:id="166" w:name="_Ref467378463"/>
      <w:r/>
      <w:bookmarkStart w:id="167" w:name="_Toc5228"/>
      <w:r/>
      <w:bookmarkStart w:id="168" w:name="_Toc259093669"/>
      <w:r/>
      <w:bookmarkStart w:id="169" w:name="_Ref467379205"/>
      <w:r/>
      <w:bookmarkStart w:id="170" w:name="_Ref467379195"/>
      <w:r/>
      <w:bookmarkStart w:id="171" w:name="_Ref467379225"/>
      <w:r/>
      <w:bookmarkStart w:id="172" w:name="_Ref467379214"/>
      <w:r>
        <w:rPr>
          <w:rFonts w:hint="eastAsia" w:ascii="仿宋" w:hAnsi="仿宋" w:eastAsia="仿宋" w:cs="仿宋"/>
          <w:b/>
          <w:color w:val="auto"/>
          <w:sz w:val="24"/>
          <w:highlight w:val="none"/>
        </w:rPr>
        <w:t xml:space="preserve">2.1 定义</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本合同中的下列词语应按以下内容进行解释：</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 “合同”系指</w:t>
      </w:r>
      <w:r>
        <w:rPr>
          <w:rFonts w:hint="eastAsia" w:ascii="仿宋" w:hAnsi="仿宋" w:eastAsia="仿宋" w:cs="仿宋"/>
          <w:color w:val="auto"/>
          <w:sz w:val="24"/>
          <w:highlight w:val="none"/>
          <w:lang w:eastAsia="zh-CN"/>
        </w:rPr>
        <w:t xml:space="preserve">招标人</w:t>
      </w:r>
      <w:r>
        <w:rPr>
          <w:rFonts w:hint="eastAsia" w:ascii="仿宋" w:hAnsi="仿宋" w:eastAsia="仿宋" w:cs="仿宋"/>
          <w:color w:val="auto"/>
          <w:sz w:val="24"/>
          <w:highlight w:val="none"/>
        </w:rPr>
        <w:t xml:space="preserve">和中标供应商签订的载明双方当事人所达成的协议，并包括所有的附件、附录和构成合同的其他文件。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 “合同价”系指根据合同约定，中标供应商在完全履行合同义务后，</w:t>
      </w:r>
      <w:r>
        <w:rPr>
          <w:rFonts w:hint="eastAsia" w:ascii="仿宋" w:hAnsi="仿宋" w:eastAsia="仿宋" w:cs="仿宋"/>
          <w:color w:val="auto"/>
          <w:sz w:val="24"/>
          <w:highlight w:val="none"/>
          <w:lang w:eastAsia="zh-CN"/>
        </w:rPr>
        <w:t xml:space="preserve">招标人</w:t>
      </w:r>
      <w:r>
        <w:rPr>
          <w:rFonts w:hint="eastAsia" w:ascii="仿宋" w:hAnsi="仿宋" w:eastAsia="仿宋" w:cs="仿宋"/>
          <w:color w:val="auto"/>
          <w:sz w:val="24"/>
          <w:highlight w:val="none"/>
        </w:rPr>
        <w:t xml:space="preserve">应支付给中标供应商的价格。</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2.1.3 “服务”系指中标供应商根据合同约定应向</w:t>
      </w:r>
      <w:r>
        <w:rPr>
          <w:rFonts w:hint="eastAsia" w:ascii="仿宋" w:hAnsi="仿宋" w:eastAsia="仿宋" w:cs="仿宋"/>
          <w:color w:val="auto"/>
          <w:sz w:val="24"/>
          <w:highlight w:val="none"/>
          <w:lang w:eastAsia="zh-CN"/>
        </w:rPr>
        <w:t xml:space="preserve">招标人</w:t>
      </w:r>
      <w:r>
        <w:rPr>
          <w:rFonts w:hint="eastAsia" w:ascii="仿宋" w:hAnsi="仿宋" w:eastAsia="仿宋" w:cs="仿宋"/>
          <w:color w:val="auto"/>
          <w:sz w:val="24"/>
          <w:highlight w:val="none"/>
        </w:rPr>
        <w:t xml:space="preserve">履行的除货物和工程以外的其他政府采购对象，包括</w:t>
      </w:r>
      <w:r>
        <w:rPr>
          <w:rFonts w:hint="eastAsia" w:ascii="仿宋" w:hAnsi="仿宋" w:eastAsia="仿宋" w:cs="仿宋"/>
          <w:color w:val="auto"/>
          <w:sz w:val="24"/>
          <w:highlight w:val="none"/>
          <w:lang w:eastAsia="zh-CN"/>
        </w:rPr>
        <w:t xml:space="preserve">招标人</w:t>
      </w:r>
      <w:r>
        <w:rPr>
          <w:rFonts w:hint="eastAsia" w:ascii="仿宋" w:hAnsi="仿宋" w:eastAsia="仿宋" w:cs="仿宋"/>
          <w:color w:val="auto"/>
          <w:sz w:val="24"/>
          <w:highlight w:val="none"/>
        </w:rPr>
        <w:t xml:space="preserve">自身需要的服务和向社会公众提供的公共服务。</w:t>
      </w:r>
      <w:r/>
    </w:p>
    <w:p>
      <w:pPr>
        <w:ind w:left="695" w:firstLine="480"/>
        <w:spacing w:line="560" w:lineRule="exact"/>
        <w:rPr>
          <w:rFonts w:hint="eastAsia" w:ascii="仿宋" w:hAnsi="仿宋" w:eastAsia="仿宋" w:cs="仿宋"/>
          <w:color w:val="auto"/>
          <w:sz w:val="24"/>
          <w:highlight w:val="none"/>
        </w:rPr>
      </w:pPr>
      <w:r/>
      <w:bookmarkStart w:id="173" w:name="_Ref467378840"/>
      <w:r>
        <w:rPr>
          <w:rFonts w:hint="eastAsia" w:ascii="仿宋" w:hAnsi="仿宋" w:eastAsia="仿宋" w:cs="仿宋"/>
          <w:color w:val="auto"/>
          <w:sz w:val="24"/>
          <w:highlight w:val="none"/>
        </w:rPr>
        <w:t xml:space="preserve">2.1.4 “甲方”系指与中标供应商签署合同的</w:t>
      </w:r>
      <w:bookmarkEnd w:id="173"/>
      <w:r>
        <w:rPr>
          <w:rFonts w:hint="eastAsia" w:ascii="仿宋" w:hAnsi="仿宋" w:eastAsia="仿宋" w:cs="仿宋"/>
          <w:color w:val="auto"/>
          <w:sz w:val="24"/>
          <w:highlight w:val="none"/>
          <w:lang w:eastAsia="zh-CN"/>
        </w:rPr>
        <w:t xml:space="preserve">招标人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招标人</w:t>
      </w:r>
      <w:r>
        <w:rPr>
          <w:rFonts w:hint="eastAsia" w:ascii="仿宋" w:hAnsi="仿宋" w:eastAsia="仿宋" w:cs="仿宋"/>
          <w:color w:val="auto"/>
          <w:sz w:val="24"/>
          <w:highlight w:val="none"/>
        </w:rPr>
        <w:t xml:space="preserve">委托采购代理机构代表其与乙方签订合同的，</w:t>
      </w:r>
      <w:r>
        <w:rPr>
          <w:rFonts w:hint="eastAsia" w:ascii="仿宋" w:hAnsi="仿宋" w:eastAsia="仿宋" w:cs="仿宋"/>
          <w:color w:val="auto"/>
          <w:sz w:val="24"/>
          <w:highlight w:val="none"/>
          <w:lang w:eastAsia="zh-CN"/>
        </w:rPr>
        <w:t xml:space="preserve">招标人</w:t>
      </w:r>
      <w:r>
        <w:rPr>
          <w:rFonts w:hint="eastAsia" w:ascii="仿宋" w:hAnsi="仿宋" w:eastAsia="仿宋" w:cs="仿宋"/>
          <w:color w:val="auto"/>
          <w:sz w:val="24"/>
          <w:highlight w:val="none"/>
        </w:rPr>
        <w:t xml:space="preserve">的授权委托书作为合同附件。</w:t>
      </w:r>
      <w:r/>
    </w:p>
    <w:p>
      <w:pPr>
        <w:ind w:left="695" w:firstLine="480"/>
        <w:spacing w:line="560" w:lineRule="exact"/>
        <w:rPr>
          <w:rFonts w:hint="eastAsia" w:ascii="仿宋" w:hAnsi="仿宋" w:eastAsia="仿宋" w:cs="仿宋"/>
          <w:color w:val="auto"/>
          <w:sz w:val="24"/>
          <w:highlight w:val="none"/>
        </w:rPr>
      </w:pPr>
      <w:r/>
      <w:bookmarkStart w:id="174" w:name="_Ref467379400"/>
      <w:r>
        <w:rPr>
          <w:rFonts w:hint="eastAsia" w:ascii="仿宋" w:hAnsi="仿宋" w:eastAsia="仿宋" w:cs="仿宋"/>
          <w:color w:val="auto"/>
          <w:sz w:val="24"/>
          <w:highlight w:val="none"/>
        </w:rPr>
        <w:t xml:space="preserve">2.1.5 “乙方”系指根据合同约定提供服务的中标供应商</w:t>
      </w:r>
      <w:bookmarkEnd w:id="174"/>
      <w:r>
        <w:rPr>
          <w:rFonts w:hint="eastAsia" w:ascii="仿宋" w:hAnsi="仿宋" w:eastAsia="仿宋" w:cs="仿宋"/>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left="695" w:firstLine="480"/>
        <w:spacing w:line="560" w:lineRule="exact"/>
        <w:rPr>
          <w:rFonts w:hint="eastAsia" w:ascii="仿宋" w:hAnsi="仿宋" w:eastAsia="仿宋" w:cs="仿宋"/>
          <w:color w:val="auto"/>
          <w:sz w:val="24"/>
          <w:highlight w:val="none"/>
        </w:rPr>
      </w:pPr>
      <w:r/>
      <w:bookmarkStart w:id="175" w:name="_Ref467379436"/>
      <w:r>
        <w:rPr>
          <w:rFonts w:hint="eastAsia" w:ascii="仿宋" w:hAnsi="仿宋" w:eastAsia="仿宋" w:cs="仿宋"/>
          <w:color w:val="auto"/>
          <w:sz w:val="24"/>
          <w:highlight w:val="none"/>
        </w:rPr>
        <w:t xml:space="preserve">2.1.6 “现场”系指合同约定提供服务的地点。</w:t>
      </w:r>
      <w:bookmarkEnd w:id="175"/>
      <w:r/>
      <w:r/>
    </w:p>
    <w:p>
      <w:pPr>
        <w:ind w:left="695" w:firstLine="482"/>
        <w:spacing w:line="560" w:lineRule="exact"/>
        <w:rPr>
          <w:rFonts w:hint="eastAsia" w:ascii="仿宋" w:hAnsi="仿宋" w:eastAsia="仿宋" w:cs="仿宋"/>
          <w:b/>
          <w:color w:val="auto"/>
          <w:sz w:val="24"/>
          <w:highlight w:val="none"/>
        </w:rPr>
        <w:outlineLvl w:val="0"/>
      </w:pPr>
      <w:r/>
      <w:bookmarkStart w:id="176" w:name="_Toc279701241"/>
      <w:r/>
      <w:bookmarkStart w:id="177" w:name="_Toc259093670"/>
      <w:r/>
      <w:bookmarkStart w:id="178" w:name="_Toc19539"/>
      <w:r/>
      <w:bookmarkStart w:id="179" w:name="_Toc487900350"/>
      <w:r/>
      <w:bookmarkStart w:id="180" w:name="_Toc3769"/>
      <w:r/>
      <w:bookmarkStart w:id="181" w:name="_Toc16752"/>
      <w:r/>
      <w:bookmarkStart w:id="182" w:name="_Toc23289"/>
      <w:r/>
      <w:bookmarkStart w:id="183" w:name="_Toc31402"/>
      <w:r>
        <w:rPr>
          <w:rFonts w:hint="eastAsia" w:ascii="仿宋" w:hAnsi="仿宋" w:eastAsia="仿宋" w:cs="仿宋"/>
          <w:b/>
          <w:color w:val="auto"/>
          <w:sz w:val="24"/>
          <w:highlight w:val="none"/>
        </w:rPr>
        <w:t xml:space="preserve">2.2 技术规范</w:t>
      </w:r>
      <w:bookmarkEnd w:id="176"/>
      <w:r/>
      <w:bookmarkEnd w:id="177"/>
      <w:r/>
      <w:bookmarkEnd w:id="178"/>
      <w:r/>
      <w:bookmarkEnd w:id="179"/>
      <w:r/>
      <w:bookmarkEnd w:id="180"/>
      <w:r/>
      <w:bookmarkEnd w:id="181"/>
      <w:r/>
      <w:bookmarkEnd w:id="182"/>
      <w:r/>
      <w:bookmarkEnd w:id="183"/>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left="695" w:firstLine="482"/>
        <w:spacing w:line="560" w:lineRule="exact"/>
        <w:rPr>
          <w:rFonts w:hint="eastAsia" w:ascii="仿宋" w:hAnsi="仿宋" w:eastAsia="仿宋" w:cs="仿宋"/>
          <w:b/>
          <w:color w:val="auto"/>
          <w:sz w:val="24"/>
          <w:highlight w:val="none"/>
        </w:rPr>
        <w:outlineLvl w:val="0"/>
      </w:pPr>
      <w:r/>
      <w:bookmarkStart w:id="184" w:name="_Toc9161"/>
      <w:r/>
      <w:bookmarkStart w:id="185" w:name="_Toc487900351"/>
      <w:r/>
      <w:bookmarkStart w:id="186" w:name="_Toc259093671"/>
      <w:r/>
      <w:bookmarkStart w:id="187" w:name="_Toc13673"/>
      <w:r/>
      <w:bookmarkStart w:id="188" w:name="_Toc12412"/>
      <w:r/>
      <w:bookmarkStart w:id="189" w:name="_Toc4133"/>
      <w:r/>
      <w:bookmarkStart w:id="190" w:name="_Toc279701242"/>
      <w:r/>
      <w:bookmarkStart w:id="191" w:name="_Toc27945"/>
      <w:r>
        <w:rPr>
          <w:rFonts w:hint="eastAsia" w:ascii="仿宋" w:hAnsi="仿宋" w:eastAsia="仿宋" w:cs="仿宋"/>
          <w:b/>
          <w:color w:val="auto"/>
          <w:sz w:val="24"/>
          <w:highlight w:val="none"/>
        </w:rPr>
        <w:t xml:space="preserve">2.3 知识产权</w:t>
      </w:r>
      <w:bookmarkEnd w:id="184"/>
      <w:r/>
      <w:bookmarkEnd w:id="185"/>
      <w:r/>
      <w:bookmarkEnd w:id="186"/>
      <w:r/>
      <w:bookmarkEnd w:id="187"/>
      <w:r/>
      <w:bookmarkEnd w:id="188"/>
      <w:r/>
      <w:bookmarkEnd w:id="189"/>
      <w:r/>
      <w:bookmarkEnd w:id="190"/>
      <w:r/>
      <w:bookmarkEnd w:id="191"/>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2.3.2 合同涉及技术成果的归属和收益的分成办法的，详见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2.4 履约检查和问题反馈</w:t>
      </w:r>
      <w:r/>
    </w:p>
    <w:p>
      <w:pPr>
        <w:ind w:left="695" w:firstLine="480"/>
        <w:spacing w:line="560" w:lineRule="exact"/>
        <w:rPr>
          <w:rFonts w:hint="eastAsia" w:ascii="仿宋" w:hAnsi="仿宋" w:eastAsia="仿宋" w:cs="仿宋"/>
          <w:color w:val="auto"/>
          <w:sz w:val="24"/>
          <w:highlight w:val="none"/>
        </w:rPr>
      </w:pPr>
      <w:r/>
      <w:bookmarkStart w:id="192" w:name="_Ref467379657"/>
      <w:r>
        <w:rPr>
          <w:rFonts w:hint="eastAsia" w:ascii="仿宋" w:hAnsi="仿宋" w:eastAsia="仿宋" w:cs="仿宋"/>
          <w:color w:val="auto"/>
          <w:sz w:val="24"/>
          <w:highlight w:val="none"/>
        </w:rPr>
        <w:t xml:space="preserve">2.4.1</w:t>
      </w:r>
      <w:bookmarkEnd w:id="192"/>
      <w:r/>
      <w:bookmarkStart w:id="193" w:name="_Toc186431854"/>
      <w:r/>
      <w:bookmarkStart w:id="194" w:name="_Toc487900357"/>
      <w:r/>
      <w:bookmarkStart w:id="195" w:name="_Ref467379793"/>
      <w:r/>
      <w:bookmarkStart w:id="196" w:name="_Toc279701247"/>
      <w:r/>
      <w:bookmarkStart w:id="197" w:name="_Ref467379807"/>
      <w:r/>
      <w:bookmarkStart w:id="198" w:name="_Toc259093676"/>
      <w:r>
        <w:rPr>
          <w:rFonts w:hint="eastAsia" w:ascii="仿宋" w:hAnsi="仿宋" w:eastAsia="仿宋" w:cs="仿宋"/>
          <w:color w:val="auto"/>
          <w:sz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2.4.2 合同履行期间，甲方有权将履行过程中出现的问题反馈给乙方，双方当事人应以书面形式约定需要完善和改进的内容</w:t>
      </w:r>
      <w:bookmarkEnd w:id="193"/>
      <w:r/>
      <w:bookmarkStart w:id="199" w:name="_Toc186431855"/>
      <w:r>
        <w:rPr>
          <w:rFonts w:hint="eastAsia" w:ascii="仿宋" w:hAnsi="仿宋" w:eastAsia="仿宋" w:cs="仿宋"/>
          <w:color w:val="auto"/>
          <w:sz w:val="24"/>
          <w:highlight w:val="none"/>
        </w:rPr>
        <w:t xml:space="preserve">。</w:t>
      </w:r>
      <w:bookmarkEnd w:id="199"/>
      <w:r/>
    </w:p>
    <w:p>
      <w:pPr>
        <w:ind w:left="695" w:firstLine="482"/>
        <w:spacing w:line="560" w:lineRule="exact"/>
        <w:rPr>
          <w:rFonts w:hint="eastAsia" w:ascii="仿宋" w:hAnsi="仿宋" w:eastAsia="仿宋" w:cs="仿宋"/>
          <w:b/>
          <w:color w:val="auto"/>
          <w:sz w:val="24"/>
          <w:highlight w:val="none"/>
        </w:rPr>
        <w:outlineLvl w:val="0"/>
      </w:pPr>
      <w:r/>
      <w:bookmarkStart w:id="200" w:name="_Toc32670"/>
      <w:r/>
      <w:bookmarkStart w:id="201" w:name="_Toc15447"/>
      <w:r/>
      <w:bookmarkStart w:id="202" w:name="_Toc26555"/>
      <w:r/>
      <w:bookmarkStart w:id="203" w:name="_Toc22011"/>
      <w:r/>
      <w:bookmarkStart w:id="204" w:name="_Toc31233"/>
      <w:r>
        <w:rPr>
          <w:rFonts w:hint="eastAsia" w:ascii="仿宋" w:hAnsi="仿宋" w:eastAsia="仿宋" w:cs="仿宋"/>
          <w:b/>
          <w:color w:val="auto"/>
          <w:sz w:val="24"/>
          <w:highlight w:val="none"/>
        </w:rPr>
        <w:t xml:space="preserve">2.5 结算方式和付款条件</w:t>
      </w:r>
      <w:bookmarkEnd w:id="194"/>
      <w:r/>
      <w:bookmarkEnd w:id="195"/>
      <w:r/>
      <w:bookmarkEnd w:id="196"/>
      <w:r/>
      <w:bookmarkEnd w:id="197"/>
      <w:r/>
      <w:bookmarkEnd w:id="198"/>
      <w:r/>
      <w:bookmarkEnd w:id="200"/>
      <w:r/>
      <w:bookmarkEnd w:id="201"/>
      <w:r/>
      <w:bookmarkEnd w:id="202"/>
      <w:r/>
      <w:bookmarkEnd w:id="203"/>
      <w:r/>
      <w:bookmarkEnd w:id="204"/>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205" w:name="_Ref467379863"/>
      <w:r/>
      <w:bookmarkStart w:id="206" w:name="_Toc279701248"/>
      <w:r/>
      <w:bookmarkStart w:id="207" w:name="_Toc487900358"/>
      <w:r/>
      <w:bookmarkStart w:id="208" w:name="_Ref467379923"/>
      <w:r/>
      <w:bookmarkStart w:id="209" w:name="_Ref467379852"/>
      <w:r/>
      <w:bookmarkStart w:id="210" w:name="_Toc259093677"/>
      <w:r/>
      <w:bookmarkStart w:id="211" w:name="_Toc13154"/>
      <w:r/>
      <w:bookmarkStart w:id="212" w:name="_Toc30507"/>
      <w:r/>
      <w:bookmarkStart w:id="213" w:name="_Toc13467"/>
      <w:r/>
      <w:bookmarkStart w:id="214" w:name="_Toc16163"/>
      <w:r/>
      <w:bookmarkStart w:id="215" w:name="_Toc18990"/>
      <w:r>
        <w:rPr>
          <w:rFonts w:hint="eastAsia" w:ascii="仿宋" w:hAnsi="仿宋" w:eastAsia="仿宋" w:cs="仿宋"/>
          <w:b/>
          <w:color w:val="auto"/>
          <w:sz w:val="24"/>
          <w:highlight w:val="none"/>
        </w:rPr>
        <w:t xml:space="preserve">2.6 技术资料</w:t>
      </w:r>
      <w:bookmarkEnd w:id="205"/>
      <w:r/>
      <w:bookmarkEnd w:id="206"/>
      <w:r/>
      <w:bookmarkEnd w:id="207"/>
      <w:r/>
      <w:bookmarkEnd w:id="208"/>
      <w:r/>
      <w:bookmarkEnd w:id="209"/>
      <w:r/>
      <w:bookmarkEnd w:id="210"/>
      <w:r>
        <w:rPr>
          <w:rFonts w:hint="eastAsia" w:ascii="仿宋" w:hAnsi="仿宋" w:eastAsia="仿宋" w:cs="仿宋"/>
          <w:b/>
          <w:color w:val="auto"/>
          <w:sz w:val="24"/>
          <w:highlight w:val="none"/>
        </w:rPr>
        <w:t xml:space="preserve">和保密义务</w:t>
      </w:r>
      <w:bookmarkEnd w:id="211"/>
      <w:r/>
      <w:bookmarkEnd w:id="212"/>
      <w:r/>
      <w:bookmarkEnd w:id="213"/>
      <w:r/>
      <w:bookmarkEnd w:id="214"/>
      <w:r/>
      <w:bookmarkEnd w:id="215"/>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2.6.1 乙方有权依据合同约定和项目需要，向甲方了解有关情况，调阅有关资料等，甲方应予积极配合；</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2.6.2 乙方有义务妥善保管和保护由甲方提供的前款信息和资料等；</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left="695" w:firstLine="482"/>
        <w:spacing w:line="560" w:lineRule="exact"/>
        <w:rPr>
          <w:rFonts w:hint="eastAsia" w:ascii="仿宋" w:hAnsi="仿宋" w:eastAsia="仿宋" w:cs="仿宋"/>
          <w:b/>
          <w:color w:val="auto"/>
          <w:sz w:val="24"/>
          <w:highlight w:val="none"/>
        </w:rPr>
        <w:outlineLvl w:val="0"/>
      </w:pPr>
      <w:r/>
      <w:bookmarkStart w:id="216" w:name="_Toc19069"/>
      <w:r/>
      <w:bookmarkStart w:id="217" w:name="_Toc279701252"/>
      <w:r/>
      <w:bookmarkStart w:id="218" w:name="_Toc259093681"/>
      <w:r/>
      <w:bookmarkStart w:id="219" w:name="_Toc487900362"/>
      <w:r>
        <w:rPr>
          <w:rFonts w:hint="eastAsia" w:ascii="仿宋" w:hAnsi="仿宋" w:eastAsia="仿宋" w:cs="仿宋"/>
          <w:b/>
          <w:color w:val="auto"/>
          <w:sz w:val="24"/>
          <w:highlight w:val="none"/>
        </w:rPr>
        <w:t xml:space="preserve">2.7 质量保证</w:t>
      </w:r>
      <w:bookmarkEnd w:id="216"/>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 乙方应建立和完善履行合同的内部质量保证体系，并提供相关内部规章制度给甲方，以便甲方进行监督检查；</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2.7.2 乙方应保证履行合同的人员数量和素质、软件和硬件设备的配置、场地、环境和设施等满足全面履行合同的要求，并应接受甲方的监督检查。</w:t>
      </w:r>
      <w:r/>
    </w:p>
    <w:p>
      <w:pPr>
        <w:ind w:left="695" w:firstLine="482"/>
        <w:spacing w:line="560" w:lineRule="exact"/>
        <w:rPr>
          <w:rFonts w:hint="eastAsia" w:ascii="仿宋" w:hAnsi="仿宋" w:eastAsia="仿宋" w:cs="仿宋"/>
          <w:b/>
          <w:color w:val="auto"/>
          <w:sz w:val="24"/>
          <w:highlight w:val="none"/>
        </w:rPr>
        <w:outlineLvl w:val="0"/>
      </w:pPr>
      <w:r/>
      <w:bookmarkStart w:id="220" w:name="_Toc22267"/>
      <w:r>
        <w:rPr>
          <w:rFonts w:hint="eastAsia" w:ascii="仿宋" w:hAnsi="仿宋" w:eastAsia="仿宋" w:cs="仿宋"/>
          <w:b/>
          <w:color w:val="auto"/>
          <w:sz w:val="24"/>
          <w:highlight w:val="none"/>
        </w:rPr>
        <w:t xml:space="preserve">2.8 延迟</w:t>
      </w:r>
      <w:bookmarkEnd w:id="217"/>
      <w:r/>
      <w:bookmarkEnd w:id="218"/>
      <w:r/>
      <w:bookmarkEnd w:id="219"/>
      <w:r>
        <w:rPr>
          <w:rFonts w:hint="eastAsia" w:ascii="仿宋" w:hAnsi="仿宋" w:eastAsia="仿宋" w:cs="仿宋"/>
          <w:b/>
          <w:color w:val="auto"/>
          <w:sz w:val="24"/>
          <w:highlight w:val="none"/>
        </w:rPr>
        <w:t xml:space="preserve">履行</w:t>
      </w:r>
      <w:bookmarkEnd w:id="22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left="695" w:firstLine="482"/>
        <w:spacing w:line="560" w:lineRule="exact"/>
        <w:rPr>
          <w:rFonts w:hint="eastAsia" w:ascii="仿宋" w:hAnsi="仿宋" w:eastAsia="仿宋" w:cs="仿宋"/>
          <w:b/>
          <w:color w:val="auto"/>
          <w:sz w:val="24"/>
          <w:highlight w:val="none"/>
        </w:rPr>
        <w:outlineLvl w:val="0"/>
      </w:pPr>
      <w:r/>
      <w:bookmarkStart w:id="221" w:name="_Toc10611"/>
      <w:r/>
      <w:bookmarkStart w:id="222" w:name="_Toc279701254"/>
      <w:r/>
      <w:bookmarkStart w:id="223" w:name="_Ref467378121"/>
      <w:r/>
      <w:bookmarkStart w:id="224" w:name="_Toc259093683"/>
      <w:r/>
      <w:bookmarkStart w:id="225" w:name="_Toc487900364"/>
      <w:r>
        <w:rPr>
          <w:rFonts w:hint="eastAsia" w:ascii="仿宋" w:hAnsi="仿宋" w:eastAsia="仿宋" w:cs="仿宋"/>
          <w:b/>
          <w:color w:val="auto"/>
          <w:sz w:val="24"/>
          <w:highlight w:val="none"/>
        </w:rPr>
        <w:t xml:space="preserve">2.9 合同变更</w:t>
      </w:r>
      <w:bookmarkEnd w:id="221"/>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26" w:name="_Toc487900369"/>
      <w:r/>
      <w:bookmarkStart w:id="227" w:name="_Toc279701259"/>
      <w:r/>
      <w:bookmarkStart w:id="228" w:name="_Toc259093688"/>
      <w:r/>
      <w:r/>
    </w:p>
    <w:p>
      <w:pPr>
        <w:ind w:left="695" w:firstLine="482"/>
        <w:spacing w:line="560" w:lineRule="exact"/>
        <w:rPr>
          <w:rFonts w:hint="eastAsia" w:ascii="仿宋" w:hAnsi="仿宋" w:eastAsia="仿宋" w:cs="仿宋"/>
          <w:b/>
          <w:color w:val="auto"/>
          <w:sz w:val="24"/>
          <w:highlight w:val="none"/>
        </w:rPr>
        <w:outlineLvl w:val="0"/>
      </w:pPr>
      <w:r/>
      <w:bookmarkStart w:id="229" w:name="_Toc42"/>
      <w:r/>
      <w:bookmarkStart w:id="230" w:name="_Toc23368"/>
      <w:r/>
      <w:bookmarkStart w:id="231" w:name="_Toc10663"/>
      <w:r/>
      <w:bookmarkStart w:id="232" w:name="_Toc26689"/>
      <w:r/>
      <w:bookmarkStart w:id="233" w:name="_Toc21830"/>
      <w:r>
        <w:rPr>
          <w:rFonts w:hint="eastAsia" w:ascii="仿宋" w:hAnsi="仿宋" w:eastAsia="仿宋" w:cs="仿宋"/>
          <w:b/>
          <w:color w:val="auto"/>
          <w:sz w:val="24"/>
          <w:highlight w:val="none"/>
        </w:rPr>
        <w:t xml:space="preserve">2.10 合同转让</w:t>
      </w:r>
      <w:bookmarkEnd w:id="226"/>
      <w:r/>
      <w:bookmarkEnd w:id="227"/>
      <w:r/>
      <w:bookmarkEnd w:id="228"/>
      <w:r>
        <w:rPr>
          <w:rFonts w:hint="eastAsia" w:ascii="仿宋" w:hAnsi="仿宋" w:eastAsia="仿宋" w:cs="仿宋"/>
          <w:b/>
          <w:color w:val="auto"/>
          <w:sz w:val="24"/>
          <w:highlight w:val="none"/>
        </w:rPr>
        <w:t xml:space="preserve">和分包</w:t>
      </w:r>
      <w:bookmarkEnd w:id="229"/>
      <w:r/>
      <w:bookmarkEnd w:id="230"/>
      <w:r/>
      <w:bookmarkEnd w:id="231"/>
      <w:r/>
      <w:bookmarkEnd w:id="232"/>
      <w:r/>
      <w:bookmarkEnd w:id="233"/>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left="695" w:firstLine="482"/>
        <w:spacing w:line="560" w:lineRule="exact"/>
        <w:rPr>
          <w:rFonts w:hint="eastAsia" w:ascii="仿宋" w:hAnsi="仿宋" w:eastAsia="仿宋" w:cs="仿宋"/>
          <w:b/>
          <w:color w:val="auto"/>
          <w:sz w:val="24"/>
          <w:highlight w:val="none"/>
        </w:rPr>
        <w:outlineLvl w:val="0"/>
      </w:pPr>
      <w:r/>
      <w:bookmarkStart w:id="234" w:name="_Toc26633"/>
      <w:r/>
      <w:bookmarkStart w:id="235" w:name="_Toc25571"/>
      <w:r/>
      <w:bookmarkStart w:id="236" w:name="_Toc32494"/>
      <w:r/>
      <w:bookmarkStart w:id="237" w:name="_Toc4720"/>
      <w:r/>
      <w:bookmarkStart w:id="238" w:name="_Toc14371"/>
      <w:r>
        <w:rPr>
          <w:rFonts w:hint="eastAsia" w:ascii="仿宋" w:hAnsi="仿宋" w:eastAsia="仿宋" w:cs="仿宋"/>
          <w:b/>
          <w:color w:val="auto"/>
          <w:sz w:val="24"/>
          <w:highlight w:val="none"/>
        </w:rPr>
        <w:t xml:space="preserve">2.11 不可抗力</w:t>
      </w:r>
      <w:bookmarkEnd w:id="234"/>
      <w:r/>
      <w:bookmarkEnd w:id="235"/>
      <w:r/>
      <w:bookmarkEnd w:id="236"/>
      <w:r/>
      <w:bookmarkEnd w:id="237"/>
      <w:r/>
      <w:bookmarkEnd w:id="238"/>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2.11.1如果任何一方遭遇法律规定的不可抗力，致使合同履行受阻时，履行合同的期限应予延长，延长的期限应相当于不可抗力所影响的时间；</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2.11.2 因不可抗力致使不能实现合同目的的，当事人可以解除合同；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2.11.3 因不可抗力致使合同有变更必要的，双方当事人应在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约定时间内以书面形式变更合同；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2.11.4受不可抗力影响的一方在不可抗力发生后，应在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约定时间内以书面形式通知对方当事人，并在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约定时间内，将有关部门出具的证明文件送达对方当事人。</w:t>
      </w:r>
      <w:r/>
    </w:p>
    <w:p>
      <w:pPr>
        <w:ind w:left="695" w:firstLine="482"/>
        <w:spacing w:line="560" w:lineRule="exact"/>
        <w:rPr>
          <w:rFonts w:hint="eastAsia" w:ascii="仿宋" w:hAnsi="仿宋" w:eastAsia="仿宋" w:cs="仿宋"/>
          <w:b/>
          <w:color w:val="auto"/>
          <w:sz w:val="24"/>
          <w:highlight w:val="none"/>
        </w:rPr>
        <w:outlineLvl w:val="0"/>
      </w:pPr>
      <w:r/>
      <w:bookmarkStart w:id="239" w:name="_Toc24465"/>
      <w:r/>
      <w:bookmarkStart w:id="240" w:name="_Toc3638"/>
      <w:r/>
      <w:bookmarkStart w:id="241" w:name="_Toc23854"/>
      <w:r/>
      <w:bookmarkStart w:id="242" w:name="_Toc259093684"/>
      <w:r/>
      <w:bookmarkStart w:id="243" w:name="_Toc14115"/>
      <w:r/>
      <w:bookmarkStart w:id="244" w:name="_Toc25783"/>
      <w:r/>
      <w:bookmarkStart w:id="245" w:name="_Toc487900365"/>
      <w:r/>
      <w:bookmarkStart w:id="246" w:name="_Toc279701255"/>
      <w:r>
        <w:rPr>
          <w:rFonts w:hint="eastAsia" w:ascii="仿宋" w:hAnsi="仿宋" w:eastAsia="仿宋" w:cs="仿宋"/>
          <w:b/>
          <w:color w:val="auto"/>
          <w:sz w:val="24"/>
          <w:highlight w:val="none"/>
        </w:rPr>
        <w:t xml:space="preserve">2.12 税费</w:t>
      </w:r>
      <w:bookmarkEnd w:id="239"/>
      <w:r/>
      <w:bookmarkEnd w:id="240"/>
      <w:r/>
      <w:bookmarkEnd w:id="241"/>
      <w:r/>
      <w:bookmarkEnd w:id="242"/>
      <w:r/>
      <w:bookmarkEnd w:id="243"/>
      <w:r/>
      <w:bookmarkEnd w:id="244"/>
      <w:r/>
      <w:bookmarkEnd w:id="245"/>
      <w:r/>
      <w:bookmarkEnd w:id="246"/>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与合同有关的一切税费，均按照中华人民共和国法律的相关规定缴纳。</w:t>
      </w:r>
      <w:r/>
    </w:p>
    <w:p>
      <w:pPr>
        <w:ind w:left="695" w:firstLine="482"/>
        <w:spacing w:line="560" w:lineRule="exact"/>
        <w:rPr>
          <w:rFonts w:hint="eastAsia" w:ascii="仿宋" w:hAnsi="仿宋" w:eastAsia="仿宋" w:cs="仿宋"/>
          <w:b/>
          <w:color w:val="auto"/>
          <w:sz w:val="24"/>
          <w:highlight w:val="none"/>
        </w:rPr>
        <w:outlineLvl w:val="0"/>
      </w:pPr>
      <w:r/>
      <w:bookmarkStart w:id="247" w:name="_Toc30105"/>
      <w:r/>
      <w:bookmarkStart w:id="248" w:name="_Toc14814"/>
      <w:r/>
      <w:bookmarkStart w:id="249" w:name="_Toc259093687"/>
      <w:r/>
      <w:bookmarkStart w:id="250" w:name="_Toc487900368"/>
      <w:r/>
      <w:bookmarkStart w:id="251" w:name="_Toc25525"/>
      <w:r/>
      <w:bookmarkStart w:id="252" w:name="_Toc279701258"/>
      <w:r/>
      <w:bookmarkStart w:id="253" w:name="_Toc26883"/>
      <w:r/>
      <w:bookmarkStart w:id="254" w:name="_Toc7315"/>
      <w:r>
        <w:rPr>
          <w:rFonts w:hint="eastAsia" w:ascii="仿宋" w:hAnsi="仿宋" w:eastAsia="仿宋" w:cs="仿宋"/>
          <w:b/>
          <w:color w:val="auto"/>
          <w:sz w:val="24"/>
          <w:highlight w:val="none"/>
        </w:rPr>
        <w:t xml:space="preserve">2.13 乙方破产</w:t>
      </w:r>
      <w:bookmarkEnd w:id="247"/>
      <w:r/>
      <w:bookmarkEnd w:id="248"/>
      <w:r/>
      <w:bookmarkEnd w:id="249"/>
      <w:r/>
      <w:bookmarkEnd w:id="250"/>
      <w:r/>
      <w:bookmarkEnd w:id="251"/>
      <w:r/>
      <w:bookmarkEnd w:id="252"/>
      <w:r/>
      <w:bookmarkEnd w:id="253"/>
      <w:r/>
      <w:bookmarkEnd w:id="254"/>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left="695" w:firstLine="482"/>
        <w:spacing w:line="560" w:lineRule="exact"/>
        <w:rPr>
          <w:rFonts w:hint="eastAsia" w:ascii="仿宋" w:hAnsi="仿宋" w:eastAsia="仿宋" w:cs="仿宋"/>
          <w:b/>
          <w:color w:val="auto"/>
          <w:sz w:val="24"/>
          <w:highlight w:val="none"/>
        </w:rPr>
        <w:outlineLvl w:val="0"/>
      </w:pPr>
      <w:r/>
      <w:bookmarkStart w:id="255" w:name="_Toc23323"/>
      <w:r/>
      <w:bookmarkStart w:id="256" w:name="_Toc2016"/>
      <w:r/>
      <w:bookmarkStart w:id="257" w:name="_Toc1123"/>
      <w:r>
        <w:rPr>
          <w:rFonts w:hint="eastAsia" w:ascii="仿宋" w:hAnsi="仿宋" w:eastAsia="仿宋" w:cs="仿宋"/>
          <w:b/>
          <w:color w:val="auto"/>
          <w:sz w:val="24"/>
          <w:highlight w:val="none"/>
        </w:rPr>
        <w:t xml:space="preserve">2.14 合同中止、终止</w:t>
      </w:r>
      <w:bookmarkEnd w:id="255"/>
      <w:r/>
      <w:bookmarkEnd w:id="256"/>
      <w:r/>
      <w:bookmarkEnd w:id="257"/>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2.14.1 双方当事人不得擅自中止或者终止合同；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left="695" w:firstLine="482"/>
        <w:spacing w:line="560" w:lineRule="exact"/>
        <w:rPr>
          <w:rFonts w:hint="eastAsia" w:ascii="仿宋" w:hAnsi="仿宋" w:eastAsia="仿宋" w:cs="仿宋"/>
          <w:b/>
          <w:color w:val="auto"/>
          <w:sz w:val="24"/>
          <w:highlight w:val="none"/>
        </w:rPr>
        <w:outlineLvl w:val="0"/>
      </w:pPr>
      <w:r/>
      <w:bookmarkStart w:id="258" w:name="_Toc14525"/>
      <w:r/>
      <w:bookmarkStart w:id="259" w:name="_Toc17363"/>
      <w:r/>
      <w:bookmarkStart w:id="260" w:name="_Toc1969"/>
      <w:r>
        <w:rPr>
          <w:rFonts w:hint="eastAsia" w:ascii="仿宋" w:hAnsi="仿宋" w:eastAsia="仿宋" w:cs="仿宋"/>
          <w:b/>
          <w:color w:val="auto"/>
          <w:sz w:val="24"/>
          <w:highlight w:val="none"/>
        </w:rPr>
        <w:t xml:space="preserve">2.15 检验和验收</w:t>
      </w:r>
      <w:bookmarkEnd w:id="258"/>
      <w:r/>
      <w:bookmarkEnd w:id="259"/>
      <w:r/>
      <w:bookmarkEnd w:id="260"/>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2.15.1 乙方按照</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的约定，定期提交服务报告，甲方按照</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的约定进行定期验收；</w:t>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2.15.3 检验和验收标准、程序等具体内容以及前述验收书的效力详见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i/>
          <w:color w:val="auto"/>
          <w:sz w:val="24"/>
          <w:highlight w:val="none"/>
        </w:rPr>
        <w:t xml:space="preserve">。</w:t>
      </w:r>
      <w:bookmarkEnd w:id="222"/>
      <w:bookmarkEnd w:id="223"/>
      <w:bookmarkEnd w:id="224"/>
      <w:bookmarkEnd w:id="225"/>
      <w:r/>
    </w:p>
    <w:p>
      <w:pPr>
        <w:ind w:left="695" w:firstLine="482"/>
        <w:spacing w:line="560" w:lineRule="exact"/>
        <w:rPr>
          <w:rFonts w:hint="eastAsia" w:ascii="仿宋" w:hAnsi="仿宋" w:eastAsia="仿宋" w:cs="仿宋"/>
          <w:b/>
          <w:color w:val="auto"/>
          <w:sz w:val="24"/>
          <w:highlight w:val="none"/>
        </w:rPr>
        <w:outlineLvl w:val="0"/>
      </w:pPr>
      <w:r/>
      <w:bookmarkStart w:id="261" w:name="_Toc279701261"/>
      <w:r/>
      <w:bookmarkStart w:id="262" w:name="_Toc487900371"/>
      <w:r/>
      <w:bookmarkStart w:id="263" w:name="_Toc259093690"/>
      <w:r/>
      <w:bookmarkStart w:id="264" w:name="_Toc25198"/>
      <w:r/>
      <w:bookmarkStart w:id="265" w:name="_Toc2308"/>
      <w:r/>
      <w:bookmarkStart w:id="266" w:name="_Toc31892"/>
      <w:r/>
      <w:bookmarkStart w:id="267" w:name="_Toc12666"/>
      <w:r/>
      <w:bookmarkStart w:id="268" w:name="_Toc9808"/>
      <w:r>
        <w:rPr>
          <w:rFonts w:hint="eastAsia" w:ascii="仿宋" w:hAnsi="仿宋" w:eastAsia="仿宋" w:cs="仿宋"/>
          <w:b/>
          <w:color w:val="auto"/>
          <w:sz w:val="24"/>
          <w:highlight w:val="none"/>
        </w:rPr>
        <w:t xml:space="preserve">2.16 通知</w:t>
      </w:r>
      <w:bookmarkEnd w:id="261"/>
      <w:r/>
      <w:bookmarkEnd w:id="262"/>
      <w:r/>
      <w:bookmarkEnd w:id="263"/>
      <w:r>
        <w:rPr>
          <w:rFonts w:hint="eastAsia" w:ascii="仿宋" w:hAnsi="仿宋" w:eastAsia="仿宋" w:cs="仿宋"/>
          <w:b/>
          <w:color w:val="auto"/>
          <w:sz w:val="24"/>
          <w:highlight w:val="none"/>
        </w:rPr>
        <w:t xml:space="preserve">和送达</w:t>
      </w:r>
      <w:bookmarkEnd w:id="264"/>
      <w:r/>
      <w:bookmarkEnd w:id="265"/>
      <w:r/>
      <w:bookmarkEnd w:id="266"/>
      <w:r/>
      <w:bookmarkEnd w:id="267"/>
      <w:r/>
      <w:bookmarkEnd w:id="268"/>
      <w:r/>
      <w:r/>
    </w:p>
    <w:p>
      <w:pPr>
        <w:ind w:left="695" w:firstLine="480"/>
        <w:spacing w:line="560" w:lineRule="exact"/>
        <w:rPr>
          <w:rFonts w:hint="eastAsia" w:ascii="仿宋" w:hAnsi="仿宋" w:eastAsia="仿宋" w:cs="仿宋"/>
          <w:color w:val="auto"/>
          <w:sz w:val="24"/>
          <w:highlight w:val="none"/>
        </w:rPr>
      </w:pPr>
      <w:r/>
      <w:bookmarkStart w:id="269" w:name="_Toc29220"/>
      <w:r/>
      <w:bookmarkStart w:id="270" w:name="_Toc7073"/>
      <w:r/>
      <w:bookmarkStart w:id="271" w:name="_Toc259093691"/>
      <w:r/>
      <w:bookmarkStart w:id="272" w:name="_Toc487900372"/>
      <w:r/>
      <w:bookmarkStart w:id="273" w:name="_Toc279701262"/>
      <w:r>
        <w:rPr>
          <w:rFonts w:hint="eastAsia" w:ascii="仿宋" w:hAnsi="仿宋" w:eastAsia="仿宋" w:cs="仿宋"/>
          <w:color w:val="auto"/>
          <w:sz w:val="24"/>
          <w:highlight w:val="none"/>
        </w:rPr>
        <w:t xml:space="preserve">2.16.1 任何一方因履行合同而以合同第一部分尾部所列明的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发出的所有通知、文件、材料，均视为已向对方当事人送达；任何一方变更上述送达方式或者地址的，应于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个工作日内书面通知对方当事人，在对方当事人收到有关变更通知之前，变更前的约定送达方式或者地址仍视为有效。</w:t>
      </w:r>
      <w:bookmarkEnd w:id="269"/>
      <w:r/>
      <w:bookmarkEnd w:id="270"/>
      <w:r/>
      <w:r/>
    </w:p>
    <w:p>
      <w:pPr>
        <w:ind w:left="695" w:firstLine="480"/>
        <w:spacing w:line="560" w:lineRule="exact"/>
        <w:rPr>
          <w:rFonts w:hint="eastAsia" w:ascii="仿宋" w:hAnsi="仿宋" w:eastAsia="仿宋" w:cs="仿宋"/>
          <w:color w:val="auto"/>
          <w:sz w:val="24"/>
          <w:highlight w:val="none"/>
        </w:rPr>
      </w:pPr>
      <w:r/>
      <w:bookmarkStart w:id="274" w:name="_Toc18401"/>
      <w:r/>
      <w:bookmarkStart w:id="275" w:name="_Toc27674"/>
      <w:r>
        <w:rPr>
          <w:rFonts w:hint="eastAsia" w:ascii="仿宋" w:hAnsi="仿宋" w:eastAsia="仿宋" w:cs="仿宋"/>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4"/>
      <w:r/>
      <w:bookmarkEnd w:id="275"/>
      <w:r/>
      <w:bookmarkEnd w:id="271"/>
      <w:bookmarkEnd w:id="272"/>
      <w:bookmarkEnd w:id="273"/>
      <w:r/>
    </w:p>
    <w:p>
      <w:pPr>
        <w:ind w:left="695" w:firstLine="482"/>
        <w:spacing w:line="560" w:lineRule="exact"/>
        <w:rPr>
          <w:rFonts w:hint="eastAsia" w:ascii="仿宋" w:hAnsi="仿宋" w:eastAsia="仿宋" w:cs="仿宋"/>
          <w:b/>
          <w:color w:val="auto"/>
          <w:sz w:val="24"/>
          <w:highlight w:val="none"/>
        </w:rPr>
        <w:outlineLvl w:val="0"/>
      </w:pPr>
      <w:r/>
      <w:bookmarkStart w:id="276" w:name="_Toc5063"/>
      <w:r/>
      <w:bookmarkStart w:id="277" w:name="_Toc487900373"/>
      <w:r/>
      <w:bookmarkStart w:id="278" w:name="_Toc12254"/>
      <w:r/>
      <w:bookmarkStart w:id="279" w:name="_Toc28906"/>
      <w:r/>
      <w:bookmarkStart w:id="280" w:name="_Toc27644"/>
      <w:r/>
      <w:bookmarkStart w:id="281" w:name="_Toc279701263"/>
      <w:r/>
      <w:bookmarkStart w:id="282" w:name="_Toc20808"/>
      <w:r/>
      <w:bookmarkStart w:id="283" w:name="_Toc259093692"/>
      <w:r>
        <w:rPr>
          <w:rFonts w:hint="eastAsia" w:ascii="仿宋" w:hAnsi="仿宋" w:eastAsia="仿宋" w:cs="仿宋"/>
          <w:b/>
          <w:color w:val="auto"/>
          <w:sz w:val="24"/>
          <w:highlight w:val="none"/>
        </w:rPr>
        <w:t xml:space="preserve">2.17 合同使用的文字和适用的法律</w:t>
      </w:r>
      <w:bookmarkEnd w:id="276"/>
      <w:r/>
      <w:bookmarkEnd w:id="277"/>
      <w:r/>
      <w:bookmarkEnd w:id="278"/>
      <w:r/>
      <w:bookmarkEnd w:id="279"/>
      <w:r/>
      <w:bookmarkEnd w:id="280"/>
      <w:r/>
      <w:bookmarkEnd w:id="281"/>
      <w:r/>
      <w:bookmarkEnd w:id="282"/>
      <w:r/>
      <w:bookmarkEnd w:id="283"/>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2.17.1 合同使用汉语书就、变更和解释；</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2.17.2 合同适用中华人民共和国法律。</w:t>
      </w:r>
      <w:r/>
    </w:p>
    <w:p>
      <w:pPr>
        <w:ind w:left="695" w:firstLine="482"/>
        <w:spacing w:line="560" w:lineRule="exact"/>
        <w:rPr>
          <w:rFonts w:hint="eastAsia" w:ascii="仿宋" w:hAnsi="仿宋" w:eastAsia="仿宋" w:cs="仿宋"/>
          <w:b/>
          <w:color w:val="auto"/>
          <w:sz w:val="24"/>
          <w:highlight w:val="none"/>
        </w:rPr>
        <w:outlineLvl w:val="0"/>
      </w:pPr>
      <w:r/>
      <w:bookmarkStart w:id="284" w:name="_Toc27127"/>
      <w:r/>
      <w:bookmarkStart w:id="285" w:name="_Toc1492"/>
      <w:r/>
      <w:bookmarkStart w:id="286" w:name="_Toc22266"/>
      <w:r/>
      <w:bookmarkStart w:id="287" w:name="_Toc259093693"/>
      <w:r/>
      <w:bookmarkStart w:id="288" w:name="_Toc27403"/>
      <w:r/>
      <w:bookmarkStart w:id="289" w:name="_Toc279701264"/>
      <w:r/>
      <w:bookmarkStart w:id="290" w:name="_Toc30096"/>
      <w:r/>
      <w:bookmarkStart w:id="291" w:name="_Toc487900374"/>
      <w:r>
        <w:rPr>
          <w:rFonts w:hint="eastAsia" w:ascii="仿宋" w:hAnsi="仿宋" w:eastAsia="仿宋" w:cs="仿宋"/>
          <w:b/>
          <w:color w:val="auto"/>
          <w:sz w:val="24"/>
          <w:highlight w:val="none"/>
        </w:rPr>
        <w:t xml:space="preserve">2.18 履约保证金</w:t>
      </w:r>
      <w:bookmarkEnd w:id="284"/>
      <w:r/>
      <w:bookmarkEnd w:id="285"/>
      <w:r/>
      <w:bookmarkEnd w:id="286"/>
      <w:r/>
      <w:bookmarkEnd w:id="287"/>
      <w:r/>
      <w:bookmarkEnd w:id="288"/>
      <w:r/>
      <w:bookmarkEnd w:id="289"/>
      <w:r/>
      <w:bookmarkEnd w:id="29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2.18.1 采购文件要求乙方提交履约保证金的，乙方应按</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约定的方式，以支票、汇票、本票或者金融机构、担保机构出具的</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无任何附件条件见索即付的保函</w:t>
      </w:r>
      <w:r>
        <w:rPr>
          <w:rFonts w:hint="eastAsia" w:ascii="仿宋" w:hAnsi="仿宋" w:eastAsia="仿宋" w:cs="仿宋"/>
          <w:b/>
          <w:bCs/>
          <w:color w:val="auto"/>
          <w:sz w:val="24"/>
          <w:highlight w:val="none"/>
          <w:lang w:eastAsia="zh-CN"/>
        </w:rPr>
        <w:t xml:space="preserve">）</w:t>
      </w:r>
      <w:r>
        <w:rPr>
          <w:rFonts w:hint="eastAsia" w:ascii="仿宋" w:hAnsi="仿宋" w:eastAsia="仿宋" w:cs="仿宋"/>
          <w:color w:val="auto"/>
          <w:sz w:val="24"/>
          <w:highlight w:val="none"/>
        </w:rPr>
        <w:t xml:space="preserve">保函等形式，提交不超过合同价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的履约保证金；</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2.18.2 履约保证金在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约定期间内不予退还或者应完全有效，前述约定期间届满之日起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个工作日内，甲方应将履约保证金退还乙方；</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91"/>
      <w:r/>
    </w:p>
    <w:p>
      <w:pPr>
        <w:ind w:left="695" w:firstLine="482"/>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2.19 合同份数</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合同份数按</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规定，每份均具有同等法律效力。</w:t>
      </w:r>
      <w:r/>
    </w:p>
    <w:p>
      <w:pPr>
        <w:pStyle w:val="945"/>
        <w:ind w:left="695" w:firstLine="400"/>
        <w:jc w:val="center"/>
        <w:spacing w:line="560" w:lineRule="exact"/>
        <w:rPr>
          <w:rFonts w:hint="eastAsia" w:ascii="仿宋" w:hAnsi="仿宋" w:eastAsia="仿宋" w:cs="仿宋"/>
          <w:b/>
          <w:color w:val="auto"/>
          <w:szCs w:val="24"/>
          <w:highlight w:val="none"/>
        </w:rPr>
      </w:pPr>
      <w:r>
        <w:rPr>
          <w:rFonts w:hint="eastAsia" w:ascii="仿宋" w:hAnsi="仿宋" w:eastAsia="仿宋" w:cs="仿宋"/>
          <w:color w:val="auto"/>
          <w:szCs w:val="24"/>
          <w:highlight w:val="none"/>
        </w:rPr>
        <w:br w:type="page" w:clear="all"/>
      </w:r>
      <w:bookmarkStart w:id="292" w:name="_Toc331685784"/>
      <w:r>
        <w:rPr>
          <w:rFonts w:hint="eastAsia" w:ascii="仿宋" w:hAnsi="仿宋" w:eastAsia="仿宋" w:cs="仿宋"/>
          <w:b/>
          <w:color w:val="auto"/>
          <w:szCs w:val="24"/>
          <w:highlight w:val="none"/>
        </w:rPr>
        <w:t xml:space="preserve">第三部分  合同专用条款</w:t>
      </w:r>
      <w:bookmarkEnd w:id="292"/>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74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33"/>
      </w:tblGrid>
      <w:tr>
        <w:trPr>
          <w:jc w:val="center"/>
          <w:trHeight w:val="391"/>
        </w:trPr>
        <w:tc>
          <w:tcPr>
            <w:tcBorders>
              <w:left w:val="single" w:color="auto" w:sz="4" w:space="0"/>
            </w:tcBorders>
            <w:tcW w:w="801" w:type="dxa"/>
            <w:vAlign w:val="center"/>
            <w:textDirection w:val="lrTb"/>
            <w:noWrap w:val="false"/>
          </w:tcPr>
          <w:p>
            <w:pPr>
              <w:jc w:val="both"/>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条款号</w:t>
            </w:r>
            <w:r/>
          </w:p>
        </w:tc>
        <w:tc>
          <w:tcPr>
            <w:tcW w:w="7633" w:type="dxa"/>
            <w:vAlign w:val="center"/>
            <w:textDirection w:val="lrTb"/>
            <w:noWrap w:val="false"/>
          </w:tcPr>
          <w:p>
            <w:pPr>
              <w:ind w:left="695" w:firstLine="0"/>
              <w:jc w:val="center"/>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约定内容</w:t>
            </w:r>
            <w:r/>
          </w:p>
        </w:tc>
      </w:tr>
      <w:tr>
        <w:trPr>
          <w:jc w:val="center"/>
          <w:trHeight w:val="88"/>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7633"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777"/>
        <w:ind w:left="695" w:firstLine="482"/>
        <w:spacing w:line="360" w:lineRule="auto"/>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bidi="ar"/>
        </w:rPr>
        <w:t xml:space="preserve">注释：本合同样本中的条款仅作为双方签订合同的参考，为阐明各方的权利和义务，经协商可增加新的条款。但不得与</w:t>
      </w:r>
      <w:r>
        <w:rPr>
          <w:rFonts w:hint="eastAsia" w:ascii="仿宋" w:hAnsi="仿宋" w:eastAsia="仿宋" w:cs="仿宋"/>
          <w:b/>
          <w:bCs/>
          <w:color w:val="auto"/>
          <w:sz w:val="24"/>
          <w:highlight w:val="none"/>
          <w:u w:val="single"/>
          <w:lang w:val="en-US" w:eastAsia="zh-CN" w:bidi="ar"/>
        </w:rPr>
        <w:t xml:space="preserve">招标</w:t>
      </w:r>
      <w:r>
        <w:rPr>
          <w:rFonts w:hint="eastAsia" w:ascii="仿宋" w:hAnsi="仿宋" w:eastAsia="仿宋" w:cs="仿宋"/>
          <w:b/>
          <w:bCs/>
          <w:color w:val="auto"/>
          <w:sz w:val="24"/>
          <w:highlight w:val="none"/>
          <w:u w:val="single"/>
          <w:lang w:bidi="ar"/>
        </w:rPr>
        <w:t xml:space="preserve">文件、乙方</w:t>
      </w:r>
      <w:r>
        <w:rPr>
          <w:rFonts w:hint="eastAsia" w:ascii="仿宋" w:hAnsi="仿宋" w:eastAsia="仿宋" w:cs="仿宋"/>
          <w:b/>
          <w:bCs/>
          <w:color w:val="auto"/>
          <w:sz w:val="24"/>
          <w:highlight w:val="none"/>
          <w:u w:val="single"/>
          <w:lang w:val="en-US" w:eastAsia="zh-CN" w:bidi="ar"/>
        </w:rPr>
        <w:t xml:space="preserve">投标</w:t>
      </w:r>
      <w:r>
        <w:rPr>
          <w:rFonts w:hint="eastAsia" w:ascii="仿宋" w:hAnsi="仿宋" w:eastAsia="仿宋" w:cs="仿宋"/>
          <w:b/>
          <w:bCs/>
          <w:color w:val="auto"/>
          <w:sz w:val="24"/>
          <w:highlight w:val="none"/>
          <w:u w:val="single"/>
          <w:lang w:bidi="ar"/>
        </w:rPr>
        <w:t xml:space="preserve">文件的实质性内容相背离。</w:t>
      </w:r>
      <w:r/>
    </w:p>
    <w:p>
      <w:pPr>
        <w:ind w:firstLine="2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sectPr>
      <w:headerReference w:type="default" r:id="rId10"/>
      <w:footerReference w:type="default" r:id="rId13"/>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MS Gothic">
    <w:panose1 w:val="020B0609070205080204"/>
  </w:font>
  <w:font w:name="仿宋">
    <w:panose1 w:val="02010609060101010101"/>
  </w:font>
  <w:font w:name="等线">
    <w:panose1 w:val="02010600030101010101"/>
  </w:font>
  <w:font w:name="华文细黑">
    <w:panose1 w:val="02010600040101010101"/>
  </w:font>
  <w:font w:name="Berlin Sans FB">
    <w:panose1 w:val="020E0602020502020306"/>
  </w:font>
  <w:font w:name="Tahoma">
    <w:panose1 w:val="020B0604030504040204"/>
  </w:font>
  <w:font w:name="Symbol">
    <w:panose1 w:val="05050102010706020507"/>
  </w:font>
  <w:font w:name="新宋体">
    <w:panose1 w:val="02010609030101010101"/>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ˎ̥">
    <w:panose1 w:val="020B0503020202020204"/>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66"/>
      <w:spacing w:line="184" w:lineRule="auto"/>
      <w:rPr>
        <w:rFonts w:eastAsia="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2"/>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6</w:t>
                          </w:r>
                          <w:r>
                            <w:rPr>
                              <w:lang w:val="zh-CN"/>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2"/>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6</w:t>
                    </w:r>
                    <w:r>
                      <w:rPr>
                        <w:lang w:val="zh-CN"/>
                      </w:rPr>
                      <w:fldChar w:fldCharType="end"/>
                    </w:r>
                    <w:r/>
                  </w:p>
                </w:txbxContent>
              </v:textbox>
            </v:shape>
          </w:pict>
        </mc:Fallback>
      </mc:AlternateContent>
    </w:r>
    <w:r/>
  </w:p>
  <w:p>
    <w:pPr>
      <w:pStyle w:val="762"/>
      <w:jc w:val="center"/>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right"/>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51"/>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4"/>
    <w:link w:val="735"/>
    <w:uiPriority w:val="9"/>
    <w:rPr>
      <w:rFonts w:ascii="Arial" w:hAnsi="Arial" w:eastAsia="Arial" w:cs="Arial"/>
      <w:sz w:val="40"/>
      <w:szCs w:val="40"/>
    </w:rPr>
  </w:style>
  <w:style w:type="character" w:styleId="15">
    <w:name w:val="Heading 2 Char"/>
    <w:basedOn w:val="744"/>
    <w:link w:val="736"/>
    <w:uiPriority w:val="9"/>
    <w:rPr>
      <w:rFonts w:ascii="Arial" w:hAnsi="Arial" w:eastAsia="Arial" w:cs="Arial"/>
      <w:sz w:val="34"/>
    </w:rPr>
  </w:style>
  <w:style w:type="character" w:styleId="17">
    <w:name w:val="Heading 3 Char"/>
    <w:basedOn w:val="744"/>
    <w:link w:val="737"/>
    <w:uiPriority w:val="9"/>
    <w:rPr>
      <w:rFonts w:ascii="Arial" w:hAnsi="Arial" w:eastAsia="Arial" w:cs="Arial"/>
      <w:sz w:val="30"/>
      <w:szCs w:val="30"/>
    </w:rPr>
  </w:style>
  <w:style w:type="character" w:styleId="19">
    <w:name w:val="Heading 4 Char"/>
    <w:basedOn w:val="744"/>
    <w:link w:val="738"/>
    <w:uiPriority w:val="9"/>
    <w:rPr>
      <w:rFonts w:ascii="Arial" w:hAnsi="Arial" w:eastAsia="Arial" w:cs="Arial"/>
      <w:b/>
      <w:bCs/>
      <w:sz w:val="26"/>
      <w:szCs w:val="26"/>
    </w:rPr>
  </w:style>
  <w:style w:type="character" w:styleId="21">
    <w:name w:val="Heading 5 Char"/>
    <w:basedOn w:val="744"/>
    <w:link w:val="739"/>
    <w:uiPriority w:val="9"/>
    <w:rPr>
      <w:rFonts w:ascii="Arial" w:hAnsi="Arial" w:eastAsia="Arial" w:cs="Arial"/>
      <w:b/>
      <w:bCs/>
      <w:sz w:val="24"/>
      <w:szCs w:val="24"/>
    </w:rPr>
  </w:style>
  <w:style w:type="character" w:styleId="23">
    <w:name w:val="Heading 6 Char"/>
    <w:basedOn w:val="744"/>
    <w:link w:val="740"/>
    <w:uiPriority w:val="9"/>
    <w:rPr>
      <w:rFonts w:ascii="Arial" w:hAnsi="Arial" w:eastAsia="Arial" w:cs="Arial"/>
      <w:b/>
      <w:bCs/>
      <w:sz w:val="22"/>
      <w:szCs w:val="22"/>
    </w:rPr>
  </w:style>
  <w:style w:type="character" w:styleId="25">
    <w:name w:val="Heading 7 Char"/>
    <w:basedOn w:val="744"/>
    <w:link w:val="741"/>
    <w:uiPriority w:val="9"/>
    <w:rPr>
      <w:rFonts w:ascii="Arial" w:hAnsi="Arial" w:eastAsia="Arial" w:cs="Arial"/>
      <w:b/>
      <w:bCs/>
      <w:i/>
      <w:iCs/>
      <w:sz w:val="22"/>
      <w:szCs w:val="22"/>
    </w:rPr>
  </w:style>
  <w:style w:type="character" w:styleId="27">
    <w:name w:val="Heading 8 Char"/>
    <w:basedOn w:val="744"/>
    <w:link w:val="742"/>
    <w:uiPriority w:val="9"/>
    <w:rPr>
      <w:rFonts w:ascii="Arial" w:hAnsi="Arial" w:eastAsia="Arial" w:cs="Arial"/>
      <w:i/>
      <w:iCs/>
      <w:sz w:val="22"/>
      <w:szCs w:val="22"/>
    </w:rPr>
  </w:style>
  <w:style w:type="character" w:styleId="29">
    <w:name w:val="Heading 9 Char"/>
    <w:basedOn w:val="744"/>
    <w:link w:val="743"/>
    <w:uiPriority w:val="9"/>
    <w:rPr>
      <w:rFonts w:ascii="Arial" w:hAnsi="Arial" w:eastAsia="Arial" w:cs="Arial"/>
      <w:i/>
      <w:iCs/>
      <w:sz w:val="21"/>
      <w:szCs w:val="21"/>
    </w:rPr>
  </w:style>
  <w:style w:type="character" w:styleId="34">
    <w:name w:val="Title Char"/>
    <w:basedOn w:val="744"/>
    <w:link w:val="774"/>
    <w:uiPriority w:val="10"/>
    <w:rPr>
      <w:sz w:val="48"/>
      <w:szCs w:val="48"/>
    </w:rPr>
  </w:style>
  <w:style w:type="character" w:styleId="36">
    <w:name w:val="Subtitle Char"/>
    <w:basedOn w:val="744"/>
    <w:link w:val="767"/>
    <w:uiPriority w:val="11"/>
    <w:rPr>
      <w:sz w:val="24"/>
      <w:szCs w:val="24"/>
    </w:rPr>
  </w:style>
  <w:style w:type="character" w:styleId="38">
    <w:name w:val="Quote Char"/>
    <w:link w:val="804"/>
    <w:uiPriority w:val="29"/>
    <w:rPr>
      <w:i/>
    </w:rPr>
  </w:style>
  <w:style w:type="character" w:styleId="40">
    <w:name w:val="Intense Quote Char"/>
    <w:link w:val="806"/>
    <w:uiPriority w:val="30"/>
    <w:rPr>
      <w:i/>
    </w:rPr>
  </w:style>
  <w:style w:type="character" w:styleId="42">
    <w:name w:val="Header Char"/>
    <w:basedOn w:val="744"/>
    <w:link w:val="764"/>
    <w:uiPriority w:val="99"/>
  </w:style>
  <w:style w:type="character" w:styleId="46">
    <w:name w:val="Caption Char"/>
    <w:basedOn w:val="749"/>
    <w:link w:val="762"/>
    <w:uiPriority w:val="99"/>
  </w:style>
  <w:style w:type="table" w:styleId="49">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68"/>
    <w:uiPriority w:val="99"/>
    <w:rPr>
      <w:sz w:val="18"/>
    </w:rPr>
  </w:style>
  <w:style w:type="character" w:styleId="178">
    <w:name w:val="Endnote Text Char"/>
    <w:link w:val="760"/>
    <w:uiPriority w:val="99"/>
    <w:rPr>
      <w:sz w:val="20"/>
    </w:rPr>
  </w:style>
  <w:style w:type="paragraph" w:styleId="189">
    <w:name w:val="TOC Heading"/>
    <w:uiPriority w:val="39"/>
    <w:unhideWhenUsed/>
  </w:style>
  <w:style w:type="paragraph" w:styleId="73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5">
    <w:name w:val="Heading 1"/>
    <w:basedOn w:val="734"/>
    <w:next w:val="734"/>
    <w:link w:val="791"/>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link w:val="792"/>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link w:val="793"/>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link w:val="794"/>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795"/>
    <w:uiPriority w:val="9"/>
    <w:unhideWhenUsed/>
    <w:qFormat/>
    <w:pPr>
      <w:keepLines/>
      <w:keepNext/>
      <w:spacing w:before="320" w:after="200"/>
      <w:outlineLvl w:val="4"/>
    </w:pPr>
    <w:rPr>
      <w:rFonts w:ascii="Arial" w:hAnsi="Arial" w:eastAsia="Arial" w:cs="Arial"/>
      <w:b/>
      <w:bCs/>
      <w:sz w:val="24"/>
    </w:rPr>
  </w:style>
  <w:style w:type="paragraph" w:styleId="740">
    <w:name w:val="Heading 6"/>
    <w:basedOn w:val="734"/>
    <w:next w:val="734"/>
    <w:link w:val="796"/>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798"/>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799"/>
    <w:uiPriority w:val="9"/>
    <w:unhideWhenUsed/>
    <w:qFormat/>
    <w:pPr>
      <w:keepLines/>
      <w:keepNext/>
      <w:spacing w:before="320" w:after="200"/>
      <w:outlineLvl w:val="8"/>
    </w:pPr>
    <w:rPr>
      <w:rFonts w:ascii="Arial" w:hAnsi="Arial" w:eastAsia="Arial" w:cs="Arial"/>
      <w:i/>
      <w:iCs/>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toc 7"/>
    <w:basedOn w:val="734"/>
    <w:next w:val="734"/>
    <w:uiPriority w:val="39"/>
    <w:unhideWhenUsed/>
    <w:qFormat/>
    <w:pPr>
      <w:ind w:left="1701"/>
      <w:spacing w:after="57"/>
    </w:pPr>
  </w:style>
  <w:style w:type="paragraph" w:styleId="747">
    <w:name w:val="table of authorities"/>
    <w:basedOn w:val="734"/>
    <w:next w:val="734"/>
    <w:uiPriority w:val="0"/>
    <w:qFormat/>
    <w:pPr>
      <w:ind w:left="420"/>
      <w:spacing w:line="300" w:lineRule="auto"/>
    </w:pPr>
    <w:rPr>
      <w:rFonts w:ascii="Calibri" w:hAnsi="Calibri"/>
    </w:rPr>
  </w:style>
  <w:style w:type="paragraph" w:styleId="748">
    <w:name w:val="Normal Indent"/>
    <w:basedOn w:val="734"/>
    <w:uiPriority w:val="0"/>
    <w:qFormat/>
    <w:pPr>
      <w:ind w:firstLine="420"/>
      <w:jc w:val="left"/>
    </w:pPr>
    <w:rPr>
      <w:rFonts w:eastAsia="楷体_GB2312"/>
      <w:sz w:val="24"/>
    </w:rPr>
  </w:style>
  <w:style w:type="paragraph" w:styleId="749">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annotation text"/>
    <w:basedOn w:val="734"/>
    <w:link w:val="1068"/>
    <w:uiPriority w:val="0"/>
    <w:qFormat/>
    <w:pPr>
      <w:jc w:val="left"/>
    </w:pPr>
  </w:style>
  <w:style w:type="paragraph" w:styleId="751">
    <w:name w:val="Body Text"/>
    <w:basedOn w:val="734"/>
    <w:uiPriority w:val="0"/>
    <w:qFormat/>
    <w:pPr>
      <w:spacing w:after="120"/>
    </w:pPr>
  </w:style>
  <w:style w:type="paragraph" w:styleId="752">
    <w:name w:val="Body Text Indent"/>
    <w:basedOn w:val="734"/>
    <w:uiPriority w:val="0"/>
    <w:qFormat/>
    <w:pPr>
      <w:ind w:left="420"/>
      <w:spacing w:after="120"/>
    </w:pPr>
  </w:style>
  <w:style w:type="paragraph" w:styleId="753">
    <w:name w:val="Block Text"/>
    <w:basedOn w:val="734"/>
    <w:uiPriority w:val="99"/>
    <w:unhideWhenUsed/>
    <w:qFormat/>
    <w:pPr>
      <w:ind w:left="1440" w:right="700"/>
    </w:pPr>
    <w:rPr>
      <w:rFonts w:ascii="Verdana" w:hAnsi="Verdana"/>
      <w:szCs w:val="20"/>
    </w:rPr>
  </w:style>
  <w:style w:type="paragraph" w:styleId="754">
    <w:name w:val="index 4"/>
    <w:basedOn w:val="734"/>
    <w:next w:val="734"/>
    <w:uiPriority w:val="99"/>
    <w:unhideWhenUsed/>
    <w:qFormat/>
    <w:pPr>
      <w:ind w:left="600"/>
    </w:pPr>
  </w:style>
  <w:style w:type="paragraph" w:styleId="755">
    <w:name w:val="toc 5"/>
    <w:basedOn w:val="734"/>
    <w:next w:val="734"/>
    <w:uiPriority w:val="39"/>
    <w:unhideWhenUsed/>
    <w:qFormat/>
    <w:pPr>
      <w:ind w:left="1134"/>
      <w:spacing w:after="57"/>
    </w:pPr>
  </w:style>
  <w:style w:type="paragraph" w:styleId="756">
    <w:name w:val="toc 3"/>
    <w:basedOn w:val="734"/>
    <w:next w:val="734"/>
    <w:uiPriority w:val="39"/>
    <w:unhideWhenUsed/>
    <w:qFormat/>
    <w:pPr>
      <w:ind w:left="567"/>
      <w:spacing w:after="57"/>
    </w:pPr>
  </w:style>
  <w:style w:type="paragraph" w:styleId="757">
    <w:name w:val="Plain Text"/>
    <w:basedOn w:val="734"/>
    <w:uiPriority w:val="0"/>
    <w:qFormat/>
    <w:rPr>
      <w:rFonts w:ascii="宋体" w:hAnsi="Courier New" w:cs="Courier New"/>
      <w:szCs w:val="21"/>
    </w:rPr>
  </w:style>
  <w:style w:type="paragraph" w:styleId="758">
    <w:name w:val="toc 8"/>
    <w:basedOn w:val="734"/>
    <w:next w:val="734"/>
    <w:uiPriority w:val="39"/>
    <w:unhideWhenUsed/>
    <w:qFormat/>
    <w:pPr>
      <w:ind w:left="1984"/>
      <w:spacing w:after="57"/>
    </w:pPr>
  </w:style>
  <w:style w:type="paragraph" w:styleId="759">
    <w:name w:val="Body Text Indent 2"/>
    <w:basedOn w:val="734"/>
    <w:uiPriority w:val="0"/>
    <w:semiHidden/>
    <w:unhideWhenUsed/>
    <w:qFormat/>
    <w:pPr>
      <w:ind w:firstLine="560"/>
      <w:spacing w:line="500" w:lineRule="exact"/>
    </w:pPr>
    <w:rPr>
      <w:rFonts w:eastAsia="仿宋_GB2312"/>
      <w:sz w:val="28"/>
      <w:szCs w:val="20"/>
    </w:rPr>
  </w:style>
  <w:style w:type="paragraph" w:styleId="760">
    <w:name w:val="endnote text"/>
    <w:basedOn w:val="734"/>
    <w:link w:val="937"/>
    <w:uiPriority w:val="99"/>
    <w:semiHidden/>
    <w:unhideWhenUsed/>
    <w:qFormat/>
    <w:rPr>
      <w:sz w:val="20"/>
    </w:rPr>
  </w:style>
  <w:style w:type="paragraph" w:styleId="761">
    <w:name w:val="Balloon Text"/>
    <w:basedOn w:val="734"/>
    <w:link w:val="1067"/>
    <w:uiPriority w:val="99"/>
    <w:semiHidden/>
    <w:unhideWhenUsed/>
    <w:qFormat/>
    <w:rPr>
      <w:sz w:val="18"/>
      <w:szCs w:val="18"/>
    </w:rPr>
  </w:style>
  <w:style w:type="paragraph" w:styleId="762">
    <w:name w:val="Footer"/>
    <w:basedOn w:val="734"/>
    <w:link w:val="810"/>
    <w:uiPriority w:val="99"/>
    <w:unhideWhenUsed/>
    <w:qFormat/>
    <w:pPr>
      <w:tabs>
        <w:tab w:val="center" w:pos="7143" w:leader="none"/>
        <w:tab w:val="right" w:pos="14287" w:leader="none"/>
      </w:tabs>
    </w:pPr>
  </w:style>
  <w:style w:type="paragraph" w:styleId="763">
    <w:name w:val="envelope return"/>
    <w:basedOn w:val="734"/>
    <w:uiPriority w:val="99"/>
    <w:unhideWhenUsed/>
    <w:qFormat/>
    <w:rPr>
      <w:rFonts w:ascii="Arial" w:hAnsi="Arial"/>
    </w:rPr>
  </w:style>
  <w:style w:type="paragraph" w:styleId="764">
    <w:name w:val="Header"/>
    <w:basedOn w:val="734"/>
    <w:link w:val="808"/>
    <w:uiPriority w:val="99"/>
    <w:unhideWhenUsed/>
    <w:qFormat/>
    <w:pPr>
      <w:tabs>
        <w:tab w:val="center" w:pos="7143" w:leader="none"/>
        <w:tab w:val="right" w:pos="14287" w:leader="none"/>
      </w:tabs>
    </w:pPr>
  </w:style>
  <w:style w:type="paragraph" w:styleId="765">
    <w:name w:val="toc 1"/>
    <w:basedOn w:val="734"/>
    <w:next w:val="734"/>
    <w:uiPriority w:val="39"/>
    <w:unhideWhenUsed/>
    <w:qFormat/>
    <w:pPr>
      <w:spacing w:after="57"/>
    </w:pPr>
  </w:style>
  <w:style w:type="paragraph" w:styleId="766">
    <w:name w:val="toc 4"/>
    <w:basedOn w:val="734"/>
    <w:next w:val="734"/>
    <w:uiPriority w:val="39"/>
    <w:unhideWhenUsed/>
    <w:qFormat/>
    <w:pPr>
      <w:ind w:left="850"/>
      <w:spacing w:after="57"/>
    </w:pPr>
  </w:style>
  <w:style w:type="paragraph" w:styleId="767">
    <w:name w:val="Subtitle"/>
    <w:basedOn w:val="734"/>
    <w:next w:val="734"/>
    <w:link w:val="803"/>
    <w:uiPriority w:val="11"/>
    <w:qFormat/>
    <w:pPr>
      <w:spacing w:before="200" w:after="200"/>
    </w:pPr>
    <w:rPr>
      <w:sz w:val="24"/>
    </w:rPr>
  </w:style>
  <w:style w:type="paragraph" w:styleId="768">
    <w:name w:val="footnote text"/>
    <w:basedOn w:val="734"/>
    <w:link w:val="936"/>
    <w:uiPriority w:val="99"/>
    <w:semiHidden/>
    <w:unhideWhenUsed/>
    <w:qFormat/>
    <w:pPr>
      <w:spacing w:after="40"/>
    </w:pPr>
    <w:rPr>
      <w:sz w:val="18"/>
    </w:rPr>
  </w:style>
  <w:style w:type="paragraph" w:styleId="769">
    <w:name w:val="toc 6"/>
    <w:basedOn w:val="734"/>
    <w:next w:val="734"/>
    <w:uiPriority w:val="39"/>
    <w:unhideWhenUsed/>
    <w:qFormat/>
    <w:pPr>
      <w:ind w:left="1417"/>
      <w:spacing w:after="57"/>
    </w:pPr>
  </w:style>
  <w:style w:type="paragraph" w:styleId="770">
    <w:name w:val="table of figures"/>
    <w:basedOn w:val="734"/>
    <w:next w:val="734"/>
    <w:uiPriority w:val="99"/>
    <w:unhideWhenUsed/>
    <w:qFormat/>
  </w:style>
  <w:style w:type="paragraph" w:styleId="771">
    <w:name w:val="toc 2"/>
    <w:basedOn w:val="734"/>
    <w:next w:val="734"/>
    <w:uiPriority w:val="39"/>
    <w:unhideWhenUsed/>
    <w:qFormat/>
    <w:pPr>
      <w:ind w:left="283"/>
      <w:spacing w:after="57"/>
    </w:pPr>
  </w:style>
  <w:style w:type="paragraph" w:styleId="772">
    <w:name w:val="toc 9"/>
    <w:basedOn w:val="734"/>
    <w:next w:val="734"/>
    <w:uiPriority w:val="39"/>
    <w:unhideWhenUsed/>
    <w:qFormat/>
    <w:pPr>
      <w:ind w:left="2268"/>
      <w:spacing w:after="57"/>
    </w:pPr>
  </w:style>
  <w:style w:type="paragraph" w:styleId="773">
    <w:name w:val="Normal (Web)"/>
    <w:basedOn w:val="734"/>
    <w:uiPriority w:val="99"/>
    <w:unhideWhenUsed/>
    <w:qFormat/>
    <w:pPr>
      <w:jc w:val="left"/>
      <w:spacing w:before="100" w:beforeAutospacing="1" w:after="100" w:afterAutospacing="1"/>
      <w:widowControl/>
    </w:pPr>
    <w:rPr>
      <w:rFonts w:ascii="宋体" w:hAnsi="宋体" w:cs="宋体"/>
      <w:sz w:val="24"/>
    </w:rPr>
  </w:style>
  <w:style w:type="paragraph" w:styleId="774">
    <w:name w:val="Title"/>
    <w:basedOn w:val="734"/>
    <w:next w:val="734"/>
    <w:link w:val="802"/>
    <w:uiPriority w:val="10"/>
    <w:qFormat/>
    <w:pPr>
      <w:contextualSpacing/>
      <w:spacing w:before="300" w:after="200"/>
    </w:pPr>
    <w:rPr>
      <w:sz w:val="48"/>
      <w:szCs w:val="48"/>
    </w:rPr>
  </w:style>
  <w:style w:type="paragraph" w:styleId="775">
    <w:name w:val="annotation subject"/>
    <w:basedOn w:val="750"/>
    <w:next w:val="750"/>
    <w:link w:val="1069"/>
    <w:uiPriority w:val="99"/>
    <w:semiHidden/>
    <w:unhideWhenUsed/>
    <w:qFormat/>
    <w:rPr>
      <w:b/>
      <w:bCs/>
    </w:rPr>
  </w:style>
  <w:style w:type="paragraph" w:styleId="776">
    <w:name w:val="Body Text First Indent"/>
    <w:basedOn w:val="751"/>
    <w:next w:val="769"/>
    <w:uiPriority w:val="0"/>
    <w:qFormat/>
    <w:pPr>
      <w:ind w:firstLine="482"/>
      <w:spacing w:line="360" w:lineRule="auto"/>
    </w:pPr>
    <w:rPr>
      <w:b/>
      <w:sz w:val="24"/>
    </w:rPr>
  </w:style>
  <w:style w:type="paragraph" w:styleId="777">
    <w:name w:val="Body Text First Indent 2"/>
    <w:basedOn w:val="752"/>
    <w:uiPriority w:val="99"/>
    <w:unhideWhenUsed/>
    <w:qFormat/>
    <w:pPr>
      <w:ind w:firstLine="200"/>
    </w:p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Strong"/>
    <w:basedOn w:val="744"/>
    <w:uiPriority w:val="22"/>
    <w:qFormat/>
    <w:rPr>
      <w:b/>
    </w:r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annotation reference"/>
    <w:basedOn w:val="744"/>
    <w:uiPriority w:val="99"/>
    <w:semiHidden/>
    <w:unhideWhenUsed/>
    <w:qFormat/>
    <w:rPr>
      <w:sz w:val="21"/>
      <w:szCs w:val="21"/>
    </w:rPr>
  </w:style>
  <w:style w:type="character" w:styleId="783">
    <w:name w:val="footnote reference"/>
    <w:uiPriority w:val="99"/>
    <w:unhideWhenUsed/>
    <w:qFormat/>
    <w:rPr>
      <w:vertAlign w:val="superscript"/>
    </w:rPr>
  </w:style>
  <w:style w:type="paragraph" w:styleId="784" w:customStyle="1">
    <w:name w:val="正文文本1"/>
    <w:basedOn w:val="785"/>
    <w:next w:val="734"/>
    <w:link w:val="968"/>
    <w:uiPriority w:val="0"/>
    <w:qFormat/>
    <w:rPr>
      <w:rFonts w:ascii="仿宋_GB2312" w:eastAsia="仿宋_GB2312"/>
      <w:sz w:val="24"/>
      <w:szCs w:val="20"/>
    </w:rPr>
  </w:style>
  <w:style w:type="paragraph" w:styleId="785" w:customStyle="1">
    <w:name w:val="正文11"/>
    <w:next w:val="784"/>
    <w:uiPriority w:val="99"/>
    <w:qFormat/>
    <w:pPr>
      <w:jc w:val="both"/>
      <w:widowControl w:val="off"/>
    </w:pPr>
    <w:rPr>
      <w:rFonts w:ascii="Calibri" w:hAnsi="Calibri" w:eastAsia="宋体" w:cs="Times New Roman"/>
      <w:sz w:val="21"/>
      <w:szCs w:val="21"/>
      <w:lang w:val="en-US" w:eastAsia="zh-CN" w:bidi="ar-SA"/>
    </w:rPr>
  </w:style>
  <w:style w:type="paragraph" w:styleId="786" w:customStyle="1">
    <w:name w:val="一级条标题"/>
    <w:basedOn w:val="787"/>
    <w:next w:val="788"/>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787" w:customStyle="1">
    <w:name w:val="章标题"/>
    <w:next w:val="734"/>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788" w:customStyle="1">
    <w:name w:val="段"/>
    <w:next w:val="734"/>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89" w:customStyle="1">
    <w:name w:val="正文首行缩进1"/>
    <w:basedOn w:val="784"/>
    <w:link w:val="992"/>
    <w:uiPriority w:val="0"/>
    <w:qFormat/>
    <w:pPr>
      <w:ind w:firstLine="420"/>
      <w:spacing w:after="120"/>
    </w:pPr>
    <w:rPr>
      <w:rFonts w:ascii="Times New Roman" w:eastAsia="宋体"/>
      <w:szCs w:val="24"/>
    </w:rPr>
  </w:style>
  <w:style w:type="paragraph" w:styleId="790"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791" w:customStyle="1">
    <w:name w:val="标题 1 字符1"/>
    <w:link w:val="735"/>
    <w:uiPriority w:val="9"/>
    <w:qFormat/>
    <w:rPr>
      <w:rFonts w:ascii="Arial" w:hAnsi="Arial" w:eastAsia="Arial" w:cs="Arial"/>
      <w:sz w:val="40"/>
      <w:szCs w:val="40"/>
    </w:rPr>
  </w:style>
  <w:style w:type="character" w:styleId="792" w:customStyle="1">
    <w:name w:val="标题 2 字符1"/>
    <w:link w:val="736"/>
    <w:uiPriority w:val="9"/>
    <w:qFormat/>
    <w:rPr>
      <w:rFonts w:ascii="Arial" w:hAnsi="Arial" w:eastAsia="Arial" w:cs="Arial"/>
      <w:sz w:val="34"/>
    </w:rPr>
  </w:style>
  <w:style w:type="character" w:styleId="793" w:customStyle="1">
    <w:name w:val="标题 3 字符1"/>
    <w:link w:val="737"/>
    <w:uiPriority w:val="9"/>
    <w:qFormat/>
    <w:rPr>
      <w:rFonts w:ascii="Arial" w:hAnsi="Arial" w:eastAsia="Arial" w:cs="Arial"/>
      <w:sz w:val="30"/>
      <w:szCs w:val="30"/>
    </w:rPr>
  </w:style>
  <w:style w:type="character" w:styleId="794" w:customStyle="1">
    <w:name w:val="标题 4 字符1"/>
    <w:link w:val="738"/>
    <w:uiPriority w:val="9"/>
    <w:qFormat/>
    <w:rPr>
      <w:rFonts w:ascii="Arial" w:hAnsi="Arial" w:eastAsia="Arial" w:cs="Arial"/>
      <w:b/>
      <w:bCs/>
      <w:sz w:val="26"/>
      <w:szCs w:val="26"/>
    </w:rPr>
  </w:style>
  <w:style w:type="character" w:styleId="795" w:customStyle="1">
    <w:name w:val="标题 5 字符1"/>
    <w:link w:val="739"/>
    <w:uiPriority w:val="9"/>
    <w:qFormat/>
    <w:rPr>
      <w:rFonts w:ascii="Arial" w:hAnsi="Arial" w:eastAsia="Arial" w:cs="Arial"/>
      <w:b/>
      <w:bCs/>
      <w:sz w:val="24"/>
      <w:szCs w:val="24"/>
    </w:rPr>
  </w:style>
  <w:style w:type="character" w:styleId="796" w:customStyle="1">
    <w:name w:val="标题 6 字符1"/>
    <w:link w:val="740"/>
    <w:uiPriority w:val="9"/>
    <w:qFormat/>
    <w:rPr>
      <w:rFonts w:ascii="Arial" w:hAnsi="Arial" w:eastAsia="Arial" w:cs="Arial"/>
      <w:b/>
      <w:bCs/>
      <w:sz w:val="22"/>
      <w:szCs w:val="22"/>
    </w:rPr>
  </w:style>
  <w:style w:type="character" w:styleId="797" w:customStyle="1">
    <w:name w:val="标题 7 字符1"/>
    <w:link w:val="741"/>
    <w:uiPriority w:val="9"/>
    <w:qFormat/>
    <w:rPr>
      <w:rFonts w:ascii="Arial" w:hAnsi="Arial" w:eastAsia="Arial" w:cs="Arial"/>
      <w:b/>
      <w:bCs/>
      <w:i/>
      <w:iCs/>
      <w:sz w:val="22"/>
      <w:szCs w:val="22"/>
    </w:rPr>
  </w:style>
  <w:style w:type="character" w:styleId="798" w:customStyle="1">
    <w:name w:val="标题 8 字符1"/>
    <w:link w:val="742"/>
    <w:uiPriority w:val="9"/>
    <w:qFormat/>
    <w:rPr>
      <w:rFonts w:ascii="Arial" w:hAnsi="Arial" w:eastAsia="Arial" w:cs="Arial"/>
      <w:i/>
      <w:iCs/>
      <w:sz w:val="22"/>
      <w:szCs w:val="22"/>
    </w:rPr>
  </w:style>
  <w:style w:type="character" w:styleId="799" w:customStyle="1">
    <w:name w:val="标题 9 字符1"/>
    <w:link w:val="743"/>
    <w:uiPriority w:val="9"/>
    <w:qFormat/>
    <w:rPr>
      <w:rFonts w:ascii="Arial" w:hAnsi="Arial" w:eastAsia="Arial" w:cs="Arial"/>
      <w:i/>
      <w:iCs/>
      <w:sz w:val="21"/>
      <w:szCs w:val="21"/>
    </w:rPr>
  </w:style>
  <w:style w:type="paragraph" w:styleId="800">
    <w:name w:val="List Paragraph"/>
    <w:basedOn w:val="734"/>
    <w:uiPriority w:val="34"/>
    <w:qFormat/>
    <w:pPr>
      <w:contextualSpacing/>
      <w:ind w:left="720"/>
    </w:pPr>
  </w:style>
  <w:style w:type="paragraph" w:styleId="801">
    <w:name w:val="No Spacing"/>
    <w:uiPriority w:val="1"/>
    <w:qFormat/>
    <w:rPr>
      <w:rFonts w:ascii="Times New Roman" w:hAnsi="Times New Roman" w:eastAsia="宋体" w:cs="Times New Roman"/>
      <w:lang w:val="en-US" w:eastAsia="zh-CN" w:bidi="ar-SA"/>
    </w:rPr>
  </w:style>
  <w:style w:type="character" w:styleId="802" w:customStyle="1">
    <w:name w:val="标题 字符"/>
    <w:link w:val="774"/>
    <w:uiPriority w:val="10"/>
    <w:qFormat/>
    <w:rPr>
      <w:sz w:val="48"/>
      <w:szCs w:val="48"/>
    </w:rPr>
  </w:style>
  <w:style w:type="character" w:styleId="803" w:customStyle="1">
    <w:name w:val="副标题 字符"/>
    <w:link w:val="767"/>
    <w:uiPriority w:val="11"/>
    <w:qFormat/>
    <w:rPr>
      <w:sz w:val="24"/>
      <w:szCs w:val="24"/>
    </w:rPr>
  </w:style>
  <w:style w:type="paragraph" w:styleId="804">
    <w:name w:val="Quote"/>
    <w:basedOn w:val="734"/>
    <w:next w:val="734"/>
    <w:link w:val="805"/>
    <w:uiPriority w:val="29"/>
    <w:qFormat/>
    <w:pPr>
      <w:ind w:left="720" w:right="720"/>
    </w:pPr>
    <w:rPr>
      <w:i/>
    </w:rPr>
  </w:style>
  <w:style w:type="character" w:styleId="805" w:customStyle="1">
    <w:name w:val="引用 字符"/>
    <w:link w:val="804"/>
    <w:uiPriority w:val="29"/>
    <w:qFormat/>
    <w:rPr>
      <w:i/>
    </w:rPr>
  </w:style>
  <w:style w:type="paragraph" w:styleId="806">
    <w:name w:val="Intense Quote"/>
    <w:basedOn w:val="734"/>
    <w:next w:val="734"/>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字符"/>
    <w:link w:val="806"/>
    <w:uiPriority w:val="30"/>
    <w:qFormat/>
    <w:rPr>
      <w:i/>
    </w:rPr>
  </w:style>
  <w:style w:type="character" w:styleId="808" w:customStyle="1">
    <w:name w:val="页眉 字符1"/>
    <w:link w:val="764"/>
    <w:uiPriority w:val="99"/>
    <w:qFormat/>
  </w:style>
  <w:style w:type="character" w:styleId="809" w:customStyle="1">
    <w:name w:val="Footer Char"/>
    <w:uiPriority w:val="99"/>
    <w:qFormat/>
  </w:style>
  <w:style w:type="character" w:styleId="810" w:customStyle="1">
    <w:name w:val="页脚 字符1"/>
    <w:link w:val="762"/>
    <w:uiPriority w:val="99"/>
    <w:qFormat/>
  </w:style>
  <w:style w:type="table" w:styleId="81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脚注文本 字符"/>
    <w:link w:val="768"/>
    <w:uiPriority w:val="99"/>
    <w:qFormat/>
    <w:rPr>
      <w:sz w:val="18"/>
    </w:rPr>
  </w:style>
  <w:style w:type="character" w:styleId="937" w:customStyle="1">
    <w:name w:val="尾注文本 字符"/>
    <w:link w:val="760"/>
    <w:uiPriority w:val="99"/>
    <w:qFormat/>
    <w:rPr>
      <w:sz w:val="20"/>
    </w:rPr>
  </w:style>
  <w:style w:type="paragraph" w:styleId="938" w:customStyle="1">
    <w:name w:val="TOC 标题1"/>
    <w:uiPriority w:val="39"/>
    <w:unhideWhenUsed/>
    <w:qFormat/>
    <w:rPr>
      <w:rFonts w:ascii="Times New Roman" w:hAnsi="Times New Roman" w:eastAsia="宋体" w:cs="Times New Roman"/>
      <w:lang w:val="en-US" w:eastAsia="zh-CN" w:bidi="ar-SA"/>
    </w:rPr>
  </w:style>
  <w:style w:type="paragraph" w:styleId="939" w:customStyle="1">
    <w:name w:val="标题 11"/>
    <w:basedOn w:val="734"/>
    <w:next w:val="734"/>
    <w:link w:val="953"/>
    <w:uiPriority w:val="0"/>
    <w:qFormat/>
    <w:pPr>
      <w:keepLines/>
      <w:keepNext/>
      <w:spacing w:before="340" w:after="330" w:line="578" w:lineRule="auto"/>
      <w:outlineLvl w:val="0"/>
    </w:pPr>
    <w:rPr>
      <w:b/>
      <w:bCs/>
      <w:sz w:val="44"/>
      <w:szCs w:val="44"/>
    </w:rPr>
  </w:style>
  <w:style w:type="paragraph" w:styleId="940" w:customStyle="1">
    <w:name w:val="标题 21"/>
    <w:basedOn w:val="734"/>
    <w:next w:val="734"/>
    <w:link w:val="954"/>
    <w:uiPriority w:val="0"/>
    <w:qFormat/>
    <w:pPr>
      <w:keepLines/>
      <w:keepNext/>
      <w:spacing w:before="260" w:after="260" w:line="416" w:lineRule="auto"/>
      <w:outlineLvl w:val="1"/>
    </w:pPr>
    <w:rPr>
      <w:rFonts w:ascii="Arial" w:hAnsi="Arial" w:eastAsia="黑体"/>
      <w:b/>
      <w:bCs/>
      <w:sz w:val="32"/>
      <w:szCs w:val="32"/>
    </w:rPr>
  </w:style>
  <w:style w:type="paragraph" w:styleId="941" w:customStyle="1">
    <w:name w:val="标题 31"/>
    <w:basedOn w:val="734"/>
    <w:next w:val="734"/>
    <w:link w:val="955"/>
    <w:uiPriority w:val="0"/>
    <w:qFormat/>
    <w:pPr>
      <w:keepLines/>
      <w:keepNext/>
      <w:spacing w:before="260" w:after="260" w:line="416" w:lineRule="auto"/>
      <w:outlineLvl w:val="2"/>
    </w:pPr>
    <w:rPr>
      <w:b/>
      <w:bCs/>
      <w:sz w:val="32"/>
      <w:szCs w:val="32"/>
    </w:rPr>
  </w:style>
  <w:style w:type="paragraph" w:styleId="942" w:customStyle="1">
    <w:name w:val="标题 41"/>
    <w:basedOn w:val="734"/>
    <w:next w:val="734"/>
    <w:link w:val="956"/>
    <w:uiPriority w:val="0"/>
    <w:qFormat/>
    <w:pPr>
      <w:jc w:val="center"/>
      <w:keepNext/>
      <w:outlineLvl w:val="3"/>
    </w:pPr>
    <w:rPr>
      <w:rFonts w:eastAsia="新宋体"/>
      <w:sz w:val="30"/>
      <w:szCs w:val="21"/>
    </w:rPr>
  </w:style>
  <w:style w:type="paragraph" w:styleId="943" w:customStyle="1">
    <w:name w:val="标题 51"/>
    <w:basedOn w:val="734"/>
    <w:next w:val="734"/>
    <w:link w:val="957"/>
    <w:uiPriority w:val="0"/>
    <w:qFormat/>
    <w:pPr>
      <w:keepLines/>
      <w:keepNext/>
      <w:spacing w:before="280" w:after="290" w:line="376" w:lineRule="auto"/>
      <w:outlineLvl w:val="4"/>
    </w:pPr>
    <w:rPr>
      <w:b/>
      <w:bCs/>
      <w:sz w:val="28"/>
      <w:szCs w:val="28"/>
    </w:rPr>
  </w:style>
  <w:style w:type="paragraph" w:styleId="944" w:customStyle="1">
    <w:name w:val="标题 61"/>
    <w:basedOn w:val="734"/>
    <w:next w:val="945"/>
    <w:link w:val="958"/>
    <w:uiPriority w:val="0"/>
    <w:qFormat/>
    <w:pPr>
      <w:jc w:val="center"/>
      <w:keepNext/>
      <w:outlineLvl w:val="5"/>
    </w:pPr>
    <w:rPr>
      <w:b/>
      <w:sz w:val="44"/>
      <w:szCs w:val="20"/>
    </w:rPr>
  </w:style>
  <w:style w:type="paragraph" w:styleId="945" w:customStyle="1">
    <w:name w:val="正文缩进1"/>
    <w:basedOn w:val="734"/>
    <w:next w:val="946"/>
    <w:link w:val="959"/>
    <w:uiPriority w:val="0"/>
    <w:qFormat/>
    <w:pPr>
      <w:ind w:firstLine="420"/>
    </w:pPr>
    <w:rPr>
      <w:sz w:val="20"/>
      <w:szCs w:val="20"/>
    </w:rPr>
  </w:style>
  <w:style w:type="paragraph" w:styleId="946" w:customStyle="1">
    <w:name w:val="List Paragraph1"/>
    <w:basedOn w:val="734"/>
    <w:next w:val="947"/>
    <w:uiPriority w:val="0"/>
    <w:qFormat/>
    <w:pPr>
      <w:ind w:firstLine="420"/>
    </w:pPr>
    <w:rPr>
      <w:rFonts w:hAnsi="宋体" w:cs="宋体"/>
      <w:szCs w:val="20"/>
    </w:rPr>
  </w:style>
  <w:style w:type="paragraph" w:styleId="947" w:customStyle="1">
    <w:name w:val="Char Char Char Char"/>
    <w:basedOn w:val="734"/>
    <w:uiPriority w:val="0"/>
    <w:qFormat/>
    <w:rPr>
      <w:rFonts w:ascii="Tahoma" w:hAnsi="Tahoma"/>
      <w:sz w:val="24"/>
      <w:szCs w:val="20"/>
    </w:rPr>
  </w:style>
  <w:style w:type="paragraph" w:styleId="948" w:customStyle="1">
    <w:name w:val="标题 71"/>
    <w:basedOn w:val="734"/>
    <w:next w:val="734"/>
    <w:link w:val="960"/>
    <w:uiPriority w:val="0"/>
    <w:qFormat/>
    <w:pPr>
      <w:keepLines/>
      <w:keepNext/>
      <w:spacing w:before="240" w:after="64" w:line="320" w:lineRule="auto"/>
      <w:outlineLvl w:val="6"/>
    </w:pPr>
    <w:rPr>
      <w:b/>
      <w:bCs/>
      <w:sz w:val="24"/>
    </w:rPr>
  </w:style>
  <w:style w:type="paragraph" w:styleId="949" w:customStyle="1">
    <w:name w:val="标题 81"/>
    <w:basedOn w:val="734"/>
    <w:next w:val="734"/>
    <w:link w:val="961"/>
    <w:uiPriority w:val="0"/>
    <w:qFormat/>
    <w:pPr>
      <w:keepLines/>
      <w:keepNext/>
      <w:spacing w:before="240" w:after="64" w:line="320" w:lineRule="auto"/>
      <w:outlineLvl w:val="7"/>
    </w:pPr>
    <w:rPr>
      <w:rFonts w:ascii="Arial" w:hAnsi="Arial" w:eastAsia="黑体"/>
      <w:sz w:val="24"/>
    </w:rPr>
  </w:style>
  <w:style w:type="paragraph" w:styleId="950" w:customStyle="1">
    <w:name w:val="标题 91"/>
    <w:basedOn w:val="734"/>
    <w:next w:val="734"/>
    <w:link w:val="962"/>
    <w:uiPriority w:val="0"/>
    <w:qFormat/>
    <w:pPr>
      <w:keepLines/>
      <w:keepNext/>
      <w:spacing w:before="240" w:after="64" w:line="320" w:lineRule="auto"/>
      <w:outlineLvl w:val="8"/>
    </w:pPr>
    <w:rPr>
      <w:rFonts w:ascii="Arial" w:hAnsi="Arial" w:eastAsia="黑体"/>
      <w:sz w:val="24"/>
      <w:szCs w:val="21"/>
    </w:rPr>
  </w:style>
  <w:style w:type="character" w:styleId="951" w:customStyle="1">
    <w:name w:val="默认段落字体1"/>
    <w:uiPriority w:val="1"/>
    <w:unhideWhenUsed/>
    <w:qFormat/>
  </w:style>
  <w:style w:type="table" w:styleId="952" w:customStyle="1">
    <w:name w:val="普通表格1"/>
    <w:uiPriority w:val="99"/>
    <w:unhideWhenUsed/>
    <w:qFormat/>
    <w:tblPr>
      <w:tblCellMar>
        <w:left w:w="0" w:type="dxa"/>
        <w:top w:w="0" w:type="dxa"/>
        <w:right w:w="0" w:type="dxa"/>
        <w:bottom w:w="0" w:type="dxa"/>
      </w:tblCellMar>
    </w:tblPr>
  </w:style>
  <w:style w:type="character" w:styleId="953" w:customStyle="1">
    <w:name w:val="标题 1 字符"/>
    <w:link w:val="939"/>
    <w:uiPriority w:val="0"/>
    <w:qFormat/>
    <w:rPr>
      <w:rFonts w:ascii="Times New Roman" w:hAnsi="Times New Roman" w:eastAsia="宋体" w:cs="Times New Roman"/>
      <w:b/>
      <w:bCs/>
      <w:sz w:val="44"/>
      <w:szCs w:val="44"/>
    </w:rPr>
  </w:style>
  <w:style w:type="character" w:styleId="954" w:customStyle="1">
    <w:name w:val="标题 2 字符"/>
    <w:link w:val="940"/>
    <w:uiPriority w:val="0"/>
    <w:qFormat/>
    <w:rPr>
      <w:rFonts w:ascii="Arial" w:hAnsi="Arial" w:eastAsia="黑体" w:cs="Times New Roman"/>
      <w:b/>
      <w:bCs/>
      <w:sz w:val="32"/>
      <w:szCs w:val="32"/>
    </w:rPr>
  </w:style>
  <w:style w:type="character" w:styleId="955" w:customStyle="1">
    <w:name w:val="标题 3 字符"/>
    <w:link w:val="941"/>
    <w:uiPriority w:val="0"/>
    <w:qFormat/>
    <w:rPr>
      <w:rFonts w:ascii="Times New Roman" w:hAnsi="Times New Roman" w:eastAsia="宋体" w:cs="Times New Roman"/>
      <w:b/>
      <w:bCs/>
      <w:sz w:val="32"/>
      <w:szCs w:val="32"/>
    </w:rPr>
  </w:style>
  <w:style w:type="character" w:styleId="956" w:customStyle="1">
    <w:name w:val="标题 4 字符"/>
    <w:link w:val="942"/>
    <w:uiPriority w:val="0"/>
    <w:qFormat/>
    <w:rPr>
      <w:rFonts w:ascii="Times New Roman" w:hAnsi="Times New Roman" w:eastAsia="新宋体" w:cs="Times New Roman"/>
      <w:sz w:val="30"/>
      <w:szCs w:val="21"/>
    </w:rPr>
  </w:style>
  <w:style w:type="character" w:styleId="957" w:customStyle="1">
    <w:name w:val="标题 5 字符"/>
    <w:link w:val="943"/>
    <w:uiPriority w:val="0"/>
    <w:qFormat/>
    <w:rPr>
      <w:rFonts w:ascii="Times New Roman" w:hAnsi="Times New Roman" w:eastAsia="宋体" w:cs="Times New Roman"/>
      <w:b/>
      <w:bCs/>
      <w:sz w:val="28"/>
      <w:szCs w:val="28"/>
    </w:rPr>
  </w:style>
  <w:style w:type="character" w:styleId="958" w:customStyle="1">
    <w:name w:val="标题 6 字符"/>
    <w:link w:val="944"/>
    <w:uiPriority w:val="0"/>
    <w:qFormat/>
    <w:rPr>
      <w:rFonts w:ascii="Times New Roman" w:hAnsi="Times New Roman" w:eastAsia="宋体" w:cs="Times New Roman"/>
      <w:b/>
      <w:sz w:val="44"/>
      <w:szCs w:val="20"/>
    </w:rPr>
  </w:style>
  <w:style w:type="character" w:styleId="959" w:customStyle="1">
    <w:name w:val="正文缩进 字符"/>
    <w:link w:val="945"/>
    <w:uiPriority w:val="0"/>
    <w:qFormat/>
    <w:rPr>
      <w:rFonts w:ascii="Times New Roman" w:hAnsi="Times New Roman" w:eastAsia="宋体" w:cs="Times New Roman"/>
      <w:sz w:val="20"/>
      <w:szCs w:val="20"/>
    </w:rPr>
  </w:style>
  <w:style w:type="character" w:styleId="960" w:customStyle="1">
    <w:name w:val="标题 7 字符"/>
    <w:link w:val="948"/>
    <w:uiPriority w:val="0"/>
    <w:qFormat/>
    <w:rPr>
      <w:rFonts w:ascii="Times New Roman" w:hAnsi="Times New Roman" w:eastAsia="宋体" w:cs="Times New Roman"/>
      <w:b/>
      <w:bCs/>
      <w:sz w:val="24"/>
      <w:szCs w:val="24"/>
    </w:rPr>
  </w:style>
  <w:style w:type="character" w:styleId="961" w:customStyle="1">
    <w:name w:val="标题 8 字符"/>
    <w:link w:val="949"/>
    <w:uiPriority w:val="0"/>
    <w:qFormat/>
    <w:rPr>
      <w:rFonts w:ascii="Arial" w:hAnsi="Arial" w:eastAsia="黑体" w:cs="Times New Roman"/>
      <w:sz w:val="24"/>
      <w:szCs w:val="24"/>
    </w:rPr>
  </w:style>
  <w:style w:type="character" w:styleId="962" w:customStyle="1">
    <w:name w:val="标题 9 字符"/>
    <w:link w:val="950"/>
    <w:uiPriority w:val="0"/>
    <w:qFormat/>
    <w:rPr>
      <w:rFonts w:ascii="Arial" w:hAnsi="Arial" w:eastAsia="黑体" w:cs="Times New Roman"/>
      <w:sz w:val="24"/>
      <w:szCs w:val="21"/>
    </w:rPr>
  </w:style>
  <w:style w:type="paragraph" w:styleId="963" w:customStyle="1">
    <w:name w:val="文档结构图1"/>
    <w:basedOn w:val="734"/>
    <w:link w:val="964"/>
    <w:uiPriority w:val="0"/>
    <w:semiHidden/>
    <w:qFormat/>
    <w:pPr>
      <w:shd w:val="clear" w:color="auto" w:fill="000080"/>
    </w:pPr>
    <w:rPr>
      <w:sz w:val="20"/>
    </w:rPr>
  </w:style>
  <w:style w:type="character" w:styleId="964" w:customStyle="1">
    <w:name w:val="文档结构图 字符"/>
    <w:link w:val="963"/>
    <w:uiPriority w:val="0"/>
    <w:semiHidden/>
    <w:qFormat/>
    <w:rPr>
      <w:szCs w:val="24"/>
      <w:shd w:val="clear" w:color="auto" w:fill="000080"/>
    </w:rPr>
  </w:style>
  <w:style w:type="paragraph" w:styleId="965" w:customStyle="1">
    <w:name w:val="正文文本 31"/>
    <w:basedOn w:val="734"/>
    <w:link w:val="966"/>
    <w:uiPriority w:val="0"/>
    <w:qFormat/>
    <w:pPr>
      <w:spacing w:after="120"/>
    </w:pPr>
    <w:rPr>
      <w:sz w:val="16"/>
      <w:szCs w:val="16"/>
    </w:rPr>
  </w:style>
  <w:style w:type="character" w:styleId="966" w:customStyle="1">
    <w:name w:val="正文文本 3 字符"/>
    <w:link w:val="965"/>
    <w:uiPriority w:val="0"/>
    <w:qFormat/>
    <w:rPr>
      <w:rFonts w:ascii="Times New Roman" w:hAnsi="Times New Roman" w:eastAsia="宋体" w:cs="Times New Roman"/>
      <w:sz w:val="16"/>
      <w:szCs w:val="16"/>
    </w:rPr>
  </w:style>
  <w:style w:type="paragraph" w:styleId="967" w:customStyle="1">
    <w:name w:val="正文文本 21"/>
    <w:basedOn w:val="734"/>
    <w:next w:val="784"/>
    <w:link w:val="969"/>
    <w:uiPriority w:val="0"/>
    <w:qFormat/>
    <w:rPr>
      <w:b/>
      <w:bCs/>
      <w:sz w:val="18"/>
    </w:rPr>
  </w:style>
  <w:style w:type="character" w:styleId="968" w:customStyle="1">
    <w:name w:val="正文文本 字符"/>
    <w:link w:val="784"/>
    <w:uiPriority w:val="0"/>
    <w:qFormat/>
    <w:rPr>
      <w:rFonts w:ascii="仿宋_GB2312" w:hAnsi="Times New Roman" w:eastAsia="仿宋_GB2312" w:cs="Times New Roman"/>
      <w:sz w:val="24"/>
      <w:szCs w:val="20"/>
    </w:rPr>
  </w:style>
  <w:style w:type="character" w:styleId="969" w:customStyle="1">
    <w:name w:val="正文文本 2 字符"/>
    <w:link w:val="967"/>
    <w:uiPriority w:val="0"/>
    <w:qFormat/>
    <w:rPr>
      <w:rFonts w:ascii="Times New Roman" w:hAnsi="Times New Roman" w:eastAsia="宋体" w:cs="Times New Roman"/>
      <w:b/>
      <w:bCs/>
      <w:sz w:val="18"/>
      <w:szCs w:val="24"/>
    </w:rPr>
  </w:style>
  <w:style w:type="paragraph" w:styleId="970" w:customStyle="1">
    <w:name w:val="正文文本缩进1"/>
    <w:basedOn w:val="734"/>
    <w:next w:val="971"/>
    <w:link w:val="972"/>
    <w:uiPriority w:val="0"/>
    <w:qFormat/>
    <w:pPr>
      <w:ind w:left="765"/>
    </w:pPr>
    <w:rPr>
      <w:rFonts w:ascii="仿宋_GB2312" w:eastAsia="仿宋_GB2312"/>
      <w:sz w:val="28"/>
      <w:szCs w:val="20"/>
    </w:rPr>
  </w:style>
  <w:style w:type="paragraph" w:styleId="971" w:customStyle="1">
    <w:name w:val="寄信人地址1"/>
    <w:basedOn w:val="734"/>
    <w:uiPriority w:val="99"/>
    <w:unhideWhenUsed/>
    <w:qFormat/>
    <w:rPr>
      <w:rFonts w:ascii="Arial" w:hAnsi="Arial"/>
    </w:rPr>
  </w:style>
  <w:style w:type="character" w:styleId="972" w:customStyle="1">
    <w:name w:val="正文文本缩进 字符"/>
    <w:link w:val="970"/>
    <w:uiPriority w:val="0"/>
    <w:qFormat/>
    <w:rPr>
      <w:rFonts w:ascii="仿宋_GB2312" w:hAnsi="Times New Roman" w:eastAsia="仿宋_GB2312" w:cs="Times New Roman"/>
      <w:sz w:val="28"/>
      <w:szCs w:val="20"/>
    </w:rPr>
  </w:style>
  <w:style w:type="paragraph" w:styleId="973" w:customStyle="1">
    <w:name w:val="纯文本1"/>
    <w:basedOn w:val="734"/>
    <w:link w:val="974"/>
    <w:uiPriority w:val="0"/>
    <w:qFormat/>
    <w:rPr>
      <w:rFonts w:ascii="宋体" w:hAnsi="Courier New"/>
      <w:sz w:val="20"/>
      <w:szCs w:val="21"/>
    </w:rPr>
  </w:style>
  <w:style w:type="character" w:styleId="974" w:customStyle="1">
    <w:name w:val="纯文本 字符"/>
    <w:link w:val="973"/>
    <w:uiPriority w:val="0"/>
    <w:qFormat/>
    <w:rPr>
      <w:rFonts w:ascii="宋体" w:hAnsi="Courier New" w:eastAsia="宋体" w:cs="Courier New"/>
      <w:szCs w:val="21"/>
    </w:rPr>
  </w:style>
  <w:style w:type="paragraph" w:styleId="975" w:customStyle="1">
    <w:name w:val="日期1"/>
    <w:basedOn w:val="734"/>
    <w:next w:val="734"/>
    <w:link w:val="976"/>
    <w:uiPriority w:val="0"/>
    <w:qFormat/>
    <w:rPr>
      <w:sz w:val="24"/>
      <w:szCs w:val="20"/>
    </w:rPr>
  </w:style>
  <w:style w:type="character" w:styleId="976" w:customStyle="1">
    <w:name w:val="日期 字符"/>
    <w:link w:val="975"/>
    <w:uiPriority w:val="0"/>
    <w:qFormat/>
    <w:rPr>
      <w:rFonts w:ascii="Times New Roman" w:hAnsi="Times New Roman" w:eastAsia="宋体" w:cs="Times New Roman"/>
      <w:sz w:val="24"/>
      <w:szCs w:val="20"/>
    </w:rPr>
  </w:style>
  <w:style w:type="paragraph" w:styleId="977" w:customStyle="1">
    <w:name w:val="正文文本缩进 21"/>
    <w:basedOn w:val="734"/>
    <w:link w:val="978"/>
    <w:uiPriority w:val="0"/>
    <w:qFormat/>
    <w:pPr>
      <w:ind w:firstLine="560"/>
      <w:spacing w:line="500" w:lineRule="exact"/>
    </w:pPr>
    <w:rPr>
      <w:rFonts w:eastAsia="仿宋_GB2312"/>
      <w:sz w:val="28"/>
      <w:szCs w:val="20"/>
    </w:rPr>
  </w:style>
  <w:style w:type="character" w:styleId="978" w:customStyle="1">
    <w:name w:val="正文文本缩进 2 字符"/>
    <w:link w:val="977"/>
    <w:uiPriority w:val="0"/>
    <w:qFormat/>
    <w:rPr>
      <w:rFonts w:ascii="Times New Roman" w:hAnsi="Times New Roman" w:eastAsia="仿宋_GB2312" w:cs="Times New Roman"/>
      <w:sz w:val="28"/>
      <w:szCs w:val="20"/>
    </w:rPr>
  </w:style>
  <w:style w:type="paragraph" w:styleId="979" w:customStyle="1">
    <w:name w:val="批注框文本1"/>
    <w:basedOn w:val="734"/>
    <w:link w:val="980"/>
    <w:uiPriority w:val="0"/>
    <w:semiHidden/>
    <w:qFormat/>
    <w:rPr>
      <w:sz w:val="18"/>
      <w:szCs w:val="18"/>
    </w:rPr>
  </w:style>
  <w:style w:type="character" w:styleId="980" w:customStyle="1">
    <w:name w:val="批注框文本 字符"/>
    <w:link w:val="979"/>
    <w:uiPriority w:val="0"/>
    <w:semiHidden/>
    <w:qFormat/>
    <w:rPr>
      <w:sz w:val="18"/>
      <w:szCs w:val="18"/>
    </w:rPr>
  </w:style>
  <w:style w:type="paragraph" w:styleId="981" w:customStyle="1">
    <w:name w:val="页脚1"/>
    <w:basedOn w:val="734"/>
    <w:link w:val="982"/>
    <w:uiPriority w:val="99"/>
    <w:qFormat/>
    <w:pPr>
      <w:jc w:val="left"/>
      <w:tabs>
        <w:tab w:val="center" w:pos="4153" w:leader="none"/>
        <w:tab w:val="right" w:pos="8306" w:leader="none"/>
      </w:tabs>
    </w:pPr>
    <w:rPr>
      <w:sz w:val="18"/>
      <w:szCs w:val="20"/>
    </w:rPr>
  </w:style>
  <w:style w:type="character" w:styleId="982" w:customStyle="1">
    <w:name w:val="页脚 字符"/>
    <w:link w:val="981"/>
    <w:uiPriority w:val="99"/>
    <w:qFormat/>
    <w:rPr>
      <w:rFonts w:ascii="Times New Roman" w:hAnsi="Times New Roman" w:eastAsia="宋体" w:cs="Times New Roman"/>
      <w:sz w:val="18"/>
      <w:szCs w:val="20"/>
    </w:rPr>
  </w:style>
  <w:style w:type="paragraph" w:styleId="983" w:customStyle="1">
    <w:name w:val="页眉1"/>
    <w:basedOn w:val="734"/>
    <w:link w:val="984"/>
    <w:uiPriority w:val="0"/>
    <w:qFormat/>
    <w:pPr>
      <w:jc w:val="center"/>
      <w:tabs>
        <w:tab w:val="center" w:pos="4153" w:leader="none"/>
        <w:tab w:val="right" w:pos="8306" w:leader="none"/>
      </w:tabs>
      <w:pBdr>
        <w:bottom w:val="single" w:color="000000" w:sz="6" w:space="1"/>
      </w:pBdr>
    </w:pPr>
    <w:rPr>
      <w:sz w:val="18"/>
      <w:szCs w:val="18"/>
    </w:rPr>
  </w:style>
  <w:style w:type="character" w:styleId="984" w:customStyle="1">
    <w:name w:val="页眉 字符"/>
    <w:link w:val="983"/>
    <w:uiPriority w:val="0"/>
    <w:qFormat/>
    <w:rPr>
      <w:rFonts w:ascii="Times New Roman" w:hAnsi="Times New Roman" w:eastAsia="宋体" w:cs="Times New Roman"/>
      <w:sz w:val="18"/>
      <w:szCs w:val="18"/>
    </w:rPr>
  </w:style>
  <w:style w:type="paragraph" w:styleId="985" w:customStyle="1">
    <w:name w:val="目录 11"/>
    <w:basedOn w:val="734"/>
    <w:next w:val="734"/>
    <w:uiPriority w:val="0"/>
    <w:semiHidden/>
    <w:qFormat/>
    <w:rPr>
      <w:sz w:val="24"/>
    </w:rPr>
  </w:style>
  <w:style w:type="paragraph" w:styleId="986" w:customStyle="1">
    <w:name w:val="列表1"/>
    <w:basedOn w:val="734"/>
    <w:uiPriority w:val="0"/>
    <w:qFormat/>
    <w:pPr>
      <w:ind w:left="200" w:hanging="200"/>
    </w:pPr>
  </w:style>
  <w:style w:type="paragraph" w:styleId="987" w:customStyle="1">
    <w:name w:val="脚注文本1"/>
    <w:basedOn w:val="734"/>
    <w:uiPriority w:val="99"/>
    <w:unhideWhenUsed/>
    <w:qFormat/>
    <w:pPr>
      <w:jc w:val="left"/>
    </w:pPr>
    <w:rPr>
      <w:sz w:val="18"/>
      <w:szCs w:val="18"/>
    </w:rPr>
  </w:style>
  <w:style w:type="paragraph" w:styleId="988" w:customStyle="1">
    <w:name w:val="正文文本缩进 31"/>
    <w:basedOn w:val="734"/>
    <w:link w:val="989"/>
    <w:uiPriority w:val="0"/>
    <w:qFormat/>
    <w:pPr>
      <w:ind w:left="420"/>
      <w:spacing w:after="120"/>
    </w:pPr>
    <w:rPr>
      <w:sz w:val="16"/>
      <w:szCs w:val="16"/>
    </w:rPr>
  </w:style>
  <w:style w:type="character" w:styleId="989" w:customStyle="1">
    <w:name w:val="正文文本缩进 3 字符"/>
    <w:link w:val="988"/>
    <w:uiPriority w:val="0"/>
    <w:qFormat/>
    <w:rPr>
      <w:rFonts w:ascii="Times New Roman" w:hAnsi="Times New Roman" w:eastAsia="宋体" w:cs="Times New Roman"/>
      <w:sz w:val="16"/>
      <w:szCs w:val="16"/>
    </w:rPr>
  </w:style>
  <w:style w:type="paragraph" w:styleId="990" w:customStyle="1">
    <w:name w:val="普通(网站)1"/>
    <w:basedOn w:val="734"/>
    <w:uiPriority w:val="0"/>
    <w:qFormat/>
    <w:pPr>
      <w:jc w:val="left"/>
      <w:spacing w:before="100" w:beforeAutospacing="1" w:after="100" w:afterAutospacing="1"/>
      <w:widowControl/>
    </w:pPr>
    <w:rPr>
      <w:rFonts w:ascii="宋体" w:hAnsi="宋体"/>
      <w:color w:val="000000"/>
      <w:sz w:val="24"/>
    </w:rPr>
  </w:style>
  <w:style w:type="paragraph" w:styleId="991" w:customStyle="1">
    <w:name w:val="正文文本11"/>
    <w:basedOn w:val="734"/>
    <w:uiPriority w:val="99"/>
    <w:qFormat/>
    <w:rPr>
      <w:rFonts w:ascii="楷体_GB2312" w:hAnsi="Arial" w:eastAsia="楷体_GB2312"/>
      <w:sz w:val="28"/>
      <w:szCs w:val="20"/>
    </w:rPr>
  </w:style>
  <w:style w:type="character" w:styleId="992" w:customStyle="1">
    <w:name w:val="正文首行缩进 字符"/>
    <w:link w:val="789"/>
    <w:uiPriority w:val="0"/>
    <w:qFormat/>
    <w:rPr>
      <w:rFonts w:ascii="Times New Roman" w:hAnsi="Times New Roman" w:eastAsia="宋体" w:cs="Times New Roman"/>
      <w:sz w:val="24"/>
      <w:szCs w:val="24"/>
    </w:rPr>
  </w:style>
  <w:style w:type="table" w:styleId="993" w:customStyle="1">
    <w:name w:val="网格型11"/>
    <w:basedOn w:val="952"/>
    <w:uiPriority w:val="59"/>
    <w:qFormat/>
    <w:tblPr/>
  </w:style>
  <w:style w:type="character" w:styleId="994" w:customStyle="1">
    <w:name w:val="要点1"/>
    <w:uiPriority w:val="0"/>
    <w:qFormat/>
    <w:rPr>
      <w:b/>
      <w:bCs/>
    </w:rPr>
  </w:style>
  <w:style w:type="character" w:styleId="995" w:customStyle="1">
    <w:name w:val="页码1"/>
    <w:uiPriority w:val="0"/>
    <w:qFormat/>
  </w:style>
  <w:style w:type="character" w:styleId="996" w:customStyle="1">
    <w:name w:val="已访问的超链接1"/>
    <w:uiPriority w:val="0"/>
    <w:qFormat/>
    <w:rPr>
      <w:color w:val="800080"/>
      <w:u w:val="none"/>
    </w:rPr>
  </w:style>
  <w:style w:type="character" w:styleId="997" w:customStyle="1">
    <w:name w:val="强调1"/>
    <w:uiPriority w:val="20"/>
    <w:qFormat/>
    <w:rPr>
      <w:b/>
      <w:bCs/>
    </w:rPr>
  </w:style>
  <w:style w:type="character" w:styleId="998" w:customStyle="1">
    <w:name w:val="HTML 定义1"/>
    <w:uiPriority w:val="99"/>
    <w:unhideWhenUsed/>
    <w:qFormat/>
  </w:style>
  <w:style w:type="character" w:styleId="999" w:customStyle="1">
    <w:name w:val="HTML 打字机1"/>
    <w:uiPriority w:val="99"/>
    <w:unhideWhenUsed/>
    <w:qFormat/>
    <w:rPr>
      <w:rFonts w:ascii="monospace" w:hAnsi="monospace" w:eastAsia="monospace" w:cs="monospace"/>
      <w:sz w:val="20"/>
    </w:rPr>
  </w:style>
  <w:style w:type="character" w:styleId="1000" w:customStyle="1">
    <w:name w:val="HTML 缩写1"/>
    <w:uiPriority w:val="99"/>
    <w:unhideWhenUsed/>
    <w:qFormat/>
  </w:style>
  <w:style w:type="character" w:styleId="1001" w:customStyle="1">
    <w:name w:val="HTML 变量1"/>
    <w:uiPriority w:val="99"/>
    <w:unhideWhenUsed/>
    <w:qFormat/>
  </w:style>
  <w:style w:type="character" w:styleId="1002" w:customStyle="1">
    <w:name w:val="超链接1"/>
    <w:uiPriority w:val="0"/>
    <w:qFormat/>
    <w:rPr>
      <w:color w:val="0000ff"/>
      <w:u w:val="none"/>
    </w:rPr>
  </w:style>
  <w:style w:type="character" w:styleId="1003" w:customStyle="1">
    <w:name w:val="HTML 代码1"/>
    <w:uiPriority w:val="99"/>
    <w:unhideWhenUsed/>
    <w:qFormat/>
    <w:rPr>
      <w:rFonts w:ascii="monospace" w:hAnsi="monospace" w:eastAsia="monospace" w:cs="monospace"/>
      <w:sz w:val="20"/>
    </w:rPr>
  </w:style>
  <w:style w:type="character" w:styleId="1004" w:customStyle="1">
    <w:name w:val="HTML 引文1"/>
    <w:uiPriority w:val="99"/>
    <w:unhideWhenUsed/>
    <w:qFormat/>
  </w:style>
  <w:style w:type="character" w:styleId="1005" w:customStyle="1">
    <w:name w:val="HTML 键盘1"/>
    <w:uiPriority w:val="99"/>
    <w:unhideWhenUsed/>
    <w:qFormat/>
    <w:rPr>
      <w:rFonts w:ascii="monospace" w:hAnsi="monospace" w:eastAsia="monospace" w:cs="monospace"/>
      <w:sz w:val="20"/>
    </w:rPr>
  </w:style>
  <w:style w:type="character" w:styleId="1006" w:customStyle="1">
    <w:name w:val="HTML 样本1"/>
    <w:uiPriority w:val="99"/>
    <w:unhideWhenUsed/>
    <w:qFormat/>
    <w:rPr>
      <w:rFonts w:ascii="monospace" w:hAnsi="monospace" w:eastAsia="monospace" w:cs="monospace"/>
    </w:rPr>
  </w:style>
  <w:style w:type="character" w:styleId="1007" w:customStyle="1">
    <w:name w:val="列出段落 字符"/>
    <w:link w:val="1008"/>
    <w:uiPriority w:val="99"/>
    <w:qFormat/>
  </w:style>
  <w:style w:type="paragraph" w:styleId="1008" w:customStyle="1">
    <w:name w:val="列出段落1"/>
    <w:basedOn w:val="734"/>
    <w:link w:val="1007"/>
    <w:uiPriority w:val="99"/>
    <w:qFormat/>
    <w:pPr>
      <w:ind w:firstLine="420"/>
    </w:pPr>
    <w:rPr>
      <w:sz w:val="20"/>
      <w:szCs w:val="20"/>
    </w:rPr>
  </w:style>
  <w:style w:type="character" w:styleId="1009" w:customStyle="1">
    <w:name w:val="文档结构图 Char1"/>
    <w:uiPriority w:val="99"/>
    <w:semiHidden/>
    <w:qFormat/>
    <w:rPr>
      <w:rFonts w:ascii="宋体" w:hAnsi="Times New Roman" w:eastAsia="宋体" w:cs="Times New Roman"/>
      <w:sz w:val="18"/>
      <w:szCs w:val="18"/>
    </w:rPr>
  </w:style>
  <w:style w:type="character" w:styleId="1010" w:customStyle="1">
    <w:name w:val="普通正文 Char"/>
    <w:link w:val="1011"/>
    <w:uiPriority w:val="0"/>
    <w:qFormat/>
    <w:rPr>
      <w:rFonts w:ascii="Arial" w:hAnsi="Arial"/>
      <w:sz w:val="24"/>
      <w:szCs w:val="24"/>
    </w:rPr>
  </w:style>
  <w:style w:type="paragraph" w:styleId="1011" w:customStyle="1">
    <w:name w:val="普通正文"/>
    <w:basedOn w:val="734"/>
    <w:link w:val="1010"/>
    <w:uiPriority w:val="0"/>
    <w:qFormat/>
    <w:pPr>
      <w:ind w:left="-2" w:right="120" w:firstLine="480"/>
      <w:jc w:val="center"/>
      <w:spacing w:before="120" w:after="120" w:line="360" w:lineRule="auto"/>
    </w:pPr>
    <w:rPr>
      <w:rFonts w:ascii="Arial" w:hAnsi="Arial"/>
      <w:sz w:val="24"/>
    </w:rPr>
  </w:style>
  <w:style w:type="character" w:styleId="1012" w:customStyle="1">
    <w:name w:val="FA正文 Char"/>
    <w:link w:val="1013"/>
    <w:uiPriority w:val="0"/>
    <w:qFormat/>
    <w:rPr>
      <w:rFonts w:ascii="宋体" w:hAnsi="宋体" w:eastAsia="宋体" w:cs="Times New Roman"/>
      <w:sz w:val="28"/>
      <w:szCs w:val="28"/>
    </w:rPr>
  </w:style>
  <w:style w:type="paragraph" w:styleId="1013" w:customStyle="1">
    <w:name w:val="FA正文"/>
    <w:basedOn w:val="734"/>
    <w:link w:val="1012"/>
    <w:uiPriority w:val="0"/>
    <w:qFormat/>
    <w:pPr>
      <w:ind w:firstLine="538"/>
      <w:spacing w:line="440" w:lineRule="atLeast"/>
      <w:tabs>
        <w:tab w:val="left" w:pos="3375" w:leader="none"/>
      </w:tabs>
    </w:pPr>
    <w:rPr>
      <w:rFonts w:ascii="宋体" w:hAnsi="宋体"/>
      <w:sz w:val="28"/>
      <w:szCs w:val="28"/>
    </w:rPr>
  </w:style>
  <w:style w:type="character" w:styleId="1014" w:customStyle="1">
    <w:name w:val="正文缩进2格 Char"/>
    <w:link w:val="1015"/>
    <w:uiPriority w:val="0"/>
    <w:qFormat/>
    <w:rPr>
      <w:rFonts w:ascii="仿宋_GB2312" w:hAnsi="宋体" w:eastAsia="仿宋_GB2312" w:cs="Times New Roman"/>
      <w:sz w:val="31"/>
      <w:szCs w:val="28"/>
    </w:rPr>
  </w:style>
  <w:style w:type="paragraph" w:styleId="1015" w:customStyle="1">
    <w:name w:val="正文缩进2格"/>
    <w:basedOn w:val="734"/>
    <w:link w:val="1014"/>
    <w:uiPriority w:val="0"/>
    <w:qFormat/>
    <w:pPr>
      <w:ind w:firstLine="639"/>
      <w:spacing w:line="600" w:lineRule="exact"/>
    </w:pPr>
    <w:rPr>
      <w:rFonts w:ascii="仿宋_GB2312" w:hAnsi="宋体" w:eastAsia="仿宋_GB2312"/>
      <w:sz w:val="31"/>
      <w:szCs w:val="28"/>
    </w:rPr>
  </w:style>
  <w:style w:type="character" w:styleId="1016" w:customStyle="1">
    <w:name w:val="cn_text1"/>
    <w:uiPriority w:val="0"/>
    <w:qFormat/>
    <w:rPr>
      <w:rFonts w:ascii="ˎ̥" w:hAnsi="ˎ̥"/>
      <w:color w:val="003399"/>
      <w:spacing w:val="15"/>
      <w:sz w:val="18"/>
      <w:szCs w:val="18"/>
    </w:rPr>
  </w:style>
  <w:style w:type="character" w:styleId="1017" w:customStyle="1">
    <w:name w:val="ssss Char"/>
    <w:uiPriority w:val="0"/>
    <w:qFormat/>
    <w:rPr>
      <w:rFonts w:eastAsia="宋体"/>
      <w:sz w:val="24"/>
      <w:szCs w:val="24"/>
      <w:lang w:val="en-US" w:eastAsia="zh-CN" w:bidi="ar-SA"/>
    </w:rPr>
  </w:style>
  <w:style w:type="character" w:styleId="1018" w:customStyle="1">
    <w:name w:val="ssss Char1"/>
    <w:link w:val="1019"/>
    <w:uiPriority w:val="0"/>
    <w:qFormat/>
    <w:rPr>
      <w:rFonts w:ascii="Times New Roman" w:hAnsi="Times New Roman" w:eastAsia="宋体" w:cs="Times New Roman"/>
      <w:sz w:val="24"/>
      <w:szCs w:val="24"/>
    </w:rPr>
  </w:style>
  <w:style w:type="paragraph" w:styleId="1019" w:customStyle="1">
    <w:name w:val="ssss"/>
    <w:basedOn w:val="734"/>
    <w:link w:val="1018"/>
    <w:uiPriority w:val="0"/>
    <w:qFormat/>
    <w:pPr>
      <w:ind w:firstLine="480"/>
      <w:spacing w:line="360" w:lineRule="auto"/>
    </w:pPr>
    <w:rPr>
      <w:sz w:val="24"/>
    </w:rPr>
  </w:style>
  <w:style w:type="character" w:styleId="1020" w:customStyle="1">
    <w:name w:val="标题 4 Char1"/>
    <w:uiPriority w:val="0"/>
    <w:qFormat/>
    <w:rPr>
      <w:rFonts w:ascii="Arial" w:hAnsi="Arial" w:eastAsia="黑体"/>
      <w:b/>
      <w:bCs/>
      <w:sz w:val="28"/>
      <w:szCs w:val="28"/>
      <w:lang w:val="en-US" w:eastAsia="zh-CN" w:bidi="ar-SA"/>
    </w:rPr>
  </w:style>
  <w:style w:type="character" w:styleId="1021" w:customStyle="1">
    <w:name w:val="列表段落 字符"/>
    <w:uiPriority w:val="34"/>
    <w:qFormat/>
    <w:rPr>
      <w:rFonts w:ascii="Calibri" w:hAnsi="Calibri"/>
      <w:sz w:val="21"/>
      <w:szCs w:val="22"/>
    </w:rPr>
  </w:style>
  <w:style w:type="character" w:styleId="1022" w:customStyle="1">
    <w:name w:val="批注框文本 Char1"/>
    <w:uiPriority w:val="99"/>
    <w:semiHidden/>
    <w:qFormat/>
    <w:rPr>
      <w:rFonts w:ascii="Times New Roman" w:hAnsi="Times New Roman" w:eastAsia="宋体" w:cs="Times New Roman"/>
      <w:sz w:val="18"/>
      <w:szCs w:val="18"/>
    </w:rPr>
  </w:style>
  <w:style w:type="character" w:styleId="1023" w:customStyle="1">
    <w:name w:val="样式 ssss + 宋体 五号1 Char"/>
    <w:link w:val="1024"/>
    <w:uiPriority w:val="0"/>
    <w:qFormat/>
    <w:rPr>
      <w:rFonts w:ascii="宋体" w:hAnsi="宋体" w:eastAsia="宋体" w:cs="Times New Roman"/>
      <w:sz w:val="24"/>
      <w:szCs w:val="24"/>
    </w:rPr>
  </w:style>
  <w:style w:type="paragraph" w:styleId="1024" w:customStyle="1">
    <w:name w:val="样式 ssss + 宋体 五号1"/>
    <w:basedOn w:val="1019"/>
    <w:link w:val="1023"/>
    <w:uiPriority w:val="0"/>
    <w:qFormat/>
    <w:rPr>
      <w:rFonts w:ascii="宋体" w:hAnsi="宋体"/>
    </w:rPr>
  </w:style>
  <w:style w:type="character" w:styleId="1025" w:customStyle="1">
    <w:name w:val="point_normal1"/>
    <w:uiPriority w:val="0"/>
    <w:qFormat/>
    <w:rPr>
      <w:rFonts w:ascii="Arial" w:hAnsi="Arial" w:cs="Arial"/>
      <w:sz w:val="16"/>
      <w:szCs w:val="16"/>
    </w:rPr>
  </w:style>
  <w:style w:type="paragraph" w:styleId="1026" w:customStyle="1">
    <w:name w:val="样式 正文文本缩进 3 + 四号"/>
    <w:basedOn w:val="988"/>
    <w:uiPriority w:val="0"/>
    <w:qFormat/>
    <w:pPr>
      <w:ind w:left="0" w:firstLine="437"/>
      <w:spacing w:after="0" w:line="360" w:lineRule="auto"/>
    </w:pPr>
    <w:rPr>
      <w:sz w:val="24"/>
      <w:szCs w:val="21"/>
    </w:rPr>
  </w:style>
  <w:style w:type="paragraph" w:styleId="1027" w:customStyle="1">
    <w:name w:val="2cxsplast"/>
    <w:basedOn w:val="734"/>
    <w:uiPriority w:val="0"/>
    <w:qFormat/>
    <w:pPr>
      <w:jc w:val="left"/>
      <w:spacing w:before="100" w:beforeAutospacing="1" w:after="100" w:afterAutospacing="1"/>
      <w:widowControl/>
    </w:pPr>
    <w:rPr>
      <w:rFonts w:ascii="宋体" w:hAnsi="宋体" w:cs="宋体"/>
      <w:sz w:val="24"/>
    </w:rPr>
  </w:style>
  <w:style w:type="paragraph" w:styleId="1028" w:customStyle="1">
    <w:name w:val="ec_msonormal"/>
    <w:basedOn w:val="734"/>
    <w:uiPriority w:val="0"/>
    <w:qFormat/>
    <w:pPr>
      <w:jc w:val="left"/>
      <w:spacing w:before="100" w:beforeAutospacing="1" w:after="100" w:afterAutospacing="1"/>
      <w:widowControl/>
    </w:pPr>
    <w:rPr>
      <w:rFonts w:ascii="宋体" w:hAnsi="宋体"/>
      <w:sz w:val="24"/>
    </w:rPr>
  </w:style>
  <w:style w:type="paragraph" w:styleId="1029" w:customStyle="1">
    <w:name w:val="Char Char Char Char Char Char Char Char Char Char Char Char Char"/>
    <w:basedOn w:val="734"/>
    <w:uiPriority w:val="0"/>
    <w:qFormat/>
  </w:style>
  <w:style w:type="paragraph" w:styleId="1030" w:customStyle="1">
    <w:name w:val="表格正文"/>
    <w:basedOn w:val="734"/>
    <w:uiPriority w:val="0"/>
    <w:qFormat/>
    <w:pPr>
      <w:jc w:val="left"/>
      <w:spacing w:line="360" w:lineRule="auto"/>
    </w:pPr>
    <w:rPr>
      <w:rFonts w:ascii="Calibri" w:hAnsi="Calibri"/>
      <w:color w:val="000000"/>
      <w:szCs w:val="28"/>
    </w:rPr>
  </w:style>
  <w:style w:type="paragraph" w:styleId="1031"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032" w:customStyle="1">
    <w:name w:val="Char Char Char Char1"/>
    <w:basedOn w:val="734"/>
    <w:uiPriority w:val="0"/>
    <w:qFormat/>
    <w:rPr>
      <w:rFonts w:ascii="Tahoma" w:hAnsi="Tahoma"/>
      <w:sz w:val="24"/>
      <w:szCs w:val="20"/>
    </w:rPr>
  </w:style>
  <w:style w:type="paragraph" w:styleId="1033" w:customStyle="1">
    <w:name w:val="Char Char Char"/>
    <w:basedOn w:val="734"/>
    <w:uiPriority w:val="0"/>
    <w:qFormat/>
    <w:rPr>
      <w:rFonts w:ascii="Tahoma" w:hAnsi="Tahoma"/>
      <w:sz w:val="24"/>
      <w:szCs w:val="20"/>
    </w:rPr>
  </w:style>
  <w:style w:type="paragraph" w:styleId="1034" w:customStyle="1">
    <w:name w:val="标题-----3"/>
    <w:basedOn w:val="941"/>
    <w:uiPriority w:val="0"/>
    <w:qFormat/>
    <w:pPr>
      <w:spacing w:before="0" w:after="0" w:line="240" w:lineRule="auto"/>
      <w:outlineLvl w:val="0"/>
    </w:pPr>
    <w:rPr>
      <w:rFonts w:ascii="宋体" w:hAnsi="宋体"/>
      <w:b w:val="0"/>
      <w:bCs w:val="0"/>
      <w:sz w:val="28"/>
      <w:szCs w:val="28"/>
    </w:rPr>
  </w:style>
  <w:style w:type="paragraph" w:styleId="1035" w:customStyle="1">
    <w:name w:val="样式 ssss + 居中"/>
    <w:basedOn w:val="1019"/>
    <w:uiPriority w:val="0"/>
    <w:qFormat/>
    <w:pPr>
      <w:jc w:val="center"/>
    </w:pPr>
    <w:rPr>
      <w:rFonts w:cs="宋体"/>
      <w:szCs w:val="20"/>
    </w:rPr>
  </w:style>
  <w:style w:type="paragraph" w:styleId="1036" w:customStyle="1">
    <w:name w:val="样式 宋体 四号 黑色 左侧:  0.74 厘米 首行缩进:  0.74 厘米 行距: 1.5 倍行距"/>
    <w:basedOn w:val="734"/>
    <w:uiPriority w:val="0"/>
    <w:qFormat/>
    <w:pPr>
      <w:ind w:firstLine="420"/>
      <w:spacing w:line="360" w:lineRule="auto"/>
    </w:pPr>
    <w:rPr>
      <w:rFonts w:ascii="宋体"/>
      <w:color w:val="000000"/>
      <w:sz w:val="24"/>
      <w:szCs w:val="21"/>
    </w:rPr>
  </w:style>
  <w:style w:type="paragraph" w:styleId="1037" w:customStyle="1">
    <w:name w:val="样式 样式 ssss + 宋体 五号 + 首行缩进:  2 字符"/>
    <w:basedOn w:val="1038"/>
    <w:uiPriority w:val="0"/>
    <w:qFormat/>
    <w:pPr>
      <w:ind w:firstLine="480"/>
    </w:pPr>
  </w:style>
  <w:style w:type="paragraph" w:styleId="1038" w:customStyle="1">
    <w:name w:val="样式 ssss + 宋体 五号"/>
    <w:basedOn w:val="1019"/>
    <w:uiPriority w:val="0"/>
    <w:qFormat/>
    <w:pPr>
      <w:ind w:firstLine="420"/>
    </w:pPr>
    <w:rPr>
      <w:rFonts w:ascii="宋体" w:hAnsi="宋体" w:cs="宋体"/>
      <w:szCs w:val="20"/>
    </w:rPr>
  </w:style>
  <w:style w:type="paragraph" w:styleId="1039" w:customStyle="1">
    <w:name w:val="msonormalcxsplast"/>
    <w:basedOn w:val="734"/>
    <w:uiPriority w:val="0"/>
    <w:qFormat/>
    <w:pPr>
      <w:jc w:val="left"/>
      <w:spacing w:before="100" w:beforeAutospacing="1" w:after="100" w:afterAutospacing="1"/>
      <w:widowControl/>
    </w:pPr>
    <w:rPr>
      <w:rFonts w:ascii="宋体" w:hAnsi="宋体" w:cs="宋体"/>
      <w:sz w:val="24"/>
    </w:rPr>
  </w:style>
  <w:style w:type="paragraph" w:styleId="1040" w:customStyle="1">
    <w:name w:val="Char"/>
    <w:basedOn w:val="734"/>
    <w:uiPriority w:val="0"/>
    <w:qFormat/>
    <w:rPr>
      <w:rFonts w:ascii="Tahoma" w:hAnsi="Tahoma"/>
      <w:sz w:val="24"/>
      <w:szCs w:val="20"/>
    </w:rPr>
  </w:style>
  <w:style w:type="paragraph" w:styleId="1041" w:customStyle="1">
    <w:name w:val="xl25"/>
    <w:basedOn w:val="734"/>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42" w:customStyle="1">
    <w:name w:val="标题------4"/>
    <w:basedOn w:val="942"/>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43" w:customStyle="1">
    <w:name w:val="msonormalcxspmiddle"/>
    <w:basedOn w:val="734"/>
    <w:uiPriority w:val="0"/>
    <w:qFormat/>
    <w:pPr>
      <w:jc w:val="left"/>
      <w:spacing w:before="100" w:beforeAutospacing="1" w:after="100" w:afterAutospacing="1"/>
      <w:widowControl/>
    </w:pPr>
    <w:rPr>
      <w:rFonts w:ascii="宋体" w:hAnsi="宋体" w:cs="宋体"/>
      <w:sz w:val="24"/>
    </w:rPr>
  </w:style>
  <w:style w:type="paragraph" w:styleId="1044" w:customStyle="1">
    <w:name w:val="Char Char Char Char Char Char Char Char Char Char Char Char Char1"/>
    <w:basedOn w:val="734"/>
    <w:uiPriority w:val="0"/>
    <w:qFormat/>
    <w:rPr>
      <w:sz w:val="24"/>
    </w:rPr>
  </w:style>
  <w:style w:type="paragraph" w:styleId="1045" w:customStyle="1">
    <w:name w:val="表格"/>
    <w:basedOn w:val="734"/>
    <w:uiPriority w:val="0"/>
    <w:qFormat/>
    <w:rPr>
      <w:rFonts w:ascii="Arial" w:hAnsi="Arial"/>
      <w:sz w:val="24"/>
    </w:rPr>
  </w:style>
  <w:style w:type="paragraph" w:styleId="1046" w:customStyle="1">
    <w:name w:val="正文样式1"/>
    <w:basedOn w:val="734"/>
    <w:uiPriority w:val="0"/>
    <w:qFormat/>
    <w:pPr>
      <w:ind w:firstLine="480"/>
      <w:spacing w:before="120" w:after="120" w:line="360" w:lineRule="auto"/>
    </w:pPr>
    <w:rPr>
      <w:sz w:val="24"/>
      <w:szCs w:val="20"/>
    </w:rPr>
  </w:style>
  <w:style w:type="paragraph" w:styleId="1047" w:customStyle="1">
    <w:name w:val="Char Char1 Char Char Char Char Char Char"/>
    <w:basedOn w:val="734"/>
    <w:uiPriority w:val="0"/>
    <w:qFormat/>
    <w:pPr>
      <w:jc w:val="left"/>
      <w:spacing w:after="160" w:line="240" w:lineRule="exact"/>
      <w:widowControl/>
    </w:pPr>
    <w:rPr>
      <w:rFonts w:ascii="Verdana" w:hAnsi="Verdana" w:eastAsia="仿宋_GB2312"/>
      <w:sz w:val="24"/>
      <w:szCs w:val="20"/>
      <w:lang w:eastAsia="en-US"/>
    </w:rPr>
  </w:style>
  <w:style w:type="paragraph" w:styleId="1048" w:customStyle="1">
    <w:name w:val="Char Char Char Char Char Char Char Char Char Char"/>
    <w:basedOn w:val="734"/>
    <w:uiPriority w:val="0"/>
    <w:qFormat/>
    <w:rPr>
      <w:rFonts w:ascii="Tahoma" w:hAnsi="Tahoma"/>
      <w:sz w:val="24"/>
      <w:szCs w:val="20"/>
    </w:rPr>
  </w:style>
  <w:style w:type="paragraph" w:styleId="1049" w:customStyle="1">
    <w:name w:val="Char1"/>
    <w:basedOn w:val="734"/>
    <w:uiPriority w:val="0"/>
    <w:qFormat/>
    <w:pPr>
      <w:tabs>
        <w:tab w:val="left" w:pos="360" w:leader="none"/>
      </w:tabs>
    </w:pPr>
    <w:rPr>
      <w:sz w:val="24"/>
    </w:rPr>
  </w:style>
  <w:style w:type="paragraph" w:styleId="1050" w:customStyle="1">
    <w:name w:val="标题1"/>
    <w:basedOn w:val="734"/>
    <w:next w:val="73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1" w:customStyle="1">
    <w:name w:val="Header2"/>
    <w:basedOn w:val="734"/>
    <w:uiPriority w:val="0"/>
    <w:qFormat/>
    <w:pPr>
      <w:numPr>
        <w:ilvl w:val="0"/>
        <w:numId w:val="1"/>
      </w:numPr>
    </w:pPr>
  </w:style>
  <w:style w:type="paragraph" w:styleId="1052" w:customStyle="1">
    <w:name w:val="Char Char 字元 字元 字元 Char Char Char Char"/>
    <w:basedOn w:val="734"/>
    <w:uiPriority w:val="0"/>
    <w:qFormat/>
    <w:pPr>
      <w:spacing w:line="360" w:lineRule="auto"/>
    </w:pPr>
    <w:rPr>
      <w:sz w:val="24"/>
      <w:szCs w:val="20"/>
    </w:rPr>
  </w:style>
  <w:style w:type="paragraph" w:styleId="1053" w:customStyle="1">
    <w:name w:val="2cxspmiddle"/>
    <w:basedOn w:val="734"/>
    <w:uiPriority w:val="0"/>
    <w:qFormat/>
    <w:pPr>
      <w:jc w:val="left"/>
      <w:spacing w:before="100" w:beforeAutospacing="1" w:after="100" w:afterAutospacing="1"/>
      <w:widowControl/>
    </w:pPr>
    <w:rPr>
      <w:rFonts w:ascii="宋体" w:hAnsi="宋体" w:cs="宋体"/>
      <w:sz w:val="24"/>
    </w:rPr>
  </w:style>
  <w:style w:type="paragraph" w:styleId="105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5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56" w:customStyle="1">
    <w:name w:val="网格型1"/>
    <w:basedOn w:val="952"/>
    <w:uiPriority w:val="39"/>
    <w:qFormat/>
    <w:rPr>
      <w:rFonts w:ascii="等线" w:hAnsi="等线" w:eastAsia="等线"/>
      <w:sz w:val="21"/>
      <w:szCs w:val="22"/>
    </w:rPr>
    <w:tblPr/>
  </w:style>
  <w:style w:type="paragraph" w:styleId="1057"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character" w:styleId="1058" w:customStyle="1">
    <w:name w:val="mini-tree-nodetext3"/>
    <w:uiPriority w:val="0"/>
    <w:qFormat/>
  </w:style>
  <w:style w:type="paragraph" w:styleId="1059" w:customStyle="1">
    <w:name w:val="正文首行缩进 211"/>
    <w:basedOn w:val="970"/>
    <w:next w:val="734"/>
    <w:uiPriority w:val="0"/>
    <w:qFormat/>
    <w:pPr>
      <w:ind w:left="0" w:firstLine="420"/>
      <w:spacing w:line="360" w:lineRule="auto"/>
    </w:pPr>
    <w:rPr>
      <w:rFonts w:ascii="宋体" w:hAnsi="宋体"/>
      <w:sz w:val="20"/>
    </w:rPr>
  </w:style>
  <w:style w:type="paragraph" w:styleId="1060" w:customStyle="1">
    <w:name w:val="列出段落11"/>
    <w:basedOn w:val="734"/>
    <w:uiPriority w:val="99"/>
    <w:qFormat/>
    <w:pPr>
      <w:jc w:val="left"/>
      <w:spacing w:before="100" w:beforeAutospacing="1" w:after="100" w:afterAutospacing="1"/>
      <w:widowControl/>
    </w:pPr>
    <w:rPr>
      <w:rFonts w:ascii="Arial" w:hAnsi="Arial" w:cs="Arial"/>
      <w:color w:val="000000"/>
      <w:sz w:val="18"/>
      <w:szCs w:val="18"/>
    </w:rPr>
  </w:style>
  <w:style w:type="paragraph" w:styleId="1061" w:customStyle="1">
    <w:name w:val="正文缩进11"/>
    <w:basedOn w:val="734"/>
    <w:uiPriority w:val="0"/>
    <w:qFormat/>
    <w:pPr>
      <w:ind w:firstLine="420"/>
    </w:pPr>
    <w:rPr>
      <w:szCs w:val="20"/>
    </w:rPr>
  </w:style>
  <w:style w:type="character" w:styleId="1062" w:customStyle="1">
    <w:name w:val="font71"/>
    <w:basedOn w:val="744"/>
    <w:uiPriority w:val="0"/>
    <w:qFormat/>
    <w:rPr>
      <w:rFonts w:hint="eastAsia" w:ascii="仿宋" w:hAnsi="仿宋" w:eastAsia="仿宋" w:cs="仿宋"/>
      <w:color w:val="000000"/>
      <w:sz w:val="24"/>
      <w:szCs w:val="24"/>
      <w:u w:val="none"/>
    </w:rPr>
  </w:style>
  <w:style w:type="character" w:styleId="1063" w:customStyle="1">
    <w:name w:val="font31"/>
    <w:basedOn w:val="744"/>
    <w:uiPriority w:val="0"/>
    <w:qFormat/>
    <w:rPr>
      <w:rFonts w:hint="eastAsia" w:ascii="仿宋" w:hAnsi="仿宋" w:eastAsia="仿宋" w:cs="仿宋"/>
      <w:color w:val="000000"/>
      <w:sz w:val="24"/>
      <w:szCs w:val="24"/>
      <w:u w:val="none"/>
    </w:rPr>
  </w:style>
  <w:style w:type="character" w:styleId="1064" w:customStyle="1">
    <w:name w:val="font01"/>
    <w:basedOn w:val="744"/>
    <w:uiPriority w:val="0"/>
    <w:qFormat/>
    <w:rPr>
      <w:rFonts w:hint="eastAsia" w:ascii="宋体" w:hAnsi="宋体" w:eastAsia="宋体" w:cs="宋体"/>
      <w:color w:val="000000"/>
      <w:sz w:val="24"/>
      <w:szCs w:val="24"/>
      <w:u w:val="none"/>
    </w:rPr>
  </w:style>
  <w:style w:type="character" w:styleId="1065" w:customStyle="1">
    <w:name w:val="font11"/>
    <w:basedOn w:val="744"/>
    <w:uiPriority w:val="0"/>
    <w:qFormat/>
    <w:rPr>
      <w:rFonts w:hint="eastAsia" w:ascii="仿宋" w:hAnsi="仿宋" w:eastAsia="仿宋" w:cs="仿宋"/>
      <w:color w:val="000000"/>
      <w:sz w:val="24"/>
      <w:szCs w:val="24"/>
      <w:u w:val="none"/>
    </w:rPr>
  </w:style>
  <w:style w:type="character" w:styleId="1066" w:customStyle="1">
    <w:name w:val="font61"/>
    <w:basedOn w:val="744"/>
    <w:uiPriority w:val="0"/>
    <w:qFormat/>
    <w:rPr>
      <w:rFonts w:hint="eastAsia" w:ascii="MS Gothic" w:hAnsi="MS Gothic" w:eastAsia="MS Gothic" w:cs="MS Gothic"/>
      <w:color w:val="000000"/>
      <w:sz w:val="24"/>
      <w:szCs w:val="24"/>
      <w:u w:val="none"/>
    </w:rPr>
  </w:style>
  <w:style w:type="character" w:styleId="1067" w:customStyle="1">
    <w:name w:val="批注框文本 字符1"/>
    <w:basedOn w:val="744"/>
    <w:link w:val="761"/>
    <w:uiPriority w:val="99"/>
    <w:semiHidden/>
    <w:qFormat/>
    <w:rPr>
      <w:sz w:val="18"/>
      <w:szCs w:val="18"/>
    </w:rPr>
  </w:style>
  <w:style w:type="character" w:styleId="1068" w:customStyle="1">
    <w:name w:val="批注文字 字符"/>
    <w:basedOn w:val="744"/>
    <w:link w:val="750"/>
    <w:uiPriority w:val="0"/>
    <w:qFormat/>
    <w:rPr>
      <w:sz w:val="21"/>
      <w:szCs w:val="24"/>
    </w:rPr>
  </w:style>
  <w:style w:type="character" w:styleId="1069" w:customStyle="1">
    <w:name w:val="批注主题 字符"/>
    <w:basedOn w:val="1068"/>
    <w:link w:val="775"/>
    <w:uiPriority w:val="99"/>
    <w:semiHidden/>
    <w:qFormat/>
    <w:rPr>
      <w:b/>
      <w:bCs/>
      <w:sz w:val="21"/>
      <w:szCs w:val="24"/>
    </w:rPr>
  </w:style>
  <w:style w:type="paragraph" w:styleId="1070" w:customStyle="1">
    <w:name w:val="批注文字1"/>
    <w:basedOn w:val="734"/>
    <w:uiPriority w:val="0"/>
    <w:unhideWhenUsed/>
    <w:qFormat/>
    <w:pPr>
      <w:jc w:val="left"/>
    </w:pPr>
  </w:style>
  <w:style w:type="paragraph" w:styleId="1071" w:customStyle="1">
    <w:name w:val="纯文本2"/>
    <w:basedOn w:val="734"/>
    <w:uiPriority w:val="0"/>
    <w:qFormat/>
    <w:rPr>
      <w:rFonts w:ascii="宋体" w:hAnsi="Courier New"/>
      <w:sz w:val="28"/>
    </w:rPr>
  </w:style>
  <w:style w:type="paragraph" w:styleId="107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73" w:customStyle="1">
    <w:name w:val="Table Text"/>
    <w:basedOn w:val="734"/>
    <w:uiPriority w:val="0"/>
    <w:semiHidden/>
    <w:qFormat/>
  </w:style>
  <w:style w:type="table" w:styleId="1074" w:customStyle="1">
    <w:name w:val="Table Normal"/>
    <w:uiPriority w:val="0"/>
    <w:semiHidden/>
    <w:unhideWhenUsed/>
    <w:qFormat/>
    <w:tblPr>
      <w:tblCellMar>
        <w:left w:w="0" w:type="dxa"/>
        <w:top w:w="0" w:type="dxa"/>
        <w:right w:w="0" w:type="dxa"/>
        <w:bottom w:w="0" w:type="dxa"/>
      </w:tblCellMar>
    </w:tblPr>
  </w:style>
  <w:style w:type="paragraph" w:styleId="1075" w:customStyle="1">
    <w:name w:val="索引 11"/>
    <w:basedOn w:val="734"/>
    <w:next w:val="734"/>
    <w:uiPriority w:val="0"/>
    <w:qFormat/>
    <w:pPr>
      <w:spacing w:line="360" w:lineRule="auto"/>
    </w:pPr>
    <w:rPr>
      <w:rFonts w:ascii="仿宋_GB2312" w:eastAsia="仿宋_GB2312"/>
      <w:sz w:val="24"/>
      <w:szCs w:val="20"/>
    </w:rPr>
  </w:style>
  <w:style w:type="paragraph" w:styleId="1076" w:customStyle="1">
    <w:name w:val="_正文段落"/>
    <w:basedOn w:val="734"/>
    <w:uiPriority w:val="0"/>
    <w:qFormat/>
    <w:pPr>
      <w:ind w:firstLine="200"/>
      <w:spacing w:line="560" w:lineRule="exact"/>
    </w:pPr>
    <w:rPr>
      <w:rFonts w:ascii="Calibri" w:hAnsi="Calibri" w:eastAsia="仿宋_GB2312"/>
      <w:color w:val="000000"/>
      <w:sz w:val="32"/>
    </w:rPr>
  </w:style>
  <w:style w:type="paragraph" w:styleId="1077" w:customStyle="1">
    <w:name w:val="DAS正文"/>
    <w:basedOn w:val="734"/>
    <w:uiPriority w:val="0"/>
    <w:qFormat/>
    <w:pPr>
      <w:ind w:right="181" w:firstLine="480"/>
      <w:spacing w:line="360" w:lineRule="auto"/>
    </w:pPr>
    <w:rPr>
      <w:rFonts w:ascii="Verdana" w:hAnsi="Verdana"/>
    </w:rPr>
  </w:style>
  <w:style w:type="paragraph" w:styleId="1078" w:customStyle="1">
    <w:name w:val="sh4"/>
    <w:basedOn w:val="734"/>
    <w:uiPriority w:val="0"/>
    <w:qFormat/>
    <w:pPr>
      <w:ind w:firstLine="420"/>
      <w:spacing w:line="460" w:lineRule="exact"/>
    </w:pPr>
    <w:rPr>
      <w:rFonts w:ascii="宋体" w:hAnsi="宋体"/>
      <w:color w:val="0d0d0d"/>
      <w:szCs w:val="21"/>
      <w:lang w:val="zh-CN"/>
    </w:rPr>
  </w:style>
  <w:style w:type="paragraph" w:styleId="1079" w:customStyle="1">
    <w:name w:val="Table Paragraph"/>
    <w:basedOn w:val="734"/>
    <w:uiPriority w:val="1"/>
    <w:qFormat/>
    <w:pPr>
      <w:ind w:left="107"/>
      <w:spacing w:before="31"/>
    </w:pPr>
    <w:rPr>
      <w:rFonts w:ascii="微软雅黑" w:hAnsi="微软雅黑" w:eastAsia="微软雅黑" w:cs="微软雅黑"/>
    </w:rPr>
  </w:style>
  <w:style w:type="paragraph" w:styleId="1080"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8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8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3"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084" w:customStyle="1">
    <w:name w:val="页眉11"/>
    <w:basedOn w:val="734"/>
    <w:uiPriority w:val="99"/>
    <w:qFormat/>
    <w:pPr>
      <w:jc w:val="center"/>
      <w:tabs>
        <w:tab w:val="center" w:pos="4153" w:leader="none"/>
        <w:tab w:val="right" w:pos="8306" w:leader="none"/>
      </w:tabs>
      <w:pBdr>
        <w:bottom w:val="single" w:color="000000" w:sz="6" w:space="1"/>
      </w:pBdr>
    </w:pPr>
    <w:rPr>
      <w:sz w:val="18"/>
    </w:rPr>
  </w:style>
  <w:style w:type="paragraph" w:styleId="1085" w:customStyle="1">
    <w:name w:val="页脚11"/>
    <w:basedOn w:val="734"/>
    <w:uiPriority w:val="99"/>
    <w:qFormat/>
    <w:pPr>
      <w:jc w:val="left"/>
      <w:tabs>
        <w:tab w:val="center" w:pos="4153" w:leader="none"/>
        <w:tab w:val="right" w:pos="8306" w:leader="none"/>
      </w:tabs>
    </w:pPr>
    <w:rPr>
      <w:sz w:val="18"/>
    </w:rPr>
  </w:style>
  <w:style w:type="character" w:styleId="1086" w:customStyle="1">
    <w:name w:val="font21"/>
    <w:basedOn w:val="744"/>
    <w:uiPriority w:val="0"/>
    <w:qFormat/>
    <w:rPr>
      <w:rFonts w:hint="default" w:ascii="Berlin Sans FB" w:hAnsi="Berlin Sans FB"/>
      <w:color w:val="000000"/>
      <w:sz w:val="20"/>
      <w:szCs w:val="20"/>
      <w:u w:val="none"/>
    </w:rPr>
  </w:style>
  <w:style w:type="paragraph" w:styleId="1087" w:customStyle="1">
    <w:name w:val="*正文"/>
    <w:basedOn w:val="734"/>
    <w:uiPriority w:val="0"/>
    <w:qFormat/>
    <w:pPr>
      <w:spacing w:line="360" w:lineRule="auto"/>
    </w:pPr>
    <w:rPr>
      <w:sz w:val="24"/>
    </w:rPr>
  </w:style>
  <w:style w:type="numbering" w:styleId="114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wmf"/><Relationship Id="rId16" Type="http://schemas.openxmlformats.org/officeDocument/2006/relationships/oleObject" Target="embeddings/oleObject1.bin"/><Relationship Id="rId17"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经办二</cp:lastModifiedBy>
  <cp:revision>24</cp:revision>
  <dcterms:created xsi:type="dcterms:W3CDTF">2025-09-24T06:08:00Z</dcterms:created>
  <dcterms:modified xsi:type="dcterms:W3CDTF">2026-07-20T07:16:02Z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89CC4E26FEEB4F7D881C370CEAD25966_13</vt:lpwstr>
  </property>
  <property fmtid="{D5CDD505-2E9C-101B-9397-08002B2CF9AE}" pid="4" name="KSOTemplateDocerSaveRecord">
    <vt:lpwstr>eyJoZGlkIjoiYjZjYTE1YzMzZTBmMTVlZmFmNTZmMTBiMjRmMjBkYmEiLCJ1c2VySWQiOiI3MDQ3MzgyNDIifQ==</vt:lpwstr>
  </property>
</Properties>
</file>